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108" w:type="dxa"/>
        <w:tblLayout w:type="fixed"/>
        <w:tblLook w:val="0000" w:firstRow="0" w:lastRow="0" w:firstColumn="0" w:lastColumn="0" w:noHBand="0" w:noVBand="0"/>
      </w:tblPr>
      <w:tblGrid>
        <w:gridCol w:w="8280"/>
      </w:tblGrid>
      <w:tr w:rsidR="00977932" w:rsidRPr="004F0FE2" w14:paraId="55A6C7E1" w14:textId="77777777">
        <w:tc>
          <w:tcPr>
            <w:tcW w:w="8280" w:type="dxa"/>
          </w:tcPr>
          <w:p w14:paraId="35A352A8" w14:textId="6729B3F0" w:rsidR="00977932" w:rsidRPr="004F0FE2" w:rsidRDefault="00643C8A">
            <w:pPr>
              <w:pStyle w:val="TitlePage"/>
              <w:jc w:val="center"/>
              <w:rPr>
                <w:rFonts w:ascii="Arial" w:hAnsi="Arial" w:cs="Arial"/>
                <w:sz w:val="22"/>
                <w:szCs w:val="22"/>
              </w:rPr>
            </w:pPr>
            <w:r w:rsidRPr="004F0FE2">
              <w:rPr>
                <w:rFonts w:ascii="Arial" w:hAnsi="Arial" w:cs="Arial"/>
                <w:sz w:val="22"/>
                <w:szCs w:val="22"/>
              </w:rPr>
              <w:t xml:space="preserve"> </w:t>
            </w:r>
          </w:p>
        </w:tc>
      </w:tr>
      <w:tr w:rsidR="00977932" w:rsidRPr="004F0FE2" w14:paraId="0791D3D7" w14:textId="77777777">
        <w:tc>
          <w:tcPr>
            <w:tcW w:w="8280" w:type="dxa"/>
          </w:tcPr>
          <w:p w14:paraId="3F182492" w14:textId="42F7E5F3" w:rsidR="00977932" w:rsidRPr="004F0FE2" w:rsidRDefault="00977932" w:rsidP="00342ED7">
            <w:pPr>
              <w:pStyle w:val="TitlePage"/>
              <w:jc w:val="center"/>
              <w:rPr>
                <w:rFonts w:ascii="Arial" w:hAnsi="Arial" w:cs="Arial"/>
                <w:b/>
                <w:sz w:val="28"/>
                <w:szCs w:val="28"/>
              </w:rPr>
            </w:pPr>
            <w:r w:rsidRPr="004F0FE2">
              <w:rPr>
                <w:rFonts w:ascii="Arial" w:hAnsi="Arial" w:cs="Arial"/>
                <w:b/>
                <w:sz w:val="28"/>
                <w:szCs w:val="28"/>
              </w:rPr>
              <w:t>Clinical Study Report</w:t>
            </w:r>
            <w:r w:rsidR="004F0FE2">
              <w:rPr>
                <w:rFonts w:ascii="Arial" w:hAnsi="Arial" w:cs="Arial"/>
                <w:b/>
                <w:sz w:val="28"/>
                <w:szCs w:val="28"/>
              </w:rPr>
              <w:t xml:space="preserve"> (CSR)</w:t>
            </w:r>
          </w:p>
          <w:p w14:paraId="1C3FDBB1" w14:textId="77777777" w:rsidR="00977932" w:rsidRPr="004F0FE2" w:rsidRDefault="00977932">
            <w:pPr>
              <w:pStyle w:val="TitlePage"/>
              <w:jc w:val="center"/>
              <w:rPr>
                <w:rFonts w:ascii="Arial" w:hAnsi="Arial" w:cs="Arial"/>
                <w:b/>
                <w:sz w:val="20"/>
              </w:rPr>
            </w:pPr>
          </w:p>
          <w:p w14:paraId="58DBE94B" w14:textId="77777777" w:rsidR="00733B84" w:rsidRPr="004F0FE2" w:rsidRDefault="00733B84">
            <w:pPr>
              <w:pStyle w:val="TitlePage"/>
              <w:jc w:val="center"/>
              <w:rPr>
                <w:rFonts w:ascii="Arial" w:hAnsi="Arial" w:cs="Arial"/>
                <w:b/>
                <w:sz w:val="20"/>
              </w:rPr>
            </w:pPr>
          </w:p>
        </w:tc>
      </w:tr>
      <w:tr w:rsidR="00977932" w:rsidRPr="004F0FE2" w14:paraId="2EB8977D" w14:textId="77777777" w:rsidTr="0071077C">
        <w:tc>
          <w:tcPr>
            <w:tcW w:w="8280" w:type="dxa"/>
            <w:tcBorders>
              <w:top w:val="single" w:sz="4" w:space="0" w:color="auto"/>
              <w:bottom w:val="single" w:sz="4" w:space="0" w:color="auto"/>
            </w:tcBorders>
            <w:shd w:val="clear" w:color="auto" w:fill="D9D9D9" w:themeFill="background1" w:themeFillShade="D9"/>
          </w:tcPr>
          <w:p w14:paraId="0078A0AC" w14:textId="77777777" w:rsidR="00977932" w:rsidRPr="004F0FE2" w:rsidRDefault="00701968" w:rsidP="0071077C">
            <w:pPr>
              <w:pStyle w:val="TitlePage"/>
              <w:spacing w:before="240" w:after="240"/>
              <w:jc w:val="center"/>
              <w:rPr>
                <w:rFonts w:ascii="Arial" w:hAnsi="Arial" w:cs="Arial"/>
                <w:b/>
                <w:szCs w:val="24"/>
              </w:rPr>
            </w:pPr>
            <w:r w:rsidRPr="004F0FE2">
              <w:rPr>
                <w:rFonts w:ascii="Arial" w:hAnsi="Arial" w:cs="Arial"/>
                <w:b/>
                <w:szCs w:val="24"/>
              </w:rPr>
              <w:t xml:space="preserve">A randomized, </w:t>
            </w:r>
            <w:proofErr w:type="spellStart"/>
            <w:r w:rsidRPr="004F0FE2">
              <w:rPr>
                <w:rFonts w:ascii="Arial" w:hAnsi="Arial" w:cs="Arial"/>
                <w:b/>
                <w:szCs w:val="24"/>
              </w:rPr>
              <w:t>multicentre</w:t>
            </w:r>
            <w:proofErr w:type="spellEnd"/>
            <w:r w:rsidRPr="004F0FE2">
              <w:rPr>
                <w:rFonts w:ascii="Arial" w:hAnsi="Arial" w:cs="Arial"/>
                <w:b/>
                <w:szCs w:val="24"/>
              </w:rPr>
              <w:t xml:space="preserve">, open-label, phase II trial to evaluate the efficacy and safety of </w:t>
            </w:r>
            <w:proofErr w:type="spellStart"/>
            <w:r w:rsidRPr="004F0FE2">
              <w:rPr>
                <w:rFonts w:ascii="Arial" w:hAnsi="Arial" w:cs="Arial"/>
                <w:b/>
                <w:szCs w:val="24"/>
              </w:rPr>
              <w:t>palbociclib</w:t>
            </w:r>
            <w:proofErr w:type="spellEnd"/>
            <w:r w:rsidRPr="004F0FE2">
              <w:rPr>
                <w:rFonts w:ascii="Arial" w:hAnsi="Arial" w:cs="Arial"/>
                <w:b/>
                <w:szCs w:val="24"/>
              </w:rPr>
              <w:t xml:space="preserve"> in combination with </w:t>
            </w:r>
            <w:proofErr w:type="spellStart"/>
            <w:r w:rsidRPr="004F0FE2">
              <w:rPr>
                <w:rFonts w:ascii="Arial" w:hAnsi="Arial" w:cs="Arial"/>
                <w:b/>
                <w:szCs w:val="24"/>
              </w:rPr>
              <w:t>fulvestrant</w:t>
            </w:r>
            <w:proofErr w:type="spellEnd"/>
            <w:r w:rsidRPr="004F0FE2">
              <w:rPr>
                <w:rFonts w:ascii="Arial" w:hAnsi="Arial" w:cs="Arial"/>
                <w:b/>
                <w:szCs w:val="24"/>
              </w:rPr>
              <w:t xml:space="preserve"> or letrozole in patients with HER2 negative, ER+ metastatic breast cancer. (PARSIFAL)</w:t>
            </w:r>
          </w:p>
        </w:tc>
      </w:tr>
      <w:tr w:rsidR="00977932" w:rsidRPr="004F0FE2" w14:paraId="631A749D" w14:textId="77777777">
        <w:tc>
          <w:tcPr>
            <w:tcW w:w="8280" w:type="dxa"/>
          </w:tcPr>
          <w:p w14:paraId="4D4937FE" w14:textId="77777777" w:rsidR="00342ED7" w:rsidRDefault="00342ED7" w:rsidP="0071077C">
            <w:pPr>
              <w:pStyle w:val="TitlePage"/>
              <w:rPr>
                <w:rFonts w:ascii="Arial" w:hAnsi="Arial" w:cs="Arial"/>
                <w:b/>
                <w:szCs w:val="24"/>
              </w:rPr>
            </w:pPr>
          </w:p>
          <w:tbl>
            <w:tblPr>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2553"/>
              <w:gridCol w:w="5501"/>
            </w:tblGrid>
            <w:tr w:rsidR="0078323E" w:rsidRPr="00803736" w14:paraId="79EAB204" w14:textId="77777777" w:rsidTr="0078323E">
              <w:trPr>
                <w:trHeight w:val="397"/>
              </w:trPr>
              <w:tc>
                <w:tcPr>
                  <w:tcW w:w="1585" w:type="pct"/>
                </w:tcPr>
                <w:p w14:paraId="537B4C13" w14:textId="77777777" w:rsidR="00342ED7" w:rsidRPr="00803736" w:rsidRDefault="00342ED7" w:rsidP="0071077C">
                  <w:pPr>
                    <w:pStyle w:val="NormalWeb"/>
                    <w:spacing w:before="0" w:beforeAutospacing="0" w:after="0" w:afterAutospacing="0" w:line="240" w:lineRule="auto"/>
                    <w:rPr>
                      <w:b/>
                      <w:color w:val="000000" w:themeColor="text1"/>
                      <w:szCs w:val="20"/>
                      <w:lang w:val="en-US" w:eastAsia="en-US" w:bidi="en-US"/>
                    </w:rPr>
                  </w:pPr>
                  <w:r w:rsidRPr="00803736">
                    <w:rPr>
                      <w:b/>
                      <w:color w:val="000000" w:themeColor="text1"/>
                      <w:szCs w:val="20"/>
                      <w:lang w:val="en-US" w:eastAsia="en-US" w:bidi="en-US"/>
                    </w:rPr>
                    <w:t>Document Type:</w:t>
                  </w:r>
                </w:p>
              </w:tc>
              <w:tc>
                <w:tcPr>
                  <w:tcW w:w="3415" w:type="pct"/>
                </w:tcPr>
                <w:p w14:paraId="3C225483" w14:textId="599571A4" w:rsidR="00342ED7" w:rsidRPr="00803736" w:rsidRDefault="00821749" w:rsidP="0071077C">
                  <w:pPr>
                    <w:pStyle w:val="NormalWeb"/>
                    <w:spacing w:before="0" w:beforeAutospacing="0" w:after="0" w:afterAutospacing="0" w:line="240" w:lineRule="auto"/>
                    <w:rPr>
                      <w:color w:val="000000" w:themeColor="text1"/>
                      <w:szCs w:val="20"/>
                      <w:lang w:val="en-US" w:eastAsia="en-US" w:bidi="en-US"/>
                    </w:rPr>
                  </w:pPr>
                  <w:r>
                    <w:rPr>
                      <w:color w:val="000000" w:themeColor="text1"/>
                      <w:szCs w:val="20"/>
                      <w:lang w:val="en-US" w:eastAsia="en-US" w:bidi="en-US"/>
                    </w:rPr>
                    <w:t>Clinical Study Report</w:t>
                  </w:r>
                </w:p>
              </w:tc>
            </w:tr>
            <w:tr w:rsidR="0078323E" w:rsidRPr="00803736" w14:paraId="1316836D" w14:textId="77777777" w:rsidTr="0078323E">
              <w:trPr>
                <w:trHeight w:val="423"/>
              </w:trPr>
              <w:tc>
                <w:tcPr>
                  <w:tcW w:w="1585" w:type="pct"/>
                </w:tcPr>
                <w:p w14:paraId="01D67FA4" w14:textId="77777777" w:rsidR="00342ED7" w:rsidRPr="00803736" w:rsidRDefault="00342ED7" w:rsidP="0071077C">
                  <w:pPr>
                    <w:spacing w:after="0" w:line="240" w:lineRule="auto"/>
                    <w:jc w:val="left"/>
                    <w:rPr>
                      <w:b/>
                      <w:color w:val="000000" w:themeColor="text1"/>
                    </w:rPr>
                  </w:pPr>
                  <w:r w:rsidRPr="00803736">
                    <w:rPr>
                      <w:b/>
                      <w:color w:val="000000" w:themeColor="text1"/>
                    </w:rPr>
                    <w:t>Study Title:</w:t>
                  </w:r>
                </w:p>
              </w:tc>
              <w:tc>
                <w:tcPr>
                  <w:tcW w:w="3415" w:type="pct"/>
                </w:tcPr>
                <w:p w14:paraId="1CEB54ED" w14:textId="2C703528" w:rsidR="00342ED7" w:rsidRPr="00803736" w:rsidRDefault="00342ED7" w:rsidP="0071077C">
                  <w:pPr>
                    <w:pStyle w:val="NormalWeb"/>
                    <w:spacing w:before="0" w:beforeAutospacing="0" w:after="0" w:afterAutospacing="0" w:line="240" w:lineRule="auto"/>
                    <w:rPr>
                      <w:color w:val="000000" w:themeColor="text1"/>
                      <w:szCs w:val="20"/>
                      <w:lang w:val="en-US" w:eastAsia="en-US" w:bidi="en-US"/>
                    </w:rPr>
                  </w:pPr>
                  <w:r w:rsidRPr="0071077C">
                    <w:rPr>
                      <w:szCs w:val="20"/>
                      <w:lang w:val="en-US"/>
                    </w:rPr>
                    <w:t xml:space="preserve">A randomized, </w:t>
                  </w:r>
                  <w:proofErr w:type="spellStart"/>
                  <w:r w:rsidRPr="0071077C">
                    <w:rPr>
                      <w:szCs w:val="20"/>
                      <w:lang w:val="en-US"/>
                    </w:rPr>
                    <w:t>multicentre</w:t>
                  </w:r>
                  <w:proofErr w:type="spellEnd"/>
                  <w:r w:rsidRPr="0071077C">
                    <w:rPr>
                      <w:szCs w:val="20"/>
                      <w:lang w:val="en-US"/>
                    </w:rPr>
                    <w:t xml:space="preserve">, open-label, phase II trial to evaluate the efficacy and safety of </w:t>
                  </w:r>
                  <w:proofErr w:type="spellStart"/>
                  <w:r w:rsidRPr="0071077C">
                    <w:rPr>
                      <w:szCs w:val="20"/>
                      <w:lang w:val="en-US"/>
                    </w:rPr>
                    <w:t>palbociclib</w:t>
                  </w:r>
                  <w:proofErr w:type="spellEnd"/>
                  <w:r w:rsidRPr="0071077C">
                    <w:rPr>
                      <w:szCs w:val="20"/>
                      <w:lang w:val="en-US"/>
                    </w:rPr>
                    <w:t xml:space="preserve"> in combination with </w:t>
                  </w:r>
                  <w:proofErr w:type="spellStart"/>
                  <w:r w:rsidRPr="0071077C">
                    <w:rPr>
                      <w:szCs w:val="20"/>
                      <w:lang w:val="en-US"/>
                    </w:rPr>
                    <w:t>fulvestrant</w:t>
                  </w:r>
                  <w:proofErr w:type="spellEnd"/>
                  <w:r w:rsidRPr="0071077C">
                    <w:rPr>
                      <w:szCs w:val="20"/>
                      <w:lang w:val="en-US"/>
                    </w:rPr>
                    <w:t xml:space="preserve"> or letrozole in patients with HER2 negative, ER+ metastatic breast cancer. (PARSIFAL)</w:t>
                  </w:r>
                </w:p>
              </w:tc>
            </w:tr>
            <w:tr w:rsidR="0078323E" w:rsidRPr="00803736" w14:paraId="41B06CAB" w14:textId="77777777" w:rsidTr="0078323E">
              <w:trPr>
                <w:trHeight w:val="99"/>
              </w:trPr>
              <w:tc>
                <w:tcPr>
                  <w:tcW w:w="1585" w:type="pct"/>
                </w:tcPr>
                <w:p w14:paraId="44D899B4" w14:textId="5535856E" w:rsidR="00342ED7" w:rsidRPr="00803736" w:rsidRDefault="00821749" w:rsidP="0071077C">
                  <w:pPr>
                    <w:pStyle w:val="NormalWeb"/>
                    <w:spacing w:before="0" w:beforeAutospacing="0" w:after="0" w:afterAutospacing="0" w:line="240" w:lineRule="auto"/>
                    <w:rPr>
                      <w:b/>
                      <w:color w:val="000000" w:themeColor="text1"/>
                      <w:szCs w:val="20"/>
                      <w:lang w:val="en-US" w:eastAsia="en-US" w:bidi="en-US"/>
                    </w:rPr>
                  </w:pPr>
                  <w:r>
                    <w:rPr>
                      <w:b/>
                      <w:color w:val="000000" w:themeColor="text1"/>
                      <w:szCs w:val="20"/>
                      <w:lang w:val="en-US" w:eastAsia="en-US" w:bidi="en-US"/>
                    </w:rPr>
                    <w:t xml:space="preserve">Protocol </w:t>
                  </w:r>
                  <w:r w:rsidR="00342ED7" w:rsidRPr="00803736">
                    <w:rPr>
                      <w:b/>
                      <w:color w:val="000000" w:themeColor="text1"/>
                      <w:szCs w:val="20"/>
                      <w:lang w:val="en-US" w:eastAsia="en-US" w:bidi="en-US"/>
                    </w:rPr>
                    <w:t>Code:</w:t>
                  </w:r>
                </w:p>
              </w:tc>
              <w:tc>
                <w:tcPr>
                  <w:tcW w:w="3415" w:type="pct"/>
                </w:tcPr>
                <w:p w14:paraId="448D5CFE" w14:textId="45C7260B" w:rsidR="00342ED7" w:rsidRPr="00803736" w:rsidRDefault="00342ED7" w:rsidP="0071077C">
                  <w:pPr>
                    <w:pStyle w:val="NormalWeb"/>
                    <w:spacing w:before="0" w:beforeAutospacing="0" w:after="0" w:afterAutospacing="0" w:line="240" w:lineRule="auto"/>
                    <w:rPr>
                      <w:color w:val="000000" w:themeColor="text1"/>
                      <w:szCs w:val="20"/>
                      <w:lang w:val="en-US" w:eastAsia="en-US" w:bidi="en-US"/>
                    </w:rPr>
                  </w:pPr>
                  <w:r w:rsidRPr="00803736">
                    <w:rPr>
                      <w:color w:val="000000" w:themeColor="text1"/>
                      <w:szCs w:val="20"/>
                      <w:lang w:val="en-US" w:eastAsia="en-US" w:bidi="en-US"/>
                    </w:rPr>
                    <w:t>MedOPP067_PARSIFAL</w:t>
                  </w:r>
                </w:p>
              </w:tc>
            </w:tr>
            <w:tr w:rsidR="0078323E" w:rsidRPr="00803736" w14:paraId="60299D2E" w14:textId="77777777" w:rsidTr="0078323E">
              <w:trPr>
                <w:trHeight w:val="99"/>
              </w:trPr>
              <w:tc>
                <w:tcPr>
                  <w:tcW w:w="1585" w:type="pct"/>
                </w:tcPr>
                <w:p w14:paraId="5C91E699" w14:textId="77777777" w:rsidR="00342ED7" w:rsidRPr="0071077C" w:rsidRDefault="00342ED7" w:rsidP="0071077C">
                  <w:pPr>
                    <w:spacing w:after="0" w:line="240" w:lineRule="auto"/>
                    <w:rPr>
                      <w:b/>
                      <w:bCs/>
                    </w:rPr>
                  </w:pPr>
                  <w:r w:rsidRPr="0071077C">
                    <w:rPr>
                      <w:b/>
                      <w:bCs/>
                    </w:rPr>
                    <w:t>ClinicalTrials.gov#:</w:t>
                  </w:r>
                </w:p>
              </w:tc>
              <w:tc>
                <w:tcPr>
                  <w:tcW w:w="3415" w:type="pct"/>
                </w:tcPr>
                <w:p w14:paraId="64485E69" w14:textId="5549185D" w:rsidR="00342ED7" w:rsidRPr="00803736" w:rsidRDefault="00342ED7" w:rsidP="0071077C">
                  <w:pPr>
                    <w:spacing w:after="0" w:line="240" w:lineRule="auto"/>
                  </w:pPr>
                  <w:r w:rsidRPr="0071077C">
                    <w:t>NCT02491983</w:t>
                  </w:r>
                </w:p>
              </w:tc>
            </w:tr>
            <w:tr w:rsidR="0078323E" w:rsidRPr="00803736" w14:paraId="3F013284" w14:textId="77777777" w:rsidTr="0078323E">
              <w:trPr>
                <w:trHeight w:val="99"/>
              </w:trPr>
              <w:tc>
                <w:tcPr>
                  <w:tcW w:w="1585" w:type="pct"/>
                </w:tcPr>
                <w:p w14:paraId="65C5FD73" w14:textId="77777777" w:rsidR="00342ED7" w:rsidRPr="00803736" w:rsidRDefault="00342ED7" w:rsidP="0071077C">
                  <w:pPr>
                    <w:pStyle w:val="NormalWeb"/>
                    <w:spacing w:before="0" w:beforeAutospacing="0" w:after="0" w:afterAutospacing="0" w:line="240" w:lineRule="auto"/>
                    <w:rPr>
                      <w:b/>
                      <w:color w:val="000000" w:themeColor="text1"/>
                      <w:szCs w:val="20"/>
                      <w:lang w:val="en-US" w:eastAsia="en-US" w:bidi="en-US"/>
                    </w:rPr>
                  </w:pPr>
                  <w:r w:rsidRPr="00803736">
                    <w:rPr>
                      <w:b/>
                      <w:color w:val="000000" w:themeColor="text1"/>
                      <w:szCs w:val="20"/>
                      <w:lang w:val="en-US" w:eastAsia="en-US" w:bidi="en-US"/>
                    </w:rPr>
                    <w:t>Study Sponsor:</w:t>
                  </w:r>
                </w:p>
              </w:tc>
              <w:tc>
                <w:tcPr>
                  <w:tcW w:w="3415" w:type="pct"/>
                </w:tcPr>
                <w:p w14:paraId="77990C07" w14:textId="77777777" w:rsidR="00342ED7" w:rsidRPr="00803736" w:rsidRDefault="00342ED7" w:rsidP="0071077C">
                  <w:pPr>
                    <w:pStyle w:val="Encabezado"/>
                    <w:tabs>
                      <w:tab w:val="left" w:pos="1080"/>
                    </w:tabs>
                    <w:spacing w:after="0"/>
                    <w:rPr>
                      <w:rFonts w:ascii="Arial" w:hAnsi="Arial" w:cs="Arial"/>
                      <w:color w:val="000000" w:themeColor="text1"/>
                      <w:sz w:val="20"/>
                      <w:lang w:bidi="en-US"/>
                    </w:rPr>
                  </w:pPr>
                  <w:r w:rsidRPr="00803736">
                    <w:rPr>
                      <w:rFonts w:ascii="Arial" w:hAnsi="Arial" w:cs="Arial"/>
                      <w:color w:val="000000" w:themeColor="text1"/>
                      <w:sz w:val="20"/>
                      <w:lang w:bidi="en-US"/>
                    </w:rPr>
                    <w:t>Medica Scientia Innovation Research (</w:t>
                  </w:r>
                  <w:proofErr w:type="spellStart"/>
                  <w:r w:rsidRPr="00803736">
                    <w:rPr>
                      <w:rFonts w:ascii="Arial" w:hAnsi="Arial" w:cs="Arial"/>
                      <w:color w:val="000000" w:themeColor="text1"/>
                      <w:sz w:val="20"/>
                      <w:lang w:bidi="en-US"/>
                    </w:rPr>
                    <w:t>MedSIR</w:t>
                  </w:r>
                  <w:proofErr w:type="spellEnd"/>
                  <w:r w:rsidRPr="00803736">
                    <w:rPr>
                      <w:rFonts w:ascii="Arial" w:hAnsi="Arial" w:cs="Arial"/>
                      <w:color w:val="000000" w:themeColor="text1"/>
                      <w:sz w:val="20"/>
                      <w:lang w:bidi="en-US"/>
                    </w:rPr>
                    <w:t>)</w:t>
                  </w:r>
                </w:p>
              </w:tc>
            </w:tr>
            <w:tr w:rsidR="0078323E" w:rsidRPr="00673269" w14:paraId="3525A5F8" w14:textId="77777777" w:rsidTr="0078323E">
              <w:trPr>
                <w:trHeight w:val="99"/>
              </w:trPr>
              <w:tc>
                <w:tcPr>
                  <w:tcW w:w="1585" w:type="pct"/>
                </w:tcPr>
                <w:p w14:paraId="5A0D276E" w14:textId="776F22A8" w:rsidR="00342ED7" w:rsidRPr="00803736" w:rsidRDefault="00342ED7" w:rsidP="0071077C">
                  <w:pPr>
                    <w:pStyle w:val="NormalWeb"/>
                    <w:spacing w:before="0" w:beforeAutospacing="0" w:after="0" w:afterAutospacing="0" w:line="240" w:lineRule="auto"/>
                    <w:rPr>
                      <w:b/>
                      <w:color w:val="000000" w:themeColor="text1"/>
                      <w:szCs w:val="20"/>
                      <w:lang w:val="en-US" w:eastAsia="en-US" w:bidi="en-US"/>
                    </w:rPr>
                  </w:pPr>
                </w:p>
              </w:tc>
              <w:tc>
                <w:tcPr>
                  <w:tcW w:w="3415" w:type="pct"/>
                </w:tcPr>
                <w:p w14:paraId="388A3710" w14:textId="5C9CE121" w:rsidR="00342ED7" w:rsidRPr="0071077C" w:rsidRDefault="00342ED7" w:rsidP="0078323E">
                  <w:pPr>
                    <w:pStyle w:val="Encabezado"/>
                    <w:tabs>
                      <w:tab w:val="left" w:pos="1080"/>
                    </w:tabs>
                    <w:spacing w:after="0"/>
                    <w:rPr>
                      <w:rStyle w:val="Nmerodepgina"/>
                      <w:rFonts w:ascii="Arial" w:hAnsi="Arial" w:cs="Arial"/>
                      <w:color w:val="000000" w:themeColor="text1"/>
                      <w:lang w:val="es-ES" w:bidi="en-US"/>
                    </w:rPr>
                  </w:pPr>
                  <w:r w:rsidRPr="0071077C">
                    <w:rPr>
                      <w:rStyle w:val="Nmerodepgina"/>
                      <w:rFonts w:ascii="Arial" w:hAnsi="Arial" w:cs="Arial"/>
                      <w:color w:val="000000" w:themeColor="text1"/>
                      <w:lang w:val="es-ES" w:bidi="en-US"/>
                    </w:rPr>
                    <w:t xml:space="preserve">Alicia García Sanz, </w:t>
                  </w:r>
                  <w:proofErr w:type="spellStart"/>
                  <w:r w:rsidRPr="0071077C">
                    <w:rPr>
                      <w:rStyle w:val="Nmerodepgina"/>
                      <w:rFonts w:ascii="Arial" w:hAnsi="Arial" w:cs="Arial"/>
                      <w:i/>
                      <w:color w:val="000000" w:themeColor="text1"/>
                      <w:lang w:val="es-ES" w:bidi="en-US"/>
                    </w:rPr>
                    <w:t>Ph.D</w:t>
                  </w:r>
                  <w:proofErr w:type="spellEnd"/>
                  <w:r w:rsidRPr="0071077C">
                    <w:rPr>
                      <w:rStyle w:val="Nmerodepgina"/>
                      <w:rFonts w:ascii="Arial" w:hAnsi="Arial" w:cs="Arial"/>
                      <w:i/>
                      <w:color w:val="000000" w:themeColor="text1"/>
                      <w:lang w:val="es-ES" w:bidi="en-US"/>
                    </w:rPr>
                    <w:t>.</w:t>
                  </w:r>
                  <w:r w:rsidR="0054549A">
                    <w:rPr>
                      <w:rStyle w:val="Nmerodepgina"/>
                      <w:rFonts w:ascii="Arial" w:hAnsi="Arial" w:cs="Arial"/>
                      <w:color w:val="000000" w:themeColor="text1"/>
                      <w:lang w:val="es-ES" w:bidi="en-US"/>
                    </w:rPr>
                    <w:t xml:space="preserve"> </w:t>
                  </w:r>
                  <w:r w:rsidRPr="0071077C">
                    <w:rPr>
                      <w:rStyle w:val="Nmerodepgina"/>
                      <w:rFonts w:ascii="Arial" w:hAnsi="Arial" w:cs="Arial"/>
                      <w:color w:val="000000" w:themeColor="text1"/>
                      <w:lang w:val="es-ES" w:bidi="en-US"/>
                    </w:rPr>
                    <w:t>(</w:t>
                  </w:r>
                  <w:proofErr w:type="spellStart"/>
                  <w:r w:rsidR="0078323E" w:rsidRPr="0071077C">
                    <w:rPr>
                      <w:rStyle w:val="Nmerodepgina"/>
                      <w:rFonts w:ascii="Arial" w:hAnsi="Arial" w:cs="Arial"/>
                      <w:i/>
                      <w:color w:val="000000" w:themeColor="text1"/>
                      <w:lang w:val="es-ES" w:bidi="en-US"/>
                    </w:rPr>
                    <w:t>Scientific</w:t>
                  </w:r>
                  <w:proofErr w:type="spellEnd"/>
                  <w:r w:rsidR="0054549A">
                    <w:rPr>
                      <w:rStyle w:val="Nmerodepgina"/>
                      <w:rFonts w:ascii="Arial" w:hAnsi="Arial" w:cs="Arial"/>
                      <w:i/>
                      <w:color w:val="000000" w:themeColor="text1"/>
                      <w:lang w:val="es-ES" w:bidi="en-US"/>
                    </w:rPr>
                    <w:t xml:space="preserve"> </w:t>
                  </w:r>
                  <w:proofErr w:type="gramStart"/>
                  <w:r w:rsidRPr="0071077C">
                    <w:rPr>
                      <w:rStyle w:val="Nmerodepgina"/>
                      <w:rFonts w:ascii="Arial" w:hAnsi="Arial" w:cs="Arial"/>
                      <w:i/>
                      <w:color w:val="000000" w:themeColor="text1"/>
                      <w:lang w:val="es-ES" w:bidi="en-US"/>
                    </w:rPr>
                    <w:t>Director</w:t>
                  </w:r>
                  <w:proofErr w:type="gramEnd"/>
                  <w:r w:rsidRPr="0071077C">
                    <w:rPr>
                      <w:rStyle w:val="Nmerodepgina"/>
                      <w:rFonts w:ascii="Arial" w:hAnsi="Arial" w:cs="Arial"/>
                      <w:color w:val="000000" w:themeColor="text1"/>
                      <w:lang w:val="es-ES" w:bidi="en-US"/>
                    </w:rPr>
                    <w:t>)</w:t>
                  </w:r>
                </w:p>
                <w:p w14:paraId="4BFFC617" w14:textId="1E9D212A" w:rsidR="0078323E" w:rsidRPr="0071077C" w:rsidRDefault="0078323E" w:rsidP="0078323E">
                  <w:pPr>
                    <w:pStyle w:val="Encabezado"/>
                    <w:tabs>
                      <w:tab w:val="left" w:pos="1080"/>
                    </w:tabs>
                    <w:spacing w:after="0"/>
                    <w:rPr>
                      <w:rFonts w:ascii="Arial" w:hAnsi="Arial" w:cs="Arial"/>
                      <w:color w:val="000000" w:themeColor="text1"/>
                      <w:sz w:val="20"/>
                      <w:lang w:val="es-ES" w:bidi="en-US"/>
                    </w:rPr>
                  </w:pPr>
                  <w:r w:rsidRPr="0071077C">
                    <w:rPr>
                      <w:rFonts w:ascii="Arial" w:hAnsi="Arial" w:cs="Arial"/>
                      <w:color w:val="000000" w:themeColor="text1"/>
                      <w:sz w:val="20"/>
                      <w:lang w:val="es-ES" w:bidi="en-US"/>
                    </w:rPr>
                    <w:t xml:space="preserve">Torre </w:t>
                  </w:r>
                  <w:proofErr w:type="spellStart"/>
                  <w:r w:rsidRPr="0071077C">
                    <w:rPr>
                      <w:rFonts w:ascii="Arial" w:hAnsi="Arial" w:cs="Arial"/>
                      <w:color w:val="000000" w:themeColor="text1"/>
                      <w:sz w:val="20"/>
                      <w:lang w:val="es-ES" w:bidi="en-US"/>
                    </w:rPr>
                    <w:t>Glòries</w:t>
                  </w:r>
                  <w:proofErr w:type="spellEnd"/>
                  <w:r w:rsidRPr="0071077C">
                    <w:rPr>
                      <w:rFonts w:ascii="Arial" w:hAnsi="Arial" w:cs="Arial"/>
                      <w:color w:val="000000" w:themeColor="text1"/>
                      <w:sz w:val="20"/>
                      <w:lang w:val="es-ES" w:bidi="en-US"/>
                    </w:rPr>
                    <w:t>. Av. Diagonal, 211 Planta 27. 08018</w:t>
                  </w:r>
                  <w:r w:rsidR="00803736" w:rsidRPr="0071077C">
                    <w:rPr>
                      <w:rFonts w:ascii="Arial" w:hAnsi="Arial" w:cs="Arial"/>
                      <w:color w:val="000000" w:themeColor="text1"/>
                      <w:sz w:val="20"/>
                      <w:lang w:val="es-ES" w:bidi="en-US"/>
                    </w:rPr>
                    <w:t xml:space="preserve"> </w:t>
                  </w:r>
                  <w:r w:rsidRPr="0071077C">
                    <w:rPr>
                      <w:rFonts w:ascii="Arial" w:hAnsi="Arial" w:cs="Arial"/>
                      <w:color w:val="000000" w:themeColor="text1"/>
                      <w:sz w:val="20"/>
                      <w:lang w:val="es-ES" w:bidi="en-US"/>
                    </w:rPr>
                    <w:t>Barcelona (</w:t>
                  </w:r>
                  <w:proofErr w:type="spellStart"/>
                  <w:r w:rsidRPr="0071077C">
                    <w:rPr>
                      <w:rFonts w:ascii="Arial" w:hAnsi="Arial" w:cs="Arial"/>
                      <w:color w:val="000000" w:themeColor="text1"/>
                      <w:sz w:val="20"/>
                      <w:lang w:val="es-ES" w:bidi="en-US"/>
                    </w:rPr>
                    <w:t>Spain</w:t>
                  </w:r>
                  <w:proofErr w:type="spellEnd"/>
                  <w:r w:rsidRPr="00DD0117">
                    <w:rPr>
                      <w:rFonts w:ascii="Arial" w:hAnsi="Arial" w:cs="Arial"/>
                      <w:color w:val="000000" w:themeColor="text1"/>
                      <w:sz w:val="20"/>
                      <w:lang w:val="es-ES" w:bidi="en-US"/>
                    </w:rPr>
                    <w:t>)</w:t>
                  </w:r>
                </w:p>
                <w:p w14:paraId="45AE98DA" w14:textId="2E5F3F5E" w:rsidR="0078323E" w:rsidRPr="0071077C" w:rsidRDefault="0078323E" w:rsidP="0071077C">
                  <w:pPr>
                    <w:pStyle w:val="Encabezado"/>
                    <w:tabs>
                      <w:tab w:val="left" w:pos="1080"/>
                    </w:tabs>
                    <w:spacing w:after="0"/>
                    <w:rPr>
                      <w:rFonts w:ascii="Arial" w:hAnsi="Arial" w:cs="Arial"/>
                      <w:color w:val="000000" w:themeColor="text1"/>
                      <w:sz w:val="20"/>
                      <w:lang w:val="es-ES" w:bidi="en-US"/>
                    </w:rPr>
                  </w:pPr>
                  <w:r w:rsidRPr="0071077C">
                    <w:rPr>
                      <w:rStyle w:val="Nmerodepgina"/>
                      <w:rFonts w:ascii="Arial" w:hAnsi="Arial" w:cs="Arial"/>
                      <w:color w:val="000000" w:themeColor="text1"/>
                      <w:lang w:val="es-ES" w:bidi="en-US"/>
                    </w:rPr>
                    <w:t>alicia.garcia@medsir.org</w:t>
                  </w:r>
                </w:p>
              </w:tc>
            </w:tr>
            <w:tr w:rsidR="0078323E" w:rsidRPr="00673269" w14:paraId="24DDE971" w14:textId="77777777" w:rsidTr="0078323E">
              <w:trPr>
                <w:trHeight w:val="397"/>
              </w:trPr>
              <w:tc>
                <w:tcPr>
                  <w:tcW w:w="1585" w:type="pct"/>
                </w:tcPr>
                <w:p w14:paraId="63AC7FE1" w14:textId="4236098A" w:rsidR="00342ED7" w:rsidRPr="00803736" w:rsidRDefault="00342ED7" w:rsidP="0071077C">
                  <w:pPr>
                    <w:pStyle w:val="Encabezado"/>
                    <w:spacing w:after="0"/>
                    <w:rPr>
                      <w:rFonts w:ascii="Arial" w:hAnsi="Arial" w:cs="Arial"/>
                      <w:color w:val="000000" w:themeColor="text1"/>
                      <w:sz w:val="20"/>
                      <w:lang w:bidi="en-US"/>
                    </w:rPr>
                  </w:pPr>
                  <w:r w:rsidRPr="00803736">
                    <w:rPr>
                      <w:rFonts w:ascii="Arial" w:hAnsi="Arial" w:cs="Arial"/>
                      <w:b/>
                      <w:color w:val="000000" w:themeColor="text1"/>
                      <w:sz w:val="20"/>
                      <w:lang w:bidi="en-US"/>
                    </w:rPr>
                    <w:t>Principal Investigato</w:t>
                  </w:r>
                  <w:r w:rsidR="00803736" w:rsidRPr="00803736">
                    <w:rPr>
                      <w:rFonts w:ascii="Arial" w:hAnsi="Arial" w:cs="Arial"/>
                      <w:b/>
                      <w:color w:val="000000" w:themeColor="text1"/>
                      <w:sz w:val="20"/>
                      <w:lang w:bidi="en-US"/>
                    </w:rPr>
                    <w:t>r:</w:t>
                  </w:r>
                </w:p>
              </w:tc>
              <w:tc>
                <w:tcPr>
                  <w:tcW w:w="3415" w:type="pct"/>
                </w:tcPr>
                <w:p w14:paraId="29186DFD" w14:textId="63A61717" w:rsidR="00342ED7" w:rsidRPr="00DD0117" w:rsidRDefault="00342ED7" w:rsidP="0071077C">
                  <w:pPr>
                    <w:spacing w:after="0" w:line="240" w:lineRule="auto"/>
                    <w:rPr>
                      <w:i/>
                      <w:color w:val="000000"/>
                    </w:rPr>
                  </w:pPr>
                  <w:r w:rsidRPr="00DD0117">
                    <w:rPr>
                      <w:color w:val="000000"/>
                    </w:rPr>
                    <w:t xml:space="preserve">Antonio </w:t>
                  </w:r>
                  <w:proofErr w:type="spellStart"/>
                  <w:r w:rsidRPr="00DD0117">
                    <w:rPr>
                      <w:color w:val="000000"/>
                    </w:rPr>
                    <w:t>Llombart</w:t>
                  </w:r>
                  <w:r w:rsidR="00803736" w:rsidRPr="00DD0117">
                    <w:rPr>
                      <w:color w:val="000000"/>
                    </w:rPr>
                    <w:t>-Cussac</w:t>
                  </w:r>
                  <w:proofErr w:type="spellEnd"/>
                  <w:r w:rsidRPr="00DD0117">
                    <w:rPr>
                      <w:color w:val="000000"/>
                    </w:rPr>
                    <w:t xml:space="preserve">, </w:t>
                  </w:r>
                  <w:r w:rsidRPr="00DD0117">
                    <w:rPr>
                      <w:i/>
                      <w:color w:val="000000"/>
                    </w:rPr>
                    <w:t>MD, PhD</w:t>
                  </w:r>
                </w:p>
                <w:p w14:paraId="03770CBF" w14:textId="47EB4DE7" w:rsidR="00342ED7" w:rsidRPr="00803736" w:rsidRDefault="00342ED7" w:rsidP="0071077C">
                  <w:pPr>
                    <w:spacing w:after="0" w:line="240" w:lineRule="auto"/>
                    <w:rPr>
                      <w:color w:val="000000"/>
                    </w:rPr>
                  </w:pPr>
                  <w:r w:rsidRPr="00803736">
                    <w:rPr>
                      <w:color w:val="000000"/>
                    </w:rPr>
                    <w:t>Medical Oncologist. Chief of Oncology Department</w:t>
                  </w:r>
                </w:p>
                <w:p w14:paraId="43E2CB20" w14:textId="3FA3B0B3" w:rsidR="00342ED7" w:rsidRPr="0071077C" w:rsidRDefault="00342ED7" w:rsidP="0071077C">
                  <w:pPr>
                    <w:spacing w:after="0" w:line="240" w:lineRule="auto"/>
                    <w:rPr>
                      <w:color w:val="000000"/>
                      <w:lang w:val="es-ES"/>
                    </w:rPr>
                  </w:pPr>
                  <w:r w:rsidRPr="0071077C">
                    <w:rPr>
                      <w:color w:val="000000"/>
                      <w:lang w:val="es-ES"/>
                    </w:rPr>
                    <w:t xml:space="preserve">Arnau de </w:t>
                  </w:r>
                  <w:proofErr w:type="spellStart"/>
                  <w:r w:rsidRPr="0071077C">
                    <w:rPr>
                      <w:color w:val="000000"/>
                      <w:lang w:val="es-ES"/>
                    </w:rPr>
                    <w:t>Vilanova</w:t>
                  </w:r>
                  <w:proofErr w:type="spellEnd"/>
                  <w:r w:rsidRPr="0071077C">
                    <w:rPr>
                      <w:color w:val="000000"/>
                      <w:lang w:val="es-ES"/>
                    </w:rPr>
                    <w:t xml:space="preserve"> Hospital, Valencia (</w:t>
                  </w:r>
                  <w:proofErr w:type="spellStart"/>
                  <w:r w:rsidRPr="0071077C">
                    <w:rPr>
                      <w:color w:val="000000"/>
                      <w:lang w:val="es-ES"/>
                    </w:rPr>
                    <w:t>Spain</w:t>
                  </w:r>
                  <w:proofErr w:type="spellEnd"/>
                  <w:r w:rsidRPr="0071077C">
                    <w:rPr>
                      <w:color w:val="000000"/>
                      <w:lang w:val="es-ES"/>
                    </w:rPr>
                    <w:t>)</w:t>
                  </w:r>
                </w:p>
              </w:tc>
            </w:tr>
            <w:tr w:rsidR="00803736" w:rsidRPr="00803736" w14:paraId="40DC3D14" w14:textId="77777777" w:rsidTr="0078323E">
              <w:trPr>
                <w:trHeight w:val="397"/>
              </w:trPr>
              <w:tc>
                <w:tcPr>
                  <w:tcW w:w="1585" w:type="pct"/>
                </w:tcPr>
                <w:p w14:paraId="0AF6820F" w14:textId="4E8D88DA" w:rsidR="00803736" w:rsidRPr="00803736" w:rsidRDefault="00803736" w:rsidP="0078323E">
                  <w:pPr>
                    <w:pStyle w:val="Encabezado"/>
                    <w:spacing w:after="0"/>
                    <w:rPr>
                      <w:rFonts w:ascii="Arial" w:hAnsi="Arial" w:cs="Arial"/>
                      <w:b/>
                      <w:color w:val="000000" w:themeColor="text1"/>
                      <w:sz w:val="20"/>
                      <w:lang w:bidi="en-US"/>
                    </w:rPr>
                  </w:pPr>
                  <w:r w:rsidRPr="0071077C">
                    <w:rPr>
                      <w:rFonts w:ascii="Arial" w:hAnsi="Arial" w:cs="Arial"/>
                      <w:b/>
                      <w:color w:val="000000"/>
                      <w:sz w:val="20"/>
                    </w:rPr>
                    <w:t>Scientific Global Coordinator:</w:t>
                  </w:r>
                </w:p>
              </w:tc>
              <w:tc>
                <w:tcPr>
                  <w:tcW w:w="3415" w:type="pct"/>
                </w:tcPr>
                <w:p w14:paraId="113B8071" w14:textId="77777777" w:rsidR="00803736" w:rsidRPr="00803736" w:rsidRDefault="00803736" w:rsidP="00803736">
                  <w:pPr>
                    <w:spacing w:after="0" w:line="240" w:lineRule="auto"/>
                    <w:rPr>
                      <w:color w:val="000000"/>
                    </w:rPr>
                  </w:pPr>
                  <w:r w:rsidRPr="00803736">
                    <w:rPr>
                      <w:color w:val="000000"/>
                    </w:rPr>
                    <w:t xml:space="preserve">Javier Cortés, </w:t>
                  </w:r>
                  <w:r w:rsidRPr="00803736">
                    <w:rPr>
                      <w:i/>
                      <w:color w:val="000000"/>
                    </w:rPr>
                    <w:t>MD, PhD</w:t>
                  </w:r>
                </w:p>
                <w:p w14:paraId="32BB2A8C" w14:textId="77777777" w:rsidR="00803736" w:rsidRPr="00803736" w:rsidRDefault="00803736" w:rsidP="00803736">
                  <w:pPr>
                    <w:spacing w:after="0" w:line="240" w:lineRule="auto"/>
                    <w:rPr>
                      <w:color w:val="000000"/>
                    </w:rPr>
                  </w:pPr>
                  <w:r w:rsidRPr="00803736">
                    <w:rPr>
                      <w:color w:val="000000"/>
                    </w:rPr>
                    <w:t>Medical Oncologist. Chief of Breast and Gynecological Cancer Unit</w:t>
                  </w:r>
                </w:p>
                <w:p w14:paraId="2DE838EA" w14:textId="71BEBFDD" w:rsidR="00803736" w:rsidRPr="00803736" w:rsidRDefault="00803736" w:rsidP="00B372B3">
                  <w:pPr>
                    <w:spacing w:after="0" w:line="240" w:lineRule="auto"/>
                    <w:rPr>
                      <w:color w:val="000000"/>
                    </w:rPr>
                  </w:pPr>
                  <w:r w:rsidRPr="00803736">
                    <w:rPr>
                      <w:color w:val="000000"/>
                    </w:rPr>
                    <w:t xml:space="preserve">IOB Institute of Oncology, </w:t>
                  </w:r>
                  <w:proofErr w:type="spellStart"/>
                  <w:r w:rsidRPr="00803736">
                    <w:rPr>
                      <w:color w:val="000000"/>
                    </w:rPr>
                    <w:t>Quiron</w:t>
                  </w:r>
                  <w:proofErr w:type="spellEnd"/>
                  <w:r w:rsidR="00B372B3">
                    <w:rPr>
                      <w:color w:val="000000"/>
                    </w:rPr>
                    <w:t xml:space="preserve"> </w:t>
                  </w:r>
                  <w:proofErr w:type="spellStart"/>
                  <w:r w:rsidR="00B372B3">
                    <w:rPr>
                      <w:color w:val="000000"/>
                    </w:rPr>
                    <w:t>S</w:t>
                  </w:r>
                  <w:r w:rsidRPr="00803736">
                    <w:rPr>
                      <w:color w:val="000000"/>
                    </w:rPr>
                    <w:t>alud</w:t>
                  </w:r>
                  <w:proofErr w:type="spellEnd"/>
                  <w:r w:rsidRPr="00803736">
                    <w:rPr>
                      <w:color w:val="000000"/>
                    </w:rPr>
                    <w:t xml:space="preserve"> Group, Madrid &amp; Barcelona</w:t>
                  </w:r>
                </w:p>
              </w:tc>
            </w:tr>
            <w:tr w:rsidR="0078323E" w:rsidRPr="00803736" w14:paraId="6A1DDE36" w14:textId="77777777" w:rsidTr="0078323E">
              <w:trPr>
                <w:trHeight w:val="397"/>
              </w:trPr>
              <w:tc>
                <w:tcPr>
                  <w:tcW w:w="1585" w:type="pct"/>
                </w:tcPr>
                <w:p w14:paraId="3FCB085A" w14:textId="77777777" w:rsidR="00342ED7" w:rsidRPr="00803736" w:rsidRDefault="00342ED7" w:rsidP="0071077C">
                  <w:pPr>
                    <w:pStyle w:val="Encabezado"/>
                    <w:spacing w:after="0"/>
                    <w:rPr>
                      <w:rFonts w:ascii="Arial" w:hAnsi="Arial" w:cs="Arial"/>
                      <w:b/>
                      <w:color w:val="000000" w:themeColor="text1"/>
                      <w:sz w:val="20"/>
                      <w:lang w:bidi="en-US"/>
                    </w:rPr>
                  </w:pPr>
                  <w:r w:rsidRPr="00803736">
                    <w:rPr>
                      <w:rFonts w:ascii="Arial" w:hAnsi="Arial" w:cs="Arial"/>
                      <w:b/>
                      <w:color w:val="000000" w:themeColor="text1"/>
                      <w:sz w:val="20"/>
                      <w:lang w:bidi="en-US"/>
                    </w:rPr>
                    <w:t>Source of Financing:</w:t>
                  </w:r>
                </w:p>
              </w:tc>
              <w:tc>
                <w:tcPr>
                  <w:tcW w:w="3415" w:type="pct"/>
                </w:tcPr>
                <w:p w14:paraId="50B95494" w14:textId="3C400F40" w:rsidR="00342ED7" w:rsidRPr="00803736" w:rsidRDefault="00342ED7" w:rsidP="0071077C">
                  <w:pPr>
                    <w:pStyle w:val="Encabezado"/>
                    <w:spacing w:after="0"/>
                    <w:rPr>
                      <w:rStyle w:val="Nmerodepgina"/>
                      <w:rFonts w:ascii="Arial" w:hAnsi="Arial" w:cs="Arial"/>
                      <w:color w:val="000000" w:themeColor="text1"/>
                      <w:lang w:bidi="en-US"/>
                    </w:rPr>
                  </w:pPr>
                  <w:r w:rsidRPr="00803736">
                    <w:rPr>
                      <w:rFonts w:ascii="Arial" w:hAnsi="Arial" w:cs="Arial"/>
                      <w:color w:val="000000" w:themeColor="text1"/>
                      <w:sz w:val="20"/>
                      <w:lang w:bidi="en-US"/>
                    </w:rPr>
                    <w:t>Pfizer</w:t>
                  </w:r>
                </w:p>
              </w:tc>
            </w:tr>
          </w:tbl>
          <w:p w14:paraId="36548260" w14:textId="77777777" w:rsidR="00977932" w:rsidRPr="004F0FE2" w:rsidRDefault="00977932" w:rsidP="0071077C">
            <w:pPr>
              <w:rPr>
                <w:b/>
              </w:rPr>
            </w:pPr>
          </w:p>
        </w:tc>
      </w:tr>
    </w:tbl>
    <w:p w14:paraId="4E15556E" w14:textId="77777777" w:rsidR="00D53779" w:rsidRDefault="00D53779" w:rsidP="00577070">
      <w:pPr>
        <w:pStyle w:val="TitlePage"/>
        <w:rPr>
          <w:rFonts w:ascii="Arial" w:hAnsi="Arial" w:cs="Arial"/>
          <w:sz w:val="20"/>
        </w:rPr>
      </w:pPr>
    </w:p>
    <w:p w14:paraId="18C0AF9C" w14:textId="0E8637BF" w:rsidR="00977932" w:rsidRPr="004F0FE2" w:rsidRDefault="00977932" w:rsidP="00577070">
      <w:pPr>
        <w:pStyle w:val="TitlePage"/>
        <w:rPr>
          <w:rFonts w:ascii="Arial" w:hAnsi="Arial" w:cs="Arial"/>
          <w:sz w:val="20"/>
        </w:rPr>
      </w:pPr>
      <w:r w:rsidRPr="004F0FE2">
        <w:rPr>
          <w:rFonts w:ascii="Arial" w:hAnsi="Arial" w:cs="Arial"/>
          <w:sz w:val="20"/>
        </w:rPr>
        <w:t>DATE STUDY INITIATED:</w:t>
      </w:r>
    </w:p>
    <w:p w14:paraId="331DC4F8" w14:textId="2252D7B9" w:rsidR="00977932" w:rsidRPr="0071077C" w:rsidRDefault="00977932" w:rsidP="00577070">
      <w:r w:rsidRPr="0071077C">
        <w:tab/>
      </w:r>
      <w:r w:rsidR="00444CFF" w:rsidRPr="0071077C">
        <w:t>13</w:t>
      </w:r>
      <w:r w:rsidRPr="0071077C">
        <w:t>/</w:t>
      </w:r>
      <w:r w:rsidR="00444CFF" w:rsidRPr="0071077C">
        <w:t>AUG</w:t>
      </w:r>
      <w:r w:rsidRPr="0071077C">
        <w:t>/</w:t>
      </w:r>
      <w:r w:rsidR="00444CFF" w:rsidRPr="0071077C">
        <w:t>2015</w:t>
      </w:r>
    </w:p>
    <w:p w14:paraId="181A3B02" w14:textId="77777777" w:rsidR="00977932" w:rsidRPr="004F0FE2" w:rsidRDefault="00977932">
      <w:pPr>
        <w:pStyle w:val="TitlePage"/>
        <w:rPr>
          <w:rFonts w:ascii="Arial" w:hAnsi="Arial" w:cs="Arial"/>
          <w:sz w:val="20"/>
        </w:rPr>
      </w:pPr>
    </w:p>
    <w:p w14:paraId="41567832" w14:textId="77777777" w:rsidR="00977932" w:rsidRPr="004F0FE2" w:rsidRDefault="00977932" w:rsidP="00577070">
      <w:r w:rsidRPr="004F0FE2">
        <w:t>DATE STUDY COMPLETED:</w:t>
      </w:r>
    </w:p>
    <w:p w14:paraId="2D4DE00B" w14:textId="16DF4580" w:rsidR="00977932" w:rsidRPr="00C250F3" w:rsidRDefault="00977932" w:rsidP="00577070">
      <w:pPr>
        <w:rPr>
          <w:color w:val="000000" w:themeColor="text1"/>
        </w:rPr>
      </w:pPr>
      <w:r w:rsidRPr="004F0FE2">
        <w:rPr>
          <w:color w:val="FF0000"/>
        </w:rPr>
        <w:tab/>
      </w:r>
      <w:r w:rsidR="00F7796A" w:rsidRPr="00C250F3">
        <w:rPr>
          <w:color w:val="000000" w:themeColor="text1"/>
        </w:rPr>
        <w:t>31</w:t>
      </w:r>
      <w:r w:rsidRPr="00C250F3">
        <w:rPr>
          <w:color w:val="000000" w:themeColor="text1"/>
        </w:rPr>
        <w:t>/</w:t>
      </w:r>
      <w:r w:rsidR="006E4BE3">
        <w:rPr>
          <w:color w:val="000000" w:themeColor="text1"/>
        </w:rPr>
        <w:t>JAN</w:t>
      </w:r>
      <w:r w:rsidRPr="00C250F3">
        <w:rPr>
          <w:color w:val="000000" w:themeColor="text1"/>
        </w:rPr>
        <w:t>/</w:t>
      </w:r>
      <w:r w:rsidR="00F7796A" w:rsidRPr="00C250F3">
        <w:rPr>
          <w:color w:val="000000" w:themeColor="text1"/>
        </w:rPr>
        <w:t>2020</w:t>
      </w:r>
    </w:p>
    <w:p w14:paraId="1F98E395" w14:textId="70D0573D" w:rsidR="00977932" w:rsidRPr="004F0FE2" w:rsidRDefault="00977932" w:rsidP="00577070">
      <w:r w:rsidRPr="004F0FE2">
        <w:rPr>
          <w:strike/>
        </w:rPr>
        <w:fldChar w:fldCharType="begin"/>
      </w:r>
      <w:r w:rsidRPr="004F0FE2">
        <w:rPr>
          <w:strike/>
        </w:rPr>
        <w:instrText>ADVANCE \Y 573.85</w:instrText>
      </w:r>
      <w:r w:rsidRPr="004F0FE2">
        <w:rPr>
          <w:strike/>
        </w:rPr>
        <w:fldChar w:fldCharType="end"/>
      </w:r>
      <w:r w:rsidRPr="004F0FE2">
        <w:t>Issue/Report Date:</w:t>
      </w:r>
      <w:r w:rsidRPr="004F0FE2">
        <w:tab/>
      </w:r>
      <w:r w:rsidR="000A55C4">
        <w:t>01</w:t>
      </w:r>
      <w:r w:rsidRPr="00B372B3">
        <w:t>/</w:t>
      </w:r>
      <w:r w:rsidR="000A55C4">
        <w:t>OCT</w:t>
      </w:r>
      <w:r w:rsidRPr="00B372B3">
        <w:t>/</w:t>
      </w:r>
      <w:r w:rsidR="00444CFF" w:rsidRPr="00B372B3">
        <w:t>2020</w:t>
      </w:r>
      <w:r w:rsidRPr="00B372B3">
        <w:t xml:space="preserve"> </w:t>
      </w:r>
    </w:p>
    <w:p w14:paraId="475F9FF3" w14:textId="77777777" w:rsidR="00977932" w:rsidRPr="004F0FE2" w:rsidRDefault="00977932">
      <w:pPr>
        <w:pStyle w:val="TitlePage"/>
        <w:tabs>
          <w:tab w:val="left" w:pos="2160"/>
        </w:tabs>
        <w:ind w:left="2160" w:hanging="2160"/>
        <w:rPr>
          <w:rFonts w:ascii="Arial" w:hAnsi="Arial" w:cs="Arial"/>
          <w:sz w:val="20"/>
        </w:rPr>
      </w:pPr>
      <w:r w:rsidRPr="004F0FE2">
        <w:rPr>
          <w:rFonts w:ascii="Arial" w:hAnsi="Arial" w:cs="Arial"/>
          <w:sz w:val="20"/>
        </w:rPr>
        <w:tab/>
      </w:r>
    </w:p>
    <w:p w14:paraId="3A87F86E" w14:textId="77777777" w:rsidR="00977932" w:rsidRPr="004F0FE2" w:rsidRDefault="00977932">
      <w:pPr>
        <w:pStyle w:val="TitlePage"/>
        <w:rPr>
          <w:rFonts w:ascii="Arial" w:hAnsi="Arial" w:cs="Arial"/>
          <w:sz w:val="20"/>
        </w:rPr>
      </w:pPr>
    </w:p>
    <w:p w14:paraId="0D5274EC" w14:textId="77777777" w:rsidR="00977932" w:rsidRPr="004F0FE2" w:rsidRDefault="00977932">
      <w:pPr>
        <w:pStyle w:val="TitlePage"/>
        <w:rPr>
          <w:rFonts w:ascii="Arial" w:hAnsi="Arial" w:cs="Arial"/>
          <w:sz w:val="20"/>
        </w:rPr>
      </w:pPr>
      <w:r w:rsidRPr="004F0FE2">
        <w:rPr>
          <w:rFonts w:ascii="Arial" w:hAnsi="Arial" w:cs="Arial"/>
          <w:b/>
          <w:sz w:val="20"/>
        </w:rPr>
        <w:t xml:space="preserve">Compliance: </w:t>
      </w:r>
      <w:r w:rsidRPr="004F0FE2">
        <w:rPr>
          <w:rFonts w:ascii="Arial" w:hAnsi="Arial" w:cs="Arial"/>
          <w:sz w:val="20"/>
        </w:rPr>
        <w:t>The study described in this report was performed according to the principles of Good Clinical Practice (GCP).</w:t>
      </w:r>
    </w:p>
    <w:p w14:paraId="2F5C36DC" w14:textId="77777777" w:rsidR="00586F8A" w:rsidRPr="004F0FE2" w:rsidRDefault="00586F8A">
      <w:pPr>
        <w:pStyle w:val="TitlePage"/>
        <w:rPr>
          <w:rFonts w:ascii="Arial" w:hAnsi="Arial" w:cs="Arial"/>
          <w:sz w:val="20"/>
        </w:rPr>
      </w:pPr>
    </w:p>
    <w:p w14:paraId="7FB16771" w14:textId="77777777" w:rsidR="00977932" w:rsidRPr="004F0FE2" w:rsidRDefault="00977932" w:rsidP="00586F8A">
      <w:pPr>
        <w:rPr>
          <w:i/>
        </w:rPr>
      </w:pPr>
      <w:r w:rsidRPr="004F0FE2">
        <w:rPr>
          <w:i/>
          <w:u w:val="single"/>
        </w:rPr>
        <w:t>Confidentiality Statement</w:t>
      </w:r>
      <w:r w:rsidR="00586F8A" w:rsidRPr="004F0FE2">
        <w:rPr>
          <w:i/>
        </w:rPr>
        <w:t xml:space="preserve">: </w:t>
      </w:r>
      <w:r w:rsidRPr="004F0FE2">
        <w:rPr>
          <w:i/>
        </w:rPr>
        <w:t>The information in this document contains trade secrets and commercial information that are privileged or confidential and may not be disclosed unless such disclosure is required by applicable law or regulations. In any event, persons to whom the information is disclosed must be informed that the information is privileged or confidential and may not be further disclosed by them. These restrictions on disclosure will apply equally to all future information supplied to you which is indicated as privileged or confidential.</w:t>
      </w:r>
    </w:p>
    <w:p w14:paraId="53DA4BDE" w14:textId="77777777" w:rsidR="00977932" w:rsidRPr="004F0FE2" w:rsidRDefault="00977932">
      <w:pPr>
        <w:pStyle w:val="Blank"/>
        <w:rPr>
          <w:rFonts w:ascii="Arial" w:hAnsi="Arial" w:cs="Arial"/>
        </w:rPr>
        <w:sectPr w:rsidR="00977932" w:rsidRPr="004F0FE2" w:rsidSect="00D53779">
          <w:headerReference w:type="default" r:id="rId8"/>
          <w:footerReference w:type="even" r:id="rId9"/>
          <w:footerReference w:type="default" r:id="rId10"/>
          <w:pgSz w:w="12240" w:h="15840" w:code="1"/>
          <w:pgMar w:top="1152" w:right="1656" w:bottom="851" w:left="2304" w:header="1152" w:footer="735" w:gutter="0"/>
          <w:paperSrc w:first="7" w:other="7"/>
          <w:pgNumType w:start="1"/>
          <w:cols w:space="720"/>
          <w:noEndnote/>
        </w:sectPr>
      </w:pPr>
    </w:p>
    <w:p w14:paraId="789D5A30" w14:textId="3033AA01" w:rsidR="00977932" w:rsidRPr="009738C3" w:rsidRDefault="00977932">
      <w:pPr>
        <w:pStyle w:val="HeadingNoTOC"/>
        <w:rPr>
          <w:rFonts w:cs="Arial"/>
          <w:noProof w:val="0"/>
          <w:sz w:val="20"/>
          <w:u w:val="single"/>
        </w:rPr>
      </w:pPr>
      <w:r w:rsidRPr="009738C3">
        <w:rPr>
          <w:rFonts w:cs="Arial"/>
          <w:noProof w:val="0"/>
          <w:sz w:val="20"/>
          <w:u w:val="single"/>
        </w:rPr>
        <w:lastRenderedPageBreak/>
        <w:t>TABLE OF CONTENTS</w:t>
      </w:r>
      <w:r w:rsidR="00082DA7" w:rsidRPr="009738C3">
        <w:rPr>
          <w:rFonts w:cs="Arial"/>
          <w:noProof w:val="0"/>
          <w:sz w:val="20"/>
          <w:u w:val="single"/>
        </w:rPr>
        <w:t>:</w:t>
      </w:r>
    </w:p>
    <w:p w14:paraId="770155EA" w14:textId="1A8BF83D" w:rsidR="007501F4" w:rsidRDefault="00D41F59">
      <w:pPr>
        <w:pStyle w:val="TDC1"/>
        <w:rPr>
          <w:rFonts w:asciiTheme="minorHAnsi" w:eastAsiaTheme="minorEastAsia" w:hAnsiTheme="minorHAnsi" w:cstheme="minorBidi"/>
          <w:b w:val="0"/>
          <w:noProof/>
          <w:sz w:val="24"/>
          <w:szCs w:val="24"/>
          <w:lang w:val="es-ES" w:eastAsia="es-ES_tradnl"/>
        </w:rPr>
      </w:pPr>
      <w:r>
        <w:rPr>
          <w:b w:val="0"/>
          <w:sz w:val="18"/>
          <w:szCs w:val="18"/>
        </w:rPr>
        <w:fldChar w:fldCharType="begin"/>
      </w:r>
      <w:r>
        <w:rPr>
          <w:b w:val="0"/>
          <w:sz w:val="18"/>
          <w:szCs w:val="18"/>
        </w:rPr>
        <w:instrText xml:space="preserve"> TOC \o "1-3" \h \z \u </w:instrText>
      </w:r>
      <w:r>
        <w:rPr>
          <w:b w:val="0"/>
          <w:sz w:val="18"/>
          <w:szCs w:val="18"/>
        </w:rPr>
        <w:fldChar w:fldCharType="separate"/>
      </w:r>
      <w:hyperlink w:anchor="_Toc52468079" w:history="1">
        <w:r w:rsidR="007501F4" w:rsidRPr="005F78CB">
          <w:rPr>
            <w:rStyle w:val="Hipervnculo"/>
            <w:noProof/>
          </w:rPr>
          <w:t>SYNOPSIS</w:t>
        </w:r>
        <w:r w:rsidR="007501F4">
          <w:rPr>
            <w:noProof/>
            <w:webHidden/>
          </w:rPr>
          <w:tab/>
        </w:r>
        <w:r w:rsidR="007501F4">
          <w:rPr>
            <w:noProof/>
            <w:webHidden/>
          </w:rPr>
          <w:fldChar w:fldCharType="begin"/>
        </w:r>
        <w:r w:rsidR="007501F4">
          <w:rPr>
            <w:noProof/>
            <w:webHidden/>
          </w:rPr>
          <w:instrText xml:space="preserve"> PAGEREF _Toc52468079 \h </w:instrText>
        </w:r>
        <w:r w:rsidR="007501F4">
          <w:rPr>
            <w:noProof/>
            <w:webHidden/>
          </w:rPr>
        </w:r>
        <w:r w:rsidR="007501F4">
          <w:rPr>
            <w:noProof/>
            <w:webHidden/>
          </w:rPr>
          <w:fldChar w:fldCharType="separate"/>
        </w:r>
        <w:r w:rsidR="007501F4">
          <w:rPr>
            <w:noProof/>
            <w:webHidden/>
          </w:rPr>
          <w:t>6</w:t>
        </w:r>
        <w:r w:rsidR="007501F4">
          <w:rPr>
            <w:noProof/>
            <w:webHidden/>
          </w:rPr>
          <w:fldChar w:fldCharType="end"/>
        </w:r>
      </w:hyperlink>
    </w:p>
    <w:p w14:paraId="0949DCB6" w14:textId="564E9D46" w:rsidR="007501F4" w:rsidRDefault="00C65F3E">
      <w:pPr>
        <w:pStyle w:val="TDC1"/>
        <w:rPr>
          <w:rFonts w:asciiTheme="minorHAnsi" w:eastAsiaTheme="minorEastAsia" w:hAnsiTheme="minorHAnsi" w:cstheme="minorBidi"/>
          <w:b w:val="0"/>
          <w:noProof/>
          <w:sz w:val="24"/>
          <w:szCs w:val="24"/>
          <w:lang w:val="es-ES" w:eastAsia="es-ES_tradnl"/>
        </w:rPr>
      </w:pPr>
      <w:hyperlink w:anchor="_Toc52468080" w:history="1">
        <w:r w:rsidR="007501F4" w:rsidRPr="005F78CB">
          <w:rPr>
            <w:rStyle w:val="Hipervnculo"/>
            <w:noProof/>
          </w:rPr>
          <w:t>ETHICS</w:t>
        </w:r>
        <w:r w:rsidR="007501F4">
          <w:rPr>
            <w:noProof/>
            <w:webHidden/>
          </w:rPr>
          <w:tab/>
        </w:r>
        <w:r w:rsidR="007501F4">
          <w:rPr>
            <w:noProof/>
            <w:webHidden/>
          </w:rPr>
          <w:fldChar w:fldCharType="begin"/>
        </w:r>
        <w:r w:rsidR="007501F4">
          <w:rPr>
            <w:noProof/>
            <w:webHidden/>
          </w:rPr>
          <w:instrText xml:space="preserve"> PAGEREF _Toc52468080 \h </w:instrText>
        </w:r>
        <w:r w:rsidR="007501F4">
          <w:rPr>
            <w:noProof/>
            <w:webHidden/>
          </w:rPr>
        </w:r>
        <w:r w:rsidR="007501F4">
          <w:rPr>
            <w:noProof/>
            <w:webHidden/>
          </w:rPr>
          <w:fldChar w:fldCharType="separate"/>
        </w:r>
        <w:r w:rsidR="007501F4">
          <w:rPr>
            <w:noProof/>
            <w:webHidden/>
          </w:rPr>
          <w:t>11</w:t>
        </w:r>
        <w:r w:rsidR="007501F4">
          <w:rPr>
            <w:noProof/>
            <w:webHidden/>
          </w:rPr>
          <w:fldChar w:fldCharType="end"/>
        </w:r>
      </w:hyperlink>
    </w:p>
    <w:p w14:paraId="71A4D867" w14:textId="1BE54416" w:rsidR="007501F4" w:rsidRDefault="00C65F3E">
      <w:pPr>
        <w:pStyle w:val="TDC1"/>
        <w:rPr>
          <w:rFonts w:asciiTheme="minorHAnsi" w:eastAsiaTheme="minorEastAsia" w:hAnsiTheme="minorHAnsi" w:cstheme="minorBidi"/>
          <w:b w:val="0"/>
          <w:noProof/>
          <w:sz w:val="24"/>
          <w:szCs w:val="24"/>
          <w:lang w:val="es-ES" w:eastAsia="es-ES_tradnl"/>
        </w:rPr>
      </w:pPr>
      <w:hyperlink w:anchor="_Toc52468081" w:history="1">
        <w:r w:rsidR="007501F4" w:rsidRPr="005F78CB">
          <w:rPr>
            <w:rStyle w:val="Hipervnculo"/>
            <w:noProof/>
          </w:rPr>
          <w:t>INVESTIGATORS AND STUDY ADMINISTRATIVE STRUCTURE</w:t>
        </w:r>
        <w:r w:rsidR="007501F4">
          <w:rPr>
            <w:noProof/>
            <w:webHidden/>
          </w:rPr>
          <w:tab/>
        </w:r>
        <w:r w:rsidR="007501F4">
          <w:rPr>
            <w:noProof/>
            <w:webHidden/>
          </w:rPr>
          <w:fldChar w:fldCharType="begin"/>
        </w:r>
        <w:r w:rsidR="007501F4">
          <w:rPr>
            <w:noProof/>
            <w:webHidden/>
          </w:rPr>
          <w:instrText xml:space="preserve"> PAGEREF _Toc52468081 \h </w:instrText>
        </w:r>
        <w:r w:rsidR="007501F4">
          <w:rPr>
            <w:noProof/>
            <w:webHidden/>
          </w:rPr>
        </w:r>
        <w:r w:rsidR="007501F4">
          <w:rPr>
            <w:noProof/>
            <w:webHidden/>
          </w:rPr>
          <w:fldChar w:fldCharType="separate"/>
        </w:r>
        <w:r w:rsidR="007501F4">
          <w:rPr>
            <w:noProof/>
            <w:webHidden/>
          </w:rPr>
          <w:t>12</w:t>
        </w:r>
        <w:r w:rsidR="007501F4">
          <w:rPr>
            <w:noProof/>
            <w:webHidden/>
          </w:rPr>
          <w:fldChar w:fldCharType="end"/>
        </w:r>
      </w:hyperlink>
    </w:p>
    <w:p w14:paraId="5C0EE0A7" w14:textId="2F53D2A1" w:rsidR="007501F4" w:rsidRDefault="00C65F3E">
      <w:pPr>
        <w:pStyle w:val="TDC1"/>
        <w:rPr>
          <w:rFonts w:asciiTheme="minorHAnsi" w:eastAsiaTheme="minorEastAsia" w:hAnsiTheme="minorHAnsi" w:cstheme="minorBidi"/>
          <w:b w:val="0"/>
          <w:noProof/>
          <w:sz w:val="24"/>
          <w:szCs w:val="24"/>
          <w:lang w:val="es-ES" w:eastAsia="es-ES_tradnl"/>
        </w:rPr>
      </w:pPr>
      <w:hyperlink w:anchor="_Toc52468082" w:history="1">
        <w:r w:rsidR="007501F4" w:rsidRPr="005F78CB">
          <w:rPr>
            <w:rStyle w:val="Hipervnculo"/>
            <w:noProof/>
          </w:rPr>
          <w:t>1</w:t>
        </w:r>
        <w:r w:rsidR="007501F4">
          <w:rPr>
            <w:rFonts w:asciiTheme="minorHAnsi" w:eastAsiaTheme="minorEastAsia" w:hAnsiTheme="minorHAnsi" w:cstheme="minorBidi"/>
            <w:b w:val="0"/>
            <w:noProof/>
            <w:sz w:val="24"/>
            <w:szCs w:val="24"/>
            <w:lang w:val="es-ES" w:eastAsia="es-ES_tradnl"/>
          </w:rPr>
          <w:tab/>
        </w:r>
        <w:r w:rsidR="007501F4" w:rsidRPr="005F78CB">
          <w:rPr>
            <w:rStyle w:val="Hipervnculo"/>
            <w:noProof/>
          </w:rPr>
          <w:t>INTRODUCTION</w:t>
        </w:r>
        <w:r w:rsidR="007501F4">
          <w:rPr>
            <w:noProof/>
            <w:webHidden/>
          </w:rPr>
          <w:tab/>
        </w:r>
        <w:r w:rsidR="007501F4">
          <w:rPr>
            <w:noProof/>
            <w:webHidden/>
          </w:rPr>
          <w:fldChar w:fldCharType="begin"/>
        </w:r>
        <w:r w:rsidR="007501F4">
          <w:rPr>
            <w:noProof/>
            <w:webHidden/>
          </w:rPr>
          <w:instrText xml:space="preserve"> PAGEREF _Toc52468082 \h </w:instrText>
        </w:r>
        <w:r w:rsidR="007501F4">
          <w:rPr>
            <w:noProof/>
            <w:webHidden/>
          </w:rPr>
        </w:r>
        <w:r w:rsidR="007501F4">
          <w:rPr>
            <w:noProof/>
            <w:webHidden/>
          </w:rPr>
          <w:fldChar w:fldCharType="separate"/>
        </w:r>
        <w:r w:rsidR="007501F4">
          <w:rPr>
            <w:noProof/>
            <w:webHidden/>
          </w:rPr>
          <w:t>14</w:t>
        </w:r>
        <w:r w:rsidR="007501F4">
          <w:rPr>
            <w:noProof/>
            <w:webHidden/>
          </w:rPr>
          <w:fldChar w:fldCharType="end"/>
        </w:r>
      </w:hyperlink>
    </w:p>
    <w:p w14:paraId="41CD3C9C" w14:textId="6988C71B" w:rsidR="007501F4" w:rsidRDefault="00C65F3E">
      <w:pPr>
        <w:pStyle w:val="TDC2"/>
        <w:rPr>
          <w:rFonts w:asciiTheme="minorHAnsi" w:eastAsiaTheme="minorEastAsia" w:hAnsiTheme="minorHAnsi" w:cstheme="minorBidi"/>
          <w:noProof/>
          <w:sz w:val="24"/>
          <w:szCs w:val="24"/>
          <w:lang w:val="es-ES" w:eastAsia="es-ES_tradnl"/>
        </w:rPr>
      </w:pPr>
      <w:hyperlink w:anchor="_Toc52468083" w:history="1">
        <w:r w:rsidR="007501F4" w:rsidRPr="005F78CB">
          <w:rPr>
            <w:rStyle w:val="Hipervnculo"/>
            <w:noProof/>
          </w:rPr>
          <w:t>1.1</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Overview</w:t>
        </w:r>
        <w:r w:rsidR="007501F4">
          <w:rPr>
            <w:noProof/>
            <w:webHidden/>
          </w:rPr>
          <w:tab/>
        </w:r>
        <w:r w:rsidR="007501F4">
          <w:rPr>
            <w:noProof/>
            <w:webHidden/>
          </w:rPr>
          <w:fldChar w:fldCharType="begin"/>
        </w:r>
        <w:r w:rsidR="007501F4">
          <w:rPr>
            <w:noProof/>
            <w:webHidden/>
          </w:rPr>
          <w:instrText xml:space="preserve"> PAGEREF _Toc52468083 \h </w:instrText>
        </w:r>
        <w:r w:rsidR="007501F4">
          <w:rPr>
            <w:noProof/>
            <w:webHidden/>
          </w:rPr>
        </w:r>
        <w:r w:rsidR="007501F4">
          <w:rPr>
            <w:noProof/>
            <w:webHidden/>
          </w:rPr>
          <w:fldChar w:fldCharType="separate"/>
        </w:r>
        <w:r w:rsidR="007501F4">
          <w:rPr>
            <w:noProof/>
            <w:webHidden/>
          </w:rPr>
          <w:t>14</w:t>
        </w:r>
        <w:r w:rsidR="007501F4">
          <w:rPr>
            <w:noProof/>
            <w:webHidden/>
          </w:rPr>
          <w:fldChar w:fldCharType="end"/>
        </w:r>
      </w:hyperlink>
    </w:p>
    <w:p w14:paraId="799B139F" w14:textId="48067602" w:rsidR="007501F4" w:rsidRDefault="00C65F3E">
      <w:pPr>
        <w:pStyle w:val="TDC2"/>
        <w:rPr>
          <w:rFonts w:asciiTheme="minorHAnsi" w:eastAsiaTheme="minorEastAsia" w:hAnsiTheme="minorHAnsi" w:cstheme="minorBidi"/>
          <w:noProof/>
          <w:sz w:val="24"/>
          <w:szCs w:val="24"/>
          <w:lang w:val="es-ES" w:eastAsia="es-ES_tradnl"/>
        </w:rPr>
      </w:pPr>
      <w:hyperlink w:anchor="_Toc52468084" w:history="1">
        <w:r w:rsidR="007501F4" w:rsidRPr="005F78CB">
          <w:rPr>
            <w:rStyle w:val="Hipervnculo"/>
            <w:noProof/>
          </w:rPr>
          <w:t>1.2</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Purpose</w:t>
        </w:r>
        <w:r w:rsidR="007501F4">
          <w:rPr>
            <w:noProof/>
            <w:webHidden/>
          </w:rPr>
          <w:tab/>
        </w:r>
        <w:r w:rsidR="007501F4">
          <w:rPr>
            <w:noProof/>
            <w:webHidden/>
          </w:rPr>
          <w:fldChar w:fldCharType="begin"/>
        </w:r>
        <w:r w:rsidR="007501F4">
          <w:rPr>
            <w:noProof/>
            <w:webHidden/>
          </w:rPr>
          <w:instrText xml:space="preserve"> PAGEREF _Toc52468084 \h </w:instrText>
        </w:r>
        <w:r w:rsidR="007501F4">
          <w:rPr>
            <w:noProof/>
            <w:webHidden/>
          </w:rPr>
        </w:r>
        <w:r w:rsidR="007501F4">
          <w:rPr>
            <w:noProof/>
            <w:webHidden/>
          </w:rPr>
          <w:fldChar w:fldCharType="separate"/>
        </w:r>
        <w:r w:rsidR="007501F4">
          <w:rPr>
            <w:noProof/>
            <w:webHidden/>
          </w:rPr>
          <w:t>15</w:t>
        </w:r>
        <w:r w:rsidR="007501F4">
          <w:rPr>
            <w:noProof/>
            <w:webHidden/>
          </w:rPr>
          <w:fldChar w:fldCharType="end"/>
        </w:r>
      </w:hyperlink>
    </w:p>
    <w:p w14:paraId="4D4CAAA1" w14:textId="701EEB28" w:rsidR="007501F4" w:rsidRDefault="00C65F3E">
      <w:pPr>
        <w:pStyle w:val="TDC2"/>
        <w:rPr>
          <w:rFonts w:asciiTheme="minorHAnsi" w:eastAsiaTheme="minorEastAsia" w:hAnsiTheme="minorHAnsi" w:cstheme="minorBidi"/>
          <w:noProof/>
          <w:sz w:val="24"/>
          <w:szCs w:val="24"/>
          <w:lang w:val="es-ES" w:eastAsia="es-ES_tradnl"/>
        </w:rPr>
      </w:pPr>
      <w:hyperlink w:anchor="_Toc52468085" w:history="1">
        <w:r w:rsidR="007501F4" w:rsidRPr="005F78CB">
          <w:rPr>
            <w:rStyle w:val="Hipervnculo"/>
            <w:noProof/>
          </w:rPr>
          <w:t>1.3</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Objectives</w:t>
        </w:r>
        <w:r w:rsidR="007501F4">
          <w:rPr>
            <w:noProof/>
            <w:webHidden/>
          </w:rPr>
          <w:tab/>
        </w:r>
        <w:r w:rsidR="007501F4">
          <w:rPr>
            <w:noProof/>
            <w:webHidden/>
          </w:rPr>
          <w:fldChar w:fldCharType="begin"/>
        </w:r>
        <w:r w:rsidR="007501F4">
          <w:rPr>
            <w:noProof/>
            <w:webHidden/>
          </w:rPr>
          <w:instrText xml:space="preserve"> PAGEREF _Toc52468085 \h </w:instrText>
        </w:r>
        <w:r w:rsidR="007501F4">
          <w:rPr>
            <w:noProof/>
            <w:webHidden/>
          </w:rPr>
        </w:r>
        <w:r w:rsidR="007501F4">
          <w:rPr>
            <w:noProof/>
            <w:webHidden/>
          </w:rPr>
          <w:fldChar w:fldCharType="separate"/>
        </w:r>
        <w:r w:rsidR="007501F4">
          <w:rPr>
            <w:noProof/>
            <w:webHidden/>
          </w:rPr>
          <w:t>15</w:t>
        </w:r>
        <w:r w:rsidR="007501F4">
          <w:rPr>
            <w:noProof/>
            <w:webHidden/>
          </w:rPr>
          <w:fldChar w:fldCharType="end"/>
        </w:r>
      </w:hyperlink>
    </w:p>
    <w:p w14:paraId="113AC3AC" w14:textId="509611D7" w:rsidR="007501F4" w:rsidRDefault="00C65F3E">
      <w:pPr>
        <w:pStyle w:val="TDC3"/>
        <w:rPr>
          <w:rFonts w:asciiTheme="minorHAnsi" w:eastAsiaTheme="minorEastAsia" w:hAnsiTheme="minorHAnsi" w:cstheme="minorBidi"/>
          <w:noProof/>
          <w:sz w:val="24"/>
          <w:szCs w:val="24"/>
          <w:lang w:val="es-ES" w:eastAsia="es-ES_tradnl"/>
        </w:rPr>
      </w:pPr>
      <w:hyperlink w:anchor="_Toc52468086" w:history="1">
        <w:r w:rsidR="007501F4" w:rsidRPr="005F78CB">
          <w:rPr>
            <w:rStyle w:val="Hipervnculo"/>
            <w:noProof/>
          </w:rPr>
          <w:t>1.3.1</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Primary objectives and related outcomes</w:t>
        </w:r>
        <w:r w:rsidR="007501F4">
          <w:rPr>
            <w:noProof/>
            <w:webHidden/>
          </w:rPr>
          <w:tab/>
        </w:r>
        <w:r w:rsidR="007501F4">
          <w:rPr>
            <w:noProof/>
            <w:webHidden/>
          </w:rPr>
          <w:fldChar w:fldCharType="begin"/>
        </w:r>
        <w:r w:rsidR="007501F4">
          <w:rPr>
            <w:noProof/>
            <w:webHidden/>
          </w:rPr>
          <w:instrText xml:space="preserve"> PAGEREF _Toc52468086 \h </w:instrText>
        </w:r>
        <w:r w:rsidR="007501F4">
          <w:rPr>
            <w:noProof/>
            <w:webHidden/>
          </w:rPr>
        </w:r>
        <w:r w:rsidR="007501F4">
          <w:rPr>
            <w:noProof/>
            <w:webHidden/>
          </w:rPr>
          <w:fldChar w:fldCharType="separate"/>
        </w:r>
        <w:r w:rsidR="007501F4">
          <w:rPr>
            <w:noProof/>
            <w:webHidden/>
          </w:rPr>
          <w:t>15</w:t>
        </w:r>
        <w:r w:rsidR="007501F4">
          <w:rPr>
            <w:noProof/>
            <w:webHidden/>
          </w:rPr>
          <w:fldChar w:fldCharType="end"/>
        </w:r>
      </w:hyperlink>
    </w:p>
    <w:p w14:paraId="16716784" w14:textId="51F91904" w:rsidR="007501F4" w:rsidRDefault="00C65F3E">
      <w:pPr>
        <w:pStyle w:val="TDC3"/>
        <w:rPr>
          <w:rFonts w:asciiTheme="minorHAnsi" w:eastAsiaTheme="minorEastAsia" w:hAnsiTheme="minorHAnsi" w:cstheme="minorBidi"/>
          <w:noProof/>
          <w:sz w:val="24"/>
          <w:szCs w:val="24"/>
          <w:lang w:val="es-ES" w:eastAsia="es-ES_tradnl"/>
        </w:rPr>
      </w:pPr>
      <w:hyperlink w:anchor="_Toc52468087" w:history="1">
        <w:r w:rsidR="007501F4" w:rsidRPr="005F78CB">
          <w:rPr>
            <w:rStyle w:val="Hipervnculo"/>
            <w:noProof/>
          </w:rPr>
          <w:t>1.3.2</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Secondary objectives and related outcomes</w:t>
        </w:r>
        <w:r w:rsidR="007501F4">
          <w:rPr>
            <w:noProof/>
            <w:webHidden/>
          </w:rPr>
          <w:tab/>
        </w:r>
        <w:r w:rsidR="007501F4">
          <w:rPr>
            <w:noProof/>
            <w:webHidden/>
          </w:rPr>
          <w:fldChar w:fldCharType="begin"/>
        </w:r>
        <w:r w:rsidR="007501F4">
          <w:rPr>
            <w:noProof/>
            <w:webHidden/>
          </w:rPr>
          <w:instrText xml:space="preserve"> PAGEREF _Toc52468087 \h </w:instrText>
        </w:r>
        <w:r w:rsidR="007501F4">
          <w:rPr>
            <w:noProof/>
            <w:webHidden/>
          </w:rPr>
        </w:r>
        <w:r w:rsidR="007501F4">
          <w:rPr>
            <w:noProof/>
            <w:webHidden/>
          </w:rPr>
          <w:fldChar w:fldCharType="separate"/>
        </w:r>
        <w:r w:rsidR="007501F4">
          <w:rPr>
            <w:noProof/>
            <w:webHidden/>
          </w:rPr>
          <w:t>15</w:t>
        </w:r>
        <w:r w:rsidR="007501F4">
          <w:rPr>
            <w:noProof/>
            <w:webHidden/>
          </w:rPr>
          <w:fldChar w:fldCharType="end"/>
        </w:r>
      </w:hyperlink>
    </w:p>
    <w:p w14:paraId="179CF81D" w14:textId="14AE0679" w:rsidR="007501F4" w:rsidRDefault="00C65F3E">
      <w:pPr>
        <w:pStyle w:val="TDC2"/>
        <w:rPr>
          <w:rFonts w:asciiTheme="minorHAnsi" w:eastAsiaTheme="minorEastAsia" w:hAnsiTheme="minorHAnsi" w:cstheme="minorBidi"/>
          <w:noProof/>
          <w:sz w:val="24"/>
          <w:szCs w:val="24"/>
          <w:lang w:val="es-ES" w:eastAsia="es-ES_tradnl"/>
        </w:rPr>
      </w:pPr>
      <w:hyperlink w:anchor="_Toc52468088" w:history="1">
        <w:r w:rsidR="007501F4" w:rsidRPr="005F78CB">
          <w:rPr>
            <w:rStyle w:val="Hipervnculo"/>
            <w:noProof/>
          </w:rPr>
          <w:t>1.4</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Study design</w:t>
        </w:r>
        <w:r w:rsidR="007501F4">
          <w:rPr>
            <w:noProof/>
            <w:webHidden/>
          </w:rPr>
          <w:tab/>
        </w:r>
        <w:r w:rsidR="007501F4">
          <w:rPr>
            <w:noProof/>
            <w:webHidden/>
          </w:rPr>
          <w:fldChar w:fldCharType="begin"/>
        </w:r>
        <w:r w:rsidR="007501F4">
          <w:rPr>
            <w:noProof/>
            <w:webHidden/>
          </w:rPr>
          <w:instrText xml:space="preserve"> PAGEREF _Toc52468088 \h </w:instrText>
        </w:r>
        <w:r w:rsidR="007501F4">
          <w:rPr>
            <w:noProof/>
            <w:webHidden/>
          </w:rPr>
        </w:r>
        <w:r w:rsidR="007501F4">
          <w:rPr>
            <w:noProof/>
            <w:webHidden/>
          </w:rPr>
          <w:fldChar w:fldCharType="separate"/>
        </w:r>
        <w:r w:rsidR="007501F4">
          <w:rPr>
            <w:noProof/>
            <w:webHidden/>
          </w:rPr>
          <w:t>16</w:t>
        </w:r>
        <w:r w:rsidR="007501F4">
          <w:rPr>
            <w:noProof/>
            <w:webHidden/>
          </w:rPr>
          <w:fldChar w:fldCharType="end"/>
        </w:r>
      </w:hyperlink>
    </w:p>
    <w:p w14:paraId="7BE73D1C" w14:textId="5F1A1349" w:rsidR="007501F4" w:rsidRDefault="00C65F3E">
      <w:pPr>
        <w:pStyle w:val="TDC2"/>
        <w:rPr>
          <w:rFonts w:asciiTheme="minorHAnsi" w:eastAsiaTheme="minorEastAsia" w:hAnsiTheme="minorHAnsi" w:cstheme="minorBidi"/>
          <w:noProof/>
          <w:sz w:val="24"/>
          <w:szCs w:val="24"/>
          <w:lang w:val="es-ES" w:eastAsia="es-ES_tradnl"/>
        </w:rPr>
      </w:pPr>
      <w:hyperlink w:anchor="_Toc52468089" w:history="1">
        <w:r w:rsidR="007501F4" w:rsidRPr="005F78CB">
          <w:rPr>
            <w:rStyle w:val="Hipervnculo"/>
            <w:noProof/>
          </w:rPr>
          <w:t>1.5</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Study population.</w:t>
        </w:r>
        <w:r w:rsidR="007501F4">
          <w:rPr>
            <w:noProof/>
            <w:webHidden/>
          </w:rPr>
          <w:tab/>
        </w:r>
        <w:r w:rsidR="007501F4">
          <w:rPr>
            <w:noProof/>
            <w:webHidden/>
          </w:rPr>
          <w:fldChar w:fldCharType="begin"/>
        </w:r>
        <w:r w:rsidR="007501F4">
          <w:rPr>
            <w:noProof/>
            <w:webHidden/>
          </w:rPr>
          <w:instrText xml:space="preserve"> PAGEREF _Toc52468089 \h </w:instrText>
        </w:r>
        <w:r w:rsidR="007501F4">
          <w:rPr>
            <w:noProof/>
            <w:webHidden/>
          </w:rPr>
        </w:r>
        <w:r w:rsidR="007501F4">
          <w:rPr>
            <w:noProof/>
            <w:webHidden/>
          </w:rPr>
          <w:fldChar w:fldCharType="separate"/>
        </w:r>
        <w:r w:rsidR="007501F4">
          <w:rPr>
            <w:noProof/>
            <w:webHidden/>
          </w:rPr>
          <w:t>17</w:t>
        </w:r>
        <w:r w:rsidR="007501F4">
          <w:rPr>
            <w:noProof/>
            <w:webHidden/>
          </w:rPr>
          <w:fldChar w:fldCharType="end"/>
        </w:r>
      </w:hyperlink>
    </w:p>
    <w:p w14:paraId="71204D6F" w14:textId="5EDFA965" w:rsidR="007501F4" w:rsidRDefault="00C65F3E">
      <w:pPr>
        <w:pStyle w:val="TDC2"/>
        <w:rPr>
          <w:rFonts w:asciiTheme="minorHAnsi" w:eastAsiaTheme="minorEastAsia" w:hAnsiTheme="minorHAnsi" w:cstheme="minorBidi"/>
          <w:noProof/>
          <w:sz w:val="24"/>
          <w:szCs w:val="24"/>
          <w:lang w:val="es-ES" w:eastAsia="es-ES_tradnl"/>
        </w:rPr>
      </w:pPr>
      <w:hyperlink w:anchor="_Toc52468090" w:history="1">
        <w:r w:rsidR="007501F4" w:rsidRPr="005F78CB">
          <w:rPr>
            <w:rStyle w:val="Hipervnculo"/>
            <w:noProof/>
          </w:rPr>
          <w:t>1.6</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Treatments.</w:t>
        </w:r>
        <w:r w:rsidR="007501F4">
          <w:rPr>
            <w:noProof/>
            <w:webHidden/>
          </w:rPr>
          <w:tab/>
        </w:r>
        <w:r w:rsidR="007501F4">
          <w:rPr>
            <w:noProof/>
            <w:webHidden/>
          </w:rPr>
          <w:fldChar w:fldCharType="begin"/>
        </w:r>
        <w:r w:rsidR="007501F4">
          <w:rPr>
            <w:noProof/>
            <w:webHidden/>
          </w:rPr>
          <w:instrText xml:space="preserve"> PAGEREF _Toc52468090 \h </w:instrText>
        </w:r>
        <w:r w:rsidR="007501F4">
          <w:rPr>
            <w:noProof/>
            <w:webHidden/>
          </w:rPr>
        </w:r>
        <w:r w:rsidR="007501F4">
          <w:rPr>
            <w:noProof/>
            <w:webHidden/>
          </w:rPr>
          <w:fldChar w:fldCharType="separate"/>
        </w:r>
        <w:r w:rsidR="007501F4">
          <w:rPr>
            <w:noProof/>
            <w:webHidden/>
          </w:rPr>
          <w:t>18</w:t>
        </w:r>
        <w:r w:rsidR="007501F4">
          <w:rPr>
            <w:noProof/>
            <w:webHidden/>
          </w:rPr>
          <w:fldChar w:fldCharType="end"/>
        </w:r>
      </w:hyperlink>
    </w:p>
    <w:p w14:paraId="7F479BAC" w14:textId="74A44269" w:rsidR="007501F4" w:rsidRDefault="00C65F3E">
      <w:pPr>
        <w:pStyle w:val="TDC3"/>
        <w:rPr>
          <w:rFonts w:asciiTheme="minorHAnsi" w:eastAsiaTheme="minorEastAsia" w:hAnsiTheme="minorHAnsi" w:cstheme="minorBidi"/>
          <w:noProof/>
          <w:sz w:val="24"/>
          <w:szCs w:val="24"/>
          <w:lang w:val="es-ES" w:eastAsia="es-ES_tradnl"/>
        </w:rPr>
      </w:pPr>
      <w:hyperlink w:anchor="_Toc52468091" w:history="1">
        <w:r w:rsidR="007501F4" w:rsidRPr="005F78CB">
          <w:rPr>
            <w:rStyle w:val="Hipervnculo"/>
            <w:noProof/>
          </w:rPr>
          <w:t>1.6.1</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Study treatments allocation and supply.</w:t>
        </w:r>
        <w:r w:rsidR="007501F4">
          <w:rPr>
            <w:noProof/>
            <w:webHidden/>
          </w:rPr>
          <w:tab/>
        </w:r>
        <w:r w:rsidR="007501F4">
          <w:rPr>
            <w:noProof/>
            <w:webHidden/>
          </w:rPr>
          <w:fldChar w:fldCharType="begin"/>
        </w:r>
        <w:r w:rsidR="007501F4">
          <w:rPr>
            <w:noProof/>
            <w:webHidden/>
          </w:rPr>
          <w:instrText xml:space="preserve"> PAGEREF _Toc52468091 \h </w:instrText>
        </w:r>
        <w:r w:rsidR="007501F4">
          <w:rPr>
            <w:noProof/>
            <w:webHidden/>
          </w:rPr>
        </w:r>
        <w:r w:rsidR="007501F4">
          <w:rPr>
            <w:noProof/>
            <w:webHidden/>
          </w:rPr>
          <w:fldChar w:fldCharType="separate"/>
        </w:r>
        <w:r w:rsidR="007501F4">
          <w:rPr>
            <w:noProof/>
            <w:webHidden/>
          </w:rPr>
          <w:t>18</w:t>
        </w:r>
        <w:r w:rsidR="007501F4">
          <w:rPr>
            <w:noProof/>
            <w:webHidden/>
          </w:rPr>
          <w:fldChar w:fldCharType="end"/>
        </w:r>
      </w:hyperlink>
    </w:p>
    <w:p w14:paraId="792C1B87" w14:textId="4A00D16F" w:rsidR="007501F4" w:rsidRDefault="00C65F3E">
      <w:pPr>
        <w:pStyle w:val="TDC3"/>
        <w:rPr>
          <w:rFonts w:asciiTheme="minorHAnsi" w:eastAsiaTheme="minorEastAsia" w:hAnsiTheme="minorHAnsi" w:cstheme="minorBidi"/>
          <w:noProof/>
          <w:sz w:val="24"/>
          <w:szCs w:val="24"/>
          <w:lang w:val="es-ES" w:eastAsia="es-ES_tradnl"/>
        </w:rPr>
      </w:pPr>
      <w:hyperlink w:anchor="_Toc52468092" w:history="1">
        <w:r w:rsidR="007501F4" w:rsidRPr="005F78CB">
          <w:rPr>
            <w:rStyle w:val="Hipervnculo"/>
            <w:noProof/>
          </w:rPr>
          <w:t>1.6.2</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Concomitant treatments</w:t>
        </w:r>
        <w:r w:rsidR="007501F4">
          <w:rPr>
            <w:noProof/>
            <w:webHidden/>
          </w:rPr>
          <w:tab/>
        </w:r>
        <w:r w:rsidR="007501F4">
          <w:rPr>
            <w:noProof/>
            <w:webHidden/>
          </w:rPr>
          <w:fldChar w:fldCharType="begin"/>
        </w:r>
        <w:r w:rsidR="007501F4">
          <w:rPr>
            <w:noProof/>
            <w:webHidden/>
          </w:rPr>
          <w:instrText xml:space="preserve"> PAGEREF _Toc52468092 \h </w:instrText>
        </w:r>
        <w:r w:rsidR="007501F4">
          <w:rPr>
            <w:noProof/>
            <w:webHidden/>
          </w:rPr>
        </w:r>
        <w:r w:rsidR="007501F4">
          <w:rPr>
            <w:noProof/>
            <w:webHidden/>
          </w:rPr>
          <w:fldChar w:fldCharType="separate"/>
        </w:r>
        <w:r w:rsidR="007501F4">
          <w:rPr>
            <w:noProof/>
            <w:webHidden/>
          </w:rPr>
          <w:t>19</w:t>
        </w:r>
        <w:r w:rsidR="007501F4">
          <w:rPr>
            <w:noProof/>
            <w:webHidden/>
          </w:rPr>
          <w:fldChar w:fldCharType="end"/>
        </w:r>
      </w:hyperlink>
    </w:p>
    <w:p w14:paraId="2C290899" w14:textId="7D11C778" w:rsidR="007501F4" w:rsidRDefault="00C65F3E">
      <w:pPr>
        <w:pStyle w:val="TDC3"/>
        <w:rPr>
          <w:rFonts w:asciiTheme="minorHAnsi" w:eastAsiaTheme="minorEastAsia" w:hAnsiTheme="minorHAnsi" w:cstheme="minorBidi"/>
          <w:noProof/>
          <w:sz w:val="24"/>
          <w:szCs w:val="24"/>
          <w:lang w:val="es-ES" w:eastAsia="es-ES_tradnl"/>
        </w:rPr>
      </w:pPr>
      <w:hyperlink w:anchor="_Toc52468093" w:history="1">
        <w:r w:rsidR="007501F4" w:rsidRPr="005F78CB">
          <w:rPr>
            <w:rStyle w:val="Hipervnculo"/>
            <w:noProof/>
          </w:rPr>
          <w:t>1.6.3</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Prohibited therapies.</w:t>
        </w:r>
        <w:r w:rsidR="007501F4">
          <w:rPr>
            <w:noProof/>
            <w:webHidden/>
          </w:rPr>
          <w:tab/>
        </w:r>
        <w:r w:rsidR="007501F4">
          <w:rPr>
            <w:noProof/>
            <w:webHidden/>
          </w:rPr>
          <w:fldChar w:fldCharType="begin"/>
        </w:r>
        <w:r w:rsidR="007501F4">
          <w:rPr>
            <w:noProof/>
            <w:webHidden/>
          </w:rPr>
          <w:instrText xml:space="preserve"> PAGEREF _Toc52468093 \h </w:instrText>
        </w:r>
        <w:r w:rsidR="007501F4">
          <w:rPr>
            <w:noProof/>
            <w:webHidden/>
          </w:rPr>
        </w:r>
        <w:r w:rsidR="007501F4">
          <w:rPr>
            <w:noProof/>
            <w:webHidden/>
          </w:rPr>
          <w:fldChar w:fldCharType="separate"/>
        </w:r>
        <w:r w:rsidR="007501F4">
          <w:rPr>
            <w:noProof/>
            <w:webHidden/>
          </w:rPr>
          <w:t>19</w:t>
        </w:r>
        <w:r w:rsidR="007501F4">
          <w:rPr>
            <w:noProof/>
            <w:webHidden/>
          </w:rPr>
          <w:fldChar w:fldCharType="end"/>
        </w:r>
      </w:hyperlink>
    </w:p>
    <w:p w14:paraId="3D3BA77B" w14:textId="6A97CCF7" w:rsidR="007501F4" w:rsidRDefault="00C65F3E">
      <w:pPr>
        <w:pStyle w:val="TDC3"/>
        <w:rPr>
          <w:rFonts w:asciiTheme="minorHAnsi" w:eastAsiaTheme="minorEastAsia" w:hAnsiTheme="minorHAnsi" w:cstheme="minorBidi"/>
          <w:noProof/>
          <w:sz w:val="24"/>
          <w:szCs w:val="24"/>
          <w:lang w:val="es-ES" w:eastAsia="es-ES_tradnl"/>
        </w:rPr>
      </w:pPr>
      <w:hyperlink w:anchor="_Toc52468094" w:history="1">
        <w:r w:rsidR="007501F4" w:rsidRPr="005F78CB">
          <w:rPr>
            <w:rStyle w:val="Hipervnculo"/>
            <w:noProof/>
          </w:rPr>
          <w:t>1.6.4</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Treatment discontinuation</w:t>
        </w:r>
        <w:r w:rsidR="007501F4">
          <w:rPr>
            <w:noProof/>
            <w:webHidden/>
          </w:rPr>
          <w:tab/>
        </w:r>
        <w:r w:rsidR="007501F4">
          <w:rPr>
            <w:noProof/>
            <w:webHidden/>
          </w:rPr>
          <w:fldChar w:fldCharType="begin"/>
        </w:r>
        <w:r w:rsidR="007501F4">
          <w:rPr>
            <w:noProof/>
            <w:webHidden/>
          </w:rPr>
          <w:instrText xml:space="preserve"> PAGEREF _Toc52468094 \h </w:instrText>
        </w:r>
        <w:r w:rsidR="007501F4">
          <w:rPr>
            <w:noProof/>
            <w:webHidden/>
          </w:rPr>
        </w:r>
        <w:r w:rsidR="007501F4">
          <w:rPr>
            <w:noProof/>
            <w:webHidden/>
          </w:rPr>
          <w:fldChar w:fldCharType="separate"/>
        </w:r>
        <w:r w:rsidR="007501F4">
          <w:rPr>
            <w:noProof/>
            <w:webHidden/>
          </w:rPr>
          <w:t>20</w:t>
        </w:r>
        <w:r w:rsidR="007501F4">
          <w:rPr>
            <w:noProof/>
            <w:webHidden/>
          </w:rPr>
          <w:fldChar w:fldCharType="end"/>
        </w:r>
      </w:hyperlink>
    </w:p>
    <w:p w14:paraId="3494E19E" w14:textId="09C0D21F" w:rsidR="007501F4" w:rsidRDefault="00C65F3E">
      <w:pPr>
        <w:pStyle w:val="TDC2"/>
        <w:rPr>
          <w:rFonts w:asciiTheme="minorHAnsi" w:eastAsiaTheme="minorEastAsia" w:hAnsiTheme="minorHAnsi" w:cstheme="minorBidi"/>
          <w:noProof/>
          <w:sz w:val="24"/>
          <w:szCs w:val="24"/>
          <w:lang w:val="es-ES" w:eastAsia="es-ES_tradnl"/>
        </w:rPr>
      </w:pPr>
      <w:hyperlink w:anchor="_Toc52468095" w:history="1">
        <w:r w:rsidR="007501F4" w:rsidRPr="005F78CB">
          <w:rPr>
            <w:rStyle w:val="Hipervnculo"/>
            <w:noProof/>
          </w:rPr>
          <w:t>1.7</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Assessments and study procedures</w:t>
        </w:r>
        <w:r w:rsidR="007501F4">
          <w:rPr>
            <w:noProof/>
            <w:webHidden/>
          </w:rPr>
          <w:tab/>
        </w:r>
        <w:r w:rsidR="007501F4">
          <w:rPr>
            <w:noProof/>
            <w:webHidden/>
          </w:rPr>
          <w:fldChar w:fldCharType="begin"/>
        </w:r>
        <w:r w:rsidR="007501F4">
          <w:rPr>
            <w:noProof/>
            <w:webHidden/>
          </w:rPr>
          <w:instrText xml:space="preserve"> PAGEREF _Toc52468095 \h </w:instrText>
        </w:r>
        <w:r w:rsidR="007501F4">
          <w:rPr>
            <w:noProof/>
            <w:webHidden/>
          </w:rPr>
        </w:r>
        <w:r w:rsidR="007501F4">
          <w:rPr>
            <w:noProof/>
            <w:webHidden/>
          </w:rPr>
          <w:fldChar w:fldCharType="separate"/>
        </w:r>
        <w:r w:rsidR="007501F4">
          <w:rPr>
            <w:noProof/>
            <w:webHidden/>
          </w:rPr>
          <w:t>20</w:t>
        </w:r>
        <w:r w:rsidR="007501F4">
          <w:rPr>
            <w:noProof/>
            <w:webHidden/>
          </w:rPr>
          <w:fldChar w:fldCharType="end"/>
        </w:r>
      </w:hyperlink>
    </w:p>
    <w:p w14:paraId="4EA02C43" w14:textId="2AD74DC3" w:rsidR="007501F4" w:rsidRDefault="00C65F3E">
      <w:pPr>
        <w:pStyle w:val="TDC3"/>
        <w:rPr>
          <w:rFonts w:asciiTheme="minorHAnsi" w:eastAsiaTheme="minorEastAsia" w:hAnsiTheme="minorHAnsi" w:cstheme="minorBidi"/>
          <w:noProof/>
          <w:sz w:val="24"/>
          <w:szCs w:val="24"/>
          <w:lang w:val="es-ES" w:eastAsia="es-ES_tradnl"/>
        </w:rPr>
      </w:pPr>
      <w:hyperlink w:anchor="_Toc52468096" w:history="1">
        <w:r w:rsidR="007501F4" w:rsidRPr="005F78CB">
          <w:rPr>
            <w:rStyle w:val="Hipervnculo"/>
            <w:noProof/>
          </w:rPr>
          <w:t>1.7.1</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Safety assessments.</w:t>
        </w:r>
        <w:r w:rsidR="007501F4">
          <w:rPr>
            <w:noProof/>
            <w:webHidden/>
          </w:rPr>
          <w:tab/>
        </w:r>
        <w:r w:rsidR="007501F4">
          <w:rPr>
            <w:noProof/>
            <w:webHidden/>
          </w:rPr>
          <w:fldChar w:fldCharType="begin"/>
        </w:r>
        <w:r w:rsidR="007501F4">
          <w:rPr>
            <w:noProof/>
            <w:webHidden/>
          </w:rPr>
          <w:instrText xml:space="preserve"> PAGEREF _Toc52468096 \h </w:instrText>
        </w:r>
        <w:r w:rsidR="007501F4">
          <w:rPr>
            <w:noProof/>
            <w:webHidden/>
          </w:rPr>
        </w:r>
        <w:r w:rsidR="007501F4">
          <w:rPr>
            <w:noProof/>
            <w:webHidden/>
          </w:rPr>
          <w:fldChar w:fldCharType="separate"/>
        </w:r>
        <w:r w:rsidR="007501F4">
          <w:rPr>
            <w:noProof/>
            <w:webHidden/>
          </w:rPr>
          <w:t>20</w:t>
        </w:r>
        <w:r w:rsidR="007501F4">
          <w:rPr>
            <w:noProof/>
            <w:webHidden/>
          </w:rPr>
          <w:fldChar w:fldCharType="end"/>
        </w:r>
      </w:hyperlink>
    </w:p>
    <w:p w14:paraId="71CED337" w14:textId="60A0BD16" w:rsidR="007501F4" w:rsidRDefault="00C65F3E">
      <w:pPr>
        <w:pStyle w:val="TDC3"/>
        <w:rPr>
          <w:rFonts w:asciiTheme="minorHAnsi" w:eastAsiaTheme="minorEastAsia" w:hAnsiTheme="minorHAnsi" w:cstheme="minorBidi"/>
          <w:noProof/>
          <w:sz w:val="24"/>
          <w:szCs w:val="24"/>
          <w:lang w:val="es-ES" w:eastAsia="es-ES_tradnl"/>
        </w:rPr>
      </w:pPr>
      <w:hyperlink w:anchor="_Toc52468097" w:history="1">
        <w:r w:rsidR="007501F4" w:rsidRPr="005F78CB">
          <w:rPr>
            <w:rStyle w:val="Hipervnculo"/>
            <w:noProof/>
          </w:rPr>
          <w:t>1.7.2</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Efficacy assessments</w:t>
        </w:r>
        <w:r w:rsidR="007501F4">
          <w:rPr>
            <w:noProof/>
            <w:webHidden/>
          </w:rPr>
          <w:tab/>
        </w:r>
        <w:r w:rsidR="007501F4">
          <w:rPr>
            <w:noProof/>
            <w:webHidden/>
          </w:rPr>
          <w:fldChar w:fldCharType="begin"/>
        </w:r>
        <w:r w:rsidR="007501F4">
          <w:rPr>
            <w:noProof/>
            <w:webHidden/>
          </w:rPr>
          <w:instrText xml:space="preserve"> PAGEREF _Toc52468097 \h </w:instrText>
        </w:r>
        <w:r w:rsidR="007501F4">
          <w:rPr>
            <w:noProof/>
            <w:webHidden/>
          </w:rPr>
        </w:r>
        <w:r w:rsidR="007501F4">
          <w:rPr>
            <w:noProof/>
            <w:webHidden/>
          </w:rPr>
          <w:fldChar w:fldCharType="separate"/>
        </w:r>
        <w:r w:rsidR="007501F4">
          <w:rPr>
            <w:noProof/>
            <w:webHidden/>
          </w:rPr>
          <w:t>21</w:t>
        </w:r>
        <w:r w:rsidR="007501F4">
          <w:rPr>
            <w:noProof/>
            <w:webHidden/>
          </w:rPr>
          <w:fldChar w:fldCharType="end"/>
        </w:r>
      </w:hyperlink>
    </w:p>
    <w:p w14:paraId="2689CCC2" w14:textId="4B0B9E03" w:rsidR="007501F4" w:rsidRDefault="00C65F3E">
      <w:pPr>
        <w:pStyle w:val="TDC3"/>
        <w:rPr>
          <w:rFonts w:asciiTheme="minorHAnsi" w:eastAsiaTheme="minorEastAsia" w:hAnsiTheme="minorHAnsi" w:cstheme="minorBidi"/>
          <w:noProof/>
          <w:sz w:val="24"/>
          <w:szCs w:val="24"/>
          <w:lang w:val="es-ES" w:eastAsia="es-ES_tradnl"/>
        </w:rPr>
      </w:pPr>
      <w:hyperlink w:anchor="_Toc52468098" w:history="1">
        <w:r w:rsidR="007501F4" w:rsidRPr="005F78CB">
          <w:rPr>
            <w:rStyle w:val="Hipervnculo"/>
            <w:noProof/>
          </w:rPr>
          <w:t>1.7.3</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Other protocol assessments: Evaluation of molecular biomarkers</w:t>
        </w:r>
        <w:r w:rsidR="007501F4">
          <w:rPr>
            <w:noProof/>
            <w:webHidden/>
          </w:rPr>
          <w:tab/>
        </w:r>
        <w:r w:rsidR="007501F4">
          <w:rPr>
            <w:noProof/>
            <w:webHidden/>
          </w:rPr>
          <w:fldChar w:fldCharType="begin"/>
        </w:r>
        <w:r w:rsidR="007501F4">
          <w:rPr>
            <w:noProof/>
            <w:webHidden/>
          </w:rPr>
          <w:instrText xml:space="preserve"> PAGEREF _Toc52468098 \h </w:instrText>
        </w:r>
        <w:r w:rsidR="007501F4">
          <w:rPr>
            <w:noProof/>
            <w:webHidden/>
          </w:rPr>
        </w:r>
        <w:r w:rsidR="007501F4">
          <w:rPr>
            <w:noProof/>
            <w:webHidden/>
          </w:rPr>
          <w:fldChar w:fldCharType="separate"/>
        </w:r>
        <w:r w:rsidR="007501F4">
          <w:rPr>
            <w:noProof/>
            <w:webHidden/>
          </w:rPr>
          <w:t>22</w:t>
        </w:r>
        <w:r w:rsidR="007501F4">
          <w:rPr>
            <w:noProof/>
            <w:webHidden/>
          </w:rPr>
          <w:fldChar w:fldCharType="end"/>
        </w:r>
      </w:hyperlink>
    </w:p>
    <w:p w14:paraId="0F80F7FC" w14:textId="3DCCED28" w:rsidR="007501F4" w:rsidRDefault="00C65F3E">
      <w:pPr>
        <w:pStyle w:val="TDC2"/>
        <w:rPr>
          <w:rFonts w:asciiTheme="minorHAnsi" w:eastAsiaTheme="minorEastAsia" w:hAnsiTheme="minorHAnsi" w:cstheme="minorBidi"/>
          <w:noProof/>
          <w:sz w:val="24"/>
          <w:szCs w:val="24"/>
          <w:lang w:val="es-ES" w:eastAsia="es-ES_tradnl"/>
        </w:rPr>
      </w:pPr>
      <w:hyperlink w:anchor="_Toc52468099" w:history="1">
        <w:r w:rsidR="007501F4" w:rsidRPr="005F78CB">
          <w:rPr>
            <w:rStyle w:val="Hipervnculo"/>
            <w:noProof/>
          </w:rPr>
          <w:t>1.8</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End of Study</w:t>
        </w:r>
        <w:r w:rsidR="007501F4">
          <w:rPr>
            <w:noProof/>
            <w:webHidden/>
          </w:rPr>
          <w:tab/>
        </w:r>
        <w:r w:rsidR="007501F4">
          <w:rPr>
            <w:noProof/>
            <w:webHidden/>
          </w:rPr>
          <w:fldChar w:fldCharType="begin"/>
        </w:r>
        <w:r w:rsidR="007501F4">
          <w:rPr>
            <w:noProof/>
            <w:webHidden/>
          </w:rPr>
          <w:instrText xml:space="preserve"> PAGEREF _Toc52468099 \h </w:instrText>
        </w:r>
        <w:r w:rsidR="007501F4">
          <w:rPr>
            <w:noProof/>
            <w:webHidden/>
          </w:rPr>
        </w:r>
        <w:r w:rsidR="007501F4">
          <w:rPr>
            <w:noProof/>
            <w:webHidden/>
          </w:rPr>
          <w:fldChar w:fldCharType="separate"/>
        </w:r>
        <w:r w:rsidR="007501F4">
          <w:rPr>
            <w:noProof/>
            <w:webHidden/>
          </w:rPr>
          <w:t>22</w:t>
        </w:r>
        <w:r w:rsidR="007501F4">
          <w:rPr>
            <w:noProof/>
            <w:webHidden/>
          </w:rPr>
          <w:fldChar w:fldCharType="end"/>
        </w:r>
      </w:hyperlink>
    </w:p>
    <w:p w14:paraId="61B6394A" w14:textId="2FC550B7" w:rsidR="007501F4" w:rsidRDefault="00C65F3E">
      <w:pPr>
        <w:pStyle w:val="TDC2"/>
        <w:rPr>
          <w:rFonts w:asciiTheme="minorHAnsi" w:eastAsiaTheme="minorEastAsia" w:hAnsiTheme="minorHAnsi" w:cstheme="minorBidi"/>
          <w:noProof/>
          <w:sz w:val="24"/>
          <w:szCs w:val="24"/>
          <w:lang w:val="es-ES" w:eastAsia="es-ES_tradnl"/>
        </w:rPr>
      </w:pPr>
      <w:hyperlink w:anchor="_Toc52468100" w:history="1">
        <w:r w:rsidR="007501F4" w:rsidRPr="005F78CB">
          <w:rPr>
            <w:rStyle w:val="Hipervnculo"/>
            <w:noProof/>
          </w:rPr>
          <w:t>1.9</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Data quality assurance</w:t>
        </w:r>
        <w:r w:rsidR="007501F4">
          <w:rPr>
            <w:noProof/>
            <w:webHidden/>
          </w:rPr>
          <w:tab/>
        </w:r>
        <w:r w:rsidR="007501F4">
          <w:rPr>
            <w:noProof/>
            <w:webHidden/>
          </w:rPr>
          <w:fldChar w:fldCharType="begin"/>
        </w:r>
        <w:r w:rsidR="007501F4">
          <w:rPr>
            <w:noProof/>
            <w:webHidden/>
          </w:rPr>
          <w:instrText xml:space="preserve"> PAGEREF _Toc52468100 \h </w:instrText>
        </w:r>
        <w:r w:rsidR="007501F4">
          <w:rPr>
            <w:noProof/>
            <w:webHidden/>
          </w:rPr>
        </w:r>
        <w:r w:rsidR="007501F4">
          <w:rPr>
            <w:noProof/>
            <w:webHidden/>
          </w:rPr>
          <w:fldChar w:fldCharType="separate"/>
        </w:r>
        <w:r w:rsidR="007501F4">
          <w:rPr>
            <w:noProof/>
            <w:webHidden/>
          </w:rPr>
          <w:t>22</w:t>
        </w:r>
        <w:r w:rsidR="007501F4">
          <w:rPr>
            <w:noProof/>
            <w:webHidden/>
          </w:rPr>
          <w:fldChar w:fldCharType="end"/>
        </w:r>
      </w:hyperlink>
    </w:p>
    <w:p w14:paraId="26C0B54F" w14:textId="5FD357F6" w:rsidR="007501F4" w:rsidRDefault="00C65F3E">
      <w:pPr>
        <w:pStyle w:val="TDC3"/>
        <w:rPr>
          <w:rFonts w:asciiTheme="minorHAnsi" w:eastAsiaTheme="minorEastAsia" w:hAnsiTheme="minorHAnsi" w:cstheme="minorBidi"/>
          <w:noProof/>
          <w:sz w:val="24"/>
          <w:szCs w:val="24"/>
          <w:lang w:val="es-ES" w:eastAsia="es-ES_tradnl"/>
        </w:rPr>
      </w:pPr>
      <w:hyperlink w:anchor="_Toc52468101" w:history="1">
        <w:r w:rsidR="007501F4" w:rsidRPr="005F78CB">
          <w:rPr>
            <w:rStyle w:val="Hipervnculo"/>
            <w:noProof/>
          </w:rPr>
          <w:t>1.9.1</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Study monitoring</w:t>
        </w:r>
        <w:r w:rsidR="007501F4">
          <w:rPr>
            <w:noProof/>
            <w:webHidden/>
          </w:rPr>
          <w:tab/>
        </w:r>
        <w:r w:rsidR="007501F4">
          <w:rPr>
            <w:noProof/>
            <w:webHidden/>
          </w:rPr>
          <w:fldChar w:fldCharType="begin"/>
        </w:r>
        <w:r w:rsidR="007501F4">
          <w:rPr>
            <w:noProof/>
            <w:webHidden/>
          </w:rPr>
          <w:instrText xml:space="preserve"> PAGEREF _Toc52468101 \h </w:instrText>
        </w:r>
        <w:r w:rsidR="007501F4">
          <w:rPr>
            <w:noProof/>
            <w:webHidden/>
          </w:rPr>
        </w:r>
        <w:r w:rsidR="007501F4">
          <w:rPr>
            <w:noProof/>
            <w:webHidden/>
          </w:rPr>
          <w:fldChar w:fldCharType="separate"/>
        </w:r>
        <w:r w:rsidR="007501F4">
          <w:rPr>
            <w:noProof/>
            <w:webHidden/>
          </w:rPr>
          <w:t>22</w:t>
        </w:r>
        <w:r w:rsidR="007501F4">
          <w:rPr>
            <w:noProof/>
            <w:webHidden/>
          </w:rPr>
          <w:fldChar w:fldCharType="end"/>
        </w:r>
      </w:hyperlink>
    </w:p>
    <w:p w14:paraId="49F860FB" w14:textId="05275AFF" w:rsidR="007501F4" w:rsidRDefault="00C65F3E">
      <w:pPr>
        <w:pStyle w:val="TDC3"/>
        <w:rPr>
          <w:rFonts w:asciiTheme="minorHAnsi" w:eastAsiaTheme="minorEastAsia" w:hAnsiTheme="minorHAnsi" w:cstheme="minorBidi"/>
          <w:noProof/>
          <w:sz w:val="24"/>
          <w:szCs w:val="24"/>
          <w:lang w:val="es-ES" w:eastAsia="es-ES_tradnl"/>
        </w:rPr>
      </w:pPr>
      <w:hyperlink w:anchor="_Toc52468102" w:history="1">
        <w:r w:rsidR="007501F4" w:rsidRPr="005F78CB">
          <w:rPr>
            <w:rStyle w:val="Hipervnculo"/>
            <w:noProof/>
          </w:rPr>
          <w:t>1.9.2</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Data base management and quality control</w:t>
        </w:r>
        <w:r w:rsidR="007501F4">
          <w:rPr>
            <w:noProof/>
            <w:webHidden/>
          </w:rPr>
          <w:tab/>
        </w:r>
        <w:r w:rsidR="007501F4">
          <w:rPr>
            <w:noProof/>
            <w:webHidden/>
          </w:rPr>
          <w:fldChar w:fldCharType="begin"/>
        </w:r>
        <w:r w:rsidR="007501F4">
          <w:rPr>
            <w:noProof/>
            <w:webHidden/>
          </w:rPr>
          <w:instrText xml:space="preserve"> PAGEREF _Toc52468102 \h </w:instrText>
        </w:r>
        <w:r w:rsidR="007501F4">
          <w:rPr>
            <w:noProof/>
            <w:webHidden/>
          </w:rPr>
        </w:r>
        <w:r w:rsidR="007501F4">
          <w:rPr>
            <w:noProof/>
            <w:webHidden/>
          </w:rPr>
          <w:fldChar w:fldCharType="separate"/>
        </w:r>
        <w:r w:rsidR="007501F4">
          <w:rPr>
            <w:noProof/>
            <w:webHidden/>
          </w:rPr>
          <w:t>22</w:t>
        </w:r>
        <w:r w:rsidR="007501F4">
          <w:rPr>
            <w:noProof/>
            <w:webHidden/>
          </w:rPr>
          <w:fldChar w:fldCharType="end"/>
        </w:r>
      </w:hyperlink>
    </w:p>
    <w:p w14:paraId="58AD4962" w14:textId="5534046C" w:rsidR="007501F4" w:rsidRDefault="00C65F3E">
      <w:pPr>
        <w:pStyle w:val="TDC3"/>
        <w:rPr>
          <w:rFonts w:asciiTheme="minorHAnsi" w:eastAsiaTheme="minorEastAsia" w:hAnsiTheme="minorHAnsi" w:cstheme="minorBidi"/>
          <w:noProof/>
          <w:sz w:val="24"/>
          <w:szCs w:val="24"/>
          <w:lang w:val="es-ES" w:eastAsia="es-ES_tradnl"/>
        </w:rPr>
      </w:pPr>
      <w:hyperlink w:anchor="_Toc52468103" w:history="1">
        <w:r w:rsidR="007501F4" w:rsidRPr="005F78CB">
          <w:rPr>
            <w:rStyle w:val="Hipervnculo"/>
            <w:noProof/>
          </w:rPr>
          <w:t>1.9.3</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Quality assurance and auditing</w:t>
        </w:r>
        <w:r w:rsidR="007501F4">
          <w:rPr>
            <w:noProof/>
            <w:webHidden/>
          </w:rPr>
          <w:tab/>
        </w:r>
        <w:r w:rsidR="007501F4">
          <w:rPr>
            <w:noProof/>
            <w:webHidden/>
          </w:rPr>
          <w:fldChar w:fldCharType="begin"/>
        </w:r>
        <w:r w:rsidR="007501F4">
          <w:rPr>
            <w:noProof/>
            <w:webHidden/>
          </w:rPr>
          <w:instrText xml:space="preserve"> PAGEREF _Toc52468103 \h </w:instrText>
        </w:r>
        <w:r w:rsidR="007501F4">
          <w:rPr>
            <w:noProof/>
            <w:webHidden/>
          </w:rPr>
        </w:r>
        <w:r w:rsidR="007501F4">
          <w:rPr>
            <w:noProof/>
            <w:webHidden/>
          </w:rPr>
          <w:fldChar w:fldCharType="separate"/>
        </w:r>
        <w:r w:rsidR="007501F4">
          <w:rPr>
            <w:noProof/>
            <w:webHidden/>
          </w:rPr>
          <w:t>23</w:t>
        </w:r>
        <w:r w:rsidR="007501F4">
          <w:rPr>
            <w:noProof/>
            <w:webHidden/>
          </w:rPr>
          <w:fldChar w:fldCharType="end"/>
        </w:r>
      </w:hyperlink>
    </w:p>
    <w:p w14:paraId="0AE52A64" w14:textId="453CBFEF" w:rsidR="007501F4" w:rsidRDefault="00C65F3E">
      <w:pPr>
        <w:pStyle w:val="TDC2"/>
        <w:rPr>
          <w:rFonts w:asciiTheme="minorHAnsi" w:eastAsiaTheme="minorEastAsia" w:hAnsiTheme="minorHAnsi" w:cstheme="minorBidi"/>
          <w:noProof/>
          <w:sz w:val="24"/>
          <w:szCs w:val="24"/>
          <w:lang w:val="es-ES" w:eastAsia="es-ES_tradnl"/>
        </w:rPr>
      </w:pPr>
      <w:hyperlink w:anchor="_Toc52468104" w:history="1">
        <w:r w:rsidR="007501F4" w:rsidRPr="005F78CB">
          <w:rPr>
            <w:rStyle w:val="Hipervnculo"/>
            <w:noProof/>
          </w:rPr>
          <w:t>1.10</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Statistical Methods</w:t>
        </w:r>
        <w:r w:rsidR="007501F4">
          <w:rPr>
            <w:noProof/>
            <w:webHidden/>
          </w:rPr>
          <w:tab/>
        </w:r>
        <w:r w:rsidR="007501F4">
          <w:rPr>
            <w:noProof/>
            <w:webHidden/>
          </w:rPr>
          <w:fldChar w:fldCharType="begin"/>
        </w:r>
        <w:r w:rsidR="007501F4">
          <w:rPr>
            <w:noProof/>
            <w:webHidden/>
          </w:rPr>
          <w:instrText xml:space="preserve"> PAGEREF _Toc52468104 \h </w:instrText>
        </w:r>
        <w:r w:rsidR="007501F4">
          <w:rPr>
            <w:noProof/>
            <w:webHidden/>
          </w:rPr>
        </w:r>
        <w:r w:rsidR="007501F4">
          <w:rPr>
            <w:noProof/>
            <w:webHidden/>
          </w:rPr>
          <w:fldChar w:fldCharType="separate"/>
        </w:r>
        <w:r w:rsidR="007501F4">
          <w:rPr>
            <w:noProof/>
            <w:webHidden/>
          </w:rPr>
          <w:t>23</w:t>
        </w:r>
        <w:r w:rsidR="007501F4">
          <w:rPr>
            <w:noProof/>
            <w:webHidden/>
          </w:rPr>
          <w:fldChar w:fldCharType="end"/>
        </w:r>
      </w:hyperlink>
    </w:p>
    <w:p w14:paraId="1498067D" w14:textId="5BFC4F86" w:rsidR="007501F4" w:rsidRDefault="00C65F3E">
      <w:pPr>
        <w:pStyle w:val="TDC3"/>
        <w:rPr>
          <w:rFonts w:asciiTheme="minorHAnsi" w:eastAsiaTheme="minorEastAsia" w:hAnsiTheme="minorHAnsi" w:cstheme="minorBidi"/>
          <w:noProof/>
          <w:sz w:val="24"/>
          <w:szCs w:val="24"/>
          <w:lang w:val="es-ES" w:eastAsia="es-ES_tradnl"/>
        </w:rPr>
      </w:pPr>
      <w:hyperlink w:anchor="_Toc52468105" w:history="1">
        <w:r w:rsidR="007501F4" w:rsidRPr="005F78CB">
          <w:rPr>
            <w:rStyle w:val="Hipervnculo"/>
            <w:noProof/>
          </w:rPr>
          <w:t>1.10.1</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Analysis populations</w:t>
        </w:r>
        <w:r w:rsidR="007501F4">
          <w:rPr>
            <w:noProof/>
            <w:webHidden/>
          </w:rPr>
          <w:tab/>
        </w:r>
        <w:r w:rsidR="007501F4">
          <w:rPr>
            <w:noProof/>
            <w:webHidden/>
          </w:rPr>
          <w:fldChar w:fldCharType="begin"/>
        </w:r>
        <w:r w:rsidR="007501F4">
          <w:rPr>
            <w:noProof/>
            <w:webHidden/>
          </w:rPr>
          <w:instrText xml:space="preserve"> PAGEREF _Toc52468105 \h </w:instrText>
        </w:r>
        <w:r w:rsidR="007501F4">
          <w:rPr>
            <w:noProof/>
            <w:webHidden/>
          </w:rPr>
        </w:r>
        <w:r w:rsidR="007501F4">
          <w:rPr>
            <w:noProof/>
            <w:webHidden/>
          </w:rPr>
          <w:fldChar w:fldCharType="separate"/>
        </w:r>
        <w:r w:rsidR="007501F4">
          <w:rPr>
            <w:noProof/>
            <w:webHidden/>
          </w:rPr>
          <w:t>23</w:t>
        </w:r>
        <w:r w:rsidR="007501F4">
          <w:rPr>
            <w:noProof/>
            <w:webHidden/>
          </w:rPr>
          <w:fldChar w:fldCharType="end"/>
        </w:r>
      </w:hyperlink>
    </w:p>
    <w:p w14:paraId="273D99D1" w14:textId="71A82D9B" w:rsidR="007501F4" w:rsidRDefault="00C65F3E">
      <w:pPr>
        <w:pStyle w:val="TDC3"/>
        <w:rPr>
          <w:rFonts w:asciiTheme="minorHAnsi" w:eastAsiaTheme="minorEastAsia" w:hAnsiTheme="minorHAnsi" w:cstheme="minorBidi"/>
          <w:noProof/>
          <w:sz w:val="24"/>
          <w:szCs w:val="24"/>
          <w:lang w:val="es-ES" w:eastAsia="es-ES_tradnl"/>
        </w:rPr>
      </w:pPr>
      <w:hyperlink w:anchor="_Toc52468106" w:history="1">
        <w:r w:rsidR="007501F4" w:rsidRPr="005F78CB">
          <w:rPr>
            <w:rStyle w:val="Hipervnculo"/>
            <w:noProof/>
            <w:lang w:eastAsia="es-ES"/>
          </w:rPr>
          <w:t>1.10.2</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lang w:eastAsia="es-ES"/>
          </w:rPr>
          <w:t>General methodology</w:t>
        </w:r>
        <w:r w:rsidR="007501F4">
          <w:rPr>
            <w:noProof/>
            <w:webHidden/>
          </w:rPr>
          <w:tab/>
        </w:r>
        <w:r w:rsidR="007501F4">
          <w:rPr>
            <w:noProof/>
            <w:webHidden/>
          </w:rPr>
          <w:fldChar w:fldCharType="begin"/>
        </w:r>
        <w:r w:rsidR="007501F4">
          <w:rPr>
            <w:noProof/>
            <w:webHidden/>
          </w:rPr>
          <w:instrText xml:space="preserve"> PAGEREF _Toc52468106 \h </w:instrText>
        </w:r>
        <w:r w:rsidR="007501F4">
          <w:rPr>
            <w:noProof/>
            <w:webHidden/>
          </w:rPr>
        </w:r>
        <w:r w:rsidR="007501F4">
          <w:rPr>
            <w:noProof/>
            <w:webHidden/>
          </w:rPr>
          <w:fldChar w:fldCharType="separate"/>
        </w:r>
        <w:r w:rsidR="007501F4">
          <w:rPr>
            <w:noProof/>
            <w:webHidden/>
          </w:rPr>
          <w:t>23</w:t>
        </w:r>
        <w:r w:rsidR="007501F4">
          <w:rPr>
            <w:noProof/>
            <w:webHidden/>
          </w:rPr>
          <w:fldChar w:fldCharType="end"/>
        </w:r>
      </w:hyperlink>
    </w:p>
    <w:p w14:paraId="0142A771" w14:textId="06083AB0" w:rsidR="007501F4" w:rsidRDefault="00C65F3E">
      <w:pPr>
        <w:pStyle w:val="TDC3"/>
        <w:rPr>
          <w:rFonts w:asciiTheme="minorHAnsi" w:eastAsiaTheme="minorEastAsia" w:hAnsiTheme="minorHAnsi" w:cstheme="minorBidi"/>
          <w:noProof/>
          <w:sz w:val="24"/>
          <w:szCs w:val="24"/>
          <w:lang w:val="es-ES" w:eastAsia="es-ES_tradnl"/>
        </w:rPr>
      </w:pPr>
      <w:hyperlink w:anchor="_Toc52468107" w:history="1">
        <w:r w:rsidR="007501F4" w:rsidRPr="005F78CB">
          <w:rPr>
            <w:rStyle w:val="Hipervnculo"/>
            <w:noProof/>
            <w:lang w:eastAsia="es-ES"/>
          </w:rPr>
          <w:t>1.10.3</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lang w:eastAsia="es-ES"/>
          </w:rPr>
          <w:t>Patient disposition</w:t>
        </w:r>
        <w:r w:rsidR="007501F4">
          <w:rPr>
            <w:noProof/>
            <w:webHidden/>
          </w:rPr>
          <w:tab/>
        </w:r>
        <w:r w:rsidR="007501F4">
          <w:rPr>
            <w:noProof/>
            <w:webHidden/>
          </w:rPr>
          <w:fldChar w:fldCharType="begin"/>
        </w:r>
        <w:r w:rsidR="007501F4">
          <w:rPr>
            <w:noProof/>
            <w:webHidden/>
          </w:rPr>
          <w:instrText xml:space="preserve"> PAGEREF _Toc52468107 \h </w:instrText>
        </w:r>
        <w:r w:rsidR="007501F4">
          <w:rPr>
            <w:noProof/>
            <w:webHidden/>
          </w:rPr>
        </w:r>
        <w:r w:rsidR="007501F4">
          <w:rPr>
            <w:noProof/>
            <w:webHidden/>
          </w:rPr>
          <w:fldChar w:fldCharType="separate"/>
        </w:r>
        <w:r w:rsidR="007501F4">
          <w:rPr>
            <w:noProof/>
            <w:webHidden/>
          </w:rPr>
          <w:t>23</w:t>
        </w:r>
        <w:r w:rsidR="007501F4">
          <w:rPr>
            <w:noProof/>
            <w:webHidden/>
          </w:rPr>
          <w:fldChar w:fldCharType="end"/>
        </w:r>
      </w:hyperlink>
    </w:p>
    <w:p w14:paraId="751E5C96" w14:textId="07FD22C4" w:rsidR="007501F4" w:rsidRDefault="00C65F3E">
      <w:pPr>
        <w:pStyle w:val="TDC3"/>
        <w:rPr>
          <w:rFonts w:asciiTheme="minorHAnsi" w:eastAsiaTheme="minorEastAsia" w:hAnsiTheme="minorHAnsi" w:cstheme="minorBidi"/>
          <w:noProof/>
          <w:sz w:val="24"/>
          <w:szCs w:val="24"/>
          <w:lang w:val="es-ES" w:eastAsia="es-ES_tradnl"/>
        </w:rPr>
      </w:pPr>
      <w:hyperlink w:anchor="_Toc52468108" w:history="1">
        <w:r w:rsidR="007501F4" w:rsidRPr="005F78CB">
          <w:rPr>
            <w:rStyle w:val="Hipervnculo"/>
            <w:noProof/>
            <w:lang w:eastAsia="es-ES"/>
          </w:rPr>
          <w:t>1.10.4</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lang w:eastAsia="es-ES"/>
          </w:rPr>
          <w:t>Demographics and other baseline characteristics</w:t>
        </w:r>
        <w:r w:rsidR="007501F4">
          <w:rPr>
            <w:noProof/>
            <w:webHidden/>
          </w:rPr>
          <w:tab/>
        </w:r>
        <w:r w:rsidR="007501F4">
          <w:rPr>
            <w:noProof/>
            <w:webHidden/>
          </w:rPr>
          <w:fldChar w:fldCharType="begin"/>
        </w:r>
        <w:r w:rsidR="007501F4">
          <w:rPr>
            <w:noProof/>
            <w:webHidden/>
          </w:rPr>
          <w:instrText xml:space="preserve"> PAGEREF _Toc52468108 \h </w:instrText>
        </w:r>
        <w:r w:rsidR="007501F4">
          <w:rPr>
            <w:noProof/>
            <w:webHidden/>
          </w:rPr>
        </w:r>
        <w:r w:rsidR="007501F4">
          <w:rPr>
            <w:noProof/>
            <w:webHidden/>
          </w:rPr>
          <w:fldChar w:fldCharType="separate"/>
        </w:r>
        <w:r w:rsidR="007501F4">
          <w:rPr>
            <w:noProof/>
            <w:webHidden/>
          </w:rPr>
          <w:t>24</w:t>
        </w:r>
        <w:r w:rsidR="007501F4">
          <w:rPr>
            <w:noProof/>
            <w:webHidden/>
          </w:rPr>
          <w:fldChar w:fldCharType="end"/>
        </w:r>
      </w:hyperlink>
    </w:p>
    <w:p w14:paraId="28D2CBB9" w14:textId="4BC65788" w:rsidR="007501F4" w:rsidRDefault="00C65F3E">
      <w:pPr>
        <w:pStyle w:val="TDC3"/>
        <w:rPr>
          <w:rFonts w:asciiTheme="minorHAnsi" w:eastAsiaTheme="minorEastAsia" w:hAnsiTheme="minorHAnsi" w:cstheme="minorBidi"/>
          <w:noProof/>
          <w:sz w:val="24"/>
          <w:szCs w:val="24"/>
          <w:lang w:val="es-ES" w:eastAsia="es-ES_tradnl"/>
        </w:rPr>
      </w:pPr>
      <w:hyperlink w:anchor="_Toc52468109" w:history="1">
        <w:r w:rsidR="007501F4" w:rsidRPr="005F78CB">
          <w:rPr>
            <w:rStyle w:val="Hipervnculo"/>
            <w:noProof/>
            <w:lang w:eastAsia="es-ES"/>
          </w:rPr>
          <w:t>1.10.5</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lang w:eastAsia="es-ES"/>
          </w:rPr>
          <w:t>Duration and extent of exposure</w:t>
        </w:r>
        <w:r w:rsidR="007501F4">
          <w:rPr>
            <w:noProof/>
            <w:webHidden/>
          </w:rPr>
          <w:tab/>
        </w:r>
        <w:r w:rsidR="007501F4">
          <w:rPr>
            <w:noProof/>
            <w:webHidden/>
          </w:rPr>
          <w:fldChar w:fldCharType="begin"/>
        </w:r>
        <w:r w:rsidR="007501F4">
          <w:rPr>
            <w:noProof/>
            <w:webHidden/>
          </w:rPr>
          <w:instrText xml:space="preserve"> PAGEREF _Toc52468109 \h </w:instrText>
        </w:r>
        <w:r w:rsidR="007501F4">
          <w:rPr>
            <w:noProof/>
            <w:webHidden/>
          </w:rPr>
        </w:r>
        <w:r w:rsidR="007501F4">
          <w:rPr>
            <w:noProof/>
            <w:webHidden/>
          </w:rPr>
          <w:fldChar w:fldCharType="separate"/>
        </w:r>
        <w:r w:rsidR="007501F4">
          <w:rPr>
            <w:noProof/>
            <w:webHidden/>
          </w:rPr>
          <w:t>24</w:t>
        </w:r>
        <w:r w:rsidR="007501F4">
          <w:rPr>
            <w:noProof/>
            <w:webHidden/>
          </w:rPr>
          <w:fldChar w:fldCharType="end"/>
        </w:r>
      </w:hyperlink>
    </w:p>
    <w:p w14:paraId="39DE4682" w14:textId="6CD994D6" w:rsidR="007501F4" w:rsidRDefault="00C65F3E">
      <w:pPr>
        <w:pStyle w:val="TDC3"/>
        <w:rPr>
          <w:rFonts w:asciiTheme="minorHAnsi" w:eastAsiaTheme="minorEastAsia" w:hAnsiTheme="minorHAnsi" w:cstheme="minorBidi"/>
          <w:noProof/>
          <w:sz w:val="24"/>
          <w:szCs w:val="24"/>
          <w:lang w:val="es-ES" w:eastAsia="es-ES_tradnl"/>
        </w:rPr>
      </w:pPr>
      <w:hyperlink w:anchor="_Toc52468110" w:history="1">
        <w:r w:rsidR="007501F4" w:rsidRPr="005F78CB">
          <w:rPr>
            <w:rStyle w:val="Hipervnculo"/>
            <w:noProof/>
          </w:rPr>
          <w:t>1.10.6</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Concomitant medications.</w:t>
        </w:r>
        <w:r w:rsidR="007501F4">
          <w:rPr>
            <w:noProof/>
            <w:webHidden/>
          </w:rPr>
          <w:tab/>
        </w:r>
        <w:r w:rsidR="007501F4">
          <w:rPr>
            <w:noProof/>
            <w:webHidden/>
          </w:rPr>
          <w:fldChar w:fldCharType="begin"/>
        </w:r>
        <w:r w:rsidR="007501F4">
          <w:rPr>
            <w:noProof/>
            <w:webHidden/>
          </w:rPr>
          <w:instrText xml:space="preserve"> PAGEREF _Toc52468110 \h </w:instrText>
        </w:r>
        <w:r w:rsidR="007501F4">
          <w:rPr>
            <w:noProof/>
            <w:webHidden/>
          </w:rPr>
        </w:r>
        <w:r w:rsidR="007501F4">
          <w:rPr>
            <w:noProof/>
            <w:webHidden/>
          </w:rPr>
          <w:fldChar w:fldCharType="separate"/>
        </w:r>
        <w:r w:rsidR="007501F4">
          <w:rPr>
            <w:noProof/>
            <w:webHidden/>
          </w:rPr>
          <w:t>24</w:t>
        </w:r>
        <w:r w:rsidR="007501F4">
          <w:rPr>
            <w:noProof/>
            <w:webHidden/>
          </w:rPr>
          <w:fldChar w:fldCharType="end"/>
        </w:r>
      </w:hyperlink>
    </w:p>
    <w:p w14:paraId="1F43BBF3" w14:textId="57367F49" w:rsidR="007501F4" w:rsidRDefault="00C65F3E">
      <w:pPr>
        <w:pStyle w:val="TDC3"/>
        <w:rPr>
          <w:rFonts w:asciiTheme="minorHAnsi" w:eastAsiaTheme="minorEastAsia" w:hAnsiTheme="minorHAnsi" w:cstheme="minorBidi"/>
          <w:noProof/>
          <w:sz w:val="24"/>
          <w:szCs w:val="24"/>
          <w:lang w:val="es-ES" w:eastAsia="es-ES_tradnl"/>
        </w:rPr>
      </w:pPr>
      <w:hyperlink w:anchor="_Toc52468111" w:history="1">
        <w:r w:rsidR="007501F4" w:rsidRPr="005F78CB">
          <w:rPr>
            <w:rStyle w:val="Hipervnculo"/>
            <w:noProof/>
          </w:rPr>
          <w:t>1.10.7</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Efficacy analysis.</w:t>
        </w:r>
        <w:r w:rsidR="007501F4">
          <w:rPr>
            <w:noProof/>
            <w:webHidden/>
          </w:rPr>
          <w:tab/>
        </w:r>
        <w:r w:rsidR="007501F4">
          <w:rPr>
            <w:noProof/>
            <w:webHidden/>
          </w:rPr>
          <w:fldChar w:fldCharType="begin"/>
        </w:r>
        <w:r w:rsidR="007501F4">
          <w:rPr>
            <w:noProof/>
            <w:webHidden/>
          </w:rPr>
          <w:instrText xml:space="preserve"> PAGEREF _Toc52468111 \h </w:instrText>
        </w:r>
        <w:r w:rsidR="007501F4">
          <w:rPr>
            <w:noProof/>
            <w:webHidden/>
          </w:rPr>
        </w:r>
        <w:r w:rsidR="007501F4">
          <w:rPr>
            <w:noProof/>
            <w:webHidden/>
          </w:rPr>
          <w:fldChar w:fldCharType="separate"/>
        </w:r>
        <w:r w:rsidR="007501F4">
          <w:rPr>
            <w:noProof/>
            <w:webHidden/>
          </w:rPr>
          <w:t>24</w:t>
        </w:r>
        <w:r w:rsidR="007501F4">
          <w:rPr>
            <w:noProof/>
            <w:webHidden/>
          </w:rPr>
          <w:fldChar w:fldCharType="end"/>
        </w:r>
      </w:hyperlink>
    </w:p>
    <w:p w14:paraId="048E2123" w14:textId="5331303B" w:rsidR="007501F4" w:rsidRDefault="00C65F3E">
      <w:pPr>
        <w:pStyle w:val="TDC3"/>
        <w:rPr>
          <w:rFonts w:asciiTheme="minorHAnsi" w:eastAsiaTheme="minorEastAsia" w:hAnsiTheme="minorHAnsi" w:cstheme="minorBidi"/>
          <w:noProof/>
          <w:sz w:val="24"/>
          <w:szCs w:val="24"/>
          <w:lang w:val="es-ES" w:eastAsia="es-ES_tradnl"/>
        </w:rPr>
      </w:pPr>
      <w:hyperlink w:anchor="_Toc52468112" w:history="1">
        <w:r w:rsidR="007501F4" w:rsidRPr="005F78CB">
          <w:rPr>
            <w:rStyle w:val="Hipervnculo"/>
            <w:noProof/>
          </w:rPr>
          <w:t>1.10.8</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Translational sub-studies</w:t>
        </w:r>
        <w:r w:rsidR="007501F4">
          <w:rPr>
            <w:noProof/>
            <w:webHidden/>
          </w:rPr>
          <w:tab/>
        </w:r>
        <w:r w:rsidR="007501F4">
          <w:rPr>
            <w:noProof/>
            <w:webHidden/>
          </w:rPr>
          <w:fldChar w:fldCharType="begin"/>
        </w:r>
        <w:r w:rsidR="007501F4">
          <w:rPr>
            <w:noProof/>
            <w:webHidden/>
          </w:rPr>
          <w:instrText xml:space="preserve"> PAGEREF _Toc52468112 \h </w:instrText>
        </w:r>
        <w:r w:rsidR="007501F4">
          <w:rPr>
            <w:noProof/>
            <w:webHidden/>
          </w:rPr>
        </w:r>
        <w:r w:rsidR="007501F4">
          <w:rPr>
            <w:noProof/>
            <w:webHidden/>
          </w:rPr>
          <w:fldChar w:fldCharType="separate"/>
        </w:r>
        <w:r w:rsidR="007501F4">
          <w:rPr>
            <w:noProof/>
            <w:webHidden/>
          </w:rPr>
          <w:t>25</w:t>
        </w:r>
        <w:r w:rsidR="007501F4">
          <w:rPr>
            <w:noProof/>
            <w:webHidden/>
          </w:rPr>
          <w:fldChar w:fldCharType="end"/>
        </w:r>
      </w:hyperlink>
    </w:p>
    <w:p w14:paraId="5B99F69B" w14:textId="07B8E525" w:rsidR="007501F4" w:rsidRDefault="00C65F3E">
      <w:pPr>
        <w:pStyle w:val="TDC3"/>
        <w:rPr>
          <w:rFonts w:asciiTheme="minorHAnsi" w:eastAsiaTheme="minorEastAsia" w:hAnsiTheme="minorHAnsi" w:cstheme="minorBidi"/>
          <w:noProof/>
          <w:sz w:val="24"/>
          <w:szCs w:val="24"/>
          <w:lang w:val="es-ES" w:eastAsia="es-ES_tradnl"/>
        </w:rPr>
      </w:pPr>
      <w:hyperlink w:anchor="_Toc52468113" w:history="1">
        <w:r w:rsidR="007501F4" w:rsidRPr="005F78CB">
          <w:rPr>
            <w:rStyle w:val="Hipervnculo"/>
            <w:noProof/>
            <w:lang w:eastAsia="es-ES"/>
          </w:rPr>
          <w:t>1.10.9</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lang w:eastAsia="es-ES"/>
          </w:rPr>
          <w:t>Safety analyses</w:t>
        </w:r>
        <w:r w:rsidR="007501F4">
          <w:rPr>
            <w:noProof/>
            <w:webHidden/>
          </w:rPr>
          <w:tab/>
        </w:r>
        <w:r w:rsidR="007501F4">
          <w:rPr>
            <w:noProof/>
            <w:webHidden/>
          </w:rPr>
          <w:fldChar w:fldCharType="begin"/>
        </w:r>
        <w:r w:rsidR="007501F4">
          <w:rPr>
            <w:noProof/>
            <w:webHidden/>
          </w:rPr>
          <w:instrText xml:space="preserve"> PAGEREF _Toc52468113 \h </w:instrText>
        </w:r>
        <w:r w:rsidR="007501F4">
          <w:rPr>
            <w:noProof/>
            <w:webHidden/>
          </w:rPr>
        </w:r>
        <w:r w:rsidR="007501F4">
          <w:rPr>
            <w:noProof/>
            <w:webHidden/>
          </w:rPr>
          <w:fldChar w:fldCharType="separate"/>
        </w:r>
        <w:r w:rsidR="007501F4">
          <w:rPr>
            <w:noProof/>
            <w:webHidden/>
          </w:rPr>
          <w:t>25</w:t>
        </w:r>
        <w:r w:rsidR="007501F4">
          <w:rPr>
            <w:noProof/>
            <w:webHidden/>
          </w:rPr>
          <w:fldChar w:fldCharType="end"/>
        </w:r>
      </w:hyperlink>
    </w:p>
    <w:p w14:paraId="3C968FAB" w14:textId="6B1C86D6" w:rsidR="007501F4" w:rsidRDefault="00C65F3E">
      <w:pPr>
        <w:pStyle w:val="TDC3"/>
        <w:rPr>
          <w:rFonts w:asciiTheme="minorHAnsi" w:eastAsiaTheme="minorEastAsia" w:hAnsiTheme="minorHAnsi" w:cstheme="minorBidi"/>
          <w:noProof/>
          <w:sz w:val="24"/>
          <w:szCs w:val="24"/>
          <w:lang w:val="es-ES" w:eastAsia="es-ES_tradnl"/>
        </w:rPr>
      </w:pPr>
      <w:hyperlink w:anchor="_Toc52468114" w:history="1">
        <w:r w:rsidR="007501F4" w:rsidRPr="005F78CB">
          <w:rPr>
            <w:rStyle w:val="Hipervnculo"/>
            <w:noProof/>
            <w:lang w:eastAsia="es-ES"/>
          </w:rPr>
          <w:t>1.10.10</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lang w:eastAsia="es-ES"/>
          </w:rPr>
          <w:t>Handling of missing values/censoring/discontinuations</w:t>
        </w:r>
        <w:r w:rsidR="007501F4">
          <w:rPr>
            <w:noProof/>
            <w:webHidden/>
          </w:rPr>
          <w:tab/>
        </w:r>
        <w:r w:rsidR="007501F4">
          <w:rPr>
            <w:noProof/>
            <w:webHidden/>
          </w:rPr>
          <w:fldChar w:fldCharType="begin"/>
        </w:r>
        <w:r w:rsidR="007501F4">
          <w:rPr>
            <w:noProof/>
            <w:webHidden/>
          </w:rPr>
          <w:instrText xml:space="preserve"> PAGEREF _Toc52468114 \h </w:instrText>
        </w:r>
        <w:r w:rsidR="007501F4">
          <w:rPr>
            <w:noProof/>
            <w:webHidden/>
          </w:rPr>
        </w:r>
        <w:r w:rsidR="007501F4">
          <w:rPr>
            <w:noProof/>
            <w:webHidden/>
          </w:rPr>
          <w:fldChar w:fldCharType="separate"/>
        </w:r>
        <w:r w:rsidR="007501F4">
          <w:rPr>
            <w:noProof/>
            <w:webHidden/>
          </w:rPr>
          <w:t>26</w:t>
        </w:r>
        <w:r w:rsidR="007501F4">
          <w:rPr>
            <w:noProof/>
            <w:webHidden/>
          </w:rPr>
          <w:fldChar w:fldCharType="end"/>
        </w:r>
      </w:hyperlink>
    </w:p>
    <w:p w14:paraId="77127A85" w14:textId="2F781EE8" w:rsidR="007501F4" w:rsidRDefault="00C65F3E">
      <w:pPr>
        <w:pStyle w:val="TDC3"/>
        <w:rPr>
          <w:rFonts w:asciiTheme="minorHAnsi" w:eastAsiaTheme="minorEastAsia" w:hAnsiTheme="minorHAnsi" w:cstheme="minorBidi"/>
          <w:noProof/>
          <w:sz w:val="24"/>
          <w:szCs w:val="24"/>
          <w:lang w:val="es-ES" w:eastAsia="es-ES_tradnl"/>
        </w:rPr>
      </w:pPr>
      <w:hyperlink w:anchor="_Toc52468115" w:history="1">
        <w:r w:rsidR="007501F4" w:rsidRPr="005F78CB">
          <w:rPr>
            <w:rStyle w:val="Hipervnculo"/>
            <w:noProof/>
            <w:lang w:eastAsia="es-ES"/>
          </w:rPr>
          <w:t>1.10.11</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lang w:eastAsia="es-ES"/>
          </w:rPr>
          <w:t>Sample size calculation</w:t>
        </w:r>
        <w:r w:rsidR="007501F4">
          <w:rPr>
            <w:noProof/>
            <w:webHidden/>
          </w:rPr>
          <w:tab/>
        </w:r>
        <w:r w:rsidR="007501F4">
          <w:rPr>
            <w:noProof/>
            <w:webHidden/>
          </w:rPr>
          <w:fldChar w:fldCharType="begin"/>
        </w:r>
        <w:r w:rsidR="007501F4">
          <w:rPr>
            <w:noProof/>
            <w:webHidden/>
          </w:rPr>
          <w:instrText xml:space="preserve"> PAGEREF _Toc52468115 \h </w:instrText>
        </w:r>
        <w:r w:rsidR="007501F4">
          <w:rPr>
            <w:noProof/>
            <w:webHidden/>
          </w:rPr>
        </w:r>
        <w:r w:rsidR="007501F4">
          <w:rPr>
            <w:noProof/>
            <w:webHidden/>
          </w:rPr>
          <w:fldChar w:fldCharType="separate"/>
        </w:r>
        <w:r w:rsidR="007501F4">
          <w:rPr>
            <w:noProof/>
            <w:webHidden/>
          </w:rPr>
          <w:t>26</w:t>
        </w:r>
        <w:r w:rsidR="007501F4">
          <w:rPr>
            <w:noProof/>
            <w:webHidden/>
          </w:rPr>
          <w:fldChar w:fldCharType="end"/>
        </w:r>
      </w:hyperlink>
    </w:p>
    <w:p w14:paraId="1AF333A2" w14:textId="671E2168" w:rsidR="007501F4" w:rsidRDefault="00C65F3E">
      <w:pPr>
        <w:pStyle w:val="TDC3"/>
        <w:rPr>
          <w:rFonts w:asciiTheme="minorHAnsi" w:eastAsiaTheme="minorEastAsia" w:hAnsiTheme="minorHAnsi" w:cstheme="minorBidi"/>
          <w:noProof/>
          <w:sz w:val="24"/>
          <w:szCs w:val="24"/>
          <w:lang w:val="es-ES" w:eastAsia="es-ES_tradnl"/>
        </w:rPr>
      </w:pPr>
      <w:hyperlink w:anchor="_Toc52468116" w:history="1">
        <w:r w:rsidR="007501F4" w:rsidRPr="005F78CB">
          <w:rPr>
            <w:rStyle w:val="Hipervnculo"/>
            <w:noProof/>
            <w:lang w:eastAsia="es-ES"/>
          </w:rPr>
          <w:t>1.10.12</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lang w:eastAsia="es-ES"/>
          </w:rPr>
          <w:t>Interim analysis</w:t>
        </w:r>
        <w:r w:rsidR="007501F4">
          <w:rPr>
            <w:noProof/>
            <w:webHidden/>
          </w:rPr>
          <w:tab/>
        </w:r>
        <w:r w:rsidR="007501F4">
          <w:rPr>
            <w:noProof/>
            <w:webHidden/>
          </w:rPr>
          <w:fldChar w:fldCharType="begin"/>
        </w:r>
        <w:r w:rsidR="007501F4">
          <w:rPr>
            <w:noProof/>
            <w:webHidden/>
          </w:rPr>
          <w:instrText xml:space="preserve"> PAGEREF _Toc52468116 \h </w:instrText>
        </w:r>
        <w:r w:rsidR="007501F4">
          <w:rPr>
            <w:noProof/>
            <w:webHidden/>
          </w:rPr>
        </w:r>
        <w:r w:rsidR="007501F4">
          <w:rPr>
            <w:noProof/>
            <w:webHidden/>
          </w:rPr>
          <w:fldChar w:fldCharType="separate"/>
        </w:r>
        <w:r w:rsidR="007501F4">
          <w:rPr>
            <w:noProof/>
            <w:webHidden/>
          </w:rPr>
          <w:t>27</w:t>
        </w:r>
        <w:r w:rsidR="007501F4">
          <w:rPr>
            <w:noProof/>
            <w:webHidden/>
          </w:rPr>
          <w:fldChar w:fldCharType="end"/>
        </w:r>
      </w:hyperlink>
    </w:p>
    <w:p w14:paraId="7F10964E" w14:textId="4924C1A6" w:rsidR="007501F4" w:rsidRDefault="00C65F3E">
      <w:pPr>
        <w:pStyle w:val="TDC2"/>
        <w:rPr>
          <w:rFonts w:asciiTheme="minorHAnsi" w:eastAsiaTheme="minorEastAsia" w:hAnsiTheme="minorHAnsi" w:cstheme="minorBidi"/>
          <w:noProof/>
          <w:sz w:val="24"/>
          <w:szCs w:val="24"/>
          <w:lang w:val="es-ES" w:eastAsia="es-ES_tradnl"/>
        </w:rPr>
      </w:pPr>
      <w:hyperlink w:anchor="_Toc52468117" w:history="1">
        <w:r w:rsidR="007501F4" w:rsidRPr="005F78CB">
          <w:rPr>
            <w:rStyle w:val="Hipervnculo"/>
            <w:noProof/>
          </w:rPr>
          <w:t>1.11</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Changes in the conduct of the study or planned analyses.</w:t>
        </w:r>
        <w:r w:rsidR="007501F4">
          <w:rPr>
            <w:noProof/>
            <w:webHidden/>
          </w:rPr>
          <w:tab/>
        </w:r>
        <w:r w:rsidR="007501F4">
          <w:rPr>
            <w:noProof/>
            <w:webHidden/>
          </w:rPr>
          <w:fldChar w:fldCharType="begin"/>
        </w:r>
        <w:r w:rsidR="007501F4">
          <w:rPr>
            <w:noProof/>
            <w:webHidden/>
          </w:rPr>
          <w:instrText xml:space="preserve"> PAGEREF _Toc52468117 \h </w:instrText>
        </w:r>
        <w:r w:rsidR="007501F4">
          <w:rPr>
            <w:noProof/>
            <w:webHidden/>
          </w:rPr>
        </w:r>
        <w:r w:rsidR="007501F4">
          <w:rPr>
            <w:noProof/>
            <w:webHidden/>
          </w:rPr>
          <w:fldChar w:fldCharType="separate"/>
        </w:r>
        <w:r w:rsidR="007501F4">
          <w:rPr>
            <w:noProof/>
            <w:webHidden/>
          </w:rPr>
          <w:t>27</w:t>
        </w:r>
        <w:r w:rsidR="007501F4">
          <w:rPr>
            <w:noProof/>
            <w:webHidden/>
          </w:rPr>
          <w:fldChar w:fldCharType="end"/>
        </w:r>
      </w:hyperlink>
    </w:p>
    <w:p w14:paraId="3A6320FA" w14:textId="4D1D0FBD" w:rsidR="007501F4" w:rsidRDefault="00C65F3E">
      <w:pPr>
        <w:pStyle w:val="TDC3"/>
        <w:rPr>
          <w:rFonts w:asciiTheme="minorHAnsi" w:eastAsiaTheme="minorEastAsia" w:hAnsiTheme="minorHAnsi" w:cstheme="minorBidi"/>
          <w:noProof/>
          <w:sz w:val="24"/>
          <w:szCs w:val="24"/>
          <w:lang w:val="es-ES" w:eastAsia="es-ES_tradnl"/>
        </w:rPr>
      </w:pPr>
      <w:hyperlink w:anchor="_Toc52468118" w:history="1">
        <w:r w:rsidR="007501F4" w:rsidRPr="005F78CB">
          <w:rPr>
            <w:rStyle w:val="Hipervnculo"/>
            <w:noProof/>
          </w:rPr>
          <w:t>1.11.1</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Protocol amendments.</w:t>
        </w:r>
        <w:r w:rsidR="007501F4">
          <w:rPr>
            <w:noProof/>
            <w:webHidden/>
          </w:rPr>
          <w:tab/>
        </w:r>
        <w:r w:rsidR="007501F4">
          <w:rPr>
            <w:noProof/>
            <w:webHidden/>
          </w:rPr>
          <w:fldChar w:fldCharType="begin"/>
        </w:r>
        <w:r w:rsidR="007501F4">
          <w:rPr>
            <w:noProof/>
            <w:webHidden/>
          </w:rPr>
          <w:instrText xml:space="preserve"> PAGEREF _Toc52468118 \h </w:instrText>
        </w:r>
        <w:r w:rsidR="007501F4">
          <w:rPr>
            <w:noProof/>
            <w:webHidden/>
          </w:rPr>
        </w:r>
        <w:r w:rsidR="007501F4">
          <w:rPr>
            <w:noProof/>
            <w:webHidden/>
          </w:rPr>
          <w:fldChar w:fldCharType="separate"/>
        </w:r>
        <w:r w:rsidR="007501F4">
          <w:rPr>
            <w:noProof/>
            <w:webHidden/>
          </w:rPr>
          <w:t>27</w:t>
        </w:r>
        <w:r w:rsidR="007501F4">
          <w:rPr>
            <w:noProof/>
            <w:webHidden/>
          </w:rPr>
          <w:fldChar w:fldCharType="end"/>
        </w:r>
      </w:hyperlink>
    </w:p>
    <w:p w14:paraId="07F4ED5E" w14:textId="3A490275" w:rsidR="007501F4" w:rsidRDefault="00C65F3E">
      <w:pPr>
        <w:pStyle w:val="TDC3"/>
        <w:rPr>
          <w:rFonts w:asciiTheme="minorHAnsi" w:eastAsiaTheme="minorEastAsia" w:hAnsiTheme="minorHAnsi" w:cstheme="minorBidi"/>
          <w:noProof/>
          <w:sz w:val="24"/>
          <w:szCs w:val="24"/>
          <w:lang w:val="es-ES" w:eastAsia="es-ES_tradnl"/>
        </w:rPr>
      </w:pPr>
      <w:hyperlink w:anchor="_Toc52468119" w:history="1">
        <w:r w:rsidR="007501F4" w:rsidRPr="005F78CB">
          <w:rPr>
            <w:rStyle w:val="Hipervnculo"/>
            <w:noProof/>
          </w:rPr>
          <w:t>1.11.2</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Changes in planned analyses.</w:t>
        </w:r>
        <w:r w:rsidR="007501F4">
          <w:rPr>
            <w:noProof/>
            <w:webHidden/>
          </w:rPr>
          <w:tab/>
        </w:r>
        <w:r w:rsidR="007501F4">
          <w:rPr>
            <w:noProof/>
            <w:webHidden/>
          </w:rPr>
          <w:fldChar w:fldCharType="begin"/>
        </w:r>
        <w:r w:rsidR="007501F4">
          <w:rPr>
            <w:noProof/>
            <w:webHidden/>
          </w:rPr>
          <w:instrText xml:space="preserve"> PAGEREF _Toc52468119 \h </w:instrText>
        </w:r>
        <w:r w:rsidR="007501F4">
          <w:rPr>
            <w:noProof/>
            <w:webHidden/>
          </w:rPr>
        </w:r>
        <w:r w:rsidR="007501F4">
          <w:rPr>
            <w:noProof/>
            <w:webHidden/>
          </w:rPr>
          <w:fldChar w:fldCharType="separate"/>
        </w:r>
        <w:r w:rsidR="007501F4">
          <w:rPr>
            <w:noProof/>
            <w:webHidden/>
          </w:rPr>
          <w:t>28</w:t>
        </w:r>
        <w:r w:rsidR="007501F4">
          <w:rPr>
            <w:noProof/>
            <w:webHidden/>
          </w:rPr>
          <w:fldChar w:fldCharType="end"/>
        </w:r>
      </w:hyperlink>
    </w:p>
    <w:p w14:paraId="5A42DAC1" w14:textId="47B4B529" w:rsidR="007501F4" w:rsidRDefault="00C65F3E">
      <w:pPr>
        <w:pStyle w:val="TDC1"/>
        <w:rPr>
          <w:rFonts w:asciiTheme="minorHAnsi" w:eastAsiaTheme="minorEastAsia" w:hAnsiTheme="minorHAnsi" w:cstheme="minorBidi"/>
          <w:b w:val="0"/>
          <w:noProof/>
          <w:sz w:val="24"/>
          <w:szCs w:val="24"/>
          <w:lang w:val="es-ES" w:eastAsia="es-ES_tradnl"/>
        </w:rPr>
      </w:pPr>
      <w:hyperlink w:anchor="_Toc52468120" w:history="1">
        <w:r w:rsidR="007501F4" w:rsidRPr="005F78CB">
          <w:rPr>
            <w:rStyle w:val="Hipervnculo"/>
            <w:noProof/>
          </w:rPr>
          <w:t>2</w:t>
        </w:r>
        <w:r w:rsidR="007501F4">
          <w:rPr>
            <w:rFonts w:asciiTheme="minorHAnsi" w:eastAsiaTheme="minorEastAsia" w:hAnsiTheme="minorHAnsi" w:cstheme="minorBidi"/>
            <w:b w:val="0"/>
            <w:noProof/>
            <w:sz w:val="24"/>
            <w:szCs w:val="24"/>
            <w:lang w:val="es-ES" w:eastAsia="es-ES_tradnl"/>
          </w:rPr>
          <w:tab/>
        </w:r>
        <w:r w:rsidR="007501F4" w:rsidRPr="005F78CB">
          <w:rPr>
            <w:rStyle w:val="Hipervnculo"/>
            <w:noProof/>
          </w:rPr>
          <w:t>SUBJECT AND TREATMENT INFORMATION</w:t>
        </w:r>
        <w:r w:rsidR="007501F4">
          <w:rPr>
            <w:noProof/>
            <w:webHidden/>
          </w:rPr>
          <w:tab/>
        </w:r>
        <w:r w:rsidR="007501F4">
          <w:rPr>
            <w:noProof/>
            <w:webHidden/>
          </w:rPr>
          <w:fldChar w:fldCharType="begin"/>
        </w:r>
        <w:r w:rsidR="007501F4">
          <w:rPr>
            <w:noProof/>
            <w:webHidden/>
          </w:rPr>
          <w:instrText xml:space="preserve"> PAGEREF _Toc52468120 \h </w:instrText>
        </w:r>
        <w:r w:rsidR="007501F4">
          <w:rPr>
            <w:noProof/>
            <w:webHidden/>
          </w:rPr>
        </w:r>
        <w:r w:rsidR="007501F4">
          <w:rPr>
            <w:noProof/>
            <w:webHidden/>
          </w:rPr>
          <w:fldChar w:fldCharType="separate"/>
        </w:r>
        <w:r w:rsidR="007501F4">
          <w:rPr>
            <w:noProof/>
            <w:webHidden/>
          </w:rPr>
          <w:t>30</w:t>
        </w:r>
        <w:r w:rsidR="007501F4">
          <w:rPr>
            <w:noProof/>
            <w:webHidden/>
          </w:rPr>
          <w:fldChar w:fldCharType="end"/>
        </w:r>
      </w:hyperlink>
    </w:p>
    <w:p w14:paraId="51CF1360" w14:textId="4CCB0018" w:rsidR="007501F4" w:rsidRDefault="00C65F3E">
      <w:pPr>
        <w:pStyle w:val="TDC2"/>
        <w:rPr>
          <w:rFonts w:asciiTheme="minorHAnsi" w:eastAsiaTheme="minorEastAsia" w:hAnsiTheme="minorHAnsi" w:cstheme="minorBidi"/>
          <w:noProof/>
          <w:sz w:val="24"/>
          <w:szCs w:val="24"/>
          <w:lang w:val="es-ES" w:eastAsia="es-ES_tradnl"/>
        </w:rPr>
      </w:pPr>
      <w:hyperlink w:anchor="_Toc52468121" w:history="1">
        <w:r w:rsidR="007501F4" w:rsidRPr="005F78CB">
          <w:rPr>
            <w:rStyle w:val="Hipervnculo"/>
            <w:noProof/>
          </w:rPr>
          <w:t>2.1</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Disposition of patients</w:t>
        </w:r>
        <w:r w:rsidR="007501F4">
          <w:rPr>
            <w:noProof/>
            <w:webHidden/>
          </w:rPr>
          <w:tab/>
        </w:r>
        <w:r w:rsidR="007501F4">
          <w:rPr>
            <w:noProof/>
            <w:webHidden/>
          </w:rPr>
          <w:fldChar w:fldCharType="begin"/>
        </w:r>
        <w:r w:rsidR="007501F4">
          <w:rPr>
            <w:noProof/>
            <w:webHidden/>
          </w:rPr>
          <w:instrText xml:space="preserve"> PAGEREF _Toc52468121 \h </w:instrText>
        </w:r>
        <w:r w:rsidR="007501F4">
          <w:rPr>
            <w:noProof/>
            <w:webHidden/>
          </w:rPr>
        </w:r>
        <w:r w:rsidR="007501F4">
          <w:rPr>
            <w:noProof/>
            <w:webHidden/>
          </w:rPr>
          <w:fldChar w:fldCharType="separate"/>
        </w:r>
        <w:r w:rsidR="007501F4">
          <w:rPr>
            <w:noProof/>
            <w:webHidden/>
          </w:rPr>
          <w:t>30</w:t>
        </w:r>
        <w:r w:rsidR="007501F4">
          <w:rPr>
            <w:noProof/>
            <w:webHidden/>
          </w:rPr>
          <w:fldChar w:fldCharType="end"/>
        </w:r>
      </w:hyperlink>
    </w:p>
    <w:p w14:paraId="10272DFC" w14:textId="3FCFF0D7" w:rsidR="007501F4" w:rsidRDefault="00C65F3E">
      <w:pPr>
        <w:pStyle w:val="TDC2"/>
        <w:rPr>
          <w:rFonts w:asciiTheme="minorHAnsi" w:eastAsiaTheme="minorEastAsia" w:hAnsiTheme="minorHAnsi" w:cstheme="minorBidi"/>
          <w:noProof/>
          <w:sz w:val="24"/>
          <w:szCs w:val="24"/>
          <w:lang w:val="es-ES" w:eastAsia="es-ES_tradnl"/>
        </w:rPr>
      </w:pPr>
      <w:hyperlink w:anchor="_Toc52468122" w:history="1">
        <w:r w:rsidR="007501F4" w:rsidRPr="005F78CB">
          <w:rPr>
            <w:rStyle w:val="Hipervnculo"/>
            <w:noProof/>
          </w:rPr>
          <w:t>2.2</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Treatment discontinuation and protocol deviations</w:t>
        </w:r>
        <w:r w:rsidR="007501F4">
          <w:rPr>
            <w:noProof/>
            <w:webHidden/>
          </w:rPr>
          <w:tab/>
        </w:r>
        <w:r w:rsidR="007501F4">
          <w:rPr>
            <w:noProof/>
            <w:webHidden/>
          </w:rPr>
          <w:fldChar w:fldCharType="begin"/>
        </w:r>
        <w:r w:rsidR="007501F4">
          <w:rPr>
            <w:noProof/>
            <w:webHidden/>
          </w:rPr>
          <w:instrText xml:space="preserve"> PAGEREF _Toc52468122 \h </w:instrText>
        </w:r>
        <w:r w:rsidR="007501F4">
          <w:rPr>
            <w:noProof/>
            <w:webHidden/>
          </w:rPr>
        </w:r>
        <w:r w:rsidR="007501F4">
          <w:rPr>
            <w:noProof/>
            <w:webHidden/>
          </w:rPr>
          <w:fldChar w:fldCharType="separate"/>
        </w:r>
        <w:r w:rsidR="007501F4">
          <w:rPr>
            <w:noProof/>
            <w:webHidden/>
          </w:rPr>
          <w:t>30</w:t>
        </w:r>
        <w:r w:rsidR="007501F4">
          <w:rPr>
            <w:noProof/>
            <w:webHidden/>
          </w:rPr>
          <w:fldChar w:fldCharType="end"/>
        </w:r>
      </w:hyperlink>
    </w:p>
    <w:p w14:paraId="4A1BC36F" w14:textId="12F39FB0" w:rsidR="007501F4" w:rsidRDefault="00C65F3E">
      <w:pPr>
        <w:pStyle w:val="TDC2"/>
        <w:rPr>
          <w:rFonts w:asciiTheme="minorHAnsi" w:eastAsiaTheme="minorEastAsia" w:hAnsiTheme="minorHAnsi" w:cstheme="minorBidi"/>
          <w:noProof/>
          <w:sz w:val="24"/>
          <w:szCs w:val="24"/>
          <w:lang w:val="es-ES" w:eastAsia="es-ES_tradnl"/>
        </w:rPr>
      </w:pPr>
      <w:hyperlink w:anchor="_Toc52468123" w:history="1">
        <w:r w:rsidR="007501F4" w:rsidRPr="005F78CB">
          <w:rPr>
            <w:rStyle w:val="Hipervnculo"/>
            <w:noProof/>
          </w:rPr>
          <w:t>2.3</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Definition of data sets</w:t>
        </w:r>
        <w:r w:rsidR="007501F4">
          <w:rPr>
            <w:noProof/>
            <w:webHidden/>
          </w:rPr>
          <w:tab/>
        </w:r>
        <w:r w:rsidR="007501F4">
          <w:rPr>
            <w:noProof/>
            <w:webHidden/>
          </w:rPr>
          <w:fldChar w:fldCharType="begin"/>
        </w:r>
        <w:r w:rsidR="007501F4">
          <w:rPr>
            <w:noProof/>
            <w:webHidden/>
          </w:rPr>
          <w:instrText xml:space="preserve"> PAGEREF _Toc52468123 \h </w:instrText>
        </w:r>
        <w:r w:rsidR="007501F4">
          <w:rPr>
            <w:noProof/>
            <w:webHidden/>
          </w:rPr>
        </w:r>
        <w:r w:rsidR="007501F4">
          <w:rPr>
            <w:noProof/>
            <w:webHidden/>
          </w:rPr>
          <w:fldChar w:fldCharType="separate"/>
        </w:r>
        <w:r w:rsidR="007501F4">
          <w:rPr>
            <w:noProof/>
            <w:webHidden/>
          </w:rPr>
          <w:t>30</w:t>
        </w:r>
        <w:r w:rsidR="007501F4">
          <w:rPr>
            <w:noProof/>
            <w:webHidden/>
          </w:rPr>
          <w:fldChar w:fldCharType="end"/>
        </w:r>
      </w:hyperlink>
    </w:p>
    <w:p w14:paraId="26255D95" w14:textId="64C4A083" w:rsidR="007501F4" w:rsidRDefault="00C65F3E">
      <w:pPr>
        <w:pStyle w:val="TDC2"/>
        <w:rPr>
          <w:rFonts w:asciiTheme="minorHAnsi" w:eastAsiaTheme="minorEastAsia" w:hAnsiTheme="minorHAnsi" w:cstheme="minorBidi"/>
          <w:noProof/>
          <w:sz w:val="24"/>
          <w:szCs w:val="24"/>
          <w:lang w:val="es-ES" w:eastAsia="es-ES_tradnl"/>
        </w:rPr>
      </w:pPr>
      <w:hyperlink w:anchor="_Toc52468124" w:history="1">
        <w:r w:rsidR="007501F4" w:rsidRPr="005F78CB">
          <w:rPr>
            <w:rStyle w:val="Hipervnculo"/>
            <w:rFonts w:eastAsia="OTNEJMQuadraat"/>
            <w:noProof/>
            <w:lang w:eastAsia="es-ES"/>
          </w:rPr>
          <w:t>2.4</w:t>
        </w:r>
        <w:r w:rsidR="007501F4">
          <w:rPr>
            <w:rFonts w:asciiTheme="minorHAnsi" w:eastAsiaTheme="minorEastAsia" w:hAnsiTheme="minorHAnsi" w:cstheme="minorBidi"/>
            <w:noProof/>
            <w:sz w:val="24"/>
            <w:szCs w:val="24"/>
            <w:lang w:val="es-ES" w:eastAsia="es-ES_tradnl"/>
          </w:rPr>
          <w:tab/>
        </w:r>
        <w:r w:rsidR="007501F4" w:rsidRPr="005F78CB">
          <w:rPr>
            <w:rStyle w:val="Hipervnculo"/>
            <w:rFonts w:eastAsia="OTNEJMQuadraat"/>
            <w:noProof/>
            <w:lang w:eastAsia="es-ES"/>
          </w:rPr>
          <w:t>Patients baseline characteristics.</w:t>
        </w:r>
        <w:r w:rsidR="007501F4">
          <w:rPr>
            <w:noProof/>
            <w:webHidden/>
          </w:rPr>
          <w:tab/>
        </w:r>
        <w:r w:rsidR="007501F4">
          <w:rPr>
            <w:noProof/>
            <w:webHidden/>
          </w:rPr>
          <w:fldChar w:fldCharType="begin"/>
        </w:r>
        <w:r w:rsidR="007501F4">
          <w:rPr>
            <w:noProof/>
            <w:webHidden/>
          </w:rPr>
          <w:instrText xml:space="preserve"> PAGEREF _Toc52468124 \h </w:instrText>
        </w:r>
        <w:r w:rsidR="007501F4">
          <w:rPr>
            <w:noProof/>
            <w:webHidden/>
          </w:rPr>
        </w:r>
        <w:r w:rsidR="007501F4">
          <w:rPr>
            <w:noProof/>
            <w:webHidden/>
          </w:rPr>
          <w:fldChar w:fldCharType="separate"/>
        </w:r>
        <w:r w:rsidR="007501F4">
          <w:rPr>
            <w:noProof/>
            <w:webHidden/>
          </w:rPr>
          <w:t>31</w:t>
        </w:r>
        <w:r w:rsidR="007501F4">
          <w:rPr>
            <w:noProof/>
            <w:webHidden/>
          </w:rPr>
          <w:fldChar w:fldCharType="end"/>
        </w:r>
      </w:hyperlink>
    </w:p>
    <w:p w14:paraId="0283D1F5" w14:textId="23C7E76B" w:rsidR="007501F4" w:rsidRDefault="00C65F3E">
      <w:pPr>
        <w:pStyle w:val="TDC2"/>
        <w:rPr>
          <w:rFonts w:asciiTheme="minorHAnsi" w:eastAsiaTheme="minorEastAsia" w:hAnsiTheme="minorHAnsi" w:cstheme="minorBidi"/>
          <w:noProof/>
          <w:sz w:val="24"/>
          <w:szCs w:val="24"/>
          <w:lang w:val="es-ES" w:eastAsia="es-ES_tradnl"/>
        </w:rPr>
      </w:pPr>
      <w:hyperlink w:anchor="_Toc52468125" w:history="1">
        <w:r w:rsidR="007501F4" w:rsidRPr="005F78CB">
          <w:rPr>
            <w:rStyle w:val="Hipervnculo"/>
            <w:noProof/>
          </w:rPr>
          <w:t>2.5</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Drug delays, reductions and interruptions.</w:t>
        </w:r>
        <w:r w:rsidR="007501F4">
          <w:rPr>
            <w:noProof/>
            <w:webHidden/>
          </w:rPr>
          <w:tab/>
        </w:r>
        <w:r w:rsidR="007501F4">
          <w:rPr>
            <w:noProof/>
            <w:webHidden/>
          </w:rPr>
          <w:fldChar w:fldCharType="begin"/>
        </w:r>
        <w:r w:rsidR="007501F4">
          <w:rPr>
            <w:noProof/>
            <w:webHidden/>
          </w:rPr>
          <w:instrText xml:space="preserve"> PAGEREF _Toc52468125 \h </w:instrText>
        </w:r>
        <w:r w:rsidR="007501F4">
          <w:rPr>
            <w:noProof/>
            <w:webHidden/>
          </w:rPr>
        </w:r>
        <w:r w:rsidR="007501F4">
          <w:rPr>
            <w:noProof/>
            <w:webHidden/>
          </w:rPr>
          <w:fldChar w:fldCharType="separate"/>
        </w:r>
        <w:r w:rsidR="007501F4">
          <w:rPr>
            <w:noProof/>
            <w:webHidden/>
          </w:rPr>
          <w:t>31</w:t>
        </w:r>
        <w:r w:rsidR="007501F4">
          <w:rPr>
            <w:noProof/>
            <w:webHidden/>
          </w:rPr>
          <w:fldChar w:fldCharType="end"/>
        </w:r>
      </w:hyperlink>
    </w:p>
    <w:p w14:paraId="161A59A8" w14:textId="01522CC5" w:rsidR="007501F4" w:rsidRDefault="00C65F3E">
      <w:pPr>
        <w:pStyle w:val="TDC2"/>
        <w:rPr>
          <w:rFonts w:asciiTheme="minorHAnsi" w:eastAsiaTheme="minorEastAsia" w:hAnsiTheme="minorHAnsi" w:cstheme="minorBidi"/>
          <w:noProof/>
          <w:sz w:val="24"/>
          <w:szCs w:val="24"/>
          <w:lang w:val="es-ES" w:eastAsia="es-ES_tradnl"/>
        </w:rPr>
      </w:pPr>
      <w:hyperlink w:anchor="_Toc52468126" w:history="1">
        <w:r w:rsidR="007501F4" w:rsidRPr="005F78CB">
          <w:rPr>
            <w:rStyle w:val="Hipervnculo"/>
            <w:noProof/>
          </w:rPr>
          <w:t>2.6</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Treatment compliance.</w:t>
        </w:r>
        <w:r w:rsidR="007501F4">
          <w:rPr>
            <w:noProof/>
            <w:webHidden/>
          </w:rPr>
          <w:tab/>
        </w:r>
        <w:r w:rsidR="007501F4">
          <w:rPr>
            <w:noProof/>
            <w:webHidden/>
          </w:rPr>
          <w:fldChar w:fldCharType="begin"/>
        </w:r>
        <w:r w:rsidR="007501F4">
          <w:rPr>
            <w:noProof/>
            <w:webHidden/>
          </w:rPr>
          <w:instrText xml:space="preserve"> PAGEREF _Toc52468126 \h </w:instrText>
        </w:r>
        <w:r w:rsidR="007501F4">
          <w:rPr>
            <w:noProof/>
            <w:webHidden/>
          </w:rPr>
        </w:r>
        <w:r w:rsidR="007501F4">
          <w:rPr>
            <w:noProof/>
            <w:webHidden/>
          </w:rPr>
          <w:fldChar w:fldCharType="separate"/>
        </w:r>
        <w:r w:rsidR="007501F4">
          <w:rPr>
            <w:noProof/>
            <w:webHidden/>
          </w:rPr>
          <w:t>31</w:t>
        </w:r>
        <w:r w:rsidR="007501F4">
          <w:rPr>
            <w:noProof/>
            <w:webHidden/>
          </w:rPr>
          <w:fldChar w:fldCharType="end"/>
        </w:r>
      </w:hyperlink>
    </w:p>
    <w:p w14:paraId="0BEE379C" w14:textId="26CF39C9" w:rsidR="007501F4" w:rsidRDefault="00C65F3E">
      <w:pPr>
        <w:pStyle w:val="TDC2"/>
        <w:rPr>
          <w:rFonts w:asciiTheme="minorHAnsi" w:eastAsiaTheme="minorEastAsia" w:hAnsiTheme="minorHAnsi" w:cstheme="minorBidi"/>
          <w:noProof/>
          <w:sz w:val="24"/>
          <w:szCs w:val="24"/>
          <w:lang w:val="es-ES" w:eastAsia="es-ES_tradnl"/>
        </w:rPr>
      </w:pPr>
      <w:hyperlink w:anchor="_Toc52468127" w:history="1">
        <w:r w:rsidR="007501F4" w:rsidRPr="005F78CB">
          <w:rPr>
            <w:rStyle w:val="Hipervnculo"/>
            <w:rFonts w:eastAsia="OTNEJMQuadraat"/>
            <w:noProof/>
            <w:lang w:eastAsia="es-ES"/>
          </w:rPr>
          <w:t>2.7</w:t>
        </w:r>
        <w:r w:rsidR="007501F4">
          <w:rPr>
            <w:rFonts w:asciiTheme="minorHAnsi" w:eastAsiaTheme="minorEastAsia" w:hAnsiTheme="minorHAnsi" w:cstheme="minorBidi"/>
            <w:noProof/>
            <w:sz w:val="24"/>
            <w:szCs w:val="24"/>
            <w:lang w:val="es-ES" w:eastAsia="es-ES_tradnl"/>
          </w:rPr>
          <w:tab/>
        </w:r>
        <w:r w:rsidR="007501F4" w:rsidRPr="005F78CB">
          <w:rPr>
            <w:rStyle w:val="Hipervnculo"/>
            <w:rFonts w:eastAsia="OTNEJMQuadraat"/>
            <w:noProof/>
            <w:lang w:eastAsia="es-ES"/>
          </w:rPr>
          <w:t>Drug exposure.</w:t>
        </w:r>
        <w:r w:rsidR="007501F4">
          <w:rPr>
            <w:noProof/>
            <w:webHidden/>
          </w:rPr>
          <w:tab/>
        </w:r>
        <w:r w:rsidR="007501F4">
          <w:rPr>
            <w:noProof/>
            <w:webHidden/>
          </w:rPr>
          <w:fldChar w:fldCharType="begin"/>
        </w:r>
        <w:r w:rsidR="007501F4">
          <w:rPr>
            <w:noProof/>
            <w:webHidden/>
          </w:rPr>
          <w:instrText xml:space="preserve"> PAGEREF _Toc52468127 \h </w:instrText>
        </w:r>
        <w:r w:rsidR="007501F4">
          <w:rPr>
            <w:noProof/>
            <w:webHidden/>
          </w:rPr>
        </w:r>
        <w:r w:rsidR="007501F4">
          <w:rPr>
            <w:noProof/>
            <w:webHidden/>
          </w:rPr>
          <w:fldChar w:fldCharType="separate"/>
        </w:r>
        <w:r w:rsidR="007501F4">
          <w:rPr>
            <w:noProof/>
            <w:webHidden/>
          </w:rPr>
          <w:t>31</w:t>
        </w:r>
        <w:r w:rsidR="007501F4">
          <w:rPr>
            <w:noProof/>
            <w:webHidden/>
          </w:rPr>
          <w:fldChar w:fldCharType="end"/>
        </w:r>
      </w:hyperlink>
    </w:p>
    <w:p w14:paraId="4CD82148" w14:textId="74C43BDF" w:rsidR="007501F4" w:rsidRDefault="00C65F3E">
      <w:pPr>
        <w:pStyle w:val="TDC2"/>
        <w:rPr>
          <w:rFonts w:asciiTheme="minorHAnsi" w:eastAsiaTheme="minorEastAsia" w:hAnsiTheme="minorHAnsi" w:cstheme="minorBidi"/>
          <w:noProof/>
          <w:sz w:val="24"/>
          <w:szCs w:val="24"/>
          <w:lang w:val="es-ES" w:eastAsia="es-ES_tradnl"/>
        </w:rPr>
      </w:pPr>
      <w:hyperlink w:anchor="_Toc52468128" w:history="1">
        <w:r w:rsidR="007501F4" w:rsidRPr="005F78CB">
          <w:rPr>
            <w:rStyle w:val="Hipervnculo"/>
            <w:noProof/>
          </w:rPr>
          <w:t>2.8</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Concomitant treatments.</w:t>
        </w:r>
        <w:r w:rsidR="007501F4">
          <w:rPr>
            <w:noProof/>
            <w:webHidden/>
          </w:rPr>
          <w:tab/>
        </w:r>
        <w:r w:rsidR="007501F4">
          <w:rPr>
            <w:noProof/>
            <w:webHidden/>
          </w:rPr>
          <w:fldChar w:fldCharType="begin"/>
        </w:r>
        <w:r w:rsidR="007501F4">
          <w:rPr>
            <w:noProof/>
            <w:webHidden/>
          </w:rPr>
          <w:instrText xml:space="preserve"> PAGEREF _Toc52468128 \h </w:instrText>
        </w:r>
        <w:r w:rsidR="007501F4">
          <w:rPr>
            <w:noProof/>
            <w:webHidden/>
          </w:rPr>
        </w:r>
        <w:r w:rsidR="007501F4">
          <w:rPr>
            <w:noProof/>
            <w:webHidden/>
          </w:rPr>
          <w:fldChar w:fldCharType="separate"/>
        </w:r>
        <w:r w:rsidR="007501F4">
          <w:rPr>
            <w:noProof/>
            <w:webHidden/>
          </w:rPr>
          <w:t>31</w:t>
        </w:r>
        <w:r w:rsidR="007501F4">
          <w:rPr>
            <w:noProof/>
            <w:webHidden/>
          </w:rPr>
          <w:fldChar w:fldCharType="end"/>
        </w:r>
      </w:hyperlink>
    </w:p>
    <w:p w14:paraId="1A81972F" w14:textId="562C5618" w:rsidR="007501F4" w:rsidRDefault="00C65F3E">
      <w:pPr>
        <w:pStyle w:val="TDC1"/>
        <w:rPr>
          <w:rFonts w:asciiTheme="minorHAnsi" w:eastAsiaTheme="minorEastAsia" w:hAnsiTheme="minorHAnsi" w:cstheme="minorBidi"/>
          <w:b w:val="0"/>
          <w:noProof/>
          <w:sz w:val="24"/>
          <w:szCs w:val="24"/>
          <w:lang w:val="es-ES" w:eastAsia="es-ES_tradnl"/>
        </w:rPr>
      </w:pPr>
      <w:hyperlink w:anchor="_Toc52468129" w:history="1">
        <w:r w:rsidR="007501F4" w:rsidRPr="005F78CB">
          <w:rPr>
            <w:rStyle w:val="Hipervnculo"/>
            <w:noProof/>
          </w:rPr>
          <w:t>3</w:t>
        </w:r>
        <w:r w:rsidR="007501F4">
          <w:rPr>
            <w:rFonts w:asciiTheme="minorHAnsi" w:eastAsiaTheme="minorEastAsia" w:hAnsiTheme="minorHAnsi" w:cstheme="minorBidi"/>
            <w:b w:val="0"/>
            <w:noProof/>
            <w:sz w:val="24"/>
            <w:szCs w:val="24"/>
            <w:lang w:val="es-ES" w:eastAsia="es-ES_tradnl"/>
          </w:rPr>
          <w:tab/>
        </w:r>
        <w:r w:rsidR="007501F4" w:rsidRPr="005F78CB">
          <w:rPr>
            <w:rStyle w:val="Hipervnculo"/>
            <w:noProof/>
          </w:rPr>
          <w:t>EFFICACY RESULTS</w:t>
        </w:r>
        <w:r w:rsidR="007501F4">
          <w:rPr>
            <w:noProof/>
            <w:webHidden/>
          </w:rPr>
          <w:tab/>
        </w:r>
        <w:r w:rsidR="007501F4">
          <w:rPr>
            <w:noProof/>
            <w:webHidden/>
          </w:rPr>
          <w:fldChar w:fldCharType="begin"/>
        </w:r>
        <w:r w:rsidR="007501F4">
          <w:rPr>
            <w:noProof/>
            <w:webHidden/>
          </w:rPr>
          <w:instrText xml:space="preserve"> PAGEREF _Toc52468129 \h </w:instrText>
        </w:r>
        <w:r w:rsidR="007501F4">
          <w:rPr>
            <w:noProof/>
            <w:webHidden/>
          </w:rPr>
        </w:r>
        <w:r w:rsidR="007501F4">
          <w:rPr>
            <w:noProof/>
            <w:webHidden/>
          </w:rPr>
          <w:fldChar w:fldCharType="separate"/>
        </w:r>
        <w:r w:rsidR="007501F4">
          <w:rPr>
            <w:noProof/>
            <w:webHidden/>
          </w:rPr>
          <w:t>33</w:t>
        </w:r>
        <w:r w:rsidR="007501F4">
          <w:rPr>
            <w:noProof/>
            <w:webHidden/>
          </w:rPr>
          <w:fldChar w:fldCharType="end"/>
        </w:r>
      </w:hyperlink>
    </w:p>
    <w:p w14:paraId="7891993F" w14:textId="046F1A49" w:rsidR="007501F4" w:rsidRDefault="00C65F3E">
      <w:pPr>
        <w:pStyle w:val="TDC2"/>
        <w:rPr>
          <w:rFonts w:asciiTheme="minorHAnsi" w:eastAsiaTheme="minorEastAsia" w:hAnsiTheme="minorHAnsi" w:cstheme="minorBidi"/>
          <w:noProof/>
          <w:sz w:val="24"/>
          <w:szCs w:val="24"/>
          <w:lang w:val="es-ES" w:eastAsia="es-ES_tradnl"/>
        </w:rPr>
      </w:pPr>
      <w:hyperlink w:anchor="_Toc52468130" w:history="1">
        <w:r w:rsidR="007501F4" w:rsidRPr="005F78CB">
          <w:rPr>
            <w:rStyle w:val="Hipervnculo"/>
            <w:noProof/>
          </w:rPr>
          <w:t>3.1</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Planned efficacy analyses</w:t>
        </w:r>
        <w:r w:rsidR="007501F4">
          <w:rPr>
            <w:noProof/>
            <w:webHidden/>
          </w:rPr>
          <w:tab/>
        </w:r>
        <w:r w:rsidR="007501F4">
          <w:rPr>
            <w:noProof/>
            <w:webHidden/>
          </w:rPr>
          <w:fldChar w:fldCharType="begin"/>
        </w:r>
        <w:r w:rsidR="007501F4">
          <w:rPr>
            <w:noProof/>
            <w:webHidden/>
          </w:rPr>
          <w:instrText xml:space="preserve"> PAGEREF _Toc52468130 \h </w:instrText>
        </w:r>
        <w:r w:rsidR="007501F4">
          <w:rPr>
            <w:noProof/>
            <w:webHidden/>
          </w:rPr>
        </w:r>
        <w:r w:rsidR="007501F4">
          <w:rPr>
            <w:noProof/>
            <w:webHidden/>
          </w:rPr>
          <w:fldChar w:fldCharType="separate"/>
        </w:r>
        <w:r w:rsidR="007501F4">
          <w:rPr>
            <w:noProof/>
            <w:webHidden/>
          </w:rPr>
          <w:t>33</w:t>
        </w:r>
        <w:r w:rsidR="007501F4">
          <w:rPr>
            <w:noProof/>
            <w:webHidden/>
          </w:rPr>
          <w:fldChar w:fldCharType="end"/>
        </w:r>
      </w:hyperlink>
    </w:p>
    <w:p w14:paraId="04B1086A" w14:textId="735A2D27" w:rsidR="007501F4" w:rsidRDefault="00C65F3E">
      <w:pPr>
        <w:pStyle w:val="TDC2"/>
        <w:rPr>
          <w:rFonts w:asciiTheme="minorHAnsi" w:eastAsiaTheme="minorEastAsia" w:hAnsiTheme="minorHAnsi" w:cstheme="minorBidi"/>
          <w:noProof/>
          <w:sz w:val="24"/>
          <w:szCs w:val="24"/>
          <w:lang w:val="es-ES" w:eastAsia="es-ES_tradnl"/>
        </w:rPr>
      </w:pPr>
      <w:hyperlink w:anchor="_Toc52468131" w:history="1">
        <w:r w:rsidR="007501F4" w:rsidRPr="005F78CB">
          <w:rPr>
            <w:rStyle w:val="Hipervnculo"/>
            <w:noProof/>
          </w:rPr>
          <w:t>3.2</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Primary efficacy results</w:t>
        </w:r>
        <w:r w:rsidR="007501F4">
          <w:rPr>
            <w:noProof/>
            <w:webHidden/>
          </w:rPr>
          <w:tab/>
        </w:r>
        <w:r w:rsidR="007501F4">
          <w:rPr>
            <w:noProof/>
            <w:webHidden/>
          </w:rPr>
          <w:fldChar w:fldCharType="begin"/>
        </w:r>
        <w:r w:rsidR="007501F4">
          <w:rPr>
            <w:noProof/>
            <w:webHidden/>
          </w:rPr>
          <w:instrText xml:space="preserve"> PAGEREF _Toc52468131 \h </w:instrText>
        </w:r>
        <w:r w:rsidR="007501F4">
          <w:rPr>
            <w:noProof/>
            <w:webHidden/>
          </w:rPr>
        </w:r>
        <w:r w:rsidR="007501F4">
          <w:rPr>
            <w:noProof/>
            <w:webHidden/>
          </w:rPr>
          <w:fldChar w:fldCharType="separate"/>
        </w:r>
        <w:r w:rsidR="007501F4">
          <w:rPr>
            <w:noProof/>
            <w:webHidden/>
          </w:rPr>
          <w:t>33</w:t>
        </w:r>
        <w:r w:rsidR="007501F4">
          <w:rPr>
            <w:noProof/>
            <w:webHidden/>
          </w:rPr>
          <w:fldChar w:fldCharType="end"/>
        </w:r>
      </w:hyperlink>
    </w:p>
    <w:p w14:paraId="169C8E2C" w14:textId="676E592C" w:rsidR="007501F4" w:rsidRDefault="00C65F3E">
      <w:pPr>
        <w:pStyle w:val="TDC3"/>
        <w:rPr>
          <w:rFonts w:asciiTheme="minorHAnsi" w:eastAsiaTheme="minorEastAsia" w:hAnsiTheme="minorHAnsi" w:cstheme="minorBidi"/>
          <w:noProof/>
          <w:sz w:val="24"/>
          <w:szCs w:val="24"/>
          <w:lang w:val="es-ES" w:eastAsia="es-ES_tradnl"/>
        </w:rPr>
      </w:pPr>
      <w:hyperlink w:anchor="_Toc52468132" w:history="1">
        <w:r w:rsidR="007501F4" w:rsidRPr="005F78CB">
          <w:rPr>
            <w:rStyle w:val="Hipervnculo"/>
            <w:noProof/>
          </w:rPr>
          <w:t>3.2.1</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Tumor response and clinical benefit</w:t>
        </w:r>
        <w:r w:rsidR="007501F4">
          <w:rPr>
            <w:noProof/>
            <w:webHidden/>
          </w:rPr>
          <w:tab/>
        </w:r>
        <w:r w:rsidR="007501F4">
          <w:rPr>
            <w:noProof/>
            <w:webHidden/>
          </w:rPr>
          <w:fldChar w:fldCharType="begin"/>
        </w:r>
        <w:r w:rsidR="007501F4">
          <w:rPr>
            <w:noProof/>
            <w:webHidden/>
          </w:rPr>
          <w:instrText xml:space="preserve"> PAGEREF _Toc52468132 \h </w:instrText>
        </w:r>
        <w:r w:rsidR="007501F4">
          <w:rPr>
            <w:noProof/>
            <w:webHidden/>
          </w:rPr>
        </w:r>
        <w:r w:rsidR="007501F4">
          <w:rPr>
            <w:noProof/>
            <w:webHidden/>
          </w:rPr>
          <w:fldChar w:fldCharType="separate"/>
        </w:r>
        <w:r w:rsidR="007501F4">
          <w:rPr>
            <w:noProof/>
            <w:webHidden/>
          </w:rPr>
          <w:t>33</w:t>
        </w:r>
        <w:r w:rsidR="007501F4">
          <w:rPr>
            <w:noProof/>
            <w:webHidden/>
          </w:rPr>
          <w:fldChar w:fldCharType="end"/>
        </w:r>
      </w:hyperlink>
    </w:p>
    <w:p w14:paraId="0F06E24A" w14:textId="075493EF" w:rsidR="007501F4" w:rsidRDefault="00C65F3E">
      <w:pPr>
        <w:pStyle w:val="TDC3"/>
        <w:rPr>
          <w:rFonts w:asciiTheme="minorHAnsi" w:eastAsiaTheme="minorEastAsia" w:hAnsiTheme="minorHAnsi" w:cstheme="minorBidi"/>
          <w:noProof/>
          <w:sz w:val="24"/>
          <w:szCs w:val="24"/>
          <w:lang w:val="es-ES" w:eastAsia="es-ES_tradnl"/>
        </w:rPr>
      </w:pPr>
      <w:hyperlink w:anchor="_Toc52468133" w:history="1">
        <w:r w:rsidR="007501F4" w:rsidRPr="005F78CB">
          <w:rPr>
            <w:rStyle w:val="Hipervnculo"/>
            <w:noProof/>
          </w:rPr>
          <w:t>3.2.2</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Overall survival (ITT population)</w:t>
        </w:r>
        <w:r w:rsidR="007501F4">
          <w:rPr>
            <w:noProof/>
            <w:webHidden/>
          </w:rPr>
          <w:tab/>
        </w:r>
        <w:r w:rsidR="007501F4">
          <w:rPr>
            <w:noProof/>
            <w:webHidden/>
          </w:rPr>
          <w:fldChar w:fldCharType="begin"/>
        </w:r>
        <w:r w:rsidR="007501F4">
          <w:rPr>
            <w:noProof/>
            <w:webHidden/>
          </w:rPr>
          <w:instrText xml:space="preserve"> PAGEREF _Toc52468133 \h </w:instrText>
        </w:r>
        <w:r w:rsidR="007501F4">
          <w:rPr>
            <w:noProof/>
            <w:webHidden/>
          </w:rPr>
        </w:r>
        <w:r w:rsidR="007501F4">
          <w:rPr>
            <w:noProof/>
            <w:webHidden/>
          </w:rPr>
          <w:fldChar w:fldCharType="separate"/>
        </w:r>
        <w:r w:rsidR="007501F4">
          <w:rPr>
            <w:noProof/>
            <w:webHidden/>
          </w:rPr>
          <w:t>33</w:t>
        </w:r>
        <w:r w:rsidR="007501F4">
          <w:rPr>
            <w:noProof/>
            <w:webHidden/>
          </w:rPr>
          <w:fldChar w:fldCharType="end"/>
        </w:r>
      </w:hyperlink>
    </w:p>
    <w:p w14:paraId="1623DC1F" w14:textId="52B5640E" w:rsidR="007501F4" w:rsidRDefault="00C65F3E">
      <w:pPr>
        <w:pStyle w:val="TDC3"/>
        <w:rPr>
          <w:rFonts w:asciiTheme="minorHAnsi" w:eastAsiaTheme="minorEastAsia" w:hAnsiTheme="minorHAnsi" w:cstheme="minorBidi"/>
          <w:noProof/>
          <w:sz w:val="24"/>
          <w:szCs w:val="24"/>
          <w:lang w:val="es-ES" w:eastAsia="es-ES_tradnl"/>
        </w:rPr>
      </w:pPr>
      <w:hyperlink w:anchor="_Toc52468134" w:history="1">
        <w:r w:rsidR="007501F4" w:rsidRPr="005F78CB">
          <w:rPr>
            <w:rStyle w:val="Hipervnculo"/>
            <w:noProof/>
          </w:rPr>
          <w:t>3.2.3</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Pre-specified Subgroup Analyses</w:t>
        </w:r>
        <w:r w:rsidR="007501F4">
          <w:rPr>
            <w:noProof/>
            <w:webHidden/>
          </w:rPr>
          <w:tab/>
        </w:r>
        <w:r w:rsidR="007501F4">
          <w:rPr>
            <w:noProof/>
            <w:webHidden/>
          </w:rPr>
          <w:fldChar w:fldCharType="begin"/>
        </w:r>
        <w:r w:rsidR="007501F4">
          <w:rPr>
            <w:noProof/>
            <w:webHidden/>
          </w:rPr>
          <w:instrText xml:space="preserve"> PAGEREF _Toc52468134 \h </w:instrText>
        </w:r>
        <w:r w:rsidR="007501F4">
          <w:rPr>
            <w:noProof/>
            <w:webHidden/>
          </w:rPr>
        </w:r>
        <w:r w:rsidR="007501F4">
          <w:rPr>
            <w:noProof/>
            <w:webHidden/>
          </w:rPr>
          <w:fldChar w:fldCharType="separate"/>
        </w:r>
        <w:r w:rsidR="007501F4">
          <w:rPr>
            <w:noProof/>
            <w:webHidden/>
          </w:rPr>
          <w:t>34</w:t>
        </w:r>
        <w:r w:rsidR="007501F4">
          <w:rPr>
            <w:noProof/>
            <w:webHidden/>
          </w:rPr>
          <w:fldChar w:fldCharType="end"/>
        </w:r>
      </w:hyperlink>
    </w:p>
    <w:p w14:paraId="78C03D51" w14:textId="0F746CB3" w:rsidR="007501F4" w:rsidRDefault="00C65F3E">
      <w:pPr>
        <w:pStyle w:val="TDC2"/>
        <w:rPr>
          <w:rFonts w:asciiTheme="minorHAnsi" w:eastAsiaTheme="minorEastAsia" w:hAnsiTheme="minorHAnsi" w:cstheme="minorBidi"/>
          <w:noProof/>
          <w:sz w:val="24"/>
          <w:szCs w:val="24"/>
          <w:lang w:val="es-ES" w:eastAsia="es-ES_tradnl"/>
        </w:rPr>
      </w:pPr>
      <w:hyperlink w:anchor="_Toc52468135" w:history="1">
        <w:r w:rsidR="007501F4" w:rsidRPr="005F78CB">
          <w:rPr>
            <w:rStyle w:val="Hipervnculo"/>
            <w:noProof/>
            <w:lang w:eastAsia="es-ES"/>
          </w:rPr>
          <w:t>3.3</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lang w:eastAsia="es-ES"/>
          </w:rPr>
          <w:t>Drug intensity and correlation with response.</w:t>
        </w:r>
        <w:r w:rsidR="007501F4">
          <w:rPr>
            <w:noProof/>
            <w:webHidden/>
          </w:rPr>
          <w:tab/>
        </w:r>
        <w:r w:rsidR="007501F4">
          <w:rPr>
            <w:noProof/>
            <w:webHidden/>
          </w:rPr>
          <w:fldChar w:fldCharType="begin"/>
        </w:r>
        <w:r w:rsidR="007501F4">
          <w:rPr>
            <w:noProof/>
            <w:webHidden/>
          </w:rPr>
          <w:instrText xml:space="preserve"> PAGEREF _Toc52468135 \h </w:instrText>
        </w:r>
        <w:r w:rsidR="007501F4">
          <w:rPr>
            <w:noProof/>
            <w:webHidden/>
          </w:rPr>
        </w:r>
        <w:r w:rsidR="007501F4">
          <w:rPr>
            <w:noProof/>
            <w:webHidden/>
          </w:rPr>
          <w:fldChar w:fldCharType="separate"/>
        </w:r>
        <w:r w:rsidR="007501F4">
          <w:rPr>
            <w:noProof/>
            <w:webHidden/>
          </w:rPr>
          <w:t>34</w:t>
        </w:r>
        <w:r w:rsidR="007501F4">
          <w:rPr>
            <w:noProof/>
            <w:webHidden/>
          </w:rPr>
          <w:fldChar w:fldCharType="end"/>
        </w:r>
      </w:hyperlink>
    </w:p>
    <w:p w14:paraId="01FD4524" w14:textId="32FB7FBD" w:rsidR="007501F4" w:rsidRDefault="00C65F3E">
      <w:pPr>
        <w:pStyle w:val="TDC2"/>
        <w:rPr>
          <w:rFonts w:asciiTheme="minorHAnsi" w:eastAsiaTheme="minorEastAsia" w:hAnsiTheme="minorHAnsi" w:cstheme="minorBidi"/>
          <w:noProof/>
          <w:sz w:val="24"/>
          <w:szCs w:val="24"/>
          <w:lang w:val="es-ES" w:eastAsia="es-ES_tradnl"/>
        </w:rPr>
      </w:pPr>
      <w:hyperlink w:anchor="_Toc52468136" w:history="1">
        <w:r w:rsidR="007501F4" w:rsidRPr="005F78CB">
          <w:rPr>
            <w:rStyle w:val="Hipervnculo"/>
            <w:noProof/>
          </w:rPr>
          <w:t>3.4</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Efficacy summary and conclusions.</w:t>
        </w:r>
        <w:r w:rsidR="007501F4">
          <w:rPr>
            <w:noProof/>
            <w:webHidden/>
          </w:rPr>
          <w:tab/>
        </w:r>
        <w:r w:rsidR="007501F4">
          <w:rPr>
            <w:noProof/>
            <w:webHidden/>
          </w:rPr>
          <w:fldChar w:fldCharType="begin"/>
        </w:r>
        <w:r w:rsidR="007501F4">
          <w:rPr>
            <w:noProof/>
            <w:webHidden/>
          </w:rPr>
          <w:instrText xml:space="preserve"> PAGEREF _Toc52468136 \h </w:instrText>
        </w:r>
        <w:r w:rsidR="007501F4">
          <w:rPr>
            <w:noProof/>
            <w:webHidden/>
          </w:rPr>
        </w:r>
        <w:r w:rsidR="007501F4">
          <w:rPr>
            <w:noProof/>
            <w:webHidden/>
          </w:rPr>
          <w:fldChar w:fldCharType="separate"/>
        </w:r>
        <w:r w:rsidR="007501F4">
          <w:rPr>
            <w:noProof/>
            <w:webHidden/>
          </w:rPr>
          <w:t>34</w:t>
        </w:r>
        <w:r w:rsidR="007501F4">
          <w:rPr>
            <w:noProof/>
            <w:webHidden/>
          </w:rPr>
          <w:fldChar w:fldCharType="end"/>
        </w:r>
      </w:hyperlink>
    </w:p>
    <w:p w14:paraId="6C521B2A" w14:textId="7DC554E2" w:rsidR="007501F4" w:rsidRDefault="00C65F3E">
      <w:pPr>
        <w:pStyle w:val="TDC1"/>
        <w:rPr>
          <w:rFonts w:asciiTheme="minorHAnsi" w:eastAsiaTheme="minorEastAsia" w:hAnsiTheme="minorHAnsi" w:cstheme="minorBidi"/>
          <w:b w:val="0"/>
          <w:noProof/>
          <w:sz w:val="24"/>
          <w:szCs w:val="24"/>
          <w:lang w:val="es-ES" w:eastAsia="es-ES_tradnl"/>
        </w:rPr>
      </w:pPr>
      <w:hyperlink w:anchor="_Toc52468137" w:history="1">
        <w:r w:rsidR="007501F4" w:rsidRPr="005F78CB">
          <w:rPr>
            <w:rStyle w:val="Hipervnculo"/>
            <w:noProof/>
          </w:rPr>
          <w:t>4</w:t>
        </w:r>
        <w:r w:rsidR="007501F4">
          <w:rPr>
            <w:rFonts w:asciiTheme="minorHAnsi" w:eastAsiaTheme="minorEastAsia" w:hAnsiTheme="minorHAnsi" w:cstheme="minorBidi"/>
            <w:b w:val="0"/>
            <w:noProof/>
            <w:sz w:val="24"/>
            <w:szCs w:val="24"/>
            <w:lang w:val="es-ES" w:eastAsia="es-ES_tradnl"/>
          </w:rPr>
          <w:tab/>
        </w:r>
        <w:r w:rsidR="007501F4" w:rsidRPr="005F78CB">
          <w:rPr>
            <w:rStyle w:val="Hipervnculo"/>
            <w:noProof/>
          </w:rPr>
          <w:t>SAFETY RESULTS</w:t>
        </w:r>
        <w:r w:rsidR="007501F4">
          <w:rPr>
            <w:noProof/>
            <w:webHidden/>
          </w:rPr>
          <w:tab/>
        </w:r>
        <w:r w:rsidR="007501F4">
          <w:rPr>
            <w:noProof/>
            <w:webHidden/>
          </w:rPr>
          <w:fldChar w:fldCharType="begin"/>
        </w:r>
        <w:r w:rsidR="007501F4">
          <w:rPr>
            <w:noProof/>
            <w:webHidden/>
          </w:rPr>
          <w:instrText xml:space="preserve"> PAGEREF _Toc52468137 \h </w:instrText>
        </w:r>
        <w:r w:rsidR="007501F4">
          <w:rPr>
            <w:noProof/>
            <w:webHidden/>
          </w:rPr>
        </w:r>
        <w:r w:rsidR="007501F4">
          <w:rPr>
            <w:noProof/>
            <w:webHidden/>
          </w:rPr>
          <w:fldChar w:fldCharType="separate"/>
        </w:r>
        <w:r w:rsidR="007501F4">
          <w:rPr>
            <w:noProof/>
            <w:webHidden/>
          </w:rPr>
          <w:t>36</w:t>
        </w:r>
        <w:r w:rsidR="007501F4">
          <w:rPr>
            <w:noProof/>
            <w:webHidden/>
          </w:rPr>
          <w:fldChar w:fldCharType="end"/>
        </w:r>
      </w:hyperlink>
    </w:p>
    <w:p w14:paraId="24E91718" w14:textId="47962FB2" w:rsidR="007501F4" w:rsidRDefault="00C65F3E">
      <w:pPr>
        <w:pStyle w:val="TDC2"/>
        <w:rPr>
          <w:rFonts w:asciiTheme="minorHAnsi" w:eastAsiaTheme="minorEastAsia" w:hAnsiTheme="minorHAnsi" w:cstheme="minorBidi"/>
          <w:noProof/>
          <w:sz w:val="24"/>
          <w:szCs w:val="24"/>
          <w:lang w:val="es-ES" w:eastAsia="es-ES_tradnl"/>
        </w:rPr>
      </w:pPr>
      <w:hyperlink w:anchor="_Toc52468138" w:history="1">
        <w:r w:rsidR="007501F4" w:rsidRPr="005F78CB">
          <w:rPr>
            <w:rStyle w:val="Hipervnculo"/>
            <w:noProof/>
          </w:rPr>
          <w:t>4.1</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Planned safety analyses.</w:t>
        </w:r>
        <w:r w:rsidR="007501F4">
          <w:rPr>
            <w:noProof/>
            <w:webHidden/>
          </w:rPr>
          <w:tab/>
        </w:r>
        <w:r w:rsidR="007501F4">
          <w:rPr>
            <w:noProof/>
            <w:webHidden/>
          </w:rPr>
          <w:fldChar w:fldCharType="begin"/>
        </w:r>
        <w:r w:rsidR="007501F4">
          <w:rPr>
            <w:noProof/>
            <w:webHidden/>
          </w:rPr>
          <w:instrText xml:space="preserve"> PAGEREF _Toc52468138 \h </w:instrText>
        </w:r>
        <w:r w:rsidR="007501F4">
          <w:rPr>
            <w:noProof/>
            <w:webHidden/>
          </w:rPr>
        </w:r>
        <w:r w:rsidR="007501F4">
          <w:rPr>
            <w:noProof/>
            <w:webHidden/>
          </w:rPr>
          <w:fldChar w:fldCharType="separate"/>
        </w:r>
        <w:r w:rsidR="007501F4">
          <w:rPr>
            <w:noProof/>
            <w:webHidden/>
          </w:rPr>
          <w:t>36</w:t>
        </w:r>
        <w:r w:rsidR="007501F4">
          <w:rPr>
            <w:noProof/>
            <w:webHidden/>
          </w:rPr>
          <w:fldChar w:fldCharType="end"/>
        </w:r>
      </w:hyperlink>
    </w:p>
    <w:p w14:paraId="1D27AF70" w14:textId="3960CCD9" w:rsidR="007501F4" w:rsidRDefault="00C65F3E">
      <w:pPr>
        <w:pStyle w:val="TDC2"/>
        <w:rPr>
          <w:rFonts w:asciiTheme="minorHAnsi" w:eastAsiaTheme="minorEastAsia" w:hAnsiTheme="minorHAnsi" w:cstheme="minorBidi"/>
          <w:noProof/>
          <w:sz w:val="24"/>
          <w:szCs w:val="24"/>
          <w:lang w:val="es-ES" w:eastAsia="es-ES_tradnl"/>
        </w:rPr>
      </w:pPr>
      <w:hyperlink w:anchor="_Toc52468139" w:history="1">
        <w:r w:rsidR="007501F4" w:rsidRPr="005F78CB">
          <w:rPr>
            <w:rStyle w:val="Hipervnculo"/>
            <w:noProof/>
          </w:rPr>
          <w:t>4.2</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Adverse events</w:t>
        </w:r>
        <w:r w:rsidR="007501F4">
          <w:rPr>
            <w:noProof/>
            <w:webHidden/>
          </w:rPr>
          <w:tab/>
        </w:r>
        <w:r w:rsidR="007501F4">
          <w:rPr>
            <w:noProof/>
            <w:webHidden/>
          </w:rPr>
          <w:fldChar w:fldCharType="begin"/>
        </w:r>
        <w:r w:rsidR="007501F4">
          <w:rPr>
            <w:noProof/>
            <w:webHidden/>
          </w:rPr>
          <w:instrText xml:space="preserve"> PAGEREF _Toc52468139 \h </w:instrText>
        </w:r>
        <w:r w:rsidR="007501F4">
          <w:rPr>
            <w:noProof/>
            <w:webHidden/>
          </w:rPr>
        </w:r>
        <w:r w:rsidR="007501F4">
          <w:rPr>
            <w:noProof/>
            <w:webHidden/>
          </w:rPr>
          <w:fldChar w:fldCharType="separate"/>
        </w:r>
        <w:r w:rsidR="007501F4">
          <w:rPr>
            <w:noProof/>
            <w:webHidden/>
          </w:rPr>
          <w:t>36</w:t>
        </w:r>
        <w:r w:rsidR="007501F4">
          <w:rPr>
            <w:noProof/>
            <w:webHidden/>
          </w:rPr>
          <w:fldChar w:fldCharType="end"/>
        </w:r>
      </w:hyperlink>
    </w:p>
    <w:p w14:paraId="16822C9D" w14:textId="2E80B4A0" w:rsidR="007501F4" w:rsidRDefault="00C65F3E">
      <w:pPr>
        <w:pStyle w:val="TDC3"/>
        <w:rPr>
          <w:rFonts w:asciiTheme="minorHAnsi" w:eastAsiaTheme="minorEastAsia" w:hAnsiTheme="minorHAnsi" w:cstheme="minorBidi"/>
          <w:noProof/>
          <w:sz w:val="24"/>
          <w:szCs w:val="24"/>
          <w:lang w:val="es-ES" w:eastAsia="es-ES_tradnl"/>
        </w:rPr>
      </w:pPr>
      <w:hyperlink w:anchor="_Toc52468140" w:history="1">
        <w:r w:rsidR="007501F4" w:rsidRPr="005F78CB">
          <w:rPr>
            <w:rStyle w:val="Hipervnculo"/>
            <w:noProof/>
          </w:rPr>
          <w:t>4.2.1</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Summary of adverse events</w:t>
        </w:r>
        <w:r w:rsidR="007501F4">
          <w:rPr>
            <w:noProof/>
            <w:webHidden/>
          </w:rPr>
          <w:tab/>
        </w:r>
        <w:r w:rsidR="007501F4">
          <w:rPr>
            <w:noProof/>
            <w:webHidden/>
          </w:rPr>
          <w:fldChar w:fldCharType="begin"/>
        </w:r>
        <w:r w:rsidR="007501F4">
          <w:rPr>
            <w:noProof/>
            <w:webHidden/>
          </w:rPr>
          <w:instrText xml:space="preserve"> PAGEREF _Toc52468140 \h </w:instrText>
        </w:r>
        <w:r w:rsidR="007501F4">
          <w:rPr>
            <w:noProof/>
            <w:webHidden/>
          </w:rPr>
        </w:r>
        <w:r w:rsidR="007501F4">
          <w:rPr>
            <w:noProof/>
            <w:webHidden/>
          </w:rPr>
          <w:fldChar w:fldCharType="separate"/>
        </w:r>
        <w:r w:rsidR="007501F4">
          <w:rPr>
            <w:noProof/>
            <w:webHidden/>
          </w:rPr>
          <w:t>36</w:t>
        </w:r>
        <w:r w:rsidR="007501F4">
          <w:rPr>
            <w:noProof/>
            <w:webHidden/>
          </w:rPr>
          <w:fldChar w:fldCharType="end"/>
        </w:r>
      </w:hyperlink>
    </w:p>
    <w:p w14:paraId="1AF63D1B" w14:textId="2DC2D981" w:rsidR="007501F4" w:rsidRDefault="00C65F3E">
      <w:pPr>
        <w:pStyle w:val="TDC3"/>
        <w:rPr>
          <w:rFonts w:asciiTheme="minorHAnsi" w:eastAsiaTheme="minorEastAsia" w:hAnsiTheme="minorHAnsi" w:cstheme="minorBidi"/>
          <w:noProof/>
          <w:sz w:val="24"/>
          <w:szCs w:val="24"/>
          <w:lang w:val="es-ES" w:eastAsia="es-ES_tradnl"/>
        </w:rPr>
      </w:pPr>
      <w:hyperlink w:anchor="_Toc52468141" w:history="1">
        <w:r w:rsidR="007501F4" w:rsidRPr="005F78CB">
          <w:rPr>
            <w:rStyle w:val="Hipervnculo"/>
            <w:noProof/>
            <w:lang w:eastAsia="es-ES"/>
          </w:rPr>
          <w:t>4.2.2</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lang w:eastAsia="es-ES"/>
          </w:rPr>
          <w:t>Adverse drug reactions.</w:t>
        </w:r>
        <w:r w:rsidR="007501F4">
          <w:rPr>
            <w:noProof/>
            <w:webHidden/>
          </w:rPr>
          <w:tab/>
        </w:r>
        <w:r w:rsidR="007501F4">
          <w:rPr>
            <w:noProof/>
            <w:webHidden/>
          </w:rPr>
          <w:fldChar w:fldCharType="begin"/>
        </w:r>
        <w:r w:rsidR="007501F4">
          <w:rPr>
            <w:noProof/>
            <w:webHidden/>
          </w:rPr>
          <w:instrText xml:space="preserve"> PAGEREF _Toc52468141 \h </w:instrText>
        </w:r>
        <w:r w:rsidR="007501F4">
          <w:rPr>
            <w:noProof/>
            <w:webHidden/>
          </w:rPr>
        </w:r>
        <w:r w:rsidR="007501F4">
          <w:rPr>
            <w:noProof/>
            <w:webHidden/>
          </w:rPr>
          <w:fldChar w:fldCharType="separate"/>
        </w:r>
        <w:r w:rsidR="007501F4">
          <w:rPr>
            <w:noProof/>
            <w:webHidden/>
          </w:rPr>
          <w:t>36</w:t>
        </w:r>
        <w:r w:rsidR="007501F4">
          <w:rPr>
            <w:noProof/>
            <w:webHidden/>
          </w:rPr>
          <w:fldChar w:fldCharType="end"/>
        </w:r>
      </w:hyperlink>
    </w:p>
    <w:p w14:paraId="739305E1" w14:textId="199DF501" w:rsidR="007501F4" w:rsidRDefault="00C65F3E">
      <w:pPr>
        <w:pStyle w:val="TDC3"/>
        <w:rPr>
          <w:rFonts w:asciiTheme="minorHAnsi" w:eastAsiaTheme="minorEastAsia" w:hAnsiTheme="minorHAnsi" w:cstheme="minorBidi"/>
          <w:noProof/>
          <w:sz w:val="24"/>
          <w:szCs w:val="24"/>
          <w:lang w:val="es-ES" w:eastAsia="es-ES_tradnl"/>
        </w:rPr>
      </w:pPr>
      <w:hyperlink w:anchor="_Toc52468142" w:history="1">
        <w:r w:rsidR="007501F4" w:rsidRPr="005F78CB">
          <w:rPr>
            <w:rStyle w:val="Hipervnculo"/>
            <w:noProof/>
            <w:lang w:eastAsia="es-ES"/>
          </w:rPr>
          <w:t>4.2.3</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lang w:eastAsia="es-ES"/>
          </w:rPr>
          <w:t>Toxicity of adverse events.</w:t>
        </w:r>
        <w:r w:rsidR="007501F4">
          <w:rPr>
            <w:noProof/>
            <w:webHidden/>
          </w:rPr>
          <w:tab/>
        </w:r>
        <w:r w:rsidR="007501F4">
          <w:rPr>
            <w:noProof/>
            <w:webHidden/>
          </w:rPr>
          <w:fldChar w:fldCharType="begin"/>
        </w:r>
        <w:r w:rsidR="007501F4">
          <w:rPr>
            <w:noProof/>
            <w:webHidden/>
          </w:rPr>
          <w:instrText xml:space="preserve"> PAGEREF _Toc52468142 \h </w:instrText>
        </w:r>
        <w:r w:rsidR="007501F4">
          <w:rPr>
            <w:noProof/>
            <w:webHidden/>
          </w:rPr>
        </w:r>
        <w:r w:rsidR="007501F4">
          <w:rPr>
            <w:noProof/>
            <w:webHidden/>
          </w:rPr>
          <w:fldChar w:fldCharType="separate"/>
        </w:r>
        <w:r w:rsidR="007501F4">
          <w:rPr>
            <w:noProof/>
            <w:webHidden/>
          </w:rPr>
          <w:t>36</w:t>
        </w:r>
        <w:r w:rsidR="007501F4">
          <w:rPr>
            <w:noProof/>
            <w:webHidden/>
          </w:rPr>
          <w:fldChar w:fldCharType="end"/>
        </w:r>
      </w:hyperlink>
    </w:p>
    <w:p w14:paraId="6A55771B" w14:textId="434E5E0B" w:rsidR="007501F4" w:rsidRDefault="00C65F3E">
      <w:pPr>
        <w:pStyle w:val="TDC3"/>
        <w:rPr>
          <w:rFonts w:asciiTheme="minorHAnsi" w:eastAsiaTheme="minorEastAsia" w:hAnsiTheme="minorHAnsi" w:cstheme="minorBidi"/>
          <w:noProof/>
          <w:sz w:val="24"/>
          <w:szCs w:val="24"/>
          <w:lang w:val="es-ES" w:eastAsia="es-ES_tradnl"/>
        </w:rPr>
      </w:pPr>
      <w:hyperlink w:anchor="_Toc52468143" w:history="1">
        <w:r w:rsidR="007501F4" w:rsidRPr="005F78CB">
          <w:rPr>
            <w:rStyle w:val="Hipervnculo"/>
            <w:noProof/>
          </w:rPr>
          <w:t>4.2.4</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Serious adverse events.</w:t>
        </w:r>
        <w:r w:rsidR="007501F4">
          <w:rPr>
            <w:noProof/>
            <w:webHidden/>
          </w:rPr>
          <w:tab/>
        </w:r>
        <w:r w:rsidR="007501F4">
          <w:rPr>
            <w:noProof/>
            <w:webHidden/>
          </w:rPr>
          <w:fldChar w:fldCharType="begin"/>
        </w:r>
        <w:r w:rsidR="007501F4">
          <w:rPr>
            <w:noProof/>
            <w:webHidden/>
          </w:rPr>
          <w:instrText xml:space="preserve"> PAGEREF _Toc52468143 \h </w:instrText>
        </w:r>
        <w:r w:rsidR="007501F4">
          <w:rPr>
            <w:noProof/>
            <w:webHidden/>
          </w:rPr>
        </w:r>
        <w:r w:rsidR="007501F4">
          <w:rPr>
            <w:noProof/>
            <w:webHidden/>
          </w:rPr>
          <w:fldChar w:fldCharType="separate"/>
        </w:r>
        <w:r w:rsidR="007501F4">
          <w:rPr>
            <w:noProof/>
            <w:webHidden/>
          </w:rPr>
          <w:t>37</w:t>
        </w:r>
        <w:r w:rsidR="007501F4">
          <w:rPr>
            <w:noProof/>
            <w:webHidden/>
          </w:rPr>
          <w:fldChar w:fldCharType="end"/>
        </w:r>
      </w:hyperlink>
    </w:p>
    <w:p w14:paraId="6BC73613" w14:textId="250908BE" w:rsidR="007501F4" w:rsidRDefault="00C65F3E">
      <w:pPr>
        <w:pStyle w:val="TDC3"/>
        <w:rPr>
          <w:rFonts w:asciiTheme="minorHAnsi" w:eastAsiaTheme="minorEastAsia" w:hAnsiTheme="minorHAnsi" w:cstheme="minorBidi"/>
          <w:noProof/>
          <w:sz w:val="24"/>
          <w:szCs w:val="24"/>
          <w:lang w:val="es-ES" w:eastAsia="es-ES_tradnl"/>
        </w:rPr>
      </w:pPr>
      <w:hyperlink w:anchor="_Toc52468144" w:history="1">
        <w:r w:rsidR="007501F4" w:rsidRPr="005F78CB">
          <w:rPr>
            <w:rStyle w:val="Hipervnculo"/>
            <w:noProof/>
            <w:lang w:eastAsia="es-ES"/>
          </w:rPr>
          <w:t>4.2.5</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lang w:eastAsia="es-ES"/>
          </w:rPr>
          <w:t>Treatment discontinuation due to adverse events.</w:t>
        </w:r>
        <w:r w:rsidR="007501F4">
          <w:rPr>
            <w:noProof/>
            <w:webHidden/>
          </w:rPr>
          <w:tab/>
        </w:r>
        <w:r w:rsidR="007501F4">
          <w:rPr>
            <w:noProof/>
            <w:webHidden/>
          </w:rPr>
          <w:fldChar w:fldCharType="begin"/>
        </w:r>
        <w:r w:rsidR="007501F4">
          <w:rPr>
            <w:noProof/>
            <w:webHidden/>
          </w:rPr>
          <w:instrText xml:space="preserve"> PAGEREF _Toc52468144 \h </w:instrText>
        </w:r>
        <w:r w:rsidR="007501F4">
          <w:rPr>
            <w:noProof/>
            <w:webHidden/>
          </w:rPr>
        </w:r>
        <w:r w:rsidR="007501F4">
          <w:rPr>
            <w:noProof/>
            <w:webHidden/>
          </w:rPr>
          <w:fldChar w:fldCharType="separate"/>
        </w:r>
        <w:r w:rsidR="007501F4">
          <w:rPr>
            <w:noProof/>
            <w:webHidden/>
          </w:rPr>
          <w:t>37</w:t>
        </w:r>
        <w:r w:rsidR="007501F4">
          <w:rPr>
            <w:noProof/>
            <w:webHidden/>
          </w:rPr>
          <w:fldChar w:fldCharType="end"/>
        </w:r>
      </w:hyperlink>
    </w:p>
    <w:p w14:paraId="54726CFD" w14:textId="0DA65E95" w:rsidR="007501F4" w:rsidRDefault="00C65F3E">
      <w:pPr>
        <w:pStyle w:val="TDC3"/>
        <w:rPr>
          <w:rFonts w:asciiTheme="minorHAnsi" w:eastAsiaTheme="minorEastAsia" w:hAnsiTheme="minorHAnsi" w:cstheme="minorBidi"/>
          <w:noProof/>
          <w:sz w:val="24"/>
          <w:szCs w:val="24"/>
          <w:lang w:val="es-ES" w:eastAsia="es-ES_tradnl"/>
        </w:rPr>
      </w:pPr>
      <w:hyperlink w:anchor="_Toc52468145" w:history="1">
        <w:r w:rsidR="007501F4" w:rsidRPr="005F78CB">
          <w:rPr>
            <w:rStyle w:val="Hipervnculo"/>
            <w:noProof/>
            <w:lang w:eastAsia="es-ES"/>
          </w:rPr>
          <w:t>4.2.6</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lang w:eastAsia="es-ES"/>
          </w:rPr>
          <w:t>Deaths and other serious adverse events.</w:t>
        </w:r>
        <w:r w:rsidR="007501F4">
          <w:rPr>
            <w:noProof/>
            <w:webHidden/>
          </w:rPr>
          <w:tab/>
        </w:r>
        <w:r w:rsidR="007501F4">
          <w:rPr>
            <w:noProof/>
            <w:webHidden/>
          </w:rPr>
          <w:fldChar w:fldCharType="begin"/>
        </w:r>
        <w:r w:rsidR="007501F4">
          <w:rPr>
            <w:noProof/>
            <w:webHidden/>
          </w:rPr>
          <w:instrText xml:space="preserve"> PAGEREF _Toc52468145 \h </w:instrText>
        </w:r>
        <w:r w:rsidR="007501F4">
          <w:rPr>
            <w:noProof/>
            <w:webHidden/>
          </w:rPr>
        </w:r>
        <w:r w:rsidR="007501F4">
          <w:rPr>
            <w:noProof/>
            <w:webHidden/>
          </w:rPr>
          <w:fldChar w:fldCharType="separate"/>
        </w:r>
        <w:r w:rsidR="007501F4">
          <w:rPr>
            <w:noProof/>
            <w:webHidden/>
          </w:rPr>
          <w:t>38</w:t>
        </w:r>
        <w:r w:rsidR="007501F4">
          <w:rPr>
            <w:noProof/>
            <w:webHidden/>
          </w:rPr>
          <w:fldChar w:fldCharType="end"/>
        </w:r>
      </w:hyperlink>
    </w:p>
    <w:p w14:paraId="44CC09F1" w14:textId="7D9D50AE" w:rsidR="007501F4" w:rsidRDefault="00C65F3E">
      <w:pPr>
        <w:pStyle w:val="TDC3"/>
        <w:rPr>
          <w:rFonts w:asciiTheme="minorHAnsi" w:eastAsiaTheme="minorEastAsia" w:hAnsiTheme="minorHAnsi" w:cstheme="minorBidi"/>
          <w:noProof/>
          <w:sz w:val="24"/>
          <w:szCs w:val="24"/>
          <w:lang w:val="es-ES" w:eastAsia="es-ES_tradnl"/>
        </w:rPr>
      </w:pPr>
      <w:hyperlink w:anchor="_Toc52468146" w:history="1">
        <w:r w:rsidR="007501F4" w:rsidRPr="005F78CB">
          <w:rPr>
            <w:rStyle w:val="Hipervnculo"/>
            <w:noProof/>
            <w:lang w:eastAsia="es-ES"/>
          </w:rPr>
          <w:t>4.2.7</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lang w:eastAsia="es-ES"/>
          </w:rPr>
          <w:t>Drug-induced liver toxicity.</w:t>
        </w:r>
        <w:r w:rsidR="007501F4">
          <w:rPr>
            <w:noProof/>
            <w:webHidden/>
          </w:rPr>
          <w:tab/>
        </w:r>
        <w:r w:rsidR="007501F4">
          <w:rPr>
            <w:noProof/>
            <w:webHidden/>
          </w:rPr>
          <w:fldChar w:fldCharType="begin"/>
        </w:r>
        <w:r w:rsidR="007501F4">
          <w:rPr>
            <w:noProof/>
            <w:webHidden/>
          </w:rPr>
          <w:instrText xml:space="preserve"> PAGEREF _Toc52468146 \h </w:instrText>
        </w:r>
        <w:r w:rsidR="007501F4">
          <w:rPr>
            <w:noProof/>
            <w:webHidden/>
          </w:rPr>
        </w:r>
        <w:r w:rsidR="007501F4">
          <w:rPr>
            <w:noProof/>
            <w:webHidden/>
          </w:rPr>
          <w:fldChar w:fldCharType="separate"/>
        </w:r>
        <w:r w:rsidR="007501F4">
          <w:rPr>
            <w:noProof/>
            <w:webHidden/>
          </w:rPr>
          <w:t>38</w:t>
        </w:r>
        <w:r w:rsidR="007501F4">
          <w:rPr>
            <w:noProof/>
            <w:webHidden/>
          </w:rPr>
          <w:fldChar w:fldCharType="end"/>
        </w:r>
      </w:hyperlink>
    </w:p>
    <w:p w14:paraId="62A628D5" w14:textId="30E79C5E" w:rsidR="007501F4" w:rsidRDefault="00C65F3E">
      <w:pPr>
        <w:pStyle w:val="TDC3"/>
        <w:rPr>
          <w:rFonts w:asciiTheme="minorHAnsi" w:eastAsiaTheme="minorEastAsia" w:hAnsiTheme="minorHAnsi" w:cstheme="minorBidi"/>
          <w:noProof/>
          <w:sz w:val="24"/>
          <w:szCs w:val="24"/>
          <w:lang w:val="es-ES" w:eastAsia="es-ES_tradnl"/>
        </w:rPr>
      </w:pPr>
      <w:hyperlink w:anchor="_Toc52468147" w:history="1">
        <w:r w:rsidR="007501F4" w:rsidRPr="005F78CB">
          <w:rPr>
            <w:rStyle w:val="Hipervnculo"/>
            <w:noProof/>
          </w:rPr>
          <w:t>4.2.8</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Other adverse events of special interest</w:t>
        </w:r>
        <w:r w:rsidR="007501F4">
          <w:rPr>
            <w:noProof/>
            <w:webHidden/>
          </w:rPr>
          <w:tab/>
        </w:r>
        <w:r w:rsidR="007501F4">
          <w:rPr>
            <w:noProof/>
            <w:webHidden/>
          </w:rPr>
          <w:fldChar w:fldCharType="begin"/>
        </w:r>
        <w:r w:rsidR="007501F4">
          <w:rPr>
            <w:noProof/>
            <w:webHidden/>
          </w:rPr>
          <w:instrText xml:space="preserve"> PAGEREF _Toc52468147 \h </w:instrText>
        </w:r>
        <w:r w:rsidR="007501F4">
          <w:rPr>
            <w:noProof/>
            <w:webHidden/>
          </w:rPr>
        </w:r>
        <w:r w:rsidR="007501F4">
          <w:rPr>
            <w:noProof/>
            <w:webHidden/>
          </w:rPr>
          <w:fldChar w:fldCharType="separate"/>
        </w:r>
        <w:r w:rsidR="007501F4">
          <w:rPr>
            <w:noProof/>
            <w:webHidden/>
          </w:rPr>
          <w:t>38</w:t>
        </w:r>
        <w:r w:rsidR="007501F4">
          <w:rPr>
            <w:noProof/>
            <w:webHidden/>
          </w:rPr>
          <w:fldChar w:fldCharType="end"/>
        </w:r>
      </w:hyperlink>
    </w:p>
    <w:p w14:paraId="1B795BC2" w14:textId="23F796E8" w:rsidR="007501F4" w:rsidRDefault="00C65F3E">
      <w:pPr>
        <w:pStyle w:val="TDC2"/>
        <w:rPr>
          <w:rFonts w:asciiTheme="minorHAnsi" w:eastAsiaTheme="minorEastAsia" w:hAnsiTheme="minorHAnsi" w:cstheme="minorBidi"/>
          <w:noProof/>
          <w:sz w:val="24"/>
          <w:szCs w:val="24"/>
          <w:lang w:val="es-ES" w:eastAsia="es-ES_tradnl"/>
        </w:rPr>
      </w:pPr>
      <w:hyperlink w:anchor="_Toc52468148" w:history="1">
        <w:r w:rsidR="007501F4" w:rsidRPr="005F78CB">
          <w:rPr>
            <w:rStyle w:val="Hipervnculo"/>
            <w:noProof/>
          </w:rPr>
          <w:t>4.3</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Clinical laboratory evaluation</w:t>
        </w:r>
        <w:r w:rsidR="007501F4">
          <w:rPr>
            <w:noProof/>
            <w:webHidden/>
          </w:rPr>
          <w:tab/>
        </w:r>
        <w:r w:rsidR="007501F4">
          <w:rPr>
            <w:noProof/>
            <w:webHidden/>
          </w:rPr>
          <w:fldChar w:fldCharType="begin"/>
        </w:r>
        <w:r w:rsidR="007501F4">
          <w:rPr>
            <w:noProof/>
            <w:webHidden/>
          </w:rPr>
          <w:instrText xml:space="preserve"> PAGEREF _Toc52468148 \h </w:instrText>
        </w:r>
        <w:r w:rsidR="007501F4">
          <w:rPr>
            <w:noProof/>
            <w:webHidden/>
          </w:rPr>
        </w:r>
        <w:r w:rsidR="007501F4">
          <w:rPr>
            <w:noProof/>
            <w:webHidden/>
          </w:rPr>
          <w:fldChar w:fldCharType="separate"/>
        </w:r>
        <w:r w:rsidR="007501F4">
          <w:rPr>
            <w:noProof/>
            <w:webHidden/>
          </w:rPr>
          <w:t>39</w:t>
        </w:r>
        <w:r w:rsidR="007501F4">
          <w:rPr>
            <w:noProof/>
            <w:webHidden/>
          </w:rPr>
          <w:fldChar w:fldCharType="end"/>
        </w:r>
      </w:hyperlink>
    </w:p>
    <w:p w14:paraId="19C1D5EE" w14:textId="3AD619BA" w:rsidR="007501F4" w:rsidRDefault="00C65F3E">
      <w:pPr>
        <w:pStyle w:val="TDC2"/>
        <w:rPr>
          <w:rFonts w:asciiTheme="minorHAnsi" w:eastAsiaTheme="minorEastAsia" w:hAnsiTheme="minorHAnsi" w:cstheme="minorBidi"/>
          <w:noProof/>
          <w:sz w:val="24"/>
          <w:szCs w:val="24"/>
          <w:lang w:val="es-ES" w:eastAsia="es-ES_tradnl"/>
        </w:rPr>
      </w:pPr>
      <w:hyperlink w:anchor="_Toc52468149" w:history="1">
        <w:r w:rsidR="007501F4" w:rsidRPr="005F78CB">
          <w:rPr>
            <w:rStyle w:val="Hipervnculo"/>
            <w:noProof/>
          </w:rPr>
          <w:t>4.4</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Vital signs and physical findings</w:t>
        </w:r>
        <w:r w:rsidR="007501F4">
          <w:rPr>
            <w:noProof/>
            <w:webHidden/>
          </w:rPr>
          <w:tab/>
        </w:r>
        <w:r w:rsidR="007501F4">
          <w:rPr>
            <w:noProof/>
            <w:webHidden/>
          </w:rPr>
          <w:fldChar w:fldCharType="begin"/>
        </w:r>
        <w:r w:rsidR="007501F4">
          <w:rPr>
            <w:noProof/>
            <w:webHidden/>
          </w:rPr>
          <w:instrText xml:space="preserve"> PAGEREF _Toc52468149 \h </w:instrText>
        </w:r>
        <w:r w:rsidR="007501F4">
          <w:rPr>
            <w:noProof/>
            <w:webHidden/>
          </w:rPr>
        </w:r>
        <w:r w:rsidR="007501F4">
          <w:rPr>
            <w:noProof/>
            <w:webHidden/>
          </w:rPr>
          <w:fldChar w:fldCharType="separate"/>
        </w:r>
        <w:r w:rsidR="007501F4">
          <w:rPr>
            <w:noProof/>
            <w:webHidden/>
          </w:rPr>
          <w:t>39</w:t>
        </w:r>
        <w:r w:rsidR="007501F4">
          <w:rPr>
            <w:noProof/>
            <w:webHidden/>
          </w:rPr>
          <w:fldChar w:fldCharType="end"/>
        </w:r>
      </w:hyperlink>
    </w:p>
    <w:p w14:paraId="3C38C4A2" w14:textId="02FD9BCC" w:rsidR="007501F4" w:rsidRDefault="00C65F3E">
      <w:pPr>
        <w:pStyle w:val="TDC2"/>
        <w:rPr>
          <w:rFonts w:asciiTheme="minorHAnsi" w:eastAsiaTheme="minorEastAsia" w:hAnsiTheme="minorHAnsi" w:cstheme="minorBidi"/>
          <w:noProof/>
          <w:sz w:val="24"/>
          <w:szCs w:val="24"/>
          <w:lang w:val="es-ES" w:eastAsia="es-ES_tradnl"/>
        </w:rPr>
      </w:pPr>
      <w:hyperlink w:anchor="_Toc52468150" w:history="1">
        <w:r w:rsidR="007501F4" w:rsidRPr="005F78CB">
          <w:rPr>
            <w:rStyle w:val="Hipervnculo"/>
            <w:noProof/>
          </w:rPr>
          <w:t>4.5</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Physical examination</w:t>
        </w:r>
        <w:r w:rsidR="007501F4">
          <w:rPr>
            <w:noProof/>
            <w:webHidden/>
          </w:rPr>
          <w:tab/>
        </w:r>
        <w:r w:rsidR="007501F4">
          <w:rPr>
            <w:noProof/>
            <w:webHidden/>
          </w:rPr>
          <w:fldChar w:fldCharType="begin"/>
        </w:r>
        <w:r w:rsidR="007501F4">
          <w:rPr>
            <w:noProof/>
            <w:webHidden/>
          </w:rPr>
          <w:instrText xml:space="preserve"> PAGEREF _Toc52468150 \h </w:instrText>
        </w:r>
        <w:r w:rsidR="007501F4">
          <w:rPr>
            <w:noProof/>
            <w:webHidden/>
          </w:rPr>
        </w:r>
        <w:r w:rsidR="007501F4">
          <w:rPr>
            <w:noProof/>
            <w:webHidden/>
          </w:rPr>
          <w:fldChar w:fldCharType="separate"/>
        </w:r>
        <w:r w:rsidR="007501F4">
          <w:rPr>
            <w:noProof/>
            <w:webHidden/>
          </w:rPr>
          <w:t>40</w:t>
        </w:r>
        <w:r w:rsidR="007501F4">
          <w:rPr>
            <w:noProof/>
            <w:webHidden/>
          </w:rPr>
          <w:fldChar w:fldCharType="end"/>
        </w:r>
      </w:hyperlink>
    </w:p>
    <w:p w14:paraId="68DC4507" w14:textId="115BA692" w:rsidR="007501F4" w:rsidRDefault="00C65F3E">
      <w:pPr>
        <w:pStyle w:val="TDC2"/>
        <w:rPr>
          <w:rFonts w:asciiTheme="minorHAnsi" w:eastAsiaTheme="minorEastAsia" w:hAnsiTheme="minorHAnsi" w:cstheme="minorBidi"/>
          <w:noProof/>
          <w:sz w:val="24"/>
          <w:szCs w:val="24"/>
          <w:lang w:val="es-ES" w:eastAsia="es-ES_tradnl"/>
        </w:rPr>
      </w:pPr>
      <w:hyperlink w:anchor="_Toc52468151" w:history="1">
        <w:r w:rsidR="007501F4" w:rsidRPr="005F78CB">
          <w:rPr>
            <w:rStyle w:val="Hipervnculo"/>
            <w:noProof/>
          </w:rPr>
          <w:t>4.6</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ECOG performance status</w:t>
        </w:r>
        <w:r w:rsidR="007501F4">
          <w:rPr>
            <w:noProof/>
            <w:webHidden/>
          </w:rPr>
          <w:tab/>
        </w:r>
        <w:r w:rsidR="007501F4">
          <w:rPr>
            <w:noProof/>
            <w:webHidden/>
          </w:rPr>
          <w:fldChar w:fldCharType="begin"/>
        </w:r>
        <w:r w:rsidR="007501F4">
          <w:rPr>
            <w:noProof/>
            <w:webHidden/>
          </w:rPr>
          <w:instrText xml:space="preserve"> PAGEREF _Toc52468151 \h </w:instrText>
        </w:r>
        <w:r w:rsidR="007501F4">
          <w:rPr>
            <w:noProof/>
            <w:webHidden/>
          </w:rPr>
        </w:r>
        <w:r w:rsidR="007501F4">
          <w:rPr>
            <w:noProof/>
            <w:webHidden/>
          </w:rPr>
          <w:fldChar w:fldCharType="separate"/>
        </w:r>
        <w:r w:rsidR="007501F4">
          <w:rPr>
            <w:noProof/>
            <w:webHidden/>
          </w:rPr>
          <w:t>40</w:t>
        </w:r>
        <w:r w:rsidR="007501F4">
          <w:rPr>
            <w:noProof/>
            <w:webHidden/>
          </w:rPr>
          <w:fldChar w:fldCharType="end"/>
        </w:r>
      </w:hyperlink>
    </w:p>
    <w:p w14:paraId="65511700" w14:textId="28F30F2E" w:rsidR="007501F4" w:rsidRDefault="00C65F3E">
      <w:pPr>
        <w:pStyle w:val="TDC2"/>
        <w:rPr>
          <w:rFonts w:asciiTheme="minorHAnsi" w:eastAsiaTheme="minorEastAsia" w:hAnsiTheme="minorHAnsi" w:cstheme="minorBidi"/>
          <w:noProof/>
          <w:sz w:val="24"/>
          <w:szCs w:val="24"/>
          <w:lang w:val="es-ES" w:eastAsia="es-ES_tradnl"/>
        </w:rPr>
      </w:pPr>
      <w:hyperlink w:anchor="_Toc52468152" w:history="1">
        <w:r w:rsidR="007501F4" w:rsidRPr="005F78CB">
          <w:rPr>
            <w:rStyle w:val="Hipervnculo"/>
            <w:noProof/>
          </w:rPr>
          <w:t>4.7</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Electrocardiogram</w:t>
        </w:r>
        <w:r w:rsidR="007501F4">
          <w:rPr>
            <w:noProof/>
            <w:webHidden/>
          </w:rPr>
          <w:tab/>
        </w:r>
        <w:r w:rsidR="007501F4">
          <w:rPr>
            <w:noProof/>
            <w:webHidden/>
          </w:rPr>
          <w:fldChar w:fldCharType="begin"/>
        </w:r>
        <w:r w:rsidR="007501F4">
          <w:rPr>
            <w:noProof/>
            <w:webHidden/>
          </w:rPr>
          <w:instrText xml:space="preserve"> PAGEREF _Toc52468152 \h </w:instrText>
        </w:r>
        <w:r w:rsidR="007501F4">
          <w:rPr>
            <w:noProof/>
            <w:webHidden/>
          </w:rPr>
        </w:r>
        <w:r w:rsidR="007501F4">
          <w:rPr>
            <w:noProof/>
            <w:webHidden/>
          </w:rPr>
          <w:fldChar w:fldCharType="separate"/>
        </w:r>
        <w:r w:rsidR="007501F4">
          <w:rPr>
            <w:noProof/>
            <w:webHidden/>
          </w:rPr>
          <w:t>40</w:t>
        </w:r>
        <w:r w:rsidR="007501F4">
          <w:rPr>
            <w:noProof/>
            <w:webHidden/>
          </w:rPr>
          <w:fldChar w:fldCharType="end"/>
        </w:r>
      </w:hyperlink>
    </w:p>
    <w:p w14:paraId="72EC45B2" w14:textId="411B8E04" w:rsidR="007501F4" w:rsidRDefault="00C65F3E">
      <w:pPr>
        <w:pStyle w:val="TDC2"/>
        <w:rPr>
          <w:rFonts w:asciiTheme="minorHAnsi" w:eastAsiaTheme="minorEastAsia" w:hAnsiTheme="minorHAnsi" w:cstheme="minorBidi"/>
          <w:noProof/>
          <w:sz w:val="24"/>
          <w:szCs w:val="24"/>
          <w:lang w:val="es-ES" w:eastAsia="es-ES_tradnl"/>
        </w:rPr>
      </w:pPr>
      <w:hyperlink w:anchor="_Toc52468153" w:history="1">
        <w:r w:rsidR="007501F4" w:rsidRPr="005F78CB">
          <w:rPr>
            <w:rStyle w:val="Hipervnculo"/>
            <w:noProof/>
          </w:rPr>
          <w:t>4.8</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Safety summary and conclusions.</w:t>
        </w:r>
        <w:r w:rsidR="007501F4">
          <w:rPr>
            <w:noProof/>
            <w:webHidden/>
          </w:rPr>
          <w:tab/>
        </w:r>
        <w:r w:rsidR="007501F4">
          <w:rPr>
            <w:noProof/>
            <w:webHidden/>
          </w:rPr>
          <w:fldChar w:fldCharType="begin"/>
        </w:r>
        <w:r w:rsidR="007501F4">
          <w:rPr>
            <w:noProof/>
            <w:webHidden/>
          </w:rPr>
          <w:instrText xml:space="preserve"> PAGEREF _Toc52468153 \h </w:instrText>
        </w:r>
        <w:r w:rsidR="007501F4">
          <w:rPr>
            <w:noProof/>
            <w:webHidden/>
          </w:rPr>
        </w:r>
        <w:r w:rsidR="007501F4">
          <w:rPr>
            <w:noProof/>
            <w:webHidden/>
          </w:rPr>
          <w:fldChar w:fldCharType="separate"/>
        </w:r>
        <w:r w:rsidR="007501F4">
          <w:rPr>
            <w:noProof/>
            <w:webHidden/>
          </w:rPr>
          <w:t>40</w:t>
        </w:r>
        <w:r w:rsidR="007501F4">
          <w:rPr>
            <w:noProof/>
            <w:webHidden/>
          </w:rPr>
          <w:fldChar w:fldCharType="end"/>
        </w:r>
      </w:hyperlink>
    </w:p>
    <w:p w14:paraId="6D3AB0AD" w14:textId="3779DC58" w:rsidR="007501F4" w:rsidRDefault="00C65F3E">
      <w:pPr>
        <w:pStyle w:val="TDC1"/>
        <w:rPr>
          <w:rFonts w:asciiTheme="minorHAnsi" w:eastAsiaTheme="minorEastAsia" w:hAnsiTheme="minorHAnsi" w:cstheme="minorBidi"/>
          <w:b w:val="0"/>
          <w:noProof/>
          <w:sz w:val="24"/>
          <w:szCs w:val="24"/>
          <w:lang w:val="es-ES" w:eastAsia="es-ES_tradnl"/>
        </w:rPr>
      </w:pPr>
      <w:hyperlink w:anchor="_Toc52468154" w:history="1">
        <w:r w:rsidR="007501F4" w:rsidRPr="005F78CB">
          <w:rPr>
            <w:rStyle w:val="Hipervnculo"/>
            <w:noProof/>
          </w:rPr>
          <w:t>5</w:t>
        </w:r>
        <w:r w:rsidR="007501F4">
          <w:rPr>
            <w:rFonts w:asciiTheme="minorHAnsi" w:eastAsiaTheme="minorEastAsia" w:hAnsiTheme="minorHAnsi" w:cstheme="minorBidi"/>
            <w:b w:val="0"/>
            <w:noProof/>
            <w:sz w:val="24"/>
            <w:szCs w:val="24"/>
            <w:lang w:val="es-ES" w:eastAsia="es-ES_tradnl"/>
          </w:rPr>
          <w:tab/>
        </w:r>
        <w:r w:rsidR="007501F4" w:rsidRPr="005F78CB">
          <w:rPr>
            <w:rStyle w:val="Hipervnculo"/>
            <w:noProof/>
          </w:rPr>
          <w:t>DISCUSSION AND CONCLUSIONS</w:t>
        </w:r>
        <w:r w:rsidR="007501F4">
          <w:rPr>
            <w:noProof/>
            <w:webHidden/>
          </w:rPr>
          <w:tab/>
        </w:r>
        <w:r w:rsidR="007501F4">
          <w:rPr>
            <w:noProof/>
            <w:webHidden/>
          </w:rPr>
          <w:fldChar w:fldCharType="begin"/>
        </w:r>
        <w:r w:rsidR="007501F4">
          <w:rPr>
            <w:noProof/>
            <w:webHidden/>
          </w:rPr>
          <w:instrText xml:space="preserve"> PAGEREF _Toc52468154 \h </w:instrText>
        </w:r>
        <w:r w:rsidR="007501F4">
          <w:rPr>
            <w:noProof/>
            <w:webHidden/>
          </w:rPr>
        </w:r>
        <w:r w:rsidR="007501F4">
          <w:rPr>
            <w:noProof/>
            <w:webHidden/>
          </w:rPr>
          <w:fldChar w:fldCharType="separate"/>
        </w:r>
        <w:r w:rsidR="007501F4">
          <w:rPr>
            <w:noProof/>
            <w:webHidden/>
          </w:rPr>
          <w:t>43</w:t>
        </w:r>
        <w:r w:rsidR="007501F4">
          <w:rPr>
            <w:noProof/>
            <w:webHidden/>
          </w:rPr>
          <w:fldChar w:fldCharType="end"/>
        </w:r>
      </w:hyperlink>
    </w:p>
    <w:p w14:paraId="7F98D627" w14:textId="7F2931CE" w:rsidR="007501F4" w:rsidRDefault="00C65F3E">
      <w:pPr>
        <w:pStyle w:val="TDC2"/>
        <w:rPr>
          <w:rFonts w:asciiTheme="minorHAnsi" w:eastAsiaTheme="minorEastAsia" w:hAnsiTheme="minorHAnsi" w:cstheme="minorBidi"/>
          <w:noProof/>
          <w:sz w:val="24"/>
          <w:szCs w:val="24"/>
          <w:lang w:val="es-ES" w:eastAsia="es-ES_tradnl"/>
        </w:rPr>
      </w:pPr>
      <w:hyperlink w:anchor="_Toc52468155" w:history="1">
        <w:r w:rsidR="007501F4" w:rsidRPr="005F78CB">
          <w:rPr>
            <w:rStyle w:val="Hipervnculo"/>
            <w:noProof/>
          </w:rPr>
          <w:t>5.1</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Discussion of efficacy.</w:t>
        </w:r>
        <w:r w:rsidR="007501F4">
          <w:rPr>
            <w:noProof/>
            <w:webHidden/>
          </w:rPr>
          <w:tab/>
        </w:r>
        <w:r w:rsidR="007501F4">
          <w:rPr>
            <w:noProof/>
            <w:webHidden/>
          </w:rPr>
          <w:fldChar w:fldCharType="begin"/>
        </w:r>
        <w:r w:rsidR="007501F4">
          <w:rPr>
            <w:noProof/>
            <w:webHidden/>
          </w:rPr>
          <w:instrText xml:space="preserve"> PAGEREF _Toc52468155 \h </w:instrText>
        </w:r>
        <w:r w:rsidR="007501F4">
          <w:rPr>
            <w:noProof/>
            <w:webHidden/>
          </w:rPr>
        </w:r>
        <w:r w:rsidR="007501F4">
          <w:rPr>
            <w:noProof/>
            <w:webHidden/>
          </w:rPr>
          <w:fldChar w:fldCharType="separate"/>
        </w:r>
        <w:r w:rsidR="007501F4">
          <w:rPr>
            <w:noProof/>
            <w:webHidden/>
          </w:rPr>
          <w:t>43</w:t>
        </w:r>
        <w:r w:rsidR="007501F4">
          <w:rPr>
            <w:noProof/>
            <w:webHidden/>
          </w:rPr>
          <w:fldChar w:fldCharType="end"/>
        </w:r>
      </w:hyperlink>
    </w:p>
    <w:p w14:paraId="255C995F" w14:textId="23CEC7CE" w:rsidR="007501F4" w:rsidRDefault="00C65F3E">
      <w:pPr>
        <w:pStyle w:val="TDC2"/>
        <w:rPr>
          <w:rFonts w:asciiTheme="minorHAnsi" w:eastAsiaTheme="minorEastAsia" w:hAnsiTheme="minorHAnsi" w:cstheme="minorBidi"/>
          <w:noProof/>
          <w:sz w:val="24"/>
          <w:szCs w:val="24"/>
          <w:lang w:val="es-ES" w:eastAsia="es-ES_tradnl"/>
        </w:rPr>
      </w:pPr>
      <w:hyperlink w:anchor="_Toc52468156" w:history="1">
        <w:r w:rsidR="007501F4" w:rsidRPr="005F78CB">
          <w:rPr>
            <w:rStyle w:val="Hipervnculo"/>
            <w:noProof/>
          </w:rPr>
          <w:t>5.2</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Discussion of safety.</w:t>
        </w:r>
        <w:r w:rsidR="007501F4">
          <w:rPr>
            <w:noProof/>
            <w:webHidden/>
          </w:rPr>
          <w:tab/>
        </w:r>
        <w:r w:rsidR="007501F4">
          <w:rPr>
            <w:noProof/>
            <w:webHidden/>
          </w:rPr>
          <w:fldChar w:fldCharType="begin"/>
        </w:r>
        <w:r w:rsidR="007501F4">
          <w:rPr>
            <w:noProof/>
            <w:webHidden/>
          </w:rPr>
          <w:instrText xml:space="preserve"> PAGEREF _Toc52468156 \h </w:instrText>
        </w:r>
        <w:r w:rsidR="007501F4">
          <w:rPr>
            <w:noProof/>
            <w:webHidden/>
          </w:rPr>
        </w:r>
        <w:r w:rsidR="007501F4">
          <w:rPr>
            <w:noProof/>
            <w:webHidden/>
          </w:rPr>
          <w:fldChar w:fldCharType="separate"/>
        </w:r>
        <w:r w:rsidR="007501F4">
          <w:rPr>
            <w:noProof/>
            <w:webHidden/>
          </w:rPr>
          <w:t>44</w:t>
        </w:r>
        <w:r w:rsidR="007501F4">
          <w:rPr>
            <w:noProof/>
            <w:webHidden/>
          </w:rPr>
          <w:fldChar w:fldCharType="end"/>
        </w:r>
      </w:hyperlink>
    </w:p>
    <w:p w14:paraId="6C748715" w14:textId="4F62C44F" w:rsidR="007501F4" w:rsidRDefault="00C65F3E">
      <w:pPr>
        <w:pStyle w:val="TDC2"/>
        <w:rPr>
          <w:rFonts w:asciiTheme="minorHAnsi" w:eastAsiaTheme="minorEastAsia" w:hAnsiTheme="minorHAnsi" w:cstheme="minorBidi"/>
          <w:noProof/>
          <w:sz w:val="24"/>
          <w:szCs w:val="24"/>
          <w:lang w:val="es-ES" w:eastAsia="es-ES_tradnl"/>
        </w:rPr>
      </w:pPr>
      <w:hyperlink w:anchor="_Toc52468157" w:history="1">
        <w:r w:rsidR="007501F4" w:rsidRPr="005F78CB">
          <w:rPr>
            <w:rStyle w:val="Hipervnculo"/>
            <w:noProof/>
          </w:rPr>
          <w:t>5.3</w:t>
        </w:r>
        <w:r w:rsidR="007501F4">
          <w:rPr>
            <w:rFonts w:asciiTheme="minorHAnsi" w:eastAsiaTheme="minorEastAsia" w:hAnsiTheme="minorHAnsi" w:cstheme="minorBidi"/>
            <w:noProof/>
            <w:sz w:val="24"/>
            <w:szCs w:val="24"/>
            <w:lang w:val="es-ES" w:eastAsia="es-ES_tradnl"/>
          </w:rPr>
          <w:tab/>
        </w:r>
        <w:r w:rsidR="007501F4" w:rsidRPr="005F78CB">
          <w:rPr>
            <w:rStyle w:val="Hipervnculo"/>
            <w:noProof/>
          </w:rPr>
          <w:t>Overall conclusion.</w:t>
        </w:r>
        <w:r w:rsidR="007501F4">
          <w:rPr>
            <w:noProof/>
            <w:webHidden/>
          </w:rPr>
          <w:tab/>
        </w:r>
        <w:r w:rsidR="007501F4">
          <w:rPr>
            <w:noProof/>
            <w:webHidden/>
          </w:rPr>
          <w:fldChar w:fldCharType="begin"/>
        </w:r>
        <w:r w:rsidR="007501F4">
          <w:rPr>
            <w:noProof/>
            <w:webHidden/>
          </w:rPr>
          <w:instrText xml:space="preserve"> PAGEREF _Toc52468157 \h </w:instrText>
        </w:r>
        <w:r w:rsidR="007501F4">
          <w:rPr>
            <w:noProof/>
            <w:webHidden/>
          </w:rPr>
        </w:r>
        <w:r w:rsidR="007501F4">
          <w:rPr>
            <w:noProof/>
            <w:webHidden/>
          </w:rPr>
          <w:fldChar w:fldCharType="separate"/>
        </w:r>
        <w:r w:rsidR="007501F4">
          <w:rPr>
            <w:noProof/>
            <w:webHidden/>
          </w:rPr>
          <w:t>45</w:t>
        </w:r>
        <w:r w:rsidR="007501F4">
          <w:rPr>
            <w:noProof/>
            <w:webHidden/>
          </w:rPr>
          <w:fldChar w:fldCharType="end"/>
        </w:r>
      </w:hyperlink>
    </w:p>
    <w:p w14:paraId="4D6F2BF6" w14:textId="06E31CC6" w:rsidR="007501F4" w:rsidRDefault="00C65F3E">
      <w:pPr>
        <w:pStyle w:val="TDC1"/>
        <w:rPr>
          <w:noProof/>
        </w:rPr>
      </w:pPr>
      <w:hyperlink w:anchor="_Toc52468158" w:history="1">
        <w:r w:rsidR="007501F4" w:rsidRPr="005F78CB">
          <w:rPr>
            <w:rStyle w:val="Hipervnculo"/>
            <w:noProof/>
            <w:lang w:val="en-GB"/>
          </w:rPr>
          <w:t>6</w:t>
        </w:r>
        <w:r w:rsidR="007501F4">
          <w:rPr>
            <w:rFonts w:asciiTheme="minorHAnsi" w:eastAsiaTheme="minorEastAsia" w:hAnsiTheme="minorHAnsi" w:cstheme="minorBidi"/>
            <w:b w:val="0"/>
            <w:noProof/>
            <w:sz w:val="24"/>
            <w:szCs w:val="24"/>
            <w:lang w:val="es-ES" w:eastAsia="es-ES_tradnl"/>
          </w:rPr>
          <w:tab/>
        </w:r>
        <w:r w:rsidR="007501F4" w:rsidRPr="005F78CB">
          <w:rPr>
            <w:rStyle w:val="Hipervnculo"/>
            <w:noProof/>
            <w:lang w:val="en-GB"/>
          </w:rPr>
          <w:t>TABLES</w:t>
        </w:r>
        <w:r w:rsidR="007501F4">
          <w:rPr>
            <w:noProof/>
            <w:webHidden/>
          </w:rPr>
          <w:tab/>
        </w:r>
        <w:r w:rsidR="007501F4">
          <w:rPr>
            <w:noProof/>
            <w:webHidden/>
          </w:rPr>
          <w:fldChar w:fldCharType="begin"/>
        </w:r>
        <w:r w:rsidR="007501F4">
          <w:rPr>
            <w:noProof/>
            <w:webHidden/>
          </w:rPr>
          <w:instrText xml:space="preserve"> PAGEREF _Toc52468158 \h </w:instrText>
        </w:r>
        <w:r w:rsidR="007501F4">
          <w:rPr>
            <w:noProof/>
            <w:webHidden/>
          </w:rPr>
        </w:r>
        <w:r w:rsidR="007501F4">
          <w:rPr>
            <w:noProof/>
            <w:webHidden/>
          </w:rPr>
          <w:fldChar w:fldCharType="separate"/>
        </w:r>
        <w:r w:rsidR="007501F4">
          <w:rPr>
            <w:noProof/>
            <w:webHidden/>
          </w:rPr>
          <w:t>46</w:t>
        </w:r>
        <w:r w:rsidR="007501F4">
          <w:rPr>
            <w:noProof/>
            <w:webHidden/>
          </w:rPr>
          <w:fldChar w:fldCharType="end"/>
        </w:r>
      </w:hyperlink>
    </w:p>
    <w:p w14:paraId="51D39C30" w14:textId="77777777" w:rsidR="001937EF" w:rsidRPr="001937EF" w:rsidRDefault="001937EF" w:rsidP="001937EF">
      <w:pPr>
        <w:rPr>
          <w:rFonts w:eastAsiaTheme="minorEastAsia"/>
        </w:rPr>
      </w:pPr>
    </w:p>
    <w:p w14:paraId="3CF6559B" w14:textId="5249C883"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59" w:history="1">
        <w:r w:rsidR="007501F4" w:rsidRPr="00D338A2">
          <w:rPr>
            <w:rStyle w:val="Hipervnculo"/>
            <w:b w:val="0"/>
            <w:bCs/>
            <w:noProof/>
            <w:sz w:val="18"/>
            <w:szCs w:val="18"/>
          </w:rPr>
          <w:t>Table 1. Recruiting sites, principal investigators and IRBs involved in the PARSIFAL trial.</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_Toc52468159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46</w:t>
        </w:r>
        <w:r w:rsidR="007501F4" w:rsidRPr="00D338A2">
          <w:rPr>
            <w:b w:val="0"/>
            <w:bCs/>
            <w:noProof/>
            <w:webHidden/>
            <w:sz w:val="18"/>
            <w:szCs w:val="18"/>
          </w:rPr>
          <w:fldChar w:fldCharType="end"/>
        </w:r>
      </w:hyperlink>
    </w:p>
    <w:p w14:paraId="513F01F6" w14:textId="1713A322"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60" w:history="1">
        <w:r w:rsidR="007501F4" w:rsidRPr="00D338A2">
          <w:rPr>
            <w:rStyle w:val="Hipervnculo"/>
            <w:b w:val="0"/>
            <w:bCs/>
            <w:noProof/>
            <w:sz w:val="18"/>
            <w:szCs w:val="18"/>
          </w:rPr>
          <w:t>Table 2. Examples of CYP3A inhibitors/inducers.</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_Toc52468160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49</w:t>
        </w:r>
        <w:r w:rsidR="007501F4" w:rsidRPr="00D338A2">
          <w:rPr>
            <w:b w:val="0"/>
            <w:bCs/>
            <w:noProof/>
            <w:webHidden/>
            <w:sz w:val="18"/>
            <w:szCs w:val="18"/>
          </w:rPr>
          <w:fldChar w:fldCharType="end"/>
        </w:r>
      </w:hyperlink>
    </w:p>
    <w:p w14:paraId="793B0E5C" w14:textId="760B711D"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61" w:history="1">
        <w:r w:rsidR="007501F4" w:rsidRPr="00D338A2">
          <w:rPr>
            <w:rStyle w:val="Hipervnculo"/>
            <w:b w:val="0"/>
            <w:bCs/>
            <w:noProof/>
            <w:sz w:val="18"/>
            <w:szCs w:val="18"/>
          </w:rPr>
          <w:t>Table 3. Schedule of assessments and study procedures.</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_Toc52468161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50</w:t>
        </w:r>
        <w:r w:rsidR="007501F4" w:rsidRPr="00D338A2">
          <w:rPr>
            <w:b w:val="0"/>
            <w:bCs/>
            <w:noProof/>
            <w:webHidden/>
            <w:sz w:val="18"/>
            <w:szCs w:val="18"/>
          </w:rPr>
          <w:fldChar w:fldCharType="end"/>
        </w:r>
      </w:hyperlink>
    </w:p>
    <w:p w14:paraId="69A2D103" w14:textId="43ACBCF2"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62" w:history="1">
        <w:r w:rsidR="007501F4" w:rsidRPr="00D338A2">
          <w:rPr>
            <w:rStyle w:val="Hipervnculo"/>
            <w:b w:val="0"/>
            <w:bCs/>
            <w:noProof/>
            <w:sz w:val="18"/>
            <w:szCs w:val="18"/>
          </w:rPr>
          <w:t>Table 4. Methods of statistical analysis of study variables.</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_Toc52468162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51</w:t>
        </w:r>
        <w:r w:rsidR="007501F4" w:rsidRPr="00D338A2">
          <w:rPr>
            <w:b w:val="0"/>
            <w:bCs/>
            <w:noProof/>
            <w:webHidden/>
            <w:sz w:val="18"/>
            <w:szCs w:val="18"/>
          </w:rPr>
          <w:fldChar w:fldCharType="end"/>
        </w:r>
      </w:hyperlink>
    </w:p>
    <w:p w14:paraId="26394804" w14:textId="200FA0C7"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63" w:history="1">
        <w:r w:rsidR="007501F4" w:rsidRPr="00D338A2">
          <w:rPr>
            <w:rStyle w:val="Hipervnculo"/>
            <w:b w:val="0"/>
            <w:bCs/>
            <w:noProof/>
            <w:sz w:val="18"/>
            <w:szCs w:val="18"/>
          </w:rPr>
          <w:t>Table 5. PARSIFAL trial patient disposition.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_Toc52468163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52</w:t>
        </w:r>
        <w:r w:rsidR="007501F4" w:rsidRPr="00D338A2">
          <w:rPr>
            <w:b w:val="0"/>
            <w:bCs/>
            <w:noProof/>
            <w:webHidden/>
            <w:sz w:val="18"/>
            <w:szCs w:val="18"/>
          </w:rPr>
          <w:fldChar w:fldCharType="end"/>
        </w:r>
      </w:hyperlink>
    </w:p>
    <w:p w14:paraId="7E8C98D1" w14:textId="1DCED415"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64" w:history="1">
        <w:r w:rsidR="007501F4" w:rsidRPr="00D338A2">
          <w:rPr>
            <w:rStyle w:val="Hipervnculo"/>
            <w:b w:val="0"/>
            <w:bCs/>
            <w:noProof/>
            <w:sz w:val="18"/>
            <w:szCs w:val="18"/>
          </w:rPr>
          <w:t>Table 6. Summary of baseline characteristics (Intent-to-Treat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_Toc52468164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54</w:t>
        </w:r>
        <w:r w:rsidR="007501F4" w:rsidRPr="00D338A2">
          <w:rPr>
            <w:b w:val="0"/>
            <w:bCs/>
            <w:noProof/>
            <w:webHidden/>
            <w:sz w:val="18"/>
            <w:szCs w:val="18"/>
          </w:rPr>
          <w:fldChar w:fldCharType="end"/>
        </w:r>
      </w:hyperlink>
    </w:p>
    <w:p w14:paraId="72CF822F" w14:textId="118DC2F0"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65" w:history="1">
        <w:r w:rsidR="007501F4" w:rsidRPr="00D338A2">
          <w:rPr>
            <w:rStyle w:val="Hipervnculo"/>
            <w:b w:val="0"/>
            <w:bCs/>
            <w:noProof/>
            <w:sz w:val="18"/>
            <w:szCs w:val="18"/>
          </w:rPr>
          <w:t>Table 7. Study drug exposure, dose reductions, delays, interruptions and treatment compliance in the safety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_Toc52468165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57</w:t>
        </w:r>
        <w:r w:rsidR="007501F4" w:rsidRPr="00D338A2">
          <w:rPr>
            <w:b w:val="0"/>
            <w:bCs/>
            <w:noProof/>
            <w:webHidden/>
            <w:sz w:val="18"/>
            <w:szCs w:val="18"/>
          </w:rPr>
          <w:fldChar w:fldCharType="end"/>
        </w:r>
      </w:hyperlink>
    </w:p>
    <w:p w14:paraId="1DC23372" w14:textId="6AC3C3A5"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66" w:history="1">
        <w:r w:rsidR="007501F4" w:rsidRPr="00D338A2">
          <w:rPr>
            <w:rStyle w:val="Hipervnculo"/>
            <w:b w:val="0"/>
            <w:bCs/>
            <w:noProof/>
            <w:sz w:val="18"/>
            <w:szCs w:val="18"/>
          </w:rPr>
          <w:t>Table 8. List of concomitant medication used by &gt; 10 patients (Safety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_Toc52468166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58</w:t>
        </w:r>
        <w:r w:rsidR="007501F4" w:rsidRPr="00D338A2">
          <w:rPr>
            <w:b w:val="0"/>
            <w:bCs/>
            <w:noProof/>
            <w:webHidden/>
            <w:sz w:val="18"/>
            <w:szCs w:val="18"/>
          </w:rPr>
          <w:fldChar w:fldCharType="end"/>
        </w:r>
      </w:hyperlink>
    </w:p>
    <w:p w14:paraId="3E3C6552" w14:textId="6DB397E4"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67" w:history="1">
        <w:r w:rsidR="007501F4" w:rsidRPr="00D338A2">
          <w:rPr>
            <w:rStyle w:val="Hipervnculo"/>
            <w:b w:val="0"/>
            <w:bCs/>
            <w:noProof/>
            <w:sz w:val="18"/>
            <w:szCs w:val="18"/>
          </w:rPr>
          <w:t>Table 9. Other Kaplan-Meier analysis and results of progression-free survival in the Intent-to-Treat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_Toc52468167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60</w:t>
        </w:r>
        <w:r w:rsidR="007501F4" w:rsidRPr="00D338A2">
          <w:rPr>
            <w:b w:val="0"/>
            <w:bCs/>
            <w:noProof/>
            <w:webHidden/>
            <w:sz w:val="18"/>
            <w:szCs w:val="18"/>
          </w:rPr>
          <w:fldChar w:fldCharType="end"/>
        </w:r>
      </w:hyperlink>
    </w:p>
    <w:p w14:paraId="2E07CA84" w14:textId="6113AE92"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68" w:history="1">
        <w:r w:rsidR="007501F4" w:rsidRPr="00D338A2">
          <w:rPr>
            <w:rStyle w:val="Hipervnculo"/>
            <w:b w:val="0"/>
            <w:bCs/>
            <w:noProof/>
            <w:sz w:val="18"/>
            <w:szCs w:val="18"/>
          </w:rPr>
          <w:t>Table 10. Tumor best response according to RECIST version 1·1 (ITT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_Toc52468168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62</w:t>
        </w:r>
        <w:r w:rsidR="007501F4" w:rsidRPr="00D338A2">
          <w:rPr>
            <w:b w:val="0"/>
            <w:bCs/>
            <w:noProof/>
            <w:webHidden/>
            <w:sz w:val="18"/>
            <w:szCs w:val="18"/>
          </w:rPr>
          <w:fldChar w:fldCharType="end"/>
        </w:r>
      </w:hyperlink>
    </w:p>
    <w:p w14:paraId="7BF0E79E" w14:textId="6A27BF30"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69" w:history="1">
        <w:r w:rsidR="007501F4" w:rsidRPr="00D338A2">
          <w:rPr>
            <w:rStyle w:val="Hipervnculo"/>
            <w:b w:val="0"/>
            <w:bCs/>
            <w:noProof/>
            <w:sz w:val="18"/>
            <w:szCs w:val="18"/>
          </w:rPr>
          <w:t>Table 11. Correlation of Relative Dose intensity versus Best Overall Response in the Intent-to-Treat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_Toc52468169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63</w:t>
        </w:r>
        <w:r w:rsidR="007501F4" w:rsidRPr="00D338A2">
          <w:rPr>
            <w:b w:val="0"/>
            <w:bCs/>
            <w:noProof/>
            <w:webHidden/>
            <w:sz w:val="18"/>
            <w:szCs w:val="18"/>
          </w:rPr>
          <w:fldChar w:fldCharType="end"/>
        </w:r>
      </w:hyperlink>
    </w:p>
    <w:p w14:paraId="63F2850B" w14:textId="2968499F"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70" w:history="1">
        <w:r w:rsidR="007501F4" w:rsidRPr="00D338A2">
          <w:rPr>
            <w:rStyle w:val="Hipervnculo"/>
            <w:b w:val="0"/>
            <w:bCs/>
            <w:noProof/>
            <w:sz w:val="18"/>
            <w:szCs w:val="18"/>
          </w:rPr>
          <w:t>Table 12. Overview of Adverse Events and Treatment Emergent Adverse Events in the Safety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_Toc52468170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64</w:t>
        </w:r>
        <w:r w:rsidR="007501F4" w:rsidRPr="00D338A2">
          <w:rPr>
            <w:b w:val="0"/>
            <w:bCs/>
            <w:noProof/>
            <w:webHidden/>
            <w:sz w:val="18"/>
            <w:szCs w:val="18"/>
          </w:rPr>
          <w:fldChar w:fldCharType="end"/>
        </w:r>
      </w:hyperlink>
    </w:p>
    <w:p w14:paraId="69E6DF85" w14:textId="46CEFE1D"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71" w:history="1">
        <w:r w:rsidR="007501F4" w:rsidRPr="00D338A2">
          <w:rPr>
            <w:rStyle w:val="Hipervnculo"/>
            <w:b w:val="0"/>
            <w:bCs/>
            <w:noProof/>
            <w:sz w:val="18"/>
            <w:szCs w:val="18"/>
          </w:rPr>
          <w:t>Table 13. Toxicity summary for TEAEs of any type reported for &gt;5% of patients in any study group (Safety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_Toc52468171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65</w:t>
        </w:r>
        <w:r w:rsidR="007501F4" w:rsidRPr="00D338A2">
          <w:rPr>
            <w:b w:val="0"/>
            <w:bCs/>
            <w:noProof/>
            <w:webHidden/>
            <w:sz w:val="18"/>
            <w:szCs w:val="18"/>
          </w:rPr>
          <w:fldChar w:fldCharType="end"/>
        </w:r>
      </w:hyperlink>
    </w:p>
    <w:p w14:paraId="5919DA11" w14:textId="60E5365D"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72" w:history="1">
        <w:r w:rsidR="007501F4" w:rsidRPr="00D338A2">
          <w:rPr>
            <w:rStyle w:val="Hipervnculo"/>
            <w:b w:val="0"/>
            <w:bCs/>
            <w:noProof/>
            <w:sz w:val="18"/>
            <w:szCs w:val="18"/>
          </w:rPr>
          <w:t>Table 14. Toxicity summary for IMP-related TEAEs reported for &gt;2% of patients in any study group (Safety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_Toc52468172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67</w:t>
        </w:r>
        <w:r w:rsidR="007501F4" w:rsidRPr="00D338A2">
          <w:rPr>
            <w:b w:val="0"/>
            <w:bCs/>
            <w:noProof/>
            <w:webHidden/>
            <w:sz w:val="18"/>
            <w:szCs w:val="18"/>
          </w:rPr>
          <w:fldChar w:fldCharType="end"/>
        </w:r>
      </w:hyperlink>
    </w:p>
    <w:p w14:paraId="4FCF9577" w14:textId="7798B7BA"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73" w:history="1">
        <w:r w:rsidR="007501F4" w:rsidRPr="00D338A2">
          <w:rPr>
            <w:rStyle w:val="Hipervnculo"/>
            <w:b w:val="0"/>
            <w:bCs/>
            <w:noProof/>
            <w:sz w:val="18"/>
            <w:szCs w:val="18"/>
          </w:rPr>
          <w:t>Table 15. Toxicity summary for CTCAE grade ≥ 3 TEAEs reported for &gt;1% of patients in any study group (Safety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_Toc52468173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69</w:t>
        </w:r>
        <w:r w:rsidR="007501F4" w:rsidRPr="00D338A2">
          <w:rPr>
            <w:b w:val="0"/>
            <w:bCs/>
            <w:noProof/>
            <w:webHidden/>
            <w:sz w:val="18"/>
            <w:szCs w:val="18"/>
          </w:rPr>
          <w:fldChar w:fldCharType="end"/>
        </w:r>
      </w:hyperlink>
    </w:p>
    <w:p w14:paraId="69A5E785" w14:textId="2D2691AA"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74" w:history="1">
        <w:r w:rsidR="007501F4" w:rsidRPr="00D338A2">
          <w:rPr>
            <w:rStyle w:val="Hipervnculo"/>
            <w:b w:val="0"/>
            <w:bCs/>
            <w:noProof/>
            <w:sz w:val="18"/>
            <w:szCs w:val="18"/>
          </w:rPr>
          <w:t>Table 16. Toxicity summary for IMP-related CTCAE grade ≥ 3 TEAEs reported for &gt;1% of patients in any study group (Safety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_Toc52468174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70</w:t>
        </w:r>
        <w:r w:rsidR="007501F4" w:rsidRPr="00D338A2">
          <w:rPr>
            <w:b w:val="0"/>
            <w:bCs/>
            <w:noProof/>
            <w:webHidden/>
            <w:sz w:val="18"/>
            <w:szCs w:val="18"/>
          </w:rPr>
          <w:fldChar w:fldCharType="end"/>
        </w:r>
      </w:hyperlink>
    </w:p>
    <w:p w14:paraId="1CAFCBBC" w14:textId="5AAAC78C"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75" w:history="1">
        <w:r w:rsidR="007501F4" w:rsidRPr="00D338A2">
          <w:rPr>
            <w:rStyle w:val="Hipervnculo"/>
            <w:b w:val="0"/>
            <w:bCs/>
            <w:noProof/>
            <w:sz w:val="18"/>
            <w:szCs w:val="18"/>
          </w:rPr>
          <w:t>Table 17. Toxicity summary for serious TEAEs reported for ≥ 3 of patients (Safety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_Toc52468175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71</w:t>
        </w:r>
        <w:r w:rsidR="007501F4" w:rsidRPr="00D338A2">
          <w:rPr>
            <w:b w:val="0"/>
            <w:bCs/>
            <w:noProof/>
            <w:webHidden/>
            <w:sz w:val="18"/>
            <w:szCs w:val="18"/>
          </w:rPr>
          <w:fldChar w:fldCharType="end"/>
        </w:r>
      </w:hyperlink>
    </w:p>
    <w:p w14:paraId="1F27ACC9" w14:textId="093F5155"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76" w:history="1">
        <w:r w:rsidR="007501F4" w:rsidRPr="00D338A2">
          <w:rPr>
            <w:rStyle w:val="Hipervnculo"/>
            <w:b w:val="0"/>
            <w:bCs/>
            <w:noProof/>
            <w:sz w:val="18"/>
            <w:szCs w:val="18"/>
          </w:rPr>
          <w:t>Table 18. Toxicity summary for all serious and IMP-related (Safety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_Toc52468176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72</w:t>
        </w:r>
        <w:r w:rsidR="007501F4" w:rsidRPr="00D338A2">
          <w:rPr>
            <w:b w:val="0"/>
            <w:bCs/>
            <w:noProof/>
            <w:webHidden/>
            <w:sz w:val="18"/>
            <w:szCs w:val="18"/>
          </w:rPr>
          <w:fldChar w:fldCharType="end"/>
        </w:r>
      </w:hyperlink>
    </w:p>
    <w:p w14:paraId="501C6B6B" w14:textId="4932C2A8"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77" w:history="1">
        <w:r w:rsidR="007501F4" w:rsidRPr="00D338A2">
          <w:rPr>
            <w:rStyle w:val="Hipervnculo"/>
            <w:b w:val="0"/>
            <w:bCs/>
            <w:noProof/>
            <w:sz w:val="18"/>
            <w:szCs w:val="18"/>
          </w:rPr>
          <w:t>Table 19. Toxicity summary for all TEAEs leading to treatment discontinuation (Safety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_Toc52468177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73</w:t>
        </w:r>
        <w:r w:rsidR="007501F4" w:rsidRPr="00D338A2">
          <w:rPr>
            <w:b w:val="0"/>
            <w:bCs/>
            <w:noProof/>
            <w:webHidden/>
            <w:sz w:val="18"/>
            <w:szCs w:val="18"/>
          </w:rPr>
          <w:fldChar w:fldCharType="end"/>
        </w:r>
      </w:hyperlink>
    </w:p>
    <w:p w14:paraId="6D51BDE3" w14:textId="3EABB7E6"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78" w:history="1">
        <w:r w:rsidR="007501F4" w:rsidRPr="00D338A2">
          <w:rPr>
            <w:rStyle w:val="Hipervnculo"/>
            <w:b w:val="0"/>
            <w:bCs/>
            <w:noProof/>
            <w:sz w:val="18"/>
            <w:szCs w:val="18"/>
          </w:rPr>
          <w:t>Table 20. Toxicity summary for all TEAEs leading to permanent treatment discontinuation (Safety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_Toc52468178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75</w:t>
        </w:r>
        <w:r w:rsidR="007501F4" w:rsidRPr="00D338A2">
          <w:rPr>
            <w:b w:val="0"/>
            <w:bCs/>
            <w:noProof/>
            <w:webHidden/>
            <w:sz w:val="18"/>
            <w:szCs w:val="18"/>
          </w:rPr>
          <w:fldChar w:fldCharType="end"/>
        </w:r>
      </w:hyperlink>
    </w:p>
    <w:p w14:paraId="73EE9B62" w14:textId="6914AD17"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79" w:history="1">
        <w:r w:rsidR="007501F4" w:rsidRPr="00D338A2">
          <w:rPr>
            <w:rStyle w:val="Hipervnculo"/>
            <w:b w:val="0"/>
            <w:bCs/>
            <w:noProof/>
            <w:sz w:val="18"/>
            <w:szCs w:val="18"/>
          </w:rPr>
          <w:t>Table 21. Baseline characteristics between patients with and without pulmonary embolism.</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_Toc52468179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76</w:t>
        </w:r>
        <w:r w:rsidR="007501F4" w:rsidRPr="00D338A2">
          <w:rPr>
            <w:b w:val="0"/>
            <w:bCs/>
            <w:noProof/>
            <w:webHidden/>
            <w:sz w:val="18"/>
            <w:szCs w:val="18"/>
          </w:rPr>
          <w:fldChar w:fldCharType="end"/>
        </w:r>
      </w:hyperlink>
    </w:p>
    <w:p w14:paraId="23CBEA6D" w14:textId="18F9EB2C"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80" w:history="1">
        <w:r w:rsidR="007501F4" w:rsidRPr="00D338A2">
          <w:rPr>
            <w:rStyle w:val="Hipervnculo"/>
            <w:b w:val="0"/>
            <w:bCs/>
            <w:noProof/>
            <w:sz w:val="18"/>
            <w:szCs w:val="18"/>
          </w:rPr>
          <w:t>Table 22. Other TEAEs of special interests.</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_Toc52468180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77</w:t>
        </w:r>
        <w:r w:rsidR="007501F4" w:rsidRPr="00D338A2">
          <w:rPr>
            <w:b w:val="0"/>
            <w:bCs/>
            <w:noProof/>
            <w:webHidden/>
            <w:sz w:val="18"/>
            <w:szCs w:val="18"/>
          </w:rPr>
          <w:fldChar w:fldCharType="end"/>
        </w:r>
      </w:hyperlink>
    </w:p>
    <w:p w14:paraId="60ED19C2" w14:textId="406DBBAE"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81" w:history="1">
        <w:r w:rsidR="007501F4" w:rsidRPr="00D338A2">
          <w:rPr>
            <w:rStyle w:val="Hipervnculo"/>
            <w:b w:val="0"/>
            <w:bCs/>
            <w:noProof/>
            <w:sz w:val="18"/>
            <w:szCs w:val="18"/>
          </w:rPr>
          <w:t>Table 23. IMP-related clinical laboratory TEAEs within MedDRA SOC Investigations.</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_Toc52468181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78</w:t>
        </w:r>
        <w:r w:rsidR="007501F4" w:rsidRPr="00D338A2">
          <w:rPr>
            <w:b w:val="0"/>
            <w:bCs/>
            <w:noProof/>
            <w:webHidden/>
            <w:sz w:val="18"/>
            <w:szCs w:val="18"/>
          </w:rPr>
          <w:fldChar w:fldCharType="end"/>
        </w:r>
      </w:hyperlink>
    </w:p>
    <w:p w14:paraId="0302103B" w14:textId="7ABEEF53" w:rsidR="007501F4" w:rsidRDefault="00C65F3E">
      <w:pPr>
        <w:pStyle w:val="TDC1"/>
        <w:rPr>
          <w:noProof/>
        </w:rPr>
      </w:pPr>
      <w:hyperlink w:anchor="_Toc52468182" w:history="1">
        <w:r w:rsidR="007501F4" w:rsidRPr="005F78CB">
          <w:rPr>
            <w:rStyle w:val="Hipervnculo"/>
            <w:noProof/>
          </w:rPr>
          <w:t>7</w:t>
        </w:r>
        <w:r w:rsidR="007501F4">
          <w:rPr>
            <w:rFonts w:asciiTheme="minorHAnsi" w:eastAsiaTheme="minorEastAsia" w:hAnsiTheme="minorHAnsi" w:cstheme="minorBidi"/>
            <w:b w:val="0"/>
            <w:noProof/>
            <w:sz w:val="24"/>
            <w:szCs w:val="24"/>
            <w:lang w:val="es-ES" w:eastAsia="es-ES_tradnl"/>
          </w:rPr>
          <w:tab/>
        </w:r>
        <w:r w:rsidR="007501F4" w:rsidRPr="005F78CB">
          <w:rPr>
            <w:rStyle w:val="Hipervnculo"/>
            <w:noProof/>
          </w:rPr>
          <w:t>FIGURES</w:t>
        </w:r>
        <w:r w:rsidR="007501F4">
          <w:rPr>
            <w:noProof/>
            <w:webHidden/>
          </w:rPr>
          <w:tab/>
        </w:r>
        <w:r w:rsidR="007501F4">
          <w:rPr>
            <w:noProof/>
            <w:webHidden/>
          </w:rPr>
          <w:fldChar w:fldCharType="begin"/>
        </w:r>
        <w:r w:rsidR="007501F4">
          <w:rPr>
            <w:noProof/>
            <w:webHidden/>
          </w:rPr>
          <w:instrText xml:space="preserve"> PAGEREF _Toc52468182 \h </w:instrText>
        </w:r>
        <w:r w:rsidR="007501F4">
          <w:rPr>
            <w:noProof/>
            <w:webHidden/>
          </w:rPr>
        </w:r>
        <w:r w:rsidR="007501F4">
          <w:rPr>
            <w:noProof/>
            <w:webHidden/>
          </w:rPr>
          <w:fldChar w:fldCharType="separate"/>
        </w:r>
        <w:r w:rsidR="007501F4">
          <w:rPr>
            <w:noProof/>
            <w:webHidden/>
          </w:rPr>
          <w:t>79</w:t>
        </w:r>
        <w:r w:rsidR="007501F4">
          <w:rPr>
            <w:noProof/>
            <w:webHidden/>
          </w:rPr>
          <w:fldChar w:fldCharType="end"/>
        </w:r>
      </w:hyperlink>
    </w:p>
    <w:p w14:paraId="09F04801" w14:textId="77777777" w:rsidR="001937EF" w:rsidRPr="001937EF" w:rsidRDefault="001937EF" w:rsidP="001937EF">
      <w:pPr>
        <w:rPr>
          <w:rFonts w:eastAsiaTheme="minorEastAsia"/>
        </w:rPr>
      </w:pPr>
    </w:p>
    <w:p w14:paraId="0135585E" w14:textId="2B4DB81B"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83" w:history="1">
        <w:r w:rsidR="007501F4" w:rsidRPr="00D338A2">
          <w:rPr>
            <w:rStyle w:val="Hipervnculo"/>
            <w:b w:val="0"/>
            <w:bCs/>
            <w:noProof/>
            <w:sz w:val="18"/>
            <w:szCs w:val="18"/>
          </w:rPr>
          <w:t>Figure 1. PARSIFAL Study Design.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_Toc52468183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79</w:t>
        </w:r>
        <w:r w:rsidR="007501F4" w:rsidRPr="00D338A2">
          <w:rPr>
            <w:b w:val="0"/>
            <w:bCs/>
            <w:noProof/>
            <w:webHidden/>
            <w:sz w:val="18"/>
            <w:szCs w:val="18"/>
          </w:rPr>
          <w:fldChar w:fldCharType="end"/>
        </w:r>
      </w:hyperlink>
    </w:p>
    <w:p w14:paraId="768BB2B6" w14:textId="3F565F36"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84" w:history="1">
        <w:r w:rsidR="007501F4" w:rsidRPr="00D338A2">
          <w:rPr>
            <w:rStyle w:val="Hipervnculo"/>
            <w:b w:val="0"/>
            <w:bCs/>
            <w:noProof/>
            <w:sz w:val="18"/>
            <w:szCs w:val="18"/>
          </w:rPr>
          <w:t>Figure 2. Patient flow diagram of the Parsifal trial.</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_Toc52468184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80</w:t>
        </w:r>
        <w:r w:rsidR="007501F4" w:rsidRPr="00D338A2">
          <w:rPr>
            <w:b w:val="0"/>
            <w:bCs/>
            <w:noProof/>
            <w:webHidden/>
            <w:sz w:val="18"/>
            <w:szCs w:val="18"/>
          </w:rPr>
          <w:fldChar w:fldCharType="end"/>
        </w:r>
      </w:hyperlink>
    </w:p>
    <w:p w14:paraId="6853F987" w14:textId="64A00009"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85" w:history="1">
        <w:r w:rsidR="007501F4" w:rsidRPr="00D338A2">
          <w:rPr>
            <w:rStyle w:val="Hipervnculo"/>
            <w:b w:val="0"/>
            <w:bCs/>
            <w:noProof/>
            <w:sz w:val="18"/>
            <w:szCs w:val="18"/>
          </w:rPr>
          <w:t>Figure 3. Kaplan-Meier curve for investigator-assessed progression-free survival in the Intent-to-Treat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_Toc52468185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81</w:t>
        </w:r>
        <w:r w:rsidR="007501F4" w:rsidRPr="00D338A2">
          <w:rPr>
            <w:b w:val="0"/>
            <w:bCs/>
            <w:noProof/>
            <w:webHidden/>
            <w:sz w:val="18"/>
            <w:szCs w:val="18"/>
          </w:rPr>
          <w:fldChar w:fldCharType="end"/>
        </w:r>
      </w:hyperlink>
    </w:p>
    <w:p w14:paraId="7898A228" w14:textId="0AACE01E"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86" w:history="1">
        <w:r w:rsidR="007501F4" w:rsidRPr="00D338A2">
          <w:rPr>
            <w:rStyle w:val="Hipervnculo"/>
            <w:b w:val="0"/>
            <w:bCs/>
            <w:noProof/>
            <w:sz w:val="18"/>
            <w:szCs w:val="18"/>
          </w:rPr>
          <w:t>Figure 4. Forest Plot of Progression-free Survival according Investigator between arms by Baseline Characteristics (ITT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_Toc52468186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82</w:t>
        </w:r>
        <w:r w:rsidR="007501F4" w:rsidRPr="00D338A2">
          <w:rPr>
            <w:b w:val="0"/>
            <w:bCs/>
            <w:noProof/>
            <w:webHidden/>
            <w:sz w:val="18"/>
            <w:szCs w:val="18"/>
          </w:rPr>
          <w:fldChar w:fldCharType="end"/>
        </w:r>
      </w:hyperlink>
    </w:p>
    <w:p w14:paraId="1291CAE0" w14:textId="1D68B362"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87" w:history="1">
        <w:r w:rsidR="007501F4" w:rsidRPr="00D338A2">
          <w:rPr>
            <w:rStyle w:val="Hipervnculo"/>
            <w:b w:val="0"/>
            <w:bCs/>
            <w:noProof/>
            <w:sz w:val="18"/>
            <w:szCs w:val="18"/>
          </w:rPr>
          <w:t>Figure 5. Kaplan-Meier curves for investigator-assessed progression-free survival in patients with non-visceral disease (A), with visceral disease (B), with recurrent metastases (C) and with de novo metastatic disease (D) in the Intent-to-Treat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_Toc52468187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83</w:t>
        </w:r>
        <w:r w:rsidR="007501F4" w:rsidRPr="00D338A2">
          <w:rPr>
            <w:b w:val="0"/>
            <w:bCs/>
            <w:noProof/>
            <w:webHidden/>
            <w:sz w:val="18"/>
            <w:szCs w:val="18"/>
          </w:rPr>
          <w:fldChar w:fldCharType="end"/>
        </w:r>
      </w:hyperlink>
    </w:p>
    <w:p w14:paraId="7E20AE0A" w14:textId="4EF353C4"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88" w:history="1">
        <w:r w:rsidR="007501F4" w:rsidRPr="00D338A2">
          <w:rPr>
            <w:rStyle w:val="Hipervnculo"/>
            <w:b w:val="0"/>
            <w:bCs/>
            <w:noProof/>
            <w:sz w:val="18"/>
            <w:szCs w:val="18"/>
          </w:rPr>
          <w:t>Figure 6. Kaplan-Meier curve for Overall Survival in the Intent-to-Treat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_Toc52468188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84</w:t>
        </w:r>
        <w:r w:rsidR="007501F4" w:rsidRPr="00D338A2">
          <w:rPr>
            <w:b w:val="0"/>
            <w:bCs/>
            <w:noProof/>
            <w:webHidden/>
            <w:sz w:val="18"/>
            <w:szCs w:val="18"/>
          </w:rPr>
          <w:fldChar w:fldCharType="end"/>
        </w:r>
      </w:hyperlink>
    </w:p>
    <w:p w14:paraId="46C1BE74" w14:textId="1E9675F1"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89" w:history="1">
        <w:r w:rsidR="007501F4" w:rsidRPr="00D338A2">
          <w:rPr>
            <w:rStyle w:val="Hipervnculo"/>
            <w:b w:val="0"/>
            <w:bCs/>
            <w:noProof/>
            <w:sz w:val="18"/>
            <w:szCs w:val="18"/>
          </w:rPr>
          <w:t>Figure 7. Forest Plots of Overall Survival (A), Objective Response Rate (B), Clinical Benefit Rate (C) and Time To Response (D) according Investigator between arms by Baseline Characteristics (ITT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_Toc52468189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85</w:t>
        </w:r>
        <w:r w:rsidR="007501F4" w:rsidRPr="00D338A2">
          <w:rPr>
            <w:b w:val="0"/>
            <w:bCs/>
            <w:noProof/>
            <w:webHidden/>
            <w:sz w:val="18"/>
            <w:szCs w:val="18"/>
          </w:rPr>
          <w:fldChar w:fldCharType="end"/>
        </w:r>
      </w:hyperlink>
    </w:p>
    <w:p w14:paraId="11B435B2" w14:textId="0C322919"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90" w:history="1">
        <w:r w:rsidR="007501F4" w:rsidRPr="00D338A2">
          <w:rPr>
            <w:rStyle w:val="Hipervnculo"/>
            <w:b w:val="0"/>
            <w:bCs/>
            <w:noProof/>
            <w:sz w:val="18"/>
            <w:szCs w:val="18"/>
          </w:rPr>
          <w:t>Figure 8. Kaplan-Meier curves for Overall Survival in patients without (A) and with (B) visceral disease, and with recurrent (C) and de novo (D) metastatic disease in the intention-to-treat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_Toc52468190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86</w:t>
        </w:r>
        <w:r w:rsidR="007501F4" w:rsidRPr="00D338A2">
          <w:rPr>
            <w:b w:val="0"/>
            <w:bCs/>
            <w:noProof/>
            <w:webHidden/>
            <w:sz w:val="18"/>
            <w:szCs w:val="18"/>
          </w:rPr>
          <w:fldChar w:fldCharType="end"/>
        </w:r>
      </w:hyperlink>
    </w:p>
    <w:p w14:paraId="497CA111" w14:textId="1251E767"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91" w:history="1">
        <w:r w:rsidR="007501F4" w:rsidRPr="00D338A2">
          <w:rPr>
            <w:rStyle w:val="Hipervnculo"/>
            <w:b w:val="0"/>
            <w:bCs/>
            <w:noProof/>
            <w:sz w:val="18"/>
            <w:szCs w:val="18"/>
          </w:rPr>
          <w:t>Figure 9. Correlation of Relative Dose Intensity versus Progression-free Survival (A) and Overall Survival (B) in the Intent-to Treat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_Toc52468191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87</w:t>
        </w:r>
        <w:r w:rsidR="007501F4" w:rsidRPr="00D338A2">
          <w:rPr>
            <w:b w:val="0"/>
            <w:bCs/>
            <w:noProof/>
            <w:webHidden/>
            <w:sz w:val="18"/>
            <w:szCs w:val="18"/>
          </w:rPr>
          <w:fldChar w:fldCharType="end"/>
        </w:r>
      </w:hyperlink>
    </w:p>
    <w:p w14:paraId="4D3BD3E1" w14:textId="667691C2"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92" w:history="1">
        <w:r w:rsidR="007501F4" w:rsidRPr="00D338A2">
          <w:rPr>
            <w:rStyle w:val="Hipervnculo"/>
            <w:b w:val="0"/>
            <w:bCs/>
            <w:noProof/>
            <w:sz w:val="18"/>
            <w:szCs w:val="18"/>
          </w:rPr>
          <w:t>Figure 10. Distribution of Adverse Events and Treatment Emergent Adverse Events by study group in the Safety population.</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_Toc52468192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88</w:t>
        </w:r>
        <w:r w:rsidR="007501F4" w:rsidRPr="00D338A2">
          <w:rPr>
            <w:b w:val="0"/>
            <w:bCs/>
            <w:noProof/>
            <w:webHidden/>
            <w:sz w:val="18"/>
            <w:szCs w:val="18"/>
          </w:rPr>
          <w:fldChar w:fldCharType="end"/>
        </w:r>
      </w:hyperlink>
    </w:p>
    <w:p w14:paraId="0B3C3C41" w14:textId="7412540F"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93" w:history="1">
        <w:r w:rsidR="007501F4" w:rsidRPr="00D338A2">
          <w:rPr>
            <w:rStyle w:val="Hipervnculo"/>
            <w:b w:val="0"/>
            <w:bCs/>
            <w:noProof/>
            <w:sz w:val="18"/>
            <w:szCs w:val="18"/>
          </w:rPr>
          <w:t>Figure 11. Overall distribution of TEAEs by MedDRA System Organ Class.</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_Toc52468193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89</w:t>
        </w:r>
        <w:r w:rsidR="007501F4" w:rsidRPr="00D338A2">
          <w:rPr>
            <w:b w:val="0"/>
            <w:bCs/>
            <w:noProof/>
            <w:webHidden/>
            <w:sz w:val="18"/>
            <w:szCs w:val="18"/>
          </w:rPr>
          <w:fldChar w:fldCharType="end"/>
        </w:r>
      </w:hyperlink>
    </w:p>
    <w:p w14:paraId="20E0311A" w14:textId="6352BC1F"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94" w:history="1">
        <w:r w:rsidR="007501F4" w:rsidRPr="00D338A2">
          <w:rPr>
            <w:rStyle w:val="Hipervnculo"/>
            <w:b w:val="0"/>
            <w:bCs/>
            <w:noProof/>
            <w:sz w:val="18"/>
            <w:szCs w:val="18"/>
          </w:rPr>
          <w:t>Figure 12. Distribution of most frequent (&gt; 15%) TEAEs by study group.</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_Toc52468194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90</w:t>
        </w:r>
        <w:r w:rsidR="007501F4" w:rsidRPr="00D338A2">
          <w:rPr>
            <w:b w:val="0"/>
            <w:bCs/>
            <w:noProof/>
            <w:webHidden/>
            <w:sz w:val="18"/>
            <w:szCs w:val="18"/>
          </w:rPr>
          <w:fldChar w:fldCharType="end"/>
        </w:r>
      </w:hyperlink>
    </w:p>
    <w:p w14:paraId="53C881B8" w14:textId="44381822" w:rsidR="007501F4" w:rsidRPr="00D338A2" w:rsidRDefault="00C65F3E" w:rsidP="001937EF">
      <w:pPr>
        <w:pStyle w:val="TDC1"/>
        <w:spacing w:before="0"/>
        <w:ind w:left="0" w:firstLine="0"/>
        <w:rPr>
          <w:rFonts w:asciiTheme="minorHAnsi" w:eastAsiaTheme="minorEastAsia" w:hAnsiTheme="minorHAnsi" w:cstheme="minorBidi"/>
          <w:b w:val="0"/>
          <w:bCs/>
          <w:noProof/>
          <w:sz w:val="18"/>
          <w:szCs w:val="18"/>
          <w:lang w:val="es-ES" w:eastAsia="es-ES_tradnl"/>
        </w:rPr>
      </w:pPr>
      <w:hyperlink w:anchor="_Toc52468195" w:history="1">
        <w:r w:rsidR="007501F4" w:rsidRPr="00D338A2">
          <w:rPr>
            <w:rStyle w:val="Hipervnculo"/>
            <w:b w:val="0"/>
            <w:bCs/>
            <w:noProof/>
            <w:sz w:val="18"/>
            <w:szCs w:val="18"/>
          </w:rPr>
          <w:t>Figure 13. Study follow-up and reasons for end of treatment in patients with pulmonary embolism.</w:t>
        </w:r>
        <w:r w:rsidR="007501F4" w:rsidRPr="00D338A2">
          <w:rPr>
            <w:b w:val="0"/>
            <w:bCs/>
            <w:noProof/>
            <w:webHidden/>
            <w:sz w:val="18"/>
            <w:szCs w:val="18"/>
          </w:rPr>
          <w:tab/>
        </w:r>
        <w:r w:rsidR="007501F4" w:rsidRPr="00D338A2">
          <w:rPr>
            <w:b w:val="0"/>
            <w:bCs/>
            <w:noProof/>
            <w:webHidden/>
            <w:sz w:val="18"/>
            <w:szCs w:val="18"/>
          </w:rPr>
          <w:fldChar w:fldCharType="begin"/>
        </w:r>
        <w:r w:rsidR="007501F4" w:rsidRPr="00D338A2">
          <w:rPr>
            <w:b w:val="0"/>
            <w:bCs/>
            <w:noProof/>
            <w:webHidden/>
            <w:sz w:val="18"/>
            <w:szCs w:val="18"/>
          </w:rPr>
          <w:instrText xml:space="preserve"> PAGEREF _Toc52468195 \h </w:instrText>
        </w:r>
        <w:r w:rsidR="007501F4" w:rsidRPr="00D338A2">
          <w:rPr>
            <w:b w:val="0"/>
            <w:bCs/>
            <w:noProof/>
            <w:webHidden/>
            <w:sz w:val="18"/>
            <w:szCs w:val="18"/>
          </w:rPr>
        </w:r>
        <w:r w:rsidR="007501F4" w:rsidRPr="00D338A2">
          <w:rPr>
            <w:b w:val="0"/>
            <w:bCs/>
            <w:noProof/>
            <w:webHidden/>
            <w:sz w:val="18"/>
            <w:szCs w:val="18"/>
          </w:rPr>
          <w:fldChar w:fldCharType="separate"/>
        </w:r>
        <w:r w:rsidR="007501F4" w:rsidRPr="00D338A2">
          <w:rPr>
            <w:b w:val="0"/>
            <w:bCs/>
            <w:noProof/>
            <w:webHidden/>
            <w:sz w:val="18"/>
            <w:szCs w:val="18"/>
          </w:rPr>
          <w:t>91</w:t>
        </w:r>
        <w:r w:rsidR="007501F4" w:rsidRPr="00D338A2">
          <w:rPr>
            <w:b w:val="0"/>
            <w:bCs/>
            <w:noProof/>
            <w:webHidden/>
            <w:sz w:val="18"/>
            <w:szCs w:val="18"/>
          </w:rPr>
          <w:fldChar w:fldCharType="end"/>
        </w:r>
      </w:hyperlink>
    </w:p>
    <w:p w14:paraId="4E25506D" w14:textId="4C3565FB" w:rsidR="007501F4" w:rsidRDefault="00C65F3E">
      <w:pPr>
        <w:pStyle w:val="TDC1"/>
        <w:rPr>
          <w:rFonts w:asciiTheme="minorHAnsi" w:eastAsiaTheme="minorEastAsia" w:hAnsiTheme="minorHAnsi" w:cstheme="minorBidi"/>
          <w:b w:val="0"/>
          <w:noProof/>
          <w:sz w:val="24"/>
          <w:szCs w:val="24"/>
          <w:lang w:val="es-ES" w:eastAsia="es-ES_tradnl"/>
        </w:rPr>
      </w:pPr>
      <w:hyperlink w:anchor="_Toc52468196" w:history="1">
        <w:r w:rsidR="007501F4" w:rsidRPr="005F78CB">
          <w:rPr>
            <w:rStyle w:val="Hipervnculo"/>
            <w:noProof/>
          </w:rPr>
          <w:t>8</w:t>
        </w:r>
        <w:r w:rsidR="007501F4">
          <w:rPr>
            <w:rFonts w:asciiTheme="minorHAnsi" w:eastAsiaTheme="minorEastAsia" w:hAnsiTheme="minorHAnsi" w:cstheme="minorBidi"/>
            <w:b w:val="0"/>
            <w:noProof/>
            <w:sz w:val="24"/>
            <w:szCs w:val="24"/>
            <w:lang w:val="es-ES" w:eastAsia="es-ES_tradnl"/>
          </w:rPr>
          <w:tab/>
        </w:r>
        <w:r w:rsidR="007501F4" w:rsidRPr="005F78CB">
          <w:rPr>
            <w:rStyle w:val="Hipervnculo"/>
            <w:noProof/>
          </w:rPr>
          <w:t>REFERENCES</w:t>
        </w:r>
        <w:r w:rsidR="007501F4">
          <w:rPr>
            <w:noProof/>
            <w:webHidden/>
          </w:rPr>
          <w:tab/>
        </w:r>
        <w:r w:rsidR="007501F4">
          <w:rPr>
            <w:noProof/>
            <w:webHidden/>
          </w:rPr>
          <w:fldChar w:fldCharType="begin"/>
        </w:r>
        <w:r w:rsidR="007501F4">
          <w:rPr>
            <w:noProof/>
            <w:webHidden/>
          </w:rPr>
          <w:instrText xml:space="preserve"> PAGEREF _Toc52468196 \h </w:instrText>
        </w:r>
        <w:r w:rsidR="007501F4">
          <w:rPr>
            <w:noProof/>
            <w:webHidden/>
          </w:rPr>
        </w:r>
        <w:r w:rsidR="007501F4">
          <w:rPr>
            <w:noProof/>
            <w:webHidden/>
          </w:rPr>
          <w:fldChar w:fldCharType="separate"/>
        </w:r>
        <w:r w:rsidR="007501F4">
          <w:rPr>
            <w:noProof/>
            <w:webHidden/>
          </w:rPr>
          <w:t>92</w:t>
        </w:r>
        <w:r w:rsidR="007501F4">
          <w:rPr>
            <w:noProof/>
            <w:webHidden/>
          </w:rPr>
          <w:fldChar w:fldCharType="end"/>
        </w:r>
      </w:hyperlink>
    </w:p>
    <w:p w14:paraId="5D4DF8E6" w14:textId="088B449C" w:rsidR="009738C3" w:rsidRPr="00F57DAA" w:rsidRDefault="00D41F59" w:rsidP="00F57DAA">
      <w:pPr>
        <w:tabs>
          <w:tab w:val="left" w:pos="567"/>
        </w:tabs>
        <w:rPr>
          <w:b/>
          <w:u w:val="single"/>
        </w:rPr>
      </w:pPr>
      <w:r>
        <w:rPr>
          <w:b/>
          <w:sz w:val="18"/>
          <w:szCs w:val="18"/>
        </w:rPr>
        <w:fldChar w:fldCharType="end"/>
      </w:r>
    </w:p>
    <w:p w14:paraId="0CAF96A7" w14:textId="3D3717AB" w:rsidR="00977932" w:rsidRPr="004F0FE2" w:rsidRDefault="00977932" w:rsidP="0071077C">
      <w:pPr>
        <w:pStyle w:val="HeadingNoTOC"/>
        <w:spacing w:after="0" w:line="480" w:lineRule="auto"/>
        <w:rPr>
          <w:rFonts w:cs="Arial"/>
          <w:noProof w:val="0"/>
          <w:sz w:val="20"/>
          <w:u w:val="single"/>
        </w:rPr>
      </w:pPr>
      <w:r w:rsidRPr="004F0FE2">
        <w:rPr>
          <w:rFonts w:cs="Arial"/>
          <w:noProof w:val="0"/>
          <w:sz w:val="20"/>
          <w:u w:val="single"/>
        </w:rPr>
        <w:t>APPENDICES</w:t>
      </w:r>
      <w:r w:rsidR="009738C3">
        <w:rPr>
          <w:rFonts w:cs="Arial"/>
          <w:noProof w:val="0"/>
          <w:sz w:val="20"/>
          <w:u w:val="single"/>
        </w:rPr>
        <w:t>:</w:t>
      </w:r>
    </w:p>
    <w:p w14:paraId="47333DC3" w14:textId="77777777" w:rsidR="00AD2318" w:rsidRPr="004F0FE2" w:rsidRDefault="00AD2318" w:rsidP="00FC0E69">
      <w:pPr>
        <w:pStyle w:val="Blank"/>
        <w:numPr>
          <w:ilvl w:val="0"/>
          <w:numId w:val="28"/>
        </w:numPr>
        <w:ind w:left="284" w:hanging="284"/>
        <w:rPr>
          <w:rFonts w:ascii="Arial" w:hAnsi="Arial" w:cs="Arial"/>
        </w:rPr>
      </w:pPr>
      <w:r w:rsidRPr="004F0FE2">
        <w:rPr>
          <w:rFonts w:ascii="Arial" w:hAnsi="Arial" w:cs="Arial"/>
        </w:rPr>
        <w:t xml:space="preserve">Study Protocol, version </w:t>
      </w:r>
      <w:r w:rsidR="00E17A78" w:rsidRPr="004F0FE2">
        <w:rPr>
          <w:rFonts w:ascii="Arial" w:hAnsi="Arial" w:cs="Arial"/>
        </w:rPr>
        <w:t>9 (dated: 12</w:t>
      </w:r>
      <w:r w:rsidR="00E17A78" w:rsidRPr="004F0FE2">
        <w:rPr>
          <w:rFonts w:ascii="Arial" w:hAnsi="Arial" w:cs="Arial"/>
          <w:vertAlign w:val="superscript"/>
        </w:rPr>
        <w:t>th</w:t>
      </w:r>
      <w:r w:rsidR="00E17A78" w:rsidRPr="004F0FE2">
        <w:rPr>
          <w:rFonts w:ascii="Arial" w:hAnsi="Arial" w:cs="Arial"/>
        </w:rPr>
        <w:t xml:space="preserve"> December 2019).</w:t>
      </w:r>
    </w:p>
    <w:p w14:paraId="13D54B6B" w14:textId="77777777" w:rsidR="00CB13A2" w:rsidRPr="004F0FE2" w:rsidRDefault="00CB13A2" w:rsidP="00FC0E69">
      <w:pPr>
        <w:pStyle w:val="Blank"/>
        <w:numPr>
          <w:ilvl w:val="0"/>
          <w:numId w:val="28"/>
        </w:numPr>
        <w:ind w:left="284" w:hanging="284"/>
        <w:rPr>
          <w:rFonts w:ascii="Arial" w:hAnsi="Arial" w:cs="Arial"/>
        </w:rPr>
      </w:pPr>
      <w:r w:rsidRPr="004F0FE2">
        <w:rPr>
          <w:rFonts w:ascii="Arial" w:hAnsi="Arial" w:cs="Arial"/>
        </w:rPr>
        <w:t>Statistical Analysis Plan</w:t>
      </w:r>
      <w:r w:rsidR="00E17A78" w:rsidRPr="004F0FE2">
        <w:rPr>
          <w:rFonts w:ascii="Arial" w:hAnsi="Arial" w:cs="Arial"/>
        </w:rPr>
        <w:t xml:space="preserve">, final version 2.0 (dated: 04th March 2020). </w:t>
      </w:r>
    </w:p>
    <w:p w14:paraId="78BAF8B9" w14:textId="285B19E6" w:rsidR="00E17A78" w:rsidRPr="004F0FE2" w:rsidRDefault="00E17A78" w:rsidP="00FC0E69">
      <w:pPr>
        <w:pStyle w:val="Blank"/>
        <w:numPr>
          <w:ilvl w:val="0"/>
          <w:numId w:val="28"/>
        </w:numPr>
        <w:ind w:left="284" w:hanging="284"/>
        <w:rPr>
          <w:rFonts w:ascii="Arial" w:hAnsi="Arial" w:cs="Arial"/>
        </w:rPr>
      </w:pPr>
      <w:r w:rsidRPr="004F0FE2">
        <w:rPr>
          <w:rFonts w:ascii="Arial" w:hAnsi="Arial" w:cs="Arial"/>
        </w:rPr>
        <w:t xml:space="preserve">Study Final Analysis Statistical Report, version dated </w:t>
      </w:r>
      <w:r w:rsidR="00D6733F">
        <w:rPr>
          <w:rFonts w:ascii="Arial" w:hAnsi="Arial" w:cs="Arial"/>
        </w:rPr>
        <w:t>04</w:t>
      </w:r>
      <w:r w:rsidR="00D6733F" w:rsidRPr="00D6733F">
        <w:rPr>
          <w:rFonts w:ascii="Arial" w:hAnsi="Arial" w:cs="Arial"/>
          <w:vertAlign w:val="superscript"/>
        </w:rPr>
        <w:t>th</w:t>
      </w:r>
      <w:r w:rsidR="00D6733F">
        <w:rPr>
          <w:rFonts w:ascii="Arial" w:hAnsi="Arial" w:cs="Arial"/>
        </w:rPr>
        <w:t xml:space="preserve"> September</w:t>
      </w:r>
      <w:r w:rsidRPr="004F0FE2">
        <w:rPr>
          <w:rFonts w:ascii="Arial" w:hAnsi="Arial" w:cs="Arial"/>
        </w:rPr>
        <w:t xml:space="preserve"> 2020.</w:t>
      </w:r>
    </w:p>
    <w:p w14:paraId="51616486" w14:textId="77777777" w:rsidR="009738C3" w:rsidRDefault="009738C3" w:rsidP="0053264B">
      <w:pPr>
        <w:rPr>
          <w:b/>
          <w:u w:val="single"/>
        </w:rPr>
      </w:pPr>
      <w:bookmarkStart w:id="0" w:name="_Toc46085704"/>
      <w:bookmarkStart w:id="1" w:name="_Toc48334774"/>
      <w:bookmarkStart w:id="2" w:name="_Toc350579965"/>
      <w:bookmarkStart w:id="3" w:name="_Toc351358037"/>
      <w:bookmarkStart w:id="4" w:name="_Toc351358627"/>
      <w:bookmarkStart w:id="5" w:name="_Toc352037256"/>
      <w:bookmarkStart w:id="6" w:name="_Toc352038892"/>
      <w:bookmarkStart w:id="7" w:name="_Toc352039625"/>
      <w:bookmarkStart w:id="8" w:name="_Toc352039724"/>
      <w:bookmarkStart w:id="9" w:name="_Toc377434676"/>
      <w:bookmarkStart w:id="10" w:name="_Toc377434840"/>
      <w:bookmarkStart w:id="11" w:name="_Toc377434998"/>
      <w:bookmarkStart w:id="12" w:name="_Toc377435136"/>
      <w:bookmarkStart w:id="13" w:name="_Toc377438539"/>
      <w:bookmarkStart w:id="14" w:name="_Toc392499769"/>
      <w:bookmarkStart w:id="15" w:name="_Toc392500401"/>
    </w:p>
    <w:p w14:paraId="5CFB20A7" w14:textId="6F6A057C" w:rsidR="00977932" w:rsidRPr="004F0FE2" w:rsidRDefault="00977932" w:rsidP="0053264B">
      <w:pPr>
        <w:rPr>
          <w:b/>
          <w:u w:val="single"/>
        </w:rPr>
      </w:pPr>
      <w:r w:rsidRPr="004F0FE2">
        <w:rPr>
          <w:b/>
          <w:u w:val="single"/>
        </w:rPr>
        <w:t>OTHER DOCUMENTATION</w:t>
      </w:r>
      <w:bookmarkEnd w:id="0"/>
      <w:bookmarkEnd w:id="1"/>
      <w:r w:rsidR="009738C3">
        <w:rPr>
          <w:b/>
          <w:u w:val="single"/>
        </w:rPr>
        <w:t>:</w:t>
      </w:r>
    </w:p>
    <w:p w14:paraId="2920951D" w14:textId="77777777" w:rsidR="00977932" w:rsidRPr="004F0FE2" w:rsidRDefault="00977932">
      <w:pPr>
        <w:pStyle w:val="Blank"/>
        <w:spacing w:after="200"/>
        <w:rPr>
          <w:rFonts w:ascii="Arial" w:hAnsi="Arial" w:cs="Arial"/>
        </w:rPr>
      </w:pPr>
      <w:r w:rsidRPr="004F0FE2">
        <w:rPr>
          <w:rFonts w:ascii="Arial" w:hAnsi="Arial" w:cs="Arial"/>
        </w:rPr>
        <w:t>The following items are not appended to this report; however, depending on local requirements they are submitted separately or available upon request</w:t>
      </w:r>
      <w:r w:rsidR="0053264B" w:rsidRPr="004F0FE2">
        <w:rPr>
          <w:rFonts w:ascii="Arial" w:hAnsi="Arial" w:cs="Arial"/>
        </w:rPr>
        <w:t>:</w:t>
      </w:r>
    </w:p>
    <w:p w14:paraId="62054955" w14:textId="77777777" w:rsidR="00977932" w:rsidRPr="004F0FE2" w:rsidRDefault="00977932" w:rsidP="0053264B">
      <w:pPr>
        <w:pStyle w:val="Blank"/>
        <w:numPr>
          <w:ilvl w:val="0"/>
          <w:numId w:val="29"/>
        </w:numPr>
        <w:ind w:left="284" w:hanging="284"/>
        <w:rPr>
          <w:rFonts w:ascii="Arial" w:hAnsi="Arial" w:cs="Arial"/>
        </w:rPr>
      </w:pPr>
      <w:r w:rsidRPr="004F0FE2">
        <w:rPr>
          <w:rFonts w:ascii="Arial" w:hAnsi="Arial" w:cs="Arial"/>
          <w:bCs/>
        </w:rPr>
        <w:t>Case Report Forms</w:t>
      </w:r>
      <w:r w:rsidR="0053264B" w:rsidRPr="004F0FE2">
        <w:rPr>
          <w:rFonts w:ascii="Arial" w:hAnsi="Arial" w:cs="Arial"/>
          <w:bCs/>
        </w:rPr>
        <w:t xml:space="preserve"> (CRF</w:t>
      </w:r>
      <w:r w:rsidRPr="004F0FE2">
        <w:rPr>
          <w:rFonts w:ascii="Arial" w:hAnsi="Arial" w:cs="Arial"/>
          <w:bCs/>
        </w:rPr>
        <w:t>)</w:t>
      </w:r>
      <w:r w:rsidR="0053264B" w:rsidRPr="004F0FE2">
        <w:rPr>
          <w:rFonts w:ascii="Arial" w:hAnsi="Arial" w:cs="Arial"/>
          <w:bCs/>
        </w:rPr>
        <w:t xml:space="preserve">: </w:t>
      </w:r>
      <w:r w:rsidRPr="004F0FE2">
        <w:rPr>
          <w:rFonts w:ascii="Arial" w:hAnsi="Arial" w:cs="Arial"/>
        </w:rPr>
        <w:t>CRFs for deaths, other serious adverse events, and withdrawals for adverse events</w:t>
      </w:r>
      <w:r w:rsidR="0053264B" w:rsidRPr="004F0FE2">
        <w:rPr>
          <w:rFonts w:ascii="Arial" w:hAnsi="Arial" w:cs="Arial"/>
        </w:rPr>
        <w:t xml:space="preserve">. </w:t>
      </w:r>
      <w:r w:rsidRPr="004F0FE2">
        <w:rPr>
          <w:rFonts w:ascii="Arial" w:hAnsi="Arial" w:cs="Arial"/>
        </w:rPr>
        <w:t>Other CRFs submitted</w:t>
      </w:r>
      <w:r w:rsidR="0053264B" w:rsidRPr="004F0FE2">
        <w:rPr>
          <w:rFonts w:ascii="Arial" w:hAnsi="Arial" w:cs="Arial"/>
        </w:rPr>
        <w:t>.</w:t>
      </w:r>
    </w:p>
    <w:p w14:paraId="7FDB2CDF" w14:textId="77777777" w:rsidR="0053264B" w:rsidRPr="004F0FE2" w:rsidRDefault="00977932" w:rsidP="0053264B">
      <w:pPr>
        <w:pStyle w:val="Blank"/>
        <w:numPr>
          <w:ilvl w:val="0"/>
          <w:numId w:val="11"/>
        </w:numPr>
        <w:tabs>
          <w:tab w:val="clear" w:pos="360"/>
          <w:tab w:val="num" w:pos="284"/>
        </w:tabs>
        <w:ind w:left="426" w:hanging="426"/>
        <w:rPr>
          <w:rFonts w:ascii="Arial" w:hAnsi="Arial" w:cs="Arial"/>
        </w:rPr>
      </w:pPr>
      <w:r w:rsidRPr="004F0FE2">
        <w:rPr>
          <w:rFonts w:ascii="Arial" w:hAnsi="Arial" w:cs="Arial"/>
        </w:rPr>
        <w:t>Narratives of serious adverse events and other significant adverse events</w:t>
      </w:r>
      <w:r w:rsidR="0053264B" w:rsidRPr="004F0FE2">
        <w:rPr>
          <w:rFonts w:ascii="Arial" w:hAnsi="Arial" w:cs="Arial"/>
        </w:rPr>
        <w:t>.</w:t>
      </w:r>
      <w:r w:rsidRPr="004F0FE2">
        <w:rPr>
          <w:rFonts w:ascii="Arial" w:hAnsi="Arial" w:cs="Arial"/>
        </w:rPr>
        <w:t xml:space="preserve"> </w:t>
      </w:r>
    </w:p>
    <w:p w14:paraId="165575E7" w14:textId="77777777" w:rsidR="00977932" w:rsidRPr="004F0FE2" w:rsidRDefault="0053264B" w:rsidP="0053264B">
      <w:pPr>
        <w:pStyle w:val="Blank"/>
        <w:numPr>
          <w:ilvl w:val="0"/>
          <w:numId w:val="11"/>
        </w:numPr>
        <w:tabs>
          <w:tab w:val="clear" w:pos="360"/>
          <w:tab w:val="num" w:pos="284"/>
        </w:tabs>
        <w:ind w:left="426" w:hanging="426"/>
        <w:rPr>
          <w:rFonts w:ascii="Arial" w:hAnsi="Arial" w:cs="Arial"/>
        </w:rPr>
      </w:pPr>
      <w:r w:rsidRPr="004F0FE2">
        <w:rPr>
          <w:rFonts w:ascii="Arial" w:hAnsi="Arial" w:cs="Arial"/>
        </w:rPr>
        <w:t>Individual subject data listings</w:t>
      </w:r>
      <w:r w:rsidRPr="004F0FE2">
        <w:t>.</w:t>
      </w:r>
    </w:p>
    <w:p w14:paraId="6798E161" w14:textId="77777777" w:rsidR="00977932" w:rsidRPr="004F0FE2" w:rsidRDefault="00977932">
      <w:pPr>
        <w:pStyle w:val="Blank"/>
        <w:rPr>
          <w:rFonts w:ascii="Arial" w:hAnsi="Arial" w:cs="Arial"/>
        </w:rPr>
      </w:pPr>
    </w:p>
    <w:p w14:paraId="6F0B247F" w14:textId="77777777" w:rsidR="00977932" w:rsidRPr="004F0FE2" w:rsidRDefault="00977932">
      <w:pPr>
        <w:pStyle w:val="Blank"/>
        <w:rPr>
          <w:rFonts w:ascii="Arial" w:hAnsi="Arial" w:cs="Arial"/>
        </w:rPr>
      </w:pPr>
      <w:r w:rsidRPr="004F0FE2">
        <w:rPr>
          <w:rFonts w:ascii="Arial" w:hAnsi="Arial" w:cs="Arial"/>
        </w:rPr>
        <w:t>Although recommended in the ICH guidelines, the following will be available upon request or do not apply to this study:</w:t>
      </w:r>
    </w:p>
    <w:p w14:paraId="1984094F" w14:textId="77777777" w:rsidR="00977932" w:rsidRPr="004F0FE2" w:rsidRDefault="00977932">
      <w:pPr>
        <w:pStyle w:val="Blank"/>
        <w:rPr>
          <w:rFonts w:ascii="Arial" w:hAnsi="Arial" w:cs="Arial"/>
        </w:rPr>
      </w:pPr>
    </w:p>
    <w:p w14:paraId="7965E833" w14:textId="77777777" w:rsidR="00977932" w:rsidRPr="004F0FE2" w:rsidRDefault="00977932" w:rsidP="0053264B">
      <w:pPr>
        <w:pStyle w:val="Blank"/>
        <w:numPr>
          <w:ilvl w:val="0"/>
          <w:numId w:val="12"/>
        </w:numPr>
        <w:tabs>
          <w:tab w:val="clear" w:pos="720"/>
          <w:tab w:val="num" w:pos="0"/>
          <w:tab w:val="left" w:pos="284"/>
        </w:tabs>
        <w:ind w:left="0" w:firstLine="0"/>
        <w:rPr>
          <w:rFonts w:ascii="Arial" w:hAnsi="Arial" w:cs="Arial"/>
        </w:rPr>
      </w:pPr>
      <w:r w:rsidRPr="004F0FE2">
        <w:rPr>
          <w:rFonts w:ascii="Arial" w:hAnsi="Arial" w:cs="Arial"/>
        </w:rPr>
        <w:lastRenderedPageBreak/>
        <w:t>Batch Numbers for Subjects Receiving More than One Batch of Study Drug</w:t>
      </w:r>
      <w:r w:rsidR="0053264B" w:rsidRPr="004F0FE2">
        <w:rPr>
          <w:rFonts w:ascii="Arial" w:hAnsi="Arial" w:cs="Arial"/>
        </w:rPr>
        <w:t>.</w:t>
      </w:r>
    </w:p>
    <w:p w14:paraId="5589D7D3" w14:textId="77777777" w:rsidR="00977932" w:rsidRPr="004F0FE2" w:rsidRDefault="00977932" w:rsidP="0053264B">
      <w:pPr>
        <w:pStyle w:val="Blank"/>
        <w:numPr>
          <w:ilvl w:val="0"/>
          <w:numId w:val="12"/>
        </w:numPr>
        <w:tabs>
          <w:tab w:val="clear" w:pos="720"/>
          <w:tab w:val="left" w:pos="284"/>
        </w:tabs>
        <w:ind w:left="0" w:firstLine="0"/>
        <w:rPr>
          <w:rFonts w:ascii="Arial" w:hAnsi="Arial" w:cs="Arial"/>
        </w:rPr>
      </w:pPr>
      <w:r w:rsidRPr="004F0FE2">
        <w:rPr>
          <w:rFonts w:ascii="Arial" w:hAnsi="Arial" w:cs="Arial"/>
        </w:rPr>
        <w:t>Audit Certificates</w:t>
      </w:r>
      <w:r w:rsidR="0053264B" w:rsidRPr="004F0FE2">
        <w:rPr>
          <w:rFonts w:ascii="Arial" w:hAnsi="Arial" w:cs="Arial"/>
        </w:rPr>
        <w:t>.</w:t>
      </w:r>
    </w:p>
    <w:p w14:paraId="242997B0" w14:textId="77777777" w:rsidR="00977932" w:rsidRPr="004F0FE2" w:rsidRDefault="00977932" w:rsidP="0053264B">
      <w:pPr>
        <w:pStyle w:val="Blank"/>
        <w:numPr>
          <w:ilvl w:val="0"/>
          <w:numId w:val="12"/>
        </w:numPr>
        <w:tabs>
          <w:tab w:val="clear" w:pos="720"/>
          <w:tab w:val="num" w:pos="0"/>
          <w:tab w:val="left" w:pos="284"/>
        </w:tabs>
        <w:ind w:left="0" w:firstLine="0"/>
        <w:rPr>
          <w:rFonts w:ascii="Arial" w:hAnsi="Arial" w:cs="Arial"/>
        </w:rPr>
      </w:pPr>
      <w:r w:rsidRPr="004F0FE2">
        <w:rPr>
          <w:rFonts w:ascii="Arial" w:hAnsi="Arial" w:cs="Arial"/>
        </w:rPr>
        <w:t>Inter</w:t>
      </w:r>
      <w:r w:rsidR="00FC0E69" w:rsidRPr="004F0FE2">
        <w:rPr>
          <w:rFonts w:ascii="Arial" w:hAnsi="Arial" w:cs="Arial"/>
        </w:rPr>
        <w:t>-</w:t>
      </w:r>
      <w:r w:rsidRPr="004F0FE2">
        <w:rPr>
          <w:rFonts w:ascii="Arial" w:hAnsi="Arial" w:cs="Arial"/>
        </w:rPr>
        <w:t>laboratory Standardization Methods and Quality Assurance Procedures</w:t>
      </w:r>
      <w:r w:rsidR="0053264B" w:rsidRPr="004F0FE2">
        <w:rPr>
          <w:rFonts w:ascii="Arial" w:hAnsi="Arial" w:cs="Arial"/>
        </w:rPr>
        <w:t>.</w:t>
      </w:r>
    </w:p>
    <w:p w14:paraId="6AAD1333" w14:textId="77777777" w:rsidR="00977932" w:rsidRPr="004F0FE2" w:rsidRDefault="00977932">
      <w:pPr>
        <w:pStyle w:val="BodyText10"/>
        <w:rPr>
          <w:rFonts w:ascii="Arial" w:hAnsi="Arial" w:cs="Arial"/>
        </w:rPr>
      </w:pPr>
    </w:p>
    <w:p w14:paraId="0CC68AAF" w14:textId="77777777" w:rsidR="00977932" w:rsidRPr="004F0FE2" w:rsidRDefault="00977932">
      <w:pPr>
        <w:pStyle w:val="BodyText10"/>
        <w:rPr>
          <w:rFonts w:ascii="Arial" w:hAnsi="Arial" w:cs="Arial"/>
        </w:rPr>
        <w:sectPr w:rsidR="00977932" w:rsidRPr="004F0FE2" w:rsidSect="001937EF">
          <w:headerReference w:type="default" r:id="rId11"/>
          <w:pgSz w:w="12240" w:h="15840" w:code="1"/>
          <w:pgMar w:top="1152" w:right="1656" w:bottom="1152" w:left="2304" w:header="1152" w:footer="850" w:gutter="0"/>
          <w:paperSrc w:first="14137" w:other="14137"/>
          <w:cols w:space="720"/>
          <w:noEndnote/>
        </w:sectPr>
      </w:pPr>
    </w:p>
    <w:p w14:paraId="37C3186B" w14:textId="77777777" w:rsidR="00977932" w:rsidRPr="004F0FE2" w:rsidRDefault="00977932" w:rsidP="00C22CB7">
      <w:pPr>
        <w:pStyle w:val="Ttulo1"/>
        <w:numPr>
          <w:ilvl w:val="0"/>
          <w:numId w:val="0"/>
        </w:numPr>
      </w:pPr>
      <w:bookmarkStart w:id="16" w:name="_Toc46085705"/>
      <w:bookmarkStart w:id="17" w:name="_Toc48334775"/>
      <w:bookmarkStart w:id="18" w:name="_Toc52468079"/>
      <w:r w:rsidRPr="004F0FE2">
        <w:lastRenderedPageBreak/>
        <w:t>SYNOPSIS</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tbl>
      <w:tblPr>
        <w:tblW w:w="893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9"/>
        <w:gridCol w:w="1092"/>
        <w:gridCol w:w="3000"/>
      </w:tblGrid>
      <w:tr w:rsidR="004B1DD6" w:rsidRPr="004F0FE2" w14:paraId="1DC5FB4B" w14:textId="77777777" w:rsidTr="00E237BD">
        <w:trPr>
          <w:tblHeader/>
        </w:trPr>
        <w:tc>
          <w:tcPr>
            <w:tcW w:w="4839" w:type="dxa"/>
            <w:tcBorders>
              <w:top w:val="double" w:sz="4" w:space="0" w:color="auto"/>
              <w:left w:val="double" w:sz="4" w:space="0" w:color="auto"/>
              <w:bottom w:val="nil"/>
            </w:tcBorders>
            <w:shd w:val="clear" w:color="auto" w:fill="auto"/>
          </w:tcPr>
          <w:p w14:paraId="528C873A" w14:textId="77777777" w:rsidR="004B1DD6" w:rsidRPr="004F0FE2" w:rsidRDefault="004B1DD6" w:rsidP="005876BC">
            <w:pPr>
              <w:pStyle w:val="SynopsisText"/>
              <w:spacing w:before="0" w:after="0"/>
              <w:jc w:val="left"/>
              <w:rPr>
                <w:rFonts w:ascii="Arial" w:hAnsi="Arial" w:cs="Arial"/>
                <w:szCs w:val="18"/>
              </w:rPr>
            </w:pPr>
            <w:r w:rsidRPr="004F0FE2">
              <w:rPr>
                <w:rFonts w:ascii="Arial" w:hAnsi="Arial" w:cs="Arial"/>
                <w:szCs w:val="18"/>
                <w:u w:val="single"/>
              </w:rPr>
              <w:t>NAME OF SPONSOR/COMPANY</w:t>
            </w:r>
            <w:r w:rsidRPr="004F0FE2">
              <w:rPr>
                <w:rFonts w:ascii="Arial" w:hAnsi="Arial" w:cs="Arial"/>
                <w:szCs w:val="18"/>
              </w:rPr>
              <w:t>:</w:t>
            </w:r>
          </w:p>
          <w:p w14:paraId="742CAB69" w14:textId="77777777" w:rsidR="004B1DD6" w:rsidRPr="004F0FE2" w:rsidRDefault="004B1DD6" w:rsidP="005876BC">
            <w:pPr>
              <w:pStyle w:val="SynopsisText"/>
              <w:spacing w:before="0" w:after="0"/>
              <w:jc w:val="left"/>
              <w:rPr>
                <w:rFonts w:ascii="Arial" w:hAnsi="Arial" w:cs="Arial"/>
                <w:szCs w:val="18"/>
              </w:rPr>
            </w:pPr>
            <w:r w:rsidRPr="004F0FE2">
              <w:rPr>
                <w:rFonts w:ascii="Arial" w:hAnsi="Arial" w:cs="Arial"/>
                <w:szCs w:val="18"/>
              </w:rPr>
              <w:t>Medica Scientia Innovation Research (</w:t>
            </w:r>
            <w:proofErr w:type="spellStart"/>
            <w:r w:rsidRPr="004F0FE2">
              <w:rPr>
                <w:rFonts w:ascii="Arial" w:hAnsi="Arial" w:cs="Arial"/>
                <w:szCs w:val="18"/>
              </w:rPr>
              <w:t>MedSIR</w:t>
            </w:r>
            <w:proofErr w:type="spellEnd"/>
            <w:r w:rsidRPr="004F0FE2">
              <w:rPr>
                <w:rFonts w:ascii="Arial" w:hAnsi="Arial" w:cs="Arial"/>
                <w:szCs w:val="18"/>
              </w:rPr>
              <w:t>)</w:t>
            </w:r>
          </w:p>
        </w:tc>
        <w:tc>
          <w:tcPr>
            <w:tcW w:w="4092" w:type="dxa"/>
            <w:gridSpan w:val="2"/>
            <w:tcBorders>
              <w:top w:val="double" w:sz="4" w:space="0" w:color="auto"/>
              <w:bottom w:val="nil"/>
              <w:right w:val="double" w:sz="4" w:space="0" w:color="auto"/>
            </w:tcBorders>
            <w:shd w:val="clear" w:color="auto" w:fill="auto"/>
          </w:tcPr>
          <w:p w14:paraId="7E4AFC82" w14:textId="77777777" w:rsidR="004B1DD6" w:rsidRPr="004F0FE2" w:rsidRDefault="004B1DD6" w:rsidP="005876BC">
            <w:pPr>
              <w:pStyle w:val="BodyText10"/>
              <w:spacing w:after="0"/>
              <w:rPr>
                <w:rFonts w:ascii="Arial" w:hAnsi="Arial" w:cs="Arial"/>
                <w:sz w:val="18"/>
                <w:szCs w:val="18"/>
              </w:rPr>
            </w:pPr>
            <w:r w:rsidRPr="004F0FE2">
              <w:rPr>
                <w:rFonts w:ascii="Arial" w:hAnsi="Arial" w:cs="Arial"/>
                <w:sz w:val="18"/>
                <w:szCs w:val="18"/>
                <w:u w:val="single"/>
              </w:rPr>
              <w:t>(FOR NATIONAL AUTHORITY USE ONLY)</w:t>
            </w:r>
          </w:p>
        </w:tc>
      </w:tr>
      <w:tr w:rsidR="004B1DD6" w:rsidRPr="004F0FE2" w14:paraId="0BD41E5F" w14:textId="77777777" w:rsidTr="004B1DD6">
        <w:trPr>
          <w:gridAfter w:val="2"/>
          <w:wAfter w:w="4092" w:type="dxa"/>
          <w:tblHeader/>
        </w:trPr>
        <w:tc>
          <w:tcPr>
            <w:tcW w:w="4839" w:type="dxa"/>
            <w:tcBorders>
              <w:top w:val="nil"/>
              <w:left w:val="double" w:sz="4" w:space="0" w:color="auto"/>
            </w:tcBorders>
            <w:shd w:val="clear" w:color="auto" w:fill="auto"/>
          </w:tcPr>
          <w:p w14:paraId="4F462DA8" w14:textId="77777777" w:rsidR="004B1DD6" w:rsidRPr="004F0FE2" w:rsidRDefault="004B1DD6" w:rsidP="005876BC">
            <w:pPr>
              <w:pStyle w:val="SynopsisText"/>
              <w:spacing w:before="0" w:after="0"/>
              <w:jc w:val="left"/>
              <w:rPr>
                <w:rFonts w:ascii="Arial" w:hAnsi="Arial" w:cs="Arial"/>
                <w:szCs w:val="18"/>
              </w:rPr>
            </w:pPr>
            <w:r w:rsidRPr="004F0FE2">
              <w:rPr>
                <w:rFonts w:ascii="Arial" w:hAnsi="Arial" w:cs="Arial"/>
                <w:szCs w:val="18"/>
                <w:u w:val="single"/>
              </w:rPr>
              <w:t>IMP</w:t>
            </w:r>
            <w:r w:rsidRPr="004F0FE2">
              <w:rPr>
                <w:rFonts w:ascii="Arial" w:hAnsi="Arial" w:cs="Arial"/>
                <w:szCs w:val="18"/>
              </w:rPr>
              <w:t xml:space="preserve">: Palbociclib (PD-0332991), </w:t>
            </w:r>
            <w:proofErr w:type="spellStart"/>
            <w:r w:rsidRPr="004F0FE2">
              <w:rPr>
                <w:rFonts w:ascii="Arial" w:hAnsi="Arial" w:cs="Arial"/>
                <w:szCs w:val="18"/>
              </w:rPr>
              <w:t>Fulvestrant</w:t>
            </w:r>
            <w:proofErr w:type="spellEnd"/>
            <w:r w:rsidRPr="004F0FE2">
              <w:rPr>
                <w:rFonts w:ascii="Arial" w:hAnsi="Arial" w:cs="Arial"/>
                <w:szCs w:val="18"/>
              </w:rPr>
              <w:t>, Letrozole</w:t>
            </w:r>
          </w:p>
        </w:tc>
      </w:tr>
      <w:tr w:rsidR="00736987" w:rsidRPr="004F0FE2" w14:paraId="055E8248" w14:textId="77777777" w:rsidTr="005876BC">
        <w:trPr>
          <w:tblHeader/>
        </w:trPr>
        <w:tc>
          <w:tcPr>
            <w:tcW w:w="8931" w:type="dxa"/>
            <w:gridSpan w:val="3"/>
            <w:tcBorders>
              <w:left w:val="double" w:sz="4" w:space="0" w:color="auto"/>
              <w:right w:val="double" w:sz="4" w:space="0" w:color="auto"/>
            </w:tcBorders>
            <w:shd w:val="clear" w:color="auto" w:fill="auto"/>
          </w:tcPr>
          <w:p w14:paraId="639DCBDF" w14:textId="77777777" w:rsidR="00736987" w:rsidRPr="004F0FE2" w:rsidRDefault="00736987" w:rsidP="00736987">
            <w:pPr>
              <w:pStyle w:val="SynopsisText"/>
              <w:rPr>
                <w:rFonts w:ascii="Arial" w:hAnsi="Arial" w:cs="Arial"/>
                <w:szCs w:val="18"/>
              </w:rPr>
            </w:pPr>
            <w:r w:rsidRPr="004F0FE2">
              <w:rPr>
                <w:rFonts w:ascii="Arial" w:hAnsi="Arial" w:cs="Arial"/>
                <w:b/>
                <w:szCs w:val="18"/>
              </w:rPr>
              <w:t>Protocol No.:</w:t>
            </w:r>
            <w:r w:rsidRPr="004F0FE2">
              <w:rPr>
                <w:rFonts w:ascii="Arial" w:hAnsi="Arial" w:cs="Arial"/>
                <w:szCs w:val="18"/>
              </w:rPr>
              <w:t xml:space="preserve"> MedOPP067</w:t>
            </w:r>
          </w:p>
          <w:p w14:paraId="37A30E0B" w14:textId="77777777" w:rsidR="00736987" w:rsidRPr="004F0FE2" w:rsidRDefault="00736987" w:rsidP="00736987">
            <w:pPr>
              <w:pStyle w:val="SynopsisText"/>
              <w:rPr>
                <w:rFonts w:ascii="Arial" w:hAnsi="Arial" w:cs="Arial"/>
                <w:szCs w:val="18"/>
              </w:rPr>
            </w:pPr>
            <w:r w:rsidRPr="004F0FE2">
              <w:rPr>
                <w:rFonts w:ascii="Arial" w:hAnsi="Arial" w:cs="Arial"/>
                <w:b/>
                <w:szCs w:val="18"/>
              </w:rPr>
              <w:t>Title of Study:</w:t>
            </w:r>
            <w:r w:rsidRPr="004F0FE2">
              <w:rPr>
                <w:rFonts w:ascii="Arial" w:hAnsi="Arial" w:cs="Arial"/>
                <w:szCs w:val="18"/>
              </w:rPr>
              <w:t xml:space="preserve"> A randomized, </w:t>
            </w:r>
            <w:proofErr w:type="spellStart"/>
            <w:r w:rsidRPr="004F0FE2">
              <w:rPr>
                <w:rFonts w:ascii="Arial" w:hAnsi="Arial" w:cs="Arial"/>
                <w:szCs w:val="18"/>
              </w:rPr>
              <w:t>multicentre</w:t>
            </w:r>
            <w:proofErr w:type="spellEnd"/>
            <w:r w:rsidRPr="004F0FE2">
              <w:rPr>
                <w:rFonts w:ascii="Arial" w:hAnsi="Arial" w:cs="Arial"/>
                <w:szCs w:val="18"/>
              </w:rPr>
              <w:t xml:space="preserve">, open-label, phase II trial to evaluate the efficacy and safety of </w:t>
            </w:r>
            <w:proofErr w:type="spellStart"/>
            <w:r w:rsidRPr="004F0FE2">
              <w:rPr>
                <w:rFonts w:ascii="Arial" w:hAnsi="Arial" w:cs="Arial"/>
                <w:szCs w:val="18"/>
              </w:rPr>
              <w:t>palbociclib</w:t>
            </w:r>
            <w:proofErr w:type="spellEnd"/>
            <w:r w:rsidRPr="004F0FE2">
              <w:rPr>
                <w:rFonts w:ascii="Arial" w:hAnsi="Arial" w:cs="Arial"/>
                <w:szCs w:val="18"/>
              </w:rPr>
              <w:t xml:space="preserve"> in combination with </w:t>
            </w:r>
            <w:proofErr w:type="spellStart"/>
            <w:r w:rsidRPr="004F0FE2">
              <w:rPr>
                <w:rFonts w:ascii="Arial" w:hAnsi="Arial" w:cs="Arial"/>
                <w:szCs w:val="18"/>
              </w:rPr>
              <w:t>fulvestrant</w:t>
            </w:r>
            <w:proofErr w:type="spellEnd"/>
            <w:r w:rsidRPr="004F0FE2">
              <w:rPr>
                <w:rFonts w:ascii="Arial" w:hAnsi="Arial" w:cs="Arial"/>
                <w:szCs w:val="18"/>
              </w:rPr>
              <w:t xml:space="preserve"> or letrozole in patients with HER2 negative, ER+ metastatic breast cancer. (PARSIFAL)</w:t>
            </w:r>
          </w:p>
        </w:tc>
      </w:tr>
      <w:tr w:rsidR="00C22CB7" w:rsidRPr="004F0FE2" w14:paraId="00A993DD" w14:textId="77777777" w:rsidTr="005876BC">
        <w:trPr>
          <w:trHeight w:val="457"/>
          <w:tblHeader/>
        </w:trPr>
        <w:tc>
          <w:tcPr>
            <w:tcW w:w="5931" w:type="dxa"/>
            <w:gridSpan w:val="2"/>
            <w:tcBorders>
              <w:left w:val="double" w:sz="4" w:space="0" w:color="auto"/>
            </w:tcBorders>
            <w:shd w:val="clear" w:color="auto" w:fill="auto"/>
            <w:vAlign w:val="center"/>
          </w:tcPr>
          <w:p w14:paraId="15B8C62C" w14:textId="28E74411" w:rsidR="00C22CB7" w:rsidRPr="004F0FE2" w:rsidRDefault="00C22CB7" w:rsidP="005876BC">
            <w:pPr>
              <w:pStyle w:val="BodyText10"/>
              <w:spacing w:after="0"/>
              <w:jc w:val="left"/>
              <w:rPr>
                <w:rFonts w:ascii="Arial" w:hAnsi="Arial" w:cs="Arial"/>
                <w:sz w:val="18"/>
                <w:szCs w:val="18"/>
              </w:rPr>
            </w:pPr>
            <w:r w:rsidRPr="004F0FE2">
              <w:rPr>
                <w:rFonts w:ascii="Arial" w:hAnsi="Arial" w:cs="Arial"/>
                <w:b/>
                <w:sz w:val="18"/>
                <w:szCs w:val="18"/>
              </w:rPr>
              <w:t xml:space="preserve">Study Initiation/Completion Dates: </w:t>
            </w:r>
            <w:r w:rsidR="0026170D" w:rsidRPr="0071077C">
              <w:rPr>
                <w:rFonts w:ascii="Arial" w:hAnsi="Arial" w:cs="Arial"/>
                <w:sz w:val="18"/>
                <w:szCs w:val="18"/>
              </w:rPr>
              <w:t xml:space="preserve">13/AUG/2015 </w:t>
            </w:r>
            <w:r w:rsidRPr="00C250F3">
              <w:rPr>
                <w:rFonts w:ascii="Arial" w:hAnsi="Arial" w:cs="Arial"/>
                <w:color w:val="000000" w:themeColor="text1"/>
                <w:sz w:val="18"/>
                <w:szCs w:val="18"/>
              </w:rPr>
              <w:t>to</w:t>
            </w:r>
            <w:r w:rsidR="00BD5EAD" w:rsidRPr="00C250F3">
              <w:rPr>
                <w:rFonts w:ascii="Arial" w:hAnsi="Arial" w:cs="Arial"/>
                <w:color w:val="000000" w:themeColor="text1"/>
                <w:sz w:val="18"/>
                <w:szCs w:val="18"/>
              </w:rPr>
              <w:t xml:space="preserve"> 31/JAN/2020</w:t>
            </w:r>
          </w:p>
        </w:tc>
        <w:tc>
          <w:tcPr>
            <w:tcW w:w="3000" w:type="dxa"/>
            <w:tcBorders>
              <w:right w:val="double" w:sz="4" w:space="0" w:color="auto"/>
            </w:tcBorders>
            <w:shd w:val="clear" w:color="auto" w:fill="auto"/>
            <w:vAlign w:val="center"/>
          </w:tcPr>
          <w:p w14:paraId="6C973A6F" w14:textId="77777777" w:rsidR="00C22CB7" w:rsidRPr="004F0FE2" w:rsidRDefault="00C22CB7" w:rsidP="005876BC">
            <w:pPr>
              <w:pStyle w:val="BodyText10"/>
              <w:spacing w:after="0"/>
              <w:jc w:val="left"/>
              <w:rPr>
                <w:rFonts w:ascii="Arial" w:hAnsi="Arial" w:cs="Arial"/>
                <w:sz w:val="18"/>
                <w:szCs w:val="18"/>
              </w:rPr>
            </w:pPr>
            <w:r w:rsidRPr="004F0FE2">
              <w:rPr>
                <w:rFonts w:ascii="Arial" w:hAnsi="Arial" w:cs="Arial"/>
                <w:b/>
                <w:sz w:val="18"/>
                <w:szCs w:val="18"/>
              </w:rPr>
              <w:t>Phase of development:</w:t>
            </w:r>
            <w:r w:rsidRPr="004F0FE2">
              <w:rPr>
                <w:rFonts w:ascii="Arial" w:hAnsi="Arial" w:cs="Arial"/>
                <w:color w:val="FF0000"/>
                <w:sz w:val="18"/>
                <w:szCs w:val="18"/>
              </w:rPr>
              <w:t xml:space="preserve"> </w:t>
            </w:r>
            <w:r w:rsidRPr="004F0FE2">
              <w:rPr>
                <w:rFonts w:ascii="Arial" w:hAnsi="Arial" w:cs="Arial"/>
                <w:sz w:val="18"/>
                <w:szCs w:val="18"/>
              </w:rPr>
              <w:t>Phase II</w:t>
            </w:r>
          </w:p>
        </w:tc>
      </w:tr>
      <w:tr w:rsidR="00C22CB7" w:rsidRPr="004F0FE2" w14:paraId="6A9FE950" w14:textId="77777777" w:rsidTr="005876BC">
        <w:trPr>
          <w:trHeight w:val="6246"/>
        </w:trPr>
        <w:tc>
          <w:tcPr>
            <w:tcW w:w="8931" w:type="dxa"/>
            <w:gridSpan w:val="3"/>
            <w:tcBorders>
              <w:left w:val="double" w:sz="4" w:space="0" w:color="auto"/>
              <w:bottom w:val="double" w:sz="4" w:space="0" w:color="auto"/>
              <w:right w:val="double" w:sz="4" w:space="0" w:color="auto"/>
            </w:tcBorders>
            <w:shd w:val="clear" w:color="auto" w:fill="auto"/>
          </w:tcPr>
          <w:p w14:paraId="049A292E" w14:textId="77777777" w:rsidR="00C22CB7" w:rsidRPr="004F0FE2" w:rsidRDefault="00C22CB7" w:rsidP="00A5705E">
            <w:pPr>
              <w:pStyle w:val="SynopsisText"/>
              <w:spacing w:before="120" w:after="120"/>
              <w:rPr>
                <w:rFonts w:ascii="Arial" w:hAnsi="Arial" w:cs="Arial"/>
                <w:szCs w:val="18"/>
              </w:rPr>
            </w:pPr>
            <w:r w:rsidRPr="004F0FE2">
              <w:rPr>
                <w:rFonts w:ascii="Arial" w:hAnsi="Arial" w:cs="Arial"/>
                <w:b/>
                <w:szCs w:val="18"/>
              </w:rPr>
              <w:t>Objectives and related endpoints:</w:t>
            </w:r>
            <w:r w:rsidRPr="004F0FE2">
              <w:rPr>
                <w:rFonts w:ascii="Arial" w:hAnsi="Arial" w:cs="Arial"/>
                <w:szCs w:val="18"/>
              </w:rPr>
              <w:t xml:space="preserve"> </w:t>
            </w:r>
          </w:p>
          <w:p w14:paraId="5E1A1737" w14:textId="01B497E3" w:rsidR="00C22CB7" w:rsidRDefault="00C22CB7" w:rsidP="005876BC">
            <w:pPr>
              <w:pStyle w:val="SynopsisText"/>
              <w:spacing w:before="0" w:after="0"/>
              <w:rPr>
                <w:rFonts w:ascii="Arial" w:hAnsi="Arial" w:cs="Arial"/>
                <w:szCs w:val="18"/>
              </w:rPr>
            </w:pPr>
            <w:r w:rsidRPr="004F0FE2">
              <w:rPr>
                <w:rFonts w:ascii="Arial" w:hAnsi="Arial" w:cs="Arial"/>
                <w:szCs w:val="18"/>
              </w:rPr>
              <w:t xml:space="preserve">The </w:t>
            </w:r>
            <w:r w:rsidRPr="004F0FE2">
              <w:rPr>
                <w:rFonts w:ascii="Arial" w:hAnsi="Arial" w:cs="Arial"/>
                <w:b/>
                <w:szCs w:val="18"/>
              </w:rPr>
              <w:t>primary objective</w:t>
            </w:r>
            <w:r w:rsidRPr="004F0FE2">
              <w:rPr>
                <w:rFonts w:ascii="Arial" w:hAnsi="Arial" w:cs="Arial"/>
                <w:szCs w:val="18"/>
              </w:rPr>
              <w:t xml:space="preserve"> </w:t>
            </w:r>
            <w:r w:rsidR="00204FEC">
              <w:rPr>
                <w:rFonts w:ascii="Arial" w:hAnsi="Arial" w:cs="Arial"/>
                <w:szCs w:val="18"/>
              </w:rPr>
              <w:t xml:space="preserve">of </w:t>
            </w:r>
            <w:r w:rsidR="001453BE">
              <w:rPr>
                <w:rFonts w:ascii="Arial" w:hAnsi="Arial" w:cs="Arial"/>
                <w:szCs w:val="18"/>
              </w:rPr>
              <w:t xml:space="preserve">the </w:t>
            </w:r>
            <w:r w:rsidR="00204FEC">
              <w:rPr>
                <w:rFonts w:ascii="Arial" w:hAnsi="Arial" w:cs="Arial"/>
                <w:szCs w:val="18"/>
              </w:rPr>
              <w:t>PARSIFAL</w:t>
            </w:r>
            <w:r w:rsidR="001453BE">
              <w:rPr>
                <w:rFonts w:ascii="Arial" w:hAnsi="Arial" w:cs="Arial"/>
                <w:szCs w:val="18"/>
              </w:rPr>
              <w:t xml:space="preserve"> study</w:t>
            </w:r>
            <w:r w:rsidR="00204FEC">
              <w:rPr>
                <w:rFonts w:ascii="Arial" w:hAnsi="Arial" w:cs="Arial"/>
                <w:szCs w:val="18"/>
              </w:rPr>
              <w:t xml:space="preserve"> </w:t>
            </w:r>
            <w:r w:rsidRPr="004F0FE2">
              <w:rPr>
                <w:rFonts w:ascii="Arial" w:hAnsi="Arial" w:cs="Arial"/>
                <w:szCs w:val="18"/>
              </w:rPr>
              <w:t xml:space="preserve">was to compare the efficacy of the combination of </w:t>
            </w:r>
            <w:proofErr w:type="spellStart"/>
            <w:r w:rsidRPr="004F0FE2">
              <w:rPr>
                <w:rFonts w:ascii="Arial" w:hAnsi="Arial" w:cs="Arial"/>
                <w:szCs w:val="18"/>
              </w:rPr>
              <w:t>palbociclib</w:t>
            </w:r>
            <w:proofErr w:type="spellEnd"/>
            <w:r w:rsidRPr="004F0FE2">
              <w:rPr>
                <w:rFonts w:ascii="Arial" w:hAnsi="Arial" w:cs="Arial"/>
                <w:szCs w:val="18"/>
              </w:rPr>
              <w:t xml:space="preserve"> plus </w:t>
            </w:r>
            <w:proofErr w:type="spellStart"/>
            <w:r w:rsidRPr="004F0FE2">
              <w:rPr>
                <w:rFonts w:ascii="Arial" w:hAnsi="Arial" w:cs="Arial"/>
                <w:szCs w:val="18"/>
              </w:rPr>
              <w:t>fulvestrant</w:t>
            </w:r>
            <w:proofErr w:type="spellEnd"/>
            <w:r w:rsidRPr="004F0FE2">
              <w:rPr>
                <w:rFonts w:ascii="Arial" w:hAnsi="Arial" w:cs="Arial"/>
                <w:szCs w:val="18"/>
              </w:rPr>
              <w:t xml:space="preserve"> versus </w:t>
            </w:r>
            <w:proofErr w:type="spellStart"/>
            <w:r w:rsidRPr="004F0FE2">
              <w:rPr>
                <w:rFonts w:ascii="Arial" w:hAnsi="Arial" w:cs="Arial"/>
                <w:szCs w:val="18"/>
              </w:rPr>
              <w:t>palbociclib</w:t>
            </w:r>
            <w:proofErr w:type="spellEnd"/>
            <w:r w:rsidRPr="004F0FE2">
              <w:rPr>
                <w:rFonts w:ascii="Arial" w:hAnsi="Arial" w:cs="Arial"/>
                <w:szCs w:val="18"/>
              </w:rPr>
              <w:t xml:space="preserve"> plus letrozole in terms of progression</w:t>
            </w:r>
            <w:r w:rsidR="00444CFF">
              <w:rPr>
                <w:rFonts w:ascii="Arial" w:hAnsi="Arial" w:cs="Arial"/>
                <w:szCs w:val="18"/>
              </w:rPr>
              <w:t>-</w:t>
            </w:r>
            <w:r w:rsidRPr="004F0FE2">
              <w:rPr>
                <w:rFonts w:ascii="Arial" w:hAnsi="Arial" w:cs="Arial"/>
                <w:szCs w:val="18"/>
              </w:rPr>
              <w:t>free survival (PFS) in patients with hormone-sensitive</w:t>
            </w:r>
            <w:r w:rsidR="00B83DCF">
              <w:rPr>
                <w:rFonts w:ascii="Arial" w:hAnsi="Arial" w:cs="Arial"/>
                <w:szCs w:val="18"/>
              </w:rPr>
              <w:t>,</w:t>
            </w:r>
            <w:r w:rsidR="00204FEC">
              <w:rPr>
                <w:rFonts w:ascii="Arial" w:hAnsi="Arial" w:cs="Arial"/>
                <w:szCs w:val="18"/>
              </w:rPr>
              <w:t xml:space="preserve"> estrogen </w:t>
            </w:r>
            <w:r w:rsidR="00BD1691">
              <w:rPr>
                <w:rFonts w:ascii="Arial" w:hAnsi="Arial" w:cs="Arial"/>
                <w:szCs w:val="18"/>
              </w:rPr>
              <w:t>receptor</w:t>
            </w:r>
            <w:r w:rsidR="00204FEC">
              <w:rPr>
                <w:rFonts w:ascii="Arial" w:hAnsi="Arial" w:cs="Arial"/>
                <w:szCs w:val="18"/>
              </w:rPr>
              <w:t>-positive</w:t>
            </w:r>
            <w:r w:rsidR="0017579A">
              <w:rPr>
                <w:rFonts w:ascii="Arial" w:hAnsi="Arial" w:cs="Arial"/>
                <w:szCs w:val="18"/>
              </w:rPr>
              <w:t xml:space="preserve"> (ER+)</w:t>
            </w:r>
            <w:r w:rsidR="00204FEC">
              <w:rPr>
                <w:rFonts w:ascii="Arial" w:hAnsi="Arial" w:cs="Arial"/>
                <w:szCs w:val="18"/>
              </w:rPr>
              <w:t xml:space="preserve">, </w:t>
            </w:r>
            <w:r w:rsidR="00444CFF">
              <w:rPr>
                <w:rFonts w:ascii="Arial" w:hAnsi="Arial" w:cs="Arial"/>
                <w:szCs w:val="18"/>
              </w:rPr>
              <w:t>human epidermal growth factor receptor 2</w:t>
            </w:r>
            <w:r w:rsidR="0017579A">
              <w:rPr>
                <w:rFonts w:ascii="Arial" w:hAnsi="Arial" w:cs="Arial"/>
                <w:szCs w:val="18"/>
              </w:rPr>
              <w:t>-</w:t>
            </w:r>
            <w:r w:rsidRPr="004F0FE2">
              <w:rPr>
                <w:rFonts w:ascii="Arial" w:hAnsi="Arial" w:cs="Arial"/>
                <w:szCs w:val="18"/>
              </w:rPr>
              <w:t xml:space="preserve">negative </w:t>
            </w:r>
            <w:r w:rsidR="0017579A">
              <w:rPr>
                <w:rFonts w:ascii="Arial" w:hAnsi="Arial" w:cs="Arial"/>
                <w:szCs w:val="18"/>
              </w:rPr>
              <w:t>(</w:t>
            </w:r>
            <w:r w:rsidR="0017579A" w:rsidRPr="004F0FE2">
              <w:rPr>
                <w:rFonts w:ascii="Arial" w:hAnsi="Arial" w:cs="Arial"/>
                <w:szCs w:val="18"/>
              </w:rPr>
              <w:t>HER2</w:t>
            </w:r>
            <w:r w:rsidR="0017579A">
              <w:rPr>
                <w:rFonts w:ascii="Arial" w:hAnsi="Arial" w:cs="Arial"/>
                <w:szCs w:val="18"/>
              </w:rPr>
              <w:t xml:space="preserve">-) </w:t>
            </w:r>
            <w:r w:rsidRPr="004F0FE2">
              <w:rPr>
                <w:rFonts w:ascii="Arial" w:hAnsi="Arial" w:cs="Arial"/>
                <w:szCs w:val="18"/>
              </w:rPr>
              <w:t xml:space="preserve">locally advanced </w:t>
            </w:r>
            <w:r w:rsidR="00B83DCF" w:rsidRPr="004F0FE2">
              <w:rPr>
                <w:rFonts w:ascii="Arial" w:hAnsi="Arial" w:cs="Arial"/>
                <w:szCs w:val="18"/>
              </w:rPr>
              <w:t xml:space="preserve">or metastatic </w:t>
            </w:r>
            <w:r w:rsidRPr="004F0FE2">
              <w:rPr>
                <w:rFonts w:ascii="Arial" w:hAnsi="Arial" w:cs="Arial"/>
                <w:szCs w:val="18"/>
              </w:rPr>
              <w:t>breast cancer</w:t>
            </w:r>
            <w:r w:rsidR="00B83DCF">
              <w:rPr>
                <w:rFonts w:ascii="Arial" w:hAnsi="Arial" w:cs="Arial"/>
                <w:szCs w:val="18"/>
              </w:rPr>
              <w:t xml:space="preserve"> (</w:t>
            </w:r>
            <w:proofErr w:type="spellStart"/>
            <w:r w:rsidR="00B83DCF">
              <w:rPr>
                <w:rFonts w:ascii="Arial" w:hAnsi="Arial" w:cs="Arial"/>
                <w:szCs w:val="18"/>
              </w:rPr>
              <w:t>mBC</w:t>
            </w:r>
            <w:proofErr w:type="spellEnd"/>
            <w:r w:rsidR="00B83DCF">
              <w:rPr>
                <w:rFonts w:ascii="Arial" w:hAnsi="Arial" w:cs="Arial"/>
                <w:szCs w:val="18"/>
              </w:rPr>
              <w:t>)</w:t>
            </w:r>
            <w:r w:rsidRPr="004F0FE2">
              <w:rPr>
                <w:rFonts w:ascii="Arial" w:hAnsi="Arial" w:cs="Arial"/>
                <w:szCs w:val="18"/>
              </w:rPr>
              <w:t>.</w:t>
            </w:r>
          </w:p>
          <w:p w14:paraId="5658CF0D" w14:textId="77777777" w:rsidR="0071077C" w:rsidRPr="00403DC6" w:rsidRDefault="0071077C" w:rsidP="005876BC">
            <w:pPr>
              <w:pStyle w:val="SynopsisText"/>
              <w:spacing w:before="0" w:after="0"/>
              <w:rPr>
                <w:rFonts w:ascii="Arial" w:hAnsi="Arial" w:cs="Arial"/>
                <w:szCs w:val="18"/>
              </w:rPr>
            </w:pPr>
          </w:p>
          <w:p w14:paraId="29F99361" w14:textId="639769FE" w:rsidR="00C22CB7" w:rsidRPr="00403DC6" w:rsidRDefault="00C22CB7" w:rsidP="005876BC">
            <w:pPr>
              <w:spacing w:after="0" w:line="240" w:lineRule="auto"/>
              <w:rPr>
                <w:sz w:val="18"/>
                <w:szCs w:val="18"/>
              </w:rPr>
            </w:pPr>
            <w:r w:rsidRPr="00403DC6">
              <w:rPr>
                <w:sz w:val="18"/>
                <w:szCs w:val="18"/>
              </w:rPr>
              <w:t xml:space="preserve">The </w:t>
            </w:r>
            <w:r w:rsidRPr="00403DC6">
              <w:rPr>
                <w:sz w:val="18"/>
                <w:szCs w:val="18"/>
                <w:u w:val="single"/>
              </w:rPr>
              <w:t>primary endpoint</w:t>
            </w:r>
            <w:r w:rsidRPr="00403DC6">
              <w:rPr>
                <w:sz w:val="18"/>
                <w:szCs w:val="18"/>
              </w:rPr>
              <w:t xml:space="preserve"> </w:t>
            </w:r>
            <w:r w:rsidR="00AD666E" w:rsidRPr="00403DC6">
              <w:rPr>
                <w:sz w:val="18"/>
                <w:szCs w:val="18"/>
              </w:rPr>
              <w:t xml:space="preserve">of </w:t>
            </w:r>
            <w:r w:rsidRPr="00403DC6">
              <w:rPr>
                <w:sz w:val="18"/>
                <w:szCs w:val="18"/>
              </w:rPr>
              <w:t xml:space="preserve">this study </w:t>
            </w:r>
            <w:r w:rsidR="00B868FB" w:rsidRPr="00403DC6">
              <w:rPr>
                <w:sz w:val="18"/>
                <w:szCs w:val="18"/>
              </w:rPr>
              <w:t>was</w:t>
            </w:r>
            <w:r w:rsidRPr="00403DC6">
              <w:rPr>
                <w:sz w:val="18"/>
                <w:szCs w:val="18"/>
              </w:rPr>
              <w:t xml:space="preserve"> PFS, which is defined as the time from randomization until objective tumor progression or death, as assessed by the investigator </w:t>
            </w:r>
            <w:r w:rsidR="00D26ACC" w:rsidRPr="00403DC6">
              <w:rPr>
                <w:sz w:val="18"/>
                <w:szCs w:val="18"/>
              </w:rPr>
              <w:t>according to Response Evaluation Criteria in Solid Tumors (</w:t>
            </w:r>
            <w:r w:rsidRPr="00403DC6">
              <w:rPr>
                <w:sz w:val="18"/>
                <w:szCs w:val="18"/>
              </w:rPr>
              <w:t>RECIST</w:t>
            </w:r>
            <w:r w:rsidR="00D26ACC" w:rsidRPr="00403DC6">
              <w:rPr>
                <w:sz w:val="18"/>
                <w:szCs w:val="18"/>
              </w:rPr>
              <w:t>)</w:t>
            </w:r>
            <w:r w:rsidRPr="00403DC6">
              <w:rPr>
                <w:sz w:val="18"/>
                <w:szCs w:val="18"/>
              </w:rPr>
              <w:t xml:space="preserve"> v1.1</w:t>
            </w:r>
            <w:r w:rsidR="00B868FB" w:rsidRPr="00403DC6">
              <w:rPr>
                <w:sz w:val="18"/>
                <w:szCs w:val="18"/>
              </w:rPr>
              <w:fldChar w:fldCharType="begin" w:fldLock="1"/>
            </w:r>
            <w:r w:rsidR="009B7569" w:rsidRPr="00403DC6">
              <w:rPr>
                <w:sz w:val="18"/>
                <w:szCs w:val="18"/>
              </w:rPr>
              <w:instrText>ADDIN CSL_CITATION {"citationItems":[{"id":"ITEM-1","itemData":{"DOI":"10.1016/j.ejca.2008.10.026","author":[{"dropping-particle":"","family":"Eisenhauer","given":"E A","non-dropping-particle":"","parse-names":false,"suffix":""},{"dropping-particle":"","family":"Therasse","given":"P","non-dropping-particle":"","parse-names":false,"suffix":""},{"dropping-particle":"","family":"Bogaerts","given":"J","non-dropping-particle":"","parse-names":false,"suffix":""},{"dropping-particle":"","family":"Schwartz","given":"L H","non-dropping-particle":"","parse-names":false,"suffix":""},{"dropping-particle":"","family":"Sargent","given":"D","non-dropping-particle":"","parse-names":false,"suffix":""},{"dropping-particle":"","family":"Ford","given":"R","non-dropping-particle":"","parse-names":false,"suffix":""},{"dropping-particle":"","family":"Dancey","given":"J","non-dropping-particle":"","parse-names":false,"suffix":""},{"dropping-particle":"","family":"Arbuck","given":"S","non-dropping-particle":"","parse-names":false,"suffix":""},{"dropping-particle":"","family":"Gwyther","given":"S","non-dropping-particle":"","parse-names":false,"suffix":""},{"dropping-particle":"","family":"Mooney","given":"M","non-dropping-particle":"","parse-names":false,"suffix":""},{"dropping-particle":"","family":"Rubinstein","given":"L","non-dropping-particle":"","parse-names":false,"suffix":""},{"dropping-particle":"","family":"Shankar","given":"L","non-dropping-particle":"","parse-names":false,"suffix":""},{"dropping-particle":"","family":"Dodd","given":"L","non-dropping-particle":"","parse-names":false,"suffix":""},{"dropping-particle":"","family":"Kaplan","given":"R","non-dropping-particle":"","parse-names":false,"suffix":""},{"dropping-particle":"","family":"Lacombe","given":"D","non-dropping-particle":"","parse-names":false,"suffix":""},{"dropping-particle":"","family":"Verweij","given":"J","non-dropping-particle":"","parse-names":false,"suffix":""},{"dropping-particle":"","family":"Biologicals","given":"Glaxosmithkline","non-dropping-particle":"","parse-names":false,"suffix":""}],"id":"ITEM-1","issued":{"date-parts":[["0"]]},"title":"New response evaluation criteria in solid tumours: Revised RECIST guideline (version 1.1)","type":"article-journal"},"uris":["http://www.mendeley.com/documents/?uuid=55e3775d-6a22-3545-9f5a-de04960dda69"]}],"mendeley":{"formattedCitation":"[1]","plainTextFormattedCitation":"[1]","previouslyFormattedCitation":"[1]"},"properties":{"noteIndex":0},"schema":"https://github.com/citation-style-language/schema/raw/master/csl-citation.json"}</w:instrText>
            </w:r>
            <w:r w:rsidR="00B868FB" w:rsidRPr="00403DC6">
              <w:rPr>
                <w:sz w:val="18"/>
                <w:szCs w:val="18"/>
              </w:rPr>
              <w:fldChar w:fldCharType="separate"/>
            </w:r>
            <w:r w:rsidR="00B868FB" w:rsidRPr="00403DC6">
              <w:rPr>
                <w:sz w:val="18"/>
                <w:szCs w:val="18"/>
              </w:rPr>
              <w:t>[1]</w:t>
            </w:r>
            <w:r w:rsidR="00B868FB" w:rsidRPr="00403DC6">
              <w:rPr>
                <w:sz w:val="18"/>
                <w:szCs w:val="18"/>
              </w:rPr>
              <w:fldChar w:fldCharType="end"/>
            </w:r>
            <w:r w:rsidRPr="00403DC6">
              <w:rPr>
                <w:sz w:val="18"/>
                <w:szCs w:val="18"/>
              </w:rPr>
              <w:t>.</w:t>
            </w:r>
          </w:p>
          <w:p w14:paraId="6697ABBB" w14:textId="77777777" w:rsidR="00C22CB7" w:rsidRPr="00403DC6" w:rsidRDefault="00C22CB7" w:rsidP="005876BC">
            <w:pPr>
              <w:spacing w:after="0" w:line="240" w:lineRule="auto"/>
              <w:rPr>
                <w:sz w:val="18"/>
                <w:szCs w:val="18"/>
              </w:rPr>
            </w:pPr>
          </w:p>
          <w:p w14:paraId="63A40750" w14:textId="6069017D" w:rsidR="00C22CB7" w:rsidRPr="00403DC6" w:rsidRDefault="00C22CB7" w:rsidP="005876BC">
            <w:pPr>
              <w:pStyle w:val="SynopsisText"/>
              <w:spacing w:before="0" w:after="0"/>
              <w:rPr>
                <w:rFonts w:ascii="Arial" w:hAnsi="Arial" w:cs="Arial"/>
                <w:szCs w:val="18"/>
              </w:rPr>
            </w:pPr>
            <w:r w:rsidRPr="00403DC6">
              <w:rPr>
                <w:rFonts w:ascii="Arial" w:hAnsi="Arial" w:cs="Arial"/>
                <w:szCs w:val="18"/>
              </w:rPr>
              <w:t xml:space="preserve">The </w:t>
            </w:r>
            <w:r w:rsidRPr="00403DC6">
              <w:rPr>
                <w:rFonts w:ascii="Arial" w:hAnsi="Arial" w:cs="Arial"/>
                <w:b/>
                <w:szCs w:val="18"/>
              </w:rPr>
              <w:t>secondary objectives</w:t>
            </w:r>
            <w:r w:rsidRPr="00403DC6">
              <w:rPr>
                <w:rFonts w:ascii="Arial" w:hAnsi="Arial" w:cs="Arial"/>
                <w:szCs w:val="18"/>
              </w:rPr>
              <w:t xml:space="preserve"> </w:t>
            </w:r>
            <w:r w:rsidR="00D26ACC" w:rsidRPr="00403DC6">
              <w:rPr>
                <w:rFonts w:ascii="Arial" w:hAnsi="Arial" w:cs="Arial"/>
                <w:szCs w:val="18"/>
              </w:rPr>
              <w:t xml:space="preserve">of PARSIFAL </w:t>
            </w:r>
            <w:r w:rsidRPr="00403DC6">
              <w:rPr>
                <w:rFonts w:ascii="Arial" w:hAnsi="Arial" w:cs="Arial"/>
                <w:szCs w:val="18"/>
              </w:rPr>
              <w:t>were:</w:t>
            </w:r>
          </w:p>
          <w:p w14:paraId="24999C96" w14:textId="033FC0C5" w:rsidR="00C22CB7" w:rsidRPr="00403DC6" w:rsidRDefault="00C22CB7" w:rsidP="005876BC">
            <w:pPr>
              <w:pStyle w:val="Prrafodelista"/>
              <w:numPr>
                <w:ilvl w:val="0"/>
                <w:numId w:val="27"/>
              </w:numPr>
              <w:spacing w:after="0" w:line="240" w:lineRule="auto"/>
              <w:rPr>
                <w:sz w:val="18"/>
                <w:szCs w:val="18"/>
                <w:lang w:val="en-US"/>
              </w:rPr>
            </w:pPr>
            <w:r w:rsidRPr="00403DC6">
              <w:rPr>
                <w:sz w:val="18"/>
                <w:szCs w:val="18"/>
                <w:lang w:val="en-US"/>
              </w:rPr>
              <w:t xml:space="preserve">To compare the time to progression (TTP) </w:t>
            </w:r>
            <w:r w:rsidR="00BD1691" w:rsidRPr="00403DC6">
              <w:rPr>
                <w:sz w:val="18"/>
                <w:szCs w:val="18"/>
                <w:lang w:val="en-US"/>
              </w:rPr>
              <w:t>of patients randomized in the</w:t>
            </w:r>
            <w:r w:rsidRPr="00403DC6">
              <w:rPr>
                <w:sz w:val="18"/>
                <w:szCs w:val="18"/>
                <w:lang w:val="en-US"/>
              </w:rPr>
              <w:t xml:space="preserve"> </w:t>
            </w:r>
            <w:proofErr w:type="spellStart"/>
            <w:r w:rsidRPr="00403DC6">
              <w:rPr>
                <w:sz w:val="18"/>
                <w:szCs w:val="18"/>
                <w:lang w:val="en-US"/>
              </w:rPr>
              <w:t>palbociclib</w:t>
            </w:r>
            <w:proofErr w:type="spellEnd"/>
            <w:r w:rsidRPr="00403DC6">
              <w:rPr>
                <w:sz w:val="18"/>
                <w:szCs w:val="18"/>
                <w:lang w:val="en-US"/>
              </w:rPr>
              <w:t xml:space="preserve"> plus </w:t>
            </w:r>
            <w:proofErr w:type="spellStart"/>
            <w:r w:rsidRPr="00403DC6">
              <w:rPr>
                <w:sz w:val="18"/>
                <w:szCs w:val="18"/>
                <w:lang w:val="en-US"/>
              </w:rPr>
              <w:t>fulvestrant</w:t>
            </w:r>
            <w:proofErr w:type="spellEnd"/>
            <w:r w:rsidRPr="00403DC6">
              <w:rPr>
                <w:sz w:val="18"/>
                <w:szCs w:val="18"/>
                <w:lang w:val="en-US"/>
              </w:rPr>
              <w:t xml:space="preserve"> </w:t>
            </w:r>
            <w:r w:rsidR="00AB284D" w:rsidRPr="00403DC6">
              <w:rPr>
                <w:sz w:val="18"/>
                <w:szCs w:val="18"/>
                <w:lang w:val="en-US"/>
              </w:rPr>
              <w:t>and</w:t>
            </w:r>
            <w:r w:rsidR="00BD1691" w:rsidRPr="00403DC6">
              <w:rPr>
                <w:sz w:val="18"/>
                <w:szCs w:val="18"/>
                <w:lang w:val="en-US"/>
              </w:rPr>
              <w:t xml:space="preserve"> </w:t>
            </w:r>
            <w:proofErr w:type="spellStart"/>
            <w:r w:rsidRPr="00403DC6">
              <w:rPr>
                <w:sz w:val="18"/>
                <w:szCs w:val="18"/>
                <w:lang w:val="en-US"/>
              </w:rPr>
              <w:t>palbociclib</w:t>
            </w:r>
            <w:proofErr w:type="spellEnd"/>
            <w:r w:rsidRPr="00403DC6">
              <w:rPr>
                <w:sz w:val="18"/>
                <w:szCs w:val="18"/>
                <w:lang w:val="en-US"/>
              </w:rPr>
              <w:t xml:space="preserve"> plus letrozole</w:t>
            </w:r>
            <w:r w:rsidR="00AB284D" w:rsidRPr="00403DC6">
              <w:rPr>
                <w:sz w:val="18"/>
                <w:szCs w:val="18"/>
                <w:lang w:val="en-US"/>
              </w:rPr>
              <w:t xml:space="preserve"> arms</w:t>
            </w:r>
            <w:r w:rsidRPr="00403DC6">
              <w:rPr>
                <w:sz w:val="18"/>
                <w:szCs w:val="18"/>
                <w:lang w:val="en-US"/>
              </w:rPr>
              <w:t>.</w:t>
            </w:r>
          </w:p>
          <w:p w14:paraId="3418E06A" w14:textId="1CD6BF18" w:rsidR="00C22CB7" w:rsidRPr="00403DC6" w:rsidRDefault="00C22CB7" w:rsidP="005876BC">
            <w:pPr>
              <w:pStyle w:val="Prrafodelista"/>
              <w:numPr>
                <w:ilvl w:val="0"/>
                <w:numId w:val="27"/>
              </w:numPr>
              <w:spacing w:after="0" w:line="240" w:lineRule="auto"/>
              <w:rPr>
                <w:b/>
                <w:sz w:val="18"/>
                <w:szCs w:val="18"/>
                <w:lang w:val="en-US"/>
              </w:rPr>
            </w:pPr>
            <w:r w:rsidRPr="00403DC6">
              <w:rPr>
                <w:sz w:val="18"/>
                <w:szCs w:val="18"/>
                <w:lang w:val="en-US"/>
              </w:rPr>
              <w:t xml:space="preserve">To compare the clinical response in terms of clinical benefit </w:t>
            </w:r>
            <w:r w:rsidR="00B868FB" w:rsidRPr="00403DC6">
              <w:rPr>
                <w:sz w:val="18"/>
                <w:szCs w:val="18"/>
                <w:lang w:val="en-US"/>
              </w:rPr>
              <w:t xml:space="preserve">(CBR) </w:t>
            </w:r>
            <w:r w:rsidRPr="00403DC6">
              <w:rPr>
                <w:sz w:val="18"/>
                <w:szCs w:val="18"/>
                <w:lang w:val="en-US"/>
              </w:rPr>
              <w:t>and o</w:t>
            </w:r>
            <w:r w:rsidR="00FB1C22" w:rsidRPr="00403DC6">
              <w:rPr>
                <w:sz w:val="18"/>
                <w:szCs w:val="18"/>
                <w:lang w:val="en-US"/>
              </w:rPr>
              <w:t>bjective</w:t>
            </w:r>
            <w:r w:rsidRPr="00403DC6">
              <w:rPr>
                <w:sz w:val="18"/>
                <w:szCs w:val="18"/>
                <w:lang w:val="en-US"/>
              </w:rPr>
              <w:t xml:space="preserve"> response</w:t>
            </w:r>
            <w:r w:rsidR="00B868FB" w:rsidRPr="00403DC6">
              <w:rPr>
                <w:sz w:val="18"/>
                <w:szCs w:val="18"/>
                <w:lang w:val="en-US"/>
              </w:rPr>
              <w:t xml:space="preserve"> (ORR)</w:t>
            </w:r>
            <w:r w:rsidRPr="00403DC6">
              <w:rPr>
                <w:sz w:val="18"/>
                <w:szCs w:val="18"/>
                <w:lang w:val="en-US"/>
              </w:rPr>
              <w:t xml:space="preserve"> </w:t>
            </w:r>
            <w:r w:rsidR="00AB284D" w:rsidRPr="00403DC6">
              <w:rPr>
                <w:sz w:val="18"/>
                <w:szCs w:val="18"/>
                <w:lang w:val="en-US"/>
              </w:rPr>
              <w:t xml:space="preserve">of patients randomized in the </w:t>
            </w:r>
            <w:proofErr w:type="spellStart"/>
            <w:r w:rsidRPr="00403DC6">
              <w:rPr>
                <w:sz w:val="18"/>
                <w:szCs w:val="18"/>
                <w:lang w:val="en-US"/>
              </w:rPr>
              <w:t>palbociclib</w:t>
            </w:r>
            <w:proofErr w:type="spellEnd"/>
            <w:r w:rsidRPr="00403DC6">
              <w:rPr>
                <w:sz w:val="18"/>
                <w:szCs w:val="18"/>
                <w:lang w:val="en-US"/>
              </w:rPr>
              <w:t xml:space="preserve"> plus </w:t>
            </w:r>
            <w:proofErr w:type="spellStart"/>
            <w:r w:rsidRPr="00403DC6">
              <w:rPr>
                <w:sz w:val="18"/>
                <w:szCs w:val="18"/>
                <w:lang w:val="en-US"/>
              </w:rPr>
              <w:t>fulvestrant</w:t>
            </w:r>
            <w:proofErr w:type="spellEnd"/>
            <w:r w:rsidRPr="00403DC6">
              <w:rPr>
                <w:sz w:val="18"/>
                <w:szCs w:val="18"/>
                <w:lang w:val="en-US"/>
              </w:rPr>
              <w:t xml:space="preserve"> </w:t>
            </w:r>
            <w:r w:rsidR="00AB284D" w:rsidRPr="00403DC6">
              <w:rPr>
                <w:sz w:val="18"/>
                <w:szCs w:val="18"/>
                <w:lang w:val="en-US"/>
              </w:rPr>
              <w:t xml:space="preserve">and </w:t>
            </w:r>
            <w:proofErr w:type="spellStart"/>
            <w:r w:rsidRPr="00403DC6">
              <w:rPr>
                <w:sz w:val="18"/>
                <w:szCs w:val="18"/>
                <w:lang w:val="en-US"/>
              </w:rPr>
              <w:t>palbociclib</w:t>
            </w:r>
            <w:proofErr w:type="spellEnd"/>
            <w:r w:rsidRPr="00403DC6">
              <w:rPr>
                <w:sz w:val="18"/>
                <w:szCs w:val="18"/>
                <w:lang w:val="en-US"/>
              </w:rPr>
              <w:t xml:space="preserve"> plus letrozole</w:t>
            </w:r>
            <w:r w:rsidR="00AB284D" w:rsidRPr="00403DC6">
              <w:rPr>
                <w:sz w:val="18"/>
                <w:szCs w:val="18"/>
                <w:lang w:val="en-US"/>
              </w:rPr>
              <w:t xml:space="preserve"> arms</w:t>
            </w:r>
            <w:r w:rsidRPr="00403DC6">
              <w:rPr>
                <w:sz w:val="18"/>
                <w:szCs w:val="18"/>
                <w:lang w:val="en-US"/>
              </w:rPr>
              <w:t>.</w:t>
            </w:r>
          </w:p>
          <w:p w14:paraId="396605A5" w14:textId="0DAD0E68" w:rsidR="00C22CB7" w:rsidRPr="00403DC6" w:rsidRDefault="00C22CB7" w:rsidP="005876BC">
            <w:pPr>
              <w:pStyle w:val="Prrafodelista"/>
              <w:numPr>
                <w:ilvl w:val="0"/>
                <w:numId w:val="27"/>
              </w:numPr>
              <w:spacing w:after="0" w:line="240" w:lineRule="auto"/>
              <w:rPr>
                <w:sz w:val="18"/>
                <w:szCs w:val="18"/>
                <w:lang w:val="en-US"/>
              </w:rPr>
            </w:pPr>
            <w:r w:rsidRPr="00403DC6">
              <w:rPr>
                <w:sz w:val="18"/>
                <w:szCs w:val="18"/>
                <w:lang w:val="en-US"/>
              </w:rPr>
              <w:t>To compare the duration of response (</w:t>
            </w:r>
            <w:proofErr w:type="spellStart"/>
            <w:r w:rsidRPr="00403DC6">
              <w:rPr>
                <w:sz w:val="18"/>
                <w:szCs w:val="18"/>
                <w:lang w:val="en-US"/>
              </w:rPr>
              <w:t>DoR</w:t>
            </w:r>
            <w:proofErr w:type="spellEnd"/>
            <w:r w:rsidRPr="00403DC6">
              <w:rPr>
                <w:sz w:val="18"/>
                <w:szCs w:val="18"/>
                <w:lang w:val="en-US"/>
              </w:rPr>
              <w:t xml:space="preserve">) </w:t>
            </w:r>
            <w:r w:rsidR="00AB284D" w:rsidRPr="00403DC6">
              <w:rPr>
                <w:sz w:val="18"/>
                <w:szCs w:val="18"/>
                <w:lang w:val="en-US"/>
              </w:rPr>
              <w:t xml:space="preserve">of patients randomized in the </w:t>
            </w:r>
            <w:proofErr w:type="spellStart"/>
            <w:r w:rsidRPr="00403DC6">
              <w:rPr>
                <w:sz w:val="18"/>
                <w:szCs w:val="18"/>
                <w:lang w:val="en-US"/>
              </w:rPr>
              <w:t>palbociclib</w:t>
            </w:r>
            <w:proofErr w:type="spellEnd"/>
            <w:r w:rsidRPr="00403DC6">
              <w:rPr>
                <w:sz w:val="18"/>
                <w:szCs w:val="18"/>
                <w:lang w:val="en-US"/>
              </w:rPr>
              <w:t xml:space="preserve"> plus </w:t>
            </w:r>
            <w:proofErr w:type="spellStart"/>
            <w:r w:rsidRPr="00403DC6">
              <w:rPr>
                <w:sz w:val="18"/>
                <w:szCs w:val="18"/>
                <w:lang w:val="en-US"/>
              </w:rPr>
              <w:t>fulvestrant</w:t>
            </w:r>
            <w:proofErr w:type="spellEnd"/>
            <w:r w:rsidRPr="00403DC6">
              <w:rPr>
                <w:sz w:val="18"/>
                <w:szCs w:val="18"/>
                <w:lang w:val="en-US"/>
              </w:rPr>
              <w:t xml:space="preserve"> </w:t>
            </w:r>
            <w:r w:rsidR="00AB284D" w:rsidRPr="00403DC6">
              <w:rPr>
                <w:sz w:val="18"/>
                <w:szCs w:val="18"/>
                <w:lang w:val="en-US"/>
              </w:rPr>
              <w:t xml:space="preserve">and </w:t>
            </w:r>
            <w:proofErr w:type="spellStart"/>
            <w:r w:rsidRPr="00403DC6">
              <w:rPr>
                <w:sz w:val="18"/>
                <w:szCs w:val="18"/>
                <w:lang w:val="en-US"/>
              </w:rPr>
              <w:t>palbociclib</w:t>
            </w:r>
            <w:proofErr w:type="spellEnd"/>
            <w:r w:rsidRPr="00403DC6">
              <w:rPr>
                <w:sz w:val="18"/>
                <w:szCs w:val="18"/>
                <w:lang w:val="en-US"/>
              </w:rPr>
              <w:t xml:space="preserve"> plus letrozole</w:t>
            </w:r>
            <w:r w:rsidR="00AB284D" w:rsidRPr="00403DC6">
              <w:rPr>
                <w:sz w:val="18"/>
                <w:szCs w:val="18"/>
                <w:lang w:val="en-US"/>
              </w:rPr>
              <w:t xml:space="preserve"> arms</w:t>
            </w:r>
            <w:r w:rsidRPr="00403DC6">
              <w:rPr>
                <w:sz w:val="18"/>
                <w:szCs w:val="18"/>
                <w:lang w:val="en-US"/>
              </w:rPr>
              <w:t>.</w:t>
            </w:r>
          </w:p>
          <w:p w14:paraId="19F35B31" w14:textId="1980379E" w:rsidR="00C22CB7" w:rsidRPr="00403DC6" w:rsidRDefault="00C22CB7" w:rsidP="005876BC">
            <w:pPr>
              <w:numPr>
                <w:ilvl w:val="0"/>
                <w:numId w:val="27"/>
              </w:numPr>
              <w:spacing w:after="0" w:line="240" w:lineRule="auto"/>
              <w:rPr>
                <w:sz w:val="18"/>
                <w:szCs w:val="18"/>
              </w:rPr>
            </w:pPr>
            <w:r w:rsidRPr="00403DC6">
              <w:rPr>
                <w:sz w:val="18"/>
                <w:szCs w:val="18"/>
              </w:rPr>
              <w:t xml:space="preserve">To compare time to response (TTR) </w:t>
            </w:r>
            <w:r w:rsidR="00AB284D" w:rsidRPr="00403DC6">
              <w:rPr>
                <w:sz w:val="18"/>
                <w:szCs w:val="18"/>
              </w:rPr>
              <w:t xml:space="preserve">of patients randomized in the </w:t>
            </w:r>
            <w:proofErr w:type="spellStart"/>
            <w:r w:rsidRPr="00403DC6">
              <w:rPr>
                <w:sz w:val="18"/>
                <w:szCs w:val="18"/>
              </w:rPr>
              <w:t>palbociclib</w:t>
            </w:r>
            <w:proofErr w:type="spellEnd"/>
            <w:r w:rsidRPr="00403DC6">
              <w:rPr>
                <w:sz w:val="18"/>
                <w:szCs w:val="18"/>
              </w:rPr>
              <w:t xml:space="preserve"> plus </w:t>
            </w:r>
            <w:proofErr w:type="spellStart"/>
            <w:r w:rsidRPr="00403DC6">
              <w:rPr>
                <w:sz w:val="18"/>
                <w:szCs w:val="18"/>
              </w:rPr>
              <w:t>fulvestrant</w:t>
            </w:r>
            <w:proofErr w:type="spellEnd"/>
            <w:r w:rsidRPr="00403DC6">
              <w:rPr>
                <w:sz w:val="18"/>
                <w:szCs w:val="18"/>
              </w:rPr>
              <w:t xml:space="preserve"> </w:t>
            </w:r>
            <w:r w:rsidR="00AB284D" w:rsidRPr="00403DC6">
              <w:rPr>
                <w:sz w:val="18"/>
                <w:szCs w:val="18"/>
              </w:rPr>
              <w:t xml:space="preserve">and </w:t>
            </w:r>
            <w:proofErr w:type="spellStart"/>
            <w:r w:rsidRPr="00403DC6">
              <w:rPr>
                <w:sz w:val="18"/>
                <w:szCs w:val="18"/>
              </w:rPr>
              <w:t>palbociclib</w:t>
            </w:r>
            <w:proofErr w:type="spellEnd"/>
            <w:r w:rsidRPr="00403DC6">
              <w:rPr>
                <w:sz w:val="18"/>
                <w:szCs w:val="18"/>
              </w:rPr>
              <w:t xml:space="preserve"> plus letrozole</w:t>
            </w:r>
            <w:r w:rsidR="00AB284D" w:rsidRPr="00403DC6">
              <w:rPr>
                <w:sz w:val="18"/>
                <w:szCs w:val="18"/>
              </w:rPr>
              <w:t xml:space="preserve"> arms</w:t>
            </w:r>
            <w:r w:rsidRPr="00403DC6">
              <w:rPr>
                <w:sz w:val="18"/>
                <w:szCs w:val="18"/>
              </w:rPr>
              <w:t>.</w:t>
            </w:r>
          </w:p>
          <w:p w14:paraId="27FE2EE2" w14:textId="15A92984" w:rsidR="00C22CB7" w:rsidRPr="00403DC6" w:rsidRDefault="00C22CB7" w:rsidP="005876BC">
            <w:pPr>
              <w:pStyle w:val="Prrafodelista"/>
              <w:numPr>
                <w:ilvl w:val="0"/>
                <w:numId w:val="27"/>
              </w:numPr>
              <w:spacing w:after="0" w:line="240" w:lineRule="auto"/>
              <w:rPr>
                <w:sz w:val="18"/>
                <w:szCs w:val="18"/>
                <w:lang w:val="en-US"/>
              </w:rPr>
            </w:pPr>
            <w:r w:rsidRPr="00403DC6">
              <w:rPr>
                <w:sz w:val="18"/>
                <w:szCs w:val="18"/>
                <w:lang w:val="en-US"/>
              </w:rPr>
              <w:t xml:space="preserve">To compare the overall survival (OS) </w:t>
            </w:r>
            <w:r w:rsidR="00AB284D" w:rsidRPr="00403DC6">
              <w:rPr>
                <w:sz w:val="18"/>
                <w:szCs w:val="18"/>
                <w:lang w:val="en-US"/>
              </w:rPr>
              <w:t xml:space="preserve">of patients randomized in the </w:t>
            </w:r>
            <w:proofErr w:type="spellStart"/>
            <w:r w:rsidRPr="00403DC6">
              <w:rPr>
                <w:sz w:val="18"/>
                <w:szCs w:val="18"/>
                <w:lang w:val="en-US"/>
              </w:rPr>
              <w:t>palbociclib</w:t>
            </w:r>
            <w:proofErr w:type="spellEnd"/>
            <w:r w:rsidRPr="00403DC6">
              <w:rPr>
                <w:sz w:val="18"/>
                <w:szCs w:val="18"/>
                <w:lang w:val="en-US"/>
              </w:rPr>
              <w:t xml:space="preserve"> plus </w:t>
            </w:r>
            <w:proofErr w:type="spellStart"/>
            <w:r w:rsidRPr="00403DC6">
              <w:rPr>
                <w:sz w:val="18"/>
                <w:szCs w:val="18"/>
                <w:lang w:val="en-US"/>
              </w:rPr>
              <w:t>fulvestrant</w:t>
            </w:r>
            <w:proofErr w:type="spellEnd"/>
            <w:r w:rsidRPr="00403DC6">
              <w:rPr>
                <w:sz w:val="18"/>
                <w:szCs w:val="18"/>
                <w:lang w:val="en-US"/>
              </w:rPr>
              <w:t xml:space="preserve"> </w:t>
            </w:r>
            <w:r w:rsidR="00F85E78" w:rsidRPr="00403DC6">
              <w:rPr>
                <w:sz w:val="18"/>
                <w:szCs w:val="18"/>
                <w:lang w:val="en-US"/>
              </w:rPr>
              <w:t xml:space="preserve">and </w:t>
            </w:r>
            <w:proofErr w:type="spellStart"/>
            <w:r w:rsidRPr="00403DC6">
              <w:rPr>
                <w:sz w:val="18"/>
                <w:szCs w:val="18"/>
                <w:lang w:val="en-US"/>
              </w:rPr>
              <w:t>palbociclib</w:t>
            </w:r>
            <w:proofErr w:type="spellEnd"/>
            <w:r w:rsidRPr="00403DC6">
              <w:rPr>
                <w:sz w:val="18"/>
                <w:szCs w:val="18"/>
                <w:lang w:val="en-US"/>
              </w:rPr>
              <w:t xml:space="preserve"> plus letrozole</w:t>
            </w:r>
            <w:r w:rsidR="00F85E78" w:rsidRPr="00403DC6">
              <w:rPr>
                <w:sz w:val="18"/>
                <w:szCs w:val="18"/>
                <w:lang w:val="en-US"/>
              </w:rPr>
              <w:t xml:space="preserve"> arms</w:t>
            </w:r>
            <w:r w:rsidRPr="00403DC6">
              <w:rPr>
                <w:sz w:val="18"/>
                <w:szCs w:val="18"/>
                <w:lang w:val="en-US"/>
              </w:rPr>
              <w:t xml:space="preserve">. </w:t>
            </w:r>
          </w:p>
          <w:p w14:paraId="0A98B5BA" w14:textId="77777777" w:rsidR="003465C3" w:rsidRPr="00403DC6" w:rsidRDefault="003465C3" w:rsidP="003465C3">
            <w:pPr>
              <w:pStyle w:val="Prrafodelista"/>
              <w:numPr>
                <w:ilvl w:val="0"/>
                <w:numId w:val="27"/>
              </w:numPr>
              <w:spacing w:after="0" w:line="240" w:lineRule="auto"/>
              <w:rPr>
                <w:sz w:val="18"/>
                <w:szCs w:val="18"/>
                <w:lang w:val="en-US"/>
              </w:rPr>
            </w:pPr>
            <w:r w:rsidRPr="00403DC6">
              <w:rPr>
                <w:sz w:val="18"/>
                <w:szCs w:val="18"/>
                <w:lang w:val="en-US"/>
              </w:rPr>
              <w:t xml:space="preserve">To evaluate the safety and tolerability of </w:t>
            </w:r>
            <w:proofErr w:type="spellStart"/>
            <w:r w:rsidRPr="00403DC6">
              <w:rPr>
                <w:sz w:val="18"/>
                <w:szCs w:val="18"/>
                <w:lang w:val="en-US"/>
              </w:rPr>
              <w:t>palbociclib</w:t>
            </w:r>
            <w:proofErr w:type="spellEnd"/>
            <w:r w:rsidRPr="00403DC6">
              <w:rPr>
                <w:sz w:val="18"/>
                <w:szCs w:val="18"/>
                <w:lang w:val="en-US"/>
              </w:rPr>
              <w:t xml:space="preserve"> combined with either </w:t>
            </w:r>
            <w:proofErr w:type="spellStart"/>
            <w:r w:rsidRPr="00403DC6">
              <w:rPr>
                <w:sz w:val="18"/>
                <w:szCs w:val="18"/>
                <w:lang w:val="en-US"/>
              </w:rPr>
              <w:t>fulvestrant</w:t>
            </w:r>
            <w:proofErr w:type="spellEnd"/>
            <w:r w:rsidRPr="00403DC6">
              <w:rPr>
                <w:sz w:val="18"/>
                <w:szCs w:val="18"/>
                <w:lang w:val="en-US"/>
              </w:rPr>
              <w:t xml:space="preserve"> or letrozole.</w:t>
            </w:r>
          </w:p>
          <w:p w14:paraId="1F80601D" w14:textId="77777777" w:rsidR="003465C3" w:rsidRPr="00403DC6" w:rsidRDefault="003465C3" w:rsidP="003465C3">
            <w:pPr>
              <w:pStyle w:val="Prrafodelista"/>
              <w:numPr>
                <w:ilvl w:val="0"/>
                <w:numId w:val="27"/>
              </w:numPr>
              <w:spacing w:after="0" w:line="240" w:lineRule="auto"/>
              <w:rPr>
                <w:sz w:val="18"/>
                <w:szCs w:val="18"/>
                <w:lang w:val="en-US"/>
              </w:rPr>
            </w:pPr>
            <w:r w:rsidRPr="00403DC6">
              <w:rPr>
                <w:sz w:val="18"/>
                <w:szCs w:val="18"/>
                <w:lang w:val="en-US"/>
              </w:rPr>
              <w:t xml:space="preserve">To correlate the safety profile of </w:t>
            </w:r>
            <w:proofErr w:type="spellStart"/>
            <w:r w:rsidRPr="00403DC6">
              <w:rPr>
                <w:sz w:val="18"/>
                <w:szCs w:val="18"/>
                <w:lang w:val="en-US"/>
              </w:rPr>
              <w:t>palbociclib</w:t>
            </w:r>
            <w:proofErr w:type="spellEnd"/>
            <w:r w:rsidRPr="00403DC6">
              <w:rPr>
                <w:sz w:val="18"/>
                <w:szCs w:val="18"/>
                <w:lang w:val="en-US"/>
              </w:rPr>
              <w:t xml:space="preserve"> combined with either </w:t>
            </w:r>
            <w:proofErr w:type="spellStart"/>
            <w:r w:rsidRPr="00403DC6">
              <w:rPr>
                <w:sz w:val="18"/>
                <w:szCs w:val="18"/>
                <w:lang w:val="en-US"/>
              </w:rPr>
              <w:t>fulvestrant</w:t>
            </w:r>
            <w:proofErr w:type="spellEnd"/>
            <w:r w:rsidRPr="00403DC6">
              <w:rPr>
                <w:sz w:val="18"/>
                <w:szCs w:val="18"/>
                <w:lang w:val="en-US"/>
              </w:rPr>
              <w:t xml:space="preserve"> or letrozole with baseline patient characteristics.</w:t>
            </w:r>
          </w:p>
          <w:p w14:paraId="5D5963E6" w14:textId="538FF6ED" w:rsidR="00C22CB7" w:rsidRPr="00403DC6" w:rsidRDefault="00C22CB7" w:rsidP="005876BC">
            <w:pPr>
              <w:pStyle w:val="Prrafodelista"/>
              <w:numPr>
                <w:ilvl w:val="0"/>
                <w:numId w:val="27"/>
              </w:numPr>
              <w:spacing w:after="0" w:line="240" w:lineRule="auto"/>
              <w:rPr>
                <w:sz w:val="18"/>
                <w:szCs w:val="18"/>
                <w:lang w:val="en-US"/>
              </w:rPr>
            </w:pPr>
            <w:r w:rsidRPr="00403DC6">
              <w:rPr>
                <w:sz w:val="18"/>
                <w:szCs w:val="18"/>
                <w:lang w:val="en-US"/>
              </w:rPr>
              <w:t xml:space="preserve">To identify potential biomarkers to predict the benefit from </w:t>
            </w:r>
            <w:proofErr w:type="spellStart"/>
            <w:r w:rsidR="00F85E78" w:rsidRPr="00403DC6">
              <w:rPr>
                <w:sz w:val="18"/>
                <w:szCs w:val="18"/>
                <w:lang w:val="en-US"/>
              </w:rPr>
              <w:t>p</w:t>
            </w:r>
            <w:r w:rsidRPr="00403DC6">
              <w:rPr>
                <w:sz w:val="18"/>
                <w:szCs w:val="18"/>
                <w:lang w:val="en-US"/>
              </w:rPr>
              <w:t>albociclib</w:t>
            </w:r>
            <w:proofErr w:type="spellEnd"/>
            <w:r w:rsidRPr="00403DC6">
              <w:rPr>
                <w:sz w:val="18"/>
                <w:szCs w:val="18"/>
                <w:lang w:val="en-US"/>
              </w:rPr>
              <w:t xml:space="preserve"> combined with </w:t>
            </w:r>
            <w:proofErr w:type="spellStart"/>
            <w:r w:rsidR="00F85E78" w:rsidRPr="00403DC6">
              <w:rPr>
                <w:sz w:val="18"/>
                <w:szCs w:val="18"/>
                <w:lang w:val="en-US"/>
              </w:rPr>
              <w:t>fulvestrant</w:t>
            </w:r>
            <w:proofErr w:type="spellEnd"/>
            <w:r w:rsidR="00F85E78" w:rsidRPr="00403DC6">
              <w:rPr>
                <w:sz w:val="18"/>
                <w:szCs w:val="18"/>
                <w:lang w:val="en-US"/>
              </w:rPr>
              <w:t xml:space="preserve"> or letrozole</w:t>
            </w:r>
            <w:r w:rsidRPr="00403DC6">
              <w:rPr>
                <w:sz w:val="18"/>
                <w:szCs w:val="18"/>
                <w:lang w:val="en-US"/>
              </w:rPr>
              <w:t>.</w:t>
            </w:r>
          </w:p>
          <w:p w14:paraId="495A598D" w14:textId="77777777" w:rsidR="00C22CB7" w:rsidRPr="00403DC6" w:rsidRDefault="00C22CB7" w:rsidP="005876BC">
            <w:pPr>
              <w:pStyle w:val="Prrafodelista"/>
              <w:numPr>
                <w:ilvl w:val="0"/>
                <w:numId w:val="27"/>
              </w:numPr>
              <w:spacing w:after="0" w:line="240" w:lineRule="auto"/>
              <w:rPr>
                <w:sz w:val="18"/>
                <w:szCs w:val="18"/>
                <w:lang w:val="en-US"/>
              </w:rPr>
            </w:pPr>
            <w:r w:rsidRPr="00403DC6">
              <w:rPr>
                <w:sz w:val="18"/>
                <w:szCs w:val="18"/>
                <w:lang w:val="en-US"/>
              </w:rPr>
              <w:t xml:space="preserve">To identify mechanisms of resistance to </w:t>
            </w:r>
            <w:proofErr w:type="spellStart"/>
            <w:r w:rsidRPr="00403DC6">
              <w:rPr>
                <w:sz w:val="18"/>
                <w:szCs w:val="18"/>
                <w:lang w:val="en-US"/>
              </w:rPr>
              <w:t>palbociclib</w:t>
            </w:r>
            <w:proofErr w:type="spellEnd"/>
            <w:r w:rsidRPr="00403DC6">
              <w:rPr>
                <w:sz w:val="18"/>
                <w:szCs w:val="18"/>
                <w:lang w:val="en-US"/>
              </w:rPr>
              <w:t xml:space="preserve"> combined with endocrine therapy. </w:t>
            </w:r>
          </w:p>
          <w:p w14:paraId="2A2A5EC0" w14:textId="77777777" w:rsidR="00C22CB7" w:rsidRPr="00403DC6" w:rsidRDefault="00C22CB7" w:rsidP="005876BC">
            <w:pPr>
              <w:pStyle w:val="Prrafodelista"/>
              <w:spacing w:after="0" w:line="240" w:lineRule="auto"/>
              <w:rPr>
                <w:sz w:val="18"/>
                <w:szCs w:val="18"/>
                <w:lang w:val="en-US"/>
              </w:rPr>
            </w:pPr>
          </w:p>
          <w:p w14:paraId="1D0793BA" w14:textId="1D96671B" w:rsidR="00B15F8B" w:rsidRPr="00403DC6" w:rsidRDefault="00B15F8B" w:rsidP="0071077C">
            <w:pPr>
              <w:spacing w:after="0" w:line="240" w:lineRule="auto"/>
              <w:rPr>
                <w:sz w:val="18"/>
                <w:szCs w:val="18"/>
              </w:rPr>
            </w:pPr>
            <w:r w:rsidRPr="00403DC6">
              <w:rPr>
                <w:sz w:val="18"/>
                <w:szCs w:val="18"/>
              </w:rPr>
              <w:t xml:space="preserve">The </w:t>
            </w:r>
            <w:r w:rsidRPr="00403DC6">
              <w:rPr>
                <w:sz w:val="18"/>
                <w:szCs w:val="18"/>
                <w:u w:val="single"/>
              </w:rPr>
              <w:t>efficacy secondary endpoints</w:t>
            </w:r>
            <w:r w:rsidRPr="00403DC6">
              <w:rPr>
                <w:sz w:val="18"/>
                <w:szCs w:val="18"/>
              </w:rPr>
              <w:t xml:space="preserve"> of this study were TTP, CBR,</w:t>
            </w:r>
            <w:r w:rsidRPr="00403DC6" w:rsidDel="00AD666E">
              <w:rPr>
                <w:sz w:val="18"/>
                <w:szCs w:val="18"/>
              </w:rPr>
              <w:t xml:space="preserve"> </w:t>
            </w:r>
            <w:r w:rsidRPr="00403DC6">
              <w:rPr>
                <w:sz w:val="18"/>
                <w:szCs w:val="18"/>
              </w:rPr>
              <w:t>ORR,</w:t>
            </w:r>
            <w:r w:rsidRPr="00403DC6" w:rsidDel="00AD666E">
              <w:rPr>
                <w:sz w:val="18"/>
                <w:szCs w:val="18"/>
              </w:rPr>
              <w:t xml:space="preserve"> </w:t>
            </w:r>
            <w:proofErr w:type="spellStart"/>
            <w:r w:rsidRPr="00403DC6">
              <w:rPr>
                <w:sz w:val="18"/>
                <w:szCs w:val="18"/>
              </w:rPr>
              <w:t>DoR</w:t>
            </w:r>
            <w:proofErr w:type="spellEnd"/>
            <w:r w:rsidRPr="00403DC6">
              <w:rPr>
                <w:sz w:val="18"/>
                <w:szCs w:val="18"/>
              </w:rPr>
              <w:t>,</w:t>
            </w:r>
            <w:r w:rsidRPr="00403DC6" w:rsidDel="00AD666E">
              <w:rPr>
                <w:sz w:val="18"/>
                <w:szCs w:val="18"/>
              </w:rPr>
              <w:t xml:space="preserve"> </w:t>
            </w:r>
            <w:r w:rsidRPr="00403DC6">
              <w:rPr>
                <w:sz w:val="18"/>
                <w:szCs w:val="18"/>
              </w:rPr>
              <w:t>TTR</w:t>
            </w:r>
            <w:r w:rsidR="0017579A" w:rsidRPr="00403DC6">
              <w:rPr>
                <w:sz w:val="18"/>
                <w:szCs w:val="18"/>
              </w:rPr>
              <w:t xml:space="preserve"> as assessed by the investigator according to RECIST v1.1</w:t>
            </w:r>
            <w:r w:rsidR="0017579A" w:rsidRPr="00403DC6">
              <w:rPr>
                <w:sz w:val="18"/>
                <w:szCs w:val="18"/>
              </w:rPr>
              <w:fldChar w:fldCharType="begin" w:fldLock="1"/>
            </w:r>
            <w:r w:rsidR="0017579A" w:rsidRPr="00403DC6">
              <w:rPr>
                <w:sz w:val="18"/>
                <w:szCs w:val="18"/>
              </w:rPr>
              <w:instrText>ADDIN CSL_CITATION {"citationItems":[{"id":"ITEM-1","itemData":{"DOI":"10.1016/j.ejca.2008.10.026","author":[{"dropping-particle":"","family":"Eisenhauer","given":"E A","non-dropping-particle":"","parse-names":false,"suffix":""},{"dropping-particle":"","family":"Therasse","given":"P","non-dropping-particle":"","parse-names":false,"suffix":""},{"dropping-particle":"","family":"Bogaerts","given":"J","non-dropping-particle":"","parse-names":false,"suffix":""},{"dropping-particle":"","family":"Schwartz","given":"L H","non-dropping-particle":"","parse-names":false,"suffix":""},{"dropping-particle":"","family":"Sargent","given":"D","non-dropping-particle":"","parse-names":false,"suffix":""},{"dropping-particle":"","family":"Ford","given":"R","non-dropping-particle":"","parse-names":false,"suffix":""},{"dropping-particle":"","family":"Dancey","given":"J","non-dropping-particle":"","parse-names":false,"suffix":""},{"dropping-particle":"","family":"Arbuck","given":"S","non-dropping-particle":"","parse-names":false,"suffix":""},{"dropping-particle":"","family":"Gwyther","given":"S","non-dropping-particle":"","parse-names":false,"suffix":""},{"dropping-particle":"","family":"Mooney","given":"M","non-dropping-particle":"","parse-names":false,"suffix":""},{"dropping-particle":"","family":"Rubinstein","given":"L","non-dropping-particle":"","parse-names":false,"suffix":""},{"dropping-particle":"","family":"Shankar","given":"L","non-dropping-particle":"","parse-names":false,"suffix":""},{"dropping-particle":"","family":"Dodd","given":"L","non-dropping-particle":"","parse-names":false,"suffix":""},{"dropping-particle":"","family":"Kaplan","given":"R","non-dropping-particle":"","parse-names":false,"suffix":""},{"dropping-particle":"","family":"Lacombe","given":"D","non-dropping-particle":"","parse-names":false,"suffix":""},{"dropping-particle":"","family":"Verweij","given":"J","non-dropping-particle":"","parse-names":false,"suffix":""},{"dropping-particle":"","family":"Biologicals","given":"Glaxosmithkline","non-dropping-particle":"","parse-names":false,"suffix":""}],"id":"ITEM-1","issued":{"date-parts":[["0"]]},"title":"New response evaluation criteria in solid tumours: Revised RECIST guideline (version 1.1)","type":"article-journal"},"uris":["http://www.mendeley.com/documents/?uuid=55e3775d-6a22-3545-9f5a-de04960dda69"]}],"mendeley":{"formattedCitation":"[1]","plainTextFormattedCitation":"[1]","previouslyFormattedCitation":"[1]"},"properties":{"noteIndex":0},"schema":"https://github.com/citation-style-language/schema/raw/master/csl-citation.json"}</w:instrText>
            </w:r>
            <w:r w:rsidR="0017579A" w:rsidRPr="00403DC6">
              <w:rPr>
                <w:sz w:val="18"/>
                <w:szCs w:val="18"/>
              </w:rPr>
              <w:fldChar w:fldCharType="separate"/>
            </w:r>
            <w:r w:rsidR="0017579A" w:rsidRPr="00403DC6">
              <w:rPr>
                <w:sz w:val="18"/>
                <w:szCs w:val="18"/>
              </w:rPr>
              <w:t>[1]</w:t>
            </w:r>
            <w:r w:rsidR="0017579A" w:rsidRPr="00403DC6">
              <w:rPr>
                <w:sz w:val="18"/>
                <w:szCs w:val="18"/>
              </w:rPr>
              <w:fldChar w:fldCharType="end"/>
            </w:r>
            <w:r w:rsidRPr="00403DC6">
              <w:rPr>
                <w:sz w:val="18"/>
                <w:szCs w:val="18"/>
              </w:rPr>
              <w:t>,</w:t>
            </w:r>
            <w:r w:rsidRPr="00403DC6" w:rsidDel="00AD666E">
              <w:rPr>
                <w:sz w:val="18"/>
                <w:szCs w:val="18"/>
              </w:rPr>
              <w:t xml:space="preserve"> </w:t>
            </w:r>
            <w:r w:rsidRPr="00403DC6">
              <w:rPr>
                <w:sz w:val="18"/>
                <w:szCs w:val="18"/>
              </w:rPr>
              <w:t>and OS.</w:t>
            </w:r>
          </w:p>
          <w:p w14:paraId="3681AE23" w14:textId="5F97C9E5" w:rsidR="00C22CB7" w:rsidRPr="00403DC6" w:rsidRDefault="00C22CB7" w:rsidP="00B15F8B">
            <w:pPr>
              <w:spacing w:after="0" w:line="240" w:lineRule="auto"/>
              <w:rPr>
                <w:sz w:val="18"/>
                <w:szCs w:val="18"/>
              </w:rPr>
            </w:pPr>
            <w:r w:rsidRPr="00403DC6">
              <w:rPr>
                <w:sz w:val="18"/>
                <w:szCs w:val="18"/>
              </w:rPr>
              <w:t xml:space="preserve">As </w:t>
            </w:r>
            <w:r w:rsidRPr="00403DC6">
              <w:rPr>
                <w:sz w:val="18"/>
                <w:szCs w:val="18"/>
                <w:u w:val="single"/>
              </w:rPr>
              <w:t>secondary endpoints</w:t>
            </w:r>
            <w:r w:rsidRPr="00403DC6">
              <w:rPr>
                <w:sz w:val="18"/>
                <w:szCs w:val="18"/>
              </w:rPr>
              <w:t xml:space="preserve">, patient safety and adverse events </w:t>
            </w:r>
            <w:r w:rsidR="00B868FB" w:rsidRPr="00403DC6">
              <w:rPr>
                <w:sz w:val="18"/>
                <w:szCs w:val="18"/>
              </w:rPr>
              <w:t>were</w:t>
            </w:r>
            <w:r w:rsidRPr="00403DC6">
              <w:rPr>
                <w:sz w:val="18"/>
                <w:szCs w:val="18"/>
              </w:rPr>
              <w:t xml:space="preserve"> assessed using the </w:t>
            </w:r>
            <w:r w:rsidR="00F85E78" w:rsidRPr="00403DC6">
              <w:rPr>
                <w:sz w:val="18"/>
                <w:szCs w:val="18"/>
              </w:rPr>
              <w:t xml:space="preserve">National </w:t>
            </w:r>
            <w:r w:rsidR="003465C3" w:rsidRPr="00403DC6">
              <w:rPr>
                <w:sz w:val="18"/>
                <w:szCs w:val="18"/>
              </w:rPr>
              <w:t>Cancer Institute (</w:t>
            </w:r>
            <w:r w:rsidRPr="00403DC6">
              <w:rPr>
                <w:sz w:val="18"/>
                <w:szCs w:val="18"/>
              </w:rPr>
              <w:t>NCI</w:t>
            </w:r>
            <w:r w:rsidR="003465C3" w:rsidRPr="00403DC6">
              <w:rPr>
                <w:sz w:val="18"/>
                <w:szCs w:val="18"/>
              </w:rPr>
              <w:t>)</w:t>
            </w:r>
            <w:r w:rsidRPr="00403DC6">
              <w:rPr>
                <w:sz w:val="18"/>
                <w:szCs w:val="18"/>
              </w:rPr>
              <w:t>-</w:t>
            </w:r>
            <w:r w:rsidR="003465C3" w:rsidRPr="00403DC6">
              <w:rPr>
                <w:sz w:val="18"/>
                <w:szCs w:val="18"/>
              </w:rPr>
              <w:t xml:space="preserve">Common Terminology Criteria for Adverse Events </w:t>
            </w:r>
            <w:r w:rsidRPr="00403DC6">
              <w:rPr>
                <w:sz w:val="18"/>
                <w:szCs w:val="18"/>
              </w:rPr>
              <w:t>CTCAE, version 4</w:t>
            </w:r>
            <w:r w:rsidR="003465C3" w:rsidRPr="00403DC6">
              <w:rPr>
                <w:sz w:val="18"/>
                <w:szCs w:val="18"/>
              </w:rPr>
              <w:t>.0</w:t>
            </w:r>
            <w:r w:rsidRPr="00403DC6">
              <w:rPr>
                <w:sz w:val="18"/>
                <w:szCs w:val="18"/>
              </w:rPr>
              <w:t xml:space="preserve"> (ref NCI-CTCAE). Grade 3 and 4 adverse events and serious adverse events </w:t>
            </w:r>
            <w:r w:rsidR="00B868FB" w:rsidRPr="00403DC6">
              <w:rPr>
                <w:sz w:val="18"/>
                <w:szCs w:val="18"/>
              </w:rPr>
              <w:t>were</w:t>
            </w:r>
            <w:r w:rsidRPr="00403DC6">
              <w:rPr>
                <w:sz w:val="18"/>
                <w:szCs w:val="18"/>
              </w:rPr>
              <w:t xml:space="preserve"> assessed to determine the safety and tolerability of the different drug combinations.</w:t>
            </w:r>
          </w:p>
          <w:p w14:paraId="7B2AB3A7" w14:textId="77777777" w:rsidR="00C22CB7" w:rsidRPr="00403DC6" w:rsidRDefault="00C22CB7" w:rsidP="00A5705E">
            <w:pPr>
              <w:pStyle w:val="BodyText10"/>
              <w:spacing w:before="120" w:after="120"/>
              <w:rPr>
                <w:rFonts w:ascii="Arial" w:hAnsi="Arial" w:cs="Arial"/>
                <w:b/>
                <w:sz w:val="18"/>
                <w:szCs w:val="18"/>
              </w:rPr>
            </w:pPr>
            <w:r w:rsidRPr="00403DC6">
              <w:rPr>
                <w:rFonts w:ascii="Arial" w:hAnsi="Arial" w:cs="Arial"/>
                <w:b/>
                <w:sz w:val="18"/>
                <w:szCs w:val="18"/>
              </w:rPr>
              <w:t xml:space="preserve">Methodology: </w:t>
            </w:r>
          </w:p>
          <w:p w14:paraId="6A367B92" w14:textId="58FF3E4F" w:rsidR="004E6E17" w:rsidRPr="00403DC6" w:rsidRDefault="00B868FB" w:rsidP="005876BC">
            <w:pPr>
              <w:pStyle w:val="BodyText10"/>
              <w:rPr>
                <w:rFonts w:ascii="Arial" w:hAnsi="Arial" w:cs="Arial"/>
                <w:sz w:val="18"/>
                <w:szCs w:val="18"/>
              </w:rPr>
            </w:pPr>
            <w:r w:rsidRPr="00403DC6">
              <w:rPr>
                <w:rFonts w:ascii="Arial" w:hAnsi="Arial" w:cs="Arial"/>
                <w:sz w:val="18"/>
                <w:szCs w:val="18"/>
              </w:rPr>
              <w:t>This is an</w:t>
            </w:r>
            <w:r w:rsidR="00C22CB7" w:rsidRPr="00403DC6">
              <w:rPr>
                <w:rFonts w:ascii="Arial" w:hAnsi="Arial" w:cs="Arial"/>
                <w:sz w:val="18"/>
                <w:szCs w:val="18"/>
              </w:rPr>
              <w:t xml:space="preserve"> international, </w:t>
            </w:r>
            <w:r w:rsidR="0017579A" w:rsidRPr="00403DC6">
              <w:rPr>
                <w:rFonts w:ascii="Arial" w:hAnsi="Arial" w:cs="Arial"/>
                <w:sz w:val="18"/>
                <w:szCs w:val="18"/>
              </w:rPr>
              <w:t>randomized</w:t>
            </w:r>
            <w:r w:rsidR="00C22CB7" w:rsidRPr="00403DC6">
              <w:rPr>
                <w:rFonts w:ascii="Arial" w:hAnsi="Arial" w:cs="Arial"/>
                <w:sz w:val="18"/>
                <w:szCs w:val="18"/>
              </w:rPr>
              <w:t xml:space="preserve">, open-label trial, to compare the antitumor activity and safety </w:t>
            </w:r>
            <w:r w:rsidRPr="00403DC6">
              <w:rPr>
                <w:rFonts w:ascii="Arial" w:hAnsi="Arial" w:cs="Arial"/>
                <w:sz w:val="18"/>
                <w:szCs w:val="18"/>
              </w:rPr>
              <w:t xml:space="preserve">of </w:t>
            </w:r>
            <w:r w:rsidR="00C22CB7" w:rsidRPr="00403DC6">
              <w:rPr>
                <w:rFonts w:ascii="Arial" w:hAnsi="Arial" w:cs="Arial"/>
                <w:sz w:val="18"/>
                <w:szCs w:val="18"/>
              </w:rPr>
              <w:t xml:space="preserve">the combination of </w:t>
            </w:r>
            <w:proofErr w:type="spellStart"/>
            <w:r w:rsidR="00C22CB7" w:rsidRPr="00403DC6">
              <w:rPr>
                <w:rFonts w:ascii="Arial" w:hAnsi="Arial" w:cs="Arial"/>
                <w:sz w:val="18"/>
                <w:szCs w:val="18"/>
              </w:rPr>
              <w:t>palbociclib</w:t>
            </w:r>
            <w:proofErr w:type="spellEnd"/>
            <w:r w:rsidR="00C22CB7" w:rsidRPr="00403DC6">
              <w:rPr>
                <w:rFonts w:ascii="Arial" w:hAnsi="Arial" w:cs="Arial"/>
                <w:sz w:val="18"/>
                <w:szCs w:val="18"/>
              </w:rPr>
              <w:t xml:space="preserve"> plus </w:t>
            </w:r>
            <w:proofErr w:type="spellStart"/>
            <w:r w:rsidR="00C22CB7" w:rsidRPr="00403DC6">
              <w:rPr>
                <w:rFonts w:ascii="Arial" w:hAnsi="Arial" w:cs="Arial"/>
                <w:sz w:val="18"/>
                <w:szCs w:val="18"/>
              </w:rPr>
              <w:t>fulvestrant</w:t>
            </w:r>
            <w:proofErr w:type="spellEnd"/>
            <w:r w:rsidR="00C22CB7" w:rsidRPr="00403DC6">
              <w:rPr>
                <w:rFonts w:ascii="Arial" w:hAnsi="Arial" w:cs="Arial"/>
                <w:sz w:val="18"/>
                <w:szCs w:val="18"/>
              </w:rPr>
              <w:t xml:space="preserve"> versus </w:t>
            </w:r>
            <w:proofErr w:type="spellStart"/>
            <w:r w:rsidR="00C22CB7" w:rsidRPr="00403DC6">
              <w:rPr>
                <w:rFonts w:ascii="Arial" w:hAnsi="Arial" w:cs="Arial"/>
                <w:sz w:val="18"/>
                <w:szCs w:val="18"/>
              </w:rPr>
              <w:t>palbociclib</w:t>
            </w:r>
            <w:proofErr w:type="spellEnd"/>
            <w:r w:rsidR="00C22CB7" w:rsidRPr="00403DC6">
              <w:rPr>
                <w:rFonts w:ascii="Arial" w:hAnsi="Arial" w:cs="Arial"/>
                <w:sz w:val="18"/>
                <w:szCs w:val="18"/>
              </w:rPr>
              <w:t xml:space="preserve"> plus letrozole in women with endocrine-sensitive, </w:t>
            </w:r>
            <w:r w:rsidRPr="00403DC6">
              <w:rPr>
                <w:rFonts w:ascii="Arial" w:hAnsi="Arial" w:cs="Arial"/>
                <w:sz w:val="18"/>
                <w:szCs w:val="18"/>
              </w:rPr>
              <w:t>ER+</w:t>
            </w:r>
            <w:r w:rsidR="00C22CB7" w:rsidRPr="00403DC6">
              <w:rPr>
                <w:rFonts w:ascii="Arial" w:hAnsi="Arial" w:cs="Arial"/>
                <w:sz w:val="18"/>
                <w:szCs w:val="18"/>
              </w:rPr>
              <w:t xml:space="preserve">/HER2- locally advanced </w:t>
            </w:r>
            <w:r w:rsidR="00B83DCF" w:rsidRPr="00403DC6">
              <w:rPr>
                <w:rFonts w:ascii="Arial" w:hAnsi="Arial" w:cs="Arial"/>
                <w:sz w:val="18"/>
                <w:szCs w:val="18"/>
              </w:rPr>
              <w:t xml:space="preserve">or </w:t>
            </w:r>
            <w:proofErr w:type="spellStart"/>
            <w:r w:rsidR="00B83DCF" w:rsidRPr="00403DC6">
              <w:rPr>
                <w:rFonts w:ascii="Arial" w:hAnsi="Arial" w:cs="Arial"/>
                <w:sz w:val="18"/>
                <w:szCs w:val="18"/>
              </w:rPr>
              <w:t>mBC</w:t>
            </w:r>
            <w:proofErr w:type="spellEnd"/>
            <w:r w:rsidR="00C22CB7" w:rsidRPr="00403DC6">
              <w:rPr>
                <w:rFonts w:ascii="Arial" w:hAnsi="Arial" w:cs="Arial"/>
                <w:sz w:val="18"/>
                <w:szCs w:val="18"/>
              </w:rPr>
              <w:t xml:space="preserve"> from 47 sites in 7 countries (</w:t>
            </w:r>
            <w:r w:rsidR="00403DC6" w:rsidRPr="00F57DAA">
              <w:rPr>
                <w:rFonts w:ascii="Arial" w:hAnsi="Arial" w:cs="Arial"/>
                <w:i/>
                <w:color w:val="2F5496" w:themeColor="accent1" w:themeShade="BF"/>
                <w:sz w:val="18"/>
                <w:szCs w:val="18"/>
              </w:rPr>
              <w:fldChar w:fldCharType="begin"/>
            </w:r>
            <w:r w:rsidR="00403DC6" w:rsidRPr="00F57DAA">
              <w:rPr>
                <w:rFonts w:ascii="Arial" w:hAnsi="Arial" w:cs="Arial"/>
                <w:i/>
                <w:color w:val="2F5496" w:themeColor="accent1" w:themeShade="BF"/>
                <w:sz w:val="18"/>
                <w:szCs w:val="18"/>
              </w:rPr>
              <w:instrText xml:space="preserve"> REF _Ref52424813 \h  \* MERGEFORMAT </w:instrText>
            </w:r>
            <w:r w:rsidR="00403DC6" w:rsidRPr="00F57DAA">
              <w:rPr>
                <w:rFonts w:ascii="Arial" w:hAnsi="Arial" w:cs="Arial"/>
                <w:i/>
                <w:color w:val="2F5496" w:themeColor="accent1" w:themeShade="BF"/>
                <w:sz w:val="18"/>
                <w:szCs w:val="18"/>
              </w:rPr>
            </w:r>
            <w:r w:rsidR="00403DC6" w:rsidRPr="00F57DAA">
              <w:rPr>
                <w:rFonts w:ascii="Arial" w:hAnsi="Arial" w:cs="Arial"/>
                <w:i/>
                <w:color w:val="2F5496" w:themeColor="accent1" w:themeShade="BF"/>
                <w:sz w:val="18"/>
                <w:szCs w:val="18"/>
              </w:rPr>
              <w:fldChar w:fldCharType="separate"/>
            </w:r>
            <w:r w:rsidR="00403DC6" w:rsidRPr="00F57DAA">
              <w:rPr>
                <w:rFonts w:ascii="Arial" w:hAnsi="Arial" w:cs="Arial"/>
                <w:i/>
                <w:color w:val="2F5496" w:themeColor="accent1" w:themeShade="BF"/>
                <w:sz w:val="18"/>
                <w:szCs w:val="18"/>
              </w:rPr>
              <w:t xml:space="preserve">Table </w:t>
            </w:r>
            <w:r w:rsidR="00403DC6" w:rsidRPr="00F57DAA">
              <w:rPr>
                <w:rFonts w:ascii="Arial" w:hAnsi="Arial" w:cs="Arial"/>
                <w:i/>
                <w:noProof/>
                <w:color w:val="2F5496" w:themeColor="accent1" w:themeShade="BF"/>
                <w:sz w:val="18"/>
                <w:szCs w:val="18"/>
              </w:rPr>
              <w:t>1</w:t>
            </w:r>
            <w:r w:rsidR="00403DC6" w:rsidRPr="00F57DAA">
              <w:rPr>
                <w:rFonts w:ascii="Arial" w:hAnsi="Arial" w:cs="Arial"/>
                <w:i/>
                <w:color w:val="2F5496" w:themeColor="accent1" w:themeShade="BF"/>
                <w:sz w:val="18"/>
                <w:szCs w:val="18"/>
              </w:rPr>
              <w:fldChar w:fldCharType="end"/>
            </w:r>
            <w:r w:rsidR="00C22CB7" w:rsidRPr="00403DC6">
              <w:rPr>
                <w:rFonts w:ascii="Arial" w:hAnsi="Arial" w:cs="Arial"/>
                <w:sz w:val="18"/>
                <w:szCs w:val="18"/>
              </w:rPr>
              <w:t>).</w:t>
            </w:r>
          </w:p>
          <w:p w14:paraId="376418D8" w14:textId="28500379" w:rsidR="004E6E17" w:rsidRPr="00403DC6" w:rsidRDefault="00C22CB7" w:rsidP="005876BC">
            <w:pPr>
              <w:pStyle w:val="BodyText10"/>
              <w:rPr>
                <w:rFonts w:ascii="Arial" w:hAnsi="Arial" w:cs="Arial"/>
                <w:sz w:val="18"/>
                <w:szCs w:val="18"/>
              </w:rPr>
            </w:pPr>
            <w:r w:rsidRPr="00403DC6">
              <w:rPr>
                <w:rFonts w:ascii="Arial" w:hAnsi="Arial" w:cs="Arial"/>
                <w:sz w:val="18"/>
                <w:szCs w:val="18"/>
              </w:rPr>
              <w:t xml:space="preserve">Eligible women were 18 years or older with any menopausal status with histological confirmation of ER+/HER2- unresectable locally advanced not amenable to surgical resection or radiotherapy with curative intent or </w:t>
            </w:r>
            <w:proofErr w:type="spellStart"/>
            <w:r w:rsidR="009B7569" w:rsidRPr="00403DC6">
              <w:rPr>
                <w:rFonts w:ascii="Arial" w:hAnsi="Arial" w:cs="Arial"/>
                <w:sz w:val="18"/>
                <w:szCs w:val="18"/>
              </w:rPr>
              <w:t>mBC</w:t>
            </w:r>
            <w:proofErr w:type="spellEnd"/>
            <w:r w:rsidRPr="00403DC6">
              <w:rPr>
                <w:rFonts w:ascii="Arial" w:hAnsi="Arial" w:cs="Arial"/>
                <w:sz w:val="18"/>
                <w:szCs w:val="18"/>
              </w:rPr>
              <w:t xml:space="preserve">. Patients must not have received systemic therapy for advanced disease and must have had measurable disease or non-measurable disease as defined by RECIST </w:t>
            </w:r>
            <w:r w:rsidR="004E6E17" w:rsidRPr="00403DC6">
              <w:rPr>
                <w:rFonts w:ascii="Arial" w:hAnsi="Arial" w:cs="Arial"/>
                <w:sz w:val="18"/>
                <w:szCs w:val="18"/>
              </w:rPr>
              <w:t>v1.</w:t>
            </w:r>
            <w:r w:rsidRPr="00403DC6">
              <w:rPr>
                <w:rFonts w:ascii="Arial" w:hAnsi="Arial" w:cs="Arial"/>
                <w:sz w:val="18"/>
                <w:szCs w:val="18"/>
              </w:rPr>
              <w:t xml:space="preserve">1. Patients with bone-only </w:t>
            </w:r>
            <w:proofErr w:type="spellStart"/>
            <w:r w:rsidRPr="00403DC6">
              <w:rPr>
                <w:rFonts w:ascii="Arial" w:hAnsi="Arial" w:cs="Arial"/>
                <w:sz w:val="18"/>
                <w:szCs w:val="18"/>
              </w:rPr>
              <w:t>blastic</w:t>
            </w:r>
            <w:proofErr w:type="spellEnd"/>
            <w:r w:rsidRPr="00403DC6">
              <w:rPr>
                <w:rFonts w:ascii="Arial" w:hAnsi="Arial" w:cs="Arial"/>
                <w:sz w:val="18"/>
                <w:szCs w:val="18"/>
              </w:rPr>
              <w:t xml:space="preserve"> lesions were not eligible. Endocrine therapy in the neoadjuvant or adjuvant setting was permitted if the patient had a disease-free interval greater than 12 months from the completion of endocrine therapy. </w:t>
            </w:r>
            <w:r w:rsidR="004E6E17" w:rsidRPr="00403DC6">
              <w:rPr>
                <w:rFonts w:ascii="Arial" w:hAnsi="Arial" w:cs="Arial"/>
                <w:sz w:val="18"/>
                <w:szCs w:val="18"/>
              </w:rPr>
              <w:t>Eastern Cooperative Oncology Group (</w:t>
            </w:r>
            <w:r w:rsidRPr="00403DC6">
              <w:rPr>
                <w:rFonts w:ascii="Arial" w:hAnsi="Arial" w:cs="Arial"/>
                <w:sz w:val="18"/>
                <w:szCs w:val="18"/>
              </w:rPr>
              <w:t>ECOG</w:t>
            </w:r>
            <w:r w:rsidR="004E6E17" w:rsidRPr="00403DC6">
              <w:rPr>
                <w:rFonts w:ascii="Arial" w:hAnsi="Arial" w:cs="Arial"/>
                <w:sz w:val="18"/>
                <w:szCs w:val="18"/>
              </w:rPr>
              <w:t>)</w:t>
            </w:r>
            <w:r w:rsidRPr="00403DC6">
              <w:rPr>
                <w:rFonts w:ascii="Arial" w:hAnsi="Arial" w:cs="Arial"/>
                <w:sz w:val="18"/>
                <w:szCs w:val="18"/>
              </w:rPr>
              <w:t xml:space="preserve"> performance status 0 to 2 and adequate organ function were also required.</w:t>
            </w:r>
          </w:p>
          <w:p w14:paraId="283EA251" w14:textId="4FF75726" w:rsidR="004E6E17" w:rsidRPr="00403DC6" w:rsidRDefault="00C22CB7" w:rsidP="005876BC">
            <w:pPr>
              <w:pStyle w:val="BodyText10"/>
              <w:rPr>
                <w:rFonts w:ascii="Arial" w:hAnsi="Arial" w:cs="Arial"/>
                <w:sz w:val="18"/>
                <w:szCs w:val="18"/>
              </w:rPr>
            </w:pPr>
            <w:r w:rsidRPr="00403DC6">
              <w:rPr>
                <w:rFonts w:ascii="Arial" w:hAnsi="Arial" w:cs="Arial"/>
                <w:sz w:val="18"/>
                <w:szCs w:val="18"/>
              </w:rPr>
              <w:lastRenderedPageBreak/>
              <w:t>Key exclusion criteria were visceral crisis and prior treatment with a CDK4/6 inhibitor. The rest of the eligibility criteria are listed in the study protocol (which is appended to this report).</w:t>
            </w:r>
          </w:p>
          <w:p w14:paraId="77C8E2B3" w14:textId="238AF368" w:rsidR="00E06243" w:rsidRPr="00403DC6" w:rsidRDefault="00C22CB7" w:rsidP="005876BC">
            <w:pPr>
              <w:pStyle w:val="BodyText10"/>
              <w:rPr>
                <w:rFonts w:ascii="Arial" w:hAnsi="Arial" w:cs="Arial"/>
                <w:sz w:val="18"/>
                <w:szCs w:val="18"/>
              </w:rPr>
            </w:pPr>
            <w:r w:rsidRPr="00403DC6">
              <w:rPr>
                <w:rFonts w:ascii="Arial" w:hAnsi="Arial" w:cs="Arial"/>
                <w:sz w:val="18"/>
                <w:szCs w:val="18"/>
              </w:rPr>
              <w:t xml:space="preserve">After providing written informed consent, eligible patients were randomly assigned, in a 1:1 ratio to receive 125 mg of </w:t>
            </w:r>
            <w:proofErr w:type="spellStart"/>
            <w:r w:rsidRPr="00403DC6">
              <w:rPr>
                <w:rFonts w:ascii="Arial" w:hAnsi="Arial" w:cs="Arial"/>
                <w:sz w:val="18"/>
                <w:szCs w:val="18"/>
              </w:rPr>
              <w:t>palbociclib</w:t>
            </w:r>
            <w:proofErr w:type="spellEnd"/>
            <w:r w:rsidRPr="00403DC6">
              <w:rPr>
                <w:rFonts w:ascii="Arial" w:hAnsi="Arial" w:cs="Arial"/>
                <w:sz w:val="18"/>
                <w:szCs w:val="18"/>
              </w:rPr>
              <w:t xml:space="preserve"> per day, administered orally in 4-week cycles (3 weeks of treatment followed by 1 week off) in combination with </w:t>
            </w:r>
            <w:r w:rsidR="00676D6E" w:rsidRPr="00403DC6">
              <w:rPr>
                <w:rFonts w:ascii="Arial" w:hAnsi="Arial" w:cs="Arial"/>
                <w:sz w:val="18"/>
                <w:szCs w:val="18"/>
              </w:rPr>
              <w:t xml:space="preserve">either </w:t>
            </w:r>
            <w:r w:rsidRPr="00403DC6">
              <w:rPr>
                <w:rFonts w:ascii="Arial" w:hAnsi="Arial" w:cs="Arial"/>
                <w:sz w:val="18"/>
                <w:szCs w:val="18"/>
              </w:rPr>
              <w:t xml:space="preserve">500 mg of </w:t>
            </w:r>
            <w:proofErr w:type="spellStart"/>
            <w:r w:rsidRPr="00403DC6">
              <w:rPr>
                <w:rFonts w:ascii="Arial" w:hAnsi="Arial" w:cs="Arial"/>
                <w:sz w:val="18"/>
                <w:szCs w:val="18"/>
              </w:rPr>
              <w:t>fulvestrant</w:t>
            </w:r>
            <w:proofErr w:type="spellEnd"/>
            <w:r w:rsidRPr="00403DC6">
              <w:rPr>
                <w:rFonts w:ascii="Arial" w:hAnsi="Arial" w:cs="Arial"/>
                <w:sz w:val="18"/>
                <w:szCs w:val="18"/>
              </w:rPr>
              <w:t xml:space="preserve"> on days 1, 15, 29, and once monthly thereafter, administered intramuscularly</w:t>
            </w:r>
            <w:r w:rsidR="009B7569" w:rsidRPr="00403DC6">
              <w:rPr>
                <w:rFonts w:ascii="Arial" w:hAnsi="Arial" w:cs="Arial"/>
                <w:sz w:val="18"/>
                <w:szCs w:val="18"/>
              </w:rPr>
              <w:t>;</w:t>
            </w:r>
            <w:r w:rsidRPr="00403DC6">
              <w:rPr>
                <w:rFonts w:ascii="Arial" w:hAnsi="Arial" w:cs="Arial"/>
                <w:sz w:val="18"/>
                <w:szCs w:val="18"/>
              </w:rPr>
              <w:t xml:space="preserve"> or 2.5 mg of letrozole per day, administered orally (continuous treatment). In addition, pre- or peri-menopausal women </w:t>
            </w:r>
            <w:r w:rsidR="00676D6E" w:rsidRPr="00403DC6">
              <w:rPr>
                <w:rFonts w:ascii="Arial" w:hAnsi="Arial" w:cs="Arial"/>
                <w:sz w:val="18"/>
                <w:szCs w:val="18"/>
              </w:rPr>
              <w:t>under</w:t>
            </w:r>
            <w:r w:rsidR="00E06243" w:rsidRPr="00403DC6">
              <w:rPr>
                <w:rFonts w:ascii="Arial" w:hAnsi="Arial" w:cs="Arial"/>
                <w:sz w:val="18"/>
                <w:szCs w:val="18"/>
              </w:rPr>
              <w:t>went</w:t>
            </w:r>
            <w:r w:rsidR="00676D6E" w:rsidRPr="00403DC6">
              <w:rPr>
                <w:rFonts w:ascii="Arial" w:hAnsi="Arial" w:cs="Arial"/>
                <w:sz w:val="18"/>
                <w:szCs w:val="18"/>
              </w:rPr>
              <w:t xml:space="preserve"> ovarian suppression by </w:t>
            </w:r>
            <w:r w:rsidRPr="00403DC6">
              <w:rPr>
                <w:rFonts w:ascii="Arial" w:hAnsi="Arial" w:cs="Arial"/>
                <w:sz w:val="18"/>
                <w:szCs w:val="18"/>
              </w:rPr>
              <w:t>recei</w:t>
            </w:r>
            <w:r w:rsidR="00676D6E" w:rsidRPr="00403DC6">
              <w:rPr>
                <w:rFonts w:ascii="Arial" w:hAnsi="Arial" w:cs="Arial"/>
                <w:sz w:val="18"/>
                <w:szCs w:val="18"/>
              </w:rPr>
              <w:t>ving</w:t>
            </w:r>
            <w:r w:rsidRPr="00403DC6">
              <w:rPr>
                <w:rFonts w:ascii="Arial" w:hAnsi="Arial" w:cs="Arial"/>
                <w:sz w:val="18"/>
                <w:szCs w:val="18"/>
              </w:rPr>
              <w:t xml:space="preserve"> a gonadotropin-releasing hormone agonist. Treatment continued until disease progression, unacceptable toxicity, death, or patient withdrawal for any reason. Dose interruptions and reduction were allowed for </w:t>
            </w:r>
            <w:proofErr w:type="spellStart"/>
            <w:r w:rsidRPr="00403DC6">
              <w:rPr>
                <w:rFonts w:ascii="Arial" w:hAnsi="Arial" w:cs="Arial"/>
                <w:sz w:val="18"/>
                <w:szCs w:val="18"/>
              </w:rPr>
              <w:t>palbociclib</w:t>
            </w:r>
            <w:proofErr w:type="spellEnd"/>
            <w:r w:rsidRPr="00403DC6">
              <w:rPr>
                <w:rFonts w:ascii="Arial" w:hAnsi="Arial" w:cs="Arial"/>
                <w:sz w:val="18"/>
                <w:szCs w:val="18"/>
              </w:rPr>
              <w:t xml:space="preserve"> as defined by prespecified guidelines in the protocol but were not applicable for </w:t>
            </w:r>
            <w:proofErr w:type="spellStart"/>
            <w:r w:rsidRPr="00403DC6">
              <w:rPr>
                <w:rFonts w:ascii="Arial" w:hAnsi="Arial" w:cs="Arial"/>
                <w:sz w:val="18"/>
                <w:szCs w:val="18"/>
              </w:rPr>
              <w:t>fulvestrant</w:t>
            </w:r>
            <w:proofErr w:type="spellEnd"/>
            <w:r w:rsidRPr="00403DC6">
              <w:rPr>
                <w:rFonts w:ascii="Arial" w:hAnsi="Arial" w:cs="Arial"/>
                <w:sz w:val="18"/>
                <w:szCs w:val="18"/>
              </w:rPr>
              <w:t xml:space="preserve"> and letrozole per label. Patients were permitted to discontinue </w:t>
            </w:r>
            <w:proofErr w:type="spellStart"/>
            <w:r w:rsidRPr="00403DC6">
              <w:rPr>
                <w:rFonts w:ascii="Arial" w:hAnsi="Arial" w:cs="Arial"/>
                <w:sz w:val="18"/>
                <w:szCs w:val="18"/>
              </w:rPr>
              <w:t>palbociclib</w:t>
            </w:r>
            <w:proofErr w:type="spellEnd"/>
            <w:r w:rsidRPr="00403DC6">
              <w:rPr>
                <w:rFonts w:ascii="Arial" w:hAnsi="Arial" w:cs="Arial"/>
                <w:sz w:val="18"/>
                <w:szCs w:val="18"/>
              </w:rPr>
              <w:t xml:space="preserve"> and continue with endocrine therapy alone.</w:t>
            </w:r>
          </w:p>
          <w:p w14:paraId="303B0016" w14:textId="5AA7E6B3" w:rsidR="00C22CB7" w:rsidRPr="00403DC6" w:rsidRDefault="00C22CB7" w:rsidP="005876BC">
            <w:pPr>
              <w:pStyle w:val="BodyText10"/>
              <w:rPr>
                <w:rFonts w:ascii="Arial" w:hAnsi="Arial" w:cs="Arial"/>
                <w:sz w:val="18"/>
                <w:szCs w:val="18"/>
              </w:rPr>
            </w:pPr>
            <w:r w:rsidRPr="00403DC6">
              <w:rPr>
                <w:rFonts w:ascii="Arial" w:hAnsi="Arial" w:cs="Arial"/>
                <w:sz w:val="18"/>
                <w:szCs w:val="18"/>
              </w:rPr>
              <w:t>Estimated sample size was 486 patients (anticipated enrolment of 243 patients in each treatment arm). Patients were stratified by site of disease (visceral v</w:t>
            </w:r>
            <w:r w:rsidR="00D66BC9" w:rsidRPr="00403DC6">
              <w:rPr>
                <w:rFonts w:ascii="Arial" w:hAnsi="Arial" w:cs="Arial"/>
                <w:sz w:val="18"/>
                <w:szCs w:val="18"/>
              </w:rPr>
              <w:t>ersus</w:t>
            </w:r>
            <w:r w:rsidRPr="00403DC6">
              <w:rPr>
                <w:rFonts w:ascii="Arial" w:hAnsi="Arial" w:cs="Arial"/>
                <w:sz w:val="18"/>
                <w:szCs w:val="18"/>
              </w:rPr>
              <w:t xml:space="preserve"> non-visceral) and by onset of metastatic disease (</w:t>
            </w:r>
            <w:r w:rsidRPr="00403DC6">
              <w:rPr>
                <w:rFonts w:ascii="Arial" w:hAnsi="Arial" w:cs="Arial"/>
                <w:i/>
                <w:iCs/>
                <w:sz w:val="18"/>
                <w:szCs w:val="18"/>
              </w:rPr>
              <w:t>de novo</w:t>
            </w:r>
            <w:r w:rsidRPr="00403DC6">
              <w:rPr>
                <w:rFonts w:ascii="Arial" w:hAnsi="Arial" w:cs="Arial"/>
                <w:sz w:val="18"/>
                <w:szCs w:val="18"/>
              </w:rPr>
              <w:t xml:space="preserve"> versus </w:t>
            </w:r>
            <w:r w:rsidR="00E06243" w:rsidRPr="00403DC6">
              <w:rPr>
                <w:rFonts w:ascii="Arial" w:hAnsi="Arial" w:cs="Arial"/>
                <w:sz w:val="18"/>
                <w:szCs w:val="18"/>
              </w:rPr>
              <w:t>recurrent</w:t>
            </w:r>
            <w:r w:rsidRPr="00403DC6">
              <w:rPr>
                <w:rFonts w:ascii="Arial" w:hAnsi="Arial" w:cs="Arial"/>
                <w:sz w:val="18"/>
                <w:szCs w:val="18"/>
              </w:rPr>
              <w:t>).</w:t>
            </w:r>
          </w:p>
          <w:p w14:paraId="627F0D8D" w14:textId="77777777" w:rsidR="00C22CB7" w:rsidRPr="00403DC6" w:rsidRDefault="00C22CB7" w:rsidP="00A5705E">
            <w:pPr>
              <w:pStyle w:val="BodyText10"/>
              <w:spacing w:before="120" w:after="120"/>
              <w:rPr>
                <w:rFonts w:ascii="Arial" w:hAnsi="Arial" w:cs="Arial"/>
                <w:b/>
                <w:sz w:val="18"/>
                <w:szCs w:val="18"/>
              </w:rPr>
            </w:pPr>
            <w:r w:rsidRPr="00403DC6">
              <w:rPr>
                <w:rFonts w:ascii="Arial" w:hAnsi="Arial" w:cs="Arial"/>
                <w:b/>
                <w:sz w:val="18"/>
                <w:szCs w:val="18"/>
              </w:rPr>
              <w:t>Criteria for Evaluation:</w:t>
            </w:r>
          </w:p>
          <w:p w14:paraId="3F37D7F4" w14:textId="4BCE5817" w:rsidR="00C22CB7" w:rsidRPr="00403DC6" w:rsidRDefault="00C22CB7" w:rsidP="00992DFA">
            <w:pPr>
              <w:pStyle w:val="BodyText10"/>
              <w:rPr>
                <w:rFonts w:ascii="Arial" w:hAnsi="Arial" w:cs="Arial"/>
                <w:sz w:val="18"/>
                <w:szCs w:val="18"/>
              </w:rPr>
            </w:pPr>
            <w:r w:rsidRPr="00403DC6">
              <w:rPr>
                <w:rFonts w:ascii="Arial" w:hAnsi="Arial" w:cs="Arial"/>
                <w:sz w:val="18"/>
                <w:szCs w:val="18"/>
              </w:rPr>
              <w:t>Safety assessments included adverse event, vital signs</w:t>
            </w:r>
            <w:r w:rsidR="00D66BC9" w:rsidRPr="00403DC6">
              <w:rPr>
                <w:rFonts w:ascii="Arial" w:hAnsi="Arial" w:cs="Arial"/>
                <w:sz w:val="18"/>
                <w:szCs w:val="18"/>
              </w:rPr>
              <w:t>,</w:t>
            </w:r>
            <w:r w:rsidRPr="00403DC6">
              <w:rPr>
                <w:rFonts w:ascii="Arial" w:hAnsi="Arial" w:cs="Arial"/>
                <w:sz w:val="18"/>
                <w:szCs w:val="18"/>
              </w:rPr>
              <w:t xml:space="preserve"> and laboratory tests. Vital signs were assessed on day 1 of every cycle. Laboratory tests were performed on days 1 and 14 of the first two cycles and on day 1 of subsequent cycles. NCI-CTCAE version 4</w:t>
            </w:r>
            <w:r w:rsidR="00D66BC9" w:rsidRPr="00403DC6">
              <w:rPr>
                <w:rFonts w:ascii="Arial" w:hAnsi="Arial" w:cs="Arial"/>
                <w:sz w:val="18"/>
                <w:szCs w:val="18"/>
              </w:rPr>
              <w:t>.</w:t>
            </w:r>
            <w:r w:rsidRPr="00403DC6">
              <w:rPr>
                <w:rFonts w:ascii="Arial" w:hAnsi="Arial" w:cs="Arial"/>
                <w:sz w:val="18"/>
                <w:szCs w:val="18"/>
              </w:rPr>
              <w:t>0 was used to grade toxicity at each cycle</w:t>
            </w:r>
            <w:r w:rsidR="009B7569" w:rsidRPr="00403DC6">
              <w:rPr>
                <w:rFonts w:ascii="Arial" w:hAnsi="Arial" w:cs="Arial"/>
                <w:sz w:val="18"/>
                <w:szCs w:val="18"/>
              </w:rPr>
              <w:t xml:space="preserve"> </w:t>
            </w:r>
            <w:r w:rsidR="009B7569" w:rsidRPr="00403DC6">
              <w:rPr>
                <w:rFonts w:ascii="Arial" w:hAnsi="Arial" w:cs="Arial"/>
                <w:sz w:val="18"/>
                <w:szCs w:val="18"/>
              </w:rPr>
              <w:fldChar w:fldCharType="begin" w:fldLock="1"/>
            </w:r>
            <w:r w:rsidR="009B7569" w:rsidRPr="00403DC6">
              <w:rPr>
                <w:rFonts w:ascii="Arial" w:hAnsi="Arial" w:cs="Arial"/>
                <w:sz w:val="18"/>
                <w:szCs w:val="18"/>
              </w:rPr>
              <w:instrText>ADDIN CSL_CITATION {"citationItems":[{"id":"ITEM-1","itemData":{"author":[{"dropping-particle":"","family":"Cancer Institute","given":"National","non-dropping-particle":"","parse-names":false,"suffix":""}],"id":"ITEM-1","issued":{"date-parts":[["2009"]]},"title":"Common Terminology Criteria for Adverse Events (CTCAE) Version 4.0","type":"report"},"uris":["http://www.mendeley.com/documents/?uuid=1f08f697-0ac8-3cb5-adec-487a2e467d77"]}],"mendeley":{"formattedCitation":"[2]","plainTextFormattedCitation":"[2]","previouslyFormattedCitation":"[2]"},"properties":{"noteIndex":0},"schema":"https://github.com/citation-style-language/schema/raw/master/csl-citation.json"}</w:instrText>
            </w:r>
            <w:r w:rsidR="009B7569" w:rsidRPr="00403DC6">
              <w:rPr>
                <w:rFonts w:ascii="Arial" w:hAnsi="Arial" w:cs="Arial"/>
                <w:sz w:val="18"/>
                <w:szCs w:val="18"/>
              </w:rPr>
              <w:fldChar w:fldCharType="separate"/>
            </w:r>
            <w:r w:rsidR="009B7569" w:rsidRPr="00403DC6">
              <w:rPr>
                <w:rFonts w:ascii="Arial" w:hAnsi="Arial" w:cs="Arial"/>
                <w:sz w:val="18"/>
                <w:szCs w:val="18"/>
              </w:rPr>
              <w:t>[2]</w:t>
            </w:r>
            <w:r w:rsidR="009B7569" w:rsidRPr="00403DC6">
              <w:rPr>
                <w:rFonts w:ascii="Arial" w:hAnsi="Arial" w:cs="Arial"/>
                <w:sz w:val="18"/>
                <w:szCs w:val="18"/>
              </w:rPr>
              <w:fldChar w:fldCharType="end"/>
            </w:r>
            <w:r w:rsidRPr="00403DC6">
              <w:rPr>
                <w:rFonts w:ascii="Arial" w:hAnsi="Arial" w:cs="Arial"/>
                <w:sz w:val="18"/>
                <w:szCs w:val="18"/>
              </w:rPr>
              <w:t>.</w:t>
            </w:r>
          </w:p>
          <w:p w14:paraId="5C647D89" w14:textId="4B2AF932" w:rsidR="00C22CB7" w:rsidRPr="00403DC6" w:rsidRDefault="00C22CB7" w:rsidP="00992DFA">
            <w:pPr>
              <w:pStyle w:val="BodyText10"/>
              <w:rPr>
                <w:rFonts w:ascii="Arial" w:hAnsi="Arial" w:cs="Arial"/>
                <w:sz w:val="18"/>
                <w:szCs w:val="18"/>
              </w:rPr>
            </w:pPr>
            <w:r w:rsidRPr="00403DC6">
              <w:rPr>
                <w:rFonts w:ascii="Arial" w:hAnsi="Arial" w:cs="Arial"/>
                <w:sz w:val="18"/>
                <w:szCs w:val="18"/>
              </w:rPr>
              <w:t xml:space="preserve">Response to treatment was based in investigator-assessed </w:t>
            </w:r>
            <w:r w:rsidR="009B7569" w:rsidRPr="00403DC6">
              <w:rPr>
                <w:rFonts w:ascii="Arial" w:hAnsi="Arial" w:cs="Arial"/>
                <w:sz w:val="18"/>
                <w:szCs w:val="18"/>
              </w:rPr>
              <w:t>PFS</w:t>
            </w:r>
            <w:r w:rsidRPr="00403DC6">
              <w:rPr>
                <w:rFonts w:ascii="Arial" w:hAnsi="Arial" w:cs="Arial"/>
                <w:sz w:val="18"/>
                <w:szCs w:val="18"/>
              </w:rPr>
              <w:t xml:space="preserve"> according to RECIST </w:t>
            </w:r>
            <w:r w:rsidR="00D66BC9" w:rsidRPr="00403DC6">
              <w:rPr>
                <w:rFonts w:ascii="Arial" w:hAnsi="Arial" w:cs="Arial"/>
                <w:sz w:val="18"/>
                <w:szCs w:val="18"/>
              </w:rPr>
              <w:t>v</w:t>
            </w:r>
            <w:r w:rsidRPr="00403DC6">
              <w:rPr>
                <w:rFonts w:ascii="Arial" w:hAnsi="Arial" w:cs="Arial"/>
                <w:sz w:val="18"/>
                <w:szCs w:val="18"/>
              </w:rPr>
              <w:t>1.1</w:t>
            </w:r>
            <w:r w:rsidR="009B7569" w:rsidRPr="00403DC6">
              <w:rPr>
                <w:rFonts w:ascii="Arial" w:hAnsi="Arial" w:cs="Arial"/>
                <w:sz w:val="18"/>
                <w:szCs w:val="18"/>
              </w:rPr>
              <w:t xml:space="preserve"> </w:t>
            </w:r>
            <w:r w:rsidR="009B7569" w:rsidRPr="00403DC6">
              <w:rPr>
                <w:rFonts w:ascii="Arial" w:hAnsi="Arial" w:cs="Arial"/>
                <w:sz w:val="18"/>
                <w:szCs w:val="18"/>
              </w:rPr>
              <w:fldChar w:fldCharType="begin" w:fldLock="1"/>
            </w:r>
            <w:r w:rsidR="00CE13E1" w:rsidRPr="00403DC6">
              <w:rPr>
                <w:rFonts w:ascii="Arial" w:hAnsi="Arial" w:cs="Arial"/>
                <w:sz w:val="18"/>
                <w:szCs w:val="18"/>
              </w:rPr>
              <w:instrText>ADDIN CSL_CITATION {"citationItems":[{"id":"ITEM-1","itemData":{"DOI":"10.1016/j.ejca.2008.10.026","author":[{"dropping-particle":"","family":"Eisenhauer","given":"E A","non-dropping-particle":"","parse-names":false,"suffix":""},{"dropping-particle":"","family":"Therasse","given":"P","non-dropping-particle":"","parse-names":false,"suffix":""},{"dropping-particle":"","family":"Bogaerts","given":"J","non-dropping-particle":"","parse-names":false,"suffix":""},{"dropping-particle":"","family":"Schwartz","given":"L H","non-dropping-particle":"","parse-names":false,"suffix":""},{"dropping-particle":"","family":"Sargent","given":"D","non-dropping-particle":"","parse-names":false,"suffix":""},{"dropping-particle":"","family":"Ford","given":"R","non-dropping-particle":"","parse-names":false,"suffix":""},{"dropping-particle":"","family":"Dancey","given":"J","non-dropping-particle":"","parse-names":false,"suffix":""},{"dropping-particle":"","family":"Arbuck","given":"S","non-dropping-particle":"","parse-names":false,"suffix":""},{"dropping-particle":"","family":"Gwyther","given":"S","non-dropping-particle":"","parse-names":false,"suffix":""},{"dropping-particle":"","family":"Mooney","given":"M","non-dropping-particle":"","parse-names":false,"suffix":""},{"dropping-particle":"","family":"Rubinstein","given":"L","non-dropping-particle":"","parse-names":false,"suffix":""},{"dropping-particle":"","family":"Shankar","given":"L","non-dropping-particle":"","parse-names":false,"suffix":""},{"dropping-particle":"","family":"Dodd","given":"L","non-dropping-particle":"","parse-names":false,"suffix":""},{"dropping-particle":"","family":"Kaplan","given":"R","non-dropping-particle":"","parse-names":false,"suffix":""},{"dropping-particle":"","family":"Lacombe","given":"D","non-dropping-particle":"","parse-names":false,"suffix":""},{"dropping-particle":"","family":"Verweij","given":"J","non-dropping-particle":"","parse-names":false,"suffix":""},{"dropping-particle":"","family":"Biologicals","given":"Glaxosmithkline","non-dropping-particle":"","parse-names":false,"suffix":""}],"id":"ITEM-1","issued":{"date-parts":[["0"]]},"title":"New response evaluation criteria in solid tumours: Revised RECIST guideline (version 1.1)","type":"article-journal"},"uris":["http://www.mendeley.com/documents/?uuid=55e3775d-6a22-3545-9f5a-de04960dda69"]}],"mendeley":{"formattedCitation":"[1]","plainTextFormattedCitation":"[1]","previouslyFormattedCitation":"[1]"},"properties":{"noteIndex":0},"schema":"https://github.com/citation-style-language/schema/raw/master/csl-citation.json"}</w:instrText>
            </w:r>
            <w:r w:rsidR="009B7569" w:rsidRPr="00403DC6">
              <w:rPr>
                <w:rFonts w:ascii="Arial" w:hAnsi="Arial" w:cs="Arial"/>
                <w:sz w:val="18"/>
                <w:szCs w:val="18"/>
              </w:rPr>
              <w:fldChar w:fldCharType="separate"/>
            </w:r>
            <w:r w:rsidR="009B7569" w:rsidRPr="00403DC6">
              <w:rPr>
                <w:rFonts w:ascii="Arial" w:hAnsi="Arial" w:cs="Arial"/>
                <w:sz w:val="18"/>
                <w:szCs w:val="18"/>
              </w:rPr>
              <w:t>[1]</w:t>
            </w:r>
            <w:r w:rsidR="009B7569" w:rsidRPr="00403DC6">
              <w:rPr>
                <w:rFonts w:ascii="Arial" w:hAnsi="Arial" w:cs="Arial"/>
                <w:sz w:val="18"/>
                <w:szCs w:val="18"/>
              </w:rPr>
              <w:fldChar w:fldCharType="end"/>
            </w:r>
            <w:r w:rsidR="009B7569" w:rsidRPr="00403DC6">
              <w:rPr>
                <w:rFonts w:ascii="Arial" w:hAnsi="Arial" w:cs="Arial"/>
                <w:sz w:val="18"/>
                <w:szCs w:val="18"/>
              </w:rPr>
              <w:t xml:space="preserve">.  </w:t>
            </w:r>
            <w:r w:rsidR="00D66BC9" w:rsidRPr="00403DC6">
              <w:rPr>
                <w:rFonts w:ascii="Arial" w:hAnsi="Arial" w:cs="Arial"/>
                <w:sz w:val="18"/>
                <w:szCs w:val="18"/>
              </w:rPr>
              <w:t>Tumor</w:t>
            </w:r>
            <w:r w:rsidRPr="00403DC6">
              <w:rPr>
                <w:rFonts w:ascii="Arial" w:hAnsi="Arial" w:cs="Arial"/>
                <w:sz w:val="18"/>
                <w:szCs w:val="18"/>
              </w:rPr>
              <w:t xml:space="preserve"> assessments were carried out by computed tomography or magnetic resonance imaging according to RECIST </w:t>
            </w:r>
            <w:r w:rsidR="00D66BC9" w:rsidRPr="00403DC6">
              <w:rPr>
                <w:rFonts w:ascii="Arial" w:hAnsi="Arial" w:cs="Arial"/>
                <w:sz w:val="18"/>
                <w:szCs w:val="18"/>
              </w:rPr>
              <w:t>v</w:t>
            </w:r>
            <w:r w:rsidRPr="00403DC6">
              <w:rPr>
                <w:rFonts w:ascii="Arial" w:hAnsi="Arial" w:cs="Arial"/>
                <w:sz w:val="18"/>
                <w:szCs w:val="18"/>
              </w:rPr>
              <w:t>1</w:t>
            </w:r>
            <w:r w:rsidR="00D66BC9" w:rsidRPr="00403DC6">
              <w:rPr>
                <w:rFonts w:ascii="Arial" w:hAnsi="Arial" w:cs="Arial"/>
                <w:sz w:val="18"/>
                <w:szCs w:val="18"/>
              </w:rPr>
              <w:t>.</w:t>
            </w:r>
            <w:r w:rsidRPr="00403DC6">
              <w:rPr>
                <w:rFonts w:ascii="Arial" w:hAnsi="Arial" w:cs="Arial"/>
                <w:sz w:val="18"/>
                <w:szCs w:val="18"/>
              </w:rPr>
              <w:t xml:space="preserve">1 at baseline and every 12 weeks thereafter. Bone scans were performed at baseline and every 24 weeks after </w:t>
            </w:r>
            <w:r w:rsidR="00D66BC9" w:rsidRPr="00403DC6">
              <w:rPr>
                <w:rFonts w:ascii="Arial" w:hAnsi="Arial" w:cs="Arial"/>
                <w:sz w:val="18"/>
                <w:szCs w:val="18"/>
              </w:rPr>
              <w:t>randomization</w:t>
            </w:r>
            <w:r w:rsidRPr="00403DC6">
              <w:rPr>
                <w:rFonts w:ascii="Arial" w:hAnsi="Arial" w:cs="Arial"/>
                <w:sz w:val="18"/>
                <w:szCs w:val="18"/>
              </w:rPr>
              <w:t xml:space="preserve">. Each assessment </w:t>
            </w:r>
            <w:r w:rsidR="009B7569" w:rsidRPr="00403DC6">
              <w:rPr>
                <w:rFonts w:ascii="Arial" w:hAnsi="Arial" w:cs="Arial"/>
                <w:sz w:val="18"/>
                <w:szCs w:val="18"/>
              </w:rPr>
              <w:t>was</w:t>
            </w:r>
            <w:r w:rsidRPr="00403DC6">
              <w:rPr>
                <w:rFonts w:ascii="Arial" w:hAnsi="Arial" w:cs="Arial"/>
                <w:sz w:val="18"/>
                <w:szCs w:val="18"/>
              </w:rPr>
              <w:t xml:space="preserve"> performed according to the calendar regardless of any dosing delay to prevent the introduction of bias into the assessment of efficacy. </w:t>
            </w:r>
            <w:r w:rsidR="00D66BC9" w:rsidRPr="00403DC6">
              <w:rPr>
                <w:rFonts w:ascii="Arial" w:hAnsi="Arial" w:cs="Arial"/>
                <w:sz w:val="18"/>
                <w:szCs w:val="18"/>
              </w:rPr>
              <w:t>Tumor</w:t>
            </w:r>
            <w:r w:rsidRPr="00403DC6">
              <w:rPr>
                <w:rFonts w:ascii="Arial" w:hAnsi="Arial" w:cs="Arial"/>
                <w:sz w:val="18"/>
                <w:szCs w:val="18"/>
              </w:rPr>
              <w:t xml:space="preserve"> assessment continued to be performed until disease progression, initiation of a new anticancer therapy, or withdrawal from the study, whichever came first.</w:t>
            </w:r>
            <w:r w:rsidR="003448C4" w:rsidRPr="00403DC6">
              <w:rPr>
                <w:rFonts w:ascii="Arial" w:hAnsi="Arial" w:cs="Arial"/>
                <w:sz w:val="18"/>
                <w:szCs w:val="18"/>
              </w:rPr>
              <w:t xml:space="preserve"> </w:t>
            </w:r>
          </w:p>
          <w:p w14:paraId="1630DF11" w14:textId="56ADF2F3" w:rsidR="00C22CB7" w:rsidRPr="00403DC6" w:rsidRDefault="00C22CB7" w:rsidP="00992DFA">
            <w:pPr>
              <w:pStyle w:val="BodyText10"/>
              <w:rPr>
                <w:rFonts w:ascii="Arial" w:hAnsi="Arial" w:cs="Arial"/>
                <w:sz w:val="18"/>
                <w:szCs w:val="18"/>
              </w:rPr>
            </w:pPr>
            <w:r w:rsidRPr="00403DC6">
              <w:rPr>
                <w:rFonts w:ascii="Arial" w:hAnsi="Arial" w:cs="Arial"/>
                <w:sz w:val="18"/>
                <w:szCs w:val="18"/>
              </w:rPr>
              <w:t>Blood samples at four time points</w:t>
            </w:r>
            <w:r w:rsidR="009B7569" w:rsidRPr="00403DC6">
              <w:rPr>
                <w:rFonts w:ascii="Arial" w:hAnsi="Arial" w:cs="Arial"/>
                <w:sz w:val="18"/>
                <w:szCs w:val="18"/>
              </w:rPr>
              <w:t xml:space="preserve"> (</w:t>
            </w:r>
            <w:r w:rsidRPr="00403DC6">
              <w:rPr>
                <w:rFonts w:ascii="Arial" w:hAnsi="Arial" w:cs="Arial"/>
                <w:sz w:val="18"/>
                <w:szCs w:val="18"/>
              </w:rPr>
              <w:t>baseline, 2 weeks</w:t>
            </w:r>
            <w:r w:rsidR="00D66BC9" w:rsidRPr="00403DC6">
              <w:rPr>
                <w:rFonts w:ascii="Arial" w:hAnsi="Arial" w:cs="Arial"/>
                <w:sz w:val="18"/>
                <w:szCs w:val="18"/>
              </w:rPr>
              <w:t>,</w:t>
            </w:r>
            <w:r w:rsidRPr="00403DC6">
              <w:rPr>
                <w:rFonts w:ascii="Arial" w:hAnsi="Arial" w:cs="Arial"/>
                <w:sz w:val="18"/>
                <w:szCs w:val="18"/>
              </w:rPr>
              <w:t xml:space="preserve"> and 12 weeks after treatment start and at time of </w:t>
            </w:r>
            <w:r w:rsidR="00D66BC9" w:rsidRPr="00403DC6">
              <w:rPr>
                <w:rFonts w:ascii="Arial" w:hAnsi="Arial" w:cs="Arial"/>
                <w:sz w:val="18"/>
                <w:szCs w:val="18"/>
              </w:rPr>
              <w:t xml:space="preserve">disease </w:t>
            </w:r>
            <w:r w:rsidRPr="00403DC6">
              <w:rPr>
                <w:rFonts w:ascii="Arial" w:hAnsi="Arial" w:cs="Arial"/>
                <w:sz w:val="18"/>
                <w:szCs w:val="18"/>
              </w:rPr>
              <w:t>progression</w:t>
            </w:r>
            <w:r w:rsidR="009B7569" w:rsidRPr="00403DC6">
              <w:rPr>
                <w:rFonts w:ascii="Arial" w:hAnsi="Arial" w:cs="Arial"/>
                <w:sz w:val="18"/>
                <w:szCs w:val="18"/>
              </w:rPr>
              <w:t>)</w:t>
            </w:r>
            <w:r w:rsidRPr="00403DC6">
              <w:rPr>
                <w:rFonts w:ascii="Arial" w:hAnsi="Arial" w:cs="Arial"/>
                <w:sz w:val="18"/>
                <w:szCs w:val="18"/>
              </w:rPr>
              <w:t xml:space="preserve"> w</w:t>
            </w:r>
            <w:r w:rsidR="009B7569" w:rsidRPr="00403DC6">
              <w:rPr>
                <w:rFonts w:ascii="Arial" w:hAnsi="Arial" w:cs="Arial"/>
                <w:sz w:val="18"/>
                <w:szCs w:val="18"/>
              </w:rPr>
              <w:t xml:space="preserve">ere </w:t>
            </w:r>
            <w:r w:rsidRPr="00403DC6">
              <w:rPr>
                <w:rFonts w:ascii="Arial" w:hAnsi="Arial" w:cs="Arial"/>
                <w:sz w:val="18"/>
                <w:szCs w:val="18"/>
              </w:rPr>
              <w:t>collected for translational biomarker research. Additionally, patients must</w:t>
            </w:r>
            <w:r w:rsidR="009B7569" w:rsidRPr="00403DC6">
              <w:rPr>
                <w:rFonts w:ascii="Arial" w:hAnsi="Arial" w:cs="Arial"/>
                <w:sz w:val="18"/>
                <w:szCs w:val="18"/>
              </w:rPr>
              <w:t xml:space="preserve"> have given</w:t>
            </w:r>
            <w:r w:rsidRPr="00403DC6">
              <w:rPr>
                <w:rFonts w:ascii="Arial" w:hAnsi="Arial" w:cs="Arial"/>
                <w:sz w:val="18"/>
                <w:szCs w:val="18"/>
              </w:rPr>
              <w:t xml:space="preserve"> consent to provide tissue samples at baseline and at time of progression (</w:t>
            </w:r>
            <w:r w:rsidR="009041F5" w:rsidRPr="00403DC6">
              <w:rPr>
                <w:rFonts w:ascii="Arial" w:hAnsi="Arial" w:cs="Arial"/>
                <w:sz w:val="18"/>
                <w:szCs w:val="18"/>
              </w:rPr>
              <w:t xml:space="preserve">only </w:t>
            </w:r>
            <w:r w:rsidRPr="00403DC6">
              <w:rPr>
                <w:rFonts w:ascii="Arial" w:hAnsi="Arial" w:cs="Arial"/>
                <w:sz w:val="18"/>
                <w:szCs w:val="18"/>
              </w:rPr>
              <w:t xml:space="preserve">if </w:t>
            </w:r>
            <w:r w:rsidR="009041F5" w:rsidRPr="00403DC6">
              <w:rPr>
                <w:rFonts w:ascii="Arial" w:hAnsi="Arial" w:cs="Arial"/>
                <w:sz w:val="18"/>
                <w:szCs w:val="18"/>
              </w:rPr>
              <w:t>feasible</w:t>
            </w:r>
            <w:r w:rsidRPr="00403DC6">
              <w:rPr>
                <w:rFonts w:ascii="Arial" w:hAnsi="Arial" w:cs="Arial"/>
                <w:sz w:val="18"/>
                <w:szCs w:val="18"/>
              </w:rPr>
              <w:t>).</w:t>
            </w:r>
          </w:p>
          <w:p w14:paraId="6BEA5109" w14:textId="5FB6B21D" w:rsidR="00C22CB7" w:rsidRPr="00403DC6" w:rsidRDefault="00A5705E" w:rsidP="00A5705E">
            <w:pPr>
              <w:pStyle w:val="SynopsisText"/>
              <w:spacing w:before="120" w:after="120"/>
              <w:rPr>
                <w:rFonts w:ascii="Arial" w:hAnsi="Arial" w:cs="Arial"/>
                <w:b/>
                <w:szCs w:val="18"/>
              </w:rPr>
            </w:pPr>
            <w:r w:rsidRPr="00403DC6">
              <w:rPr>
                <w:rFonts w:ascii="Arial" w:hAnsi="Arial" w:cs="Arial"/>
                <w:b/>
                <w:szCs w:val="18"/>
              </w:rPr>
              <w:t xml:space="preserve">Safety results: </w:t>
            </w:r>
          </w:p>
          <w:p w14:paraId="1733B983" w14:textId="31BF6A0F" w:rsidR="0022557B" w:rsidRPr="00403DC6" w:rsidRDefault="0022557B" w:rsidP="00992DFA">
            <w:pPr>
              <w:spacing w:line="240" w:lineRule="auto"/>
              <w:rPr>
                <w:sz w:val="18"/>
                <w:szCs w:val="18"/>
                <w:lang w:eastAsia="es-ES"/>
              </w:rPr>
            </w:pPr>
            <w:r w:rsidRPr="00403DC6">
              <w:rPr>
                <w:sz w:val="18"/>
                <w:szCs w:val="18"/>
              </w:rPr>
              <w:t xml:space="preserve">Overall incidence of </w:t>
            </w:r>
            <w:r w:rsidR="009B7569" w:rsidRPr="00403DC6">
              <w:rPr>
                <w:sz w:val="18"/>
                <w:szCs w:val="18"/>
              </w:rPr>
              <w:t>Treatment Emergent Adverse Events (</w:t>
            </w:r>
            <w:r w:rsidRPr="00403DC6">
              <w:rPr>
                <w:sz w:val="18"/>
                <w:szCs w:val="18"/>
              </w:rPr>
              <w:t>TEAEs</w:t>
            </w:r>
            <w:r w:rsidR="009B7569" w:rsidRPr="00403DC6">
              <w:rPr>
                <w:sz w:val="18"/>
                <w:szCs w:val="18"/>
              </w:rPr>
              <w:t>)</w:t>
            </w:r>
            <w:r w:rsidRPr="00403DC6">
              <w:rPr>
                <w:sz w:val="18"/>
                <w:szCs w:val="18"/>
              </w:rPr>
              <w:t xml:space="preserve"> was 99.4%, which was not unexpected considering the study population and the therapeutic indication in this trial. The nature and incidence of TEAEs were similar to those reported in earlier studies</w:t>
            </w:r>
            <w:r w:rsidR="002A0FDE" w:rsidRPr="00403DC6">
              <w:rPr>
                <w:sz w:val="18"/>
                <w:szCs w:val="18"/>
              </w:rPr>
              <w:t xml:space="preserve"> [23-26]</w:t>
            </w:r>
            <w:r w:rsidRPr="00403DC6">
              <w:rPr>
                <w:sz w:val="18"/>
                <w:szCs w:val="18"/>
              </w:rPr>
              <w:t xml:space="preserve">. Neutropenia (405 of 483 patients; 83.9%) was the most frequently reported TEAE </w:t>
            </w:r>
            <w:r w:rsidR="002A0FDE" w:rsidRPr="00403DC6">
              <w:rPr>
                <w:sz w:val="18"/>
                <w:szCs w:val="18"/>
              </w:rPr>
              <w:t>(</w:t>
            </w:r>
            <w:r w:rsidR="00403DC6" w:rsidRPr="00F57DAA">
              <w:rPr>
                <w:i/>
                <w:color w:val="2F5496" w:themeColor="accent1" w:themeShade="BF"/>
                <w:sz w:val="18"/>
                <w:szCs w:val="18"/>
              </w:rPr>
              <w:fldChar w:fldCharType="begin"/>
            </w:r>
            <w:r w:rsidR="00403DC6" w:rsidRPr="00F57DAA">
              <w:rPr>
                <w:i/>
                <w:color w:val="2F5496" w:themeColor="accent1" w:themeShade="BF"/>
                <w:sz w:val="18"/>
                <w:szCs w:val="18"/>
              </w:rPr>
              <w:instrText xml:space="preserve"> REF _Ref52424928 \h  \* MERGEFORMAT </w:instrText>
            </w:r>
            <w:r w:rsidR="00403DC6" w:rsidRPr="00F57DAA">
              <w:rPr>
                <w:i/>
                <w:color w:val="2F5496" w:themeColor="accent1" w:themeShade="BF"/>
                <w:sz w:val="18"/>
                <w:szCs w:val="18"/>
              </w:rPr>
            </w:r>
            <w:r w:rsidR="00403DC6" w:rsidRPr="00F57DAA">
              <w:rPr>
                <w:i/>
                <w:color w:val="2F5496" w:themeColor="accent1" w:themeShade="BF"/>
                <w:sz w:val="18"/>
                <w:szCs w:val="18"/>
              </w:rPr>
              <w:fldChar w:fldCharType="separate"/>
            </w:r>
            <w:r w:rsidR="00403DC6" w:rsidRPr="00F57DAA">
              <w:rPr>
                <w:i/>
                <w:color w:val="2F5496" w:themeColor="accent1" w:themeShade="BF"/>
                <w:sz w:val="18"/>
                <w:szCs w:val="18"/>
              </w:rPr>
              <w:t>Table 13</w:t>
            </w:r>
            <w:r w:rsidR="00403DC6" w:rsidRPr="00F57DAA">
              <w:rPr>
                <w:i/>
                <w:color w:val="2F5496" w:themeColor="accent1" w:themeShade="BF"/>
                <w:sz w:val="18"/>
                <w:szCs w:val="18"/>
              </w:rPr>
              <w:fldChar w:fldCharType="end"/>
            </w:r>
            <w:r w:rsidR="002A0FDE" w:rsidRPr="00403DC6">
              <w:rPr>
                <w:sz w:val="18"/>
                <w:szCs w:val="18"/>
              </w:rPr>
              <w:t xml:space="preserve">) </w:t>
            </w:r>
            <w:r w:rsidRPr="00403DC6">
              <w:rPr>
                <w:sz w:val="18"/>
                <w:szCs w:val="18"/>
              </w:rPr>
              <w:t>and pulmonary embolism was the most common serious TEAE</w:t>
            </w:r>
            <w:r w:rsidR="00A9157F" w:rsidRPr="00403DC6">
              <w:rPr>
                <w:sz w:val="18"/>
                <w:szCs w:val="18"/>
              </w:rPr>
              <w:t xml:space="preserve"> (8 of the 483 patients; 1.7%</w:t>
            </w:r>
            <w:r w:rsidR="007D3FB0" w:rsidRPr="00403DC6">
              <w:rPr>
                <w:sz w:val="18"/>
                <w:szCs w:val="18"/>
              </w:rPr>
              <w:t xml:space="preserve">; </w:t>
            </w:r>
            <w:r w:rsidR="00403DC6" w:rsidRPr="00F57DAA">
              <w:rPr>
                <w:i/>
                <w:color w:val="2F5496" w:themeColor="accent1" w:themeShade="BF"/>
                <w:sz w:val="18"/>
                <w:szCs w:val="18"/>
              </w:rPr>
              <w:fldChar w:fldCharType="begin"/>
            </w:r>
            <w:r w:rsidR="00403DC6" w:rsidRPr="00F57DAA">
              <w:rPr>
                <w:i/>
                <w:color w:val="2F5496" w:themeColor="accent1" w:themeShade="BF"/>
                <w:sz w:val="18"/>
                <w:szCs w:val="18"/>
              </w:rPr>
              <w:instrText xml:space="preserve"> REF _Ref52424944 \h  \* MERGEFORMAT </w:instrText>
            </w:r>
            <w:r w:rsidR="00403DC6" w:rsidRPr="00F57DAA">
              <w:rPr>
                <w:i/>
                <w:color w:val="2F5496" w:themeColor="accent1" w:themeShade="BF"/>
                <w:sz w:val="18"/>
                <w:szCs w:val="18"/>
              </w:rPr>
            </w:r>
            <w:r w:rsidR="00403DC6" w:rsidRPr="00F57DAA">
              <w:rPr>
                <w:i/>
                <w:color w:val="2F5496" w:themeColor="accent1" w:themeShade="BF"/>
                <w:sz w:val="18"/>
                <w:szCs w:val="18"/>
              </w:rPr>
              <w:fldChar w:fldCharType="separate"/>
            </w:r>
            <w:r w:rsidR="00403DC6" w:rsidRPr="00F57DAA">
              <w:rPr>
                <w:i/>
                <w:color w:val="2F5496" w:themeColor="accent1" w:themeShade="BF"/>
                <w:sz w:val="18"/>
                <w:szCs w:val="18"/>
              </w:rPr>
              <w:t>Table 17</w:t>
            </w:r>
            <w:r w:rsidR="00403DC6" w:rsidRPr="00F57DAA">
              <w:rPr>
                <w:i/>
                <w:color w:val="2F5496" w:themeColor="accent1" w:themeShade="BF"/>
                <w:sz w:val="18"/>
                <w:szCs w:val="18"/>
              </w:rPr>
              <w:fldChar w:fldCharType="end"/>
            </w:r>
            <w:r w:rsidR="00A9157F" w:rsidRPr="00403DC6">
              <w:rPr>
                <w:sz w:val="18"/>
                <w:szCs w:val="18"/>
              </w:rPr>
              <w:t>)</w:t>
            </w:r>
            <w:r w:rsidRPr="00403DC6">
              <w:rPr>
                <w:sz w:val="18"/>
                <w:szCs w:val="18"/>
              </w:rPr>
              <w:t xml:space="preserve">. Only 5 of 483 patients (1.0%) died due to non-IMP related TEAEs (3 patients in the </w:t>
            </w:r>
            <w:proofErr w:type="spellStart"/>
            <w:r w:rsidRPr="00403DC6">
              <w:rPr>
                <w:sz w:val="18"/>
                <w:szCs w:val="18"/>
              </w:rPr>
              <w:t>palbociclib-fulvestrant</w:t>
            </w:r>
            <w:proofErr w:type="spellEnd"/>
            <w:r w:rsidRPr="00403DC6">
              <w:rPr>
                <w:sz w:val="18"/>
                <w:szCs w:val="18"/>
              </w:rPr>
              <w:t xml:space="preserve"> arm and 2 patients in the control group). </w:t>
            </w:r>
            <w:r w:rsidRPr="00403DC6">
              <w:rPr>
                <w:sz w:val="18"/>
                <w:szCs w:val="18"/>
                <w:lang w:eastAsia="es-ES"/>
              </w:rPr>
              <w:t xml:space="preserve">Overall 18 patients </w:t>
            </w:r>
            <w:r w:rsidR="009B7569" w:rsidRPr="00403DC6">
              <w:rPr>
                <w:sz w:val="18"/>
                <w:szCs w:val="18"/>
                <w:lang w:eastAsia="es-ES"/>
              </w:rPr>
              <w:t xml:space="preserve">of the 483 </w:t>
            </w:r>
            <w:r w:rsidR="00CD07FC" w:rsidRPr="00403DC6">
              <w:rPr>
                <w:sz w:val="18"/>
                <w:szCs w:val="18"/>
                <w:lang w:eastAsia="es-ES"/>
              </w:rPr>
              <w:t>(</w:t>
            </w:r>
            <w:r w:rsidRPr="00403DC6">
              <w:rPr>
                <w:sz w:val="18"/>
                <w:szCs w:val="18"/>
                <w:lang w:eastAsia="es-ES"/>
              </w:rPr>
              <w:t>3.7%) discontinued treatment due to TEAEs, with no significant differences in the frequency between study groups (5.4% versus 2.1% in the experimental and control groups respectively).</w:t>
            </w:r>
            <w:r w:rsidR="00CC1596" w:rsidRPr="00403DC6">
              <w:rPr>
                <w:sz w:val="18"/>
                <w:szCs w:val="18"/>
                <w:lang w:eastAsia="es-ES"/>
              </w:rPr>
              <w:t xml:space="preserve"> </w:t>
            </w:r>
            <w:r w:rsidR="000E08DB" w:rsidRPr="00403DC6">
              <w:rPr>
                <w:sz w:val="18"/>
                <w:szCs w:val="18"/>
                <w:lang w:eastAsia="es-ES"/>
              </w:rPr>
              <w:t>The most frequently reported TEAEs leading to study drug discontinuation were (by PT term) dyspnea, pulmonary embolism and neutropenia (2 of 483; 0.4% in all three cases</w:t>
            </w:r>
            <w:r w:rsidR="007D3FB0" w:rsidRPr="00403DC6">
              <w:rPr>
                <w:sz w:val="18"/>
                <w:szCs w:val="18"/>
                <w:lang w:eastAsia="es-ES"/>
              </w:rPr>
              <w:t xml:space="preserve">; </w:t>
            </w:r>
            <w:r w:rsidR="00403DC6" w:rsidRPr="00F57DAA">
              <w:rPr>
                <w:i/>
                <w:color w:val="2F5496" w:themeColor="accent1" w:themeShade="BF"/>
                <w:sz w:val="18"/>
                <w:szCs w:val="18"/>
              </w:rPr>
              <w:fldChar w:fldCharType="begin"/>
            </w:r>
            <w:r w:rsidR="00403DC6" w:rsidRPr="00F57DAA">
              <w:rPr>
                <w:i/>
                <w:color w:val="2F5496" w:themeColor="accent1" w:themeShade="BF"/>
                <w:sz w:val="18"/>
                <w:szCs w:val="18"/>
              </w:rPr>
              <w:instrText xml:space="preserve"> REF _Ref52424957 \h  \* MERGEFORMAT </w:instrText>
            </w:r>
            <w:r w:rsidR="00403DC6" w:rsidRPr="00F57DAA">
              <w:rPr>
                <w:i/>
                <w:color w:val="2F5496" w:themeColor="accent1" w:themeShade="BF"/>
                <w:sz w:val="18"/>
                <w:szCs w:val="18"/>
              </w:rPr>
            </w:r>
            <w:r w:rsidR="00403DC6" w:rsidRPr="00F57DAA">
              <w:rPr>
                <w:i/>
                <w:color w:val="2F5496" w:themeColor="accent1" w:themeShade="BF"/>
                <w:sz w:val="18"/>
                <w:szCs w:val="18"/>
              </w:rPr>
              <w:fldChar w:fldCharType="separate"/>
            </w:r>
            <w:r w:rsidR="00403DC6" w:rsidRPr="00F57DAA">
              <w:rPr>
                <w:i/>
                <w:color w:val="2F5496" w:themeColor="accent1" w:themeShade="BF"/>
                <w:sz w:val="18"/>
                <w:szCs w:val="18"/>
              </w:rPr>
              <w:t>Table 19</w:t>
            </w:r>
            <w:r w:rsidR="00403DC6" w:rsidRPr="00F57DAA">
              <w:rPr>
                <w:i/>
                <w:color w:val="2F5496" w:themeColor="accent1" w:themeShade="BF"/>
                <w:sz w:val="18"/>
                <w:szCs w:val="18"/>
              </w:rPr>
              <w:fldChar w:fldCharType="end"/>
            </w:r>
            <w:r w:rsidR="000E08DB" w:rsidRPr="00403DC6">
              <w:rPr>
                <w:sz w:val="18"/>
                <w:szCs w:val="18"/>
                <w:lang w:eastAsia="es-ES"/>
              </w:rPr>
              <w:t xml:space="preserve">). </w:t>
            </w:r>
            <w:r w:rsidR="00CC1596" w:rsidRPr="00403DC6">
              <w:rPr>
                <w:sz w:val="18"/>
                <w:szCs w:val="18"/>
                <w:lang w:eastAsia="es-ES"/>
              </w:rPr>
              <w:t xml:space="preserve">The number of patients with IMP-related TEAEs was also similar between study groups: </w:t>
            </w:r>
            <w:r w:rsidRPr="00403DC6">
              <w:rPr>
                <w:sz w:val="18"/>
                <w:szCs w:val="18"/>
                <w:lang w:eastAsia="es-ES"/>
              </w:rPr>
              <w:t>225 of the 241</w:t>
            </w:r>
            <w:r w:rsidR="00CC1596" w:rsidRPr="00403DC6">
              <w:rPr>
                <w:sz w:val="18"/>
                <w:szCs w:val="18"/>
                <w:lang w:eastAsia="es-ES"/>
              </w:rPr>
              <w:t xml:space="preserve"> </w:t>
            </w:r>
            <w:r w:rsidRPr="00403DC6">
              <w:rPr>
                <w:sz w:val="18"/>
                <w:szCs w:val="18"/>
                <w:lang w:eastAsia="es-ES"/>
              </w:rPr>
              <w:t xml:space="preserve">patients (93.4%) in the </w:t>
            </w:r>
            <w:proofErr w:type="spellStart"/>
            <w:r w:rsidRPr="00403DC6">
              <w:rPr>
                <w:sz w:val="18"/>
                <w:szCs w:val="18"/>
                <w:lang w:eastAsia="es-ES"/>
              </w:rPr>
              <w:t>palbociclib-fulvestrant</w:t>
            </w:r>
            <w:proofErr w:type="spellEnd"/>
            <w:r w:rsidRPr="00403DC6">
              <w:rPr>
                <w:sz w:val="18"/>
                <w:szCs w:val="18"/>
                <w:lang w:eastAsia="es-ES"/>
              </w:rPr>
              <w:t xml:space="preserve"> group and 230 of the 242 patients (95.0%) in the </w:t>
            </w:r>
            <w:proofErr w:type="spellStart"/>
            <w:r w:rsidRPr="00403DC6">
              <w:rPr>
                <w:sz w:val="18"/>
                <w:szCs w:val="18"/>
                <w:lang w:eastAsia="es-ES"/>
              </w:rPr>
              <w:t>palb</w:t>
            </w:r>
            <w:r w:rsidR="00CD07FC" w:rsidRPr="00403DC6">
              <w:rPr>
                <w:sz w:val="18"/>
                <w:szCs w:val="18"/>
                <w:lang w:eastAsia="es-ES"/>
              </w:rPr>
              <w:t>o</w:t>
            </w:r>
            <w:r w:rsidRPr="00403DC6">
              <w:rPr>
                <w:sz w:val="18"/>
                <w:szCs w:val="18"/>
                <w:lang w:eastAsia="es-ES"/>
              </w:rPr>
              <w:t>ciclib</w:t>
            </w:r>
            <w:proofErr w:type="spellEnd"/>
            <w:r w:rsidRPr="00403DC6">
              <w:rPr>
                <w:sz w:val="18"/>
                <w:szCs w:val="18"/>
                <w:lang w:eastAsia="es-ES"/>
              </w:rPr>
              <w:t xml:space="preserve">-letrozole </w:t>
            </w:r>
            <w:r w:rsidR="00CC1596" w:rsidRPr="00403DC6">
              <w:rPr>
                <w:sz w:val="18"/>
                <w:szCs w:val="18"/>
                <w:lang w:eastAsia="es-ES"/>
              </w:rPr>
              <w:t>arm</w:t>
            </w:r>
            <w:r w:rsidR="007D3FB0" w:rsidRPr="00403DC6">
              <w:rPr>
                <w:sz w:val="18"/>
                <w:szCs w:val="18"/>
                <w:lang w:eastAsia="es-ES"/>
              </w:rPr>
              <w:t xml:space="preserve"> (</w:t>
            </w:r>
            <w:r w:rsidR="00403DC6" w:rsidRPr="00F57DAA">
              <w:rPr>
                <w:i/>
                <w:color w:val="2F5496" w:themeColor="accent1" w:themeShade="BF"/>
                <w:sz w:val="18"/>
                <w:szCs w:val="18"/>
              </w:rPr>
              <w:fldChar w:fldCharType="begin"/>
            </w:r>
            <w:r w:rsidR="00403DC6" w:rsidRPr="00F57DAA">
              <w:rPr>
                <w:i/>
                <w:color w:val="2F5496" w:themeColor="accent1" w:themeShade="BF"/>
                <w:sz w:val="18"/>
                <w:szCs w:val="18"/>
              </w:rPr>
              <w:instrText xml:space="preserve"> REF _Ref52424973 \h  \* MERGEFORMAT </w:instrText>
            </w:r>
            <w:r w:rsidR="00403DC6" w:rsidRPr="00F57DAA">
              <w:rPr>
                <w:i/>
                <w:color w:val="2F5496" w:themeColor="accent1" w:themeShade="BF"/>
                <w:sz w:val="18"/>
                <w:szCs w:val="18"/>
              </w:rPr>
            </w:r>
            <w:r w:rsidR="00403DC6" w:rsidRPr="00F57DAA">
              <w:rPr>
                <w:i/>
                <w:color w:val="2F5496" w:themeColor="accent1" w:themeShade="BF"/>
                <w:sz w:val="18"/>
                <w:szCs w:val="18"/>
              </w:rPr>
              <w:fldChar w:fldCharType="separate"/>
            </w:r>
            <w:r w:rsidR="00403DC6" w:rsidRPr="00F57DAA">
              <w:rPr>
                <w:i/>
                <w:color w:val="2F5496" w:themeColor="accent1" w:themeShade="BF"/>
                <w:sz w:val="18"/>
                <w:szCs w:val="18"/>
              </w:rPr>
              <w:t>Table 14</w:t>
            </w:r>
            <w:r w:rsidR="00403DC6" w:rsidRPr="00F57DAA">
              <w:rPr>
                <w:i/>
                <w:color w:val="2F5496" w:themeColor="accent1" w:themeShade="BF"/>
                <w:sz w:val="18"/>
                <w:szCs w:val="18"/>
              </w:rPr>
              <w:fldChar w:fldCharType="end"/>
            </w:r>
            <w:r w:rsidR="007D3FB0" w:rsidRPr="00403DC6">
              <w:rPr>
                <w:sz w:val="18"/>
                <w:szCs w:val="18"/>
                <w:lang w:eastAsia="es-ES"/>
              </w:rPr>
              <w:t>)</w:t>
            </w:r>
            <w:r w:rsidRPr="00403DC6">
              <w:rPr>
                <w:sz w:val="18"/>
                <w:szCs w:val="18"/>
                <w:lang w:eastAsia="es-ES"/>
              </w:rPr>
              <w:t xml:space="preserve">.  The adverse events most commonly </w:t>
            </w:r>
            <w:r w:rsidRPr="00403DC6">
              <w:rPr>
                <w:sz w:val="18"/>
                <w:szCs w:val="18"/>
              </w:rPr>
              <w:t xml:space="preserve">(≥20%) </w:t>
            </w:r>
            <w:r w:rsidRPr="00403DC6">
              <w:rPr>
                <w:sz w:val="18"/>
                <w:szCs w:val="18"/>
                <w:lang w:eastAsia="es-ES"/>
              </w:rPr>
              <w:t>attributed to treatment with the study drugs were neutropenia (</w:t>
            </w:r>
            <w:r w:rsidRPr="00403DC6">
              <w:rPr>
                <w:color w:val="000000"/>
                <w:sz w:val="18"/>
                <w:szCs w:val="18"/>
              </w:rPr>
              <w:t>82.4%</w:t>
            </w:r>
            <w:r w:rsidRPr="00403DC6">
              <w:rPr>
                <w:sz w:val="18"/>
                <w:szCs w:val="18"/>
                <w:lang w:eastAsia="es-ES"/>
              </w:rPr>
              <w:t>), asthenia (</w:t>
            </w:r>
            <w:r w:rsidRPr="00403DC6">
              <w:rPr>
                <w:color w:val="000000"/>
                <w:sz w:val="18"/>
                <w:szCs w:val="18"/>
              </w:rPr>
              <w:t>27.1</w:t>
            </w:r>
            <w:r w:rsidRPr="00403DC6">
              <w:rPr>
                <w:sz w:val="18"/>
                <w:szCs w:val="18"/>
                <w:lang w:eastAsia="es-ES"/>
              </w:rPr>
              <w:t>%), leukopenia (</w:t>
            </w:r>
            <w:r w:rsidRPr="00403DC6">
              <w:rPr>
                <w:color w:val="000000"/>
                <w:sz w:val="18"/>
                <w:szCs w:val="18"/>
              </w:rPr>
              <w:t>21.7</w:t>
            </w:r>
            <w:r w:rsidRPr="00403DC6">
              <w:rPr>
                <w:sz w:val="18"/>
                <w:szCs w:val="18"/>
                <w:lang w:eastAsia="es-ES"/>
              </w:rPr>
              <w:t>%), fatigue (</w:t>
            </w:r>
            <w:r w:rsidRPr="00403DC6">
              <w:rPr>
                <w:color w:val="000000"/>
                <w:sz w:val="18"/>
                <w:szCs w:val="18"/>
              </w:rPr>
              <w:t>21.7</w:t>
            </w:r>
            <w:r w:rsidRPr="00403DC6">
              <w:rPr>
                <w:sz w:val="18"/>
                <w:szCs w:val="18"/>
                <w:lang w:eastAsia="es-ES"/>
              </w:rPr>
              <w:t xml:space="preserve">%) and alopecia (21.1%). </w:t>
            </w:r>
            <w:r w:rsidR="00953B7F" w:rsidRPr="00403DC6">
              <w:rPr>
                <w:sz w:val="18"/>
                <w:szCs w:val="18"/>
                <w:lang w:eastAsia="es-ES"/>
              </w:rPr>
              <w:t>In total</w:t>
            </w:r>
            <w:r w:rsidRPr="00403DC6">
              <w:rPr>
                <w:sz w:val="18"/>
                <w:szCs w:val="18"/>
                <w:lang w:eastAsia="es-ES"/>
              </w:rPr>
              <w:t xml:space="preserve">, 324 of the 483 patients (67.1%) experienced a Grade 3, 4, or 5 adverse </w:t>
            </w:r>
            <w:r w:rsidR="00884BF4" w:rsidRPr="00403DC6">
              <w:rPr>
                <w:sz w:val="18"/>
                <w:szCs w:val="18"/>
                <w:lang w:eastAsia="es-ES"/>
              </w:rPr>
              <w:t>events</w:t>
            </w:r>
            <w:r w:rsidRPr="00403DC6">
              <w:rPr>
                <w:sz w:val="18"/>
                <w:szCs w:val="18"/>
                <w:lang w:eastAsia="es-ES"/>
              </w:rPr>
              <w:t>, with comparable frequencies between interventional and control groups (66.0% versus 68.2% respectively</w:t>
            </w:r>
            <w:r w:rsidR="007D3FB0" w:rsidRPr="00403DC6">
              <w:rPr>
                <w:sz w:val="18"/>
                <w:szCs w:val="18"/>
                <w:lang w:eastAsia="es-ES"/>
              </w:rPr>
              <w:t xml:space="preserve">; </w:t>
            </w:r>
            <w:r w:rsidR="00403DC6" w:rsidRPr="00F57DAA">
              <w:rPr>
                <w:i/>
                <w:color w:val="2F5496" w:themeColor="accent1" w:themeShade="BF"/>
                <w:sz w:val="18"/>
                <w:szCs w:val="18"/>
              </w:rPr>
              <w:fldChar w:fldCharType="begin"/>
            </w:r>
            <w:r w:rsidR="00403DC6" w:rsidRPr="00F57DAA">
              <w:rPr>
                <w:i/>
                <w:color w:val="2F5496" w:themeColor="accent1" w:themeShade="BF"/>
                <w:sz w:val="18"/>
                <w:szCs w:val="18"/>
              </w:rPr>
              <w:instrText xml:space="preserve"> REF _Ref52424981 \h  \* MERGEFORMAT </w:instrText>
            </w:r>
            <w:r w:rsidR="00403DC6" w:rsidRPr="00F57DAA">
              <w:rPr>
                <w:i/>
                <w:color w:val="2F5496" w:themeColor="accent1" w:themeShade="BF"/>
                <w:sz w:val="18"/>
                <w:szCs w:val="18"/>
              </w:rPr>
            </w:r>
            <w:r w:rsidR="00403DC6" w:rsidRPr="00F57DAA">
              <w:rPr>
                <w:i/>
                <w:color w:val="2F5496" w:themeColor="accent1" w:themeShade="BF"/>
                <w:sz w:val="18"/>
                <w:szCs w:val="18"/>
              </w:rPr>
              <w:fldChar w:fldCharType="separate"/>
            </w:r>
            <w:r w:rsidR="00403DC6" w:rsidRPr="00F57DAA">
              <w:rPr>
                <w:i/>
                <w:color w:val="2F5496" w:themeColor="accent1" w:themeShade="BF"/>
                <w:sz w:val="18"/>
                <w:szCs w:val="18"/>
              </w:rPr>
              <w:t>Table 15</w:t>
            </w:r>
            <w:r w:rsidR="00403DC6" w:rsidRPr="00F57DAA">
              <w:rPr>
                <w:i/>
                <w:color w:val="2F5496" w:themeColor="accent1" w:themeShade="BF"/>
                <w:sz w:val="18"/>
                <w:szCs w:val="18"/>
              </w:rPr>
              <w:fldChar w:fldCharType="end"/>
            </w:r>
            <w:r w:rsidRPr="00403DC6">
              <w:rPr>
                <w:sz w:val="18"/>
                <w:szCs w:val="18"/>
                <w:lang w:eastAsia="es-ES"/>
              </w:rPr>
              <w:t xml:space="preserve">). Frequent (≥ 1%) grade </w:t>
            </w:r>
            <w:r w:rsidRPr="00403DC6">
              <w:rPr>
                <w:rFonts w:eastAsia="ArialMT"/>
                <w:sz w:val="18"/>
                <w:szCs w:val="18"/>
                <w:lang w:eastAsia="es-ES"/>
              </w:rPr>
              <w:t>≥</w:t>
            </w:r>
            <w:r w:rsidRPr="00403DC6">
              <w:rPr>
                <w:sz w:val="18"/>
                <w:szCs w:val="18"/>
                <w:lang w:eastAsia="es-ES"/>
              </w:rPr>
              <w:t>3</w:t>
            </w:r>
            <w:r w:rsidR="00953B7F" w:rsidRPr="00403DC6">
              <w:rPr>
                <w:sz w:val="18"/>
                <w:szCs w:val="18"/>
                <w:lang w:eastAsia="es-ES"/>
              </w:rPr>
              <w:t xml:space="preserve"> </w:t>
            </w:r>
            <w:r w:rsidR="00CC1596" w:rsidRPr="00403DC6">
              <w:rPr>
                <w:sz w:val="18"/>
                <w:szCs w:val="18"/>
                <w:lang w:eastAsia="es-ES"/>
              </w:rPr>
              <w:t>toxicities</w:t>
            </w:r>
            <w:r w:rsidRPr="00403DC6">
              <w:rPr>
                <w:sz w:val="18"/>
                <w:szCs w:val="18"/>
                <w:lang w:eastAsia="es-ES"/>
              </w:rPr>
              <w:t xml:space="preserve"> that were attributed to the study treatments </w:t>
            </w:r>
            <w:r w:rsidRPr="00403DC6">
              <w:rPr>
                <w:sz w:val="18"/>
                <w:szCs w:val="18"/>
                <w:lang w:eastAsia="es-ES"/>
              </w:rPr>
              <w:lastRenderedPageBreak/>
              <w:t xml:space="preserve">included, but were not limited to, neutropenia (66.3%), leukopenia (6.4%), </w:t>
            </w:r>
            <w:r w:rsidR="00884BF4" w:rsidRPr="00403DC6">
              <w:rPr>
                <w:sz w:val="18"/>
                <w:szCs w:val="18"/>
                <w:lang w:eastAsia="es-ES"/>
              </w:rPr>
              <w:t>alanine transaminase (</w:t>
            </w:r>
            <w:r w:rsidRPr="00403DC6">
              <w:rPr>
                <w:sz w:val="18"/>
                <w:szCs w:val="18"/>
                <w:lang w:eastAsia="es-ES"/>
              </w:rPr>
              <w:t>ALT</w:t>
            </w:r>
            <w:r w:rsidR="00884BF4" w:rsidRPr="00403DC6">
              <w:rPr>
                <w:sz w:val="18"/>
                <w:szCs w:val="18"/>
                <w:lang w:eastAsia="es-ES"/>
              </w:rPr>
              <w:t>)</w:t>
            </w:r>
            <w:r w:rsidRPr="00403DC6">
              <w:rPr>
                <w:sz w:val="18"/>
                <w:szCs w:val="18"/>
                <w:lang w:eastAsia="es-ES"/>
              </w:rPr>
              <w:t>-increased (2.3%), lymphopenia (1.9%),</w:t>
            </w:r>
            <w:r w:rsidR="00CC1596" w:rsidRPr="00403DC6">
              <w:rPr>
                <w:sz w:val="18"/>
                <w:szCs w:val="18"/>
                <w:lang w:eastAsia="es-ES"/>
              </w:rPr>
              <w:t xml:space="preserve"> anemia (1.7%), asthenia (1.7%)</w:t>
            </w:r>
            <w:r w:rsidR="00884BF4" w:rsidRPr="00403DC6">
              <w:rPr>
                <w:sz w:val="18"/>
                <w:szCs w:val="18"/>
                <w:lang w:eastAsia="es-ES"/>
              </w:rPr>
              <w:t>,</w:t>
            </w:r>
            <w:r w:rsidR="00CC1596" w:rsidRPr="00403DC6">
              <w:rPr>
                <w:sz w:val="18"/>
                <w:szCs w:val="18"/>
                <w:lang w:eastAsia="es-ES"/>
              </w:rPr>
              <w:t xml:space="preserve"> and</w:t>
            </w:r>
            <w:r w:rsidRPr="00403DC6">
              <w:rPr>
                <w:sz w:val="18"/>
                <w:szCs w:val="18"/>
                <w:lang w:eastAsia="es-ES"/>
              </w:rPr>
              <w:t xml:space="preserve"> </w:t>
            </w:r>
            <w:r w:rsidR="00884BF4" w:rsidRPr="00403DC6">
              <w:rPr>
                <w:sz w:val="18"/>
                <w:szCs w:val="18"/>
                <w:lang w:eastAsia="es-ES"/>
              </w:rPr>
              <w:t>aspartate aminotransferase (</w:t>
            </w:r>
            <w:r w:rsidRPr="00403DC6">
              <w:rPr>
                <w:sz w:val="18"/>
                <w:szCs w:val="18"/>
                <w:lang w:eastAsia="es-ES"/>
              </w:rPr>
              <w:t>AST</w:t>
            </w:r>
            <w:r w:rsidR="00884BF4" w:rsidRPr="00403DC6">
              <w:rPr>
                <w:sz w:val="18"/>
                <w:szCs w:val="18"/>
                <w:lang w:eastAsia="es-ES"/>
              </w:rPr>
              <w:t>)</w:t>
            </w:r>
            <w:r w:rsidRPr="00403DC6">
              <w:rPr>
                <w:sz w:val="18"/>
                <w:szCs w:val="18"/>
                <w:lang w:eastAsia="es-ES"/>
              </w:rPr>
              <w:t>-increased (1.7%)</w:t>
            </w:r>
            <w:r w:rsidR="007D3FB0" w:rsidRPr="00403DC6">
              <w:rPr>
                <w:sz w:val="18"/>
                <w:szCs w:val="18"/>
                <w:lang w:eastAsia="es-ES"/>
              </w:rPr>
              <w:t xml:space="preserve"> (</w:t>
            </w:r>
            <w:r w:rsidR="00403DC6" w:rsidRPr="00F57DAA">
              <w:rPr>
                <w:i/>
                <w:color w:val="2F5496" w:themeColor="accent1" w:themeShade="BF"/>
                <w:sz w:val="18"/>
                <w:szCs w:val="18"/>
              </w:rPr>
              <w:fldChar w:fldCharType="begin"/>
            </w:r>
            <w:r w:rsidR="00403DC6" w:rsidRPr="00F57DAA">
              <w:rPr>
                <w:i/>
                <w:color w:val="2F5496" w:themeColor="accent1" w:themeShade="BF"/>
                <w:sz w:val="18"/>
                <w:szCs w:val="18"/>
              </w:rPr>
              <w:instrText xml:space="preserve"> REF _Ref52424987 \h  \* MERGEFORMAT </w:instrText>
            </w:r>
            <w:r w:rsidR="00403DC6" w:rsidRPr="00F57DAA">
              <w:rPr>
                <w:i/>
                <w:color w:val="2F5496" w:themeColor="accent1" w:themeShade="BF"/>
                <w:sz w:val="18"/>
                <w:szCs w:val="18"/>
              </w:rPr>
            </w:r>
            <w:r w:rsidR="00403DC6" w:rsidRPr="00F57DAA">
              <w:rPr>
                <w:i/>
                <w:color w:val="2F5496" w:themeColor="accent1" w:themeShade="BF"/>
                <w:sz w:val="18"/>
                <w:szCs w:val="18"/>
              </w:rPr>
              <w:fldChar w:fldCharType="separate"/>
            </w:r>
            <w:r w:rsidR="00403DC6" w:rsidRPr="00F57DAA">
              <w:rPr>
                <w:i/>
                <w:color w:val="2F5496" w:themeColor="accent1" w:themeShade="BF"/>
                <w:sz w:val="18"/>
                <w:szCs w:val="18"/>
              </w:rPr>
              <w:t>Table 16</w:t>
            </w:r>
            <w:r w:rsidR="00403DC6" w:rsidRPr="00F57DAA">
              <w:rPr>
                <w:i/>
                <w:color w:val="2F5496" w:themeColor="accent1" w:themeShade="BF"/>
                <w:sz w:val="18"/>
                <w:szCs w:val="18"/>
              </w:rPr>
              <w:fldChar w:fldCharType="end"/>
            </w:r>
            <w:r w:rsidR="007D3FB0" w:rsidRPr="00403DC6">
              <w:rPr>
                <w:sz w:val="18"/>
                <w:szCs w:val="18"/>
                <w:lang w:eastAsia="es-ES"/>
              </w:rPr>
              <w:t>)</w:t>
            </w:r>
            <w:r w:rsidRPr="00403DC6">
              <w:rPr>
                <w:sz w:val="18"/>
                <w:szCs w:val="18"/>
                <w:lang w:eastAsia="es-ES"/>
              </w:rPr>
              <w:t xml:space="preserve">. </w:t>
            </w:r>
          </w:p>
          <w:p w14:paraId="36609827" w14:textId="7A41E52B" w:rsidR="0022557B" w:rsidRPr="00403DC6" w:rsidRDefault="0022557B" w:rsidP="00992DFA">
            <w:pPr>
              <w:spacing w:line="240" w:lineRule="auto"/>
              <w:rPr>
                <w:sz w:val="18"/>
                <w:szCs w:val="18"/>
              </w:rPr>
            </w:pPr>
            <w:r w:rsidRPr="00403DC6">
              <w:rPr>
                <w:sz w:val="18"/>
                <w:szCs w:val="18"/>
              </w:rPr>
              <w:t>Overall</w:t>
            </w:r>
            <w:r w:rsidR="00884BF4" w:rsidRPr="00403DC6">
              <w:rPr>
                <w:sz w:val="18"/>
                <w:szCs w:val="18"/>
              </w:rPr>
              <w:t>,</w:t>
            </w:r>
            <w:r w:rsidRPr="00403DC6">
              <w:rPr>
                <w:sz w:val="18"/>
                <w:szCs w:val="18"/>
              </w:rPr>
              <w:t xml:space="preserve"> neutropenia was the most frequently reported event, with comparable rates in both treatment arms (82.2% and 85.5% in the experimental and control arms respectively). In the majority of patients, the neutropenia was severe </w:t>
            </w:r>
            <w:r w:rsidR="00884BF4" w:rsidRPr="00403DC6">
              <w:rPr>
                <w:sz w:val="18"/>
                <w:szCs w:val="18"/>
              </w:rPr>
              <w:t xml:space="preserve">(grade </w:t>
            </w:r>
            <w:r w:rsidRPr="00403DC6">
              <w:rPr>
                <w:sz w:val="18"/>
                <w:szCs w:val="18"/>
              </w:rPr>
              <w:t>≥3) and IMP-related (66.3%; 320 of the 483)</w:t>
            </w:r>
            <w:r w:rsidR="00CC1596" w:rsidRPr="00403DC6">
              <w:rPr>
                <w:sz w:val="18"/>
                <w:szCs w:val="18"/>
              </w:rPr>
              <w:t>;</w:t>
            </w:r>
            <w:r w:rsidRPr="00403DC6">
              <w:rPr>
                <w:sz w:val="18"/>
                <w:szCs w:val="18"/>
              </w:rPr>
              <w:t xml:space="preserve"> however, overall only 3 patients of the 483</w:t>
            </w:r>
            <w:r w:rsidR="00F34848" w:rsidRPr="00403DC6">
              <w:rPr>
                <w:sz w:val="18"/>
                <w:szCs w:val="18"/>
              </w:rPr>
              <w:t xml:space="preserve"> (</w:t>
            </w:r>
            <w:r w:rsidRPr="00403DC6">
              <w:rPr>
                <w:sz w:val="18"/>
                <w:szCs w:val="18"/>
              </w:rPr>
              <w:t>0.6%) reported serious neutropenia events, all of which were related to the study drugs, but did not result in death. This suggest</w:t>
            </w:r>
            <w:r w:rsidR="00F34848" w:rsidRPr="00403DC6">
              <w:rPr>
                <w:sz w:val="18"/>
                <w:szCs w:val="18"/>
              </w:rPr>
              <w:t>s</w:t>
            </w:r>
            <w:r w:rsidRPr="00403DC6">
              <w:rPr>
                <w:sz w:val="18"/>
                <w:szCs w:val="18"/>
              </w:rPr>
              <w:t xml:space="preserve"> that, although very frequent,</w:t>
            </w:r>
            <w:r w:rsidR="00CC1596" w:rsidRPr="00403DC6">
              <w:rPr>
                <w:sz w:val="18"/>
                <w:szCs w:val="18"/>
              </w:rPr>
              <w:t xml:space="preserve"> this adverse event</w:t>
            </w:r>
            <w:r w:rsidRPr="00403DC6">
              <w:rPr>
                <w:sz w:val="18"/>
                <w:szCs w:val="18"/>
              </w:rPr>
              <w:t xml:space="preserve"> was sufficiently controlled to allow continued treatment in most patients.</w:t>
            </w:r>
          </w:p>
          <w:p w14:paraId="32B9E789" w14:textId="19D7FBC9" w:rsidR="00C22CB7" w:rsidRPr="00403DC6" w:rsidRDefault="00992DFA" w:rsidP="00992DFA">
            <w:pPr>
              <w:spacing w:line="240" w:lineRule="auto"/>
              <w:rPr>
                <w:sz w:val="18"/>
                <w:szCs w:val="18"/>
              </w:rPr>
            </w:pPr>
            <w:r w:rsidRPr="00403DC6">
              <w:rPr>
                <w:sz w:val="18"/>
                <w:szCs w:val="18"/>
              </w:rPr>
              <w:t xml:space="preserve">Although rare, pulmonary embolism is a previously described side effect of </w:t>
            </w:r>
            <w:proofErr w:type="spellStart"/>
            <w:r w:rsidRPr="00403DC6">
              <w:rPr>
                <w:sz w:val="18"/>
                <w:szCs w:val="18"/>
              </w:rPr>
              <w:t>palbociclib</w:t>
            </w:r>
            <w:proofErr w:type="spellEnd"/>
            <w:r w:rsidR="00F34848" w:rsidRPr="00403DC6">
              <w:rPr>
                <w:sz w:val="18"/>
                <w:szCs w:val="18"/>
              </w:rPr>
              <w:t>-</w:t>
            </w:r>
            <w:r w:rsidRPr="00403DC6">
              <w:rPr>
                <w:sz w:val="18"/>
                <w:szCs w:val="18"/>
              </w:rPr>
              <w:t xml:space="preserve">based regimens </w:t>
            </w:r>
            <w:r w:rsidRPr="00403DC6">
              <w:rPr>
                <w:sz w:val="18"/>
                <w:szCs w:val="18"/>
              </w:rPr>
              <w:fldChar w:fldCharType="begin" w:fldLock="1"/>
            </w:r>
            <w:r w:rsidRPr="00403DC6">
              <w:rPr>
                <w:sz w:val="18"/>
                <w:szCs w:val="18"/>
              </w:rPr>
              <w:instrText>ADDIN CSL_CITATION {"citationItems":[{"id":"ITEM-1","itemData":{"DOI":"10.1093/jnci/djy109","ISSN":"14602105","PMID":"30032196","abstract":"Background: Palbociclib administered with endocrine therapy was tolerable when the overall incidence of toxicities was assessed separately for three PALOMA studies. This study analyzed pooled, longer-term PALOMA safety data longitudinally. Methods: Data were pooled from three randomized phase II and III studies (ClinicalTrials.gov: NCT00721409, NCT01740427, NCT01942135) of hormone receptor-positive/human epidermal growth factor receptor 2-negative advanced breast cancer patients. Front-line patients were randomly assigned to receive letrozole with/without palbociclib (PALOMA-1) or letrozole plus palbociclib/placebo (PALOMA-2). In PALOMA-3, patients with prior endocrine resistance received fulvestrant plus palbociclib/placebo. The cumulative event rates of adverse events (AEs), reporting up to 50 months of treatment, were assessed over time. Results: Patients who received endocrine therapy (n ¼ 1343) were included in this pooled analysis (872 were also treated with palbociclib, and 471 were not). The most common AEs with palbociclib plus endocrine therapy were neutropenia and infections (any grade, 80.6% and 54.7%, respectively), which were higher than in the endocrine monotherapy arm (any grade, 5.3% and 36.9%). The most common hematologic AEs (15.0% in the palbociclib arm) were more likely to be reported in the initial months of the study, after which time the cumulative event rate did not substantially increase. With palbociclib plus endocrine therapy, any grade AEs leading to permanent discontinuation over three years occurred in only 8.3% of patients. Conclusions: Based on these long-term safety analyses, there is no evidence of specific cumulative or delayed toxicities with palbociclib plus endocrine therapy, supporting the ongoing investigation of palbociclib plus endocrine therapy in early breast cancer (NCT02513394).","author":[{"dropping-particle":"","family":"Diéras","given":"Véronique","non-dropping-particle":"","parse-names":false,"suffix":""},{"dropping-particle":"","family":"Rugo","given":"Hope S.","non-dropping-particle":"","parse-names":false,"suffix":""},{"dropping-particle":"","family":"Schnell","given":"Patrick","non-dropping-particle":"","parse-names":false,"suffix":""},{"dropping-particle":"","family":"Gelmon","given":"Karen","non-dropping-particle":"","parse-names":false,"suffix":""},{"dropping-particle":"","family":"Cristofanilli","given":"Massimo","non-dropping-particle":"","parse-names":false,"suffix":""},{"dropping-particle":"","family":"Loi","given":"Sherene","non-dropping-particle":"","parse-names":false,"suffix":""},{"dropping-particle":"","family":"Colleoni","given":"Marco","non-dropping-particle":"","parse-names":false,"suffix":""},{"dropping-particle":"","family":"Lu","given":"Dongrui R.","non-dropping-particle":"","parse-names":false,"suffix":""},{"dropping-particle":"","family":"Mori","given":"Ave","non-dropping-particle":"","parse-names":false,"suffix":""},{"dropping-particle":"","family":"Gauthier","given":"Eric","non-dropping-particle":"","parse-names":false,"suffix":""},{"dropping-particle":"","family":"Bartlett","given":"Cynthia Huang","non-dropping-particle":"","parse-names":false,"suffix":""},{"dropping-particle":"","family":"Slamon","given":"Dennis J.","non-dropping-particle":"","parse-names":false,"suffix":""},{"dropping-particle":"","family":"Turner","given":"Nicholas C.","non-dropping-particle":"","parse-names":false,"suffix":""},{"dropping-particle":"","family":"Finn","given":"Richard S.","non-dropping-particle":"","parse-names":false,"suffix":""}],"container-title":"Journal of the National Cancer Institute","id":"ITEM-1","issue":"4","issued":{"date-parts":[["2019"]]},"publisher":"Oxford University Press","title":"Long-term pooled safety analysis of palbociclib in combination with endocrine therapy for HR1/HER2- Advanced breast cancer","type":"article-journal","volume":"111"},"uris":["http://www.mendeley.com/documents/?uuid=f41855b1-671c-39f9-8921-4a77b6fcba67"]}],"mendeley":{"formattedCitation":"[3]","plainTextFormattedCitation":"[3]","previouslyFormattedCitation":"[3]"},"properties":{"noteIndex":0},"schema":"https://github.com/citation-style-language/schema/raw/master/csl-citation.json"}</w:instrText>
            </w:r>
            <w:r w:rsidRPr="00403DC6">
              <w:rPr>
                <w:sz w:val="18"/>
                <w:szCs w:val="18"/>
              </w:rPr>
              <w:fldChar w:fldCharType="separate"/>
            </w:r>
            <w:r w:rsidRPr="00403DC6">
              <w:rPr>
                <w:sz w:val="18"/>
                <w:szCs w:val="18"/>
              </w:rPr>
              <w:t>[3]</w:t>
            </w:r>
            <w:r w:rsidRPr="00403DC6">
              <w:rPr>
                <w:sz w:val="18"/>
                <w:szCs w:val="18"/>
              </w:rPr>
              <w:fldChar w:fldCharType="end"/>
            </w:r>
            <w:r w:rsidRPr="00403DC6">
              <w:rPr>
                <w:sz w:val="18"/>
                <w:szCs w:val="18"/>
              </w:rPr>
              <w:t>.</w:t>
            </w:r>
            <w:r w:rsidR="00A531F3" w:rsidRPr="00403DC6">
              <w:rPr>
                <w:sz w:val="18"/>
                <w:szCs w:val="18"/>
              </w:rPr>
              <w:t xml:space="preserve">The frequency of pulmonary embolism was higher in the </w:t>
            </w:r>
            <w:proofErr w:type="spellStart"/>
            <w:r w:rsidR="00A531F3" w:rsidRPr="00403DC6">
              <w:rPr>
                <w:sz w:val="18"/>
                <w:szCs w:val="18"/>
              </w:rPr>
              <w:t>palbociclib-fulvestrant</w:t>
            </w:r>
            <w:proofErr w:type="spellEnd"/>
            <w:r w:rsidR="00A531F3" w:rsidRPr="00403DC6">
              <w:rPr>
                <w:sz w:val="18"/>
                <w:szCs w:val="18"/>
              </w:rPr>
              <w:t xml:space="preserve"> </w:t>
            </w:r>
            <w:r w:rsidR="00F34848" w:rsidRPr="00403DC6">
              <w:rPr>
                <w:sz w:val="18"/>
                <w:szCs w:val="18"/>
              </w:rPr>
              <w:t xml:space="preserve">arm </w:t>
            </w:r>
            <w:r w:rsidR="00A531F3" w:rsidRPr="00403DC6">
              <w:rPr>
                <w:sz w:val="18"/>
                <w:szCs w:val="18"/>
              </w:rPr>
              <w:t>(5.</w:t>
            </w:r>
            <w:r w:rsidR="00C778F9" w:rsidRPr="00403DC6">
              <w:rPr>
                <w:sz w:val="18"/>
                <w:szCs w:val="18"/>
              </w:rPr>
              <w:t>0</w:t>
            </w:r>
            <w:r w:rsidR="00A531F3" w:rsidRPr="00403DC6">
              <w:rPr>
                <w:sz w:val="18"/>
                <w:szCs w:val="18"/>
              </w:rPr>
              <w:t>%; 1</w:t>
            </w:r>
            <w:r w:rsidR="00C778F9" w:rsidRPr="00403DC6">
              <w:rPr>
                <w:sz w:val="18"/>
                <w:szCs w:val="18"/>
              </w:rPr>
              <w:t>2</w:t>
            </w:r>
            <w:r w:rsidR="00A531F3" w:rsidRPr="00403DC6">
              <w:rPr>
                <w:sz w:val="18"/>
                <w:szCs w:val="18"/>
              </w:rPr>
              <w:t xml:space="preserve"> of the 241 patients) compared with the control arm (2.5%; 6 of the 242 patients), however only 2 of these events (0.8%), were considered related with the IMP</w:t>
            </w:r>
            <w:r w:rsidRPr="00403DC6">
              <w:rPr>
                <w:sz w:val="18"/>
                <w:szCs w:val="18"/>
              </w:rPr>
              <w:t xml:space="preserve"> (</w:t>
            </w:r>
            <w:proofErr w:type="spellStart"/>
            <w:r w:rsidR="00A531F3" w:rsidRPr="00403DC6">
              <w:rPr>
                <w:sz w:val="18"/>
                <w:szCs w:val="18"/>
              </w:rPr>
              <w:t>palbociclib-fulvestrant</w:t>
            </w:r>
            <w:proofErr w:type="spellEnd"/>
            <w:r w:rsidRPr="00403DC6">
              <w:rPr>
                <w:sz w:val="18"/>
                <w:szCs w:val="18"/>
              </w:rPr>
              <w:t xml:space="preserve"> in both cases)</w:t>
            </w:r>
            <w:r w:rsidR="00A531F3" w:rsidRPr="00403DC6">
              <w:rPr>
                <w:sz w:val="18"/>
                <w:szCs w:val="18"/>
              </w:rPr>
              <w:t xml:space="preserve">. </w:t>
            </w:r>
          </w:p>
          <w:p w14:paraId="4F978DCF" w14:textId="67A41641" w:rsidR="00C22CB7" w:rsidRPr="00403DC6" w:rsidRDefault="00A5705E" w:rsidP="00A5705E">
            <w:pPr>
              <w:pStyle w:val="SynopsisText"/>
              <w:keepNext/>
              <w:keepLines/>
              <w:spacing w:before="120" w:after="120"/>
              <w:rPr>
                <w:rFonts w:ascii="Arial" w:hAnsi="Arial" w:cs="Arial"/>
                <w:b/>
                <w:szCs w:val="18"/>
              </w:rPr>
            </w:pPr>
            <w:r w:rsidRPr="00403DC6">
              <w:rPr>
                <w:rFonts w:ascii="Arial" w:hAnsi="Arial" w:cs="Arial"/>
                <w:b/>
                <w:szCs w:val="18"/>
              </w:rPr>
              <w:t>Efficacy results:</w:t>
            </w:r>
          </w:p>
          <w:p w14:paraId="0EA9F7CE" w14:textId="77777777" w:rsidR="002A0FDE" w:rsidRPr="00403DC6" w:rsidRDefault="00C22CB7" w:rsidP="002A0FDE">
            <w:pPr>
              <w:spacing w:line="240" w:lineRule="auto"/>
              <w:rPr>
                <w:sz w:val="18"/>
                <w:szCs w:val="18"/>
              </w:rPr>
            </w:pPr>
            <w:r w:rsidRPr="00403DC6">
              <w:rPr>
                <w:sz w:val="18"/>
                <w:szCs w:val="18"/>
              </w:rPr>
              <w:t xml:space="preserve">All efficacy analyses were based on the </w:t>
            </w:r>
            <w:r w:rsidR="00992DFA" w:rsidRPr="00403DC6">
              <w:rPr>
                <w:sz w:val="18"/>
                <w:szCs w:val="18"/>
              </w:rPr>
              <w:t>Intent-to-Treat (ITT)</w:t>
            </w:r>
            <w:r w:rsidRPr="00403DC6">
              <w:rPr>
                <w:sz w:val="18"/>
                <w:szCs w:val="18"/>
              </w:rPr>
              <w:t xml:space="preserve"> population (486 patients in total, 243 in each treatment arm). Efficacy analyses were </w:t>
            </w:r>
            <w:r w:rsidR="00992DFA" w:rsidRPr="00403DC6">
              <w:rPr>
                <w:sz w:val="18"/>
                <w:szCs w:val="18"/>
              </w:rPr>
              <w:t>also</w:t>
            </w:r>
            <w:r w:rsidRPr="00403DC6">
              <w:rPr>
                <w:sz w:val="18"/>
                <w:szCs w:val="18"/>
              </w:rPr>
              <w:t xml:space="preserve"> conducted in the PP set, as a sensitivity test to assess general consistency of the findings (462 patients in total, 229 in the </w:t>
            </w:r>
            <w:proofErr w:type="spellStart"/>
            <w:r w:rsidRPr="00403DC6">
              <w:rPr>
                <w:sz w:val="18"/>
                <w:szCs w:val="18"/>
              </w:rPr>
              <w:t>palbociclib-fulvestrant</w:t>
            </w:r>
            <w:proofErr w:type="spellEnd"/>
            <w:r w:rsidRPr="00403DC6">
              <w:rPr>
                <w:sz w:val="18"/>
                <w:szCs w:val="18"/>
              </w:rPr>
              <w:t xml:space="preserve"> arm </w:t>
            </w:r>
            <w:r w:rsidR="002A0FDE" w:rsidRPr="00403DC6">
              <w:rPr>
                <w:sz w:val="18"/>
                <w:szCs w:val="18"/>
              </w:rPr>
              <w:t xml:space="preserve">and 233 in the control group). </w:t>
            </w:r>
          </w:p>
          <w:p w14:paraId="7F163130" w14:textId="3C669D36" w:rsidR="00992DFA" w:rsidRPr="00403DC6" w:rsidRDefault="00C22CB7" w:rsidP="002A0FDE">
            <w:pPr>
              <w:spacing w:line="240" w:lineRule="auto"/>
              <w:rPr>
                <w:sz w:val="18"/>
                <w:szCs w:val="18"/>
              </w:rPr>
            </w:pPr>
            <w:r w:rsidRPr="00403DC6">
              <w:rPr>
                <w:sz w:val="18"/>
                <w:szCs w:val="18"/>
                <w:lang w:eastAsia="es-ES"/>
              </w:rPr>
              <w:t xml:space="preserve">The final efficacy analysis was performed after 256 </w:t>
            </w:r>
            <w:r w:rsidR="00992DFA" w:rsidRPr="00403DC6">
              <w:rPr>
                <w:sz w:val="18"/>
                <w:szCs w:val="18"/>
                <w:lang w:eastAsia="es-ES"/>
              </w:rPr>
              <w:t>PFS</w:t>
            </w:r>
            <w:r w:rsidRPr="00403DC6">
              <w:rPr>
                <w:sz w:val="18"/>
                <w:szCs w:val="18"/>
                <w:lang w:eastAsia="es-ES"/>
              </w:rPr>
              <w:t xml:space="preserve"> events, 131 (53.9%) in the </w:t>
            </w:r>
            <w:proofErr w:type="spellStart"/>
            <w:r w:rsidRPr="00403DC6">
              <w:rPr>
                <w:sz w:val="18"/>
                <w:szCs w:val="18"/>
                <w:shd w:val="clear" w:color="auto" w:fill="FFFFFF"/>
              </w:rPr>
              <w:t>palbociclib-fulvestrant</w:t>
            </w:r>
            <w:proofErr w:type="spellEnd"/>
            <w:r w:rsidRPr="00403DC6">
              <w:rPr>
                <w:sz w:val="18"/>
                <w:szCs w:val="18"/>
                <w:shd w:val="clear" w:color="auto" w:fill="FFFFFF"/>
              </w:rPr>
              <w:t xml:space="preserve"> </w:t>
            </w:r>
            <w:r w:rsidRPr="00403DC6">
              <w:rPr>
                <w:sz w:val="18"/>
                <w:szCs w:val="18"/>
                <w:lang w:eastAsia="es-ES"/>
              </w:rPr>
              <w:t xml:space="preserve">arm and 125 (51.4%) in the </w:t>
            </w:r>
            <w:proofErr w:type="spellStart"/>
            <w:r w:rsidRPr="00403DC6">
              <w:rPr>
                <w:sz w:val="18"/>
                <w:szCs w:val="18"/>
                <w:shd w:val="clear" w:color="auto" w:fill="FFFFFF"/>
              </w:rPr>
              <w:t>palbociclib</w:t>
            </w:r>
            <w:proofErr w:type="spellEnd"/>
            <w:r w:rsidRPr="00403DC6">
              <w:rPr>
                <w:sz w:val="18"/>
                <w:szCs w:val="18"/>
                <w:shd w:val="clear" w:color="auto" w:fill="FFFFFF"/>
              </w:rPr>
              <w:t>-letrozole arm</w:t>
            </w:r>
            <w:r w:rsidRPr="00403DC6">
              <w:rPr>
                <w:sz w:val="18"/>
                <w:szCs w:val="18"/>
                <w:lang w:eastAsia="es-ES"/>
              </w:rPr>
              <w:t>. Overall the median follow-up of the ITT set was 3</w:t>
            </w:r>
            <w:r w:rsidR="005148BE" w:rsidRPr="00403DC6">
              <w:rPr>
                <w:sz w:val="18"/>
                <w:szCs w:val="18"/>
                <w:lang w:eastAsia="es-ES"/>
              </w:rPr>
              <w:t>0.5</w:t>
            </w:r>
            <w:r w:rsidRPr="00403DC6">
              <w:rPr>
                <w:sz w:val="18"/>
                <w:szCs w:val="18"/>
                <w:lang w:eastAsia="es-ES"/>
              </w:rPr>
              <w:t xml:space="preserve"> months. The m</w:t>
            </w:r>
            <w:r w:rsidRPr="00403DC6">
              <w:rPr>
                <w:sz w:val="18"/>
                <w:szCs w:val="18"/>
                <w:shd w:val="clear" w:color="auto" w:fill="FFFFFF"/>
              </w:rPr>
              <w:t xml:space="preserve">edian investigator-assessed PFS was 27.9 months (95% </w:t>
            </w:r>
            <w:r w:rsidR="00C10F15" w:rsidRPr="00403DC6">
              <w:rPr>
                <w:sz w:val="18"/>
                <w:szCs w:val="18"/>
                <w:shd w:val="clear" w:color="auto" w:fill="FFFFFF"/>
              </w:rPr>
              <w:t>confidence interval [</w:t>
            </w:r>
            <w:r w:rsidRPr="00403DC6">
              <w:rPr>
                <w:sz w:val="18"/>
                <w:szCs w:val="18"/>
                <w:shd w:val="clear" w:color="auto" w:fill="FFFFFF"/>
              </w:rPr>
              <w:t>CI</w:t>
            </w:r>
            <w:r w:rsidR="00C10F15" w:rsidRPr="00403DC6">
              <w:rPr>
                <w:sz w:val="18"/>
                <w:szCs w:val="18"/>
                <w:shd w:val="clear" w:color="auto" w:fill="FFFFFF"/>
              </w:rPr>
              <w:t>]</w:t>
            </w:r>
            <w:r w:rsidRPr="00403DC6">
              <w:rPr>
                <w:sz w:val="18"/>
                <w:szCs w:val="18"/>
                <w:shd w:val="clear" w:color="auto" w:fill="FFFFFF"/>
              </w:rPr>
              <w:t xml:space="preserve"> 24.2–33.1) in the </w:t>
            </w:r>
            <w:proofErr w:type="spellStart"/>
            <w:r w:rsidRPr="00403DC6">
              <w:rPr>
                <w:sz w:val="18"/>
                <w:szCs w:val="18"/>
                <w:shd w:val="clear" w:color="auto" w:fill="FFFFFF"/>
              </w:rPr>
              <w:t>palbociclib-fulvestrant</w:t>
            </w:r>
            <w:proofErr w:type="spellEnd"/>
            <w:r w:rsidRPr="00403DC6">
              <w:rPr>
                <w:sz w:val="18"/>
                <w:szCs w:val="18"/>
                <w:shd w:val="clear" w:color="auto" w:fill="FFFFFF"/>
              </w:rPr>
              <w:t xml:space="preserve"> arm versus 32.8 months (95% CI 25.8–35.9) in the </w:t>
            </w:r>
            <w:proofErr w:type="spellStart"/>
            <w:r w:rsidRPr="00403DC6">
              <w:rPr>
                <w:sz w:val="18"/>
                <w:szCs w:val="18"/>
                <w:shd w:val="clear" w:color="auto" w:fill="FFFFFF"/>
              </w:rPr>
              <w:t>palbociclib</w:t>
            </w:r>
            <w:proofErr w:type="spellEnd"/>
            <w:r w:rsidRPr="00403DC6">
              <w:rPr>
                <w:sz w:val="18"/>
                <w:szCs w:val="18"/>
                <w:shd w:val="clear" w:color="auto" w:fill="FFFFFF"/>
              </w:rPr>
              <w:t>-letrozole arm (Hazard ratio</w:t>
            </w:r>
            <w:r w:rsidR="00992DFA" w:rsidRPr="00403DC6">
              <w:rPr>
                <w:sz w:val="18"/>
                <w:szCs w:val="18"/>
                <w:shd w:val="clear" w:color="auto" w:fill="FFFFFF"/>
              </w:rPr>
              <w:t xml:space="preserve"> [HR]=</w:t>
            </w:r>
            <w:r w:rsidRPr="00403DC6">
              <w:rPr>
                <w:sz w:val="18"/>
                <w:szCs w:val="18"/>
                <w:shd w:val="clear" w:color="auto" w:fill="FFFFFF"/>
              </w:rPr>
              <w:t xml:space="preserve"> </w:t>
            </w:r>
            <w:r w:rsidR="002A0FDE" w:rsidRPr="00403DC6">
              <w:rPr>
                <w:sz w:val="18"/>
                <w:szCs w:val="18"/>
                <w:shd w:val="clear" w:color="auto" w:fill="FFFFFF"/>
              </w:rPr>
              <w:t>1.13, 95% CI 0.89–1.45, p=0·321</w:t>
            </w:r>
            <w:r w:rsidR="007D3FB0" w:rsidRPr="00403DC6">
              <w:rPr>
                <w:sz w:val="18"/>
                <w:szCs w:val="18"/>
                <w:shd w:val="clear" w:color="auto" w:fill="FFFFFF"/>
              </w:rPr>
              <w:t xml:space="preserve">; </w:t>
            </w:r>
            <w:r w:rsidR="00A93FA7" w:rsidRPr="004816EC">
              <w:rPr>
                <w:iCs/>
                <w:color w:val="2F5496" w:themeColor="accent1" w:themeShade="BF"/>
                <w:sz w:val="18"/>
                <w:szCs w:val="18"/>
                <w:shd w:val="clear" w:color="auto" w:fill="FFFFFF"/>
              </w:rPr>
              <w:fldChar w:fldCharType="begin"/>
            </w:r>
            <w:r w:rsidR="00A93FA7" w:rsidRPr="004816EC">
              <w:rPr>
                <w:iCs/>
                <w:color w:val="2F5496" w:themeColor="accent1" w:themeShade="BF"/>
                <w:sz w:val="18"/>
                <w:szCs w:val="18"/>
                <w:shd w:val="clear" w:color="auto" w:fill="FFFFFF"/>
              </w:rPr>
              <w:instrText xml:space="preserve"> REF _Ref52440966 \h  \* MERGEFORMAT </w:instrText>
            </w:r>
            <w:r w:rsidR="00A93FA7" w:rsidRPr="004816EC">
              <w:rPr>
                <w:iCs/>
                <w:color w:val="2F5496" w:themeColor="accent1" w:themeShade="BF"/>
                <w:sz w:val="18"/>
                <w:szCs w:val="18"/>
                <w:shd w:val="clear" w:color="auto" w:fill="FFFFFF"/>
              </w:rPr>
            </w:r>
            <w:r w:rsidR="00A93FA7" w:rsidRPr="004816EC">
              <w:rPr>
                <w:iCs/>
                <w:color w:val="2F5496" w:themeColor="accent1" w:themeShade="BF"/>
                <w:sz w:val="18"/>
                <w:szCs w:val="18"/>
                <w:shd w:val="clear" w:color="auto" w:fill="FFFFFF"/>
              </w:rPr>
              <w:fldChar w:fldCharType="separate"/>
            </w:r>
            <w:r w:rsidR="00A93FA7" w:rsidRPr="004816EC">
              <w:rPr>
                <w:iCs/>
                <w:color w:val="2F5496" w:themeColor="accent1" w:themeShade="BF"/>
                <w:sz w:val="18"/>
                <w:szCs w:val="18"/>
              </w:rPr>
              <w:t xml:space="preserve">Figure </w:t>
            </w:r>
            <w:r w:rsidR="00A93FA7" w:rsidRPr="004816EC">
              <w:rPr>
                <w:iCs/>
                <w:noProof/>
                <w:color w:val="2F5496" w:themeColor="accent1" w:themeShade="BF"/>
                <w:sz w:val="18"/>
                <w:szCs w:val="18"/>
              </w:rPr>
              <w:t>3</w:t>
            </w:r>
            <w:r w:rsidR="00A93FA7" w:rsidRPr="004816EC">
              <w:rPr>
                <w:iCs/>
                <w:color w:val="2F5496" w:themeColor="accent1" w:themeShade="BF"/>
                <w:sz w:val="18"/>
                <w:szCs w:val="18"/>
                <w:shd w:val="clear" w:color="auto" w:fill="FFFFFF"/>
              </w:rPr>
              <w:fldChar w:fldCharType="end"/>
            </w:r>
            <w:r w:rsidR="007D3FB0" w:rsidRPr="004816EC">
              <w:rPr>
                <w:iCs/>
                <w:color w:val="000000" w:themeColor="text1"/>
                <w:sz w:val="18"/>
                <w:szCs w:val="18"/>
                <w:shd w:val="clear" w:color="auto" w:fill="FFFFFF"/>
              </w:rPr>
              <w:t>)</w:t>
            </w:r>
            <w:r w:rsidRPr="004816EC">
              <w:rPr>
                <w:iCs/>
                <w:color w:val="2F5496" w:themeColor="accent1" w:themeShade="BF"/>
                <w:sz w:val="18"/>
                <w:szCs w:val="18"/>
                <w:shd w:val="clear" w:color="auto" w:fill="FFFFFF"/>
              </w:rPr>
              <w:t>.</w:t>
            </w:r>
            <w:r w:rsidRPr="00A93FA7">
              <w:rPr>
                <w:color w:val="2F5496" w:themeColor="accent1" w:themeShade="BF"/>
                <w:sz w:val="18"/>
                <w:szCs w:val="18"/>
                <w:shd w:val="clear" w:color="auto" w:fill="FFFFFF"/>
              </w:rPr>
              <w:t xml:space="preserve"> </w:t>
            </w:r>
            <w:r w:rsidRPr="00403DC6">
              <w:rPr>
                <w:sz w:val="18"/>
                <w:szCs w:val="18"/>
                <w:shd w:val="clear" w:color="auto" w:fill="FFFFFF"/>
              </w:rPr>
              <w:t xml:space="preserve">The combination of </w:t>
            </w:r>
            <w:proofErr w:type="spellStart"/>
            <w:r w:rsidRPr="00403DC6">
              <w:rPr>
                <w:sz w:val="18"/>
                <w:szCs w:val="18"/>
                <w:shd w:val="clear" w:color="auto" w:fill="FFFFFF"/>
              </w:rPr>
              <w:t>palbociclib-fulvestrant</w:t>
            </w:r>
            <w:proofErr w:type="spellEnd"/>
            <w:r w:rsidRPr="00403DC6">
              <w:rPr>
                <w:sz w:val="18"/>
                <w:szCs w:val="18"/>
                <w:shd w:val="clear" w:color="auto" w:fill="FFFFFF"/>
              </w:rPr>
              <w:t xml:space="preserve"> </w:t>
            </w:r>
            <w:r w:rsidR="009764D9" w:rsidRPr="00403DC6">
              <w:rPr>
                <w:sz w:val="18"/>
                <w:szCs w:val="18"/>
              </w:rPr>
              <w:t xml:space="preserve">did not show </w:t>
            </w:r>
            <w:r w:rsidRPr="00403DC6">
              <w:rPr>
                <w:sz w:val="18"/>
                <w:szCs w:val="18"/>
              </w:rPr>
              <w:t xml:space="preserve">an improvement in </w:t>
            </w:r>
            <w:r w:rsidR="00992DFA" w:rsidRPr="00403DC6">
              <w:rPr>
                <w:sz w:val="18"/>
                <w:szCs w:val="18"/>
              </w:rPr>
              <w:t>PFS</w:t>
            </w:r>
            <w:r w:rsidRPr="00403DC6">
              <w:rPr>
                <w:sz w:val="18"/>
                <w:szCs w:val="18"/>
              </w:rPr>
              <w:t xml:space="preserve"> over </w:t>
            </w:r>
            <w:proofErr w:type="spellStart"/>
            <w:r w:rsidRPr="00403DC6">
              <w:rPr>
                <w:sz w:val="18"/>
                <w:szCs w:val="18"/>
                <w:shd w:val="clear" w:color="auto" w:fill="FFFFFF"/>
              </w:rPr>
              <w:t>palbociclib</w:t>
            </w:r>
            <w:proofErr w:type="spellEnd"/>
            <w:r w:rsidRPr="00403DC6">
              <w:rPr>
                <w:sz w:val="18"/>
                <w:szCs w:val="18"/>
                <w:shd w:val="clear" w:color="auto" w:fill="FFFFFF"/>
              </w:rPr>
              <w:t xml:space="preserve">-letrozole </w:t>
            </w:r>
            <w:r w:rsidRPr="00403DC6">
              <w:rPr>
                <w:sz w:val="18"/>
                <w:szCs w:val="18"/>
              </w:rPr>
              <w:t>among patients receiving initial systemic treatment for endocrine-sensitive, ER</w:t>
            </w:r>
            <w:r w:rsidR="00992DFA" w:rsidRPr="00403DC6">
              <w:rPr>
                <w:sz w:val="18"/>
                <w:szCs w:val="18"/>
              </w:rPr>
              <w:t>+</w:t>
            </w:r>
            <w:r w:rsidRPr="00403DC6">
              <w:rPr>
                <w:sz w:val="18"/>
                <w:szCs w:val="18"/>
              </w:rPr>
              <w:t xml:space="preserve">/HER2- metastatic </w:t>
            </w:r>
            <w:proofErr w:type="spellStart"/>
            <w:r w:rsidR="00992DFA" w:rsidRPr="00403DC6">
              <w:rPr>
                <w:sz w:val="18"/>
                <w:szCs w:val="18"/>
              </w:rPr>
              <w:t>mBC</w:t>
            </w:r>
            <w:proofErr w:type="spellEnd"/>
            <w:r w:rsidRPr="00403DC6">
              <w:rPr>
                <w:sz w:val="18"/>
                <w:szCs w:val="18"/>
              </w:rPr>
              <w:t xml:space="preserve">. </w:t>
            </w:r>
            <w:r w:rsidRPr="00403DC6">
              <w:rPr>
                <w:sz w:val="18"/>
                <w:szCs w:val="18"/>
                <w:shd w:val="clear" w:color="auto" w:fill="FFFFFF"/>
              </w:rPr>
              <w:t>The </w:t>
            </w:r>
            <w:r w:rsidRPr="00403DC6">
              <w:rPr>
                <w:rStyle w:val="nfasis"/>
                <w:bCs/>
                <w:i w:val="0"/>
                <w:iCs w:val="0"/>
                <w:color w:val="000000"/>
                <w:sz w:val="18"/>
                <w:szCs w:val="18"/>
                <w:shd w:val="clear" w:color="auto" w:fill="FFFFFF"/>
              </w:rPr>
              <w:t xml:space="preserve">non-inferiority margin (1.21) was included in the 95% CI, therefore </w:t>
            </w:r>
            <w:r w:rsidR="009764D9" w:rsidRPr="00403DC6">
              <w:rPr>
                <w:rStyle w:val="nfasis"/>
                <w:bCs/>
                <w:i w:val="0"/>
                <w:iCs w:val="0"/>
                <w:color w:val="000000"/>
                <w:sz w:val="18"/>
                <w:szCs w:val="18"/>
                <w:shd w:val="clear" w:color="auto" w:fill="FFFFFF"/>
              </w:rPr>
              <w:t>PARSIFAL</w:t>
            </w:r>
            <w:r w:rsidRPr="00403DC6">
              <w:rPr>
                <w:rStyle w:val="nfasis"/>
                <w:bCs/>
                <w:i w:val="0"/>
                <w:iCs w:val="0"/>
                <w:color w:val="000000"/>
                <w:sz w:val="18"/>
                <w:szCs w:val="18"/>
                <w:shd w:val="clear" w:color="auto" w:fill="FFFFFF"/>
              </w:rPr>
              <w:t xml:space="preserve"> </w:t>
            </w:r>
            <w:r w:rsidR="009764D9" w:rsidRPr="00403DC6">
              <w:rPr>
                <w:rStyle w:val="nfasis"/>
                <w:bCs/>
                <w:i w:val="0"/>
                <w:iCs w:val="0"/>
                <w:color w:val="000000"/>
                <w:sz w:val="18"/>
                <w:szCs w:val="18"/>
                <w:shd w:val="clear" w:color="auto" w:fill="FFFFFF"/>
              </w:rPr>
              <w:t>did not</w:t>
            </w:r>
            <w:r w:rsidRPr="00403DC6">
              <w:rPr>
                <w:rStyle w:val="nfasis"/>
                <w:bCs/>
                <w:i w:val="0"/>
                <w:iCs w:val="0"/>
                <w:color w:val="000000"/>
                <w:sz w:val="18"/>
                <w:szCs w:val="18"/>
                <w:shd w:val="clear" w:color="auto" w:fill="FFFFFF"/>
              </w:rPr>
              <w:t xml:space="preserve"> </w:t>
            </w:r>
            <w:r w:rsidRPr="00403DC6">
              <w:rPr>
                <w:sz w:val="18"/>
                <w:szCs w:val="18"/>
              </w:rPr>
              <w:t xml:space="preserve">prove non-inferiority of </w:t>
            </w:r>
            <w:proofErr w:type="spellStart"/>
            <w:r w:rsidRPr="00403DC6">
              <w:rPr>
                <w:sz w:val="18"/>
                <w:szCs w:val="18"/>
                <w:shd w:val="clear" w:color="auto" w:fill="FFFFFF"/>
              </w:rPr>
              <w:t>palbociclib-fulvestrant</w:t>
            </w:r>
            <w:proofErr w:type="spellEnd"/>
            <w:r w:rsidRPr="00403DC6">
              <w:rPr>
                <w:sz w:val="18"/>
                <w:szCs w:val="18"/>
                <w:shd w:val="clear" w:color="auto" w:fill="FFFFFF"/>
              </w:rPr>
              <w:t xml:space="preserve"> </w:t>
            </w:r>
            <w:r w:rsidRPr="00403DC6">
              <w:rPr>
                <w:sz w:val="18"/>
                <w:szCs w:val="18"/>
              </w:rPr>
              <w:t xml:space="preserve">over </w:t>
            </w:r>
            <w:proofErr w:type="spellStart"/>
            <w:r w:rsidRPr="00403DC6">
              <w:rPr>
                <w:sz w:val="18"/>
                <w:szCs w:val="18"/>
                <w:shd w:val="clear" w:color="auto" w:fill="FFFFFF"/>
              </w:rPr>
              <w:t>palbociclib</w:t>
            </w:r>
            <w:proofErr w:type="spellEnd"/>
            <w:r w:rsidRPr="00403DC6">
              <w:rPr>
                <w:sz w:val="18"/>
                <w:szCs w:val="18"/>
                <w:shd w:val="clear" w:color="auto" w:fill="FFFFFF"/>
              </w:rPr>
              <w:t>-letrozole.</w:t>
            </w:r>
            <w:r w:rsidR="002A0FDE" w:rsidRPr="00403DC6">
              <w:rPr>
                <w:sz w:val="18"/>
                <w:szCs w:val="18"/>
              </w:rPr>
              <w:t xml:space="preserve"> </w:t>
            </w:r>
          </w:p>
          <w:p w14:paraId="116A0024" w14:textId="4122A546" w:rsidR="00992DFA" w:rsidRPr="00403DC6" w:rsidRDefault="00FB1C22" w:rsidP="00673269">
            <w:pPr>
              <w:spacing w:after="0" w:line="240" w:lineRule="auto"/>
              <w:ind w:left="59" w:right="291"/>
              <w:rPr>
                <w:sz w:val="18"/>
                <w:szCs w:val="18"/>
                <w:shd w:val="clear" w:color="auto" w:fill="FFFFFF"/>
              </w:rPr>
            </w:pPr>
            <w:r w:rsidRPr="00403DC6">
              <w:rPr>
                <w:sz w:val="18"/>
                <w:szCs w:val="18"/>
                <w:shd w:val="clear" w:color="auto" w:fill="FFFFFF"/>
              </w:rPr>
              <w:t xml:space="preserve">OS </w:t>
            </w:r>
            <w:r w:rsidR="00992DFA" w:rsidRPr="00403DC6">
              <w:rPr>
                <w:sz w:val="18"/>
                <w:szCs w:val="18"/>
                <w:shd w:val="clear" w:color="auto" w:fill="FFFFFF"/>
              </w:rPr>
              <w:t>data were immature at data cut-off</w:t>
            </w:r>
            <w:r w:rsidR="00992DFA" w:rsidRPr="00403DC6">
              <w:rPr>
                <w:sz w:val="18"/>
                <w:szCs w:val="18"/>
              </w:rPr>
              <w:t>, with an e</w:t>
            </w:r>
            <w:r w:rsidR="00992DFA" w:rsidRPr="00403DC6">
              <w:rPr>
                <w:sz w:val="18"/>
                <w:szCs w:val="18"/>
                <w:lang w:eastAsia="es-ES"/>
              </w:rPr>
              <w:t xml:space="preserve">stimated 3-year OS of </w:t>
            </w:r>
            <w:r w:rsidR="00992DFA" w:rsidRPr="00403DC6">
              <w:rPr>
                <w:sz w:val="18"/>
                <w:szCs w:val="18"/>
                <w:shd w:val="clear" w:color="auto" w:fill="FFFFFF"/>
              </w:rPr>
              <w:t xml:space="preserve">79.4% (95% CI 73.1–84.4%) in the </w:t>
            </w:r>
            <w:proofErr w:type="spellStart"/>
            <w:r w:rsidR="00992DFA" w:rsidRPr="00403DC6">
              <w:rPr>
                <w:sz w:val="18"/>
                <w:szCs w:val="18"/>
                <w:shd w:val="clear" w:color="auto" w:fill="FFFFFF"/>
              </w:rPr>
              <w:t>palbociclib-fulvestrant</w:t>
            </w:r>
            <w:proofErr w:type="spellEnd"/>
            <w:r w:rsidR="00992DFA" w:rsidRPr="00403DC6">
              <w:rPr>
                <w:sz w:val="18"/>
                <w:szCs w:val="18"/>
                <w:shd w:val="clear" w:color="auto" w:fill="FFFFFF"/>
              </w:rPr>
              <w:t xml:space="preserve"> arm versus 77.1% (95% CI 70.2–82.5%) in the </w:t>
            </w:r>
            <w:proofErr w:type="spellStart"/>
            <w:r w:rsidR="00992DFA" w:rsidRPr="00403DC6">
              <w:rPr>
                <w:sz w:val="18"/>
                <w:szCs w:val="18"/>
                <w:shd w:val="clear" w:color="auto" w:fill="FFFFFF"/>
              </w:rPr>
              <w:t>palbociclib</w:t>
            </w:r>
            <w:proofErr w:type="spellEnd"/>
            <w:r w:rsidR="00992DFA" w:rsidRPr="00403DC6">
              <w:rPr>
                <w:sz w:val="18"/>
                <w:szCs w:val="18"/>
                <w:shd w:val="clear" w:color="auto" w:fill="FFFFFF"/>
              </w:rPr>
              <w:t xml:space="preserve">-letrozole arm.  </w:t>
            </w:r>
            <w:r w:rsidR="00992DFA" w:rsidRPr="00403DC6">
              <w:rPr>
                <w:rStyle w:val="st"/>
                <w:sz w:val="18"/>
                <w:szCs w:val="18"/>
              </w:rPr>
              <w:t xml:space="preserve">Kaplan-Meier curves in the </w:t>
            </w:r>
            <w:r w:rsidR="00C10F15" w:rsidRPr="00403DC6">
              <w:rPr>
                <w:rStyle w:val="st"/>
                <w:sz w:val="18"/>
                <w:szCs w:val="18"/>
              </w:rPr>
              <w:t>intention-to-treat (</w:t>
            </w:r>
            <w:r w:rsidR="00992DFA" w:rsidRPr="00403DC6">
              <w:rPr>
                <w:rStyle w:val="st"/>
                <w:sz w:val="18"/>
                <w:szCs w:val="18"/>
              </w:rPr>
              <w:t>ITT</w:t>
            </w:r>
            <w:r w:rsidR="00C10F15" w:rsidRPr="00403DC6">
              <w:rPr>
                <w:rStyle w:val="st"/>
                <w:sz w:val="18"/>
                <w:szCs w:val="18"/>
              </w:rPr>
              <w:t>)</w:t>
            </w:r>
            <w:r w:rsidR="00992DFA" w:rsidRPr="00403DC6">
              <w:rPr>
                <w:rStyle w:val="st"/>
                <w:sz w:val="18"/>
                <w:szCs w:val="18"/>
              </w:rPr>
              <w:t xml:space="preserve"> set showed no </w:t>
            </w:r>
            <w:r w:rsidR="00992DFA" w:rsidRPr="00403DC6">
              <w:rPr>
                <w:rStyle w:val="nfasis"/>
                <w:i w:val="0"/>
                <w:sz w:val="18"/>
                <w:szCs w:val="18"/>
              </w:rPr>
              <w:t>significant differences</w:t>
            </w:r>
            <w:r w:rsidR="00992DFA" w:rsidRPr="00403DC6">
              <w:rPr>
                <w:rStyle w:val="st"/>
                <w:i/>
                <w:sz w:val="18"/>
                <w:szCs w:val="18"/>
              </w:rPr>
              <w:t xml:space="preserve"> </w:t>
            </w:r>
            <w:r w:rsidR="00992DFA" w:rsidRPr="00403DC6">
              <w:rPr>
                <w:rStyle w:val="st"/>
                <w:sz w:val="18"/>
                <w:szCs w:val="18"/>
              </w:rPr>
              <w:t xml:space="preserve">in the OS between study groups </w:t>
            </w:r>
            <w:r w:rsidR="00992DFA" w:rsidRPr="00403DC6">
              <w:rPr>
                <w:sz w:val="18"/>
                <w:szCs w:val="18"/>
                <w:shd w:val="clear" w:color="auto" w:fill="FFFFFF"/>
              </w:rPr>
              <w:t>(</w:t>
            </w:r>
            <w:r w:rsidRPr="00403DC6">
              <w:rPr>
                <w:iCs/>
                <w:sz w:val="18"/>
                <w:szCs w:val="18"/>
                <w:shd w:val="clear" w:color="auto" w:fill="FFFFFF"/>
              </w:rPr>
              <w:t>HR=</w:t>
            </w:r>
            <w:r w:rsidR="00992DFA" w:rsidRPr="00403DC6">
              <w:rPr>
                <w:sz w:val="18"/>
                <w:szCs w:val="18"/>
                <w:shd w:val="clear" w:color="auto" w:fill="FFFFFF"/>
              </w:rPr>
              <w:t>1.00, 95% CI 0.68–1.48, p=0.986</w:t>
            </w:r>
            <w:r w:rsidR="009764D9" w:rsidRPr="00A93FA7">
              <w:rPr>
                <w:i/>
                <w:iCs/>
                <w:sz w:val="18"/>
                <w:szCs w:val="18"/>
                <w:shd w:val="clear" w:color="auto" w:fill="FFFFFF"/>
              </w:rPr>
              <w:t xml:space="preserve">; </w:t>
            </w:r>
            <w:r w:rsidR="00A93FA7" w:rsidRPr="00F45E60">
              <w:rPr>
                <w:color w:val="2F5496" w:themeColor="accent1" w:themeShade="BF"/>
                <w:sz w:val="18"/>
                <w:szCs w:val="18"/>
                <w:shd w:val="clear" w:color="auto" w:fill="FFFFFF"/>
              </w:rPr>
              <w:fldChar w:fldCharType="begin"/>
            </w:r>
            <w:r w:rsidR="00A93FA7" w:rsidRPr="00F45E60">
              <w:rPr>
                <w:color w:val="2F5496" w:themeColor="accent1" w:themeShade="BF"/>
                <w:sz w:val="18"/>
                <w:szCs w:val="18"/>
                <w:shd w:val="clear" w:color="auto" w:fill="FFFFFF"/>
              </w:rPr>
              <w:instrText xml:space="preserve"> REF _Ref52441508 \h  \* MERGEFORMAT </w:instrText>
            </w:r>
            <w:r w:rsidR="00A93FA7" w:rsidRPr="00F45E60">
              <w:rPr>
                <w:color w:val="2F5496" w:themeColor="accent1" w:themeShade="BF"/>
                <w:sz w:val="18"/>
                <w:szCs w:val="18"/>
                <w:shd w:val="clear" w:color="auto" w:fill="FFFFFF"/>
              </w:rPr>
            </w:r>
            <w:r w:rsidR="00A93FA7" w:rsidRPr="00F45E60">
              <w:rPr>
                <w:color w:val="2F5496" w:themeColor="accent1" w:themeShade="BF"/>
                <w:sz w:val="18"/>
                <w:szCs w:val="18"/>
                <w:shd w:val="clear" w:color="auto" w:fill="FFFFFF"/>
              </w:rPr>
              <w:fldChar w:fldCharType="separate"/>
            </w:r>
            <w:r w:rsidR="00A93FA7" w:rsidRPr="00F45E60">
              <w:rPr>
                <w:color w:val="2F5496" w:themeColor="accent1" w:themeShade="BF"/>
                <w:sz w:val="18"/>
                <w:szCs w:val="18"/>
              </w:rPr>
              <w:t xml:space="preserve">Figure </w:t>
            </w:r>
            <w:r w:rsidR="00A93FA7" w:rsidRPr="00F45E60">
              <w:rPr>
                <w:noProof/>
                <w:color w:val="2F5496" w:themeColor="accent1" w:themeShade="BF"/>
                <w:sz w:val="18"/>
                <w:szCs w:val="18"/>
              </w:rPr>
              <w:t>5</w:t>
            </w:r>
            <w:r w:rsidR="00A93FA7" w:rsidRPr="00F45E60">
              <w:rPr>
                <w:color w:val="2F5496" w:themeColor="accent1" w:themeShade="BF"/>
                <w:sz w:val="18"/>
                <w:szCs w:val="18"/>
                <w:shd w:val="clear" w:color="auto" w:fill="FFFFFF"/>
              </w:rPr>
              <w:fldChar w:fldCharType="end"/>
            </w:r>
            <w:r w:rsidR="00A93FA7" w:rsidRPr="00F45E60">
              <w:rPr>
                <w:color w:val="2F5496" w:themeColor="accent1" w:themeShade="BF"/>
                <w:sz w:val="18"/>
                <w:szCs w:val="18"/>
                <w:shd w:val="clear" w:color="auto" w:fill="FFFFFF"/>
              </w:rPr>
              <w:t>).</w:t>
            </w:r>
            <w:r w:rsidR="00A93FA7">
              <w:rPr>
                <w:i/>
                <w:color w:val="2F5496" w:themeColor="accent1" w:themeShade="BF"/>
                <w:sz w:val="18"/>
                <w:szCs w:val="18"/>
                <w:shd w:val="clear" w:color="auto" w:fill="FFFFFF"/>
              </w:rPr>
              <w:t xml:space="preserve"> </w:t>
            </w:r>
            <w:r w:rsidR="00992DFA" w:rsidRPr="00403DC6">
              <w:rPr>
                <w:rStyle w:val="st"/>
                <w:sz w:val="18"/>
                <w:szCs w:val="18"/>
              </w:rPr>
              <w:t xml:space="preserve">The differences in the </w:t>
            </w:r>
            <w:r w:rsidRPr="00403DC6">
              <w:rPr>
                <w:rStyle w:val="st"/>
                <w:sz w:val="18"/>
                <w:szCs w:val="18"/>
              </w:rPr>
              <w:t>ORR</w:t>
            </w:r>
            <w:r w:rsidR="00992DFA" w:rsidRPr="00403DC6">
              <w:rPr>
                <w:rStyle w:val="st"/>
                <w:sz w:val="18"/>
                <w:szCs w:val="18"/>
              </w:rPr>
              <w:t xml:space="preserve"> achieved by the patients (either all or with measurable disease) were also statistically non-significant between </w:t>
            </w:r>
            <w:r w:rsidR="00992DFA" w:rsidRPr="004816EC">
              <w:rPr>
                <w:rStyle w:val="st"/>
                <w:sz w:val="18"/>
                <w:szCs w:val="18"/>
              </w:rPr>
              <w:t>groups</w:t>
            </w:r>
            <w:r w:rsidR="009764D9" w:rsidRPr="004816EC">
              <w:rPr>
                <w:rStyle w:val="st"/>
                <w:sz w:val="18"/>
                <w:szCs w:val="18"/>
              </w:rPr>
              <w:t xml:space="preserve"> </w:t>
            </w:r>
            <w:r w:rsidR="004816EC" w:rsidRPr="004816EC">
              <w:rPr>
                <w:rStyle w:val="st"/>
                <w:sz w:val="18"/>
                <w:szCs w:val="18"/>
              </w:rPr>
              <w:t>(</w:t>
            </w:r>
            <w:r w:rsidR="004816EC" w:rsidRPr="004816EC">
              <w:rPr>
                <w:rStyle w:val="st"/>
                <w:i/>
                <w:color w:val="2F5496" w:themeColor="accent1" w:themeShade="BF"/>
                <w:sz w:val="18"/>
                <w:szCs w:val="18"/>
              </w:rPr>
              <w:fldChar w:fldCharType="begin"/>
            </w:r>
            <w:r w:rsidR="004816EC" w:rsidRPr="004816EC">
              <w:rPr>
                <w:rStyle w:val="st"/>
                <w:i/>
                <w:color w:val="2F5496" w:themeColor="accent1" w:themeShade="BF"/>
                <w:sz w:val="18"/>
                <w:szCs w:val="18"/>
              </w:rPr>
              <w:instrText xml:space="preserve"> REF _Ref52469411 \h  \* MERGEFORMAT </w:instrText>
            </w:r>
            <w:r w:rsidR="004816EC" w:rsidRPr="004816EC">
              <w:rPr>
                <w:rStyle w:val="st"/>
                <w:i/>
                <w:color w:val="2F5496" w:themeColor="accent1" w:themeShade="BF"/>
                <w:sz w:val="18"/>
                <w:szCs w:val="18"/>
              </w:rPr>
            </w:r>
            <w:r w:rsidR="004816EC" w:rsidRPr="004816EC">
              <w:rPr>
                <w:rStyle w:val="st"/>
                <w:i/>
                <w:color w:val="2F5496" w:themeColor="accent1" w:themeShade="BF"/>
                <w:sz w:val="18"/>
                <w:szCs w:val="18"/>
              </w:rPr>
              <w:fldChar w:fldCharType="separate"/>
            </w:r>
            <w:r w:rsidR="004816EC" w:rsidRPr="004816EC">
              <w:rPr>
                <w:i/>
                <w:color w:val="2F5496" w:themeColor="accent1" w:themeShade="BF"/>
                <w:sz w:val="18"/>
                <w:szCs w:val="18"/>
              </w:rPr>
              <w:t xml:space="preserve">Table </w:t>
            </w:r>
            <w:r w:rsidR="004816EC" w:rsidRPr="004816EC">
              <w:rPr>
                <w:i/>
                <w:noProof/>
                <w:color w:val="2F5496" w:themeColor="accent1" w:themeShade="BF"/>
                <w:sz w:val="18"/>
                <w:szCs w:val="18"/>
              </w:rPr>
              <w:t>10</w:t>
            </w:r>
            <w:r w:rsidR="004816EC" w:rsidRPr="004816EC">
              <w:rPr>
                <w:rStyle w:val="st"/>
                <w:i/>
                <w:color w:val="2F5496" w:themeColor="accent1" w:themeShade="BF"/>
                <w:sz w:val="18"/>
                <w:szCs w:val="18"/>
              </w:rPr>
              <w:fldChar w:fldCharType="end"/>
            </w:r>
            <w:r w:rsidR="004816EC" w:rsidRPr="004816EC">
              <w:rPr>
                <w:rStyle w:val="st"/>
                <w:i/>
                <w:color w:val="2F5496" w:themeColor="accent1" w:themeShade="BF"/>
                <w:sz w:val="18"/>
                <w:szCs w:val="18"/>
              </w:rPr>
              <w:t>).</w:t>
            </w:r>
            <w:r w:rsidR="004816EC" w:rsidRPr="00A93FA7">
              <w:rPr>
                <w:rStyle w:val="st"/>
                <w:color w:val="2F5496" w:themeColor="accent1" w:themeShade="BF"/>
              </w:rPr>
              <w:t xml:space="preserve"> </w:t>
            </w:r>
            <w:r w:rsidR="00992DFA" w:rsidRPr="00403DC6">
              <w:rPr>
                <w:sz w:val="18"/>
                <w:szCs w:val="18"/>
                <w:lang w:eastAsia="es-ES"/>
              </w:rPr>
              <w:t xml:space="preserve">Median </w:t>
            </w:r>
            <w:proofErr w:type="spellStart"/>
            <w:r w:rsidRPr="00403DC6">
              <w:rPr>
                <w:sz w:val="18"/>
                <w:szCs w:val="18"/>
                <w:lang w:eastAsia="es-ES"/>
              </w:rPr>
              <w:t>DoR</w:t>
            </w:r>
            <w:proofErr w:type="spellEnd"/>
            <w:r w:rsidR="00992DFA" w:rsidRPr="00403DC6">
              <w:rPr>
                <w:sz w:val="18"/>
                <w:szCs w:val="18"/>
                <w:lang w:eastAsia="es-ES"/>
              </w:rPr>
              <w:t xml:space="preserve"> was 34 months </w:t>
            </w:r>
            <w:r w:rsidR="00992DFA" w:rsidRPr="00403DC6">
              <w:rPr>
                <w:sz w:val="18"/>
                <w:szCs w:val="18"/>
                <w:shd w:val="clear" w:color="auto" w:fill="FFFFFF"/>
              </w:rPr>
              <w:t>(95% CI 23.3–not estimable)</w:t>
            </w:r>
            <w:r w:rsidR="00992DFA" w:rsidRPr="00403DC6">
              <w:rPr>
                <w:sz w:val="18"/>
                <w:szCs w:val="18"/>
                <w:lang w:eastAsia="es-ES"/>
              </w:rPr>
              <w:t xml:space="preserve"> in the</w:t>
            </w:r>
            <w:r w:rsidR="00992DFA" w:rsidRPr="00403DC6">
              <w:rPr>
                <w:sz w:val="18"/>
                <w:szCs w:val="18"/>
                <w:shd w:val="clear" w:color="auto" w:fill="FFFFFF"/>
              </w:rPr>
              <w:t xml:space="preserve"> </w:t>
            </w:r>
            <w:proofErr w:type="spellStart"/>
            <w:r w:rsidR="00992DFA" w:rsidRPr="00403DC6">
              <w:rPr>
                <w:sz w:val="18"/>
                <w:szCs w:val="18"/>
                <w:shd w:val="clear" w:color="auto" w:fill="FFFFFF"/>
              </w:rPr>
              <w:t>palbociclib-fulvestrant</w:t>
            </w:r>
            <w:proofErr w:type="spellEnd"/>
            <w:r w:rsidR="00992DFA" w:rsidRPr="00403DC6">
              <w:rPr>
                <w:sz w:val="18"/>
                <w:szCs w:val="18"/>
                <w:shd w:val="clear" w:color="auto" w:fill="FFFFFF"/>
              </w:rPr>
              <w:t xml:space="preserve"> </w:t>
            </w:r>
            <w:r w:rsidR="00992DFA" w:rsidRPr="00403DC6">
              <w:rPr>
                <w:sz w:val="18"/>
                <w:szCs w:val="18"/>
                <w:lang w:eastAsia="es-ES"/>
              </w:rPr>
              <w:t xml:space="preserve">arm and 30.2 months </w:t>
            </w:r>
            <w:r w:rsidR="00992DFA" w:rsidRPr="00403DC6">
              <w:rPr>
                <w:sz w:val="18"/>
                <w:szCs w:val="18"/>
                <w:shd w:val="clear" w:color="auto" w:fill="FFFFFF"/>
              </w:rPr>
              <w:t>(95% CI 26.7–not estimable)</w:t>
            </w:r>
            <w:r w:rsidR="00992DFA" w:rsidRPr="00403DC6">
              <w:rPr>
                <w:sz w:val="18"/>
                <w:szCs w:val="18"/>
                <w:lang w:eastAsia="es-ES"/>
              </w:rPr>
              <w:t xml:space="preserve"> in the </w:t>
            </w:r>
            <w:proofErr w:type="spellStart"/>
            <w:r w:rsidR="00992DFA" w:rsidRPr="00403DC6">
              <w:rPr>
                <w:sz w:val="18"/>
                <w:szCs w:val="18"/>
                <w:shd w:val="clear" w:color="auto" w:fill="FFFFFF"/>
              </w:rPr>
              <w:t>palbociclib</w:t>
            </w:r>
            <w:proofErr w:type="spellEnd"/>
            <w:r w:rsidR="00992DFA" w:rsidRPr="00403DC6">
              <w:rPr>
                <w:sz w:val="18"/>
                <w:szCs w:val="18"/>
                <w:shd w:val="clear" w:color="auto" w:fill="FFFFFF"/>
              </w:rPr>
              <w:t>-letrozole</w:t>
            </w:r>
            <w:r w:rsidR="00992DFA" w:rsidRPr="00403DC6">
              <w:rPr>
                <w:sz w:val="18"/>
                <w:szCs w:val="18"/>
                <w:lang w:eastAsia="es-ES"/>
              </w:rPr>
              <w:t xml:space="preserve"> arm. </w:t>
            </w:r>
            <w:r w:rsidR="009764D9" w:rsidRPr="00403DC6">
              <w:rPr>
                <w:sz w:val="18"/>
                <w:szCs w:val="18"/>
                <w:lang w:eastAsia="es-ES"/>
              </w:rPr>
              <w:t>PARSIFAL</w:t>
            </w:r>
            <w:r w:rsidR="00992DFA" w:rsidRPr="00403DC6">
              <w:rPr>
                <w:sz w:val="18"/>
                <w:szCs w:val="18"/>
                <w:lang w:eastAsia="es-ES"/>
              </w:rPr>
              <w:t xml:space="preserve"> </w:t>
            </w:r>
            <w:r w:rsidR="009764D9" w:rsidRPr="00403DC6">
              <w:rPr>
                <w:sz w:val="18"/>
                <w:szCs w:val="18"/>
                <w:lang w:eastAsia="es-ES"/>
              </w:rPr>
              <w:t>did not</w:t>
            </w:r>
            <w:r w:rsidR="00992DFA" w:rsidRPr="00403DC6">
              <w:rPr>
                <w:sz w:val="18"/>
                <w:szCs w:val="18"/>
                <w:lang w:eastAsia="es-ES"/>
              </w:rPr>
              <w:t xml:space="preserve"> prove significant differences between </w:t>
            </w:r>
            <w:proofErr w:type="spellStart"/>
            <w:r w:rsidR="00992DFA" w:rsidRPr="00403DC6">
              <w:rPr>
                <w:sz w:val="18"/>
                <w:szCs w:val="18"/>
                <w:lang w:eastAsia="es-ES"/>
              </w:rPr>
              <w:t>palbociclib-fulvestrant</w:t>
            </w:r>
            <w:proofErr w:type="spellEnd"/>
            <w:r w:rsidR="00992DFA" w:rsidRPr="00403DC6">
              <w:rPr>
                <w:sz w:val="18"/>
                <w:szCs w:val="18"/>
                <w:lang w:eastAsia="es-ES"/>
              </w:rPr>
              <w:t xml:space="preserve"> and </w:t>
            </w:r>
            <w:proofErr w:type="spellStart"/>
            <w:r w:rsidR="00992DFA" w:rsidRPr="00403DC6">
              <w:rPr>
                <w:sz w:val="18"/>
                <w:szCs w:val="18"/>
                <w:lang w:eastAsia="es-ES"/>
              </w:rPr>
              <w:t>palbociclib</w:t>
            </w:r>
            <w:proofErr w:type="spellEnd"/>
            <w:r w:rsidR="00992DFA" w:rsidRPr="00403DC6">
              <w:rPr>
                <w:sz w:val="18"/>
                <w:szCs w:val="18"/>
                <w:lang w:eastAsia="es-ES"/>
              </w:rPr>
              <w:t>-letrozole in terms of clinical benefit (70.8% [95% CI 64.6</w:t>
            </w:r>
            <w:r w:rsidR="00992DFA" w:rsidRPr="00403DC6">
              <w:rPr>
                <w:sz w:val="18"/>
                <w:szCs w:val="18"/>
                <w:shd w:val="clear" w:color="auto" w:fill="FFFFFF"/>
              </w:rPr>
              <w:t>–</w:t>
            </w:r>
            <w:r w:rsidR="00992DFA" w:rsidRPr="00403DC6">
              <w:rPr>
                <w:sz w:val="18"/>
                <w:szCs w:val="18"/>
                <w:lang w:eastAsia="es-ES"/>
              </w:rPr>
              <w:t>76.4%] versus 69.1% [95% CI 62.9</w:t>
            </w:r>
            <w:r w:rsidR="00992DFA" w:rsidRPr="00403DC6">
              <w:rPr>
                <w:sz w:val="18"/>
                <w:szCs w:val="18"/>
                <w:shd w:val="clear" w:color="auto" w:fill="FFFFFF"/>
              </w:rPr>
              <w:t>–</w:t>
            </w:r>
            <w:r w:rsidR="00992DFA" w:rsidRPr="00403DC6">
              <w:rPr>
                <w:sz w:val="18"/>
                <w:szCs w:val="18"/>
                <w:lang w:eastAsia="es-ES"/>
              </w:rPr>
              <w:t xml:space="preserve">74.9%] in the </w:t>
            </w:r>
            <w:r w:rsidR="00992DFA" w:rsidRPr="00403DC6">
              <w:rPr>
                <w:sz w:val="18"/>
                <w:szCs w:val="18"/>
                <w:shd w:val="clear" w:color="auto" w:fill="FFFFFF"/>
              </w:rPr>
              <w:t xml:space="preserve">experimental and control arms respectively; </w:t>
            </w:r>
            <w:r w:rsidR="00992DFA" w:rsidRPr="00403DC6">
              <w:rPr>
                <w:sz w:val="18"/>
                <w:szCs w:val="18"/>
                <w:lang w:eastAsia="es-ES"/>
              </w:rPr>
              <w:t xml:space="preserve">p=0.692). </w:t>
            </w:r>
            <w:r w:rsidR="00992DFA" w:rsidRPr="00403DC6">
              <w:rPr>
                <w:sz w:val="18"/>
                <w:szCs w:val="18"/>
                <w:shd w:val="clear" w:color="auto" w:fill="FFFFFF"/>
              </w:rPr>
              <w:t>Subgroup analyses of PFS according to stratification factors and other baseline characteristics did not demonstrate significant differences between both arms acr</w:t>
            </w:r>
            <w:r w:rsidRPr="00403DC6">
              <w:rPr>
                <w:sz w:val="18"/>
                <w:szCs w:val="18"/>
                <w:shd w:val="clear" w:color="auto" w:fill="FFFFFF"/>
              </w:rPr>
              <w:t>oss all pre-specified subgroups</w:t>
            </w:r>
            <w:r w:rsidR="009764D9" w:rsidRPr="00403DC6">
              <w:rPr>
                <w:sz w:val="18"/>
                <w:szCs w:val="18"/>
                <w:shd w:val="clear" w:color="auto" w:fill="FFFFFF"/>
              </w:rPr>
              <w:t xml:space="preserve"> (</w:t>
            </w:r>
            <w:r w:rsidR="00F45E60" w:rsidRPr="00F45E60">
              <w:rPr>
                <w:color w:val="2F5496" w:themeColor="accent1" w:themeShade="BF"/>
                <w:sz w:val="18"/>
                <w:szCs w:val="18"/>
                <w:shd w:val="clear" w:color="auto" w:fill="FFFFFF"/>
              </w:rPr>
              <w:fldChar w:fldCharType="begin"/>
            </w:r>
            <w:r w:rsidR="00F45E60" w:rsidRPr="00F45E60">
              <w:rPr>
                <w:color w:val="2F5496" w:themeColor="accent1" w:themeShade="BF"/>
                <w:sz w:val="18"/>
                <w:szCs w:val="18"/>
                <w:shd w:val="clear" w:color="auto" w:fill="FFFFFF"/>
              </w:rPr>
              <w:instrText xml:space="preserve"> REF _Ref52469629 \h  \* MERGEFORMAT </w:instrText>
            </w:r>
            <w:r w:rsidR="00F45E60" w:rsidRPr="00F45E60">
              <w:rPr>
                <w:color w:val="2F5496" w:themeColor="accent1" w:themeShade="BF"/>
                <w:sz w:val="18"/>
                <w:szCs w:val="18"/>
                <w:shd w:val="clear" w:color="auto" w:fill="FFFFFF"/>
              </w:rPr>
            </w:r>
            <w:r w:rsidR="00F45E60" w:rsidRPr="00F45E60">
              <w:rPr>
                <w:color w:val="2F5496" w:themeColor="accent1" w:themeShade="BF"/>
                <w:sz w:val="18"/>
                <w:szCs w:val="18"/>
                <w:shd w:val="clear" w:color="auto" w:fill="FFFFFF"/>
              </w:rPr>
              <w:fldChar w:fldCharType="separate"/>
            </w:r>
            <w:r w:rsidR="00F45E60" w:rsidRPr="00F45E60">
              <w:rPr>
                <w:color w:val="2F5496" w:themeColor="accent1" w:themeShade="BF"/>
                <w:sz w:val="18"/>
                <w:szCs w:val="18"/>
              </w:rPr>
              <w:t>Figure 7</w:t>
            </w:r>
            <w:r w:rsidR="00F45E60" w:rsidRPr="00F45E60">
              <w:rPr>
                <w:color w:val="2F5496" w:themeColor="accent1" w:themeShade="BF"/>
                <w:sz w:val="18"/>
                <w:szCs w:val="18"/>
                <w:shd w:val="clear" w:color="auto" w:fill="FFFFFF"/>
              </w:rPr>
              <w:fldChar w:fldCharType="end"/>
            </w:r>
            <w:r w:rsidR="009764D9" w:rsidRPr="00F45E60">
              <w:rPr>
                <w:sz w:val="18"/>
                <w:szCs w:val="18"/>
                <w:shd w:val="clear" w:color="auto" w:fill="FFFFFF"/>
              </w:rPr>
              <w:t>)</w:t>
            </w:r>
            <w:r w:rsidR="00992DFA" w:rsidRPr="00F45E60">
              <w:rPr>
                <w:sz w:val="18"/>
                <w:szCs w:val="18"/>
                <w:shd w:val="clear" w:color="auto" w:fill="FFFFFF"/>
              </w:rPr>
              <w:t>.</w:t>
            </w:r>
          </w:p>
          <w:p w14:paraId="10EBB554" w14:textId="6FCD1703" w:rsidR="00992DFA" w:rsidRPr="00403DC6" w:rsidRDefault="00992DFA" w:rsidP="00992DFA">
            <w:pPr>
              <w:spacing w:after="0" w:line="240" w:lineRule="auto"/>
              <w:rPr>
                <w:sz w:val="18"/>
                <w:szCs w:val="18"/>
                <w:shd w:val="clear" w:color="auto" w:fill="FFFFFF"/>
              </w:rPr>
            </w:pPr>
          </w:p>
          <w:p w14:paraId="059340E3" w14:textId="5441B4AE" w:rsidR="00C22CB7" w:rsidRPr="00403DC6" w:rsidRDefault="00A5705E" w:rsidP="00A5705E">
            <w:pPr>
              <w:pStyle w:val="SynopsisText"/>
              <w:spacing w:before="120" w:after="120"/>
              <w:rPr>
                <w:rFonts w:ascii="Arial" w:hAnsi="Arial" w:cs="Arial"/>
                <w:b/>
                <w:szCs w:val="18"/>
              </w:rPr>
            </w:pPr>
            <w:r w:rsidRPr="00403DC6">
              <w:rPr>
                <w:rFonts w:ascii="Arial" w:hAnsi="Arial" w:cs="Arial"/>
                <w:b/>
                <w:szCs w:val="18"/>
              </w:rPr>
              <w:t xml:space="preserve">Conclusion: </w:t>
            </w:r>
          </w:p>
          <w:p w14:paraId="7D2CEB6D" w14:textId="6DAB6870" w:rsidR="00C22CB7" w:rsidRPr="004F0FE2" w:rsidRDefault="00C22CB7" w:rsidP="00C22CB7">
            <w:pPr>
              <w:rPr>
                <w:sz w:val="18"/>
                <w:szCs w:val="18"/>
              </w:rPr>
            </w:pPr>
            <w:r w:rsidRPr="00403DC6">
              <w:rPr>
                <w:sz w:val="18"/>
                <w:szCs w:val="18"/>
              </w:rPr>
              <w:t xml:space="preserve">This international, </w:t>
            </w:r>
            <w:r w:rsidR="00C10F15" w:rsidRPr="00403DC6">
              <w:rPr>
                <w:sz w:val="18"/>
                <w:szCs w:val="18"/>
              </w:rPr>
              <w:t>randomized</w:t>
            </w:r>
            <w:r w:rsidRPr="00403DC6">
              <w:rPr>
                <w:sz w:val="18"/>
                <w:szCs w:val="18"/>
              </w:rPr>
              <w:t>, open-label trial d</w:t>
            </w:r>
            <w:r w:rsidR="0026170D" w:rsidRPr="00403DC6">
              <w:rPr>
                <w:sz w:val="18"/>
                <w:szCs w:val="18"/>
              </w:rPr>
              <w:t>id not show</w:t>
            </w:r>
            <w:r w:rsidRPr="00403DC6">
              <w:rPr>
                <w:sz w:val="18"/>
                <w:szCs w:val="18"/>
              </w:rPr>
              <w:t xml:space="preserve"> an improvement in PFS of </w:t>
            </w:r>
            <w:proofErr w:type="spellStart"/>
            <w:r w:rsidRPr="00403DC6">
              <w:rPr>
                <w:sz w:val="18"/>
                <w:szCs w:val="18"/>
                <w:shd w:val="clear" w:color="auto" w:fill="FFFFFF"/>
              </w:rPr>
              <w:t>palbociclib-fulvestrant</w:t>
            </w:r>
            <w:proofErr w:type="spellEnd"/>
            <w:r w:rsidRPr="00403DC6">
              <w:rPr>
                <w:sz w:val="18"/>
                <w:szCs w:val="18"/>
              </w:rPr>
              <w:t xml:space="preserve"> over </w:t>
            </w:r>
            <w:proofErr w:type="spellStart"/>
            <w:r w:rsidRPr="00403DC6">
              <w:rPr>
                <w:sz w:val="18"/>
                <w:szCs w:val="18"/>
              </w:rPr>
              <w:t>palbociclib</w:t>
            </w:r>
            <w:proofErr w:type="spellEnd"/>
            <w:r w:rsidRPr="00403DC6">
              <w:rPr>
                <w:sz w:val="18"/>
                <w:szCs w:val="18"/>
              </w:rPr>
              <w:t xml:space="preserve">-letrozole among patients receiving systemic </w:t>
            </w:r>
            <w:r w:rsidR="001A2F97" w:rsidRPr="00403DC6">
              <w:rPr>
                <w:sz w:val="18"/>
                <w:szCs w:val="18"/>
              </w:rPr>
              <w:t xml:space="preserve">first-line </w:t>
            </w:r>
            <w:r w:rsidRPr="00403DC6">
              <w:rPr>
                <w:sz w:val="18"/>
                <w:szCs w:val="18"/>
              </w:rPr>
              <w:t xml:space="preserve">treatment for endocrine-sensitive, ER+/HER2- </w:t>
            </w:r>
            <w:proofErr w:type="spellStart"/>
            <w:r w:rsidR="001A2F97" w:rsidRPr="00403DC6">
              <w:rPr>
                <w:sz w:val="18"/>
                <w:szCs w:val="18"/>
              </w:rPr>
              <w:t>mBC</w:t>
            </w:r>
            <w:proofErr w:type="spellEnd"/>
            <w:r w:rsidRPr="00403DC6">
              <w:rPr>
                <w:sz w:val="18"/>
                <w:szCs w:val="18"/>
              </w:rPr>
              <w:t xml:space="preserve">. Overall, the safety profile observed in PARSIFAL was generally consistent with previous </w:t>
            </w:r>
            <w:proofErr w:type="spellStart"/>
            <w:r w:rsidRPr="00403DC6">
              <w:rPr>
                <w:sz w:val="18"/>
                <w:szCs w:val="18"/>
              </w:rPr>
              <w:t>palbociclib</w:t>
            </w:r>
            <w:proofErr w:type="spellEnd"/>
            <w:r w:rsidR="001A2F97" w:rsidRPr="00403DC6">
              <w:rPr>
                <w:sz w:val="18"/>
                <w:szCs w:val="18"/>
              </w:rPr>
              <w:t>-based studies</w:t>
            </w:r>
            <w:r w:rsidRPr="00403DC6">
              <w:rPr>
                <w:sz w:val="18"/>
                <w:szCs w:val="18"/>
              </w:rPr>
              <w:t xml:space="preserve">, </w:t>
            </w:r>
            <w:r w:rsidRPr="00403DC6">
              <w:rPr>
                <w:rStyle w:val="st"/>
                <w:sz w:val="18"/>
                <w:szCs w:val="18"/>
              </w:rPr>
              <w:t xml:space="preserve">with </w:t>
            </w:r>
            <w:r w:rsidRPr="00403DC6">
              <w:rPr>
                <w:rStyle w:val="nfasis"/>
                <w:i w:val="0"/>
                <w:sz w:val="18"/>
                <w:szCs w:val="18"/>
              </w:rPr>
              <w:t>reasonable</w:t>
            </w:r>
            <w:r w:rsidRPr="00403DC6">
              <w:rPr>
                <w:rStyle w:val="st"/>
                <w:i/>
                <w:sz w:val="18"/>
                <w:szCs w:val="18"/>
              </w:rPr>
              <w:t xml:space="preserve"> </w:t>
            </w:r>
            <w:r w:rsidRPr="00403DC6">
              <w:rPr>
                <w:rStyle w:val="st"/>
                <w:sz w:val="18"/>
                <w:szCs w:val="18"/>
              </w:rPr>
              <w:t xml:space="preserve">drug tolerance, a </w:t>
            </w:r>
            <w:r w:rsidR="00FB1C22" w:rsidRPr="00403DC6">
              <w:rPr>
                <w:rStyle w:val="st"/>
                <w:sz w:val="18"/>
                <w:szCs w:val="18"/>
              </w:rPr>
              <w:t>predictable</w:t>
            </w:r>
            <w:r w:rsidR="001A2F97" w:rsidRPr="00403DC6">
              <w:rPr>
                <w:rStyle w:val="st"/>
                <w:sz w:val="18"/>
                <w:szCs w:val="18"/>
              </w:rPr>
              <w:t>,</w:t>
            </w:r>
            <w:r w:rsidR="00FB1C22" w:rsidRPr="00403DC6">
              <w:rPr>
                <w:rStyle w:val="st"/>
                <w:sz w:val="18"/>
                <w:szCs w:val="18"/>
              </w:rPr>
              <w:t xml:space="preserve"> and </w:t>
            </w:r>
            <w:r w:rsidRPr="00403DC6">
              <w:rPr>
                <w:rStyle w:val="nfasis"/>
                <w:i w:val="0"/>
                <w:sz w:val="18"/>
                <w:szCs w:val="18"/>
              </w:rPr>
              <w:t>manageable</w:t>
            </w:r>
            <w:r w:rsidRPr="00403DC6">
              <w:rPr>
                <w:rStyle w:val="st"/>
                <w:sz w:val="18"/>
                <w:szCs w:val="18"/>
              </w:rPr>
              <w:t xml:space="preserve"> </w:t>
            </w:r>
            <w:r w:rsidRPr="00403DC6">
              <w:rPr>
                <w:rStyle w:val="nfasis"/>
                <w:i w:val="0"/>
                <w:sz w:val="18"/>
                <w:szCs w:val="18"/>
              </w:rPr>
              <w:t>safety profile</w:t>
            </w:r>
            <w:r w:rsidRPr="00403DC6">
              <w:rPr>
                <w:rStyle w:val="st"/>
                <w:sz w:val="18"/>
                <w:szCs w:val="18"/>
              </w:rPr>
              <w:t>, a relatively low rate of discontinuations due</w:t>
            </w:r>
            <w:r w:rsidRPr="004F0FE2">
              <w:rPr>
                <w:rStyle w:val="st"/>
                <w:sz w:val="18"/>
                <w:szCs w:val="18"/>
              </w:rPr>
              <w:t xml:space="preserve"> to adverse </w:t>
            </w:r>
            <w:r w:rsidRPr="004F0FE2">
              <w:rPr>
                <w:rStyle w:val="nfasis"/>
                <w:i w:val="0"/>
                <w:sz w:val="18"/>
                <w:szCs w:val="18"/>
              </w:rPr>
              <w:t>events</w:t>
            </w:r>
            <w:r w:rsidRPr="004F0FE2">
              <w:rPr>
                <w:rStyle w:val="st"/>
                <w:sz w:val="18"/>
                <w:szCs w:val="18"/>
              </w:rPr>
              <w:t xml:space="preserve"> and no drug</w:t>
            </w:r>
            <w:r w:rsidR="001A2F97">
              <w:rPr>
                <w:rStyle w:val="st"/>
                <w:sz w:val="18"/>
                <w:szCs w:val="18"/>
              </w:rPr>
              <w:t>-</w:t>
            </w:r>
            <w:r w:rsidRPr="004F0FE2">
              <w:rPr>
                <w:rStyle w:val="st"/>
                <w:sz w:val="18"/>
                <w:szCs w:val="18"/>
              </w:rPr>
              <w:t xml:space="preserve">related deaths. </w:t>
            </w:r>
            <w:r w:rsidRPr="004F0FE2">
              <w:rPr>
                <w:sz w:val="18"/>
                <w:szCs w:val="18"/>
              </w:rPr>
              <w:t>F</w:t>
            </w:r>
            <w:r w:rsidRPr="004F0FE2">
              <w:rPr>
                <w:sz w:val="18"/>
                <w:szCs w:val="18"/>
                <w:shd w:val="clear" w:color="auto" w:fill="FFFFFF"/>
              </w:rPr>
              <w:t xml:space="preserve">indings from </w:t>
            </w:r>
            <w:r w:rsidR="00C10DED">
              <w:rPr>
                <w:sz w:val="18"/>
                <w:szCs w:val="18"/>
                <w:shd w:val="clear" w:color="auto" w:fill="FFFFFF"/>
              </w:rPr>
              <w:t xml:space="preserve">the </w:t>
            </w:r>
            <w:r w:rsidRPr="004F0FE2">
              <w:rPr>
                <w:sz w:val="18"/>
                <w:szCs w:val="18"/>
                <w:shd w:val="clear" w:color="auto" w:fill="FFFFFF"/>
              </w:rPr>
              <w:t>PARSIFAL study</w:t>
            </w:r>
            <w:r w:rsidRPr="004F0FE2">
              <w:rPr>
                <w:sz w:val="18"/>
                <w:szCs w:val="18"/>
              </w:rPr>
              <w:t xml:space="preserve"> </w:t>
            </w:r>
            <w:proofErr w:type="gramStart"/>
            <w:r w:rsidRPr="004F0FE2">
              <w:rPr>
                <w:sz w:val="18"/>
                <w:szCs w:val="18"/>
              </w:rPr>
              <w:t>confirm</w:t>
            </w:r>
            <w:proofErr w:type="gramEnd"/>
            <w:r w:rsidRPr="004F0FE2">
              <w:rPr>
                <w:sz w:val="18"/>
                <w:szCs w:val="18"/>
              </w:rPr>
              <w:t xml:space="preserve"> </w:t>
            </w:r>
            <w:r w:rsidR="001A2F97">
              <w:rPr>
                <w:sz w:val="18"/>
                <w:szCs w:val="18"/>
              </w:rPr>
              <w:t xml:space="preserve">non-steroidal aromatase inhibitors </w:t>
            </w:r>
            <w:r w:rsidR="00EA6CBA">
              <w:rPr>
                <w:sz w:val="18"/>
                <w:szCs w:val="18"/>
              </w:rPr>
              <w:t xml:space="preserve">(NSAI) </w:t>
            </w:r>
            <w:r w:rsidRPr="004F0FE2">
              <w:rPr>
                <w:sz w:val="18"/>
                <w:szCs w:val="18"/>
              </w:rPr>
              <w:t xml:space="preserve">as the preferred </w:t>
            </w:r>
            <w:proofErr w:type="spellStart"/>
            <w:r w:rsidRPr="004F0FE2">
              <w:rPr>
                <w:sz w:val="18"/>
                <w:szCs w:val="18"/>
              </w:rPr>
              <w:t>palbociclib</w:t>
            </w:r>
            <w:proofErr w:type="spellEnd"/>
            <w:r w:rsidRPr="004F0FE2">
              <w:rPr>
                <w:sz w:val="18"/>
                <w:szCs w:val="18"/>
              </w:rPr>
              <w:t xml:space="preserve"> partner for an </w:t>
            </w:r>
            <w:r w:rsidRPr="004F0FE2">
              <w:rPr>
                <w:sz w:val="18"/>
                <w:szCs w:val="18"/>
              </w:rPr>
              <w:lastRenderedPageBreak/>
              <w:t xml:space="preserve">effective treatment in this patient population, placing </w:t>
            </w:r>
            <w:proofErr w:type="spellStart"/>
            <w:r w:rsidRPr="004F0FE2">
              <w:rPr>
                <w:sz w:val="18"/>
                <w:szCs w:val="18"/>
              </w:rPr>
              <w:t>fulvestrant</w:t>
            </w:r>
            <w:proofErr w:type="spellEnd"/>
            <w:r w:rsidRPr="004F0FE2">
              <w:rPr>
                <w:sz w:val="18"/>
                <w:szCs w:val="18"/>
              </w:rPr>
              <w:t xml:space="preserve">-based therapy as the standard of care for patients </w:t>
            </w:r>
            <w:r w:rsidRPr="004F0FE2">
              <w:rPr>
                <w:sz w:val="18"/>
                <w:szCs w:val="18"/>
                <w:lang w:eastAsia="es-ES"/>
              </w:rPr>
              <w:t>who progress on initial endocrine therapy with NSAI and CDK4/6 inhibitors.</w:t>
            </w:r>
          </w:p>
          <w:p w14:paraId="3F509FD2" w14:textId="77777777" w:rsidR="00C22CB7" w:rsidRPr="009764D9" w:rsidRDefault="00C22CB7" w:rsidP="00C22CB7">
            <w:pPr>
              <w:pStyle w:val="SynopsisText"/>
              <w:rPr>
                <w:rFonts w:ascii="Arial" w:hAnsi="Arial" w:cs="Arial"/>
                <w:szCs w:val="18"/>
                <w:u w:val="single"/>
              </w:rPr>
            </w:pPr>
          </w:p>
          <w:p w14:paraId="1310126F" w14:textId="302F582B" w:rsidR="00C22CB7" w:rsidRPr="004F0FE2" w:rsidRDefault="00C22CB7" w:rsidP="00C22CB7">
            <w:pPr>
              <w:pStyle w:val="BodyText10"/>
              <w:rPr>
                <w:rFonts w:ascii="Arial" w:hAnsi="Arial" w:cs="Arial"/>
                <w:sz w:val="18"/>
                <w:szCs w:val="18"/>
              </w:rPr>
            </w:pPr>
            <w:r w:rsidRPr="00A5705E">
              <w:rPr>
                <w:rFonts w:ascii="Arial" w:hAnsi="Arial" w:cs="Arial"/>
                <w:b/>
                <w:sz w:val="18"/>
                <w:szCs w:val="18"/>
              </w:rPr>
              <w:t>Date of the report:</w:t>
            </w:r>
            <w:r w:rsidRPr="009764D9">
              <w:rPr>
                <w:rFonts w:ascii="Arial" w:hAnsi="Arial" w:cs="Arial"/>
                <w:sz w:val="18"/>
                <w:szCs w:val="18"/>
              </w:rPr>
              <w:t xml:space="preserve"> </w:t>
            </w:r>
            <w:r w:rsidR="00FB6A52">
              <w:rPr>
                <w:rFonts w:ascii="Arial" w:hAnsi="Arial" w:cs="Arial"/>
                <w:sz w:val="18"/>
                <w:szCs w:val="18"/>
              </w:rPr>
              <w:t>01</w:t>
            </w:r>
            <w:r w:rsidRPr="009764D9">
              <w:rPr>
                <w:rFonts w:ascii="Arial" w:hAnsi="Arial" w:cs="Arial"/>
                <w:sz w:val="18"/>
                <w:szCs w:val="18"/>
              </w:rPr>
              <w:t>/</w:t>
            </w:r>
            <w:r w:rsidR="00FB6A52">
              <w:rPr>
                <w:rFonts w:ascii="Arial" w:hAnsi="Arial" w:cs="Arial"/>
                <w:sz w:val="18"/>
                <w:szCs w:val="18"/>
              </w:rPr>
              <w:t>OCT</w:t>
            </w:r>
            <w:r w:rsidR="00EA6CBA" w:rsidRPr="009764D9">
              <w:rPr>
                <w:rFonts w:ascii="Arial" w:hAnsi="Arial" w:cs="Arial"/>
                <w:sz w:val="18"/>
                <w:szCs w:val="18"/>
              </w:rPr>
              <w:t>/2020</w:t>
            </w:r>
          </w:p>
        </w:tc>
      </w:tr>
    </w:tbl>
    <w:p w14:paraId="13C69CB9" w14:textId="77777777" w:rsidR="00736987" w:rsidRPr="004F0FE2" w:rsidRDefault="00736987" w:rsidP="00736987">
      <w:pPr>
        <w:pStyle w:val="BodyText10"/>
      </w:pPr>
    </w:p>
    <w:p w14:paraId="457725F2" w14:textId="77777777" w:rsidR="00977932" w:rsidRPr="004F0FE2" w:rsidRDefault="00977932">
      <w:pPr>
        <w:pStyle w:val="Blank"/>
        <w:rPr>
          <w:rFonts w:ascii="Arial" w:hAnsi="Arial" w:cs="Arial"/>
        </w:rPr>
        <w:sectPr w:rsidR="00977932" w:rsidRPr="004F0FE2">
          <w:pgSz w:w="12240" w:h="15840" w:code="1"/>
          <w:pgMar w:top="1152" w:right="1656" w:bottom="1152" w:left="2304" w:header="1152" w:footer="850" w:gutter="0"/>
          <w:paperSrc w:first="14137" w:other="14137"/>
          <w:cols w:space="720"/>
          <w:noEndnote/>
        </w:sectPr>
      </w:pPr>
    </w:p>
    <w:p w14:paraId="06F78C5C" w14:textId="77777777" w:rsidR="00977932" w:rsidRPr="004F0FE2" w:rsidRDefault="00977932" w:rsidP="00586F8A">
      <w:pPr>
        <w:rPr>
          <w:b/>
        </w:rPr>
      </w:pPr>
      <w:bookmarkStart w:id="19" w:name="_Toc350579966"/>
      <w:bookmarkStart w:id="20" w:name="_Toc351358038"/>
      <w:bookmarkStart w:id="21" w:name="_Toc351358628"/>
      <w:bookmarkStart w:id="22" w:name="_Toc352037257"/>
      <w:bookmarkStart w:id="23" w:name="_Toc352038893"/>
      <w:bookmarkStart w:id="24" w:name="_Toc352039626"/>
      <w:bookmarkStart w:id="25" w:name="_Toc352039725"/>
      <w:bookmarkStart w:id="26" w:name="_Toc377434841"/>
      <w:bookmarkStart w:id="27" w:name="_Toc377434999"/>
      <w:bookmarkStart w:id="28" w:name="_Toc377435137"/>
      <w:bookmarkStart w:id="29" w:name="_Toc377438540"/>
      <w:bookmarkStart w:id="30" w:name="_Toc392499770"/>
      <w:bookmarkStart w:id="31" w:name="_Toc392500402"/>
      <w:bookmarkStart w:id="32" w:name="_Toc46085706"/>
      <w:bookmarkStart w:id="33" w:name="_Toc48334776"/>
      <w:bookmarkStart w:id="34" w:name="_Toc48457594"/>
      <w:r w:rsidRPr="004F0FE2">
        <w:rPr>
          <w:b/>
        </w:rPr>
        <w:lastRenderedPageBreak/>
        <w:t>LIST OF ABBREVIATIONS AND DEFINITIONS OF TERMS</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tbl>
      <w:tblPr>
        <w:tblW w:w="0" w:type="auto"/>
        <w:tblLook w:val="04A0" w:firstRow="1" w:lastRow="0" w:firstColumn="1" w:lastColumn="0" w:noHBand="0" w:noVBand="1"/>
      </w:tblPr>
      <w:tblGrid>
        <w:gridCol w:w="993"/>
        <w:gridCol w:w="7287"/>
      </w:tblGrid>
      <w:tr w:rsidR="007C2456" w:rsidRPr="002325CB" w14:paraId="2C12C6E2" w14:textId="77777777" w:rsidTr="002325CB">
        <w:tc>
          <w:tcPr>
            <w:tcW w:w="993" w:type="dxa"/>
            <w:shd w:val="clear" w:color="auto" w:fill="auto"/>
            <w:vAlign w:val="center"/>
          </w:tcPr>
          <w:p w14:paraId="61D057EC"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ABC</w:t>
            </w:r>
          </w:p>
        </w:tc>
        <w:tc>
          <w:tcPr>
            <w:tcW w:w="7287" w:type="dxa"/>
            <w:shd w:val="clear" w:color="auto" w:fill="auto"/>
            <w:vAlign w:val="center"/>
          </w:tcPr>
          <w:p w14:paraId="10C9E2E9"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Advanced Breast Cancer</w:t>
            </w:r>
          </w:p>
        </w:tc>
      </w:tr>
      <w:tr w:rsidR="007C2456" w:rsidRPr="002325CB" w14:paraId="11A9C427" w14:textId="77777777" w:rsidTr="002325CB">
        <w:tc>
          <w:tcPr>
            <w:tcW w:w="993" w:type="dxa"/>
            <w:shd w:val="clear" w:color="auto" w:fill="auto"/>
            <w:vAlign w:val="center"/>
          </w:tcPr>
          <w:p w14:paraId="67649574" w14:textId="6CC355C6" w:rsidR="007C2456" w:rsidRPr="002325CB" w:rsidRDefault="007C2456" w:rsidP="002325CB">
            <w:pPr>
              <w:pStyle w:val="BodyText10"/>
              <w:tabs>
                <w:tab w:val="left" w:pos="1800"/>
              </w:tabs>
              <w:spacing w:after="0"/>
              <w:jc w:val="left"/>
              <w:rPr>
                <w:rFonts w:ascii="Arial" w:hAnsi="Arial" w:cs="Arial"/>
                <w:sz w:val="18"/>
                <w:szCs w:val="18"/>
              </w:rPr>
            </w:pPr>
            <w:r w:rsidRPr="002325CB">
              <w:rPr>
                <w:rFonts w:ascii="Arial" w:hAnsi="Arial" w:cs="Arial"/>
                <w:sz w:val="18"/>
                <w:szCs w:val="18"/>
              </w:rPr>
              <w:t>AE</w:t>
            </w:r>
          </w:p>
        </w:tc>
        <w:tc>
          <w:tcPr>
            <w:tcW w:w="7287" w:type="dxa"/>
            <w:shd w:val="clear" w:color="auto" w:fill="auto"/>
            <w:vAlign w:val="center"/>
          </w:tcPr>
          <w:p w14:paraId="18C67CAD"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Adverse Event</w:t>
            </w:r>
          </w:p>
        </w:tc>
      </w:tr>
      <w:tr w:rsidR="007C2456" w:rsidRPr="002325CB" w14:paraId="425311B3" w14:textId="77777777" w:rsidTr="002325CB">
        <w:tc>
          <w:tcPr>
            <w:tcW w:w="993" w:type="dxa"/>
            <w:shd w:val="clear" w:color="auto" w:fill="auto"/>
            <w:vAlign w:val="center"/>
          </w:tcPr>
          <w:p w14:paraId="38D6D4B3"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ALT</w:t>
            </w:r>
          </w:p>
        </w:tc>
        <w:tc>
          <w:tcPr>
            <w:tcW w:w="7287" w:type="dxa"/>
            <w:shd w:val="clear" w:color="auto" w:fill="auto"/>
            <w:vAlign w:val="center"/>
          </w:tcPr>
          <w:p w14:paraId="24AAAA46"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Alanine aminotransferase</w:t>
            </w:r>
          </w:p>
        </w:tc>
      </w:tr>
      <w:tr w:rsidR="0094371A" w:rsidRPr="002325CB" w14:paraId="504DFD78" w14:textId="77777777" w:rsidTr="002325CB">
        <w:tc>
          <w:tcPr>
            <w:tcW w:w="993" w:type="dxa"/>
            <w:shd w:val="clear" w:color="auto" w:fill="auto"/>
            <w:vAlign w:val="center"/>
          </w:tcPr>
          <w:p w14:paraId="07DAEACE" w14:textId="77777777" w:rsidR="0094371A" w:rsidRPr="002325CB" w:rsidRDefault="0094371A"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ANC</w:t>
            </w:r>
          </w:p>
        </w:tc>
        <w:tc>
          <w:tcPr>
            <w:tcW w:w="7287" w:type="dxa"/>
            <w:shd w:val="clear" w:color="auto" w:fill="auto"/>
            <w:vAlign w:val="center"/>
          </w:tcPr>
          <w:p w14:paraId="746E8E17" w14:textId="77777777" w:rsidR="0094371A" w:rsidRPr="002325CB" w:rsidRDefault="0094371A" w:rsidP="0094371A">
            <w:pPr>
              <w:pStyle w:val="BodyText10"/>
              <w:tabs>
                <w:tab w:val="left" w:pos="1800"/>
              </w:tabs>
              <w:spacing w:after="0"/>
              <w:jc w:val="left"/>
              <w:rPr>
                <w:rFonts w:ascii="Arial" w:hAnsi="Arial" w:cs="Arial"/>
                <w:sz w:val="18"/>
                <w:szCs w:val="18"/>
              </w:rPr>
            </w:pPr>
            <w:r w:rsidRPr="002325CB">
              <w:rPr>
                <w:rFonts w:ascii="Arial" w:hAnsi="Arial" w:cs="Arial"/>
                <w:sz w:val="18"/>
                <w:szCs w:val="18"/>
              </w:rPr>
              <w:t>Absolute Neutrophil Count</w:t>
            </w:r>
          </w:p>
        </w:tc>
      </w:tr>
      <w:tr w:rsidR="007C2456" w:rsidRPr="002325CB" w14:paraId="26682A47" w14:textId="77777777" w:rsidTr="002325CB">
        <w:tc>
          <w:tcPr>
            <w:tcW w:w="993" w:type="dxa"/>
            <w:shd w:val="clear" w:color="auto" w:fill="auto"/>
            <w:vAlign w:val="center"/>
          </w:tcPr>
          <w:p w14:paraId="5B01BAD6"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AST</w:t>
            </w:r>
          </w:p>
        </w:tc>
        <w:tc>
          <w:tcPr>
            <w:tcW w:w="7287" w:type="dxa"/>
            <w:shd w:val="clear" w:color="auto" w:fill="auto"/>
            <w:vAlign w:val="center"/>
          </w:tcPr>
          <w:p w14:paraId="6C698034"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Aspartate aminotransferase</w:t>
            </w:r>
          </w:p>
        </w:tc>
      </w:tr>
      <w:tr w:rsidR="007C2456" w:rsidRPr="002325CB" w14:paraId="5F5EA425" w14:textId="77777777" w:rsidTr="002325CB">
        <w:tc>
          <w:tcPr>
            <w:tcW w:w="993" w:type="dxa"/>
            <w:shd w:val="clear" w:color="auto" w:fill="auto"/>
            <w:vAlign w:val="center"/>
          </w:tcPr>
          <w:p w14:paraId="052AA21D"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CBR</w:t>
            </w:r>
          </w:p>
        </w:tc>
        <w:tc>
          <w:tcPr>
            <w:tcW w:w="7287" w:type="dxa"/>
            <w:shd w:val="clear" w:color="auto" w:fill="auto"/>
            <w:vAlign w:val="center"/>
          </w:tcPr>
          <w:p w14:paraId="4F99EE7A"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Clinical Benefit Rate</w:t>
            </w:r>
          </w:p>
        </w:tc>
      </w:tr>
      <w:tr w:rsidR="007C2456" w:rsidRPr="002325CB" w14:paraId="7F635CD7" w14:textId="77777777" w:rsidTr="002325CB">
        <w:tc>
          <w:tcPr>
            <w:tcW w:w="993" w:type="dxa"/>
            <w:shd w:val="clear" w:color="auto" w:fill="auto"/>
            <w:vAlign w:val="center"/>
          </w:tcPr>
          <w:p w14:paraId="4CCC19E0"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CDK4/6</w:t>
            </w:r>
          </w:p>
        </w:tc>
        <w:tc>
          <w:tcPr>
            <w:tcW w:w="7287" w:type="dxa"/>
            <w:shd w:val="clear" w:color="auto" w:fill="auto"/>
            <w:vAlign w:val="center"/>
          </w:tcPr>
          <w:p w14:paraId="4D097892" w14:textId="77777777" w:rsidR="007C2456" w:rsidRPr="002325CB" w:rsidRDefault="007C2456" w:rsidP="007C2456">
            <w:pPr>
              <w:pStyle w:val="BodyText10"/>
              <w:tabs>
                <w:tab w:val="left" w:pos="1800"/>
              </w:tabs>
              <w:spacing w:after="0"/>
              <w:jc w:val="left"/>
              <w:rPr>
                <w:rFonts w:ascii="Arial" w:hAnsi="Arial" w:cs="Arial"/>
                <w:sz w:val="18"/>
                <w:szCs w:val="18"/>
              </w:rPr>
            </w:pPr>
            <w:r w:rsidRPr="002325CB">
              <w:rPr>
                <w:rStyle w:val="st"/>
                <w:rFonts w:ascii="Arial" w:hAnsi="Arial" w:cs="Arial"/>
                <w:sz w:val="18"/>
                <w:szCs w:val="18"/>
              </w:rPr>
              <w:t>Cyclin D kinase 4/</w:t>
            </w:r>
            <w:r w:rsidRPr="002325CB">
              <w:rPr>
                <w:rStyle w:val="nfasis"/>
                <w:rFonts w:ascii="Arial" w:hAnsi="Arial" w:cs="Arial"/>
                <w:sz w:val="18"/>
                <w:szCs w:val="18"/>
              </w:rPr>
              <w:t>6</w:t>
            </w:r>
            <w:r w:rsidRPr="002325CB">
              <w:rPr>
                <w:rStyle w:val="st"/>
                <w:rFonts w:ascii="Arial" w:hAnsi="Arial" w:cs="Arial"/>
                <w:sz w:val="18"/>
                <w:szCs w:val="18"/>
              </w:rPr>
              <w:t xml:space="preserve"> </w:t>
            </w:r>
          </w:p>
        </w:tc>
      </w:tr>
      <w:tr w:rsidR="007C2456" w:rsidRPr="002325CB" w14:paraId="7DF92CD4" w14:textId="77777777" w:rsidTr="002325CB">
        <w:tc>
          <w:tcPr>
            <w:tcW w:w="993" w:type="dxa"/>
            <w:shd w:val="clear" w:color="auto" w:fill="auto"/>
            <w:vAlign w:val="center"/>
          </w:tcPr>
          <w:p w14:paraId="21EDA236" w14:textId="28FCAD5D" w:rsidR="007C2456" w:rsidRPr="002325CB" w:rsidRDefault="007C2456" w:rsidP="002325CB">
            <w:pPr>
              <w:pStyle w:val="BodyText10"/>
              <w:tabs>
                <w:tab w:val="left" w:pos="1800"/>
              </w:tabs>
              <w:spacing w:after="0"/>
              <w:jc w:val="left"/>
              <w:rPr>
                <w:rFonts w:ascii="Arial" w:hAnsi="Arial" w:cs="Arial"/>
                <w:sz w:val="18"/>
                <w:szCs w:val="18"/>
              </w:rPr>
            </w:pPr>
            <w:r w:rsidRPr="002325CB">
              <w:rPr>
                <w:rFonts w:ascii="Arial" w:hAnsi="Arial" w:cs="Arial"/>
                <w:sz w:val="18"/>
                <w:szCs w:val="18"/>
              </w:rPr>
              <w:t>CI</w:t>
            </w:r>
          </w:p>
        </w:tc>
        <w:tc>
          <w:tcPr>
            <w:tcW w:w="7287" w:type="dxa"/>
            <w:shd w:val="clear" w:color="auto" w:fill="auto"/>
            <w:vAlign w:val="center"/>
          </w:tcPr>
          <w:p w14:paraId="3474C011"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Confidence Interval</w:t>
            </w:r>
          </w:p>
        </w:tc>
      </w:tr>
      <w:tr w:rsidR="007C2456" w:rsidRPr="002325CB" w14:paraId="232D7C01" w14:textId="77777777" w:rsidTr="002325CB">
        <w:tc>
          <w:tcPr>
            <w:tcW w:w="993" w:type="dxa"/>
            <w:shd w:val="clear" w:color="auto" w:fill="auto"/>
            <w:vAlign w:val="center"/>
          </w:tcPr>
          <w:p w14:paraId="5B39CD5B"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CNS</w:t>
            </w:r>
          </w:p>
        </w:tc>
        <w:tc>
          <w:tcPr>
            <w:tcW w:w="7287" w:type="dxa"/>
            <w:shd w:val="clear" w:color="auto" w:fill="auto"/>
            <w:vAlign w:val="center"/>
          </w:tcPr>
          <w:p w14:paraId="5387FE24"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Central Nervous System</w:t>
            </w:r>
          </w:p>
        </w:tc>
      </w:tr>
      <w:tr w:rsidR="007D56E4" w:rsidRPr="002325CB" w14:paraId="4B4C5741" w14:textId="77777777" w:rsidTr="002325CB">
        <w:tc>
          <w:tcPr>
            <w:tcW w:w="993" w:type="dxa"/>
            <w:shd w:val="clear" w:color="auto" w:fill="auto"/>
            <w:vAlign w:val="center"/>
          </w:tcPr>
          <w:p w14:paraId="07A678B4" w14:textId="7C082607" w:rsidR="007D56E4" w:rsidRPr="002325CB" w:rsidRDefault="007D56E4" w:rsidP="002325CB">
            <w:pPr>
              <w:pStyle w:val="BodyText10"/>
              <w:tabs>
                <w:tab w:val="left" w:pos="1800"/>
              </w:tabs>
              <w:spacing w:after="0"/>
              <w:jc w:val="left"/>
              <w:rPr>
                <w:rFonts w:ascii="Arial" w:hAnsi="Arial" w:cs="Arial"/>
                <w:sz w:val="18"/>
                <w:szCs w:val="18"/>
              </w:rPr>
            </w:pPr>
            <w:r>
              <w:rPr>
                <w:rFonts w:ascii="Arial" w:hAnsi="Arial" w:cs="Arial"/>
                <w:sz w:val="18"/>
                <w:szCs w:val="18"/>
              </w:rPr>
              <w:t>CR</w:t>
            </w:r>
          </w:p>
        </w:tc>
        <w:tc>
          <w:tcPr>
            <w:tcW w:w="7287" w:type="dxa"/>
            <w:shd w:val="clear" w:color="auto" w:fill="auto"/>
            <w:vAlign w:val="center"/>
          </w:tcPr>
          <w:p w14:paraId="18713D60" w14:textId="647F9E0B" w:rsidR="007D56E4" w:rsidRPr="002325CB" w:rsidRDefault="007D56E4" w:rsidP="005E2AE9">
            <w:pPr>
              <w:pStyle w:val="BodyText10"/>
              <w:tabs>
                <w:tab w:val="left" w:pos="1800"/>
              </w:tabs>
              <w:spacing w:after="0"/>
              <w:jc w:val="left"/>
              <w:rPr>
                <w:rFonts w:ascii="Arial" w:hAnsi="Arial" w:cs="Arial"/>
                <w:sz w:val="18"/>
                <w:szCs w:val="18"/>
              </w:rPr>
            </w:pPr>
            <w:r>
              <w:rPr>
                <w:rFonts w:ascii="Arial" w:hAnsi="Arial" w:cs="Arial"/>
                <w:sz w:val="18"/>
                <w:szCs w:val="18"/>
              </w:rPr>
              <w:t xml:space="preserve">Complete (tumor) </w:t>
            </w:r>
            <w:r w:rsidR="005E2AE9">
              <w:rPr>
                <w:rFonts w:ascii="Arial" w:hAnsi="Arial" w:cs="Arial"/>
                <w:sz w:val="18"/>
                <w:szCs w:val="18"/>
              </w:rPr>
              <w:t>R</w:t>
            </w:r>
            <w:r>
              <w:rPr>
                <w:rFonts w:ascii="Arial" w:hAnsi="Arial" w:cs="Arial"/>
                <w:sz w:val="18"/>
                <w:szCs w:val="18"/>
              </w:rPr>
              <w:t>esponse</w:t>
            </w:r>
          </w:p>
        </w:tc>
      </w:tr>
      <w:tr w:rsidR="007C2456" w:rsidRPr="002325CB" w14:paraId="1F202410" w14:textId="77777777" w:rsidTr="002325CB">
        <w:tc>
          <w:tcPr>
            <w:tcW w:w="993" w:type="dxa"/>
            <w:shd w:val="clear" w:color="auto" w:fill="auto"/>
            <w:vAlign w:val="center"/>
          </w:tcPr>
          <w:p w14:paraId="22FAEC6F" w14:textId="03B41D64" w:rsidR="007C2456" w:rsidRPr="002325CB" w:rsidRDefault="007C2456" w:rsidP="002325CB">
            <w:pPr>
              <w:pStyle w:val="BodyText10"/>
              <w:tabs>
                <w:tab w:val="left" w:pos="1800"/>
              </w:tabs>
              <w:spacing w:after="0"/>
              <w:jc w:val="left"/>
              <w:rPr>
                <w:rFonts w:ascii="Arial" w:hAnsi="Arial" w:cs="Arial"/>
                <w:sz w:val="18"/>
                <w:szCs w:val="18"/>
              </w:rPr>
            </w:pPr>
            <w:r w:rsidRPr="002325CB">
              <w:rPr>
                <w:rFonts w:ascii="Arial" w:hAnsi="Arial" w:cs="Arial"/>
                <w:sz w:val="18"/>
                <w:szCs w:val="18"/>
              </w:rPr>
              <w:t>CRF</w:t>
            </w:r>
          </w:p>
        </w:tc>
        <w:tc>
          <w:tcPr>
            <w:tcW w:w="7287" w:type="dxa"/>
            <w:shd w:val="clear" w:color="auto" w:fill="auto"/>
            <w:vAlign w:val="center"/>
          </w:tcPr>
          <w:p w14:paraId="0F4D2F66"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Case Report Form</w:t>
            </w:r>
          </w:p>
        </w:tc>
      </w:tr>
      <w:tr w:rsidR="002325CB" w:rsidRPr="002325CB" w14:paraId="01B154C8" w14:textId="77777777" w:rsidTr="002325CB">
        <w:tc>
          <w:tcPr>
            <w:tcW w:w="993" w:type="dxa"/>
            <w:shd w:val="clear" w:color="auto" w:fill="auto"/>
            <w:vAlign w:val="center"/>
          </w:tcPr>
          <w:p w14:paraId="61A6AFAC" w14:textId="526D5542" w:rsidR="002325CB" w:rsidRPr="002325CB" w:rsidRDefault="002325CB" w:rsidP="00D34A05">
            <w:pPr>
              <w:pStyle w:val="BodyText10"/>
              <w:tabs>
                <w:tab w:val="left" w:pos="1800"/>
              </w:tabs>
              <w:spacing w:after="0"/>
              <w:jc w:val="left"/>
              <w:rPr>
                <w:rFonts w:ascii="Arial" w:hAnsi="Arial" w:cs="Arial"/>
                <w:sz w:val="18"/>
                <w:szCs w:val="18"/>
              </w:rPr>
            </w:pPr>
            <w:r>
              <w:rPr>
                <w:rFonts w:ascii="Arial" w:hAnsi="Arial" w:cs="Arial"/>
                <w:sz w:val="18"/>
                <w:szCs w:val="18"/>
              </w:rPr>
              <w:t>CRO</w:t>
            </w:r>
          </w:p>
        </w:tc>
        <w:tc>
          <w:tcPr>
            <w:tcW w:w="7287" w:type="dxa"/>
            <w:shd w:val="clear" w:color="auto" w:fill="auto"/>
            <w:vAlign w:val="center"/>
          </w:tcPr>
          <w:p w14:paraId="52AE3EF0" w14:textId="25102483" w:rsidR="002325CB" w:rsidRPr="002325CB" w:rsidRDefault="002325CB" w:rsidP="00B22181">
            <w:pPr>
              <w:pStyle w:val="BodyText10"/>
              <w:tabs>
                <w:tab w:val="left" w:pos="1800"/>
              </w:tabs>
              <w:spacing w:after="0"/>
              <w:jc w:val="left"/>
              <w:rPr>
                <w:rStyle w:val="nfasis"/>
                <w:rFonts w:ascii="Arial" w:hAnsi="Arial" w:cs="Arial"/>
                <w:i w:val="0"/>
                <w:sz w:val="18"/>
                <w:szCs w:val="18"/>
              </w:rPr>
            </w:pPr>
            <w:r>
              <w:rPr>
                <w:rStyle w:val="nfasis"/>
                <w:rFonts w:ascii="Arial" w:hAnsi="Arial" w:cs="Arial"/>
                <w:i w:val="0"/>
                <w:sz w:val="18"/>
                <w:szCs w:val="18"/>
              </w:rPr>
              <w:t>Contract Research Organization</w:t>
            </w:r>
          </w:p>
        </w:tc>
      </w:tr>
      <w:tr w:rsidR="007C2456" w:rsidRPr="002325CB" w14:paraId="32B5A0D1" w14:textId="77777777" w:rsidTr="002325CB">
        <w:tc>
          <w:tcPr>
            <w:tcW w:w="993" w:type="dxa"/>
            <w:shd w:val="clear" w:color="auto" w:fill="auto"/>
            <w:vAlign w:val="center"/>
          </w:tcPr>
          <w:p w14:paraId="2F1442A5"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CT</w:t>
            </w:r>
          </w:p>
        </w:tc>
        <w:tc>
          <w:tcPr>
            <w:tcW w:w="7287" w:type="dxa"/>
            <w:shd w:val="clear" w:color="auto" w:fill="auto"/>
            <w:vAlign w:val="center"/>
          </w:tcPr>
          <w:p w14:paraId="374D7CB3" w14:textId="77777777" w:rsidR="007C2456" w:rsidRPr="002325CB" w:rsidRDefault="007C2456" w:rsidP="00B22181">
            <w:pPr>
              <w:pStyle w:val="BodyText10"/>
              <w:tabs>
                <w:tab w:val="left" w:pos="1800"/>
              </w:tabs>
              <w:spacing w:after="0"/>
              <w:jc w:val="left"/>
              <w:rPr>
                <w:rFonts w:ascii="Arial" w:hAnsi="Arial" w:cs="Arial"/>
                <w:i/>
                <w:sz w:val="18"/>
                <w:szCs w:val="18"/>
              </w:rPr>
            </w:pPr>
            <w:r w:rsidRPr="002325CB">
              <w:rPr>
                <w:rStyle w:val="nfasis"/>
                <w:rFonts w:ascii="Arial" w:hAnsi="Arial" w:cs="Arial"/>
                <w:i w:val="0"/>
                <w:sz w:val="18"/>
                <w:szCs w:val="18"/>
              </w:rPr>
              <w:t>Computed Tomography scans</w:t>
            </w:r>
          </w:p>
        </w:tc>
      </w:tr>
      <w:tr w:rsidR="007C2456" w:rsidRPr="002325CB" w14:paraId="7070B6D8" w14:textId="77777777" w:rsidTr="002325CB">
        <w:tc>
          <w:tcPr>
            <w:tcW w:w="993" w:type="dxa"/>
            <w:shd w:val="clear" w:color="auto" w:fill="auto"/>
            <w:vAlign w:val="center"/>
          </w:tcPr>
          <w:p w14:paraId="7CE737D5" w14:textId="77777777" w:rsidR="007C2456" w:rsidRPr="002325CB" w:rsidRDefault="007C2456" w:rsidP="00D34A05">
            <w:pPr>
              <w:pStyle w:val="BodyText10"/>
              <w:tabs>
                <w:tab w:val="left" w:pos="1800"/>
              </w:tabs>
              <w:spacing w:after="0"/>
              <w:jc w:val="left"/>
              <w:rPr>
                <w:rFonts w:ascii="Arial" w:hAnsi="Arial" w:cs="Arial"/>
                <w:sz w:val="18"/>
                <w:szCs w:val="18"/>
              </w:rPr>
            </w:pPr>
            <w:proofErr w:type="spellStart"/>
            <w:r w:rsidRPr="002325CB">
              <w:rPr>
                <w:rFonts w:ascii="Arial" w:hAnsi="Arial" w:cs="Arial"/>
                <w:sz w:val="18"/>
                <w:szCs w:val="18"/>
              </w:rPr>
              <w:t>DoCB</w:t>
            </w:r>
            <w:proofErr w:type="spellEnd"/>
          </w:p>
        </w:tc>
        <w:tc>
          <w:tcPr>
            <w:tcW w:w="7287" w:type="dxa"/>
            <w:shd w:val="clear" w:color="auto" w:fill="auto"/>
            <w:vAlign w:val="center"/>
          </w:tcPr>
          <w:p w14:paraId="4D55D246"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Duration of Clinical Benefit</w:t>
            </w:r>
          </w:p>
        </w:tc>
      </w:tr>
      <w:tr w:rsidR="007C2456" w:rsidRPr="002325CB" w14:paraId="641D4416" w14:textId="77777777" w:rsidTr="002325CB">
        <w:tc>
          <w:tcPr>
            <w:tcW w:w="993" w:type="dxa"/>
            <w:shd w:val="clear" w:color="auto" w:fill="auto"/>
            <w:vAlign w:val="center"/>
          </w:tcPr>
          <w:p w14:paraId="2F23807E" w14:textId="77777777" w:rsidR="007C2456" w:rsidRPr="002325CB" w:rsidRDefault="007C2456" w:rsidP="00D34A05">
            <w:pPr>
              <w:pStyle w:val="BodyText10"/>
              <w:tabs>
                <w:tab w:val="left" w:pos="1800"/>
              </w:tabs>
              <w:spacing w:after="0"/>
              <w:jc w:val="left"/>
              <w:rPr>
                <w:rFonts w:ascii="Arial" w:hAnsi="Arial" w:cs="Arial"/>
                <w:sz w:val="18"/>
                <w:szCs w:val="18"/>
              </w:rPr>
            </w:pPr>
            <w:proofErr w:type="spellStart"/>
            <w:r w:rsidRPr="002325CB">
              <w:rPr>
                <w:rFonts w:ascii="Arial" w:hAnsi="Arial" w:cs="Arial"/>
                <w:sz w:val="18"/>
                <w:szCs w:val="18"/>
              </w:rPr>
              <w:t>DoR</w:t>
            </w:r>
            <w:proofErr w:type="spellEnd"/>
          </w:p>
        </w:tc>
        <w:tc>
          <w:tcPr>
            <w:tcW w:w="7287" w:type="dxa"/>
            <w:shd w:val="clear" w:color="auto" w:fill="auto"/>
            <w:vAlign w:val="center"/>
          </w:tcPr>
          <w:p w14:paraId="00053DB7"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 xml:space="preserve">Duration </w:t>
            </w:r>
            <w:proofErr w:type="gramStart"/>
            <w:r w:rsidRPr="002325CB">
              <w:rPr>
                <w:rFonts w:ascii="Arial" w:hAnsi="Arial" w:cs="Arial"/>
                <w:sz w:val="18"/>
                <w:szCs w:val="18"/>
              </w:rPr>
              <w:t>Of</w:t>
            </w:r>
            <w:proofErr w:type="gramEnd"/>
            <w:r w:rsidRPr="002325CB">
              <w:rPr>
                <w:rFonts w:ascii="Arial" w:hAnsi="Arial" w:cs="Arial"/>
                <w:sz w:val="18"/>
                <w:szCs w:val="18"/>
              </w:rPr>
              <w:t xml:space="preserve"> Response</w:t>
            </w:r>
          </w:p>
        </w:tc>
      </w:tr>
      <w:tr w:rsidR="007C2456" w:rsidRPr="002325CB" w14:paraId="75617B47" w14:textId="77777777" w:rsidTr="002325CB">
        <w:tc>
          <w:tcPr>
            <w:tcW w:w="993" w:type="dxa"/>
            <w:shd w:val="clear" w:color="auto" w:fill="auto"/>
            <w:vAlign w:val="center"/>
          </w:tcPr>
          <w:p w14:paraId="51C9D915"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ECG</w:t>
            </w:r>
          </w:p>
        </w:tc>
        <w:tc>
          <w:tcPr>
            <w:tcW w:w="7287" w:type="dxa"/>
            <w:shd w:val="clear" w:color="auto" w:fill="auto"/>
            <w:vAlign w:val="center"/>
          </w:tcPr>
          <w:p w14:paraId="4799E135"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Electrocardiogram</w:t>
            </w:r>
          </w:p>
        </w:tc>
      </w:tr>
      <w:tr w:rsidR="007C2456" w:rsidRPr="002325CB" w14:paraId="6B38F144" w14:textId="77777777" w:rsidTr="002325CB">
        <w:tc>
          <w:tcPr>
            <w:tcW w:w="993" w:type="dxa"/>
            <w:shd w:val="clear" w:color="auto" w:fill="auto"/>
            <w:vAlign w:val="center"/>
          </w:tcPr>
          <w:p w14:paraId="37C34882"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ECOG</w:t>
            </w:r>
          </w:p>
        </w:tc>
        <w:tc>
          <w:tcPr>
            <w:tcW w:w="7287" w:type="dxa"/>
            <w:shd w:val="clear" w:color="auto" w:fill="auto"/>
            <w:vAlign w:val="center"/>
          </w:tcPr>
          <w:p w14:paraId="59C1647D"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Style w:val="hgkelc"/>
                <w:rFonts w:ascii="Arial" w:hAnsi="Arial" w:cs="Arial"/>
                <w:bCs/>
                <w:sz w:val="18"/>
                <w:szCs w:val="18"/>
              </w:rPr>
              <w:t>Eastern Cooperative Oncology Group</w:t>
            </w:r>
          </w:p>
        </w:tc>
      </w:tr>
      <w:tr w:rsidR="007C2456" w:rsidRPr="002325CB" w14:paraId="052C2F6C" w14:textId="77777777" w:rsidTr="002325CB">
        <w:tc>
          <w:tcPr>
            <w:tcW w:w="993" w:type="dxa"/>
            <w:shd w:val="clear" w:color="auto" w:fill="auto"/>
            <w:vAlign w:val="center"/>
          </w:tcPr>
          <w:p w14:paraId="028CA017" w14:textId="77777777" w:rsidR="007C2456" w:rsidRPr="002325CB" w:rsidRDefault="007C2456" w:rsidP="00D34A05">
            <w:pPr>
              <w:pStyle w:val="BodyText10"/>
              <w:tabs>
                <w:tab w:val="left" w:pos="1800"/>
              </w:tabs>
              <w:spacing w:after="0"/>
              <w:jc w:val="left"/>
              <w:rPr>
                <w:rFonts w:ascii="Arial" w:hAnsi="Arial" w:cs="Arial"/>
                <w:sz w:val="18"/>
                <w:szCs w:val="18"/>
              </w:rPr>
            </w:pPr>
            <w:proofErr w:type="spellStart"/>
            <w:r w:rsidRPr="002325CB">
              <w:rPr>
                <w:rFonts w:ascii="Arial" w:hAnsi="Arial" w:cs="Arial"/>
                <w:sz w:val="18"/>
                <w:szCs w:val="18"/>
              </w:rPr>
              <w:t>EoS</w:t>
            </w:r>
            <w:proofErr w:type="spellEnd"/>
          </w:p>
        </w:tc>
        <w:tc>
          <w:tcPr>
            <w:tcW w:w="7287" w:type="dxa"/>
            <w:shd w:val="clear" w:color="auto" w:fill="auto"/>
            <w:vAlign w:val="center"/>
          </w:tcPr>
          <w:p w14:paraId="67E6327F" w14:textId="77777777" w:rsidR="007C2456" w:rsidRPr="002325CB" w:rsidRDefault="007C2456" w:rsidP="00D34A05">
            <w:pPr>
              <w:pStyle w:val="BodyText10"/>
              <w:tabs>
                <w:tab w:val="left" w:pos="1800"/>
              </w:tabs>
              <w:spacing w:after="0"/>
              <w:jc w:val="left"/>
              <w:rPr>
                <w:rFonts w:ascii="Arial" w:hAnsi="Arial" w:cs="Arial"/>
                <w:sz w:val="18"/>
                <w:szCs w:val="18"/>
              </w:rPr>
            </w:pPr>
            <w:r w:rsidRPr="002325CB">
              <w:rPr>
                <w:rFonts w:ascii="Arial" w:hAnsi="Arial" w:cs="Arial"/>
                <w:sz w:val="18"/>
                <w:szCs w:val="18"/>
              </w:rPr>
              <w:t>End of Study</w:t>
            </w:r>
          </w:p>
        </w:tc>
      </w:tr>
      <w:tr w:rsidR="00110604" w:rsidRPr="002325CB" w14:paraId="46E3F3D3" w14:textId="77777777" w:rsidTr="002325CB">
        <w:tc>
          <w:tcPr>
            <w:tcW w:w="993" w:type="dxa"/>
            <w:shd w:val="clear" w:color="auto" w:fill="auto"/>
            <w:vAlign w:val="center"/>
          </w:tcPr>
          <w:p w14:paraId="0B240154" w14:textId="77777777" w:rsidR="00110604" w:rsidRPr="002325CB" w:rsidRDefault="00110604"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ER</w:t>
            </w:r>
            <w:r w:rsidR="00337D5A" w:rsidRPr="002325CB">
              <w:rPr>
                <w:rFonts w:ascii="Arial" w:hAnsi="Arial" w:cs="Arial"/>
                <w:sz w:val="18"/>
                <w:szCs w:val="18"/>
              </w:rPr>
              <w:t xml:space="preserve"> </w:t>
            </w:r>
          </w:p>
        </w:tc>
        <w:tc>
          <w:tcPr>
            <w:tcW w:w="7287" w:type="dxa"/>
            <w:shd w:val="clear" w:color="auto" w:fill="auto"/>
            <w:vAlign w:val="center"/>
          </w:tcPr>
          <w:p w14:paraId="7F53A4BD" w14:textId="037AC1CB" w:rsidR="00110604" w:rsidRPr="002325CB" w:rsidRDefault="002325CB" w:rsidP="005E2AE9">
            <w:pPr>
              <w:pStyle w:val="BodyText10"/>
              <w:tabs>
                <w:tab w:val="left" w:pos="1800"/>
              </w:tabs>
              <w:spacing w:after="0"/>
              <w:jc w:val="left"/>
              <w:rPr>
                <w:rFonts w:ascii="Arial" w:hAnsi="Arial" w:cs="Arial"/>
                <w:sz w:val="18"/>
                <w:szCs w:val="18"/>
              </w:rPr>
            </w:pPr>
            <w:r>
              <w:rPr>
                <w:rFonts w:ascii="Arial" w:hAnsi="Arial" w:cs="Arial"/>
                <w:sz w:val="18"/>
                <w:szCs w:val="18"/>
              </w:rPr>
              <w:t>E</w:t>
            </w:r>
            <w:r w:rsidR="00110604" w:rsidRPr="002325CB">
              <w:rPr>
                <w:rFonts w:ascii="Arial" w:hAnsi="Arial" w:cs="Arial"/>
                <w:sz w:val="18"/>
                <w:szCs w:val="18"/>
              </w:rPr>
              <w:t>strogen-</w:t>
            </w:r>
            <w:r w:rsidR="005E2AE9">
              <w:rPr>
                <w:rFonts w:ascii="Arial" w:hAnsi="Arial" w:cs="Arial"/>
                <w:sz w:val="18"/>
                <w:szCs w:val="18"/>
              </w:rPr>
              <w:t>R</w:t>
            </w:r>
            <w:r w:rsidR="00110604" w:rsidRPr="002325CB">
              <w:rPr>
                <w:rFonts w:ascii="Arial" w:hAnsi="Arial" w:cs="Arial"/>
                <w:sz w:val="18"/>
                <w:szCs w:val="18"/>
              </w:rPr>
              <w:t>eceptor</w:t>
            </w:r>
          </w:p>
        </w:tc>
      </w:tr>
      <w:tr w:rsidR="00337D5A" w:rsidRPr="002325CB" w14:paraId="23B698FF" w14:textId="77777777" w:rsidTr="002325CB">
        <w:tc>
          <w:tcPr>
            <w:tcW w:w="993" w:type="dxa"/>
            <w:shd w:val="clear" w:color="auto" w:fill="auto"/>
            <w:vAlign w:val="center"/>
          </w:tcPr>
          <w:p w14:paraId="320DC796"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ESR1</w:t>
            </w:r>
          </w:p>
        </w:tc>
        <w:tc>
          <w:tcPr>
            <w:tcW w:w="7287" w:type="dxa"/>
            <w:shd w:val="clear" w:color="auto" w:fill="auto"/>
            <w:vAlign w:val="center"/>
          </w:tcPr>
          <w:p w14:paraId="55AE887A" w14:textId="36CC7910" w:rsidR="00337D5A" w:rsidRPr="002325CB" w:rsidRDefault="002325CB" w:rsidP="005E2AE9">
            <w:pPr>
              <w:pStyle w:val="BodyText10"/>
              <w:tabs>
                <w:tab w:val="left" w:pos="1800"/>
              </w:tabs>
              <w:spacing w:after="0"/>
              <w:jc w:val="left"/>
              <w:rPr>
                <w:rFonts w:ascii="Arial" w:hAnsi="Arial" w:cs="Arial"/>
                <w:sz w:val="18"/>
                <w:szCs w:val="18"/>
              </w:rPr>
            </w:pPr>
            <w:r>
              <w:rPr>
                <w:rFonts w:ascii="Arial" w:hAnsi="Arial" w:cs="Arial"/>
                <w:sz w:val="18"/>
                <w:szCs w:val="18"/>
              </w:rPr>
              <w:t>E</w:t>
            </w:r>
            <w:r w:rsidR="00337D5A" w:rsidRPr="002325CB">
              <w:rPr>
                <w:rFonts w:ascii="Arial" w:hAnsi="Arial" w:cs="Arial"/>
                <w:sz w:val="18"/>
                <w:szCs w:val="18"/>
              </w:rPr>
              <w:t>strogen-</w:t>
            </w:r>
            <w:r w:rsidR="005E2AE9">
              <w:rPr>
                <w:rFonts w:ascii="Arial" w:hAnsi="Arial" w:cs="Arial"/>
                <w:sz w:val="18"/>
                <w:szCs w:val="18"/>
              </w:rPr>
              <w:t>R</w:t>
            </w:r>
            <w:r w:rsidR="00337D5A" w:rsidRPr="002325CB">
              <w:rPr>
                <w:rFonts w:ascii="Arial" w:hAnsi="Arial" w:cs="Arial"/>
                <w:sz w:val="18"/>
                <w:szCs w:val="18"/>
              </w:rPr>
              <w:t>eceptor 1</w:t>
            </w:r>
          </w:p>
        </w:tc>
      </w:tr>
      <w:tr w:rsidR="00337D5A" w:rsidRPr="002325CB" w14:paraId="7D7EFE8C" w14:textId="77777777" w:rsidTr="002325CB">
        <w:tc>
          <w:tcPr>
            <w:tcW w:w="993" w:type="dxa"/>
            <w:shd w:val="clear" w:color="auto" w:fill="auto"/>
            <w:vAlign w:val="center"/>
          </w:tcPr>
          <w:p w14:paraId="2F183EF6" w14:textId="1472565D" w:rsidR="00337D5A" w:rsidRPr="002325CB" w:rsidRDefault="00337D5A" w:rsidP="002325CB">
            <w:pPr>
              <w:pStyle w:val="BodyText10"/>
              <w:tabs>
                <w:tab w:val="left" w:pos="1800"/>
              </w:tabs>
              <w:spacing w:after="0"/>
              <w:jc w:val="left"/>
              <w:rPr>
                <w:rFonts w:ascii="Arial" w:hAnsi="Arial" w:cs="Arial"/>
                <w:sz w:val="18"/>
                <w:szCs w:val="18"/>
              </w:rPr>
            </w:pPr>
            <w:r w:rsidRPr="002325CB">
              <w:rPr>
                <w:rFonts w:ascii="Arial" w:hAnsi="Arial" w:cs="Arial"/>
                <w:sz w:val="18"/>
                <w:szCs w:val="18"/>
              </w:rPr>
              <w:t>FAS</w:t>
            </w:r>
          </w:p>
        </w:tc>
        <w:tc>
          <w:tcPr>
            <w:tcW w:w="7287" w:type="dxa"/>
            <w:shd w:val="clear" w:color="auto" w:fill="auto"/>
            <w:vAlign w:val="center"/>
          </w:tcPr>
          <w:p w14:paraId="5034326A"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Full Analysis Set</w:t>
            </w:r>
          </w:p>
        </w:tc>
      </w:tr>
      <w:tr w:rsidR="007164B0" w:rsidRPr="002325CB" w14:paraId="1E4454B4" w14:textId="77777777" w:rsidTr="002325CB">
        <w:tc>
          <w:tcPr>
            <w:tcW w:w="993" w:type="dxa"/>
            <w:shd w:val="clear" w:color="auto" w:fill="auto"/>
            <w:vAlign w:val="center"/>
          </w:tcPr>
          <w:p w14:paraId="0BF82C3C" w14:textId="77777777" w:rsidR="007164B0" w:rsidRPr="002325CB" w:rsidRDefault="007164B0"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FDA</w:t>
            </w:r>
          </w:p>
        </w:tc>
        <w:tc>
          <w:tcPr>
            <w:tcW w:w="7287" w:type="dxa"/>
            <w:shd w:val="clear" w:color="auto" w:fill="auto"/>
            <w:vAlign w:val="center"/>
          </w:tcPr>
          <w:p w14:paraId="4AC5B883" w14:textId="77777777" w:rsidR="007164B0" w:rsidRPr="002325CB" w:rsidRDefault="007164B0"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Food and Drug Administration</w:t>
            </w:r>
          </w:p>
        </w:tc>
      </w:tr>
      <w:tr w:rsidR="00337D5A" w:rsidRPr="002325CB" w14:paraId="726C2031" w14:textId="77777777" w:rsidTr="002325CB">
        <w:tc>
          <w:tcPr>
            <w:tcW w:w="993" w:type="dxa"/>
            <w:shd w:val="clear" w:color="auto" w:fill="auto"/>
            <w:vAlign w:val="center"/>
          </w:tcPr>
          <w:p w14:paraId="3E72526F" w14:textId="14DD12D9" w:rsidR="00337D5A" w:rsidRPr="002325CB" w:rsidRDefault="00337D5A" w:rsidP="002325CB">
            <w:pPr>
              <w:pStyle w:val="BodyText10"/>
              <w:tabs>
                <w:tab w:val="left" w:pos="1800"/>
              </w:tabs>
              <w:spacing w:after="0"/>
              <w:jc w:val="left"/>
              <w:rPr>
                <w:rFonts w:ascii="Arial" w:hAnsi="Arial" w:cs="Arial"/>
                <w:sz w:val="18"/>
                <w:szCs w:val="18"/>
              </w:rPr>
            </w:pPr>
            <w:r w:rsidRPr="002325CB">
              <w:rPr>
                <w:rFonts w:ascii="Arial" w:hAnsi="Arial" w:cs="Arial"/>
                <w:sz w:val="18"/>
                <w:szCs w:val="18"/>
              </w:rPr>
              <w:t>GCP</w:t>
            </w:r>
          </w:p>
        </w:tc>
        <w:tc>
          <w:tcPr>
            <w:tcW w:w="7287" w:type="dxa"/>
            <w:shd w:val="clear" w:color="auto" w:fill="auto"/>
            <w:vAlign w:val="center"/>
          </w:tcPr>
          <w:p w14:paraId="42D14C62"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Good Clinical Practice</w:t>
            </w:r>
          </w:p>
        </w:tc>
      </w:tr>
      <w:tr w:rsidR="00337D5A" w:rsidRPr="002325CB" w14:paraId="50CF509D" w14:textId="77777777" w:rsidTr="002325CB">
        <w:tc>
          <w:tcPr>
            <w:tcW w:w="993" w:type="dxa"/>
            <w:shd w:val="clear" w:color="auto" w:fill="auto"/>
            <w:vAlign w:val="center"/>
          </w:tcPr>
          <w:p w14:paraId="391BFAC7"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GGT</w:t>
            </w:r>
          </w:p>
        </w:tc>
        <w:tc>
          <w:tcPr>
            <w:tcW w:w="7287" w:type="dxa"/>
            <w:shd w:val="clear" w:color="auto" w:fill="auto"/>
            <w:vAlign w:val="center"/>
          </w:tcPr>
          <w:p w14:paraId="01706B41"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Glutamyl aminotransferase</w:t>
            </w:r>
          </w:p>
        </w:tc>
      </w:tr>
      <w:tr w:rsidR="00337D5A" w:rsidRPr="002325CB" w14:paraId="108EC1AF" w14:textId="77777777" w:rsidTr="002325CB">
        <w:tc>
          <w:tcPr>
            <w:tcW w:w="993" w:type="dxa"/>
            <w:shd w:val="clear" w:color="auto" w:fill="auto"/>
            <w:vAlign w:val="center"/>
          </w:tcPr>
          <w:p w14:paraId="3C547320" w14:textId="350E8B41" w:rsidR="00337D5A" w:rsidRPr="002325CB" w:rsidRDefault="00337D5A" w:rsidP="002325CB">
            <w:pPr>
              <w:pStyle w:val="BodyText10"/>
              <w:tabs>
                <w:tab w:val="left" w:pos="1800"/>
              </w:tabs>
              <w:spacing w:after="0"/>
              <w:jc w:val="left"/>
              <w:rPr>
                <w:rFonts w:ascii="Arial" w:hAnsi="Arial" w:cs="Arial"/>
                <w:sz w:val="18"/>
                <w:szCs w:val="18"/>
              </w:rPr>
            </w:pPr>
            <w:r w:rsidRPr="002325CB">
              <w:rPr>
                <w:rFonts w:ascii="Arial" w:hAnsi="Arial" w:cs="Arial"/>
                <w:sz w:val="18"/>
                <w:szCs w:val="18"/>
              </w:rPr>
              <w:t>HCG</w:t>
            </w:r>
          </w:p>
        </w:tc>
        <w:tc>
          <w:tcPr>
            <w:tcW w:w="7287" w:type="dxa"/>
            <w:shd w:val="clear" w:color="auto" w:fill="auto"/>
            <w:vAlign w:val="center"/>
          </w:tcPr>
          <w:p w14:paraId="0ED15AA2"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Human Chorionic Gonadotrophin</w:t>
            </w:r>
          </w:p>
        </w:tc>
      </w:tr>
      <w:tr w:rsidR="00337D5A" w:rsidRPr="002325CB" w14:paraId="44C98307" w14:textId="77777777" w:rsidTr="002325CB">
        <w:tc>
          <w:tcPr>
            <w:tcW w:w="993" w:type="dxa"/>
            <w:shd w:val="clear" w:color="auto" w:fill="auto"/>
            <w:vAlign w:val="center"/>
          </w:tcPr>
          <w:p w14:paraId="4FA91F54"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HER2</w:t>
            </w:r>
          </w:p>
        </w:tc>
        <w:tc>
          <w:tcPr>
            <w:tcW w:w="7287" w:type="dxa"/>
            <w:shd w:val="clear" w:color="auto" w:fill="auto"/>
            <w:vAlign w:val="center"/>
          </w:tcPr>
          <w:p w14:paraId="2623C1AB" w14:textId="003BA74E" w:rsidR="00337D5A" w:rsidRPr="002325CB" w:rsidRDefault="00337D5A" w:rsidP="00230A4F">
            <w:pPr>
              <w:pStyle w:val="BodyText10"/>
              <w:tabs>
                <w:tab w:val="left" w:pos="1800"/>
              </w:tabs>
              <w:spacing w:after="0"/>
              <w:jc w:val="left"/>
              <w:rPr>
                <w:rFonts w:ascii="Arial" w:hAnsi="Arial" w:cs="Arial"/>
                <w:sz w:val="18"/>
                <w:szCs w:val="18"/>
              </w:rPr>
            </w:pPr>
            <w:r w:rsidRPr="002325CB">
              <w:rPr>
                <w:rStyle w:val="hgkelc"/>
                <w:rFonts w:ascii="Arial" w:hAnsi="Arial" w:cs="Arial"/>
                <w:sz w:val="18"/>
                <w:szCs w:val="18"/>
              </w:rPr>
              <w:t xml:space="preserve">Human </w:t>
            </w:r>
            <w:r w:rsidR="005E2AE9">
              <w:rPr>
                <w:rStyle w:val="hgkelc"/>
                <w:rFonts w:ascii="Arial" w:hAnsi="Arial" w:cs="Arial"/>
                <w:sz w:val="18"/>
                <w:szCs w:val="18"/>
              </w:rPr>
              <w:t>E</w:t>
            </w:r>
            <w:r w:rsidRPr="002325CB">
              <w:rPr>
                <w:rStyle w:val="hgkelc"/>
                <w:rFonts w:ascii="Arial" w:hAnsi="Arial" w:cs="Arial"/>
                <w:sz w:val="18"/>
                <w:szCs w:val="18"/>
              </w:rPr>
              <w:t xml:space="preserve">pidermal growth factor </w:t>
            </w:r>
            <w:r w:rsidR="00230A4F">
              <w:rPr>
                <w:rStyle w:val="hgkelc"/>
                <w:rFonts w:ascii="Arial" w:hAnsi="Arial" w:cs="Arial"/>
                <w:sz w:val="18"/>
                <w:szCs w:val="18"/>
              </w:rPr>
              <w:t>R</w:t>
            </w:r>
            <w:r w:rsidRPr="002325CB">
              <w:rPr>
                <w:rStyle w:val="hgkelc"/>
                <w:rFonts w:ascii="Arial" w:hAnsi="Arial" w:cs="Arial"/>
                <w:sz w:val="18"/>
                <w:szCs w:val="18"/>
              </w:rPr>
              <w:t>eceptor 2</w:t>
            </w:r>
          </w:p>
        </w:tc>
      </w:tr>
      <w:tr w:rsidR="00337D5A" w:rsidRPr="002325CB" w14:paraId="33840879" w14:textId="77777777" w:rsidTr="002325CB">
        <w:tc>
          <w:tcPr>
            <w:tcW w:w="993" w:type="dxa"/>
            <w:shd w:val="clear" w:color="auto" w:fill="auto"/>
            <w:vAlign w:val="center"/>
          </w:tcPr>
          <w:p w14:paraId="01B48F72"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HR</w:t>
            </w:r>
          </w:p>
        </w:tc>
        <w:tc>
          <w:tcPr>
            <w:tcW w:w="7287" w:type="dxa"/>
            <w:shd w:val="clear" w:color="auto" w:fill="auto"/>
            <w:vAlign w:val="center"/>
          </w:tcPr>
          <w:p w14:paraId="06EFAB1C"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Hazard ratio</w:t>
            </w:r>
          </w:p>
        </w:tc>
      </w:tr>
      <w:tr w:rsidR="00337D5A" w:rsidRPr="002325CB" w14:paraId="71118866" w14:textId="77777777" w:rsidTr="002325CB">
        <w:tc>
          <w:tcPr>
            <w:tcW w:w="993" w:type="dxa"/>
            <w:shd w:val="clear" w:color="auto" w:fill="auto"/>
            <w:vAlign w:val="center"/>
          </w:tcPr>
          <w:p w14:paraId="6B45D65F" w14:textId="5A5D77EC" w:rsidR="00337D5A" w:rsidRPr="002325CB" w:rsidRDefault="00337D5A" w:rsidP="002325CB">
            <w:pPr>
              <w:pStyle w:val="BodyText10"/>
              <w:tabs>
                <w:tab w:val="left" w:pos="1800"/>
              </w:tabs>
              <w:spacing w:after="0"/>
              <w:jc w:val="left"/>
              <w:rPr>
                <w:rFonts w:ascii="Arial" w:hAnsi="Arial" w:cs="Arial"/>
                <w:sz w:val="18"/>
                <w:szCs w:val="18"/>
              </w:rPr>
            </w:pPr>
            <w:r w:rsidRPr="002325CB">
              <w:rPr>
                <w:rFonts w:ascii="Arial" w:hAnsi="Arial" w:cs="Arial"/>
                <w:sz w:val="18"/>
                <w:szCs w:val="18"/>
              </w:rPr>
              <w:t>ICH</w:t>
            </w:r>
          </w:p>
        </w:tc>
        <w:tc>
          <w:tcPr>
            <w:tcW w:w="7287" w:type="dxa"/>
            <w:shd w:val="clear" w:color="auto" w:fill="auto"/>
            <w:vAlign w:val="center"/>
          </w:tcPr>
          <w:p w14:paraId="713DF5F4"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International Conference on Harmonization</w:t>
            </w:r>
          </w:p>
        </w:tc>
      </w:tr>
      <w:tr w:rsidR="00337D5A" w:rsidRPr="002325CB" w14:paraId="6937A508" w14:textId="77777777" w:rsidTr="002325CB">
        <w:tc>
          <w:tcPr>
            <w:tcW w:w="993" w:type="dxa"/>
            <w:shd w:val="clear" w:color="auto" w:fill="auto"/>
            <w:vAlign w:val="center"/>
          </w:tcPr>
          <w:p w14:paraId="48AAAD83"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IMP</w:t>
            </w:r>
          </w:p>
        </w:tc>
        <w:tc>
          <w:tcPr>
            <w:tcW w:w="7287" w:type="dxa"/>
            <w:shd w:val="clear" w:color="auto" w:fill="auto"/>
            <w:vAlign w:val="center"/>
          </w:tcPr>
          <w:p w14:paraId="56CF4930"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Investigational Medicinal Products (or Study Drugs)</w:t>
            </w:r>
          </w:p>
        </w:tc>
      </w:tr>
      <w:tr w:rsidR="007164B0" w:rsidRPr="002325CB" w14:paraId="1D124D28" w14:textId="77777777" w:rsidTr="002325CB">
        <w:tc>
          <w:tcPr>
            <w:tcW w:w="993" w:type="dxa"/>
            <w:shd w:val="clear" w:color="auto" w:fill="auto"/>
            <w:vAlign w:val="center"/>
          </w:tcPr>
          <w:p w14:paraId="16C301A5" w14:textId="77777777" w:rsidR="007164B0" w:rsidRPr="002325CB" w:rsidRDefault="007164B0" w:rsidP="00337D5A">
            <w:pPr>
              <w:spacing w:after="0" w:line="240" w:lineRule="auto"/>
              <w:rPr>
                <w:sz w:val="18"/>
                <w:szCs w:val="18"/>
              </w:rPr>
            </w:pPr>
            <w:r w:rsidRPr="002325CB">
              <w:rPr>
                <w:sz w:val="18"/>
                <w:szCs w:val="18"/>
              </w:rPr>
              <w:t>IQR</w:t>
            </w:r>
          </w:p>
        </w:tc>
        <w:tc>
          <w:tcPr>
            <w:tcW w:w="7287" w:type="dxa"/>
            <w:shd w:val="clear" w:color="auto" w:fill="auto"/>
            <w:vAlign w:val="center"/>
          </w:tcPr>
          <w:p w14:paraId="5222D355" w14:textId="27ED4ABE" w:rsidR="007164B0" w:rsidRPr="002325CB" w:rsidRDefault="007164B0" w:rsidP="00230A4F">
            <w:pPr>
              <w:pStyle w:val="BodyText10"/>
              <w:tabs>
                <w:tab w:val="left" w:pos="1800"/>
              </w:tabs>
              <w:spacing w:after="0"/>
              <w:jc w:val="left"/>
              <w:rPr>
                <w:rFonts w:ascii="Arial" w:hAnsi="Arial" w:cs="Arial"/>
                <w:sz w:val="18"/>
                <w:szCs w:val="18"/>
              </w:rPr>
            </w:pPr>
            <w:proofErr w:type="spellStart"/>
            <w:r w:rsidRPr="002325CB">
              <w:rPr>
                <w:rFonts w:ascii="Arial" w:hAnsi="Arial" w:cs="Arial"/>
                <w:sz w:val="18"/>
                <w:szCs w:val="18"/>
              </w:rPr>
              <w:t>Inter</w:t>
            </w:r>
            <w:r w:rsidR="00230A4F">
              <w:rPr>
                <w:rFonts w:ascii="Arial" w:hAnsi="Arial" w:cs="Arial"/>
                <w:sz w:val="18"/>
                <w:szCs w:val="18"/>
              </w:rPr>
              <w:t>Q</w:t>
            </w:r>
            <w:r w:rsidRPr="002325CB">
              <w:rPr>
                <w:rFonts w:ascii="Arial" w:hAnsi="Arial" w:cs="Arial"/>
                <w:sz w:val="18"/>
                <w:szCs w:val="18"/>
              </w:rPr>
              <w:t>uartile</w:t>
            </w:r>
            <w:proofErr w:type="spellEnd"/>
            <w:r w:rsidRPr="002325CB">
              <w:rPr>
                <w:rFonts w:ascii="Arial" w:hAnsi="Arial" w:cs="Arial"/>
                <w:sz w:val="18"/>
                <w:szCs w:val="18"/>
              </w:rPr>
              <w:t xml:space="preserve"> </w:t>
            </w:r>
            <w:r w:rsidR="00230A4F">
              <w:rPr>
                <w:rFonts w:ascii="Arial" w:hAnsi="Arial" w:cs="Arial"/>
                <w:sz w:val="18"/>
                <w:szCs w:val="18"/>
              </w:rPr>
              <w:t>R</w:t>
            </w:r>
            <w:r w:rsidRPr="002325CB">
              <w:rPr>
                <w:rFonts w:ascii="Arial" w:hAnsi="Arial" w:cs="Arial"/>
                <w:sz w:val="18"/>
                <w:szCs w:val="18"/>
              </w:rPr>
              <w:t>ange</w:t>
            </w:r>
          </w:p>
        </w:tc>
      </w:tr>
      <w:tr w:rsidR="000F32C7" w:rsidRPr="002325CB" w14:paraId="4DD0B9F7" w14:textId="77777777" w:rsidTr="002325CB">
        <w:tc>
          <w:tcPr>
            <w:tcW w:w="993" w:type="dxa"/>
            <w:shd w:val="clear" w:color="auto" w:fill="auto"/>
            <w:vAlign w:val="center"/>
          </w:tcPr>
          <w:p w14:paraId="6226B2DF" w14:textId="77777777" w:rsidR="000F32C7" w:rsidRPr="002325CB" w:rsidRDefault="000F32C7" w:rsidP="00337D5A">
            <w:pPr>
              <w:spacing w:after="0" w:line="240" w:lineRule="auto"/>
              <w:rPr>
                <w:sz w:val="18"/>
                <w:szCs w:val="18"/>
              </w:rPr>
            </w:pPr>
            <w:r w:rsidRPr="002325CB">
              <w:rPr>
                <w:sz w:val="18"/>
                <w:szCs w:val="18"/>
              </w:rPr>
              <w:t>ITT</w:t>
            </w:r>
          </w:p>
        </w:tc>
        <w:tc>
          <w:tcPr>
            <w:tcW w:w="7287" w:type="dxa"/>
            <w:shd w:val="clear" w:color="auto" w:fill="auto"/>
            <w:vAlign w:val="center"/>
          </w:tcPr>
          <w:p w14:paraId="01A90FD3" w14:textId="0DD5AD82" w:rsidR="000F32C7" w:rsidRPr="002325CB" w:rsidRDefault="000F32C7"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Intent-to-Treat (population</w:t>
            </w:r>
            <w:r w:rsidR="00230A4F">
              <w:rPr>
                <w:rFonts w:ascii="Arial" w:hAnsi="Arial" w:cs="Arial"/>
                <w:sz w:val="18"/>
                <w:szCs w:val="18"/>
              </w:rPr>
              <w:t>/analysis</w:t>
            </w:r>
            <w:r w:rsidRPr="002325CB">
              <w:rPr>
                <w:rFonts w:ascii="Arial" w:hAnsi="Arial" w:cs="Arial"/>
                <w:sz w:val="18"/>
                <w:szCs w:val="18"/>
              </w:rPr>
              <w:t>)</w:t>
            </w:r>
          </w:p>
        </w:tc>
      </w:tr>
      <w:tr w:rsidR="00337D5A" w:rsidRPr="002325CB" w14:paraId="11C2FB40" w14:textId="77777777" w:rsidTr="002325CB">
        <w:tc>
          <w:tcPr>
            <w:tcW w:w="993" w:type="dxa"/>
            <w:shd w:val="clear" w:color="auto" w:fill="auto"/>
            <w:vAlign w:val="center"/>
          </w:tcPr>
          <w:p w14:paraId="5B7B07EE" w14:textId="77777777" w:rsidR="00337D5A" w:rsidRPr="002325CB" w:rsidRDefault="00337D5A" w:rsidP="00337D5A">
            <w:pPr>
              <w:spacing w:after="0" w:line="240" w:lineRule="auto"/>
              <w:rPr>
                <w:sz w:val="18"/>
                <w:szCs w:val="18"/>
              </w:rPr>
            </w:pPr>
            <w:r w:rsidRPr="002325CB">
              <w:rPr>
                <w:sz w:val="18"/>
                <w:szCs w:val="18"/>
              </w:rPr>
              <w:t>LHRH</w:t>
            </w:r>
          </w:p>
        </w:tc>
        <w:tc>
          <w:tcPr>
            <w:tcW w:w="7287" w:type="dxa"/>
            <w:shd w:val="clear" w:color="auto" w:fill="auto"/>
            <w:vAlign w:val="center"/>
          </w:tcPr>
          <w:p w14:paraId="19EC1A8B"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Luteinizing Hormone-Releasing Hormone</w:t>
            </w:r>
          </w:p>
        </w:tc>
      </w:tr>
      <w:tr w:rsidR="00337D5A" w:rsidRPr="002325CB" w14:paraId="6E92F8E9" w14:textId="77777777" w:rsidTr="002325CB">
        <w:tc>
          <w:tcPr>
            <w:tcW w:w="993" w:type="dxa"/>
            <w:shd w:val="clear" w:color="auto" w:fill="auto"/>
            <w:vAlign w:val="center"/>
          </w:tcPr>
          <w:p w14:paraId="002D74EF"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MRI</w:t>
            </w:r>
          </w:p>
        </w:tc>
        <w:tc>
          <w:tcPr>
            <w:tcW w:w="7287" w:type="dxa"/>
            <w:shd w:val="clear" w:color="auto" w:fill="auto"/>
            <w:vAlign w:val="center"/>
          </w:tcPr>
          <w:p w14:paraId="6AEBAE84"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Magnetic Resonance Imaging</w:t>
            </w:r>
          </w:p>
        </w:tc>
      </w:tr>
      <w:tr w:rsidR="007164B0" w:rsidRPr="002325CB" w14:paraId="6CCE38F4" w14:textId="77777777" w:rsidTr="002325CB">
        <w:tc>
          <w:tcPr>
            <w:tcW w:w="993" w:type="dxa"/>
            <w:shd w:val="clear" w:color="auto" w:fill="auto"/>
            <w:vAlign w:val="center"/>
          </w:tcPr>
          <w:p w14:paraId="1763EDB8" w14:textId="77777777" w:rsidR="007164B0" w:rsidRPr="002325CB" w:rsidRDefault="007164B0" w:rsidP="00337D5A">
            <w:pPr>
              <w:spacing w:after="0" w:line="240" w:lineRule="auto"/>
              <w:rPr>
                <w:sz w:val="18"/>
                <w:szCs w:val="18"/>
              </w:rPr>
            </w:pPr>
            <w:r w:rsidRPr="002325CB">
              <w:rPr>
                <w:sz w:val="18"/>
                <w:szCs w:val="18"/>
              </w:rPr>
              <w:t>NCCN</w:t>
            </w:r>
          </w:p>
        </w:tc>
        <w:tc>
          <w:tcPr>
            <w:tcW w:w="7287" w:type="dxa"/>
            <w:shd w:val="clear" w:color="auto" w:fill="auto"/>
            <w:vAlign w:val="center"/>
          </w:tcPr>
          <w:p w14:paraId="6FA3750C" w14:textId="77777777" w:rsidR="007164B0" w:rsidRPr="002325CB" w:rsidRDefault="007164B0"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National Comprehensive Cancer Network</w:t>
            </w:r>
          </w:p>
        </w:tc>
      </w:tr>
      <w:tr w:rsidR="00337D5A" w:rsidRPr="002325CB" w14:paraId="4585F786" w14:textId="77777777" w:rsidTr="002325CB">
        <w:tc>
          <w:tcPr>
            <w:tcW w:w="993" w:type="dxa"/>
            <w:shd w:val="clear" w:color="auto" w:fill="auto"/>
            <w:vAlign w:val="center"/>
          </w:tcPr>
          <w:p w14:paraId="3E6BE28D" w14:textId="77777777" w:rsidR="00337D5A" w:rsidRPr="002325CB" w:rsidRDefault="00337D5A" w:rsidP="00337D5A">
            <w:pPr>
              <w:spacing w:after="0" w:line="240" w:lineRule="auto"/>
              <w:rPr>
                <w:sz w:val="18"/>
                <w:szCs w:val="18"/>
              </w:rPr>
            </w:pPr>
            <w:r w:rsidRPr="002325CB">
              <w:rPr>
                <w:sz w:val="18"/>
                <w:szCs w:val="18"/>
              </w:rPr>
              <w:t>NCI-CTCAE</w:t>
            </w:r>
          </w:p>
        </w:tc>
        <w:tc>
          <w:tcPr>
            <w:tcW w:w="7287" w:type="dxa"/>
            <w:shd w:val="clear" w:color="auto" w:fill="auto"/>
            <w:vAlign w:val="center"/>
          </w:tcPr>
          <w:p w14:paraId="4BDF0314"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National Cancer Institute Common Terminology for Adverse Events</w:t>
            </w:r>
          </w:p>
        </w:tc>
      </w:tr>
      <w:tr w:rsidR="00337D5A" w:rsidRPr="002325CB" w14:paraId="46240834" w14:textId="77777777" w:rsidTr="002325CB">
        <w:tc>
          <w:tcPr>
            <w:tcW w:w="993" w:type="dxa"/>
            <w:shd w:val="clear" w:color="auto" w:fill="auto"/>
            <w:vAlign w:val="center"/>
          </w:tcPr>
          <w:p w14:paraId="3F75A0AD"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NSAI</w:t>
            </w:r>
          </w:p>
        </w:tc>
        <w:tc>
          <w:tcPr>
            <w:tcW w:w="7287" w:type="dxa"/>
            <w:shd w:val="clear" w:color="auto" w:fill="auto"/>
            <w:vAlign w:val="center"/>
          </w:tcPr>
          <w:p w14:paraId="1EA1F440" w14:textId="541E3BEE" w:rsidR="00337D5A" w:rsidRPr="002325CB" w:rsidRDefault="00337D5A" w:rsidP="005E2AE9">
            <w:pPr>
              <w:pStyle w:val="BodyText10"/>
              <w:tabs>
                <w:tab w:val="left" w:pos="1800"/>
              </w:tabs>
              <w:spacing w:after="0"/>
              <w:jc w:val="left"/>
              <w:rPr>
                <w:rFonts w:ascii="Arial" w:hAnsi="Arial" w:cs="Arial"/>
                <w:sz w:val="18"/>
                <w:szCs w:val="18"/>
              </w:rPr>
            </w:pPr>
            <w:r w:rsidRPr="002325CB">
              <w:rPr>
                <w:rFonts w:ascii="Arial" w:hAnsi="Arial" w:cs="Arial"/>
                <w:sz w:val="18"/>
                <w:szCs w:val="18"/>
              </w:rPr>
              <w:t>Non-</w:t>
            </w:r>
            <w:r w:rsidR="005E2AE9">
              <w:rPr>
                <w:rFonts w:ascii="Arial" w:hAnsi="Arial" w:cs="Arial"/>
                <w:sz w:val="18"/>
                <w:szCs w:val="18"/>
              </w:rPr>
              <w:t>S</w:t>
            </w:r>
            <w:r w:rsidRPr="002325CB">
              <w:rPr>
                <w:rFonts w:ascii="Arial" w:hAnsi="Arial" w:cs="Arial"/>
                <w:sz w:val="18"/>
                <w:szCs w:val="18"/>
              </w:rPr>
              <w:t xml:space="preserve">teroidal </w:t>
            </w:r>
            <w:r w:rsidR="005E2AE9">
              <w:rPr>
                <w:rFonts w:ascii="Arial" w:hAnsi="Arial" w:cs="Arial"/>
                <w:sz w:val="18"/>
                <w:szCs w:val="18"/>
              </w:rPr>
              <w:t>A</w:t>
            </w:r>
            <w:r w:rsidRPr="002325CB">
              <w:rPr>
                <w:rFonts w:ascii="Arial" w:hAnsi="Arial" w:cs="Arial"/>
                <w:sz w:val="18"/>
                <w:szCs w:val="18"/>
              </w:rPr>
              <w:t xml:space="preserve">romatase </w:t>
            </w:r>
            <w:r w:rsidR="005E2AE9">
              <w:rPr>
                <w:rFonts w:ascii="Arial" w:hAnsi="Arial" w:cs="Arial"/>
                <w:sz w:val="18"/>
                <w:szCs w:val="18"/>
              </w:rPr>
              <w:t>I</w:t>
            </w:r>
            <w:r w:rsidRPr="002325CB">
              <w:rPr>
                <w:rFonts w:ascii="Arial" w:hAnsi="Arial" w:cs="Arial"/>
                <w:sz w:val="18"/>
                <w:szCs w:val="18"/>
              </w:rPr>
              <w:t>nhibitors</w:t>
            </w:r>
          </w:p>
        </w:tc>
      </w:tr>
      <w:tr w:rsidR="00337D5A" w:rsidRPr="002325CB" w14:paraId="240ABA40" w14:textId="77777777" w:rsidTr="002325CB">
        <w:tc>
          <w:tcPr>
            <w:tcW w:w="993" w:type="dxa"/>
            <w:shd w:val="clear" w:color="auto" w:fill="auto"/>
            <w:vAlign w:val="center"/>
          </w:tcPr>
          <w:p w14:paraId="6F5B7B45"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ORR</w:t>
            </w:r>
          </w:p>
        </w:tc>
        <w:tc>
          <w:tcPr>
            <w:tcW w:w="7287" w:type="dxa"/>
            <w:shd w:val="clear" w:color="auto" w:fill="auto"/>
            <w:vAlign w:val="center"/>
          </w:tcPr>
          <w:p w14:paraId="2394F1BE"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Objective Response Rate</w:t>
            </w:r>
          </w:p>
        </w:tc>
      </w:tr>
      <w:tr w:rsidR="00337D5A" w:rsidRPr="002325CB" w14:paraId="70C9FD20" w14:textId="77777777" w:rsidTr="002325CB">
        <w:tc>
          <w:tcPr>
            <w:tcW w:w="993" w:type="dxa"/>
            <w:shd w:val="clear" w:color="auto" w:fill="auto"/>
            <w:vAlign w:val="center"/>
          </w:tcPr>
          <w:p w14:paraId="4A97F3E1"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OS</w:t>
            </w:r>
          </w:p>
        </w:tc>
        <w:tc>
          <w:tcPr>
            <w:tcW w:w="7287" w:type="dxa"/>
            <w:shd w:val="clear" w:color="auto" w:fill="auto"/>
            <w:vAlign w:val="center"/>
          </w:tcPr>
          <w:p w14:paraId="4273D548"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Overall Survival</w:t>
            </w:r>
          </w:p>
        </w:tc>
      </w:tr>
      <w:tr w:rsidR="000F32C7" w:rsidRPr="002325CB" w14:paraId="15E9872A" w14:textId="77777777" w:rsidTr="002325CB">
        <w:tc>
          <w:tcPr>
            <w:tcW w:w="993" w:type="dxa"/>
            <w:shd w:val="clear" w:color="auto" w:fill="auto"/>
            <w:vAlign w:val="center"/>
          </w:tcPr>
          <w:p w14:paraId="1000A9E4" w14:textId="77777777" w:rsidR="000F32C7" w:rsidRPr="002325CB" w:rsidRDefault="000F32C7"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OR</w:t>
            </w:r>
          </w:p>
        </w:tc>
        <w:tc>
          <w:tcPr>
            <w:tcW w:w="7287" w:type="dxa"/>
            <w:shd w:val="clear" w:color="auto" w:fill="auto"/>
            <w:vAlign w:val="center"/>
          </w:tcPr>
          <w:p w14:paraId="04824DA6" w14:textId="532F4664" w:rsidR="000F32C7" w:rsidRPr="002325CB" w:rsidRDefault="000F32C7" w:rsidP="005E2AE9">
            <w:pPr>
              <w:pStyle w:val="BodyText10"/>
              <w:tabs>
                <w:tab w:val="left" w:pos="1800"/>
              </w:tabs>
              <w:spacing w:after="0"/>
              <w:jc w:val="left"/>
              <w:rPr>
                <w:rFonts w:ascii="Arial" w:hAnsi="Arial" w:cs="Arial"/>
                <w:sz w:val="18"/>
                <w:szCs w:val="18"/>
              </w:rPr>
            </w:pPr>
            <w:r w:rsidRPr="002325CB">
              <w:rPr>
                <w:rFonts w:ascii="Arial" w:hAnsi="Arial" w:cs="Arial"/>
                <w:sz w:val="18"/>
                <w:szCs w:val="18"/>
              </w:rPr>
              <w:t xml:space="preserve">Odds </w:t>
            </w:r>
            <w:r w:rsidR="005E2AE9">
              <w:rPr>
                <w:rFonts w:ascii="Arial" w:hAnsi="Arial" w:cs="Arial"/>
                <w:sz w:val="18"/>
                <w:szCs w:val="18"/>
              </w:rPr>
              <w:t>R</w:t>
            </w:r>
            <w:r w:rsidRPr="002325CB">
              <w:rPr>
                <w:rFonts w:ascii="Arial" w:hAnsi="Arial" w:cs="Arial"/>
                <w:sz w:val="18"/>
                <w:szCs w:val="18"/>
              </w:rPr>
              <w:t>atio</w:t>
            </w:r>
          </w:p>
        </w:tc>
      </w:tr>
      <w:tr w:rsidR="00337D5A" w:rsidRPr="002325CB" w14:paraId="2B35BC4D" w14:textId="77777777" w:rsidTr="002325CB">
        <w:tc>
          <w:tcPr>
            <w:tcW w:w="993" w:type="dxa"/>
            <w:shd w:val="clear" w:color="auto" w:fill="auto"/>
            <w:vAlign w:val="center"/>
          </w:tcPr>
          <w:p w14:paraId="3AF31007"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PD</w:t>
            </w:r>
          </w:p>
        </w:tc>
        <w:tc>
          <w:tcPr>
            <w:tcW w:w="7287" w:type="dxa"/>
            <w:shd w:val="clear" w:color="auto" w:fill="auto"/>
            <w:vAlign w:val="center"/>
          </w:tcPr>
          <w:p w14:paraId="19BAB81C"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Progressive Disease</w:t>
            </w:r>
          </w:p>
        </w:tc>
      </w:tr>
      <w:tr w:rsidR="00337D5A" w:rsidRPr="002325CB" w14:paraId="06D7FC32" w14:textId="77777777" w:rsidTr="002325CB">
        <w:tc>
          <w:tcPr>
            <w:tcW w:w="993" w:type="dxa"/>
            <w:shd w:val="clear" w:color="auto" w:fill="auto"/>
            <w:vAlign w:val="center"/>
          </w:tcPr>
          <w:p w14:paraId="47859D4E"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 xml:space="preserve">PET/CT </w:t>
            </w:r>
          </w:p>
        </w:tc>
        <w:tc>
          <w:tcPr>
            <w:tcW w:w="7287" w:type="dxa"/>
            <w:shd w:val="clear" w:color="auto" w:fill="auto"/>
            <w:vAlign w:val="center"/>
          </w:tcPr>
          <w:p w14:paraId="6BF0902D"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Positron emission tomography–computed tomography</w:t>
            </w:r>
          </w:p>
        </w:tc>
      </w:tr>
      <w:tr w:rsidR="00337D5A" w:rsidRPr="002325CB" w14:paraId="127EBE76" w14:textId="77777777" w:rsidTr="002325CB">
        <w:tc>
          <w:tcPr>
            <w:tcW w:w="993" w:type="dxa"/>
            <w:shd w:val="clear" w:color="auto" w:fill="auto"/>
            <w:vAlign w:val="center"/>
          </w:tcPr>
          <w:p w14:paraId="26F2C8BB" w14:textId="77777777" w:rsidR="00337D5A" w:rsidRPr="002325CB" w:rsidRDefault="00337D5A" w:rsidP="00337D5A">
            <w:pPr>
              <w:spacing w:after="0" w:line="240" w:lineRule="auto"/>
              <w:rPr>
                <w:sz w:val="18"/>
                <w:szCs w:val="18"/>
              </w:rPr>
            </w:pPr>
            <w:r w:rsidRPr="002325CB">
              <w:rPr>
                <w:sz w:val="18"/>
                <w:szCs w:val="18"/>
              </w:rPr>
              <w:t>PFS</w:t>
            </w:r>
          </w:p>
        </w:tc>
        <w:tc>
          <w:tcPr>
            <w:tcW w:w="7287" w:type="dxa"/>
            <w:shd w:val="clear" w:color="auto" w:fill="auto"/>
            <w:vAlign w:val="center"/>
          </w:tcPr>
          <w:p w14:paraId="4B0B7B1C" w14:textId="77AD81BC" w:rsidR="00337D5A" w:rsidRPr="002325CB" w:rsidRDefault="00337D5A" w:rsidP="0071077C">
            <w:pPr>
              <w:pStyle w:val="BodyText10"/>
              <w:tabs>
                <w:tab w:val="left" w:pos="1800"/>
              </w:tabs>
              <w:spacing w:after="0"/>
              <w:jc w:val="left"/>
              <w:rPr>
                <w:rFonts w:ascii="Arial" w:hAnsi="Arial" w:cs="Arial"/>
                <w:sz w:val="18"/>
                <w:szCs w:val="18"/>
              </w:rPr>
            </w:pPr>
            <w:r w:rsidRPr="002325CB">
              <w:rPr>
                <w:rFonts w:ascii="Arial" w:hAnsi="Arial" w:cs="Arial"/>
                <w:sz w:val="18"/>
                <w:szCs w:val="18"/>
              </w:rPr>
              <w:t>Progression</w:t>
            </w:r>
            <w:r w:rsidR="0071077C" w:rsidRPr="002325CB">
              <w:rPr>
                <w:rFonts w:ascii="Arial" w:hAnsi="Arial" w:cs="Arial"/>
                <w:sz w:val="18"/>
                <w:szCs w:val="18"/>
              </w:rPr>
              <w:t>-</w:t>
            </w:r>
            <w:r w:rsidRPr="002325CB">
              <w:rPr>
                <w:rFonts w:ascii="Arial" w:hAnsi="Arial" w:cs="Arial"/>
                <w:sz w:val="18"/>
                <w:szCs w:val="18"/>
              </w:rPr>
              <w:t>Free Survival</w:t>
            </w:r>
          </w:p>
        </w:tc>
      </w:tr>
      <w:tr w:rsidR="00337D5A" w:rsidRPr="002325CB" w14:paraId="13F0A3FD" w14:textId="77777777" w:rsidTr="002325CB">
        <w:tc>
          <w:tcPr>
            <w:tcW w:w="993" w:type="dxa"/>
            <w:shd w:val="clear" w:color="auto" w:fill="auto"/>
            <w:vAlign w:val="center"/>
          </w:tcPr>
          <w:p w14:paraId="235D6DD1"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PIK3CA</w:t>
            </w:r>
          </w:p>
        </w:tc>
        <w:tc>
          <w:tcPr>
            <w:tcW w:w="7287" w:type="dxa"/>
            <w:shd w:val="clear" w:color="auto" w:fill="auto"/>
            <w:vAlign w:val="center"/>
          </w:tcPr>
          <w:p w14:paraId="524AA033"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Style w:val="st"/>
                <w:rFonts w:ascii="Arial" w:hAnsi="Arial" w:cs="Arial"/>
                <w:sz w:val="18"/>
                <w:szCs w:val="18"/>
              </w:rPr>
              <w:t>Phosphatidylinositol-4,5-bisphosphate 3-kinase catalytic subunit alpha</w:t>
            </w:r>
          </w:p>
        </w:tc>
      </w:tr>
      <w:tr w:rsidR="00337D5A" w:rsidRPr="002325CB" w14:paraId="1C6F42A5" w14:textId="77777777" w:rsidTr="002325CB">
        <w:tc>
          <w:tcPr>
            <w:tcW w:w="993" w:type="dxa"/>
            <w:shd w:val="clear" w:color="auto" w:fill="auto"/>
            <w:vAlign w:val="center"/>
          </w:tcPr>
          <w:p w14:paraId="11CFE420" w14:textId="77777777" w:rsidR="00337D5A" w:rsidRPr="002325CB" w:rsidRDefault="00337D5A" w:rsidP="00337D5A">
            <w:pPr>
              <w:pStyle w:val="BodyText10"/>
              <w:tabs>
                <w:tab w:val="left" w:pos="1800"/>
              </w:tabs>
              <w:spacing w:after="0"/>
              <w:jc w:val="left"/>
              <w:rPr>
                <w:rFonts w:ascii="Arial" w:hAnsi="Arial" w:cs="Arial"/>
                <w:sz w:val="18"/>
                <w:szCs w:val="18"/>
              </w:rPr>
            </w:pPr>
            <w:proofErr w:type="spellStart"/>
            <w:r w:rsidRPr="002325CB">
              <w:rPr>
                <w:rFonts w:ascii="Arial" w:hAnsi="Arial" w:cs="Arial"/>
                <w:sz w:val="18"/>
                <w:szCs w:val="18"/>
              </w:rPr>
              <w:t>PgR</w:t>
            </w:r>
            <w:proofErr w:type="spellEnd"/>
          </w:p>
        </w:tc>
        <w:tc>
          <w:tcPr>
            <w:tcW w:w="7287" w:type="dxa"/>
            <w:shd w:val="clear" w:color="auto" w:fill="auto"/>
            <w:vAlign w:val="center"/>
          </w:tcPr>
          <w:p w14:paraId="6F6F507A" w14:textId="1F8F76D4" w:rsidR="00337D5A" w:rsidRPr="002325CB" w:rsidRDefault="00337D5A" w:rsidP="00230A4F">
            <w:pPr>
              <w:pStyle w:val="BodyText10"/>
              <w:tabs>
                <w:tab w:val="left" w:pos="1800"/>
              </w:tabs>
              <w:spacing w:after="0"/>
              <w:jc w:val="left"/>
              <w:rPr>
                <w:rStyle w:val="st"/>
                <w:rFonts w:ascii="Arial" w:hAnsi="Arial" w:cs="Arial"/>
                <w:sz w:val="18"/>
                <w:szCs w:val="18"/>
              </w:rPr>
            </w:pPr>
            <w:r w:rsidRPr="002325CB">
              <w:rPr>
                <w:rStyle w:val="st"/>
                <w:rFonts w:ascii="Arial" w:hAnsi="Arial" w:cs="Arial"/>
                <w:sz w:val="18"/>
                <w:szCs w:val="18"/>
              </w:rPr>
              <w:t xml:space="preserve">Progesterone </w:t>
            </w:r>
            <w:r w:rsidR="00230A4F">
              <w:rPr>
                <w:rStyle w:val="st"/>
                <w:rFonts w:ascii="Arial" w:hAnsi="Arial" w:cs="Arial"/>
                <w:sz w:val="18"/>
                <w:szCs w:val="18"/>
              </w:rPr>
              <w:t>R</w:t>
            </w:r>
            <w:r w:rsidRPr="002325CB">
              <w:rPr>
                <w:rStyle w:val="st"/>
                <w:rFonts w:ascii="Arial" w:hAnsi="Arial" w:cs="Arial"/>
                <w:sz w:val="18"/>
                <w:szCs w:val="18"/>
              </w:rPr>
              <w:t>eceptors</w:t>
            </w:r>
          </w:p>
        </w:tc>
      </w:tr>
      <w:tr w:rsidR="000F32C7" w:rsidRPr="002325CB" w14:paraId="4B2F950D" w14:textId="77777777" w:rsidTr="002325CB">
        <w:tc>
          <w:tcPr>
            <w:tcW w:w="993" w:type="dxa"/>
            <w:shd w:val="clear" w:color="auto" w:fill="auto"/>
            <w:vAlign w:val="center"/>
          </w:tcPr>
          <w:p w14:paraId="735C8430" w14:textId="77777777" w:rsidR="000F32C7" w:rsidRPr="002325CB" w:rsidRDefault="000F32C7"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PP</w:t>
            </w:r>
          </w:p>
        </w:tc>
        <w:tc>
          <w:tcPr>
            <w:tcW w:w="7287" w:type="dxa"/>
            <w:shd w:val="clear" w:color="auto" w:fill="auto"/>
            <w:vAlign w:val="center"/>
          </w:tcPr>
          <w:p w14:paraId="3F4813E2" w14:textId="44C39ECB" w:rsidR="000F32C7" w:rsidRPr="002325CB" w:rsidRDefault="00230A4F" w:rsidP="00337D5A">
            <w:pPr>
              <w:pStyle w:val="BodyText10"/>
              <w:tabs>
                <w:tab w:val="left" w:pos="1800"/>
              </w:tabs>
              <w:spacing w:after="0"/>
              <w:jc w:val="left"/>
              <w:rPr>
                <w:rStyle w:val="st"/>
                <w:rFonts w:ascii="Arial" w:hAnsi="Arial" w:cs="Arial"/>
                <w:sz w:val="18"/>
                <w:szCs w:val="18"/>
              </w:rPr>
            </w:pPr>
            <w:r>
              <w:rPr>
                <w:rStyle w:val="st"/>
                <w:rFonts w:ascii="Arial" w:hAnsi="Arial" w:cs="Arial"/>
                <w:sz w:val="18"/>
                <w:szCs w:val="18"/>
              </w:rPr>
              <w:t>Per-P</w:t>
            </w:r>
            <w:r w:rsidR="000F32C7" w:rsidRPr="002325CB">
              <w:rPr>
                <w:rStyle w:val="st"/>
                <w:rFonts w:ascii="Arial" w:hAnsi="Arial" w:cs="Arial"/>
                <w:sz w:val="18"/>
                <w:szCs w:val="18"/>
              </w:rPr>
              <w:t>rotocol (population</w:t>
            </w:r>
            <w:r>
              <w:rPr>
                <w:rStyle w:val="st"/>
                <w:rFonts w:ascii="Arial" w:hAnsi="Arial" w:cs="Arial"/>
                <w:sz w:val="18"/>
                <w:szCs w:val="18"/>
              </w:rPr>
              <w:t>/analysis</w:t>
            </w:r>
            <w:r w:rsidR="000F32C7" w:rsidRPr="002325CB">
              <w:rPr>
                <w:rStyle w:val="st"/>
                <w:rFonts w:ascii="Arial" w:hAnsi="Arial" w:cs="Arial"/>
                <w:sz w:val="18"/>
                <w:szCs w:val="18"/>
              </w:rPr>
              <w:t>)</w:t>
            </w:r>
          </w:p>
        </w:tc>
      </w:tr>
      <w:tr w:rsidR="007D56E4" w:rsidRPr="002325CB" w14:paraId="71C8BE70" w14:textId="77777777" w:rsidTr="002325CB">
        <w:tc>
          <w:tcPr>
            <w:tcW w:w="993" w:type="dxa"/>
            <w:shd w:val="clear" w:color="auto" w:fill="auto"/>
            <w:vAlign w:val="center"/>
          </w:tcPr>
          <w:p w14:paraId="49026628" w14:textId="42971BDB" w:rsidR="007D56E4" w:rsidRPr="002325CB" w:rsidRDefault="007D56E4" w:rsidP="00337D5A">
            <w:pPr>
              <w:pStyle w:val="BodyText10"/>
              <w:tabs>
                <w:tab w:val="left" w:pos="1800"/>
              </w:tabs>
              <w:spacing w:after="0"/>
              <w:jc w:val="left"/>
              <w:rPr>
                <w:rFonts w:ascii="Arial" w:hAnsi="Arial" w:cs="Arial"/>
                <w:sz w:val="18"/>
                <w:szCs w:val="18"/>
              </w:rPr>
            </w:pPr>
            <w:r>
              <w:rPr>
                <w:rFonts w:ascii="Arial" w:hAnsi="Arial" w:cs="Arial"/>
                <w:sz w:val="18"/>
                <w:szCs w:val="18"/>
              </w:rPr>
              <w:t>PR</w:t>
            </w:r>
          </w:p>
        </w:tc>
        <w:tc>
          <w:tcPr>
            <w:tcW w:w="7287" w:type="dxa"/>
            <w:shd w:val="clear" w:color="auto" w:fill="auto"/>
            <w:vAlign w:val="center"/>
          </w:tcPr>
          <w:p w14:paraId="7C15F79A" w14:textId="2C51BDBC" w:rsidR="007D56E4" w:rsidRPr="002325CB" w:rsidRDefault="007D56E4" w:rsidP="00337D5A">
            <w:pPr>
              <w:pStyle w:val="BodyText10"/>
              <w:tabs>
                <w:tab w:val="left" w:pos="1800"/>
              </w:tabs>
              <w:spacing w:after="0"/>
              <w:jc w:val="left"/>
              <w:rPr>
                <w:rStyle w:val="st"/>
                <w:rFonts w:ascii="Arial" w:hAnsi="Arial" w:cs="Arial"/>
                <w:sz w:val="18"/>
                <w:szCs w:val="18"/>
              </w:rPr>
            </w:pPr>
            <w:r>
              <w:rPr>
                <w:rStyle w:val="st"/>
                <w:rFonts w:ascii="Arial" w:hAnsi="Arial" w:cs="Arial"/>
                <w:sz w:val="18"/>
                <w:szCs w:val="18"/>
              </w:rPr>
              <w:t>Partial (tumor) response</w:t>
            </w:r>
          </w:p>
        </w:tc>
      </w:tr>
      <w:tr w:rsidR="00004E54" w:rsidRPr="002325CB" w14:paraId="1B91439F" w14:textId="77777777" w:rsidTr="002325CB">
        <w:tc>
          <w:tcPr>
            <w:tcW w:w="993" w:type="dxa"/>
            <w:shd w:val="clear" w:color="auto" w:fill="auto"/>
            <w:vAlign w:val="center"/>
          </w:tcPr>
          <w:p w14:paraId="7B75E64A" w14:textId="77777777" w:rsidR="00004E54" w:rsidRPr="002325CB" w:rsidRDefault="00004E54" w:rsidP="00337D5A">
            <w:pPr>
              <w:pStyle w:val="BodyText10"/>
              <w:tabs>
                <w:tab w:val="left" w:pos="1800"/>
              </w:tabs>
              <w:spacing w:after="0"/>
              <w:jc w:val="left"/>
              <w:rPr>
                <w:rFonts w:ascii="Arial" w:hAnsi="Arial" w:cs="Arial"/>
                <w:sz w:val="18"/>
                <w:szCs w:val="18"/>
              </w:rPr>
            </w:pPr>
            <w:proofErr w:type="spellStart"/>
            <w:r w:rsidRPr="002325CB">
              <w:rPr>
                <w:rFonts w:ascii="Arial" w:hAnsi="Arial" w:cs="Arial"/>
                <w:sz w:val="18"/>
                <w:szCs w:val="18"/>
              </w:rPr>
              <w:t>QTcF</w:t>
            </w:r>
            <w:proofErr w:type="spellEnd"/>
          </w:p>
        </w:tc>
        <w:tc>
          <w:tcPr>
            <w:tcW w:w="7287" w:type="dxa"/>
            <w:shd w:val="clear" w:color="auto" w:fill="auto"/>
            <w:vAlign w:val="center"/>
          </w:tcPr>
          <w:p w14:paraId="7510AB87" w14:textId="77777777" w:rsidR="00004E54" w:rsidRPr="002325CB" w:rsidRDefault="00004E54" w:rsidP="00337D5A">
            <w:pPr>
              <w:pStyle w:val="BodyText10"/>
              <w:tabs>
                <w:tab w:val="left" w:pos="1800"/>
              </w:tabs>
              <w:spacing w:after="0"/>
              <w:jc w:val="left"/>
              <w:rPr>
                <w:rStyle w:val="st"/>
                <w:rFonts w:ascii="Arial" w:hAnsi="Arial" w:cs="Arial"/>
                <w:sz w:val="18"/>
                <w:szCs w:val="18"/>
              </w:rPr>
            </w:pPr>
            <w:r w:rsidRPr="002325CB">
              <w:rPr>
                <w:rStyle w:val="st"/>
                <w:rFonts w:ascii="Arial" w:hAnsi="Arial" w:cs="Arial"/>
                <w:sz w:val="18"/>
                <w:szCs w:val="18"/>
              </w:rPr>
              <w:t>Corrected QT interval according to Fridericia’s formula</w:t>
            </w:r>
          </w:p>
        </w:tc>
      </w:tr>
      <w:tr w:rsidR="007164B0" w:rsidRPr="002325CB" w14:paraId="4EB2037C" w14:textId="77777777" w:rsidTr="002325CB">
        <w:tc>
          <w:tcPr>
            <w:tcW w:w="993" w:type="dxa"/>
            <w:shd w:val="clear" w:color="auto" w:fill="auto"/>
            <w:vAlign w:val="center"/>
          </w:tcPr>
          <w:p w14:paraId="2EDBDBB1" w14:textId="77777777" w:rsidR="007164B0" w:rsidRPr="002325CB" w:rsidRDefault="007164B0"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RDI</w:t>
            </w:r>
          </w:p>
        </w:tc>
        <w:tc>
          <w:tcPr>
            <w:tcW w:w="7287" w:type="dxa"/>
            <w:shd w:val="clear" w:color="auto" w:fill="auto"/>
            <w:vAlign w:val="center"/>
          </w:tcPr>
          <w:p w14:paraId="4387E03B" w14:textId="77777777" w:rsidR="007164B0" w:rsidRPr="002325CB" w:rsidRDefault="007164B0" w:rsidP="00337D5A">
            <w:pPr>
              <w:pStyle w:val="BodyText10"/>
              <w:tabs>
                <w:tab w:val="left" w:pos="1800"/>
              </w:tabs>
              <w:spacing w:after="0"/>
              <w:jc w:val="left"/>
              <w:rPr>
                <w:rStyle w:val="st"/>
                <w:rFonts w:ascii="Arial" w:hAnsi="Arial" w:cs="Arial"/>
                <w:sz w:val="18"/>
                <w:szCs w:val="18"/>
              </w:rPr>
            </w:pPr>
            <w:r w:rsidRPr="002325CB">
              <w:rPr>
                <w:rStyle w:val="st"/>
                <w:rFonts w:ascii="Arial" w:hAnsi="Arial" w:cs="Arial"/>
                <w:sz w:val="18"/>
                <w:szCs w:val="18"/>
              </w:rPr>
              <w:t>Relative Dose Intensity</w:t>
            </w:r>
          </w:p>
        </w:tc>
      </w:tr>
      <w:tr w:rsidR="00337D5A" w:rsidRPr="002325CB" w14:paraId="22FE9CA9" w14:textId="77777777" w:rsidTr="002325CB">
        <w:tc>
          <w:tcPr>
            <w:tcW w:w="993" w:type="dxa"/>
            <w:shd w:val="clear" w:color="auto" w:fill="auto"/>
            <w:vAlign w:val="center"/>
          </w:tcPr>
          <w:p w14:paraId="1E3C93E6"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RECIST</w:t>
            </w:r>
          </w:p>
        </w:tc>
        <w:tc>
          <w:tcPr>
            <w:tcW w:w="7287" w:type="dxa"/>
            <w:shd w:val="clear" w:color="auto" w:fill="auto"/>
            <w:vAlign w:val="center"/>
          </w:tcPr>
          <w:p w14:paraId="1502AEF5" w14:textId="77777777" w:rsidR="00337D5A" w:rsidRPr="002325CB" w:rsidRDefault="00337D5A" w:rsidP="00337D5A">
            <w:pPr>
              <w:pStyle w:val="BodyText10"/>
              <w:tabs>
                <w:tab w:val="left" w:pos="1800"/>
              </w:tabs>
              <w:spacing w:after="0"/>
              <w:jc w:val="left"/>
              <w:rPr>
                <w:rFonts w:ascii="Arial" w:hAnsi="Arial" w:cs="Arial"/>
                <w:sz w:val="18"/>
                <w:szCs w:val="18"/>
              </w:rPr>
            </w:pPr>
            <w:r w:rsidRPr="002325CB">
              <w:rPr>
                <w:rStyle w:val="st"/>
                <w:rFonts w:ascii="Arial" w:hAnsi="Arial" w:cs="Arial"/>
                <w:sz w:val="18"/>
                <w:szCs w:val="18"/>
              </w:rPr>
              <w:t xml:space="preserve">Response Evaluation Criteria </w:t>
            </w:r>
            <w:proofErr w:type="gramStart"/>
            <w:r w:rsidRPr="002325CB">
              <w:rPr>
                <w:rStyle w:val="st"/>
                <w:rFonts w:ascii="Arial" w:hAnsi="Arial" w:cs="Arial"/>
                <w:sz w:val="18"/>
                <w:szCs w:val="18"/>
              </w:rPr>
              <w:t>In</w:t>
            </w:r>
            <w:proofErr w:type="gramEnd"/>
            <w:r w:rsidRPr="002325CB">
              <w:rPr>
                <w:rStyle w:val="st"/>
                <w:rFonts w:ascii="Arial" w:hAnsi="Arial" w:cs="Arial"/>
                <w:sz w:val="18"/>
                <w:szCs w:val="18"/>
              </w:rPr>
              <w:t xml:space="preserve"> Solid Tumors</w:t>
            </w:r>
          </w:p>
        </w:tc>
      </w:tr>
      <w:tr w:rsidR="007164B0" w:rsidRPr="002325CB" w14:paraId="53B37BA9" w14:textId="77777777" w:rsidTr="002325CB">
        <w:tc>
          <w:tcPr>
            <w:tcW w:w="993" w:type="dxa"/>
            <w:shd w:val="clear" w:color="auto" w:fill="auto"/>
            <w:vAlign w:val="center"/>
          </w:tcPr>
          <w:p w14:paraId="1CCCC6F4" w14:textId="77777777" w:rsidR="007164B0" w:rsidRPr="002325CB" w:rsidRDefault="007164B0"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SD</w:t>
            </w:r>
          </w:p>
        </w:tc>
        <w:tc>
          <w:tcPr>
            <w:tcW w:w="7287" w:type="dxa"/>
            <w:shd w:val="clear" w:color="auto" w:fill="auto"/>
            <w:vAlign w:val="center"/>
          </w:tcPr>
          <w:p w14:paraId="76F94405" w14:textId="5613B4F6" w:rsidR="007164B0" w:rsidRPr="002325CB" w:rsidRDefault="007164B0" w:rsidP="005E2AE9">
            <w:pPr>
              <w:pStyle w:val="BodyText10"/>
              <w:tabs>
                <w:tab w:val="left" w:pos="1800"/>
              </w:tabs>
              <w:spacing w:after="0"/>
              <w:jc w:val="left"/>
              <w:rPr>
                <w:rFonts w:ascii="Arial" w:hAnsi="Arial" w:cs="Arial"/>
                <w:sz w:val="18"/>
                <w:szCs w:val="18"/>
              </w:rPr>
            </w:pPr>
            <w:r w:rsidRPr="002325CB">
              <w:rPr>
                <w:rFonts w:ascii="Arial" w:hAnsi="Arial" w:cs="Arial"/>
                <w:sz w:val="18"/>
                <w:szCs w:val="18"/>
              </w:rPr>
              <w:t xml:space="preserve">Standard </w:t>
            </w:r>
            <w:r w:rsidR="005E2AE9">
              <w:rPr>
                <w:rFonts w:ascii="Arial" w:hAnsi="Arial" w:cs="Arial"/>
                <w:sz w:val="18"/>
                <w:szCs w:val="18"/>
              </w:rPr>
              <w:t>D</w:t>
            </w:r>
            <w:r w:rsidRPr="002325CB">
              <w:rPr>
                <w:rFonts w:ascii="Arial" w:hAnsi="Arial" w:cs="Arial"/>
                <w:sz w:val="18"/>
                <w:szCs w:val="18"/>
              </w:rPr>
              <w:t>eviation</w:t>
            </w:r>
          </w:p>
        </w:tc>
      </w:tr>
      <w:tr w:rsidR="007164B0" w:rsidRPr="002325CB" w14:paraId="461FC645" w14:textId="77777777" w:rsidTr="002325CB">
        <w:tc>
          <w:tcPr>
            <w:tcW w:w="993" w:type="dxa"/>
            <w:shd w:val="clear" w:color="auto" w:fill="auto"/>
            <w:vAlign w:val="center"/>
          </w:tcPr>
          <w:p w14:paraId="279BE860" w14:textId="77777777" w:rsidR="007164B0" w:rsidRPr="002325CB" w:rsidRDefault="007164B0"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SOC</w:t>
            </w:r>
          </w:p>
        </w:tc>
        <w:tc>
          <w:tcPr>
            <w:tcW w:w="7287" w:type="dxa"/>
            <w:shd w:val="clear" w:color="auto" w:fill="auto"/>
            <w:vAlign w:val="center"/>
          </w:tcPr>
          <w:p w14:paraId="232E6685" w14:textId="77777777" w:rsidR="007164B0" w:rsidRPr="002325CB" w:rsidRDefault="007164B0" w:rsidP="00337D5A">
            <w:pPr>
              <w:pStyle w:val="BodyText10"/>
              <w:tabs>
                <w:tab w:val="left" w:pos="1800"/>
              </w:tabs>
              <w:spacing w:after="0"/>
              <w:jc w:val="left"/>
              <w:rPr>
                <w:rFonts w:ascii="Arial" w:hAnsi="Arial" w:cs="Arial"/>
                <w:sz w:val="18"/>
                <w:szCs w:val="18"/>
              </w:rPr>
            </w:pPr>
            <w:r w:rsidRPr="002325CB">
              <w:rPr>
                <w:rFonts w:ascii="Arial" w:hAnsi="Arial" w:cs="Arial"/>
                <w:sz w:val="18"/>
                <w:szCs w:val="18"/>
              </w:rPr>
              <w:t>System Organ Class (MedDRA)</w:t>
            </w:r>
          </w:p>
        </w:tc>
      </w:tr>
      <w:tr w:rsidR="005E2AE9" w:rsidRPr="002325CB" w14:paraId="52BC85D9" w14:textId="77777777" w:rsidTr="002325CB">
        <w:tc>
          <w:tcPr>
            <w:tcW w:w="993" w:type="dxa"/>
            <w:shd w:val="clear" w:color="auto" w:fill="auto"/>
            <w:vAlign w:val="center"/>
          </w:tcPr>
          <w:p w14:paraId="1A9D7E3B" w14:textId="0B44D288" w:rsidR="005E2AE9" w:rsidRPr="002325CB" w:rsidRDefault="005E2AE9" w:rsidP="005E2AE9">
            <w:pPr>
              <w:pStyle w:val="BodyText10"/>
              <w:tabs>
                <w:tab w:val="left" w:pos="1800"/>
              </w:tabs>
              <w:spacing w:after="0"/>
              <w:jc w:val="left"/>
              <w:rPr>
                <w:rFonts w:ascii="Arial" w:hAnsi="Arial" w:cs="Arial"/>
                <w:sz w:val="18"/>
                <w:szCs w:val="18"/>
              </w:rPr>
            </w:pPr>
            <w:proofErr w:type="spellStart"/>
            <w:r w:rsidRPr="005E2AE9">
              <w:rPr>
                <w:rFonts w:ascii="Arial" w:hAnsi="Arial" w:cs="Arial"/>
                <w:sz w:val="18"/>
                <w:szCs w:val="18"/>
              </w:rPr>
              <w:t>TdP</w:t>
            </w:r>
            <w:proofErr w:type="spellEnd"/>
          </w:p>
        </w:tc>
        <w:tc>
          <w:tcPr>
            <w:tcW w:w="7287" w:type="dxa"/>
            <w:shd w:val="clear" w:color="auto" w:fill="auto"/>
            <w:vAlign w:val="center"/>
          </w:tcPr>
          <w:p w14:paraId="270054A8" w14:textId="6A4D6972" w:rsidR="005E2AE9" w:rsidRPr="002325CB" w:rsidRDefault="005E2AE9" w:rsidP="005E2AE9">
            <w:pPr>
              <w:pStyle w:val="BodyText10"/>
              <w:tabs>
                <w:tab w:val="left" w:pos="1800"/>
              </w:tabs>
              <w:spacing w:after="0"/>
              <w:jc w:val="left"/>
              <w:rPr>
                <w:rFonts w:ascii="Arial" w:hAnsi="Arial" w:cs="Arial"/>
                <w:sz w:val="18"/>
                <w:szCs w:val="18"/>
              </w:rPr>
            </w:pPr>
            <w:r w:rsidRPr="005E2AE9">
              <w:rPr>
                <w:rFonts w:ascii="Arial" w:hAnsi="Arial" w:cs="Arial"/>
                <w:sz w:val="18"/>
                <w:szCs w:val="18"/>
              </w:rPr>
              <w:t xml:space="preserve">Torsade de Pointes </w:t>
            </w:r>
          </w:p>
        </w:tc>
      </w:tr>
      <w:tr w:rsidR="005E2AE9" w:rsidRPr="002325CB" w14:paraId="3BE13F65" w14:textId="77777777" w:rsidTr="002325CB">
        <w:tc>
          <w:tcPr>
            <w:tcW w:w="993" w:type="dxa"/>
            <w:shd w:val="clear" w:color="auto" w:fill="auto"/>
            <w:vAlign w:val="center"/>
          </w:tcPr>
          <w:p w14:paraId="4C06299F" w14:textId="77777777" w:rsidR="005E2AE9" w:rsidRPr="002325CB" w:rsidRDefault="005E2AE9" w:rsidP="005E2AE9">
            <w:pPr>
              <w:pStyle w:val="BodyText10"/>
              <w:tabs>
                <w:tab w:val="left" w:pos="1800"/>
              </w:tabs>
              <w:spacing w:after="0"/>
              <w:jc w:val="left"/>
              <w:rPr>
                <w:rFonts w:ascii="Arial" w:hAnsi="Arial" w:cs="Arial"/>
                <w:sz w:val="18"/>
                <w:szCs w:val="18"/>
              </w:rPr>
            </w:pPr>
            <w:r w:rsidRPr="002325CB">
              <w:rPr>
                <w:rFonts w:ascii="Arial" w:hAnsi="Arial" w:cs="Arial"/>
                <w:sz w:val="18"/>
                <w:szCs w:val="18"/>
              </w:rPr>
              <w:t>TEAE</w:t>
            </w:r>
          </w:p>
        </w:tc>
        <w:tc>
          <w:tcPr>
            <w:tcW w:w="7287" w:type="dxa"/>
            <w:shd w:val="clear" w:color="auto" w:fill="auto"/>
            <w:vAlign w:val="center"/>
          </w:tcPr>
          <w:p w14:paraId="23778976" w14:textId="77777777" w:rsidR="005E2AE9" w:rsidRPr="002325CB" w:rsidRDefault="005E2AE9" w:rsidP="005E2AE9">
            <w:pPr>
              <w:pStyle w:val="BodyText10"/>
              <w:tabs>
                <w:tab w:val="left" w:pos="1800"/>
              </w:tabs>
              <w:spacing w:after="0"/>
              <w:jc w:val="left"/>
              <w:rPr>
                <w:rFonts w:ascii="Arial" w:hAnsi="Arial" w:cs="Arial"/>
                <w:sz w:val="18"/>
                <w:szCs w:val="18"/>
              </w:rPr>
            </w:pPr>
            <w:r w:rsidRPr="002325CB">
              <w:rPr>
                <w:rFonts w:ascii="Arial" w:hAnsi="Arial" w:cs="Arial"/>
                <w:sz w:val="18"/>
                <w:szCs w:val="18"/>
              </w:rPr>
              <w:t>Treatment Emergent Adverse Events (</w:t>
            </w:r>
            <w:r w:rsidRPr="002325CB">
              <w:rPr>
                <w:rStyle w:val="st"/>
                <w:rFonts w:ascii="Arial" w:hAnsi="Arial" w:cs="Arial"/>
                <w:sz w:val="18"/>
                <w:szCs w:val="18"/>
              </w:rPr>
              <w:t>adverse events which began or worsened in severity after the first administration of study drugs)</w:t>
            </w:r>
          </w:p>
        </w:tc>
      </w:tr>
      <w:tr w:rsidR="005E2AE9" w:rsidRPr="002325CB" w14:paraId="18885169" w14:textId="77777777" w:rsidTr="002325CB">
        <w:tc>
          <w:tcPr>
            <w:tcW w:w="993" w:type="dxa"/>
            <w:shd w:val="clear" w:color="auto" w:fill="auto"/>
            <w:vAlign w:val="center"/>
          </w:tcPr>
          <w:p w14:paraId="4B49E320" w14:textId="77777777" w:rsidR="005E2AE9" w:rsidRPr="002325CB" w:rsidRDefault="005E2AE9" w:rsidP="005E2AE9">
            <w:pPr>
              <w:pStyle w:val="BodyText10"/>
              <w:tabs>
                <w:tab w:val="left" w:pos="1800"/>
              </w:tabs>
              <w:spacing w:after="0"/>
              <w:jc w:val="left"/>
              <w:rPr>
                <w:rFonts w:ascii="Arial" w:hAnsi="Arial" w:cs="Arial"/>
                <w:sz w:val="18"/>
                <w:szCs w:val="18"/>
              </w:rPr>
            </w:pPr>
            <w:r w:rsidRPr="002325CB">
              <w:rPr>
                <w:rFonts w:ascii="Arial" w:hAnsi="Arial" w:cs="Arial"/>
                <w:sz w:val="18"/>
                <w:szCs w:val="18"/>
              </w:rPr>
              <w:t>TTP</w:t>
            </w:r>
          </w:p>
        </w:tc>
        <w:tc>
          <w:tcPr>
            <w:tcW w:w="7287" w:type="dxa"/>
            <w:shd w:val="clear" w:color="auto" w:fill="auto"/>
            <w:vAlign w:val="center"/>
          </w:tcPr>
          <w:p w14:paraId="6C9B2FDE" w14:textId="5D43FE80" w:rsidR="005E2AE9" w:rsidRPr="002325CB" w:rsidRDefault="005E2AE9" w:rsidP="005E2AE9">
            <w:pPr>
              <w:pStyle w:val="BodyText10"/>
              <w:tabs>
                <w:tab w:val="left" w:pos="1800"/>
              </w:tabs>
              <w:spacing w:after="0"/>
              <w:jc w:val="left"/>
              <w:rPr>
                <w:rFonts w:ascii="Arial" w:hAnsi="Arial" w:cs="Arial"/>
                <w:sz w:val="18"/>
                <w:szCs w:val="18"/>
              </w:rPr>
            </w:pPr>
            <w:r w:rsidRPr="002325CB">
              <w:rPr>
                <w:rFonts w:ascii="Arial" w:hAnsi="Arial" w:cs="Arial"/>
                <w:sz w:val="18"/>
                <w:szCs w:val="18"/>
              </w:rPr>
              <w:t xml:space="preserve">The time </w:t>
            </w:r>
            <w:r>
              <w:rPr>
                <w:rFonts w:ascii="Arial" w:hAnsi="Arial" w:cs="Arial"/>
                <w:sz w:val="18"/>
                <w:szCs w:val="18"/>
              </w:rPr>
              <w:t>T</w:t>
            </w:r>
            <w:r w:rsidRPr="002325CB">
              <w:rPr>
                <w:rFonts w:ascii="Arial" w:hAnsi="Arial" w:cs="Arial"/>
                <w:sz w:val="18"/>
                <w:szCs w:val="18"/>
              </w:rPr>
              <w:t xml:space="preserve">o </w:t>
            </w:r>
            <w:r>
              <w:rPr>
                <w:rFonts w:ascii="Arial" w:hAnsi="Arial" w:cs="Arial"/>
                <w:sz w:val="18"/>
                <w:szCs w:val="18"/>
              </w:rPr>
              <w:t>P</w:t>
            </w:r>
            <w:r w:rsidRPr="002325CB">
              <w:rPr>
                <w:rFonts w:ascii="Arial" w:hAnsi="Arial" w:cs="Arial"/>
                <w:sz w:val="18"/>
                <w:szCs w:val="18"/>
              </w:rPr>
              <w:t>rogression</w:t>
            </w:r>
          </w:p>
        </w:tc>
      </w:tr>
      <w:tr w:rsidR="005E2AE9" w:rsidRPr="002325CB" w14:paraId="48CABB4F" w14:textId="77777777" w:rsidTr="002325CB">
        <w:tc>
          <w:tcPr>
            <w:tcW w:w="993" w:type="dxa"/>
            <w:shd w:val="clear" w:color="auto" w:fill="auto"/>
            <w:vAlign w:val="center"/>
          </w:tcPr>
          <w:p w14:paraId="40A7E310" w14:textId="77777777" w:rsidR="005E2AE9" w:rsidRPr="002325CB" w:rsidRDefault="005E2AE9" w:rsidP="005E2AE9">
            <w:pPr>
              <w:pStyle w:val="BodyText10"/>
              <w:tabs>
                <w:tab w:val="left" w:pos="1800"/>
              </w:tabs>
              <w:spacing w:after="0"/>
              <w:jc w:val="left"/>
              <w:rPr>
                <w:rFonts w:ascii="Arial" w:hAnsi="Arial" w:cs="Arial"/>
                <w:sz w:val="18"/>
                <w:szCs w:val="18"/>
              </w:rPr>
            </w:pPr>
            <w:r w:rsidRPr="002325CB">
              <w:rPr>
                <w:rFonts w:ascii="Arial" w:hAnsi="Arial" w:cs="Arial"/>
                <w:sz w:val="18"/>
                <w:szCs w:val="18"/>
              </w:rPr>
              <w:t>TTR</w:t>
            </w:r>
          </w:p>
        </w:tc>
        <w:tc>
          <w:tcPr>
            <w:tcW w:w="7287" w:type="dxa"/>
            <w:shd w:val="clear" w:color="auto" w:fill="auto"/>
            <w:vAlign w:val="center"/>
          </w:tcPr>
          <w:p w14:paraId="03BEC651" w14:textId="77777777" w:rsidR="005E2AE9" w:rsidRPr="002325CB" w:rsidRDefault="005E2AE9" w:rsidP="005E2AE9">
            <w:pPr>
              <w:pStyle w:val="BodyText10"/>
              <w:tabs>
                <w:tab w:val="left" w:pos="1800"/>
              </w:tabs>
              <w:spacing w:after="0"/>
              <w:jc w:val="left"/>
              <w:rPr>
                <w:rFonts w:ascii="Arial" w:hAnsi="Arial" w:cs="Arial"/>
                <w:sz w:val="18"/>
                <w:szCs w:val="18"/>
              </w:rPr>
            </w:pPr>
            <w:r w:rsidRPr="002325CB">
              <w:rPr>
                <w:rFonts w:ascii="Arial" w:hAnsi="Arial" w:cs="Arial"/>
                <w:sz w:val="18"/>
                <w:szCs w:val="18"/>
              </w:rPr>
              <w:t xml:space="preserve">Time </w:t>
            </w:r>
            <w:proofErr w:type="gramStart"/>
            <w:r w:rsidRPr="002325CB">
              <w:rPr>
                <w:rFonts w:ascii="Arial" w:hAnsi="Arial" w:cs="Arial"/>
                <w:sz w:val="18"/>
                <w:szCs w:val="18"/>
              </w:rPr>
              <w:t>To</w:t>
            </w:r>
            <w:proofErr w:type="gramEnd"/>
            <w:r w:rsidRPr="002325CB">
              <w:rPr>
                <w:rFonts w:ascii="Arial" w:hAnsi="Arial" w:cs="Arial"/>
                <w:sz w:val="18"/>
                <w:szCs w:val="18"/>
              </w:rPr>
              <w:t xml:space="preserve"> Response</w:t>
            </w:r>
          </w:p>
        </w:tc>
      </w:tr>
      <w:tr w:rsidR="005E2AE9" w:rsidRPr="002325CB" w14:paraId="24347229" w14:textId="77777777" w:rsidTr="002325CB">
        <w:tc>
          <w:tcPr>
            <w:tcW w:w="993" w:type="dxa"/>
            <w:shd w:val="clear" w:color="auto" w:fill="auto"/>
            <w:vAlign w:val="center"/>
          </w:tcPr>
          <w:p w14:paraId="2480B425" w14:textId="77777777" w:rsidR="005E2AE9" w:rsidRPr="002325CB" w:rsidRDefault="005E2AE9" w:rsidP="005E2AE9">
            <w:pPr>
              <w:pStyle w:val="BodyText10"/>
              <w:tabs>
                <w:tab w:val="left" w:pos="1800"/>
              </w:tabs>
              <w:spacing w:after="0"/>
              <w:jc w:val="left"/>
              <w:rPr>
                <w:rFonts w:ascii="Arial" w:hAnsi="Arial" w:cs="Arial"/>
                <w:sz w:val="18"/>
                <w:szCs w:val="18"/>
              </w:rPr>
            </w:pPr>
            <w:r w:rsidRPr="002325CB">
              <w:rPr>
                <w:rFonts w:ascii="Arial" w:hAnsi="Arial" w:cs="Arial"/>
                <w:sz w:val="18"/>
                <w:szCs w:val="18"/>
              </w:rPr>
              <w:t>ULN</w:t>
            </w:r>
          </w:p>
        </w:tc>
        <w:tc>
          <w:tcPr>
            <w:tcW w:w="7287" w:type="dxa"/>
            <w:shd w:val="clear" w:color="auto" w:fill="auto"/>
            <w:vAlign w:val="center"/>
          </w:tcPr>
          <w:p w14:paraId="788BBF3D" w14:textId="6C1190A0" w:rsidR="005E2AE9" w:rsidRPr="002325CB" w:rsidRDefault="005E2AE9" w:rsidP="005E2AE9">
            <w:pPr>
              <w:pStyle w:val="BodyText10"/>
              <w:tabs>
                <w:tab w:val="left" w:pos="1800"/>
              </w:tabs>
              <w:spacing w:after="0"/>
              <w:jc w:val="left"/>
              <w:rPr>
                <w:rFonts w:ascii="Arial" w:hAnsi="Arial" w:cs="Arial"/>
                <w:sz w:val="18"/>
                <w:szCs w:val="18"/>
              </w:rPr>
            </w:pPr>
            <w:r w:rsidRPr="002325CB">
              <w:rPr>
                <w:rFonts w:ascii="Arial" w:hAnsi="Arial" w:cs="Arial"/>
                <w:sz w:val="18"/>
                <w:szCs w:val="18"/>
              </w:rPr>
              <w:t xml:space="preserve">Upper </w:t>
            </w:r>
            <w:r>
              <w:rPr>
                <w:rFonts w:ascii="Arial" w:hAnsi="Arial" w:cs="Arial"/>
                <w:sz w:val="18"/>
                <w:szCs w:val="18"/>
              </w:rPr>
              <w:t>L</w:t>
            </w:r>
            <w:r w:rsidRPr="002325CB">
              <w:rPr>
                <w:rFonts w:ascii="Arial" w:hAnsi="Arial" w:cs="Arial"/>
                <w:sz w:val="18"/>
                <w:szCs w:val="18"/>
              </w:rPr>
              <w:t xml:space="preserve">imit </w:t>
            </w:r>
            <w:r>
              <w:rPr>
                <w:rFonts w:ascii="Arial" w:hAnsi="Arial" w:cs="Arial"/>
                <w:sz w:val="18"/>
                <w:szCs w:val="18"/>
              </w:rPr>
              <w:t>N</w:t>
            </w:r>
            <w:r w:rsidRPr="002325CB">
              <w:rPr>
                <w:rFonts w:ascii="Arial" w:hAnsi="Arial" w:cs="Arial"/>
                <w:sz w:val="18"/>
                <w:szCs w:val="18"/>
              </w:rPr>
              <w:t>ormal</w:t>
            </w:r>
          </w:p>
        </w:tc>
      </w:tr>
      <w:tr w:rsidR="005E2AE9" w:rsidRPr="002325CB" w14:paraId="5D3EDF08" w14:textId="77777777" w:rsidTr="002325CB">
        <w:tc>
          <w:tcPr>
            <w:tcW w:w="993" w:type="dxa"/>
            <w:shd w:val="clear" w:color="auto" w:fill="auto"/>
            <w:vAlign w:val="center"/>
          </w:tcPr>
          <w:p w14:paraId="0B0C510F" w14:textId="048D38F1" w:rsidR="005E2AE9" w:rsidRPr="002325CB" w:rsidRDefault="005E2AE9" w:rsidP="005E2AE9">
            <w:pPr>
              <w:pStyle w:val="BodyText10"/>
              <w:tabs>
                <w:tab w:val="left" w:pos="1800"/>
              </w:tabs>
              <w:spacing w:after="0"/>
              <w:jc w:val="left"/>
              <w:rPr>
                <w:rFonts w:ascii="Arial" w:hAnsi="Arial" w:cs="Arial"/>
                <w:sz w:val="18"/>
                <w:szCs w:val="18"/>
              </w:rPr>
            </w:pPr>
            <w:r w:rsidRPr="002325CB">
              <w:rPr>
                <w:rFonts w:ascii="Arial" w:hAnsi="Arial" w:cs="Arial"/>
                <w:sz w:val="18"/>
                <w:szCs w:val="18"/>
              </w:rPr>
              <w:t>WHO</w:t>
            </w:r>
          </w:p>
        </w:tc>
        <w:tc>
          <w:tcPr>
            <w:tcW w:w="7287" w:type="dxa"/>
            <w:shd w:val="clear" w:color="auto" w:fill="auto"/>
            <w:vAlign w:val="center"/>
          </w:tcPr>
          <w:p w14:paraId="728E6ED5" w14:textId="77777777" w:rsidR="005E2AE9" w:rsidRPr="002325CB" w:rsidRDefault="005E2AE9" w:rsidP="005E2AE9">
            <w:pPr>
              <w:pStyle w:val="BodyText10"/>
              <w:tabs>
                <w:tab w:val="left" w:pos="1800"/>
              </w:tabs>
              <w:spacing w:after="0"/>
              <w:jc w:val="left"/>
              <w:rPr>
                <w:rFonts w:ascii="Arial" w:hAnsi="Arial" w:cs="Arial"/>
                <w:sz w:val="18"/>
                <w:szCs w:val="18"/>
              </w:rPr>
            </w:pPr>
            <w:r w:rsidRPr="002325CB">
              <w:rPr>
                <w:rFonts w:ascii="Arial" w:hAnsi="Arial" w:cs="Arial"/>
                <w:sz w:val="18"/>
                <w:szCs w:val="18"/>
              </w:rPr>
              <w:t>World Health Organization</w:t>
            </w:r>
          </w:p>
        </w:tc>
      </w:tr>
    </w:tbl>
    <w:p w14:paraId="4FFF2746" w14:textId="77777777" w:rsidR="00977932" w:rsidRPr="004F0FE2" w:rsidRDefault="00977932">
      <w:pPr>
        <w:pStyle w:val="BodyText10"/>
        <w:rPr>
          <w:rFonts w:ascii="Arial" w:hAnsi="Arial" w:cs="Arial"/>
          <w:spacing w:val="-3"/>
        </w:rPr>
        <w:sectPr w:rsidR="00977932" w:rsidRPr="004F0FE2">
          <w:pgSz w:w="12240" w:h="15840" w:code="1"/>
          <w:pgMar w:top="1152" w:right="1656" w:bottom="1152" w:left="2304" w:header="1152" w:footer="850" w:gutter="0"/>
          <w:paperSrc w:first="14137" w:other="14137"/>
          <w:cols w:space="720"/>
          <w:noEndnote/>
        </w:sectPr>
      </w:pPr>
    </w:p>
    <w:p w14:paraId="0A927B74" w14:textId="77777777" w:rsidR="00977932" w:rsidRPr="004F0FE2" w:rsidRDefault="00977932" w:rsidP="00586F8A">
      <w:pPr>
        <w:pStyle w:val="Ttulo1"/>
        <w:numPr>
          <w:ilvl w:val="0"/>
          <w:numId w:val="0"/>
        </w:numPr>
        <w:ind w:left="432" w:hanging="432"/>
      </w:pPr>
      <w:bookmarkStart w:id="35" w:name="_Toc350579967"/>
      <w:bookmarkStart w:id="36" w:name="_Toc351358039"/>
      <w:bookmarkStart w:id="37" w:name="_Toc351358629"/>
      <w:bookmarkStart w:id="38" w:name="_Toc352037258"/>
      <w:bookmarkStart w:id="39" w:name="_Toc352038894"/>
      <w:bookmarkStart w:id="40" w:name="_Toc352039627"/>
      <w:bookmarkStart w:id="41" w:name="_Toc352039726"/>
      <w:bookmarkStart w:id="42" w:name="_Toc377434842"/>
      <w:bookmarkStart w:id="43" w:name="_Toc377435000"/>
      <w:bookmarkStart w:id="44" w:name="_Toc377435138"/>
      <w:bookmarkStart w:id="45" w:name="_Toc377438541"/>
      <w:bookmarkStart w:id="46" w:name="_Toc392499771"/>
      <w:bookmarkStart w:id="47" w:name="_Toc392500403"/>
      <w:bookmarkStart w:id="48" w:name="_Toc46085707"/>
      <w:bookmarkStart w:id="49" w:name="_Toc48334777"/>
      <w:bookmarkStart w:id="50" w:name="_Toc52468080"/>
      <w:r w:rsidRPr="004F0FE2">
        <w:lastRenderedPageBreak/>
        <w:t>ETHICS</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3096CE82" w14:textId="77777777" w:rsidR="00977932" w:rsidRPr="004F0FE2" w:rsidRDefault="00977932" w:rsidP="0053264B">
      <w:pPr>
        <w:pStyle w:val="TableText"/>
        <w:rPr>
          <w:rFonts w:ascii="Arial" w:hAnsi="Arial" w:cs="Arial"/>
          <w:b/>
          <w:u w:val="single"/>
        </w:rPr>
      </w:pPr>
      <w:r w:rsidRPr="004F0FE2">
        <w:rPr>
          <w:rFonts w:ascii="Arial" w:hAnsi="Arial" w:cs="Arial"/>
          <w:b/>
          <w:u w:val="single"/>
        </w:rPr>
        <w:t>Independent Ethics Committee/Institutional Review Board</w:t>
      </w:r>
    </w:p>
    <w:p w14:paraId="247D2200" w14:textId="380A6631" w:rsidR="00977932" w:rsidRPr="004F0FE2" w:rsidRDefault="00977932">
      <w:pPr>
        <w:pStyle w:val="BodyText10"/>
        <w:rPr>
          <w:rFonts w:ascii="Arial" w:hAnsi="Arial" w:cs="Arial"/>
          <w:i/>
        </w:rPr>
      </w:pPr>
      <w:r w:rsidRPr="004F0FE2">
        <w:rPr>
          <w:rFonts w:ascii="Arial" w:hAnsi="Arial" w:cs="Arial"/>
        </w:rPr>
        <w:t>The study protocol and</w:t>
      </w:r>
      <w:r w:rsidR="007E7820" w:rsidRPr="004F0FE2">
        <w:rPr>
          <w:rFonts w:ascii="Arial" w:hAnsi="Arial" w:cs="Arial"/>
        </w:rPr>
        <w:t xml:space="preserve"> all</w:t>
      </w:r>
      <w:r w:rsidRPr="004F0FE2">
        <w:rPr>
          <w:rFonts w:ascii="Arial" w:hAnsi="Arial" w:cs="Arial"/>
        </w:rPr>
        <w:t xml:space="preserve"> amendment</w:t>
      </w:r>
      <w:r w:rsidR="007E7820" w:rsidRPr="004F0FE2">
        <w:rPr>
          <w:rFonts w:ascii="Arial" w:hAnsi="Arial" w:cs="Arial"/>
        </w:rPr>
        <w:t>s</w:t>
      </w:r>
      <w:r w:rsidRPr="004F0FE2">
        <w:rPr>
          <w:rFonts w:ascii="Arial" w:hAnsi="Arial" w:cs="Arial"/>
        </w:rPr>
        <w:t xml:space="preserve"> were reviewed by an Independent Ethics Committee or Institutional Review Board</w:t>
      </w:r>
      <w:r w:rsidR="007E7820" w:rsidRPr="004F0FE2">
        <w:rPr>
          <w:rFonts w:ascii="Arial" w:hAnsi="Arial" w:cs="Arial"/>
        </w:rPr>
        <w:t xml:space="preserve"> for each center/country, as listed </w:t>
      </w:r>
      <w:r w:rsidR="007E7820" w:rsidRPr="00403DC6">
        <w:rPr>
          <w:rFonts w:ascii="Arial" w:hAnsi="Arial" w:cs="Arial"/>
        </w:rPr>
        <w:t xml:space="preserve">in </w:t>
      </w:r>
      <w:r w:rsidR="00403DC6" w:rsidRPr="00F57DAA">
        <w:rPr>
          <w:rFonts w:ascii="Arial" w:hAnsi="Arial" w:cs="Arial"/>
          <w:i/>
          <w:color w:val="2F5496" w:themeColor="accent1" w:themeShade="BF"/>
        </w:rPr>
        <w:fldChar w:fldCharType="begin"/>
      </w:r>
      <w:r w:rsidR="00403DC6" w:rsidRPr="00F57DAA">
        <w:rPr>
          <w:rFonts w:ascii="Arial" w:hAnsi="Arial" w:cs="Arial"/>
          <w:i/>
          <w:color w:val="2F5496" w:themeColor="accent1" w:themeShade="BF"/>
        </w:rPr>
        <w:instrText xml:space="preserve"> REF _Ref52424813 \h  \* MERGEFORMAT </w:instrText>
      </w:r>
      <w:r w:rsidR="00403DC6" w:rsidRPr="00F57DAA">
        <w:rPr>
          <w:rFonts w:ascii="Arial" w:hAnsi="Arial" w:cs="Arial"/>
          <w:i/>
          <w:color w:val="2F5496" w:themeColor="accent1" w:themeShade="BF"/>
        </w:rPr>
      </w:r>
      <w:r w:rsidR="00403DC6" w:rsidRPr="00F57DAA">
        <w:rPr>
          <w:rFonts w:ascii="Arial" w:hAnsi="Arial" w:cs="Arial"/>
          <w:i/>
          <w:color w:val="2F5496" w:themeColor="accent1" w:themeShade="BF"/>
        </w:rPr>
        <w:fldChar w:fldCharType="separate"/>
      </w:r>
      <w:r w:rsidR="00403DC6" w:rsidRPr="00F57DAA">
        <w:rPr>
          <w:rFonts w:ascii="Arial" w:hAnsi="Arial" w:cs="Arial"/>
          <w:i/>
          <w:color w:val="2F5496" w:themeColor="accent1" w:themeShade="BF"/>
        </w:rPr>
        <w:t xml:space="preserve">Table </w:t>
      </w:r>
      <w:r w:rsidR="00403DC6" w:rsidRPr="00F57DAA">
        <w:rPr>
          <w:rFonts w:ascii="Arial" w:hAnsi="Arial" w:cs="Arial"/>
          <w:i/>
          <w:noProof/>
          <w:color w:val="2F5496" w:themeColor="accent1" w:themeShade="BF"/>
        </w:rPr>
        <w:t>1</w:t>
      </w:r>
      <w:r w:rsidR="00403DC6" w:rsidRPr="00F57DAA">
        <w:rPr>
          <w:rFonts w:ascii="Arial" w:hAnsi="Arial" w:cs="Arial"/>
          <w:i/>
          <w:color w:val="2F5496" w:themeColor="accent1" w:themeShade="BF"/>
        </w:rPr>
        <w:fldChar w:fldCharType="end"/>
      </w:r>
      <w:r w:rsidR="007E7820" w:rsidRPr="004F0FE2">
        <w:rPr>
          <w:rFonts w:ascii="Arial" w:hAnsi="Arial" w:cs="Arial"/>
        </w:rPr>
        <w:t>.</w:t>
      </w:r>
      <w:r w:rsidR="007E7820" w:rsidRPr="004F0FE2">
        <w:rPr>
          <w:rFonts w:ascii="Arial" w:hAnsi="Arial" w:cs="Arial"/>
          <w:i/>
        </w:rPr>
        <w:t xml:space="preserve"> </w:t>
      </w:r>
    </w:p>
    <w:p w14:paraId="6F8E2C7E" w14:textId="77777777" w:rsidR="00977932" w:rsidRPr="004F0FE2" w:rsidRDefault="00977932" w:rsidP="0053264B">
      <w:pPr>
        <w:pStyle w:val="TableText"/>
        <w:rPr>
          <w:rFonts w:ascii="Arial" w:hAnsi="Arial" w:cs="Arial"/>
          <w:b/>
          <w:u w:val="single"/>
        </w:rPr>
      </w:pPr>
      <w:bookmarkStart w:id="51" w:name="_Toc48458071"/>
      <w:r w:rsidRPr="004F0FE2">
        <w:rPr>
          <w:rFonts w:ascii="Arial" w:hAnsi="Arial" w:cs="Arial"/>
          <w:b/>
          <w:u w:val="single"/>
        </w:rPr>
        <w:t xml:space="preserve">Ethical </w:t>
      </w:r>
      <w:r w:rsidR="004941E7" w:rsidRPr="004F0FE2">
        <w:rPr>
          <w:rFonts w:ascii="Arial" w:hAnsi="Arial" w:cs="Arial"/>
          <w:b/>
          <w:u w:val="single"/>
        </w:rPr>
        <w:t>c</w:t>
      </w:r>
      <w:r w:rsidRPr="004F0FE2">
        <w:rPr>
          <w:rFonts w:ascii="Arial" w:hAnsi="Arial" w:cs="Arial"/>
          <w:b/>
          <w:u w:val="single"/>
        </w:rPr>
        <w:t xml:space="preserve">onduct of the </w:t>
      </w:r>
      <w:r w:rsidR="004941E7" w:rsidRPr="004F0FE2">
        <w:rPr>
          <w:rFonts w:ascii="Arial" w:hAnsi="Arial" w:cs="Arial"/>
          <w:b/>
          <w:u w:val="single"/>
        </w:rPr>
        <w:t>s</w:t>
      </w:r>
      <w:r w:rsidRPr="004F0FE2">
        <w:rPr>
          <w:rFonts w:ascii="Arial" w:hAnsi="Arial" w:cs="Arial"/>
          <w:b/>
          <w:u w:val="single"/>
        </w:rPr>
        <w:t>tudy</w:t>
      </w:r>
      <w:bookmarkEnd w:id="51"/>
    </w:p>
    <w:p w14:paraId="3C4DDD74" w14:textId="77777777" w:rsidR="00977932" w:rsidRPr="004F0FE2" w:rsidRDefault="00977932">
      <w:pPr>
        <w:pStyle w:val="BodyText10"/>
        <w:rPr>
          <w:rFonts w:ascii="Arial" w:hAnsi="Arial" w:cs="Arial"/>
        </w:rPr>
      </w:pPr>
      <w:r w:rsidRPr="004F0FE2">
        <w:rPr>
          <w:rFonts w:ascii="Arial" w:hAnsi="Arial" w:cs="Arial"/>
        </w:rPr>
        <w:t xml:space="preserve">This study was conducted in accordance with </w:t>
      </w:r>
      <w:r w:rsidR="007E7820" w:rsidRPr="004F0FE2">
        <w:rPr>
          <w:rFonts w:ascii="Arial" w:hAnsi="Arial" w:cs="Arial"/>
        </w:rPr>
        <w:t xml:space="preserve">the guidelines of the International Conference on Harmonization (ICH), </w:t>
      </w:r>
      <w:r w:rsidRPr="004F0FE2">
        <w:rPr>
          <w:rFonts w:ascii="Arial" w:hAnsi="Arial" w:cs="Arial"/>
        </w:rPr>
        <w:t>the “Recommendations Guiding Physicians in Biomedical Research Involving Human Subjects” contained in the 1989 version of the Declaration of Helsinki.</w:t>
      </w:r>
      <w:r w:rsidR="007E7820" w:rsidRPr="004F0FE2">
        <w:rPr>
          <w:rFonts w:ascii="Arial" w:hAnsi="Arial" w:cs="Arial"/>
        </w:rPr>
        <w:t xml:space="preserve"> The study also complied with European Directive 2001/20/EC and any applicable local regulations. </w:t>
      </w:r>
      <w:r w:rsidRPr="004F0FE2">
        <w:rPr>
          <w:rFonts w:ascii="Arial" w:hAnsi="Arial" w:cs="Arial"/>
        </w:rPr>
        <w:t>Known instances of nonconformance were documented and are not considered to have impacted the overall conclusions of this study.</w:t>
      </w:r>
    </w:p>
    <w:p w14:paraId="12357267" w14:textId="77777777" w:rsidR="00977932" w:rsidRPr="004F0FE2" w:rsidRDefault="00977932" w:rsidP="0053264B">
      <w:pPr>
        <w:pStyle w:val="TableText"/>
        <w:rPr>
          <w:rFonts w:ascii="Arial" w:hAnsi="Arial" w:cs="Arial"/>
          <w:b/>
          <w:u w:val="single"/>
        </w:rPr>
      </w:pPr>
      <w:r w:rsidRPr="004F0FE2">
        <w:rPr>
          <w:rFonts w:ascii="Arial" w:hAnsi="Arial" w:cs="Arial"/>
          <w:b/>
          <w:u w:val="single"/>
        </w:rPr>
        <w:t xml:space="preserve">Subject </w:t>
      </w:r>
      <w:r w:rsidR="004941E7" w:rsidRPr="004F0FE2">
        <w:rPr>
          <w:rFonts w:ascii="Arial" w:hAnsi="Arial" w:cs="Arial"/>
          <w:b/>
          <w:u w:val="single"/>
        </w:rPr>
        <w:t>i</w:t>
      </w:r>
      <w:r w:rsidRPr="004F0FE2">
        <w:rPr>
          <w:rFonts w:ascii="Arial" w:hAnsi="Arial" w:cs="Arial"/>
          <w:b/>
          <w:u w:val="single"/>
        </w:rPr>
        <w:t xml:space="preserve">nformation and </w:t>
      </w:r>
      <w:r w:rsidR="004941E7" w:rsidRPr="004F0FE2">
        <w:rPr>
          <w:rFonts w:ascii="Arial" w:hAnsi="Arial" w:cs="Arial"/>
          <w:b/>
          <w:u w:val="single"/>
        </w:rPr>
        <w:t>c</w:t>
      </w:r>
      <w:r w:rsidRPr="004F0FE2">
        <w:rPr>
          <w:rFonts w:ascii="Arial" w:hAnsi="Arial" w:cs="Arial"/>
          <w:b/>
          <w:u w:val="single"/>
        </w:rPr>
        <w:t>onsent</w:t>
      </w:r>
    </w:p>
    <w:p w14:paraId="277282EE" w14:textId="78E6189E" w:rsidR="00977932" w:rsidRPr="004F0FE2" w:rsidRDefault="00977932">
      <w:pPr>
        <w:pStyle w:val="BodyText10"/>
        <w:rPr>
          <w:rFonts w:ascii="Arial" w:hAnsi="Arial" w:cs="Arial"/>
        </w:rPr>
      </w:pPr>
      <w:r w:rsidRPr="004F0FE2">
        <w:rPr>
          <w:rFonts w:ascii="Arial" w:hAnsi="Arial" w:cs="Arial"/>
        </w:rPr>
        <w:t>Subjects provided their written consent to participate in the study after having been informed about the nature and purpose of the study, participation/termination conditions, and risks and benefits of treatment. Informed consent was obtained prior to screening. Known instances of nonconformance were documented and are not considered to have impacted the overall conclusions of this study.</w:t>
      </w:r>
    </w:p>
    <w:p w14:paraId="6F15B010" w14:textId="77777777" w:rsidR="00977932" w:rsidRPr="004F0FE2" w:rsidRDefault="00977932">
      <w:pPr>
        <w:pStyle w:val="BodyText10"/>
        <w:rPr>
          <w:rFonts w:ascii="Arial" w:hAnsi="Arial" w:cs="Arial"/>
        </w:rPr>
      </w:pPr>
      <w:r w:rsidRPr="004F0FE2">
        <w:rPr>
          <w:rFonts w:ascii="Arial" w:hAnsi="Arial" w:cs="Arial"/>
        </w:rPr>
        <w:t>Additional information on the ethical conduct of this study is contained in the Ethical Aspects section of the</w:t>
      </w:r>
      <w:r w:rsidR="003C6ADA" w:rsidRPr="004F0FE2">
        <w:rPr>
          <w:rFonts w:ascii="Arial" w:hAnsi="Arial" w:cs="Arial"/>
        </w:rPr>
        <w:t xml:space="preserve"> Study P</w:t>
      </w:r>
      <w:r w:rsidRPr="004F0FE2">
        <w:rPr>
          <w:rFonts w:ascii="Arial" w:hAnsi="Arial" w:cs="Arial"/>
        </w:rPr>
        <w:t>rotocol, which is appended to this report.</w:t>
      </w:r>
    </w:p>
    <w:p w14:paraId="2E103A38" w14:textId="77777777" w:rsidR="00977932" w:rsidRPr="004F0FE2" w:rsidRDefault="00977932" w:rsidP="00586F8A">
      <w:pPr>
        <w:pStyle w:val="Ttulo1"/>
        <w:numPr>
          <w:ilvl w:val="0"/>
          <w:numId w:val="0"/>
        </w:numPr>
        <w:ind w:left="432" w:hanging="432"/>
      </w:pPr>
      <w:bookmarkStart w:id="52" w:name="_Toc46085708"/>
      <w:bookmarkStart w:id="53" w:name="_Toc48334778"/>
      <w:bookmarkStart w:id="54" w:name="_Toc52468081"/>
      <w:r w:rsidRPr="004F0FE2">
        <w:lastRenderedPageBreak/>
        <w:t>INVESTIGATORS AND STUDY ADMINISTRATIVE STRUCTURE</w:t>
      </w:r>
      <w:bookmarkEnd w:id="52"/>
      <w:bookmarkEnd w:id="53"/>
      <w:bookmarkEnd w:id="54"/>
    </w:p>
    <w:tbl>
      <w:tblPr>
        <w:tblW w:w="8287" w:type="dxa"/>
        <w:jc w:val="right"/>
        <w:tblBorders>
          <w:top w:val="single" w:sz="4" w:space="0" w:color="auto"/>
          <w:bottom w:val="single" w:sz="4" w:space="0" w:color="auto"/>
          <w:insideH w:val="single" w:sz="4" w:space="0" w:color="auto"/>
        </w:tblBorders>
        <w:tblLayout w:type="fixed"/>
        <w:tblCellMar>
          <w:left w:w="7" w:type="dxa"/>
          <w:right w:w="7" w:type="dxa"/>
        </w:tblCellMar>
        <w:tblLook w:val="0000" w:firstRow="0" w:lastRow="0" w:firstColumn="0" w:lastColumn="0" w:noHBand="0" w:noVBand="0"/>
      </w:tblPr>
      <w:tblGrid>
        <w:gridCol w:w="3119"/>
        <w:gridCol w:w="5168"/>
      </w:tblGrid>
      <w:tr w:rsidR="009E72A2" w:rsidRPr="00673269" w14:paraId="7C426F16" w14:textId="77777777" w:rsidTr="00A5705E">
        <w:trPr>
          <w:cantSplit/>
          <w:jc w:val="right"/>
        </w:trPr>
        <w:tc>
          <w:tcPr>
            <w:tcW w:w="3119" w:type="dxa"/>
            <w:tcBorders>
              <w:bottom w:val="nil"/>
            </w:tcBorders>
          </w:tcPr>
          <w:p w14:paraId="131EA5F1" w14:textId="3C23AC07" w:rsidR="009E72A2" w:rsidRPr="002325CB" w:rsidRDefault="009E72A2" w:rsidP="009E72A2">
            <w:pPr>
              <w:pStyle w:val="TableText"/>
              <w:spacing w:after="100"/>
              <w:ind w:left="173" w:hanging="173"/>
              <w:rPr>
                <w:rFonts w:ascii="Arial" w:hAnsi="Arial" w:cs="Arial"/>
                <w:b/>
                <w:bCs/>
                <w:snapToGrid w:val="0"/>
              </w:rPr>
            </w:pPr>
            <w:r w:rsidRPr="002325CB">
              <w:rPr>
                <w:rFonts w:ascii="Arial" w:hAnsi="Arial" w:cs="Arial"/>
                <w:b/>
                <w:bCs/>
                <w:color w:val="000000" w:themeColor="text1"/>
                <w:lang w:bidi="en-US"/>
              </w:rPr>
              <w:t>Principal Investigator:</w:t>
            </w:r>
          </w:p>
        </w:tc>
        <w:tc>
          <w:tcPr>
            <w:tcW w:w="5168" w:type="dxa"/>
            <w:tcBorders>
              <w:bottom w:val="nil"/>
            </w:tcBorders>
          </w:tcPr>
          <w:p w14:paraId="6EABF37E" w14:textId="77777777" w:rsidR="009E72A2" w:rsidRPr="009764D9" w:rsidRDefault="009E72A2" w:rsidP="009E72A2">
            <w:pPr>
              <w:spacing w:after="0" w:line="240" w:lineRule="auto"/>
              <w:rPr>
                <w:i/>
                <w:color w:val="000000"/>
              </w:rPr>
            </w:pPr>
            <w:r w:rsidRPr="009764D9">
              <w:rPr>
                <w:color w:val="000000"/>
              </w:rPr>
              <w:t xml:space="preserve">Antonio </w:t>
            </w:r>
            <w:proofErr w:type="spellStart"/>
            <w:r w:rsidRPr="009764D9">
              <w:rPr>
                <w:color w:val="000000"/>
              </w:rPr>
              <w:t>Llombart-Cussac</w:t>
            </w:r>
            <w:proofErr w:type="spellEnd"/>
            <w:r w:rsidRPr="009764D9">
              <w:rPr>
                <w:color w:val="000000"/>
              </w:rPr>
              <w:t xml:space="preserve">, </w:t>
            </w:r>
            <w:r w:rsidRPr="009764D9">
              <w:rPr>
                <w:i/>
                <w:color w:val="000000"/>
              </w:rPr>
              <w:t>MD, PhD</w:t>
            </w:r>
          </w:p>
          <w:p w14:paraId="55A927A0" w14:textId="77777777" w:rsidR="009E72A2" w:rsidRPr="00803736" w:rsidRDefault="009E72A2" w:rsidP="009E72A2">
            <w:pPr>
              <w:spacing w:after="0" w:line="240" w:lineRule="auto"/>
              <w:rPr>
                <w:color w:val="000000"/>
              </w:rPr>
            </w:pPr>
            <w:r w:rsidRPr="00803736">
              <w:rPr>
                <w:color w:val="000000"/>
              </w:rPr>
              <w:t>Medical Oncologist. Chief of Oncology Department</w:t>
            </w:r>
          </w:p>
          <w:p w14:paraId="19D0D9DB" w14:textId="556212E5" w:rsidR="009E72A2" w:rsidRPr="009764D9" w:rsidRDefault="009E72A2" w:rsidP="009E72A2">
            <w:pPr>
              <w:pStyle w:val="TitlePage"/>
              <w:rPr>
                <w:rFonts w:ascii="Arial" w:hAnsi="Arial" w:cs="Arial"/>
                <w:sz w:val="20"/>
                <w:lang w:val="es-ES"/>
              </w:rPr>
            </w:pPr>
            <w:r w:rsidRPr="009764D9">
              <w:rPr>
                <w:rFonts w:ascii="Arial" w:hAnsi="Arial" w:cs="Arial"/>
                <w:color w:val="000000"/>
                <w:sz w:val="20"/>
                <w:lang w:val="es-ES"/>
              </w:rPr>
              <w:t xml:space="preserve">Arnau de </w:t>
            </w:r>
            <w:proofErr w:type="spellStart"/>
            <w:r w:rsidRPr="009764D9">
              <w:rPr>
                <w:rFonts w:ascii="Arial" w:hAnsi="Arial" w:cs="Arial"/>
                <w:color w:val="000000"/>
                <w:sz w:val="20"/>
                <w:lang w:val="es-ES"/>
              </w:rPr>
              <w:t>Vilanova</w:t>
            </w:r>
            <w:proofErr w:type="spellEnd"/>
            <w:r w:rsidRPr="009764D9">
              <w:rPr>
                <w:rFonts w:ascii="Arial" w:hAnsi="Arial" w:cs="Arial"/>
                <w:color w:val="000000"/>
                <w:sz w:val="20"/>
                <w:lang w:val="es-ES"/>
              </w:rPr>
              <w:t xml:space="preserve"> Hospital, Valencia (</w:t>
            </w:r>
            <w:proofErr w:type="spellStart"/>
            <w:r w:rsidRPr="009764D9">
              <w:rPr>
                <w:rFonts w:ascii="Arial" w:hAnsi="Arial" w:cs="Arial"/>
                <w:color w:val="000000"/>
                <w:sz w:val="20"/>
                <w:lang w:val="es-ES"/>
              </w:rPr>
              <w:t>Spain</w:t>
            </w:r>
            <w:proofErr w:type="spellEnd"/>
            <w:r w:rsidRPr="009764D9">
              <w:rPr>
                <w:rFonts w:ascii="Arial" w:hAnsi="Arial" w:cs="Arial"/>
                <w:color w:val="000000"/>
                <w:sz w:val="20"/>
                <w:lang w:val="es-ES"/>
              </w:rPr>
              <w:t>)</w:t>
            </w:r>
          </w:p>
        </w:tc>
      </w:tr>
      <w:tr w:rsidR="007573F7" w:rsidRPr="00673269" w14:paraId="496F70E3" w14:textId="77777777" w:rsidTr="00A5705E">
        <w:trPr>
          <w:cantSplit/>
          <w:jc w:val="right"/>
        </w:trPr>
        <w:tc>
          <w:tcPr>
            <w:tcW w:w="3119" w:type="dxa"/>
            <w:tcBorders>
              <w:top w:val="nil"/>
              <w:bottom w:val="single" w:sz="4" w:space="0" w:color="auto"/>
            </w:tcBorders>
          </w:tcPr>
          <w:p w14:paraId="4152E095" w14:textId="77777777" w:rsidR="007573F7" w:rsidRPr="002325CB" w:rsidRDefault="007573F7" w:rsidP="002325CB">
            <w:pPr>
              <w:pStyle w:val="TableText"/>
              <w:ind w:left="173" w:hanging="173"/>
              <w:rPr>
                <w:rFonts w:ascii="Arial" w:hAnsi="Arial" w:cs="Arial"/>
                <w:b/>
                <w:bCs/>
                <w:color w:val="000000" w:themeColor="text1"/>
                <w:lang w:val="es-ES" w:bidi="en-US"/>
              </w:rPr>
            </w:pPr>
          </w:p>
        </w:tc>
        <w:tc>
          <w:tcPr>
            <w:tcW w:w="5168" w:type="dxa"/>
            <w:tcBorders>
              <w:top w:val="nil"/>
              <w:bottom w:val="single" w:sz="4" w:space="0" w:color="auto"/>
            </w:tcBorders>
          </w:tcPr>
          <w:p w14:paraId="237E9038" w14:textId="77777777" w:rsidR="007573F7" w:rsidRPr="004864E1" w:rsidRDefault="007573F7" w:rsidP="002325CB">
            <w:pPr>
              <w:spacing w:after="0" w:line="240" w:lineRule="auto"/>
              <w:rPr>
                <w:color w:val="000000"/>
                <w:lang w:val="es-ES"/>
              </w:rPr>
            </w:pPr>
          </w:p>
        </w:tc>
      </w:tr>
      <w:tr w:rsidR="009E72A2" w:rsidRPr="004F0FE2" w14:paraId="7F724047" w14:textId="77777777" w:rsidTr="00A5705E">
        <w:trPr>
          <w:cantSplit/>
          <w:jc w:val="right"/>
        </w:trPr>
        <w:tc>
          <w:tcPr>
            <w:tcW w:w="3119" w:type="dxa"/>
            <w:tcBorders>
              <w:bottom w:val="nil"/>
            </w:tcBorders>
          </w:tcPr>
          <w:p w14:paraId="4D6FC195" w14:textId="2E7BB901" w:rsidR="009E72A2" w:rsidRPr="002325CB" w:rsidRDefault="009E72A2" w:rsidP="009E72A2">
            <w:pPr>
              <w:pStyle w:val="TableText"/>
              <w:spacing w:after="100"/>
              <w:ind w:left="173" w:hanging="173"/>
              <w:rPr>
                <w:rFonts w:ascii="Arial" w:hAnsi="Arial" w:cs="Arial"/>
                <w:b/>
                <w:bCs/>
                <w:snapToGrid w:val="0"/>
              </w:rPr>
            </w:pPr>
            <w:r w:rsidRPr="002325CB">
              <w:rPr>
                <w:rFonts w:ascii="Arial" w:hAnsi="Arial" w:cs="Arial"/>
                <w:b/>
                <w:bCs/>
                <w:color w:val="000000"/>
              </w:rPr>
              <w:t>Scientific Global Coordinator:</w:t>
            </w:r>
          </w:p>
        </w:tc>
        <w:tc>
          <w:tcPr>
            <w:tcW w:w="5168" w:type="dxa"/>
            <w:tcBorders>
              <w:bottom w:val="nil"/>
            </w:tcBorders>
          </w:tcPr>
          <w:p w14:paraId="5B751EB9" w14:textId="77777777" w:rsidR="009E72A2" w:rsidRPr="00803736" w:rsidRDefault="009E72A2" w:rsidP="009E72A2">
            <w:pPr>
              <w:spacing w:after="0" w:line="240" w:lineRule="auto"/>
              <w:rPr>
                <w:color w:val="000000"/>
              </w:rPr>
            </w:pPr>
            <w:r w:rsidRPr="00803736">
              <w:rPr>
                <w:color w:val="000000"/>
              </w:rPr>
              <w:t xml:space="preserve">Javier Cortés, </w:t>
            </w:r>
            <w:r w:rsidRPr="00803736">
              <w:rPr>
                <w:i/>
                <w:color w:val="000000"/>
              </w:rPr>
              <w:t>MD, PhD</w:t>
            </w:r>
          </w:p>
          <w:p w14:paraId="3728845C" w14:textId="77777777" w:rsidR="009E72A2" w:rsidRPr="00803736" w:rsidRDefault="009E72A2" w:rsidP="009E72A2">
            <w:pPr>
              <w:spacing w:after="0" w:line="240" w:lineRule="auto"/>
              <w:rPr>
                <w:color w:val="000000"/>
              </w:rPr>
            </w:pPr>
            <w:r w:rsidRPr="00803736">
              <w:rPr>
                <w:color w:val="000000"/>
              </w:rPr>
              <w:t>Medical Oncologist. Chief of Breast and Gynecological Cancer Unit</w:t>
            </w:r>
          </w:p>
          <w:p w14:paraId="53625C0D" w14:textId="286A9F81" w:rsidR="009E72A2" w:rsidRPr="004F0FE2" w:rsidRDefault="009E72A2" w:rsidP="009E72A2">
            <w:pPr>
              <w:pStyle w:val="TitlePage"/>
              <w:rPr>
                <w:rFonts w:ascii="Arial" w:hAnsi="Arial" w:cs="Arial"/>
                <w:sz w:val="20"/>
              </w:rPr>
            </w:pPr>
            <w:r w:rsidRPr="00803736">
              <w:rPr>
                <w:rFonts w:ascii="Arial" w:hAnsi="Arial" w:cs="Arial"/>
                <w:color w:val="000000"/>
                <w:sz w:val="20"/>
              </w:rPr>
              <w:t xml:space="preserve">IOB Institute of Oncology, </w:t>
            </w:r>
            <w:proofErr w:type="spellStart"/>
            <w:r w:rsidRPr="00803736">
              <w:rPr>
                <w:rFonts w:ascii="Arial" w:hAnsi="Arial" w:cs="Arial"/>
                <w:color w:val="000000"/>
                <w:sz w:val="20"/>
              </w:rPr>
              <w:t>Quironsalud</w:t>
            </w:r>
            <w:proofErr w:type="spellEnd"/>
            <w:r w:rsidRPr="00803736">
              <w:rPr>
                <w:rFonts w:ascii="Arial" w:hAnsi="Arial" w:cs="Arial"/>
                <w:color w:val="000000"/>
                <w:sz w:val="20"/>
              </w:rPr>
              <w:t xml:space="preserve"> Group, Madrid &amp; Barcelona</w:t>
            </w:r>
          </w:p>
        </w:tc>
      </w:tr>
      <w:tr w:rsidR="007C2456" w:rsidRPr="004F0FE2" w14:paraId="3C43251F" w14:textId="77777777" w:rsidTr="00A5705E">
        <w:trPr>
          <w:cantSplit/>
          <w:trHeight w:val="246"/>
          <w:jc w:val="right"/>
        </w:trPr>
        <w:tc>
          <w:tcPr>
            <w:tcW w:w="3119" w:type="dxa"/>
            <w:tcBorders>
              <w:top w:val="nil"/>
              <w:bottom w:val="single" w:sz="4" w:space="0" w:color="auto"/>
            </w:tcBorders>
          </w:tcPr>
          <w:p w14:paraId="7408018B" w14:textId="77777777" w:rsidR="007C2456" w:rsidRPr="002325CB" w:rsidRDefault="007C2456" w:rsidP="007C2456">
            <w:pPr>
              <w:pStyle w:val="TableText"/>
              <w:ind w:left="173" w:hanging="173"/>
              <w:rPr>
                <w:rFonts w:ascii="Arial" w:hAnsi="Arial" w:cs="Arial"/>
                <w:b/>
                <w:snapToGrid w:val="0"/>
              </w:rPr>
            </w:pPr>
          </w:p>
        </w:tc>
        <w:tc>
          <w:tcPr>
            <w:tcW w:w="5168" w:type="dxa"/>
            <w:tcBorders>
              <w:top w:val="nil"/>
              <w:bottom w:val="single" w:sz="4" w:space="0" w:color="auto"/>
            </w:tcBorders>
          </w:tcPr>
          <w:p w14:paraId="72302688" w14:textId="77777777" w:rsidR="007C2456" w:rsidRPr="009764D9" w:rsidRDefault="007C2456" w:rsidP="007C2456">
            <w:pPr>
              <w:pStyle w:val="TitlePage"/>
              <w:rPr>
                <w:rFonts w:ascii="Arial" w:hAnsi="Arial" w:cs="Arial"/>
                <w:sz w:val="20"/>
              </w:rPr>
            </w:pPr>
          </w:p>
        </w:tc>
      </w:tr>
      <w:tr w:rsidR="00977932" w:rsidRPr="004F0FE2" w14:paraId="41CEACAD" w14:textId="77777777" w:rsidTr="00A5705E">
        <w:trPr>
          <w:cantSplit/>
          <w:jc w:val="right"/>
        </w:trPr>
        <w:tc>
          <w:tcPr>
            <w:tcW w:w="3119" w:type="dxa"/>
            <w:tcBorders>
              <w:bottom w:val="nil"/>
            </w:tcBorders>
          </w:tcPr>
          <w:p w14:paraId="76F3D785" w14:textId="77777777" w:rsidR="00977932" w:rsidRPr="002325CB" w:rsidRDefault="00977932" w:rsidP="0053264B">
            <w:pPr>
              <w:pStyle w:val="TableText"/>
              <w:spacing w:after="100"/>
              <w:ind w:left="173" w:hanging="173"/>
              <w:rPr>
                <w:rFonts w:ascii="Arial" w:hAnsi="Arial" w:cs="Arial"/>
                <w:b/>
                <w:snapToGrid w:val="0"/>
              </w:rPr>
            </w:pPr>
            <w:r w:rsidRPr="002325CB">
              <w:rPr>
                <w:rFonts w:ascii="Arial" w:hAnsi="Arial" w:cs="Arial"/>
                <w:b/>
                <w:snapToGrid w:val="0"/>
              </w:rPr>
              <w:t>Sponsor's Responsible:</w:t>
            </w:r>
          </w:p>
        </w:tc>
        <w:tc>
          <w:tcPr>
            <w:tcW w:w="5168" w:type="dxa"/>
            <w:tcBorders>
              <w:bottom w:val="nil"/>
            </w:tcBorders>
          </w:tcPr>
          <w:p w14:paraId="03A0118A" w14:textId="77777777" w:rsidR="007E7820" w:rsidRPr="004F0FE2" w:rsidRDefault="007E7820" w:rsidP="007C2456">
            <w:pPr>
              <w:spacing w:after="0" w:line="240" w:lineRule="auto"/>
            </w:pPr>
            <w:r w:rsidRPr="004F0FE2">
              <w:t>Alicia García-Sanz, PhD</w:t>
            </w:r>
          </w:p>
          <w:p w14:paraId="2ECD974D" w14:textId="77777777" w:rsidR="007E7820" w:rsidRPr="004F0FE2" w:rsidRDefault="007E7820" w:rsidP="007C2456">
            <w:pPr>
              <w:spacing w:after="0" w:line="240" w:lineRule="auto"/>
            </w:pPr>
            <w:r w:rsidRPr="004F0FE2">
              <w:t>Medica Scientia Innovation Research (</w:t>
            </w:r>
            <w:proofErr w:type="spellStart"/>
            <w:r w:rsidRPr="004F0FE2">
              <w:t>MedSIR</w:t>
            </w:r>
            <w:proofErr w:type="spellEnd"/>
            <w:r w:rsidRPr="004F0FE2">
              <w:t>)</w:t>
            </w:r>
          </w:p>
          <w:p w14:paraId="20323958" w14:textId="146CB1BB" w:rsidR="00977932" w:rsidRPr="009764D9" w:rsidRDefault="007573F7" w:rsidP="009764D9">
            <w:pPr>
              <w:pStyle w:val="Encabezado"/>
              <w:tabs>
                <w:tab w:val="left" w:pos="1080"/>
              </w:tabs>
              <w:spacing w:after="0"/>
              <w:rPr>
                <w:color w:val="000000" w:themeColor="text1"/>
                <w:lang w:bidi="en-US"/>
              </w:rPr>
            </w:pPr>
            <w:r w:rsidRPr="009764D9">
              <w:rPr>
                <w:rFonts w:ascii="Arial" w:hAnsi="Arial" w:cs="Arial"/>
                <w:color w:val="000000" w:themeColor="text1"/>
                <w:sz w:val="20"/>
                <w:lang w:val="es-ES" w:bidi="en-US"/>
              </w:rPr>
              <w:t xml:space="preserve">Torre </w:t>
            </w:r>
            <w:proofErr w:type="spellStart"/>
            <w:r w:rsidRPr="009764D9">
              <w:rPr>
                <w:rFonts w:ascii="Arial" w:hAnsi="Arial" w:cs="Arial"/>
                <w:color w:val="000000" w:themeColor="text1"/>
                <w:sz w:val="20"/>
                <w:lang w:val="es-ES" w:bidi="en-US"/>
              </w:rPr>
              <w:t>Glòries</w:t>
            </w:r>
            <w:proofErr w:type="spellEnd"/>
            <w:r w:rsidRPr="009764D9">
              <w:rPr>
                <w:rFonts w:ascii="Arial" w:hAnsi="Arial" w:cs="Arial"/>
                <w:color w:val="000000" w:themeColor="text1"/>
                <w:sz w:val="20"/>
                <w:lang w:val="es-ES" w:bidi="en-US"/>
              </w:rPr>
              <w:t xml:space="preserve">. Av. Diagonal, 211 Planta 27. </w:t>
            </w:r>
            <w:r w:rsidRPr="00803736">
              <w:rPr>
                <w:rFonts w:ascii="Arial" w:hAnsi="Arial" w:cs="Arial"/>
                <w:color w:val="000000" w:themeColor="text1"/>
                <w:sz w:val="20"/>
                <w:lang w:bidi="en-US"/>
              </w:rPr>
              <w:t>08018 Barcelona (Spain</w:t>
            </w:r>
            <w:r w:rsidRPr="004864E1">
              <w:rPr>
                <w:rFonts w:ascii="Arial" w:hAnsi="Arial" w:cs="Arial"/>
                <w:color w:val="000000" w:themeColor="text1"/>
                <w:sz w:val="20"/>
                <w:lang w:bidi="en-US"/>
              </w:rPr>
              <w:t>)</w:t>
            </w:r>
          </w:p>
        </w:tc>
      </w:tr>
      <w:tr w:rsidR="007C2456" w:rsidRPr="004F0FE2" w14:paraId="7EC1DC92" w14:textId="77777777" w:rsidTr="00A5705E">
        <w:trPr>
          <w:cantSplit/>
          <w:trHeight w:val="155"/>
          <w:jc w:val="right"/>
        </w:trPr>
        <w:tc>
          <w:tcPr>
            <w:tcW w:w="3119" w:type="dxa"/>
            <w:tcBorders>
              <w:top w:val="nil"/>
              <w:bottom w:val="single" w:sz="4" w:space="0" w:color="auto"/>
            </w:tcBorders>
          </w:tcPr>
          <w:p w14:paraId="30C33C2B" w14:textId="77777777" w:rsidR="007C2456" w:rsidRPr="002325CB" w:rsidRDefault="007C2456" w:rsidP="007C2456">
            <w:pPr>
              <w:pStyle w:val="TableText"/>
              <w:ind w:left="173" w:hanging="173"/>
              <w:rPr>
                <w:rFonts w:ascii="Arial" w:hAnsi="Arial" w:cs="Arial"/>
                <w:b/>
                <w:snapToGrid w:val="0"/>
              </w:rPr>
            </w:pPr>
          </w:p>
        </w:tc>
        <w:tc>
          <w:tcPr>
            <w:tcW w:w="5168" w:type="dxa"/>
            <w:tcBorders>
              <w:top w:val="nil"/>
              <w:bottom w:val="single" w:sz="4" w:space="0" w:color="auto"/>
            </w:tcBorders>
          </w:tcPr>
          <w:p w14:paraId="4CE816DC" w14:textId="77777777" w:rsidR="007C2456" w:rsidRPr="004F0FE2" w:rsidRDefault="007C2456" w:rsidP="007C2456">
            <w:pPr>
              <w:spacing w:after="0" w:line="240" w:lineRule="auto"/>
            </w:pPr>
          </w:p>
        </w:tc>
      </w:tr>
      <w:tr w:rsidR="00977932" w:rsidRPr="004F0FE2" w14:paraId="08EDAE2B" w14:textId="77777777" w:rsidTr="00A5705E">
        <w:trPr>
          <w:cantSplit/>
          <w:jc w:val="right"/>
        </w:trPr>
        <w:tc>
          <w:tcPr>
            <w:tcW w:w="3119" w:type="dxa"/>
            <w:tcBorders>
              <w:bottom w:val="nil"/>
            </w:tcBorders>
          </w:tcPr>
          <w:p w14:paraId="6E37C765" w14:textId="7BBF4400" w:rsidR="00977932" w:rsidRPr="002325CB" w:rsidRDefault="007573F7" w:rsidP="009764D9">
            <w:pPr>
              <w:pStyle w:val="TableText"/>
              <w:spacing w:after="100"/>
              <w:rPr>
                <w:rFonts w:ascii="Arial" w:hAnsi="Arial" w:cs="Arial"/>
                <w:b/>
                <w:snapToGrid w:val="0"/>
              </w:rPr>
            </w:pPr>
            <w:r w:rsidRPr="002325CB">
              <w:rPr>
                <w:rFonts w:ascii="Arial" w:hAnsi="Arial" w:cs="Arial"/>
                <w:b/>
                <w:snapToGrid w:val="0"/>
              </w:rPr>
              <w:t xml:space="preserve">Sponsor’s </w:t>
            </w:r>
            <w:r w:rsidR="00977932" w:rsidRPr="002325CB">
              <w:rPr>
                <w:rFonts w:ascii="Arial" w:hAnsi="Arial" w:cs="Arial"/>
                <w:b/>
                <w:snapToGrid w:val="0"/>
              </w:rPr>
              <w:t xml:space="preserve">Medical </w:t>
            </w:r>
            <w:r w:rsidR="0026170D" w:rsidRPr="002325CB">
              <w:rPr>
                <w:rFonts w:ascii="Arial" w:hAnsi="Arial" w:cs="Arial"/>
                <w:b/>
                <w:snapToGrid w:val="0"/>
              </w:rPr>
              <w:t>Scientist</w:t>
            </w:r>
          </w:p>
        </w:tc>
        <w:tc>
          <w:tcPr>
            <w:tcW w:w="5168" w:type="dxa"/>
            <w:tcBorders>
              <w:bottom w:val="nil"/>
            </w:tcBorders>
          </w:tcPr>
          <w:p w14:paraId="6CE95F5B" w14:textId="77777777" w:rsidR="00977932" w:rsidRPr="004F0FE2" w:rsidRDefault="007E7820" w:rsidP="007C2456">
            <w:pPr>
              <w:pStyle w:val="TableText"/>
              <w:rPr>
                <w:rFonts w:ascii="Arial" w:hAnsi="Arial" w:cs="Arial"/>
              </w:rPr>
            </w:pPr>
            <w:r w:rsidRPr="004F0FE2">
              <w:rPr>
                <w:rFonts w:ascii="Arial" w:hAnsi="Arial" w:cs="Arial"/>
              </w:rPr>
              <w:t>José Pérez MD, PhD</w:t>
            </w:r>
          </w:p>
          <w:p w14:paraId="4FFC1507" w14:textId="77777777" w:rsidR="007E7820" w:rsidRPr="004F0FE2" w:rsidRDefault="007E7820" w:rsidP="007C2456">
            <w:pPr>
              <w:spacing w:after="0" w:line="240" w:lineRule="auto"/>
            </w:pPr>
            <w:r w:rsidRPr="004F0FE2">
              <w:t>Medica Scientia Innovation Research (</w:t>
            </w:r>
            <w:proofErr w:type="spellStart"/>
            <w:r w:rsidRPr="004F0FE2">
              <w:t>MedSIR</w:t>
            </w:r>
            <w:proofErr w:type="spellEnd"/>
            <w:r w:rsidRPr="004F0FE2">
              <w:t>)</w:t>
            </w:r>
          </w:p>
          <w:p w14:paraId="449B3989" w14:textId="77777777" w:rsidR="007573F7" w:rsidRPr="00803736" w:rsidRDefault="007573F7" w:rsidP="007573F7">
            <w:pPr>
              <w:pStyle w:val="Encabezado"/>
              <w:tabs>
                <w:tab w:val="left" w:pos="1080"/>
              </w:tabs>
              <w:spacing w:after="0"/>
              <w:rPr>
                <w:rFonts w:ascii="Arial" w:hAnsi="Arial" w:cs="Arial"/>
                <w:color w:val="000000" w:themeColor="text1"/>
                <w:sz w:val="20"/>
                <w:lang w:bidi="en-US"/>
              </w:rPr>
            </w:pPr>
            <w:r w:rsidRPr="009764D9">
              <w:rPr>
                <w:rFonts w:ascii="Arial" w:hAnsi="Arial" w:cs="Arial"/>
                <w:color w:val="000000" w:themeColor="text1"/>
                <w:sz w:val="20"/>
                <w:lang w:val="es-ES" w:bidi="en-US"/>
              </w:rPr>
              <w:t xml:space="preserve">Torre </w:t>
            </w:r>
            <w:proofErr w:type="spellStart"/>
            <w:r w:rsidRPr="009764D9">
              <w:rPr>
                <w:rFonts w:ascii="Arial" w:hAnsi="Arial" w:cs="Arial"/>
                <w:color w:val="000000" w:themeColor="text1"/>
                <w:sz w:val="20"/>
                <w:lang w:val="es-ES" w:bidi="en-US"/>
              </w:rPr>
              <w:t>Glòries</w:t>
            </w:r>
            <w:proofErr w:type="spellEnd"/>
            <w:r w:rsidRPr="009764D9">
              <w:rPr>
                <w:rFonts w:ascii="Arial" w:hAnsi="Arial" w:cs="Arial"/>
                <w:color w:val="000000" w:themeColor="text1"/>
                <w:sz w:val="20"/>
                <w:lang w:val="es-ES" w:bidi="en-US"/>
              </w:rPr>
              <w:t xml:space="preserve">. Av. Diagonal, 211 Planta 27. </w:t>
            </w:r>
            <w:r w:rsidRPr="00803736">
              <w:rPr>
                <w:rFonts w:ascii="Arial" w:hAnsi="Arial" w:cs="Arial"/>
                <w:color w:val="000000" w:themeColor="text1"/>
                <w:sz w:val="20"/>
                <w:lang w:bidi="en-US"/>
              </w:rPr>
              <w:t>08018 Barcelona (Spain</w:t>
            </w:r>
            <w:r w:rsidRPr="004864E1">
              <w:rPr>
                <w:rFonts w:ascii="Arial" w:hAnsi="Arial" w:cs="Arial"/>
                <w:color w:val="000000" w:themeColor="text1"/>
                <w:sz w:val="20"/>
                <w:lang w:bidi="en-US"/>
              </w:rPr>
              <w:t>)</w:t>
            </w:r>
          </w:p>
          <w:p w14:paraId="12CACB80" w14:textId="77777777" w:rsidR="007C2456" w:rsidRPr="009764D9" w:rsidRDefault="007C2456" w:rsidP="007C2456">
            <w:pPr>
              <w:pStyle w:val="TableText"/>
              <w:rPr>
                <w:rFonts w:ascii="Arial" w:hAnsi="Arial" w:cs="Arial"/>
                <w:snapToGrid w:val="0"/>
              </w:rPr>
            </w:pPr>
          </w:p>
        </w:tc>
      </w:tr>
      <w:tr w:rsidR="002325CB" w:rsidRPr="004F0FE2" w14:paraId="2992ABF9" w14:textId="77777777" w:rsidTr="00A5705E">
        <w:trPr>
          <w:cantSplit/>
          <w:trHeight w:val="120"/>
          <w:jc w:val="right"/>
        </w:trPr>
        <w:tc>
          <w:tcPr>
            <w:tcW w:w="3119" w:type="dxa"/>
            <w:tcBorders>
              <w:top w:val="nil"/>
              <w:bottom w:val="single" w:sz="4" w:space="0" w:color="auto"/>
            </w:tcBorders>
          </w:tcPr>
          <w:p w14:paraId="475880C7" w14:textId="77777777" w:rsidR="002325CB" w:rsidRPr="002325CB" w:rsidRDefault="002325CB" w:rsidP="002325CB">
            <w:pPr>
              <w:pStyle w:val="TableText"/>
              <w:rPr>
                <w:rFonts w:ascii="Arial" w:hAnsi="Arial" w:cs="Arial"/>
                <w:b/>
                <w:snapToGrid w:val="0"/>
              </w:rPr>
            </w:pPr>
          </w:p>
        </w:tc>
        <w:tc>
          <w:tcPr>
            <w:tcW w:w="5168" w:type="dxa"/>
            <w:tcBorders>
              <w:top w:val="nil"/>
              <w:bottom w:val="single" w:sz="4" w:space="0" w:color="auto"/>
            </w:tcBorders>
          </w:tcPr>
          <w:p w14:paraId="295128B0" w14:textId="77777777" w:rsidR="002325CB" w:rsidRPr="004F0FE2" w:rsidRDefault="002325CB" w:rsidP="002325CB">
            <w:pPr>
              <w:spacing w:after="0" w:line="240" w:lineRule="auto"/>
            </w:pPr>
          </w:p>
        </w:tc>
      </w:tr>
      <w:tr w:rsidR="00977932" w:rsidRPr="004F0FE2" w14:paraId="15F8FBD9" w14:textId="77777777" w:rsidTr="00A5705E">
        <w:trPr>
          <w:cantSplit/>
          <w:jc w:val="right"/>
        </w:trPr>
        <w:tc>
          <w:tcPr>
            <w:tcW w:w="3119" w:type="dxa"/>
            <w:tcBorders>
              <w:bottom w:val="nil"/>
            </w:tcBorders>
          </w:tcPr>
          <w:p w14:paraId="20ED61BF" w14:textId="77777777" w:rsidR="00977932" w:rsidRPr="002325CB" w:rsidRDefault="00977932" w:rsidP="009764D9">
            <w:pPr>
              <w:pStyle w:val="TableText"/>
              <w:spacing w:after="100"/>
              <w:rPr>
                <w:rFonts w:ascii="Arial" w:hAnsi="Arial" w:cs="Arial"/>
                <w:b/>
                <w:snapToGrid w:val="0"/>
              </w:rPr>
            </w:pPr>
            <w:r w:rsidRPr="002325CB">
              <w:rPr>
                <w:rFonts w:ascii="Arial" w:hAnsi="Arial" w:cs="Arial"/>
                <w:b/>
                <w:snapToGrid w:val="0"/>
              </w:rPr>
              <w:t>Statistician:</w:t>
            </w:r>
          </w:p>
        </w:tc>
        <w:tc>
          <w:tcPr>
            <w:tcW w:w="5168" w:type="dxa"/>
            <w:tcBorders>
              <w:bottom w:val="nil"/>
            </w:tcBorders>
          </w:tcPr>
          <w:p w14:paraId="5FBBE576" w14:textId="77777777" w:rsidR="00977932" w:rsidRDefault="00796C13" w:rsidP="00CA72DB">
            <w:r w:rsidRPr="004F0FE2">
              <w:t xml:space="preserve">Miguel </w:t>
            </w:r>
            <w:proofErr w:type="spellStart"/>
            <w:r w:rsidRPr="004F0FE2">
              <w:t>Sampayo</w:t>
            </w:r>
            <w:proofErr w:type="spellEnd"/>
            <w:r w:rsidRPr="004F0FE2">
              <w:t>-Cordero</w:t>
            </w:r>
          </w:p>
          <w:p w14:paraId="465ED8F4" w14:textId="77777777" w:rsidR="007573F7" w:rsidRPr="004F0FE2" w:rsidRDefault="007573F7" w:rsidP="007573F7">
            <w:pPr>
              <w:spacing w:after="0" w:line="240" w:lineRule="auto"/>
            </w:pPr>
            <w:r w:rsidRPr="004F0FE2">
              <w:t>Medica Scientia Innovation Research (</w:t>
            </w:r>
            <w:proofErr w:type="spellStart"/>
            <w:r w:rsidRPr="004F0FE2">
              <w:t>MedSIR</w:t>
            </w:r>
            <w:proofErr w:type="spellEnd"/>
            <w:r w:rsidRPr="004F0FE2">
              <w:t>)</w:t>
            </w:r>
          </w:p>
          <w:p w14:paraId="4DCB93FC" w14:textId="17A6F38F" w:rsidR="007573F7" w:rsidRPr="009764D9" w:rsidRDefault="007573F7" w:rsidP="009764D9">
            <w:pPr>
              <w:pStyle w:val="Encabezado"/>
              <w:tabs>
                <w:tab w:val="left" w:pos="1080"/>
              </w:tabs>
              <w:spacing w:after="0"/>
              <w:rPr>
                <w:color w:val="000000" w:themeColor="text1"/>
                <w:lang w:bidi="en-US"/>
              </w:rPr>
            </w:pPr>
            <w:r w:rsidRPr="004864E1">
              <w:rPr>
                <w:rFonts w:ascii="Arial" w:hAnsi="Arial" w:cs="Arial"/>
                <w:color w:val="000000" w:themeColor="text1"/>
                <w:sz w:val="20"/>
                <w:lang w:val="es-ES" w:bidi="en-US"/>
              </w:rPr>
              <w:t xml:space="preserve">Torre </w:t>
            </w:r>
            <w:proofErr w:type="spellStart"/>
            <w:r w:rsidRPr="004864E1">
              <w:rPr>
                <w:rFonts w:ascii="Arial" w:hAnsi="Arial" w:cs="Arial"/>
                <w:color w:val="000000" w:themeColor="text1"/>
                <w:sz w:val="20"/>
                <w:lang w:val="es-ES" w:bidi="en-US"/>
              </w:rPr>
              <w:t>Glòries</w:t>
            </w:r>
            <w:proofErr w:type="spellEnd"/>
            <w:r w:rsidRPr="004864E1">
              <w:rPr>
                <w:rFonts w:ascii="Arial" w:hAnsi="Arial" w:cs="Arial"/>
                <w:color w:val="000000" w:themeColor="text1"/>
                <w:sz w:val="20"/>
                <w:lang w:val="es-ES" w:bidi="en-US"/>
              </w:rPr>
              <w:t xml:space="preserve">. Av. Diagonal, 211 Planta 27. </w:t>
            </w:r>
            <w:r w:rsidRPr="00803736">
              <w:rPr>
                <w:rFonts w:ascii="Arial" w:hAnsi="Arial" w:cs="Arial"/>
                <w:color w:val="000000" w:themeColor="text1"/>
                <w:sz w:val="20"/>
                <w:lang w:bidi="en-US"/>
              </w:rPr>
              <w:t>08018 Barcelona (Spain</w:t>
            </w:r>
            <w:r w:rsidRPr="004864E1">
              <w:rPr>
                <w:rFonts w:ascii="Arial" w:hAnsi="Arial" w:cs="Arial"/>
                <w:color w:val="000000" w:themeColor="text1"/>
                <w:sz w:val="20"/>
                <w:lang w:bidi="en-US"/>
              </w:rPr>
              <w:t>)</w:t>
            </w:r>
          </w:p>
        </w:tc>
      </w:tr>
      <w:tr w:rsidR="007C2456" w:rsidRPr="004F0FE2" w14:paraId="1914F26C" w14:textId="77777777" w:rsidTr="00A5705E">
        <w:trPr>
          <w:cantSplit/>
          <w:jc w:val="right"/>
        </w:trPr>
        <w:tc>
          <w:tcPr>
            <w:tcW w:w="3119" w:type="dxa"/>
            <w:tcBorders>
              <w:top w:val="nil"/>
              <w:bottom w:val="single" w:sz="4" w:space="0" w:color="auto"/>
            </w:tcBorders>
          </w:tcPr>
          <w:p w14:paraId="0BE26A62" w14:textId="77777777" w:rsidR="007C2456" w:rsidRPr="002325CB" w:rsidRDefault="007C2456" w:rsidP="007C2456">
            <w:pPr>
              <w:pStyle w:val="TableText"/>
              <w:ind w:left="-9" w:firstLine="9"/>
              <w:rPr>
                <w:rFonts w:ascii="Arial" w:hAnsi="Arial" w:cs="Arial"/>
                <w:b/>
                <w:snapToGrid w:val="0"/>
              </w:rPr>
            </w:pPr>
          </w:p>
        </w:tc>
        <w:tc>
          <w:tcPr>
            <w:tcW w:w="5168" w:type="dxa"/>
            <w:tcBorders>
              <w:top w:val="nil"/>
              <w:bottom w:val="single" w:sz="4" w:space="0" w:color="auto"/>
            </w:tcBorders>
          </w:tcPr>
          <w:p w14:paraId="0817EE13" w14:textId="77777777" w:rsidR="007C2456" w:rsidRPr="004F0FE2" w:rsidRDefault="007C2456" w:rsidP="007C2456">
            <w:pPr>
              <w:pStyle w:val="TableText"/>
              <w:rPr>
                <w:rFonts w:ascii="Arial" w:hAnsi="Arial" w:cs="Arial"/>
              </w:rPr>
            </w:pPr>
          </w:p>
        </w:tc>
      </w:tr>
      <w:tr w:rsidR="00977932" w:rsidRPr="004F0FE2" w14:paraId="00E6544F" w14:textId="77777777" w:rsidTr="00A5705E">
        <w:trPr>
          <w:cantSplit/>
          <w:trHeight w:val="910"/>
          <w:jc w:val="right"/>
        </w:trPr>
        <w:tc>
          <w:tcPr>
            <w:tcW w:w="3119" w:type="dxa"/>
            <w:tcBorders>
              <w:bottom w:val="nil"/>
            </w:tcBorders>
          </w:tcPr>
          <w:p w14:paraId="53A4D075" w14:textId="0A4C619B" w:rsidR="00977932" w:rsidRPr="002325CB" w:rsidRDefault="00977932" w:rsidP="002325CB">
            <w:pPr>
              <w:pStyle w:val="TableText"/>
              <w:spacing w:after="100"/>
              <w:ind w:left="-9" w:firstLine="9"/>
              <w:rPr>
                <w:rFonts w:ascii="Arial" w:hAnsi="Arial" w:cs="Arial"/>
                <w:b/>
                <w:snapToGrid w:val="0"/>
              </w:rPr>
            </w:pPr>
            <w:r w:rsidRPr="002325CB">
              <w:rPr>
                <w:rFonts w:ascii="Arial" w:hAnsi="Arial" w:cs="Arial"/>
                <w:b/>
                <w:snapToGrid w:val="0"/>
              </w:rPr>
              <w:t>Contract Research Organization</w:t>
            </w:r>
            <w:r w:rsidR="002325CB">
              <w:rPr>
                <w:rFonts w:ascii="Arial" w:hAnsi="Arial" w:cs="Arial"/>
                <w:b/>
                <w:snapToGrid w:val="0"/>
              </w:rPr>
              <w:t xml:space="preserve"> (CRO) </w:t>
            </w:r>
            <w:r w:rsidR="00B202AD" w:rsidRPr="002325CB">
              <w:rPr>
                <w:rFonts w:ascii="Arial" w:hAnsi="Arial" w:cs="Arial"/>
                <w:b/>
                <w:snapToGrid w:val="0"/>
              </w:rPr>
              <w:t xml:space="preserve">for Regulatory </w:t>
            </w:r>
            <w:r w:rsidR="00B202AD" w:rsidRPr="002325CB">
              <w:rPr>
                <w:rFonts w:ascii="Arial" w:hAnsi="Arial" w:cs="Arial"/>
                <w:b/>
              </w:rPr>
              <w:t>&amp; Clinical Operations</w:t>
            </w:r>
            <w:r w:rsidRPr="002325CB">
              <w:rPr>
                <w:rFonts w:ascii="Arial" w:hAnsi="Arial" w:cs="Arial"/>
                <w:b/>
                <w:snapToGrid w:val="0"/>
              </w:rPr>
              <w:t>:</w:t>
            </w:r>
          </w:p>
        </w:tc>
        <w:tc>
          <w:tcPr>
            <w:tcW w:w="5168" w:type="dxa"/>
            <w:tcBorders>
              <w:bottom w:val="nil"/>
            </w:tcBorders>
          </w:tcPr>
          <w:p w14:paraId="0257D1B4" w14:textId="77777777" w:rsidR="00B202AD" w:rsidRDefault="00B202AD" w:rsidP="00B202AD">
            <w:pPr>
              <w:pStyle w:val="TableText"/>
              <w:rPr>
                <w:rFonts w:ascii="Arial" w:hAnsi="Arial" w:cs="Arial"/>
              </w:rPr>
            </w:pPr>
            <w:r w:rsidRPr="00742929">
              <w:rPr>
                <w:rFonts w:ascii="Arial" w:hAnsi="Arial" w:cs="Arial"/>
              </w:rPr>
              <w:t xml:space="preserve">Trial Form Support </w:t>
            </w:r>
          </w:p>
          <w:p w14:paraId="7E1496F1" w14:textId="77777777" w:rsidR="00B202AD" w:rsidRPr="00B202AD" w:rsidRDefault="00B202AD" w:rsidP="00B202AD">
            <w:pPr>
              <w:pStyle w:val="TableText"/>
              <w:rPr>
                <w:rFonts w:ascii="Arial" w:hAnsi="Arial" w:cs="Arial"/>
                <w:i/>
              </w:rPr>
            </w:pPr>
            <w:r w:rsidRPr="00B202AD">
              <w:rPr>
                <w:rFonts w:ascii="Arial" w:hAnsi="Arial" w:cs="Arial"/>
                <w:i/>
              </w:rPr>
              <w:t>Global scope</w:t>
            </w:r>
          </w:p>
          <w:p w14:paraId="74DDED52" w14:textId="76EF905D" w:rsidR="00B202AD" w:rsidRPr="00B202AD" w:rsidRDefault="00B202AD" w:rsidP="00B202AD">
            <w:pPr>
              <w:pStyle w:val="TableText"/>
              <w:rPr>
                <w:rFonts w:ascii="Arial" w:hAnsi="Arial" w:cs="Arial"/>
                <w:snapToGrid w:val="0"/>
                <w:sz w:val="16"/>
                <w:szCs w:val="16"/>
              </w:rPr>
            </w:pPr>
            <w:r w:rsidRPr="00B202AD">
              <w:rPr>
                <w:rFonts w:ascii="Arial" w:hAnsi="Arial" w:cs="Arial"/>
                <w:sz w:val="16"/>
                <w:szCs w:val="16"/>
              </w:rPr>
              <w:t>From Jan 2015 to Sep 2018</w:t>
            </w:r>
          </w:p>
        </w:tc>
      </w:tr>
      <w:tr w:rsidR="00977932" w:rsidRPr="004F0FE2" w14:paraId="3F36A836" w14:textId="77777777" w:rsidTr="00A5705E">
        <w:trPr>
          <w:cantSplit/>
          <w:trHeight w:val="747"/>
          <w:jc w:val="right"/>
        </w:trPr>
        <w:tc>
          <w:tcPr>
            <w:tcW w:w="3119" w:type="dxa"/>
            <w:tcBorders>
              <w:top w:val="nil"/>
              <w:bottom w:val="nil"/>
            </w:tcBorders>
          </w:tcPr>
          <w:p w14:paraId="1F3D155F" w14:textId="77777777" w:rsidR="00977932" w:rsidRPr="002325CB" w:rsidRDefault="00977932" w:rsidP="002325CB">
            <w:pPr>
              <w:pStyle w:val="TableText"/>
              <w:spacing w:after="100"/>
              <w:ind w:left="-9" w:firstLine="9"/>
              <w:rPr>
                <w:rFonts w:ascii="Arial" w:hAnsi="Arial" w:cs="Arial"/>
                <w:b/>
                <w:snapToGrid w:val="0"/>
              </w:rPr>
            </w:pPr>
          </w:p>
        </w:tc>
        <w:tc>
          <w:tcPr>
            <w:tcW w:w="5168" w:type="dxa"/>
            <w:tcBorders>
              <w:top w:val="nil"/>
              <w:bottom w:val="nil"/>
            </w:tcBorders>
          </w:tcPr>
          <w:p w14:paraId="2DAD7CA0" w14:textId="77777777" w:rsidR="00977932" w:rsidRPr="00B202AD" w:rsidRDefault="00B202AD" w:rsidP="00B202AD">
            <w:pPr>
              <w:pStyle w:val="TableText"/>
              <w:rPr>
                <w:rFonts w:ascii="Arial" w:hAnsi="Arial" w:cs="Arial"/>
              </w:rPr>
            </w:pPr>
            <w:r w:rsidRPr="00B202AD">
              <w:rPr>
                <w:rFonts w:ascii="Arial" w:hAnsi="Arial" w:cs="Arial"/>
              </w:rPr>
              <w:t>Scope International</w:t>
            </w:r>
          </w:p>
          <w:p w14:paraId="42060033" w14:textId="2457FC48" w:rsidR="00B202AD" w:rsidRPr="00B202AD" w:rsidRDefault="00B202AD" w:rsidP="00B202AD">
            <w:pPr>
              <w:pStyle w:val="TableText"/>
              <w:rPr>
                <w:rFonts w:ascii="Arial" w:hAnsi="Arial" w:cs="Arial"/>
                <w:i/>
              </w:rPr>
            </w:pPr>
            <w:r w:rsidRPr="00B202AD">
              <w:rPr>
                <w:rFonts w:ascii="Arial" w:hAnsi="Arial" w:cs="Arial"/>
                <w:i/>
              </w:rPr>
              <w:t>Global scope</w:t>
            </w:r>
          </w:p>
          <w:p w14:paraId="0569999C" w14:textId="7040026D" w:rsidR="00B202AD" w:rsidRPr="002325CB" w:rsidRDefault="00B202AD" w:rsidP="00B202AD">
            <w:pPr>
              <w:pStyle w:val="TableText"/>
              <w:rPr>
                <w:rFonts w:ascii="Arial" w:hAnsi="Arial" w:cs="Arial"/>
                <w:sz w:val="16"/>
                <w:szCs w:val="16"/>
              </w:rPr>
            </w:pPr>
            <w:r w:rsidRPr="00B202AD">
              <w:rPr>
                <w:rFonts w:ascii="Arial" w:hAnsi="Arial" w:cs="Arial"/>
                <w:sz w:val="16"/>
                <w:szCs w:val="16"/>
              </w:rPr>
              <w:t>From July 2018 to Feb 2019</w:t>
            </w:r>
          </w:p>
        </w:tc>
      </w:tr>
      <w:tr w:rsidR="00977932" w:rsidRPr="004F0FE2" w14:paraId="0F7ADEE0" w14:textId="77777777" w:rsidTr="00A5705E">
        <w:trPr>
          <w:cantSplit/>
          <w:trHeight w:val="800"/>
          <w:jc w:val="right"/>
        </w:trPr>
        <w:tc>
          <w:tcPr>
            <w:tcW w:w="3119" w:type="dxa"/>
            <w:tcBorders>
              <w:top w:val="nil"/>
              <w:bottom w:val="nil"/>
            </w:tcBorders>
          </w:tcPr>
          <w:p w14:paraId="2EDFFA18" w14:textId="77777777" w:rsidR="00977932" w:rsidRPr="002325CB" w:rsidRDefault="00977932" w:rsidP="002325CB">
            <w:pPr>
              <w:pStyle w:val="TableText"/>
              <w:spacing w:after="100"/>
              <w:ind w:left="-9" w:firstLine="9"/>
              <w:rPr>
                <w:rFonts w:ascii="Arial" w:hAnsi="Arial" w:cs="Arial"/>
                <w:b/>
                <w:snapToGrid w:val="0"/>
              </w:rPr>
            </w:pPr>
          </w:p>
        </w:tc>
        <w:tc>
          <w:tcPr>
            <w:tcW w:w="5168" w:type="dxa"/>
            <w:tcBorders>
              <w:top w:val="nil"/>
              <w:bottom w:val="nil"/>
            </w:tcBorders>
          </w:tcPr>
          <w:p w14:paraId="431094FF" w14:textId="77777777" w:rsidR="00977932" w:rsidRPr="00B202AD" w:rsidRDefault="00B202AD" w:rsidP="00B202AD">
            <w:pPr>
              <w:pStyle w:val="TableText"/>
              <w:rPr>
                <w:rFonts w:ascii="Arial" w:hAnsi="Arial" w:cs="Arial"/>
              </w:rPr>
            </w:pPr>
            <w:r w:rsidRPr="00B202AD">
              <w:rPr>
                <w:rFonts w:ascii="Arial" w:hAnsi="Arial" w:cs="Arial"/>
              </w:rPr>
              <w:t xml:space="preserve">Oxford Global Resources (previously </w:t>
            </w:r>
            <w:proofErr w:type="spellStart"/>
            <w:r w:rsidRPr="00B202AD">
              <w:rPr>
                <w:rFonts w:ascii="Arial" w:hAnsi="Arial" w:cs="Arial"/>
              </w:rPr>
              <w:t>Valesta</w:t>
            </w:r>
            <w:proofErr w:type="spellEnd"/>
            <w:r w:rsidRPr="00B202AD">
              <w:rPr>
                <w:rFonts w:ascii="Arial" w:hAnsi="Arial" w:cs="Arial"/>
              </w:rPr>
              <w:t>)</w:t>
            </w:r>
          </w:p>
          <w:p w14:paraId="6224A6CC" w14:textId="28702F1C" w:rsidR="00B202AD" w:rsidRPr="00B202AD" w:rsidRDefault="00B202AD" w:rsidP="00B202AD">
            <w:pPr>
              <w:pStyle w:val="TableText"/>
              <w:rPr>
                <w:rFonts w:ascii="Arial" w:hAnsi="Arial" w:cs="Arial"/>
                <w:i/>
              </w:rPr>
            </w:pPr>
            <w:r w:rsidRPr="00B202AD">
              <w:rPr>
                <w:rFonts w:ascii="Arial" w:hAnsi="Arial" w:cs="Arial"/>
                <w:i/>
              </w:rPr>
              <w:t>Global scope (Except Russia)</w:t>
            </w:r>
          </w:p>
          <w:p w14:paraId="618A3E0A" w14:textId="110CB7E3" w:rsidR="00B202AD" w:rsidRPr="00B202AD" w:rsidRDefault="00B202AD" w:rsidP="00B202AD">
            <w:pPr>
              <w:pStyle w:val="TableText"/>
              <w:rPr>
                <w:rFonts w:ascii="Arial" w:hAnsi="Arial" w:cs="Arial"/>
              </w:rPr>
            </w:pPr>
            <w:r w:rsidRPr="00B202AD">
              <w:rPr>
                <w:rFonts w:ascii="Arial" w:hAnsi="Arial" w:cs="Arial"/>
                <w:sz w:val="16"/>
                <w:szCs w:val="16"/>
              </w:rPr>
              <w:t>From Jan 2019 to End of Study</w:t>
            </w:r>
          </w:p>
        </w:tc>
      </w:tr>
      <w:tr w:rsidR="00B202AD" w:rsidRPr="004F0FE2" w14:paraId="7FE81EF3" w14:textId="77777777" w:rsidTr="00A5705E">
        <w:trPr>
          <w:cantSplit/>
          <w:trHeight w:val="754"/>
          <w:jc w:val="right"/>
        </w:trPr>
        <w:tc>
          <w:tcPr>
            <w:tcW w:w="3119" w:type="dxa"/>
            <w:tcBorders>
              <w:top w:val="nil"/>
            </w:tcBorders>
          </w:tcPr>
          <w:p w14:paraId="1F00C5D5" w14:textId="77777777" w:rsidR="00B202AD" w:rsidRPr="002325CB" w:rsidRDefault="00B202AD" w:rsidP="002325CB">
            <w:pPr>
              <w:pStyle w:val="TableText"/>
              <w:spacing w:after="100"/>
              <w:ind w:left="-9" w:firstLine="9"/>
              <w:rPr>
                <w:rFonts w:ascii="Arial" w:hAnsi="Arial" w:cs="Arial"/>
                <w:b/>
                <w:snapToGrid w:val="0"/>
              </w:rPr>
            </w:pPr>
          </w:p>
        </w:tc>
        <w:tc>
          <w:tcPr>
            <w:tcW w:w="5168" w:type="dxa"/>
            <w:tcBorders>
              <w:top w:val="nil"/>
            </w:tcBorders>
          </w:tcPr>
          <w:p w14:paraId="522C35C3" w14:textId="77777777" w:rsidR="00B202AD" w:rsidRDefault="00B202AD" w:rsidP="00B202AD">
            <w:pPr>
              <w:pStyle w:val="TableText"/>
              <w:rPr>
                <w:rFonts w:ascii="Arial" w:hAnsi="Arial" w:cs="Arial"/>
              </w:rPr>
            </w:pPr>
            <w:r w:rsidRPr="00742929">
              <w:rPr>
                <w:rFonts w:ascii="Arial" w:hAnsi="Arial" w:cs="Arial"/>
              </w:rPr>
              <w:t>Synergy</w:t>
            </w:r>
          </w:p>
          <w:p w14:paraId="5849D389" w14:textId="77777777" w:rsidR="00B202AD" w:rsidRPr="00B202AD" w:rsidRDefault="00B202AD" w:rsidP="00B202AD">
            <w:pPr>
              <w:pStyle w:val="TableText"/>
              <w:rPr>
                <w:rFonts w:ascii="Arial" w:hAnsi="Arial" w:cs="Arial"/>
                <w:i/>
              </w:rPr>
            </w:pPr>
            <w:r w:rsidRPr="00B202AD">
              <w:rPr>
                <w:rFonts w:ascii="Arial" w:hAnsi="Arial" w:cs="Arial"/>
                <w:i/>
              </w:rPr>
              <w:t>Russia only</w:t>
            </w:r>
          </w:p>
          <w:p w14:paraId="7BB23D57" w14:textId="2A7F198F" w:rsidR="00B202AD" w:rsidRPr="004F0FE2" w:rsidRDefault="00B202AD" w:rsidP="00B202AD">
            <w:pPr>
              <w:pStyle w:val="TableText"/>
              <w:rPr>
                <w:rFonts w:ascii="Arial" w:hAnsi="Arial" w:cs="Arial"/>
                <w:color w:val="FF0000"/>
              </w:rPr>
            </w:pPr>
            <w:r w:rsidRPr="00B202AD">
              <w:rPr>
                <w:rFonts w:ascii="Arial" w:hAnsi="Arial" w:cs="Arial"/>
                <w:sz w:val="16"/>
                <w:szCs w:val="16"/>
              </w:rPr>
              <w:t>From Jan 2019 to End of Study</w:t>
            </w:r>
          </w:p>
        </w:tc>
      </w:tr>
      <w:tr w:rsidR="00977932" w:rsidRPr="004F0FE2" w14:paraId="64829F6A" w14:textId="77777777" w:rsidTr="00A5705E">
        <w:trPr>
          <w:cantSplit/>
          <w:trHeight w:val="853"/>
          <w:jc w:val="right"/>
        </w:trPr>
        <w:tc>
          <w:tcPr>
            <w:tcW w:w="3119" w:type="dxa"/>
          </w:tcPr>
          <w:p w14:paraId="77C4F7A9" w14:textId="784FA9D4" w:rsidR="00977932" w:rsidRPr="002325CB" w:rsidRDefault="002325CB" w:rsidP="002325CB">
            <w:pPr>
              <w:pStyle w:val="TableText"/>
              <w:spacing w:after="100"/>
              <w:ind w:left="-9" w:firstLine="9"/>
              <w:rPr>
                <w:rFonts w:ascii="Arial" w:hAnsi="Arial" w:cs="Arial"/>
                <w:b/>
                <w:snapToGrid w:val="0"/>
              </w:rPr>
            </w:pPr>
            <w:r>
              <w:rPr>
                <w:rFonts w:ascii="Arial" w:hAnsi="Arial" w:cs="Arial"/>
                <w:b/>
                <w:snapToGrid w:val="0"/>
              </w:rPr>
              <w:t xml:space="preserve">CRO </w:t>
            </w:r>
            <w:r w:rsidR="00B202AD" w:rsidRPr="002325CB">
              <w:rPr>
                <w:rFonts w:ascii="Arial" w:hAnsi="Arial" w:cs="Arial"/>
                <w:b/>
                <w:snapToGrid w:val="0"/>
              </w:rPr>
              <w:t>for Drug Safety:</w:t>
            </w:r>
          </w:p>
        </w:tc>
        <w:tc>
          <w:tcPr>
            <w:tcW w:w="5168" w:type="dxa"/>
          </w:tcPr>
          <w:p w14:paraId="672E608C" w14:textId="77777777" w:rsidR="00977932" w:rsidRDefault="00B202AD" w:rsidP="00B202AD">
            <w:pPr>
              <w:pStyle w:val="TableText"/>
              <w:rPr>
                <w:rFonts w:ascii="Arial" w:hAnsi="Arial" w:cs="Arial"/>
              </w:rPr>
            </w:pPr>
            <w:proofErr w:type="spellStart"/>
            <w:r w:rsidRPr="00742929">
              <w:rPr>
                <w:rFonts w:ascii="Arial" w:hAnsi="Arial" w:cs="Arial"/>
              </w:rPr>
              <w:t>Pharmalex</w:t>
            </w:r>
            <w:proofErr w:type="spellEnd"/>
            <w:r w:rsidRPr="00742929">
              <w:rPr>
                <w:rFonts w:ascii="Arial" w:hAnsi="Arial" w:cs="Arial"/>
              </w:rPr>
              <w:t xml:space="preserve"> (previously </w:t>
            </w:r>
            <w:proofErr w:type="spellStart"/>
            <w:r w:rsidRPr="00742929">
              <w:rPr>
                <w:rFonts w:ascii="Arial" w:hAnsi="Arial" w:cs="Arial"/>
              </w:rPr>
              <w:t>Actiomed</w:t>
            </w:r>
            <w:proofErr w:type="spellEnd"/>
            <w:r w:rsidRPr="00742929">
              <w:rPr>
                <w:rFonts w:ascii="Arial" w:hAnsi="Arial" w:cs="Arial"/>
              </w:rPr>
              <w:t>)</w:t>
            </w:r>
          </w:p>
          <w:p w14:paraId="0A9EA059" w14:textId="77777777" w:rsidR="00B202AD" w:rsidRPr="00B202AD" w:rsidRDefault="00B202AD" w:rsidP="00B202AD">
            <w:pPr>
              <w:pStyle w:val="TableText"/>
              <w:rPr>
                <w:rFonts w:ascii="Arial" w:hAnsi="Arial" w:cs="Arial"/>
                <w:i/>
              </w:rPr>
            </w:pPr>
            <w:r w:rsidRPr="00B202AD">
              <w:rPr>
                <w:rFonts w:ascii="Arial" w:hAnsi="Arial" w:cs="Arial"/>
                <w:i/>
              </w:rPr>
              <w:t>Global scope</w:t>
            </w:r>
          </w:p>
          <w:p w14:paraId="5A5E08C0" w14:textId="3B84E6EC" w:rsidR="00B202AD" w:rsidRPr="004F0FE2" w:rsidRDefault="00B202AD" w:rsidP="00B202AD">
            <w:pPr>
              <w:pStyle w:val="TableText"/>
              <w:rPr>
                <w:rFonts w:ascii="Arial" w:hAnsi="Arial" w:cs="Arial"/>
                <w:color w:val="FF0000"/>
              </w:rPr>
            </w:pPr>
            <w:r w:rsidRPr="00B202AD">
              <w:rPr>
                <w:rFonts w:ascii="Arial" w:hAnsi="Arial" w:cs="Arial"/>
                <w:sz w:val="16"/>
                <w:szCs w:val="16"/>
              </w:rPr>
              <w:t>From Jan 2015 to End of Study</w:t>
            </w:r>
          </w:p>
        </w:tc>
      </w:tr>
      <w:tr w:rsidR="00B202AD" w:rsidRPr="00B202AD" w14:paraId="0BB2CC43" w14:textId="77777777" w:rsidTr="00A5705E">
        <w:trPr>
          <w:cantSplit/>
          <w:trHeight w:val="850"/>
          <w:jc w:val="right"/>
        </w:trPr>
        <w:tc>
          <w:tcPr>
            <w:tcW w:w="3119" w:type="dxa"/>
          </w:tcPr>
          <w:p w14:paraId="4E09E4DF" w14:textId="3DA13C3C" w:rsidR="00B202AD" w:rsidRPr="002325CB" w:rsidRDefault="002325CB" w:rsidP="002325CB">
            <w:pPr>
              <w:pStyle w:val="TableText"/>
              <w:spacing w:after="100"/>
              <w:ind w:left="-9" w:firstLine="9"/>
              <w:rPr>
                <w:rFonts w:ascii="Arial" w:hAnsi="Arial" w:cs="Arial"/>
                <w:b/>
                <w:snapToGrid w:val="0"/>
              </w:rPr>
            </w:pPr>
            <w:r>
              <w:rPr>
                <w:rFonts w:ascii="Arial" w:hAnsi="Arial" w:cs="Arial"/>
                <w:b/>
                <w:snapToGrid w:val="0"/>
              </w:rPr>
              <w:t xml:space="preserve">CRO </w:t>
            </w:r>
            <w:r w:rsidR="00B202AD" w:rsidRPr="002325CB">
              <w:rPr>
                <w:rFonts w:ascii="Arial" w:hAnsi="Arial" w:cs="Arial"/>
                <w:b/>
                <w:snapToGrid w:val="0"/>
              </w:rPr>
              <w:t>for Data Management &amp; Statistics:</w:t>
            </w:r>
          </w:p>
        </w:tc>
        <w:tc>
          <w:tcPr>
            <w:tcW w:w="5168" w:type="dxa"/>
          </w:tcPr>
          <w:p w14:paraId="39C9C8FB" w14:textId="56D03B03" w:rsidR="00B202AD" w:rsidRDefault="00B202AD" w:rsidP="00B202AD">
            <w:pPr>
              <w:pStyle w:val="TableText"/>
              <w:rPr>
                <w:rFonts w:ascii="Arial" w:hAnsi="Arial" w:cs="Arial"/>
                <w:lang w:val="es-ES"/>
              </w:rPr>
            </w:pPr>
            <w:r w:rsidRPr="00DE753F">
              <w:rPr>
                <w:rFonts w:ascii="Arial" w:hAnsi="Arial" w:cs="Arial"/>
                <w:lang w:val="es-ES"/>
              </w:rPr>
              <w:t xml:space="preserve">SAIL (Servicios de </w:t>
            </w:r>
            <w:r w:rsidR="00A5705E" w:rsidRPr="00DE753F">
              <w:rPr>
                <w:rFonts w:ascii="Arial" w:hAnsi="Arial" w:cs="Arial"/>
                <w:lang w:val="es-ES"/>
              </w:rPr>
              <w:t>Asesoría</w:t>
            </w:r>
            <w:r w:rsidRPr="00DE753F">
              <w:rPr>
                <w:rFonts w:ascii="Arial" w:hAnsi="Arial" w:cs="Arial"/>
                <w:lang w:val="es-ES"/>
              </w:rPr>
              <w:t xml:space="preserve"> a Investigación y </w:t>
            </w:r>
            <w:r w:rsidR="00A5705E" w:rsidRPr="00DE753F">
              <w:rPr>
                <w:rFonts w:ascii="Arial" w:hAnsi="Arial" w:cs="Arial"/>
                <w:lang w:val="es-ES"/>
              </w:rPr>
              <w:t>Logística</w:t>
            </w:r>
            <w:r w:rsidRPr="00DE753F">
              <w:rPr>
                <w:rFonts w:ascii="Arial" w:hAnsi="Arial" w:cs="Arial"/>
                <w:lang w:val="es-ES"/>
              </w:rPr>
              <w:t>)</w:t>
            </w:r>
          </w:p>
          <w:p w14:paraId="48B7065C" w14:textId="6F01C98A" w:rsidR="00B202AD" w:rsidRPr="00B202AD" w:rsidRDefault="00B202AD" w:rsidP="00B202AD">
            <w:pPr>
              <w:pStyle w:val="TableText"/>
              <w:rPr>
                <w:rFonts w:ascii="Arial" w:hAnsi="Arial" w:cs="Arial"/>
                <w:i/>
                <w:lang w:val="en-GB"/>
              </w:rPr>
            </w:pPr>
            <w:r w:rsidRPr="00B202AD">
              <w:rPr>
                <w:rFonts w:ascii="Arial" w:hAnsi="Arial" w:cs="Arial"/>
                <w:i/>
                <w:lang w:val="en-GB"/>
              </w:rPr>
              <w:t>Global scope</w:t>
            </w:r>
          </w:p>
          <w:p w14:paraId="6C9E3060" w14:textId="1B5982AA" w:rsidR="00B202AD" w:rsidRPr="00B202AD" w:rsidRDefault="00B202AD" w:rsidP="00B202AD">
            <w:pPr>
              <w:pStyle w:val="TableText"/>
              <w:rPr>
                <w:rFonts w:ascii="Arial" w:hAnsi="Arial" w:cs="Arial"/>
                <w:lang w:val="en-GB"/>
              </w:rPr>
            </w:pPr>
            <w:r w:rsidRPr="00B202AD">
              <w:rPr>
                <w:rFonts w:ascii="Arial" w:hAnsi="Arial" w:cs="Arial"/>
                <w:sz w:val="16"/>
                <w:szCs w:val="16"/>
              </w:rPr>
              <w:t>From Mar 2015 to End of Study</w:t>
            </w:r>
          </w:p>
        </w:tc>
      </w:tr>
      <w:tr w:rsidR="00B202AD" w:rsidRPr="004F0FE2" w14:paraId="4E9EFF30" w14:textId="77777777" w:rsidTr="00A5705E">
        <w:trPr>
          <w:cantSplit/>
          <w:jc w:val="right"/>
        </w:trPr>
        <w:tc>
          <w:tcPr>
            <w:tcW w:w="3119" w:type="dxa"/>
          </w:tcPr>
          <w:p w14:paraId="515B50C8" w14:textId="037F2BE2" w:rsidR="00B202AD" w:rsidRPr="002325CB" w:rsidRDefault="002325CB" w:rsidP="002325CB">
            <w:pPr>
              <w:pStyle w:val="TableText"/>
              <w:spacing w:after="100"/>
              <w:ind w:left="-9" w:firstLine="9"/>
              <w:rPr>
                <w:rFonts w:ascii="Arial" w:hAnsi="Arial" w:cs="Arial"/>
                <w:b/>
                <w:snapToGrid w:val="0"/>
              </w:rPr>
            </w:pPr>
            <w:r>
              <w:rPr>
                <w:rFonts w:ascii="Arial" w:hAnsi="Arial" w:cs="Arial"/>
                <w:b/>
                <w:snapToGrid w:val="0"/>
              </w:rPr>
              <w:t xml:space="preserve">CRO </w:t>
            </w:r>
            <w:r w:rsidR="00B202AD" w:rsidRPr="002325CB">
              <w:rPr>
                <w:rFonts w:ascii="Arial" w:hAnsi="Arial" w:cs="Arial"/>
                <w:b/>
                <w:snapToGrid w:val="0"/>
              </w:rPr>
              <w:t>for Drug Release, Storage and Distribution:</w:t>
            </w:r>
          </w:p>
        </w:tc>
        <w:tc>
          <w:tcPr>
            <w:tcW w:w="5168" w:type="dxa"/>
          </w:tcPr>
          <w:p w14:paraId="7A1EC26C" w14:textId="77777777" w:rsidR="00B202AD" w:rsidRDefault="00B202AD" w:rsidP="00B202AD">
            <w:pPr>
              <w:pStyle w:val="TableText"/>
              <w:rPr>
                <w:rFonts w:ascii="Arial" w:hAnsi="Arial" w:cs="Arial"/>
              </w:rPr>
            </w:pPr>
            <w:proofErr w:type="spellStart"/>
            <w:r w:rsidRPr="00742929">
              <w:rPr>
                <w:rFonts w:ascii="Arial" w:hAnsi="Arial" w:cs="Arial"/>
              </w:rPr>
              <w:t>Logista</w:t>
            </w:r>
            <w:proofErr w:type="spellEnd"/>
            <w:r w:rsidRPr="00742929">
              <w:rPr>
                <w:rFonts w:ascii="Arial" w:hAnsi="Arial" w:cs="Arial"/>
              </w:rPr>
              <w:t xml:space="preserve"> Pharma</w:t>
            </w:r>
          </w:p>
          <w:p w14:paraId="235075B6" w14:textId="77777777" w:rsidR="00B202AD" w:rsidRPr="00B202AD" w:rsidRDefault="00B202AD" w:rsidP="00B202AD">
            <w:pPr>
              <w:pStyle w:val="TableText"/>
              <w:rPr>
                <w:rFonts w:ascii="Arial" w:hAnsi="Arial" w:cs="Arial"/>
                <w:i/>
              </w:rPr>
            </w:pPr>
            <w:r w:rsidRPr="00B202AD">
              <w:rPr>
                <w:rFonts w:ascii="Arial" w:hAnsi="Arial" w:cs="Arial"/>
                <w:i/>
              </w:rPr>
              <w:t>Global scope</w:t>
            </w:r>
          </w:p>
          <w:p w14:paraId="3736DBE7" w14:textId="44473C23" w:rsidR="00B202AD" w:rsidRPr="00742929" w:rsidRDefault="00B202AD" w:rsidP="00B202AD">
            <w:pPr>
              <w:pStyle w:val="TableText"/>
              <w:rPr>
                <w:rFonts w:ascii="Arial" w:hAnsi="Arial" w:cs="Arial"/>
              </w:rPr>
            </w:pPr>
            <w:r w:rsidRPr="00B202AD">
              <w:rPr>
                <w:rFonts w:ascii="Arial" w:hAnsi="Arial" w:cs="Arial"/>
                <w:sz w:val="16"/>
                <w:szCs w:val="16"/>
              </w:rPr>
              <w:t>From Mar 2015 to End of Study</w:t>
            </w:r>
          </w:p>
        </w:tc>
      </w:tr>
    </w:tbl>
    <w:p w14:paraId="022A9468" w14:textId="2FE0F670" w:rsidR="00977932" w:rsidRDefault="00977932">
      <w:pPr>
        <w:pStyle w:val="BodyText10"/>
        <w:rPr>
          <w:rFonts w:ascii="Arial" w:hAnsi="Arial" w:cs="Arial"/>
        </w:rPr>
      </w:pPr>
    </w:p>
    <w:p w14:paraId="151C8B23" w14:textId="0BA06236" w:rsidR="00DD0117" w:rsidRPr="00E275E5" w:rsidRDefault="00DD0117" w:rsidP="00DD0117">
      <w:pPr>
        <w:rPr>
          <w:b/>
        </w:rPr>
      </w:pPr>
    </w:p>
    <w:tbl>
      <w:tblPr>
        <w:tblW w:w="8543" w:type="dxa"/>
        <w:tblBorders>
          <w:top w:val="single" w:sz="4" w:space="0" w:color="auto"/>
          <w:bottom w:val="single" w:sz="4" w:space="0" w:color="auto"/>
        </w:tblBorders>
        <w:tblLayout w:type="fixed"/>
        <w:tblLook w:val="00A0" w:firstRow="1" w:lastRow="0" w:firstColumn="1" w:lastColumn="0" w:noHBand="0" w:noVBand="0"/>
      </w:tblPr>
      <w:tblGrid>
        <w:gridCol w:w="1967"/>
        <w:gridCol w:w="3013"/>
        <w:gridCol w:w="3563"/>
      </w:tblGrid>
      <w:tr w:rsidR="00001523" w:rsidRPr="00B07569" w14:paraId="19F5E583" w14:textId="77777777" w:rsidTr="005E2AE9">
        <w:trPr>
          <w:trHeight w:val="481"/>
        </w:trPr>
        <w:tc>
          <w:tcPr>
            <w:tcW w:w="4980" w:type="dxa"/>
            <w:gridSpan w:val="2"/>
            <w:tcBorders>
              <w:top w:val="single" w:sz="4" w:space="0" w:color="auto"/>
              <w:bottom w:val="single" w:sz="4" w:space="0" w:color="auto"/>
            </w:tcBorders>
            <w:vAlign w:val="center"/>
          </w:tcPr>
          <w:p w14:paraId="133267FB" w14:textId="715901D2" w:rsidR="00001523" w:rsidRPr="00B202AD" w:rsidRDefault="00001523" w:rsidP="002325CB">
            <w:pPr>
              <w:spacing w:after="0" w:line="240" w:lineRule="auto"/>
              <w:jc w:val="left"/>
              <w:rPr>
                <w:b/>
                <w:bCs/>
              </w:rPr>
            </w:pPr>
            <w:bookmarkStart w:id="55" w:name="_Toc383007121"/>
            <w:r w:rsidRPr="00E275E5">
              <w:rPr>
                <w:b/>
              </w:rPr>
              <w:lastRenderedPageBreak/>
              <w:t xml:space="preserve">Steering </w:t>
            </w:r>
            <w:r>
              <w:rPr>
                <w:b/>
              </w:rPr>
              <w:t>C</w:t>
            </w:r>
            <w:r w:rsidRPr="00E275E5">
              <w:rPr>
                <w:b/>
              </w:rPr>
              <w:t>ommittee</w:t>
            </w:r>
            <w:bookmarkEnd w:id="55"/>
            <w:r>
              <w:rPr>
                <w:b/>
              </w:rPr>
              <w:t>:</w:t>
            </w:r>
          </w:p>
        </w:tc>
        <w:tc>
          <w:tcPr>
            <w:tcW w:w="3563" w:type="dxa"/>
            <w:tcBorders>
              <w:top w:val="single" w:sz="4" w:space="0" w:color="auto"/>
              <w:bottom w:val="single" w:sz="4" w:space="0" w:color="auto"/>
            </w:tcBorders>
            <w:vAlign w:val="center"/>
          </w:tcPr>
          <w:p w14:paraId="0FCBD6A3" w14:textId="77777777" w:rsidR="00001523" w:rsidRPr="00B202AD" w:rsidRDefault="00001523" w:rsidP="002325CB">
            <w:pPr>
              <w:spacing w:after="0" w:line="240" w:lineRule="auto"/>
              <w:jc w:val="left"/>
              <w:rPr>
                <w:b/>
                <w:bCs/>
              </w:rPr>
            </w:pPr>
          </w:p>
        </w:tc>
      </w:tr>
      <w:tr w:rsidR="00DD0117" w:rsidRPr="00B07569" w14:paraId="4972B7A3" w14:textId="77777777" w:rsidTr="00001523">
        <w:trPr>
          <w:trHeight w:val="275"/>
        </w:trPr>
        <w:tc>
          <w:tcPr>
            <w:tcW w:w="1967" w:type="dxa"/>
            <w:tcBorders>
              <w:top w:val="single" w:sz="4" w:space="0" w:color="auto"/>
              <w:bottom w:val="single" w:sz="4" w:space="0" w:color="auto"/>
            </w:tcBorders>
            <w:vAlign w:val="center"/>
          </w:tcPr>
          <w:p w14:paraId="76F44215" w14:textId="757DC5E9" w:rsidR="00DD0117" w:rsidRPr="00001523" w:rsidRDefault="00DD0117" w:rsidP="002325CB">
            <w:pPr>
              <w:spacing w:after="0" w:line="240" w:lineRule="auto"/>
              <w:jc w:val="left"/>
              <w:rPr>
                <w:bCs/>
              </w:rPr>
            </w:pPr>
            <w:r w:rsidRPr="00001523">
              <w:rPr>
                <w:bCs/>
              </w:rPr>
              <w:t>Investigator</w:t>
            </w:r>
          </w:p>
        </w:tc>
        <w:tc>
          <w:tcPr>
            <w:tcW w:w="3013" w:type="dxa"/>
            <w:tcBorders>
              <w:top w:val="single" w:sz="4" w:space="0" w:color="auto"/>
              <w:bottom w:val="single" w:sz="4" w:space="0" w:color="auto"/>
            </w:tcBorders>
            <w:vAlign w:val="center"/>
          </w:tcPr>
          <w:p w14:paraId="13981A97" w14:textId="751E63CB" w:rsidR="00DD0117" w:rsidRPr="00001523" w:rsidRDefault="00DD0117" w:rsidP="002325CB">
            <w:pPr>
              <w:spacing w:after="0" w:line="240" w:lineRule="auto"/>
              <w:jc w:val="left"/>
              <w:rPr>
                <w:bCs/>
              </w:rPr>
            </w:pPr>
            <w:r w:rsidRPr="00001523">
              <w:rPr>
                <w:bCs/>
              </w:rPr>
              <w:t>Role</w:t>
            </w:r>
          </w:p>
        </w:tc>
        <w:tc>
          <w:tcPr>
            <w:tcW w:w="3563" w:type="dxa"/>
            <w:tcBorders>
              <w:top w:val="single" w:sz="4" w:space="0" w:color="auto"/>
              <w:bottom w:val="single" w:sz="4" w:space="0" w:color="auto"/>
            </w:tcBorders>
            <w:vAlign w:val="center"/>
          </w:tcPr>
          <w:p w14:paraId="4D40C92E" w14:textId="3807730F" w:rsidR="00DD0117" w:rsidRPr="00001523" w:rsidRDefault="00DD0117" w:rsidP="002325CB">
            <w:pPr>
              <w:spacing w:after="0" w:line="240" w:lineRule="auto"/>
              <w:jc w:val="left"/>
              <w:rPr>
                <w:bCs/>
              </w:rPr>
            </w:pPr>
            <w:r w:rsidRPr="00001523">
              <w:rPr>
                <w:bCs/>
              </w:rPr>
              <w:t>Email address</w:t>
            </w:r>
          </w:p>
        </w:tc>
      </w:tr>
      <w:tr w:rsidR="00DD0117" w:rsidRPr="00B07569" w14:paraId="427F06E2" w14:textId="77777777" w:rsidTr="002325CB">
        <w:trPr>
          <w:trHeight w:val="481"/>
        </w:trPr>
        <w:tc>
          <w:tcPr>
            <w:tcW w:w="1967" w:type="dxa"/>
            <w:tcBorders>
              <w:top w:val="single" w:sz="4" w:space="0" w:color="auto"/>
            </w:tcBorders>
            <w:vAlign w:val="center"/>
          </w:tcPr>
          <w:p w14:paraId="031267AE" w14:textId="2B103C1B" w:rsidR="00DD0117" w:rsidRPr="00B07569" w:rsidRDefault="00DD0117" w:rsidP="002325CB">
            <w:pPr>
              <w:spacing w:after="0" w:line="240" w:lineRule="auto"/>
              <w:jc w:val="left"/>
            </w:pPr>
            <w:r w:rsidRPr="00B07569">
              <w:t>Javier Cortés</w:t>
            </w:r>
          </w:p>
        </w:tc>
        <w:tc>
          <w:tcPr>
            <w:tcW w:w="3013" w:type="dxa"/>
            <w:tcBorders>
              <w:top w:val="single" w:sz="4" w:space="0" w:color="auto"/>
            </w:tcBorders>
            <w:vAlign w:val="center"/>
          </w:tcPr>
          <w:p w14:paraId="742026E5" w14:textId="77777777" w:rsidR="00DD0117" w:rsidRPr="00B07569" w:rsidRDefault="00DD0117" w:rsidP="002325CB">
            <w:pPr>
              <w:spacing w:after="0" w:line="240" w:lineRule="auto"/>
              <w:jc w:val="left"/>
            </w:pPr>
            <w:r w:rsidRPr="00B07569">
              <w:t>Oncologist and Investigator</w:t>
            </w:r>
          </w:p>
        </w:tc>
        <w:tc>
          <w:tcPr>
            <w:tcW w:w="3563" w:type="dxa"/>
            <w:tcBorders>
              <w:top w:val="single" w:sz="4" w:space="0" w:color="auto"/>
            </w:tcBorders>
            <w:vAlign w:val="center"/>
          </w:tcPr>
          <w:p w14:paraId="1081113D" w14:textId="77777777" w:rsidR="00DD0117" w:rsidRPr="00B07569" w:rsidRDefault="00C65F3E" w:rsidP="002325CB">
            <w:pPr>
              <w:spacing w:after="0" w:line="240" w:lineRule="auto"/>
              <w:jc w:val="left"/>
            </w:pPr>
            <w:hyperlink r:id="rId12" w:history="1">
              <w:r w:rsidR="00DD0117" w:rsidRPr="00B07569">
                <w:rPr>
                  <w:rStyle w:val="Hipervnculo"/>
                </w:rPr>
                <w:t>jacortes@vhio.net</w:t>
              </w:r>
            </w:hyperlink>
          </w:p>
        </w:tc>
      </w:tr>
      <w:tr w:rsidR="00DD0117" w:rsidRPr="00B07569" w14:paraId="799DE9D7" w14:textId="77777777" w:rsidTr="002325CB">
        <w:trPr>
          <w:trHeight w:val="458"/>
        </w:trPr>
        <w:tc>
          <w:tcPr>
            <w:tcW w:w="1967" w:type="dxa"/>
            <w:vAlign w:val="center"/>
          </w:tcPr>
          <w:p w14:paraId="1E37EF02" w14:textId="77777777" w:rsidR="00DD0117" w:rsidRPr="00B07569" w:rsidRDefault="00DD0117" w:rsidP="002325CB">
            <w:pPr>
              <w:spacing w:after="0" w:line="240" w:lineRule="auto"/>
              <w:jc w:val="left"/>
            </w:pPr>
            <w:r w:rsidRPr="00B07569">
              <w:t xml:space="preserve">Peter Schmid </w:t>
            </w:r>
          </w:p>
        </w:tc>
        <w:tc>
          <w:tcPr>
            <w:tcW w:w="3013" w:type="dxa"/>
            <w:vAlign w:val="center"/>
          </w:tcPr>
          <w:p w14:paraId="62D8F093" w14:textId="77777777" w:rsidR="00DD0117" w:rsidRPr="00B07569" w:rsidRDefault="00DD0117" w:rsidP="002325CB">
            <w:pPr>
              <w:spacing w:after="0" w:line="240" w:lineRule="auto"/>
              <w:jc w:val="left"/>
            </w:pPr>
            <w:r w:rsidRPr="00B07569">
              <w:t>Oncologist and Investigator</w:t>
            </w:r>
          </w:p>
        </w:tc>
        <w:tc>
          <w:tcPr>
            <w:tcW w:w="3563" w:type="dxa"/>
            <w:vAlign w:val="center"/>
          </w:tcPr>
          <w:p w14:paraId="379210DE" w14:textId="77777777" w:rsidR="00DD0117" w:rsidRPr="00B07569" w:rsidRDefault="00C65F3E" w:rsidP="002325CB">
            <w:pPr>
              <w:spacing w:after="0" w:line="240" w:lineRule="auto"/>
              <w:jc w:val="left"/>
            </w:pPr>
            <w:hyperlink r:id="rId13" w:history="1">
              <w:r w:rsidR="00DD0117" w:rsidRPr="00B07569">
                <w:rPr>
                  <w:rStyle w:val="Hipervnculo"/>
                </w:rPr>
                <w:t>p.schmid@qmul.ac.uk</w:t>
              </w:r>
            </w:hyperlink>
          </w:p>
        </w:tc>
      </w:tr>
      <w:tr w:rsidR="00DD0117" w:rsidRPr="00B07569" w14:paraId="206424E0" w14:textId="77777777" w:rsidTr="002325CB">
        <w:trPr>
          <w:trHeight w:val="481"/>
        </w:trPr>
        <w:tc>
          <w:tcPr>
            <w:tcW w:w="1967" w:type="dxa"/>
            <w:vAlign w:val="center"/>
          </w:tcPr>
          <w:p w14:paraId="3A20CB1A" w14:textId="77777777" w:rsidR="00DD0117" w:rsidRPr="00B07569" w:rsidRDefault="00DD0117" w:rsidP="002325CB">
            <w:pPr>
              <w:spacing w:after="0" w:line="240" w:lineRule="auto"/>
              <w:jc w:val="left"/>
            </w:pPr>
            <w:r w:rsidRPr="00B07569">
              <w:t xml:space="preserve">Joseph </w:t>
            </w:r>
            <w:proofErr w:type="spellStart"/>
            <w:r w:rsidRPr="00B07569">
              <w:t>Gligorov</w:t>
            </w:r>
            <w:proofErr w:type="spellEnd"/>
            <w:r w:rsidRPr="00B07569">
              <w:t xml:space="preserve"> </w:t>
            </w:r>
          </w:p>
        </w:tc>
        <w:tc>
          <w:tcPr>
            <w:tcW w:w="3013" w:type="dxa"/>
            <w:vAlign w:val="center"/>
          </w:tcPr>
          <w:p w14:paraId="171C70CD" w14:textId="77777777" w:rsidR="00DD0117" w:rsidRPr="00B07569" w:rsidRDefault="00DD0117" w:rsidP="002325CB">
            <w:pPr>
              <w:spacing w:after="0" w:line="240" w:lineRule="auto"/>
              <w:jc w:val="left"/>
            </w:pPr>
            <w:r w:rsidRPr="00B07569">
              <w:t>Oncologist and Investigator</w:t>
            </w:r>
          </w:p>
        </w:tc>
        <w:tc>
          <w:tcPr>
            <w:tcW w:w="3563" w:type="dxa"/>
            <w:vAlign w:val="center"/>
          </w:tcPr>
          <w:p w14:paraId="39201F79" w14:textId="77777777" w:rsidR="00DD0117" w:rsidRPr="00B07569" w:rsidRDefault="00C65F3E" w:rsidP="002325CB">
            <w:pPr>
              <w:spacing w:after="0" w:line="240" w:lineRule="auto"/>
              <w:jc w:val="left"/>
            </w:pPr>
            <w:hyperlink r:id="rId14" w:history="1">
              <w:r w:rsidR="00DD0117" w:rsidRPr="00B07569">
                <w:rPr>
                  <w:rStyle w:val="Hipervnculo"/>
                </w:rPr>
                <w:t>joseph.gligorov@tnn.aphp.fr</w:t>
              </w:r>
            </w:hyperlink>
          </w:p>
        </w:tc>
      </w:tr>
      <w:tr w:rsidR="00DD0117" w:rsidRPr="00B07569" w14:paraId="518C9192" w14:textId="77777777" w:rsidTr="002325CB">
        <w:trPr>
          <w:trHeight w:val="540"/>
        </w:trPr>
        <w:tc>
          <w:tcPr>
            <w:tcW w:w="1967" w:type="dxa"/>
            <w:vAlign w:val="center"/>
          </w:tcPr>
          <w:p w14:paraId="3CE75687" w14:textId="77777777" w:rsidR="00DD0117" w:rsidRPr="00B07569" w:rsidRDefault="00DD0117" w:rsidP="002325CB">
            <w:pPr>
              <w:spacing w:after="0" w:line="240" w:lineRule="auto"/>
              <w:jc w:val="left"/>
            </w:pPr>
            <w:proofErr w:type="spellStart"/>
            <w:r w:rsidRPr="00B07569">
              <w:t>Shaheenah</w:t>
            </w:r>
            <w:proofErr w:type="spellEnd"/>
            <w:r w:rsidRPr="00B07569">
              <w:t xml:space="preserve"> Dawood </w:t>
            </w:r>
          </w:p>
        </w:tc>
        <w:tc>
          <w:tcPr>
            <w:tcW w:w="3013" w:type="dxa"/>
            <w:vAlign w:val="center"/>
          </w:tcPr>
          <w:p w14:paraId="11EF58E1" w14:textId="77777777" w:rsidR="00DD0117" w:rsidRPr="00B07569" w:rsidRDefault="00DD0117" w:rsidP="002325CB">
            <w:pPr>
              <w:spacing w:after="0" w:line="240" w:lineRule="auto"/>
              <w:jc w:val="left"/>
            </w:pPr>
            <w:r w:rsidRPr="00B07569">
              <w:t>Oncologist and Investigator</w:t>
            </w:r>
          </w:p>
        </w:tc>
        <w:tc>
          <w:tcPr>
            <w:tcW w:w="3563" w:type="dxa"/>
            <w:vAlign w:val="center"/>
          </w:tcPr>
          <w:p w14:paraId="26316F6E" w14:textId="77777777" w:rsidR="00DD0117" w:rsidRPr="00B07569" w:rsidRDefault="00C65F3E" w:rsidP="002325CB">
            <w:pPr>
              <w:spacing w:after="0" w:line="240" w:lineRule="auto"/>
              <w:jc w:val="left"/>
            </w:pPr>
            <w:hyperlink r:id="rId15" w:history="1">
              <w:r w:rsidR="00DD0117" w:rsidRPr="00B07569">
                <w:rPr>
                  <w:rStyle w:val="Hipervnculo"/>
                </w:rPr>
                <w:t>shaheenah_d@yahoo.com</w:t>
              </w:r>
            </w:hyperlink>
          </w:p>
        </w:tc>
      </w:tr>
      <w:tr w:rsidR="00DD0117" w:rsidRPr="00B07569" w14:paraId="7D6FCCAB" w14:textId="77777777" w:rsidTr="002325CB">
        <w:trPr>
          <w:trHeight w:val="481"/>
        </w:trPr>
        <w:tc>
          <w:tcPr>
            <w:tcW w:w="1967" w:type="dxa"/>
            <w:vAlign w:val="center"/>
          </w:tcPr>
          <w:p w14:paraId="18B97A3D" w14:textId="77777777" w:rsidR="00DD0117" w:rsidRPr="00B07569" w:rsidRDefault="00DD0117" w:rsidP="002325CB">
            <w:pPr>
              <w:spacing w:after="0" w:line="240" w:lineRule="auto"/>
              <w:jc w:val="left"/>
            </w:pPr>
            <w:r w:rsidRPr="00B07569">
              <w:t xml:space="preserve">Serena Di </w:t>
            </w:r>
            <w:proofErr w:type="spellStart"/>
            <w:r w:rsidRPr="00B07569">
              <w:t>Cosimo</w:t>
            </w:r>
            <w:proofErr w:type="spellEnd"/>
            <w:r w:rsidRPr="00B07569">
              <w:t xml:space="preserve"> </w:t>
            </w:r>
          </w:p>
        </w:tc>
        <w:tc>
          <w:tcPr>
            <w:tcW w:w="3013" w:type="dxa"/>
            <w:vAlign w:val="center"/>
          </w:tcPr>
          <w:p w14:paraId="1E9334BA" w14:textId="77777777" w:rsidR="00DD0117" w:rsidRPr="00B07569" w:rsidRDefault="00DD0117" w:rsidP="002325CB">
            <w:pPr>
              <w:spacing w:after="0" w:line="240" w:lineRule="auto"/>
              <w:jc w:val="left"/>
            </w:pPr>
            <w:r w:rsidRPr="00B07569">
              <w:t>Oncologist and Investigator</w:t>
            </w:r>
          </w:p>
        </w:tc>
        <w:tc>
          <w:tcPr>
            <w:tcW w:w="3563" w:type="dxa"/>
            <w:vAlign w:val="center"/>
          </w:tcPr>
          <w:p w14:paraId="105A90C0" w14:textId="77777777" w:rsidR="00DD0117" w:rsidRPr="00B07569" w:rsidRDefault="00C65F3E" w:rsidP="002325CB">
            <w:pPr>
              <w:spacing w:after="0" w:line="240" w:lineRule="auto"/>
              <w:jc w:val="left"/>
            </w:pPr>
            <w:hyperlink r:id="rId16" w:history="1">
              <w:r w:rsidR="00DD0117" w:rsidRPr="00B07569">
                <w:rPr>
                  <w:rStyle w:val="Hipervnculo"/>
                </w:rPr>
                <w:t>Serena.DiCosimo@istitutotumori.mi.it</w:t>
              </w:r>
            </w:hyperlink>
          </w:p>
        </w:tc>
      </w:tr>
      <w:tr w:rsidR="00DD0117" w:rsidRPr="00B07569" w14:paraId="67B4A02C" w14:textId="77777777" w:rsidTr="002325CB">
        <w:trPr>
          <w:trHeight w:val="386"/>
        </w:trPr>
        <w:tc>
          <w:tcPr>
            <w:tcW w:w="1967" w:type="dxa"/>
            <w:vAlign w:val="center"/>
          </w:tcPr>
          <w:p w14:paraId="450BC1CB" w14:textId="77777777" w:rsidR="00DD0117" w:rsidRPr="00B07569" w:rsidRDefault="00DD0117" w:rsidP="002325CB">
            <w:pPr>
              <w:spacing w:after="0" w:line="240" w:lineRule="auto"/>
              <w:jc w:val="left"/>
            </w:pPr>
            <w:r w:rsidRPr="00B07569">
              <w:t xml:space="preserve">Frederik </w:t>
            </w:r>
            <w:proofErr w:type="spellStart"/>
            <w:r w:rsidRPr="00B07569">
              <w:t>Marmé</w:t>
            </w:r>
            <w:proofErr w:type="spellEnd"/>
          </w:p>
        </w:tc>
        <w:tc>
          <w:tcPr>
            <w:tcW w:w="3013" w:type="dxa"/>
            <w:vAlign w:val="center"/>
          </w:tcPr>
          <w:p w14:paraId="6F166461" w14:textId="77777777" w:rsidR="00DD0117" w:rsidRPr="00B07569" w:rsidRDefault="00DD0117" w:rsidP="002325CB">
            <w:pPr>
              <w:spacing w:after="0" w:line="240" w:lineRule="auto"/>
              <w:jc w:val="left"/>
              <w:rPr>
                <w:lang w:bidi="th-TH"/>
              </w:rPr>
            </w:pPr>
            <w:r w:rsidRPr="00B07569">
              <w:t xml:space="preserve">Oncologist </w:t>
            </w:r>
            <w:r w:rsidRPr="00B07569">
              <w:rPr>
                <w:lang w:bidi="th-TH"/>
              </w:rPr>
              <w:t>and Investigator</w:t>
            </w:r>
          </w:p>
        </w:tc>
        <w:tc>
          <w:tcPr>
            <w:tcW w:w="3563" w:type="dxa"/>
            <w:vAlign w:val="center"/>
          </w:tcPr>
          <w:p w14:paraId="4915E30F" w14:textId="77777777" w:rsidR="00DD0117" w:rsidRPr="00B07569" w:rsidRDefault="00C65F3E" w:rsidP="002325CB">
            <w:pPr>
              <w:spacing w:after="0" w:line="240" w:lineRule="auto"/>
              <w:jc w:val="left"/>
            </w:pPr>
            <w:hyperlink r:id="rId17" w:history="1">
              <w:r w:rsidR="00DD0117" w:rsidRPr="00B07569">
                <w:rPr>
                  <w:rStyle w:val="Hipervnculo"/>
                </w:rPr>
                <w:t>frederikmarme@me.com</w:t>
              </w:r>
            </w:hyperlink>
          </w:p>
        </w:tc>
      </w:tr>
      <w:tr w:rsidR="00DD0117" w:rsidRPr="00B07569" w14:paraId="0C3E3B58" w14:textId="77777777" w:rsidTr="002325CB">
        <w:trPr>
          <w:trHeight w:val="481"/>
        </w:trPr>
        <w:tc>
          <w:tcPr>
            <w:tcW w:w="1967" w:type="dxa"/>
            <w:vAlign w:val="center"/>
          </w:tcPr>
          <w:p w14:paraId="17719D24" w14:textId="77777777" w:rsidR="00DD0117" w:rsidRPr="00B07569" w:rsidRDefault="00DD0117" w:rsidP="002325CB">
            <w:pPr>
              <w:spacing w:after="0" w:line="240" w:lineRule="auto"/>
              <w:jc w:val="left"/>
            </w:pPr>
            <w:r w:rsidRPr="00B07569">
              <w:t>José Pérez</w:t>
            </w:r>
          </w:p>
        </w:tc>
        <w:tc>
          <w:tcPr>
            <w:tcW w:w="3013" w:type="dxa"/>
            <w:vAlign w:val="center"/>
          </w:tcPr>
          <w:p w14:paraId="7CA629CB" w14:textId="77777777" w:rsidR="00DD0117" w:rsidRPr="00B07569" w:rsidRDefault="00DD0117" w:rsidP="002325CB">
            <w:pPr>
              <w:spacing w:after="0" w:line="240" w:lineRule="auto"/>
              <w:jc w:val="left"/>
              <w:rPr>
                <w:lang w:bidi="th-TH"/>
              </w:rPr>
            </w:pPr>
            <w:r w:rsidRPr="00B07569">
              <w:rPr>
                <w:lang w:bidi="th-TH"/>
              </w:rPr>
              <w:t>Study Medical Monitor</w:t>
            </w:r>
          </w:p>
        </w:tc>
        <w:tc>
          <w:tcPr>
            <w:tcW w:w="3563" w:type="dxa"/>
            <w:vAlign w:val="center"/>
          </w:tcPr>
          <w:p w14:paraId="0D9E4809" w14:textId="498514BE" w:rsidR="00B07569" w:rsidRPr="00B07569" w:rsidRDefault="00C65F3E" w:rsidP="002325CB">
            <w:pPr>
              <w:spacing w:after="0" w:line="240" w:lineRule="auto"/>
              <w:jc w:val="left"/>
            </w:pPr>
            <w:hyperlink r:id="rId18" w:history="1">
              <w:r w:rsidR="00B07569" w:rsidRPr="00B07569">
                <w:rPr>
                  <w:rStyle w:val="Hipervnculo"/>
                </w:rPr>
                <w:t>jose.perez@medsir.org</w:t>
              </w:r>
            </w:hyperlink>
          </w:p>
        </w:tc>
      </w:tr>
      <w:tr w:rsidR="00DD0117" w:rsidRPr="00B07569" w14:paraId="4D00401A" w14:textId="77777777" w:rsidTr="002325CB">
        <w:trPr>
          <w:trHeight w:val="481"/>
        </w:trPr>
        <w:tc>
          <w:tcPr>
            <w:tcW w:w="1967" w:type="dxa"/>
            <w:vAlign w:val="center"/>
          </w:tcPr>
          <w:p w14:paraId="4A7749AD" w14:textId="1CFFC461" w:rsidR="00DD0117" w:rsidRPr="00B07569" w:rsidRDefault="00DD0117" w:rsidP="002325CB">
            <w:pPr>
              <w:spacing w:after="0" w:line="240" w:lineRule="auto"/>
              <w:jc w:val="left"/>
            </w:pPr>
            <w:r w:rsidRPr="00B07569">
              <w:t xml:space="preserve">Antonio </w:t>
            </w:r>
            <w:proofErr w:type="spellStart"/>
            <w:r w:rsidRPr="00B07569">
              <w:t>Llombart-Cussac</w:t>
            </w:r>
            <w:proofErr w:type="spellEnd"/>
          </w:p>
        </w:tc>
        <w:tc>
          <w:tcPr>
            <w:tcW w:w="3013" w:type="dxa"/>
            <w:vAlign w:val="center"/>
          </w:tcPr>
          <w:p w14:paraId="5D526037" w14:textId="77777777" w:rsidR="00DD0117" w:rsidRPr="00B07569" w:rsidRDefault="00DD0117" w:rsidP="002325CB">
            <w:pPr>
              <w:spacing w:after="0" w:line="240" w:lineRule="auto"/>
              <w:jc w:val="left"/>
              <w:rPr>
                <w:lang w:bidi="th-TH"/>
              </w:rPr>
            </w:pPr>
            <w:r w:rsidRPr="00B07569">
              <w:rPr>
                <w:lang w:bidi="th-TH"/>
              </w:rPr>
              <w:t>Study Principal Investigator</w:t>
            </w:r>
          </w:p>
        </w:tc>
        <w:tc>
          <w:tcPr>
            <w:tcW w:w="3563" w:type="dxa"/>
            <w:vAlign w:val="center"/>
          </w:tcPr>
          <w:p w14:paraId="3C420D2D" w14:textId="77777777" w:rsidR="00DD0117" w:rsidRPr="00B07569" w:rsidRDefault="00C65F3E" w:rsidP="002325CB">
            <w:pPr>
              <w:spacing w:after="0" w:line="240" w:lineRule="auto"/>
              <w:jc w:val="left"/>
            </w:pPr>
            <w:hyperlink r:id="rId19" w:history="1">
              <w:r w:rsidR="00DD0117" w:rsidRPr="00B07569">
                <w:rPr>
                  <w:rStyle w:val="Hipervnculo"/>
                </w:rPr>
                <w:t>antonio.llombart@medsir.org</w:t>
              </w:r>
            </w:hyperlink>
          </w:p>
        </w:tc>
      </w:tr>
      <w:tr w:rsidR="00DD0117" w:rsidRPr="00B07569" w14:paraId="750116C0" w14:textId="77777777" w:rsidTr="002325CB">
        <w:trPr>
          <w:trHeight w:val="481"/>
        </w:trPr>
        <w:tc>
          <w:tcPr>
            <w:tcW w:w="1967" w:type="dxa"/>
            <w:vAlign w:val="center"/>
          </w:tcPr>
          <w:p w14:paraId="1DA80D99" w14:textId="77777777" w:rsidR="00DD0117" w:rsidRPr="00B07569" w:rsidRDefault="00DD0117" w:rsidP="002325CB">
            <w:pPr>
              <w:spacing w:after="0" w:line="240" w:lineRule="auto"/>
              <w:jc w:val="left"/>
            </w:pPr>
            <w:r w:rsidRPr="00B07569">
              <w:t xml:space="preserve">Joan </w:t>
            </w:r>
            <w:proofErr w:type="spellStart"/>
            <w:r w:rsidRPr="00B07569">
              <w:t>Albanell</w:t>
            </w:r>
            <w:proofErr w:type="spellEnd"/>
            <w:r w:rsidRPr="00B07569">
              <w:t xml:space="preserve"> </w:t>
            </w:r>
            <w:proofErr w:type="spellStart"/>
            <w:r w:rsidRPr="00B07569">
              <w:t>Mestres</w:t>
            </w:r>
            <w:proofErr w:type="spellEnd"/>
          </w:p>
        </w:tc>
        <w:tc>
          <w:tcPr>
            <w:tcW w:w="3013" w:type="dxa"/>
            <w:vAlign w:val="center"/>
          </w:tcPr>
          <w:p w14:paraId="531E6C7D" w14:textId="77777777" w:rsidR="00DD0117" w:rsidRPr="00B07569" w:rsidRDefault="00DD0117" w:rsidP="002325CB">
            <w:pPr>
              <w:spacing w:after="0" w:line="240" w:lineRule="auto"/>
              <w:jc w:val="left"/>
              <w:rPr>
                <w:lang w:bidi="th-TH"/>
              </w:rPr>
            </w:pPr>
            <w:r w:rsidRPr="00B07569">
              <w:rPr>
                <w:lang w:bidi="th-TH"/>
              </w:rPr>
              <w:t>Principal Investigator for translational sub-study</w:t>
            </w:r>
          </w:p>
        </w:tc>
        <w:tc>
          <w:tcPr>
            <w:tcW w:w="3563" w:type="dxa"/>
            <w:vAlign w:val="center"/>
          </w:tcPr>
          <w:p w14:paraId="5134E34E" w14:textId="39DA2420" w:rsidR="00B07569" w:rsidRPr="00B07569" w:rsidRDefault="00C65F3E" w:rsidP="002325CB">
            <w:pPr>
              <w:spacing w:after="0" w:line="240" w:lineRule="auto"/>
              <w:jc w:val="left"/>
            </w:pPr>
            <w:hyperlink r:id="rId20" w:history="1">
              <w:r w:rsidR="00B07569" w:rsidRPr="00B07569">
                <w:rPr>
                  <w:rStyle w:val="Hipervnculo"/>
                </w:rPr>
                <w:t>jalbanell@parcdesalutmar.cat</w:t>
              </w:r>
            </w:hyperlink>
          </w:p>
        </w:tc>
      </w:tr>
    </w:tbl>
    <w:p w14:paraId="763F2774" w14:textId="77777777" w:rsidR="00DD0117" w:rsidRDefault="00DD0117">
      <w:pPr>
        <w:pStyle w:val="BodyText10"/>
        <w:rPr>
          <w:rFonts w:ascii="Arial" w:hAnsi="Arial" w:cs="Arial"/>
        </w:rPr>
      </w:pPr>
    </w:p>
    <w:p w14:paraId="080A7AFA" w14:textId="77777777" w:rsidR="00DD0117" w:rsidRDefault="00DD0117">
      <w:pPr>
        <w:pStyle w:val="BodyText10"/>
        <w:rPr>
          <w:rFonts w:ascii="Arial" w:hAnsi="Arial" w:cs="Arial"/>
        </w:rPr>
      </w:pPr>
    </w:p>
    <w:p w14:paraId="368C06AA" w14:textId="6FD98D31" w:rsidR="00DD0117" w:rsidRPr="004F0FE2" w:rsidRDefault="00DD0117">
      <w:pPr>
        <w:pStyle w:val="BodyText10"/>
        <w:rPr>
          <w:rFonts w:ascii="Arial" w:hAnsi="Arial" w:cs="Arial"/>
        </w:rPr>
        <w:sectPr w:rsidR="00DD0117" w:rsidRPr="004F0FE2">
          <w:pgSz w:w="12240" w:h="15840" w:code="1"/>
          <w:pgMar w:top="1152" w:right="1656" w:bottom="1152" w:left="2304" w:header="1152" w:footer="850" w:gutter="0"/>
          <w:paperSrc w:first="14137" w:other="14137"/>
          <w:cols w:space="720"/>
          <w:noEndnote/>
        </w:sectPr>
      </w:pPr>
    </w:p>
    <w:p w14:paraId="34E87A08" w14:textId="77777777" w:rsidR="00977932" w:rsidRPr="004F0FE2" w:rsidRDefault="00977932" w:rsidP="00673269">
      <w:pPr>
        <w:pStyle w:val="Ttulo1"/>
        <w:ind w:left="709" w:right="567" w:hanging="283"/>
      </w:pPr>
      <w:bookmarkStart w:id="56" w:name="_Toc349040001"/>
      <w:bookmarkStart w:id="57" w:name="_Toc349040192"/>
      <w:bookmarkStart w:id="58" w:name="_Toc349040658"/>
      <w:bookmarkStart w:id="59" w:name="_Toc350240035"/>
      <w:bookmarkStart w:id="60" w:name="_Toc350241344"/>
      <w:bookmarkStart w:id="61" w:name="_Toc350241419"/>
      <w:bookmarkStart w:id="62" w:name="_Toc350579968"/>
      <w:bookmarkStart w:id="63" w:name="_Toc350583779"/>
      <w:bookmarkStart w:id="64" w:name="_Toc350583898"/>
      <w:bookmarkStart w:id="65" w:name="_Toc351358040"/>
      <w:bookmarkStart w:id="66" w:name="_Toc351358630"/>
      <w:bookmarkStart w:id="67" w:name="_Toc352037259"/>
      <w:bookmarkStart w:id="68" w:name="_Toc352038895"/>
      <w:bookmarkStart w:id="69" w:name="_Toc352039628"/>
      <w:bookmarkStart w:id="70" w:name="_Toc352039727"/>
      <w:bookmarkStart w:id="71" w:name="_Toc377434677"/>
      <w:bookmarkStart w:id="72" w:name="_Toc377434843"/>
      <w:bookmarkStart w:id="73" w:name="_Toc377435001"/>
      <w:bookmarkStart w:id="74" w:name="_Toc377435139"/>
      <w:bookmarkStart w:id="75" w:name="_Toc377438542"/>
      <w:bookmarkStart w:id="76" w:name="_Toc392499772"/>
      <w:bookmarkStart w:id="77" w:name="_Toc392500404"/>
      <w:bookmarkStart w:id="78" w:name="_Toc46085709"/>
      <w:bookmarkStart w:id="79" w:name="_Toc48334779"/>
      <w:bookmarkStart w:id="80" w:name="_Toc52468082"/>
      <w:r w:rsidRPr="004F0FE2">
        <w:lastRenderedPageBreak/>
        <w:t>INTRODUCTION</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559E6051" w14:textId="77777777" w:rsidR="0065712B" w:rsidRPr="004F0FE2" w:rsidRDefault="00196057" w:rsidP="00673269">
      <w:pPr>
        <w:pStyle w:val="Ttulo2"/>
        <w:ind w:right="567"/>
      </w:pPr>
      <w:bookmarkStart w:id="81" w:name="_Toc349040006"/>
      <w:bookmarkStart w:id="82" w:name="_Toc349040197"/>
      <w:bookmarkStart w:id="83" w:name="_Toc349040663"/>
      <w:bookmarkStart w:id="84" w:name="_Toc350240040"/>
      <w:bookmarkStart w:id="85" w:name="_Toc350241349"/>
      <w:bookmarkStart w:id="86" w:name="_Toc350241424"/>
      <w:bookmarkStart w:id="87" w:name="_Toc350579973"/>
      <w:bookmarkStart w:id="88" w:name="_Toc350583784"/>
      <w:bookmarkStart w:id="89" w:name="_Toc350583903"/>
      <w:bookmarkStart w:id="90" w:name="_Toc351358045"/>
      <w:bookmarkStart w:id="91" w:name="_Toc351358635"/>
      <w:bookmarkStart w:id="92" w:name="_Toc352037264"/>
      <w:bookmarkStart w:id="93" w:name="_Toc352038900"/>
      <w:bookmarkStart w:id="94" w:name="_Toc352039633"/>
      <w:bookmarkStart w:id="95" w:name="_Toc352039732"/>
      <w:bookmarkStart w:id="96" w:name="_Toc377434682"/>
      <w:bookmarkStart w:id="97" w:name="_Toc377434848"/>
      <w:bookmarkStart w:id="98" w:name="_Toc377435006"/>
      <w:bookmarkStart w:id="99" w:name="_Toc377435144"/>
      <w:bookmarkStart w:id="100" w:name="_Toc377438547"/>
      <w:bookmarkStart w:id="101" w:name="_Toc392499777"/>
      <w:bookmarkStart w:id="102" w:name="_Toc392500409"/>
      <w:bookmarkStart w:id="103" w:name="_Ref133295486"/>
      <w:bookmarkStart w:id="104" w:name="_Toc46085712"/>
      <w:bookmarkStart w:id="105" w:name="_Toc52468083"/>
      <w:bookmarkStart w:id="106" w:name="_Toc349040002"/>
      <w:bookmarkStart w:id="107" w:name="_Toc349040193"/>
      <w:bookmarkStart w:id="108" w:name="_Toc349040659"/>
      <w:bookmarkStart w:id="109" w:name="_Toc350240036"/>
      <w:bookmarkStart w:id="110" w:name="_Toc350241345"/>
      <w:bookmarkStart w:id="111" w:name="_Toc350241420"/>
      <w:bookmarkStart w:id="112" w:name="_Toc350579969"/>
      <w:bookmarkStart w:id="113" w:name="_Toc350583780"/>
      <w:bookmarkStart w:id="114" w:name="_Toc350583899"/>
      <w:bookmarkStart w:id="115" w:name="_Toc351358041"/>
      <w:bookmarkStart w:id="116" w:name="_Toc351358631"/>
      <w:bookmarkStart w:id="117" w:name="_Toc352037260"/>
      <w:bookmarkStart w:id="118" w:name="_Toc352038896"/>
      <w:bookmarkStart w:id="119" w:name="_Toc352039629"/>
      <w:bookmarkStart w:id="120" w:name="_Toc352039728"/>
      <w:bookmarkStart w:id="121" w:name="_Toc377434678"/>
      <w:bookmarkStart w:id="122" w:name="_Toc377434844"/>
      <w:bookmarkStart w:id="123" w:name="_Toc377435002"/>
      <w:bookmarkStart w:id="124" w:name="_Toc377435140"/>
      <w:bookmarkStart w:id="125" w:name="_Toc377438543"/>
      <w:bookmarkStart w:id="126" w:name="_Toc392499773"/>
      <w:bookmarkStart w:id="127" w:name="_Toc392500405"/>
      <w:r w:rsidRPr="004F0FE2">
        <w:t>Overview</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37E1F458" w14:textId="77777777" w:rsidR="0065712B" w:rsidRPr="004F0FE2" w:rsidRDefault="0065712B" w:rsidP="00673269">
      <w:pPr>
        <w:ind w:right="567"/>
      </w:pPr>
      <w:r w:rsidRPr="004F0FE2">
        <w:t xml:space="preserve">Breast cancer </w:t>
      </w:r>
      <w:r w:rsidR="0034449D" w:rsidRPr="004F0FE2">
        <w:t xml:space="preserve">(BC) </w:t>
      </w:r>
      <w:r w:rsidRPr="004F0FE2">
        <w:t xml:space="preserve">is the most common tumor among women. In 2012, around 1.7 million new cases were diagnosed with breast cancer around the world. Approximately 232,340 new cases of invasive </w:t>
      </w:r>
      <w:r w:rsidR="0034449D" w:rsidRPr="004F0FE2">
        <w:t>BC</w:t>
      </w:r>
      <w:r w:rsidRPr="004F0FE2">
        <w:t xml:space="preserve"> and 39,620 breast cancer deaths are expected to occur among US women in 2013</w:t>
      </w:r>
      <w:r w:rsidR="008C2B59" w:rsidRPr="004F0FE2">
        <w:t xml:space="preserve"> </w:t>
      </w:r>
      <w:r w:rsidR="008C2B59" w:rsidRPr="004F0FE2">
        <w:fldChar w:fldCharType="begin" w:fldLock="1"/>
      </w:r>
      <w:r w:rsidR="009B7569" w:rsidRPr="004F0FE2">
        <w:instrText>ADDIN CSL_CITATION {"citationItems":[{"id":"ITEM-1","itemData":{"DOI":"10.3322/caac.21203","ISSN":"1542-4863","abstract":"In this article, the American Cancer Society provides an overview of female breast cancer statistics in the United States, including data on incidence, mortality, survival, and screening. Approximately 232,340 new cases of invasive breast cancer and 39,620 breast cancer deaths are expected to occur among US women in 2013. One in 8 women in the United States will develop breast cancer in her lifetime. Breast cancer incidence rates increased slightly among African American women; decreased among Hispanic women; and were stable among whites, Asian Americans/Pacific Islanders, and American Indians/Alaska Natives from 2006 to 2010. Historically, white women have had the highest breast cancer incidence rates among women aged 40 years and older; however, incidence rates are converging among white and African American women, particularly among women aged 50 years to 59 years. Incidence rates increased for estrogen receptor-positive breast cancers in the youngest white women, Hispanic women aged 60 years to 69 years, and all but the oldest African American women. In contrast, estrogen receptor-negative breast cancers declined among most age and racial/ethnic groups. These divergent trends may reflect etiologic heterogeneity and the differing effects of some factors, such as obesity and parity, on risk by tumor subtype. Since 1990, breast cancer death rates have dropped by 34% and this decrease was evident in all racial/ethnic groups except American Indians/Alaska Natives. Nevertheless, survival disparities persist by race/ethnicity, with African American women having the poorest breast cancer survival of any racial/ethnic group. Continued progress in the control of breast cancer will require sustained and increased efforts to provide high-quality screening, diagnosis, and treatment to all segments of the population.","author":[{"dropping-particle":"","family":"DeSantis","given":"Carol","non-dropping-particle":"","parse-names":false,"suffix":""},{"dropping-particle":"","family":"Ma","given":"Jiemin","non-dropping-particle":"","parse-names":false,"suffix":""},{"dropping-particle":"","family":"Bryan","given":"Leah","non-dropping-particle":"","parse-names":false,"suffix":""},{"dropping-particle":"","family":"Jemal","given":"Ahmedin","non-dropping-particle":"","parse-names":false,"suffix":""}],"container-title":"CA: A Cancer Journal for Clinicians","id":"ITEM-1","issue":"1","issued":{"date-parts":[["2014","1"]]},"page":"52-62","publisher":"Wiley","title":"Breast cancer statistics, 2013","type":"article-journal","volume":"64"},"uris":["http://www.mendeley.com/documents/?uuid=5ae6303d-68b0-3ce2-8216-40b892cca31f"]}],"mendeley":{"formattedCitation":"[4]","plainTextFormattedCitation":"[4]","previouslyFormattedCitation":"[4]"},"properties":{"noteIndex":0},"schema":"https://github.com/citation-style-language/schema/raw/master/csl-citation.json"}</w:instrText>
      </w:r>
      <w:r w:rsidR="008C2B59" w:rsidRPr="004F0FE2">
        <w:fldChar w:fldCharType="separate"/>
      </w:r>
      <w:r w:rsidR="009B7569" w:rsidRPr="004F0FE2">
        <w:t>[4]</w:t>
      </w:r>
      <w:r w:rsidR="008C2B59" w:rsidRPr="004F0FE2">
        <w:fldChar w:fldCharType="end"/>
      </w:r>
      <w:r w:rsidRPr="004F0FE2">
        <w:t>.</w:t>
      </w:r>
      <w:r w:rsidR="008C2B59" w:rsidRPr="004F0FE2">
        <w:t xml:space="preserve"> </w:t>
      </w:r>
      <w:r w:rsidRPr="004F0FE2">
        <w:t xml:space="preserve">The ER+/HER2- population is the largest subgroup among postmenopausal women with metastatic disease representing approximately 65% of cases. Most of these women will receive palliative endocrine therapy as their first approach against the </w:t>
      </w:r>
      <w:r w:rsidR="008C2B59" w:rsidRPr="004F0FE2">
        <w:t xml:space="preserve">oncologic disease </w:t>
      </w:r>
      <w:r w:rsidR="008C2B59" w:rsidRPr="004F0FE2">
        <w:fldChar w:fldCharType="begin" w:fldLock="1"/>
      </w:r>
      <w:r w:rsidR="009B7569" w:rsidRPr="004F0FE2">
        <w:instrText>ADDIN CSL_CITATION {"citationItems":[{"id":"ITEM-1","itemData":{"DOI":"10.1093/annonc/mdy192","abstract":"These guidelines were developed by the European School of Oncology (ESO) and the European Society for Medical Oncology (ESMO).","author":[{"dropping-particle":"","family":"Cardoso","given":"F","non-dropping-particle":"","parse-names":false,"suffix":""},{"dropping-particle":"","family":"Senkus","given":"E","non-dropping-particle":"","parse-names":false,"suffix":""},{"dropping-particle":"","family":"Costa","given":"A","non-dropping-particle":"","parse-names":false,"suffix":""},{"dropping-particle":"","family":"Papadopoulos","given":"E","non-dropping-particle":"","parse-names":false,"suffix":""},{"dropping-particle":"","family":"Aapro","given":"M","non-dropping-particle":"","parse-names":false,"suffix":""},{"dropping-particle":"","family":"André","given":"F","non-dropping-particle":"","parse-names":false,"suffix":""},{"dropping-particle":"","family":"Harbeck","given":"N","non-dropping-particle":"","parse-names":false,"suffix":""},{"dropping-particle":"","family":"Aguilar Lopez","given":"B","non-dropping-particle":"","parse-names":false,"suffix":""},{"dropping-particle":"","family":"Barrios","given":"C H","non-dropping-particle":"","parse-names":false,"suffix":""},{"dropping-particle":"","family":"Bergh","given":"J","non-dropping-particle":"","parse-names":false,"suffix":""},{"dropping-particle":"","family":"Biganzoli","given":"L","non-dropping-particle":"","parse-names":false,"suffix":""},{"dropping-particle":"","family":"Boers-Doets","given":"C B","non-dropping-particle":"","parse-names":false,"suffix":""},{"dropping-particle":"","family":"Cardoso","given":"M J","non-dropping-particle":"","parse-names":false,"suffix":""},{"dropping-particle":"","family":"Carey","given":"L A","non-dropping-particle":"","parse-names":false,"suffix":""},{"dropping-particle":"","family":"Cortés","given":"J","non-dropping-particle":"","parse-names":false,"suffix":""},{"dropping-particle":"","family":"Curigliano","given":"G","non-dropping-particle":"","parse-names":false,"suffix":""},{"dropping-particle":"","family":"Diéras","given":"V","non-dropping-particle":"","parse-names":false,"suffix":""},{"dropping-particle":"El","family":"Saghir","given":"N S","non-dropping-particle":"","parse-names":false,"suffix":""},{"dropping-particle":"","family":"Eniu","given":"A","non-dropping-particle":"","parse-names":false,"suffix":""},{"dropping-particle":"","family":"Fallowfield","given":"L","non-dropping-particle":"","parse-names":false,"suffix":""},{"dropping-particle":"","family":"Francis","given":"P A","non-dropping-particle":"","parse-names":false,"suffix":""},{"dropping-particle":"","family":"Gelmon","given":"K","non-dropping-particle":"","parse-names":false,"suffix":""},{"dropping-particle":"","family":"Johnston","given":"S R D","non-dropping-particle":"","parse-names":false,"suffix":""},{"dropping-particle":"","family":"Kaufman","given":"B","non-dropping-particle":"","parse-names":false,"suffix":""},{"dropping-particle":"","family":"Koppikar","given":"S","non-dropping-particle":"","parse-names":false,"suffix":""},{"dropping-particle":"","family":"Krop","given":"I E","non-dropping-particle":"","parse-names":false,"suffix":""},{"dropping-particle":"","family":"Mayer","given":"M","non-dropping-particle":"","parse-names":false,"suffix":""},{"dropping-particle":"","family":"Nakigudde","given":"G","non-dropping-particle":"","parse-names":false,"suffix":""},{"dropping-particle":"V","family":"Offersen","given":"B","non-dropping-particle":"","parse-names":false,"suffix":""},{"dropping-particle":"","family":"Ohno","given":"S","non-dropping-particle":"","parse-names":false,"suffix":""},{"dropping-particle":"","family":"Pagani","given":"O","non-dropping-particle":"","parse-names":false,"suffix":""},{"dropping-particle":"","family":"Paluch-Shimon","given":"S","non-dropping-particle":"","parse-names":false,"suffix":""},{"dropping-particle":"","family":"Penault-Llorca","given":"F","non-dropping-particle":"","parse-names":false,"suffix":""},{"dropping-particle":"","family":"Prat","given":"A","non-dropping-particle":"","parse-names":false,"suffix":""},{"dropping-particle":"","family":"Rugo","given":"H S","non-dropping-particle":"","parse-names":false,"suffix":""},{"dropping-particle":"","family":"Sledge","given":"G W","non-dropping-particle":"","parse-names":false,"suffix":""},{"dropping-particle":"","family":"Spence","given":"D","non-dropping-particle":"","parse-names":false,"suffix":""},{"dropping-particle":"","family":"Thomssen","given":"C","non-dropping-particle":"","parse-names":false,"suffix":""},{"dropping-particle":"","family":"Vorobiof","given":"D A","non-dropping-particle":"","parse-names":false,"suffix":""},{"dropping-particle":"","family":"Xu","given":"B","non-dropping-particle":"","parse-names":false,"suffix":""},{"dropping-particle":"","family":"Norton","given":"L","non-dropping-particle":"","parse-names":false,"suffix":""},{"dropping-particle":"","family":"Winer","given":"E P","non-dropping-particle":"","parse-names":false,"suffix":""},{"dropping-particle":"","family":"Cardoso","given":"Fatima","non-dropping-particle":"","parse-names":false,"suffix":""}],"id":"ITEM-1","issued":{"date-parts":[["0"]]},"title":"4th ESO-ESMO International Consensus Guidelines for Advanced Breast Cancer (ABC 4) †","type":"article-journal"},"uris":["http://www.mendeley.com/documents/?uuid=04caf6c6-17b7-3524-a622-8a037ec6c0d4"]}],"mendeley":{"formattedCitation":"[5]","plainTextFormattedCitation":"[5]","previouslyFormattedCitation":"[5]"},"properties":{"noteIndex":0},"schema":"https://github.com/citation-style-language/schema/raw/master/csl-citation.json"}</w:instrText>
      </w:r>
      <w:r w:rsidR="008C2B59" w:rsidRPr="004F0FE2">
        <w:fldChar w:fldCharType="separate"/>
      </w:r>
      <w:r w:rsidR="009B7569" w:rsidRPr="004F0FE2">
        <w:t>[5]</w:t>
      </w:r>
      <w:r w:rsidR="008C2B59" w:rsidRPr="004F0FE2">
        <w:fldChar w:fldCharType="end"/>
      </w:r>
      <w:r w:rsidRPr="004F0FE2">
        <w:t>. Several large randomized trials have compared the third-generation aromatase inhibitors (letrozole, anastrozole and exemestane) to tamoxifen for first-line treatment of metastatic breast cancer (</w:t>
      </w:r>
      <w:proofErr w:type="spellStart"/>
      <w:r w:rsidRPr="004F0FE2">
        <w:t>mBC</w:t>
      </w:r>
      <w:proofErr w:type="spellEnd"/>
      <w:r w:rsidRPr="004F0FE2">
        <w:t>)</w:t>
      </w:r>
      <w:r w:rsidR="008C2B59" w:rsidRPr="004F0FE2">
        <w:t xml:space="preserve"> </w:t>
      </w:r>
      <w:r w:rsidR="008C2B59" w:rsidRPr="004F0FE2">
        <w:fldChar w:fldCharType="begin" w:fldLock="1"/>
      </w:r>
      <w:r w:rsidR="009B7569" w:rsidRPr="004F0FE2">
        <w:instrText>ADDIN CSL_CITATION {"citationItems":[{"id":"ITEM-1","itemData":{"DOI":"10.1200/JCO.2000.18.22.3758","ISSN":"0732183X","abstract":"Purpose: The efficacy and tolerability of anastrozole (Arimidex; AstraZeneca, Wilmington, DE, and Macclesfield, United Kingdom) and tamoxifen were compared as first-line therapy for advanced breast cancer in 353 postmenopausal women. Patients and Methods: The randomized, double-blind, multicenter study was designed to evaluate anastrozole 1 mg once daily relative to tamoxifen 20 mg once daily in patients with hormone receptor-positive tumors or tumors of unknown receptor status who were eligible for endocrine therapy. Primary end points were objective response (OR), defined as complete (CR) or partial (PR) response, time to progression (TTP), and tolerability. Results: Anastrozole was as effective as tamoxifen in terms of OR (21% v 17% of patients, respectively), with clinical benefit (CR + PR + stabilization ≥ 24 weeks) observed in 59% of patients on anastrozole and 46% on tamoxifen (two-sided P = .0098, retrospective analysis). Anastrozole had a significant advantage over tamoxifen in terms of TTP (median TTP of 11.1 and 5.6 months for anastrozole and tamoxifen, respectively; two-sided P = .005). The tamoxifen:anastrozole hazards ratio was 1.44 (lower one-sided 95% confidence limit, 1.16). Both treatments were well tolerated. However, thromboembolic events and vaginal bleeding were reported in fewer patients who received anastrozole compared with those who received tamoxifen (4.1% v 8.2% [thromboembolic events] and 1.2% v 3.8% [vaginal bleeding], respectively). Conclusion: Anastrozole satisfied the predefined criteria for equivalence to tamoxifen. Furthermore, we observed both a significant increase in TTP and a lower incidence of thromboembolic events and vaginal bleeding with anastrozole. These findings indicate that anastrozole should be considered as first-line therapy for postmenopausal women with advanced breast cancer. (C) 2000 by American Society of Clinical Oncology.","author":[{"dropping-particle":"","family":"Nabholtz","given":"J. M.","non-dropping-particle":"","parse-names":false,"suffix":""},{"dropping-particle":"","family":"Buzdar","given":"A.","non-dropping-particle":"","parse-names":false,"suffix":""},{"dropping-particle":"","family":"Pollak","given":"M.","non-dropping-particle":"","parse-names":false,"suffix":""},{"dropping-particle":"","family":"Harwin","given":"W.","non-dropping-particle":"","parse-names":false,"suffix":""},{"dropping-particle":"","family":"Burton","given":"G.","non-dropping-particle":"","parse-names":false,"suffix":""},{"dropping-particle":"","family":"Mangalik","given":"A.","non-dropping-particle":"","parse-names":false,"suffix":""},{"dropping-particle":"","family":"Steinberg","given":"M.","non-dropping-particle":"","parse-names":false,"suffix":""},{"dropping-particle":"","family":"Webster","given":"A.","non-dropping-particle":"","parse-names":false,"suffix":""},{"dropping-particle":"","family":"Euler","given":"M.","non-dropping-particle":"Von","parse-names":false,"suffix":""}],"container-title":"Journal of Clinical Oncology","id":"ITEM-1","issue":"22","issued":{"date-parts":[["2000","11","15"]]},"page":"3758-3767","publisher":"American Society of Clinical Oncology","title":"Anastrozole is superior to tamoxifen as first-line therapy for advanced breast cancer in postmenopausal women: Results of a North American multicenter randomized trial","type":"article-journal","volume":"18"},"uris":["http://www.mendeley.com/documents/?uuid=954e4eaa-004c-36cd-a124-ea016db71356"]},{"id":"ITEM-2","itemData":{"DOI":"10.1200/JCO.2001.19.10.2596","ISSN":"0732183X","PMID":"11352951","abstract":"Purpose: To compare the efficacy and tolerability of tamoxifen with that of letrozole, an oral aromatase inhibitor, with tamoxifen as first-line therapy in post-menopausal women with advanced breast cancer. Patients and Methods: Nine hundred seven patients were randomly assigned letrozole 2.5 mg once daily (453 patients) or tamoxifen 20 mg once daily (454 patients). Patients had estrogen receptor- and/or progesterone receptor-positive tumors, or both receptors were unknown. Recurrence during adjuvant antiestrogen therapy or within the following 12 months or prior endocrine therapy for advanced disease precluded enrollment. One prior chemotherapy regimen for metastatic disease was allowed. The primary end point was time to progression (TTP). Secondary end points in overall objective response rate (ORR), its duration, rate and duration of clinical benefit, time to treatment failure (TTF), overall survival, and tolerability. Results: TTP was significantly longer for letrozole than for tamoxifen (median, 41 v 26 weeks). Treatment with letrozole reduced the risk of progression by 30% (hazards ratio, 0.70; 95% confidence interval, 0.60 to 0.82, P = .0001). TTP was significantly longer for letrozole irrespective of dominant site of disease, receptor status, or prior adjuvant antiestrogen therapy. Similarly, TTF was significantly longer for letrozole (median, 40 v 25 weeks). ORR was higher for letrozole (30% v 20%; P = .0006), as was the rate of clinical benefit (49% v 38%; P = .001). Survival data are currently immature and not reported here. Both treatments were well tolerated. Conclusion: Letrozole was significantly superior to tamoxifen in TTP, TTF, ORR, and clinical benefit rate. Our results support its use as first-line endocrine therapy in postmenopausal women with advanced breast cancer. © 2001 by American Society of Clinical Oncology.","author":[{"dropping-particle":"","family":"Mouridsen","given":"Henning","non-dropping-particle":"","parse-names":false,"suffix":""},{"dropping-particle":"","family":"Gershanovich","given":"Mikhail","non-dropping-particle":"","parse-names":false,"suffix":""},{"dropping-particle":"","family":"Sun","given":"Yan","non-dropping-particle":"","parse-names":false,"suffix":""},{"dropping-particle":"","family":"Pérez-Carrión","given":"Ramón","non-dropping-particle":"","parse-names":false,"suffix":""},{"dropping-particle":"","family":"Boni","given":"Corrado","non-dropping-particle":"","parse-names":false,"suffix":""},{"dropping-particle":"","family":"Monnier","given":"Alain","non-dropping-particle":"","parse-names":false,"suffix":""},{"dropping-particle":"","family":"Apffelstaedt","given":"Justus","non-dropping-particle":"","parse-names":false,"suffix":""},{"dropping-particle":"","family":"Smith","given":"Robert","non-dropping-particle":"","parse-names":false,"suffix":""},{"dropping-particle":"","family":"Sleeboom","given":"Harm P.","non-dropping-particle":"","parse-names":false,"suffix":""},{"dropping-particle":"","family":"Jänicke","given":"Fritz","non-dropping-particle":"","parse-names":false,"suffix":""},{"dropping-particle":"","family":"Pluzanska","given":"Anna","non-dropping-particle":"","parse-names":false,"suffix":""},{"dropping-particle":"","family":"Dank","given":"Magdolna","non-dropping-particle":"","parse-names":false,"suffix":""},{"dropping-particle":"","family":"Becquart","given":"Dominique","non-dropping-particle":"","parse-names":false,"suffix":""},{"dropping-particle":"","family":"Bapsy","given":"Poonamalle P.","non-dropping-particle":"","parse-names":false,"suffix":""},{"dropping-particle":"","family":"Salminen","given":"Eeva","non-dropping-particle":"","parse-names":false,"suffix":""},{"dropping-particle":"","family":"Snyder","given":"Ray","non-dropping-particle":"","parse-names":false,"suffix":""},{"dropping-particle":"","family":"Lassus","given":"Mercedes","non-dropping-particle":"","parse-names":false,"suffix":""},{"dropping-particle":"","family":"Verbeek","given":"J. Arnold","non-dropping-particle":"","parse-names":false,"suffix":""},{"dropping-particle":"","family":"Staffler","given":"Beatrix","non-dropping-particle":"","parse-names":false,"suffix":""},{"dropping-particle":"","family":"Chaudri-Ross","given":"Hilary A.","non-dropping-particle":"","parse-names":false,"suffix":""},{"dropping-particle":"","family":"Dugan","given":"Margaret","non-dropping-particle":"","parse-names":false,"suffix":""}],"container-title":"Journal of Clinical Oncology","id":"ITEM-2","issue":"10","issued":{"date-parts":[["2001","5","15"]]},"page":"2596-2606","publisher":"Lippincott Williams and Wilkins","title":"Superior efficacy of letrozole versus tamoxifen as first-line therapy for postmenopausal women with advanced breast cancer: Results of a phase III study of the international letrozole breast cancer group","type":"article-journal","volume":"19"},"uris":["http://www.mendeley.com/documents/?uuid=5b04b7b6-bc91-3c3b-8dbd-f6f5e55ed4b8"]},{"id":"ITEM-3","itemData":{"DOI":"10.1200/JCO.2007.14.4659","ISSN":"0732183X","PMID":"18794551","abstract":"Purpose: This phase III randomized open-label clinical trial was designed to evaluate the efficacy and safety of the steroidal aromatase inactivator exemestane versus the antiestrogen tamoxifen as first-line treatment for metastatic breast cancer (MBC) in postmenopausal women. Patients and Methods: The study was conducted at 81 centers and enrolled postmenopausal patients with measurable hormone-sensitive metastatic or locally advanced breast cancer. Prior adjuvant chemotherapy and/or tamoxifen were allowed. One previous chemotherapy regimen and no prior hormone therapy for advanced disease were permitted. Patients were randomly assigned to receive exemestane 25 mg or tamoxifen 20 mg orally once daily until disease progression or unacceptable toxicity occurred. Results: A total of 371 patients enrolled at 79 sites (182 exemestane, 189 tamoxifen) were included in the analysis. Both treatments were generally well tolerated without major toxicity. Overall response rate was greater for exemestane than for tamoxifen treatment (46% v 31%; odds ratio = 1.85; 95% CI, 1.21 to 2.82; P = .005). Median progression-free survival (PFS) was longer with exemestane (9.9 months; 95% CI, 8.7 to 11.8 months) than with tamoxifen (5.8 months; 95% CI, 5.3 to 8.1 months). However, these early differences (Wilcoxon P = .028) did not translate to a longer-term benefit in PFS, the primary study end point (log-rank P = .121). There was also no difference in survival between both study arms. Conclusion: Exemestane is an effective and well-tolerated first-line hormonal treatment for postmenopausal women with MBC and offers significant early improvement in time to tumor progression when compared with tamoxifen. © 2008 by American Society of Clinical Oncology.","author":[{"dropping-particle":"","family":"Paridaens","given":"Robert J.","non-dropping-particle":"","parse-names":false,"suffix":""},{"dropping-particle":"","family":"Dirix","given":"Luc Y.","non-dropping-particle":"","parse-names":false,"suffix":""},{"dropping-particle":"V.","family":"Beex","given":"Louk","non-dropping-particle":"","parse-names":false,"suffix":""},{"dropping-particle":"","family":"Nooij","given":"Marianne","non-dropping-particle":"","parse-names":false,"suffix":""},{"dropping-particle":"","family":"Cameron","given":"David A.","non-dropping-particle":"","parse-names":false,"suffix":""},{"dropping-particle":"","family":"Cufer","given":"Tanja","non-dropping-particle":"","parse-names":false,"suffix":""},{"dropping-particle":"","family":"Piccart","given":"Martine J.","non-dropping-particle":"","parse-names":false,"suffix":""},{"dropping-particle":"","family":"Bogaerts","given":"Jan","non-dropping-particle":"","parse-names":false,"suffix":""},{"dropping-particle":"","family":"Therasse","given":"Patrick","non-dropping-particle":"","parse-names":false,"suffix":""}],"container-title":"Journal of Clinical Oncology","id":"ITEM-3","issue":"30","issued":{"date-parts":[["2008","10","20"]]},"page":"4883-4890","publisher":"J Clin Oncol","title":"Phase III study comparing exemestane with tamoxifen as first-line hormonal treatment of metastatic breast cancer in postmenopausal women: The European Organisation for Research and Treatment of Cancer Breast Cancer Cooperative Group","type":"article-journal","volume":"26"},"uris":["http://www.mendeley.com/documents/?uuid=82277c34-b28b-328d-b1a8-1742b1d0d7dc"]},{"id":"ITEM-4","itemData":{"DOI":"10.1023/B:BREA.0000025420.78346.f9","ISSN":"01676806","abstract":"It is desirable to identify the most effective sequence of endocrine therapies for the treatment of postmenopausal women with advanced, hormone-responsive breast cancer. In a retrospective analysis of two large, randomized, comparative Phase III trials in this patient population, the Tamoxifen or 'Arimidex' Randomized Group Efficacy and Tolerability (TARGET) trial and the North American trial, we ascertained that tumors responding to anastrozole as first-line therapy may subsequently respond to tamoxifen as second-line therapy. In a double-blind cross-over trial, the SAKK 21/95 sub-trial (including patients from the Swiss centres in the TARGET trial), we further investigated the clinical impact of anastrozole followed by tamoxifen compared with that of tamoxifen followed by anastrozole. Patients with locally advanced or metastatic breast cancer who had continued on randomized treatment until objective disease progression and were still considered suitable for endocrine therapy, could continue on blinded therapy crossing-over to the alternative treatment. They were assessed for time to progression (TTP) from treatment randomization, TTP after crossing-over treatments, time from randomization to progression after crossing-over treatments and overall survival. Median TTP from randomization for patients receiving first-line treatment with anastrozole (n = 31) and tamoxifen (n = 29) was 11.3 and 8.3 months, respectively, p = 0.75. Median TTP from treatment cross-over was 6.7 months for tamoxifen after progression on anastrozole (n = 19) and 5.7 months for anastrozole after progression on tamoxifen (n = 18), while median time from randomization to second progression was 28.2 and 19.5 months, respectively. Overall survival from randomization for the anastrozole-tamoxifen sequence and the tamoxifen-anastrozole sequence was 69.7 versus 59.3 months, respectively, p = 0.10. The relative risk of death was higher for the tamoxifen followed by anastrozole sequence (1.63; 95% confidence interval [CI] 0.89-2.98). Tamoxifen is an effective second-line therapy after anastrozole. Our data, together with the better tolerability profile of anastrozole compared with tamoxifen, support the use of anastrozole as first-line therapy for advanced breast cancer in postmenopausal women with hormone receptor-positive tumors. Treatment with tamoxifen may still be useful upon subsequent progression.","author":[{"dropping-particle":"","family":"Thürlimann","given":"Beat","non-dropping-particle":"","parse-names":false,"suffix":""},{"dropping-particle":"","family":"Hess","given":"Dagmar","non-dropping-particle":"","parse-names":false,"suffix":""},{"dropping-particle":"","family":"Köberle","given":"Dieter","non-dropping-particle":"","parse-names":false,"suffix":""},{"dropping-particle":"","family":"Senn","given":"Isabella","non-dropping-particle":"","parse-names":false,"suffix":""},{"dropping-particle":"","family":"Ballabeni","given":"Pierluigi","non-dropping-particle":"","parse-names":false,"suffix":""},{"dropping-particle":"","family":"Pagani","given":"Olivia","non-dropping-particle":"","parse-names":false,"suffix":""},{"dropping-particle":"","family":"Perey","given":"Lucien","non-dropping-particle":"","parse-names":false,"suffix":""},{"dropping-particle":"","family":"Aebi","given":"Stefan","non-dropping-particle":"","parse-names":false,"suffix":""},{"dropping-particle":"","family":"Rochlitz","given":"Christoph","non-dropping-particle":"","parse-names":false,"suffix":""},{"dropping-particle":"","family":"Goldhirsch","given":"Aron","non-dropping-particle":"","parse-names":false,"suffix":""}],"container-title":"Breast Cancer Research and Treatment","id":"ITEM-4","issue":"3","issued":{"date-parts":[["2004","6"]]},"page":"247-254","publisher":"Breast Cancer Res Treat","title":"Anastrozole ('Arimidex') versus tamoxifen as first-line therapy in postmenopausal women with advanced breast cancer: Results of the double-blind cross-over SAKK trial 21/95 - A sub-study of the TARGET (Tamoxifen or 'Arimidex' Randomized Group Efficacy and Tolerability) trial","type":"article-journal","volume":"85"},"uris":["http://www.mendeley.com/documents/?uuid=099747b7-c4c2-36c9-b259-e16ff7252f2f"]}],"mendeley":{"formattedCitation":"[6–9]","plainTextFormattedCitation":"[6–9]","previouslyFormattedCitation":"[6–9]"},"properties":{"noteIndex":0},"schema":"https://github.com/citation-style-language/schema/raw/master/csl-citation.json"}</w:instrText>
      </w:r>
      <w:r w:rsidR="008C2B59" w:rsidRPr="004F0FE2">
        <w:fldChar w:fldCharType="separate"/>
      </w:r>
      <w:r w:rsidR="009B7569" w:rsidRPr="004F0FE2">
        <w:t>[6–9]</w:t>
      </w:r>
      <w:r w:rsidR="008C2B59" w:rsidRPr="004F0FE2">
        <w:fldChar w:fldCharType="end"/>
      </w:r>
      <w:r w:rsidRPr="004F0FE2">
        <w:t xml:space="preserve">. Overall, these trials have showed that aromatase inhibitors have superior clinical efficacy when compared to tamoxifen and different toxicity profile. </w:t>
      </w:r>
      <w:r w:rsidR="008C2B59" w:rsidRPr="004F0FE2">
        <w:t xml:space="preserve">The addition of cyclin-dependent kinases 4 and 6 (CDK4/6) inhibitors to endocrine therapy, either in combination with non-steroidal aromatase inhibitors (NSAI) </w:t>
      </w:r>
      <w:r w:rsidR="008C2B59" w:rsidRPr="004F0FE2">
        <w:fldChar w:fldCharType="begin" w:fldLock="1"/>
      </w:r>
      <w:r w:rsidR="009B7569" w:rsidRPr="004F0FE2">
        <w:instrText>ADDIN CSL_CITATION {"citationItems":[{"id":"ITEM-1","itemData":{"DOI":"10.1200/jco.2016.34.15_suppl.507","ISSN":"0732-183X","abstract":"BACKGROUND A phase 2 study showed that progression-free survival was longer with palbociclib plus letrozole than with letrozole alone in the initial treatment of postmenopausal women with estrogen-receptor (ER)-positive, human epidermal growth factor receptor 2 (HER2)-negative advanced breast cancer. We performed a phase 3 study that was designed to confirm and expand the efficacy and safety data for palbociclib plus letrozole for this indication. METHODS In this double-blind study, we randomly assigned, in a 2:1 ratio, 666 postmenopausal women with ER-positive, HER2-negative breast cancer, who had not had prior treatment for advanced disease, to receive palbociclib plus letrozole or placebo plus letrozole. The primary end point was progression-free survival, as assessed by the investigators; secondary end points were overall survival, objective response, clinical benefit response, patient-reported outcomes, pharmacokinetic effects, and safety. RESULTS The median progression-free survival was 24.8 months (95% confidence interval [CI], 22.1 to not estimable) in the palbociclib-letrozole group, as compared with 14.5 months (95% CI, 12.9 to 17.1) in the placebo-letrozole group (hazard ratio for disease progression or death, 0.58; 95% CI, 0.46 to 0.72; P&lt;0.001). The most common grade 3 or 4 adverse events were neutropenia (occurring in 66.4% of the patients in the palbociclib- letrozole group vs. 1.4% in the placebo-letrozole group), leukopenia (24.8% vs. 0%), anemia (5.4% vs. 1.8%), and fatigue (1.8% vs. 0.5%). Febrile neutropenia was reported in 1.8% of patients in the palbociclib-letrozole group and in none of the patients in the placebo-letrozole group. Permanent discontinuation of any study treatment as a result of adverse events occurred in 43 patients (9.7%) in the palbociclib-letrozole group and in 13 patients (5.9%) in the placebo-letrozole group. CONCLUSIONS Among patients with previously untreated ER-positive, HER2-negative advanced breast cancer, palbociclib combined with letrozole resulted in significantly longer progression-free survival than that with letrozole alone, although the rates of myelotoxic effects were higher with palbociclib-letrozole.","author":[{"dropping-particle":"","family":"Finn","given":"Richard S.","non-dropping-particle":"","parse-names":false,"suffix":""},{"dropping-particle":"","family":"Martin","given":"Miguel","non-dropping-particle":"","parse-names":false,"suffix":""},{"dropping-particle":"","family":"Rugo","given":"Hope S.","non-dropping-particle":"","parse-names":false,"suffix":""},{"dropping-particle":"","family":"Jones","given":"Stephen E.","non-dropping-particle":"","parse-names":false,"suffix":""},{"dropping-particle":"","family":"Im","given":"Seock-Ah","non-dropping-particle":"","parse-names":false,"suffix":""},{"dropping-particle":"","family":"Gelmon","given":"Karen A.","non-dropping-particle":"","parse-names":false,"suffix":""},{"dropping-particle":"","family":"Harbeck","given":"Nadia","non-dropping-particle":"","parse-names":false,"suffix":""},{"dropping-particle":"","family":"Lipatov","given":"Oleg N.","non-dropping-particle":"","parse-names":false,"suffix":""},{"dropping-particle":"","family":"Walshe","given":"Janice Maria","non-dropping-particle":"","parse-names":false,"suffix":""},{"dropping-particle":"","family":"Moulder","given":"Stacy L.","non-dropping-particle":"","parse-names":false,"suffix":""},{"dropping-particle":"","family":"Gauthier","given":"Eric Roland","non-dropping-particle":"","parse-names":false,"suffix":""},{"dropping-particle":"","family":"Lu","given":"Dongrui (Ray)","non-dropping-particle":"","parse-names":false,"suffix":""},{"dropping-particle":"","family":"Randolph","given":"Sophia","non-dropping-particle":"","parse-names":false,"suffix":""},{"dropping-particle":"","family":"Diéras","given":"Véronique","non-dropping-particle":"","parse-names":false,"suffix":""},{"dropping-particle":"","family":"Slamon","given":"Dennis J.","non-dropping-particle":"","parse-names":false,"suffix":""}],"container-title":"Journal of Clinical Oncology","id":"ITEM-1","issue":"15_suppl","issued":{"date-parts":[["2016","5","20"]]},"page":"507-507","publisher":"American Society of Clinical Oncology (ASCO)","title":"PALOMA-2: Primary results from a phase III trial of palbociclib (P) with letrozole (L) compared with letrozole alone in postmenopausal women with ER+/HER2– advanced breast cancer (ABC).","type":"article-journal","volume":"34"},"uris":["http://www.mendeley.com/documents/?uuid=2b984e4f-653a-399e-adca-ef115f859154"]},{"id":"ITEM-2","itemData":{"DOI":"10.1056/NEJMoa1609709","ISSN":"15334406","PMID":"27717303","abstract":"BACKGROUND The inhibition of cyclin-dependent kinases 4 and 6 (CDK4/6) could potentially overcome or delay resistance to endocrine therapy in advanced breast cancer that is positive for hormone receptor (HR) and negative for human epidermal growth factor receptor 2 (HER2). METHODS In this randomized, placebo-controlled, phase 3 trial, we evaluated the efficacy and safety of the selective CDK4/6 inhibitor ribociclib combined with letrozole for first-line treatment in 668 postmenopausal women with HR-positive, HER2-negative recurrent or metastatic breast cancer who had not received previous systemic therapy for advanced disease. We randomly assigned the patients to receive either ribociclib (600 mg per day on a 3-weeks-on, 1-week-off schedule) plus letrozole (2.5 mg per day) or placebo plus letrozole. The primary end point was investigator-assessed progression-free survival. Secondary end points included overall survival, overall response rate, and safety. A preplanned interim analysis was performed on January 29, 2016, after 243 patients had disease progression or died. Prespecified criteria for superiority required a hazard ratio of 0.56 or less with P&lt;1.29×10-5. RESULTS The duration of progression-free survival was significantly longer in the ribociclib group than in the placebo group (hazard ratio, 0.56; 95% CI, 0.43 to 0.72; P=3.29×10-6 for superiority). The median duration of follow-up was 15.3 months. After 18 months, the progression-free survival rate was 63.0% (95% confidence interval [CI], 54.6 to 70.3) in the ribociclib group and 42.2% (95% CI, 34.8 to 49.5) in the placebo group. In patients with measurable disease at baseline, the overall response rate was 52.7% and 37.1%, respectively (P&lt;0.001). Common grade 3 or 4 adverse events that were reported in more than 10% of the patients in either group were neutropenia (59.3% in the ribociclib group vs. 0.9% in the placebo group) and leukopenia (21.0% vs. 0.6%); the rates of discontinuation because of adverse events were 7.5% and 2.1%, respectively. CONCLUSIONS Among patients receiving initial systemic treatment for HR-positive, HER2-negative advanced breast cancer, the duration of progression-free survival was significantly longer among those receiving ribociclib plus letrozole than among those receiving placebo plus letrozole, with a higher rate of myelosuppression in the ribociclib group.","author":[{"dropping-particle":"","family":"Hortobagyi","given":"G. N.","non-dropping-particle":"","parse-names":false,"suffix":""},{"dropping-particle":"","family":"Stemmer","given":"S. M.","non-dropping-particle":"","parse-names":false,"suffix":""},{"dropping-particle":"","family":"Burris","given":"H. A.","non-dropping-particle":"","parse-names":false,"suffix":""},{"dropping-particle":"","family":"Yap","given":"Y. S.","non-dropping-particle":"","parse-names":false,"suffix":""},{"dropping-particle":"","family":"Sonke","given":"G. S.","non-dropping-particle":"","parse-names":false,"suffix":""},{"dropping-particle":"","family":"Paluch-Shimon","given":"S.","non-dropping-particle":"","parse-names":false,"suffix":""},{"dropping-particle":"","family":"Campone","given":"M.","non-dropping-particle":"","parse-names":false,"suffix":""},{"dropping-particle":"","family":"Blackwell","given":"K. L.","non-dropping-particle":"","parse-names":false,"suffix":""},{"dropping-particle":"","family":"Andre","given":"F.","non-dropping-particle":"","parse-names":false,"suffix":""},{"dropping-particle":"","family":"Winer","given":"E. P.","non-dropping-particle":"","parse-names":false,"suffix":""},{"dropping-particle":"","family":"Janni","given":"W.","non-dropping-particle":"","parse-names":false,"suffix":""},{"dropping-particle":"","family":"Verma","given":"S.","non-dropping-particle":"","parse-names":false,"suffix":""},{"dropping-particle":"","family":"Conte","given":"P.","non-dropping-particle":"","parse-names":false,"suffix":""},{"dropping-particle":"","family":"Arteaga","given":"C. L.","non-dropping-particle":"","parse-names":false,"suffix":""},{"dropping-particle":"","family":"Cameron","given":"D. A.","non-dropping-particle":"","parse-names":false,"suffix":""},{"dropping-particle":"","family":"Petrakova","given":"K.","non-dropping-particle":"","parse-names":false,"suffix":""},{"dropping-particle":"","family":"Hart","given":"L. L.","non-dropping-particle":"","parse-names":false,"suffix":""},{"dropping-particle":"","family":"Villanueva","given":"C.","non-dropping-particle":"","parse-names":false,"suffix":""},{"dropping-particle":"","family":"Chan","given":"A.","non-dropping-particle":"","parse-names":false,"suffix":""},{"dropping-particle":"","family":"Jakobsen","given":"E.","non-dropping-particle":"","parse-names":false,"suffix":""},{"dropping-particle":"","family":"Nusch","given":"A.","non-dropping-particle":"","parse-names":false,"suffix":""},{"dropping-particle":"","family":"Burdaeva","given":"O.","non-dropping-particle":"","parse-names":false,"suffix":""},{"dropping-particle":"","family":"Grischke","given":"E. M.","non-dropping-particle":"","parse-names":false,"suffix":""},{"dropping-particle":"","family":"Alba","given":"E.","non-dropping-particle":"","parse-names":false,"suffix":""},{"dropping-particle":"","family":"Wist","given":"E.","non-dropping-particle":"","parse-names":false,"suffix":""},{"dropping-particle":"","family":"Marschner","given":"N.","non-dropping-particle":"","parse-names":false,"suffix":""},{"dropping-particle":"","family":"Favret","given":"A. M.","non-dropping-particle":"","parse-names":false,"suffix":""},{"dropping-particle":"","family":"Yardley","given":"D.","non-dropping-particle":"","parse-names":false,"suffix":""},{"dropping-particle":"","family":"Bachelot","given":"T.","non-dropping-particle":"","parse-names":false,"suffix":""},{"dropping-particle":"","family":"Tseng","given":"L. M.","non-dropping-particle":"","parse-names":false,"suffix":""},{"dropping-particle":"","family":"Blau","given":"S.","non-dropping-particle":"","parse-names":false,"suffix":""},{"dropping-particle":"","family":"Xuan","given":"F.","non-dropping-particle":"","parse-names":false,"suffix":""},{"dropping-particle":"","family":"Souami","given":"F.","non-dropping-particle":"","parse-names":false,"suffix":""},{"dropping-particle":"","family":"Miller","given":"M.","non-dropping-particle":"","parse-names":false,"suffix":""},{"dropping-particle":"","family":"Germa","given":"C.","non-dropping-particle":"","parse-names":false,"suffix":""},{"dropping-particle":"","family":"Hirawat","given":"S.","non-dropping-particle":"","parse-names":false,"suffix":""},{"dropping-particle":"","family":"O'Shaughnessy","given":"J.","non-dropping-particle":"","parse-names":false,"suffix":""}],"container-title":"New England Journal of Medicine","id":"ITEM-2","issue":"18","issued":{"date-parts":[["2016","11","3"]]},"page":"1738-1748","publisher":"Massachussetts Medical Society","title":"Ribociclib as first-line therapy for HR-positive, advanced breast cancer","type":"article-journal","volume":"375"},"uris":["http://www.mendeley.com/documents/?uuid=5671d63d-f7d7-318e-9e90-9a47fe17e3e4"]},{"id":"ITEM-3","itemData":{"DOI":"10.1056/NEJMoa1903765","ISSN":"15334406","PMID":"31166679","abstract":"BACKGROUND: An earlier analysis of this phase 3 trial showed that the addition of a cyclin-dependent kinase 4 and 6 (CDK4/6) inhibitor to endocrine therapy provided a greater benefit with regard to progression-free survival than endocrine therapy alone in premenopausal or perimenopausal patients with advanced hormone-receptor-positive, human epidermal growth factor receptor 2 (HER2)-negative breast cancer. Here we report the results of a protocol-specified interim analysis of the key secondary end point of overall survival. METHODS: We randomly assigned patients to receive either ribociclib or placebo in addition to endocrine therapy (goserelin and either a nonsteroidal aromatase inhibitor or tamoxifen). Overall survival was evaluated with the use of a stratified log-rank test and summarized with the use of Kaplan-Meier methods. RESULTS: A total of 672 patients were included in the intention-to-treat population. There were 83 deaths among 335 patients (24.8%) in the ribociclib group and 109 deaths among 337 patients (32.3%) in the placebo group. The addition of ribociclib to endocrine therapy resulted in significantly longer overall survival than endocrine therapy alone. The estimated overall survival at 42 months was 70.2% (95% confidence interval [CI], 63.5 to 76.0) in the ribociclib group and 46.0% (95% CI, 32.0 to 58.9) in the placebo group (hazard ratio for death, 0.71; 95% CI, 0.54 to 0.95; P = 0.00973 by log-rank test). The survival benefit seen in the subgroup of 495 patients who received an aromatase inhibitor was consistent with that in the overall intention-to-treat population (hazard ratio for death, 0.70; 95% CI, 0.50 to 0.98). The percentage of patients who received subsequent antineoplastic therapy was balanced between the groups (68.9% in the ribociclib group and 73.2% in the placebo group). The time from randomization to disease progression during receipt of second-line therapy or to death was also longer in the ribociclib group than in the placebo group (hazard ratio for disease progression or death, 0.69; 95% CI, 0.55 to 0.87). CONCLUSIONS: This trial showed significantly longer overall survival with a CDK4/6 inhibitor plus endocrine therapy than with endocrine therapy alone among patients with advanced hormone-receptor-positive, HER2-negative breast cancer. No new concerns regarding toxic effects emerged with longer follow-up.","author":[{"dropping-particle":"","family":"Im","given":"S. A.","non-dropping-particle":"","parse-names":false,"suffix":""},{"dropping-particle":"","family":"Lu","given":"Y. S.","non-dropping-particle":"","parse-names":false,"suffix":""},{"dropping-particle":"","family":"Bardia","given":"A.","non-dropping-particle":"","parse-names":false,"suffix":""},{"dropping-particle":"","family":"Harbeck","given":"N.","non-dropping-particle":"","parse-names":false,"suffix":""},{"dropping-particle":"","family":"Colleoni","given":"M.","non-dropping-particle":"","parse-names":false,"suffix":""},{"dropping-particle":"","family":"Franke","given":"F.","non-dropping-particle":"","parse-names":false,"suffix":""},{"dropping-particle":"","family":"Chow","given":"L.","non-dropping-particle":"","parse-names":false,"suffix":""},{"dropping-particle":"","family":"Sohn","given":"J.","non-dropping-particle":"","parse-names":false,"suffix":""},{"dropping-particle":"","family":"Lee","given":"K. S.","non-dropping-particle":"","parse-names":false,"suffix":""},{"dropping-particle":"","family":"Campos-Gomez","given":"S.","non-dropping-particle":"","parse-names":false,"suffix":""},{"dropping-particle":"","family":"Villanueva-Vazquez","given":"R.","non-dropping-particle":"","parse-names":false,"suffix":""},{"dropping-particle":"","family":"Jung","given":"K. H.","non-dropping-particle":"","parse-names":false,"suffix":""},{"dropping-particle":"","family":"Chakravartty","given":"A.","non-dropping-particle":"","parse-names":false,"suffix":""},{"dropping-particle":"","family":"Hughes","given":"G.","non-dropping-particle":"","parse-names":false,"suffix":""},{"dropping-particle":"","family":"Gounaris","given":"I.","non-dropping-particle":"","parse-names":false,"suffix":""},{"dropping-particle":"","family":"Rodriguez-Lorenc","given":"K.","non-dropping-particle":"","parse-names":false,"suffix":""},{"dropping-particle":"","family":"Taran","given":"T.","non-dropping-particle":"","parse-names":false,"suffix":""},{"dropping-particle":"","family":"Hurvitz","given":"S.","non-dropping-particle":"","parse-names":false,"suffix":""},{"dropping-particle":"","family":"Tripathy","given":"D.","non-dropping-particle":"","parse-names":false,"suffix":""}],"container-title":"New England Journal of Medicine","id":"ITEM-3","issue":"4","issued":{"date-parts":[["2019","7","25"]]},"page":"307-316","publisher":"Massachussetts Medical Society","title":"Overall survival with ribociclib plus endocrine therapy in breast cancer","type":"article-journal","volume":"381"},"uris":["http://www.mendeley.com/documents/?uuid=d52e4280-393f-3255-8158-ead5171a9c77"]},{"id":"ITEM-4","itemData":{"DOI":"10.1200/JCO.2017.75.6155","ISSN":"15277755","abstract":"Purpose Abemaciclib, a cyclin-dependent kinase 4 and 6 inhibitor, demonstrated efficacy as monotherapy and in combination with fulvestrant in women with hormone receptor (HR)-positive, human epidermal growth factor receptor 2 (HER2)-negative advanced breast cancer previously treated with endocrine therapy. Methods MONARCH 3 is a double-blind, randomized phase III study of abemaciclib or placebo plus a nonsteroidal aromatase inhibitor in 493 postmenopausal women with HR-positive, HER2-negative advanced breast cancer who had no prior systemic therapy in the advanced setting. Patients received abemaciclib or placebo (150 mg twice daily continuous schedule) plus either 1 mg anastrozole or 2.5 mg letrozole, daily. The primary objective was investigator-assessed progression-free survival. Secondary objectives included response evaluation and safety. A planned interim analysis occurred after 189 events. Results Median progression-free survival was significantly prolonged in the abemaciclib arm (hazard ratio, 0.54; 95% CI, 0.41 to 0.72; P = .000021; median: not reached in the abemaciclib arm, 14.7 months in the placebo arm). In patients with measurable disease, the objective response rate was 59% in the abemaciclib arm and 44% in the placebo arm (P = .004). In the abemaciclib arm, diarrhea was the most frequent adverse effect (81.3%) but was mainly grade 1 (44.6%). Comparing abemaciclib and placebo, the most frequent grade 3 or 4 adverse events were neutropenia (21.1% v1.2%), diarrhea (9.5% v 1.2%), and leukopenia (7.6% v 0.6%). Conclusion Abemaciclib plus a nonsteroidal aromatase inhibitor was effective as initial therapy, significantly improving progression-free survival and objective response rate and demonstrating a tolerable safety profile in women with HR-positive, HER2-negative advanced breast cancer.","author":[{"dropping-particle":"","family":"Goetz","given":"Matthew P.","non-dropping-particle":"","parse-names":false,"suffix":""},{"dropping-particle":"","family":"Toi","given":"Masakazu","non-dropping-particle":"","parse-names":false,"suffix":""},{"dropping-particle":"","family":"Campone","given":"Mario","non-dropping-particle":"","parse-names":false,"suffix":""},{"dropping-particle":"","family":"Trédan","given":"Olivier","non-dropping-particle":"","parse-names":false,"suffix":""},{"dropping-particle":"","family":"Bourayou","given":"Nawel","non-dropping-particle":"","parse-names":false,"suffix":""},{"dropping-particle":"","family":"Sohn","given":"Joohyuk","non-dropping-particle":"","parse-names":false,"suffix":""},{"dropping-particle":"","family":"Park","given":"In Hae","non-dropping-particle":"","parse-names":false,"suffix":""},{"dropping-particle":"","family":"Paluch-Shimon","given":"Shani","non-dropping-particle":"","parse-names":false,"suffix":""},{"dropping-particle":"","family":"Huober","given":"Jens","non-dropping-particle":"","parse-names":false,"suffix":""},{"dropping-particle":"","family":"Chen","given":"Shin Cheh","non-dropping-particle":"","parse-names":false,"suffix":""},{"dropping-particle":"","family":"Manso","given":"Luis","non-dropping-particle":"","parse-names":false,"suffix":""},{"dropping-particle":"","family":"Barriga","given":"Susana","non-dropping-particle":"","parse-names":false,"suffix":""},{"dropping-particle":"","family":"Freedman","given":"Orit C.","non-dropping-particle":"","parse-names":false,"suffix":""},{"dropping-particle":"","family":"Jaliffe","given":"Georgina Garnica","non-dropping-particle":"","parse-names":false,"suffix":""},{"dropping-particle":"","family":"Forrester","given":"Tammy","non-dropping-particle":"","parse-names":false,"suffix":""},{"dropping-particle":"","family":"Frenzel","given":"Martin","non-dropping-particle":"","parse-names":false,"suffix":""},{"dropping-particle":"","family":"Smith","given":"Ian C.","non-dropping-particle":"","parse-names":false,"suffix":""},{"dropping-particle":"","family":"Leo","given":"Angelo","non-dropping-particle":"Di","parse-names":false,"suffix":""}],"container-title":"Journal of Clinical Oncology","id":"ITEM-4","issue":"32","issued":{"date-parts":[["2017","11","10"]]},"page":"3638-3646","publisher":"American Society of Clinical Oncology","title":"MONARCH 3: Abemaciclib as initial therapy for advanced breast cancer","type":"article-journal","volume":"35"},"uris":["http://www.mendeley.com/documents/?uuid=647229b9-4eaf-3380-afa5-cf6bd49dea94"]},{"id":"ITEM-5","itemData":{"DOI":"10.1007/s10549-018-05125-4","ISSN":"15737217","PMID":"30632023","abstract":"Purpose: In the initial PALOMA-2 (NCT01740427) analysis with median follow-up of 23 months, palbociclib plus letrozole significantly prolonged progression-free survival (PFS) in women with estrogen receptor-positive (ER+)/human epidermal growth factor receptor 2-negative (HER2−) advanced breast cancer (ABC) [hazard ratio (HR) 0.58; P &lt; 0.001]. Herein, we report results overall and by subgroups with extended follow-up. Methods: In this double-blind, phase 3 study, post-menopausal women with ER+/HER2− ABC who had not received prior systemic therapy for their advanced disease were randomized 2:1 to palbociclib-letrozole or placebo-letrozole. Endpoints include investigator-assessed PFS (primary), safety, and patient-reported outcomes (PROs). Results: After a median follow-up of approximately 38 months, median PFS was 27.6 months for palbociclib–letrozole (n = 444) and 14.5 months for placebo-letrozole (n = 222) (HR 0.563; 1-sided P &lt; 0.0001). All subgroups benefited from palbociclib treatment. The improvement of PFS with palbociclib-letrozole was maintained in the next 2 subsequent lines of therapy and delayed the use of chemotherapy (40.4 vs. 29.9 months for palbociclib–letrozole vs. placebo-letrozole). Safety data were consistent with the known profile. Patients’ quality of life was maintained. Conclusions: With approximately 15 months of additional follow-up, palbociclib plus letrozole continued to demonstrate improved PFS compared with placebo plus letrozole in the overall population and across all patient subgroups, while the safety profile remained favorable and quality of life was maintained. These data confirm that palbociclib-letrozole should be considered the standard of care for first-line therapy in patients with ER+/HER2− ABC, including those with low disease burden or long disease-free interval. Sponsored by Pfizer; ClinicalTrials.gov: NCT01740427.","author":[{"dropping-particle":"","family":"Rugo","given":"H. S.","non-dropping-particle":"","parse-names":false,"suffix":""},{"dropping-particle":"","family":"Finn","given":"R. S.","non-dropping-particle":"","parse-names":false,"suffix":""},{"dropping-particle":"","family":"Diéras","given":"V.","non-dropping-particle":"","parse-names":false,"suffix":""},{"dropping-particle":"","family":"Ettl","given":"J.","non-dropping-particle":"","parse-names":false,"suffix":""},{"dropping-particle":"","family":"Lipatov","given":"O.","non-dropping-particle":"","parse-names":false,"suffix":""},{"dropping-particle":"","family":"Joy","given":"A. A.","non-dropping-particle":"","parse-names":false,"suffix":""},{"dropping-particle":"","family":"Harbeck","given":"N.","non-dropping-particle":"","parse-names":false,"suffix":""},{"dropping-particle":"","family":"Castrellon","given":"A.","non-dropping-particle":"","parse-names":false,"suffix":""},{"dropping-particle":"","family":"Iyer","given":"S.","non-dropping-particle":"","parse-names":false,"suffix":""},{"dropping-particle":"","family":"Lu","given":"D. R.","non-dropping-particle":"","parse-names":false,"suffix":""},{"dropping-particle":"","family":"Mori","given":"A.","non-dropping-particle":"","parse-names":false,"suffix":""},{"dropping-particle":"","family":"Gauthier","given":"E. R.","non-dropping-particle":"","parse-names":false,"suffix":""},{"dropping-particle":"","family":"Bartlett","given":"C. Huang","non-dropping-particle":"","parse-names":false,"suffix":""},{"dropping-particle":"","family":"Gelmon","given":"K. A.","non-dropping-particle":"","parse-names":false,"suffix":""},{"dropping-particle":"","family":"Slamon","given":"D. J.","non-dropping-particle":"","parse-names":false,"suffix":""}],"container-title":"Breast Cancer Research and Treatment","id":"ITEM-5","issue":"3","issued":{"date-parts":[["2019","4","30"]]},"page":"719-729","publisher":"Springer New York LLC","title":"Palbociclib plus letrozole as first-line therapy in estrogen receptor-positive/human epidermal growth factor receptor 2-negative advanced breast cancer with extended follow-up","type":"article-journal","volume":"174"},"uris":["http://www.mendeley.com/documents/?uuid=b1ef95b0-101a-3fac-bb53-4e38fd88b8f5"]},{"id":"ITEM-6","itemData":{"DOI":"10.1056/NEJMoa1607303","ISSN":"15334406","abstract":"BACKGROUND A phase 2 study showed that progression-free survival was longer with palbociclib plus letrozole than with letrozole alone in the initial treatment of postmenopausal women with estrogen-receptor (ER)-positive, human epidermal growth factor receptor 2 (HER2)-negative advanced breast cancer. We performed a phase 3 study that was designed to confirm and expand the efficacy and safety data for palbociclib plus letrozole for this indication. METHODS In this double-blind study, we randomly assigned, in a 2:1 ratio, 666 postmenopausal women with ER-positive, HER2-negative breast cancer, who had not had prior treatment for advanced disease, to receive palbociclib plus letrozole or placebo plus letrozole. The primary end point was progression-free survival, as assessed by the investigators; secondary end points were overall survival, objective response, clinical benefit response, patient-reported outcomes, pharmacokinetic effects, and safety. RESULTS The median progression-free survival was 24.8 months (95% confidence interval [CI], 22.1 to not estimable) in the palbociclib-letrozole group, as compared with 14.5 months (95% CI, 12.9 to 17.1) in the placebo-letrozole group (hazard ratio for disease progression or death, 0.58; 95% CI, 0.46 to 0.72; P&lt;0.001). The most common grade 3 or 4 adverse events were neutropenia (occurring in 66.4% of the patients in the palbociclib- letrozole group vs. 1.4% in the placebo-letrozole group), leukopenia (24.8% vs. 0%), anemia (5.4% vs. 1.8%), and fatigue (1.8% vs. 0.5%). Febrile neutropenia was reported in 1.8% of patients in the palbociclib-letrozole group and in none of the patients in the placebo-letrozole group. Permanent discontinuation of any study treatment as a result of adverse events occurred in 43 patients (9.7%) in the palbociclib-letrozole group and in 13 patients (5.9%) in the placebo-letrozole group. CONCLUSIONS Among patients with previously untreated ER-positive, HER2-negative advanced breast cancer, palbociclib combined with letrozole resulted in significantly longer progression-free survival than that with letrozole alone, although the rates of myelotoxic effects were higher with palbociclib-letrozole.","author":[{"dropping-particle":"","family":"Finn","given":"Richard S.","non-dropping-particle":"","parse-names":false,"suffix":""},{"dropping-particle":"","family":"Martin","given":"Miguel","non-dropping-particle":"","parse-names":false,"suffix":""},{"dropping-particle":"","family":"Rugo","given":"Hope S.","non-dropping-particle":"","parse-names":false,"suffix":""},{"dropping-particle":"","family":"Jones","given":"Stephen","non-dropping-particle":"","parse-names":false,"suffix":""},{"dropping-particle":"","family":"Im","given":"Seock Ah","non-dropping-particle":"","parse-names":false,"suffix":""},{"dropping-particle":"","family":"Gelmon","given":"Karen","non-dropping-particle":"","parse-names":false,"suffix":""},{"dropping-particle":"","family":"Harbeck","given":"Nadia","non-dropping-particle":"","parse-names":false,"suffix":""},{"dropping-particle":"","family":"Lipatov","given":"Oleg N.","non-dropping-particle":"","parse-names":false,"suffix":""},{"dropping-particle":"","family":"Walshe","given":"Janice M.","non-dropping-particle":"","parse-names":false,"suffix":""},{"dropping-particle":"","family":"Moulder","given":"Stacy","non-dropping-particle":"","parse-names":false,"suffix":""},{"dropping-particle":"","family":"Gauthier","given":"Eric","non-dropping-particle":"","parse-names":false,"suffix":""},{"dropping-particle":"","family":"Lu","given":"Dongrui R.","non-dropping-particle":"","parse-names":false,"suffix":""},{"dropping-particle":"","family":"Randolph","given":"Sophia","non-dropping-particle":"","parse-names":false,"suffix":""},{"dropping-particle":"","family":"Dieras","given":"Veronique","non-dropping-particle":"","parse-names":false,"suffix":""},{"dropping-particle":"","family":"Slamon","given":"Dennis J.","non-dropping-particle":"","parse-names":false,"suffix":""}],"container-title":"New England Journal of Medicine","id":"ITEM-6","issue":"20","issued":{"date-parts":[["2016","11","17"]]},"page":"1925-1936","publisher":"Massachussetts Medical Society","title":"Palbociclib and letrozole in advanced breast cancer","type":"article-journal","volume":"375"},"uris":["http://www.mendeley.com/documents/?uuid=09617519-7475-3785-a36d-c85aa1f9243a"]}],"mendeley":{"formattedCitation":"[10–15]","plainTextFormattedCitation":"[10–15]","previouslyFormattedCitation":"[10–15]"},"properties":{"noteIndex":0},"schema":"https://github.com/citation-style-language/schema/raw/master/csl-citation.json"}</w:instrText>
      </w:r>
      <w:r w:rsidR="008C2B59" w:rsidRPr="004F0FE2">
        <w:fldChar w:fldCharType="separate"/>
      </w:r>
      <w:r w:rsidR="009B7569" w:rsidRPr="004F0FE2">
        <w:t>[10–15]</w:t>
      </w:r>
      <w:r w:rsidR="008C2B59" w:rsidRPr="004F0FE2">
        <w:fldChar w:fldCharType="end"/>
      </w:r>
      <w:r w:rsidR="008C2B59" w:rsidRPr="004F0FE2">
        <w:t xml:space="preserve"> as first-line regimen, or with </w:t>
      </w:r>
      <w:proofErr w:type="spellStart"/>
      <w:r w:rsidR="008C2B59" w:rsidRPr="004F0FE2">
        <w:t>fulvestrant</w:t>
      </w:r>
      <w:proofErr w:type="spellEnd"/>
      <w:r w:rsidR="008C2B59" w:rsidRPr="004F0FE2">
        <w:t xml:space="preserve"> following progression to NSAI</w:t>
      </w:r>
      <w:r w:rsidR="00D86D53" w:rsidRPr="004F0FE2">
        <w:t xml:space="preserve"> </w:t>
      </w:r>
      <w:r w:rsidR="00D86D53" w:rsidRPr="004F0FE2">
        <w:fldChar w:fldCharType="begin" w:fldLock="1"/>
      </w:r>
      <w:r w:rsidR="009B7569" w:rsidRPr="004F0FE2">
        <w:instrText>ADDIN CSL_CITATION {"citationItems":[{"id":"ITEM-1","itemData":{"DOI":"10.1056/NEJMoa1810527","ISSN":"15334406","PMID":"30345905","abstract":"BACKGROUND: The cyclin-dependent kinase 4 and 6 (CDK4/6) inhibitor palbociclib, in combination with fulvestrant therapy, prolongs progression-free survival among patients with hormone-receptor-positive, human epidermal growth factor receptor 2 (HER2)-negative advanced breast cancer. We report the results of a prespecified analysis of overall survival. METHODS: We randomly assigned patients with hormone-receptor-positive, HER2-negative advanced breast cancer who had progression or relapse during previous endocrine therapy to receive palbociclib plus fulvestrant or placebo plus fulvestrant. We analyzed overall survival; the effect of palbociclib according to the prespecified stratification factors of presence or absence of sensitivity to endocrine therapy, presence or absence of visceral metastatic disease, and menopausal status; the efficacy of subsequent therapies after disease progression; and safety. RESULTS: Among 521 patients who underwent randomization, the median overall survival was 34.9 months (95% confidence interval [CI], 28.8 to 40.0) in the palbociclib- fulvestrant group and 28.0 months (95% CI, 23.6 to 34.6) in the placebo-fulvestrant group (hazard ratio for death, 0.81; 95% CI, 0.64 to 1.03; P = 0.09; absolute difference, 6.9 months). CDK4/6 inhibitor treatment after the completion of the trial regimen occurred in 16% of the patients in the placebo-fulvestrant group. Among 410 patients with sensitivity to previous endocrine therapy, the median overall survival was 39.7 months (95% CI, 34.8 to 45.7) in the palbociclib-fulvestrant group and 29.7 months (95% CI, 23.8 to 37.9) in the placebo-fulvestrant group (hazard ratio, 0.72; 95% CI, 0.55 to 0.94; absolute difference, 10.0 months). The median duration of subsequent therapy was similar in the two groups, and the median time to the receipt of chemotherapy was 17.6 months in the palbociclib- fulvestrant group, as compared with 8.8 months in the placebo-fulvestrant group (hazard ratio, 0.58; 95% CI, 0.47 to 0.73; P&lt;0.001). No new safety signals were observed with 44.8 months of follow-up. CONCLUSIONS: Among patients with hormone-receptor-positive, HER2-negative advanced breast cancer who had sensitivity to previous endocrine therapy, treatment with palbociclib- fulvestrant resulted in longer overall survival than treatment with placebo- fulvestrant. The differences in overall survival in the entire trial group were not significant.","author":[{"dropping-particle":"","family":"Turner","given":"N. C.","non-dropping-particle":"","parse-names":false,"suffix":""},{"dropping-particle":"","family":"Slamon","given":"D. J.","non-dropping-particle":"","parse-names":false,"suffix":""},{"dropping-particle":"","family":"Ro","given":"J.","non-dropping-particle":"","parse-names":false,"suffix":""},{"dropping-particle":"","family":"Bondarenko","given":"I.","non-dropping-particle":"","parse-names":false,"suffix":""},{"dropping-particle":"","family":"Im","given":"S. A.","non-dropping-particle":"","parse-names":false,"suffix":""},{"dropping-particle":"","family":"Masuda","given":"N.","non-dropping-particle":"","parse-names":false,"suffix":""},{"dropping-particle":"","family":"Colleoni","given":"M.","non-dropping-particle":"","parse-names":false,"suffix":""},{"dropping-particle":"","family":"DeMichele","given":"A.","non-dropping-particle":"","parse-names":false,"suffix":""},{"dropping-particle":"","family":"Loi","given":"S.","non-dropping-particle":"","parse-names":false,"suffix":""},{"dropping-particle":"","family":"Verma","given":"S.","non-dropping-particle":"","parse-names":false,"suffix":""},{"dropping-particle":"","family":"Iwata","given":"H.","non-dropping-particle":"","parse-names":false,"suffix":""},{"dropping-particle":"","family":"Harbeck","given":"N.","non-dropping-particle":"","parse-names":false,"suffix":""},{"dropping-particle":"","family":"Loibl","given":"S.","non-dropping-particle":"","parse-names":false,"suffix":""},{"dropping-particle":"","family":"André","given":"F.","non-dropping-particle":"","parse-names":false,"suffix":""},{"dropping-particle":"","family":"Theall","given":"K. Puyana","non-dropping-particle":"","parse-names":false,"suffix":""},{"dropping-particle":"","family":"Huang","given":"X.","non-dropping-particle":"","parse-names":false,"suffix":""},{"dropping-particle":"","family":"Giorgetti","given":"C.","non-dropping-particle":"","parse-names":false,"suffix":""},{"dropping-particle":"","family":"Bartlett","given":"C. Huang","non-dropping-particle":"","parse-names":false,"suffix":""},{"dropping-particle":"","family":"Cristofanilli","given":"M.","non-dropping-particle":"","parse-names":false,"suffix":""}],"container-title":"New England Journal of Medicine","id":"ITEM-1","issue":"20","issued":{"date-parts":[["2018","11","15"]]},"page":"1926-1936","publisher":"Massachussetts Medical Society","title":"Overall survival with palbociclib and fulvestrant in advanced breast cancer","type":"article-journal","volume":"379"},"uris":["http://www.mendeley.com/documents/?uuid=61bcbb39-afcf-361f-bb43-f49bc622cd02"]},{"id":"ITEM-2","itemData":{"DOI":"10.1200/JCO.2017.73.7585","ISSN":"15277755","PMID":"28580882","abstract":"Purpose: MONARCH 2 (ClinicalTrials.gov identifier: NCT02107703) compared the efficacy and safety of abemaciclib, a selective cyclin-dependent kinase 4 and 6 inhibitor, plus fulvestrant with fulvestrant alone in patients with advanced breast cancer (ABC). Patients and Methods: MONARCH 2 was a global, double-blind, phase III study of women with hormone receptor-positive and human epidermal growth factor receptor 2-negative ABC who had progressed while receiving neoadjuvant or adjuvant endocrine therapy (ET), ≤ 12 months from the end of adjuvant ET, or while receiving first-line ET for metastatic disease. Patients were randomly assigned 2:1 to receive abemaciclib or placebo (150 mg twice daily) on a continuous schedule and fulvestrant (500 mg, per label). The primary end point was investigator-assessed progression-free survival (PFS), and key secondary end points included overall survival, objective response rate (ORR), duration of response, clinical benefit rate, quality of life, and safety. Results: Between August 2014 and December 2015, 669 patients were randomly assigned to receive abemaciclib plus fulvestrant (n = 446) or placebo plus fulvestrant (n = 223). Abemaciclib plus fulvestrant significantly extended PFS versus fulvestrant alone (median, 16.4 v 9.3 months; hazard ratio, 0.553; 95% CI, 0.449 to 0.681; P &lt; .001). In patients with measurable disease, abemaciclib plus fulvestrant achieved an ORR of 48.1% (95% CI, 42.6% to 53.6%) compared with 21.3% (95% CI, 15.1% to 27.6%) in the control arm. The most common adverse events in the abemaciclib versus placebo arms were diarrhea (86.4% v 24.7%), neutropenia (46.0% v 4.0%), nausea (45.1% v 22.9%), and fatigue (39.9% v 26.9%). Conclusions: Abemaciclib at 150 mg twice daily plus fulvestrant was effective, significantly improving PFS and ORR and demonstrating a tolerable safety profile in women with hormone receptor-positive and human epidermal growth factor receptor 2-negative ABC who progressed while receiving ET.","author":[{"dropping-particle":"","family":"Sledge","given":"George W.","non-dropping-particle":"","parse-names":false,"suffix":""},{"dropping-particle":"","family":"Toi","given":"Masakazu","non-dropping-particle":"","parse-names":false,"suffix":""},{"dropping-particle":"","family":"Neven","given":"Patrick","non-dropping-particle":"","parse-names":false,"suffix":""},{"dropping-particle":"","family":"Sohn","given":"Joohyuk","non-dropping-particle":"","parse-names":false,"suffix":""},{"dropping-particle":"","family":"Inoue","given":"Kenichi","non-dropping-particle":"","parse-names":false,"suffix":""},{"dropping-particle":"","family":"Pivot","given":"Xavier","non-dropping-particle":"","parse-names":false,"suffix":""},{"dropping-particle":"","family":"Burdaeva","given":"Olga","non-dropping-particle":"","parse-names":false,"suffix":""},{"dropping-particle":"","family":"Okera","given":"Meena","non-dropping-particle":"","parse-names":false,"suffix":""},{"dropping-particle":"","family":"Masuda","given":"Norikazu","non-dropping-particle":"","parse-names":false,"suffix":""},{"dropping-particle":"","family":"Kaufman","given":"Peter A.","non-dropping-particle":"","parse-names":false,"suffix":""},{"dropping-particle":"","family":"Koh","given":"Han","non-dropping-particle":"","parse-names":false,"suffix":""},{"dropping-particle":"","family":"Grischke","given":"Eva Maria","non-dropping-particle":"","parse-names":false,"suffix":""},{"dropping-particle":"","family":"Frenzel","given":"Martin","non-dropping-particle":"","parse-names":false,"suffix":""},{"dropping-particle":"","family":"Lin","given":"Yong","non-dropping-particle":"","parse-names":false,"suffix":""},{"dropping-particle":"","family":"Barriga","given":"Susana","non-dropping-particle":"","parse-names":false,"suffix":""},{"dropping-particle":"","family":"Smith","given":"Ian C.","non-dropping-particle":"","parse-names":false,"suffix":""},{"dropping-particle":"","family":"Bourayou","given":"Nawel","non-dropping-particle":"","parse-names":false,"suffix":""},{"dropping-particle":"","family":"Llombart-Cussac","given":"Antonio","non-dropping-particle":"","parse-names":false,"suffix":""}],"container-title":"Journal of Clinical Oncology","id":"ITEM-2","issue":"25","issued":{"date-parts":[["2017","9","1"]]},"page":"2875-2884","publisher":"American Society of Clinical Oncology","title":"MONARCH 2: Abemaciclib in combination with fulvestrant in women with HR+/HER2-advanced breast cancer who had progressed while receiving endocrine therapy","type":"article-journal","volume":"35"},"uris":["http://www.mendeley.com/documents/?uuid=ed77a923-88bf-3d6e-8f2b-7b3e16c2a14f"]},{"id":"ITEM-3","itemData":{"DOI":"10.1001/jamaoncol.2019.4782","ISSN":"23742445","PMID":"31563959","abstract":"Importance: Statistically significant overall survival (OS) benefits of CDK4 and CDK6 inhibitors in combination with fulvestrant for hormone receptor (HR)-positive, ERBB2 (formerly HER2)-negative advanced breast cancer (ABC) in patients regardless of menopausal status after prior endocrine therapy (ET) has not yet been demonstrated. Objective: To compare the effect of abemaciclib plus fulvestrant vs placebo plus fulvestrant on OS at the prespecified interim of MONARCH 2 (338 events) in patients with HR-positive, ERBB2-negative advanced breast cancer that progressed during prior ET. Design, Setting, and Participants: MONARCH 2 was a global, randomized, placebo-controlled, double-blind phase 3 trial of abemaciclib plus fulvestrant vs placebo plus fulvestrant for treatment of premenopausal or perimenopausal women (with ovarian suppression) and postmenopausal women with HR-positive, ERBB2-negative ABC that progressed during ET. Patients were enrolled between August 7, 2014, and December 29, 2015. Analyses for this report were conducted at the time of database lock on June 20, 2019. Interventions: Patients were randomized 2:1 to receive abemaciclib or placebo, 150 mg, every 12 hours on a continuous schedule plus fulvestrant, 500 mg, per label. Randomization was stratified based on site of metastasis (visceral, bone only, or other) and resistance to prior ET (primary vs secondary). Main Outcomes and Measures: The primary end point was investigator-assessed progression-free survival. Overall survival was a gated key secondary end point. The boundary P value for the interim analysis was.02. Results: Of 669 women enrolled, 446 (median [range] age, 59 [32-91] years) were randomized to the abemaciclib plus fulvestrant arm and 223 (median [range] age, 62 [32-87] years) were randomized to the placebo plus fulvestrant arm. At the prespecified interim, 338 deaths (77% of the planned 441 at the final analysis) were observed in the intent-to-treat population, with a median OS of 46.7 months for abemaciclib plus fulvestrant and 37.3 months for placebo plus fulvestrant (hazard ratio [HR], 0.757; 95% CI, 0.606-0.945; P =.01). Improvement in OS was consistent across all stratification factors. Among stratification factors, more pronounced effects were observed in patients with visceral disease (HR, 0.675; 95% CI, 0.511-0.891) and primary resistance to prior ET (HR, 0.686; 95% CI, 0.451-1.043). Time to second disease progression (median, 23.1 months vs 20.6 months), time to …","author":[{"dropping-particle":"","family":"Sledge","given":"George W.","non-dropping-particle":"","parse-names":false,"suffix":""},{"dropping-particle":"","family":"Toi","given":"Masakazu","non-dropping-particle":"","parse-names":false,"suffix":""},{"dropping-particle":"","family":"Neven","given":"Patrick","non-dropping-particle":"","parse-names":false,"suffix":""},{"dropping-particle":"","family":"Sohn","given":"Joohyuk","non-dropping-particle":"","parse-names":false,"suffix":""},{"dropping-particle":"","family":"Inoue","given":"Kenichi","non-dropping-particle":"","parse-names":false,"suffix":""},{"dropping-particle":"","family":"Pivot","given":"Xavier","non-dropping-particle":"","parse-names":false,"suffix":""},{"dropping-particle":"","family":"Burdaeva","given":"Olga","non-dropping-particle":"","parse-names":false,"suffix":""},{"dropping-particle":"","family":"Okera","given":"Meena","non-dropping-particle":"","parse-names":false,"suffix":""},{"dropping-particle":"","family":"Masuda","given":"Norikazu","non-dropping-particle":"","parse-names":false,"suffix":""},{"dropping-particle":"","family":"Kaufman","given":"Peter A.","non-dropping-particle":"","parse-names":false,"suffix":""},{"dropping-particle":"","family":"Koh","given":"Han","non-dropping-particle":"","parse-names":false,"suffix":""},{"dropping-particle":"","family":"Grischke","given":"Eva Maria","non-dropping-particle":"","parse-names":false,"suffix":""},{"dropping-particle":"","family":"Conte","given":"Pierfranco","non-dropping-particle":"","parse-names":false,"suffix":""},{"dropping-particle":"","family":"Lu","given":"Yi","non-dropping-particle":"","parse-names":false,"suffix":""},{"dropping-particle":"","family":"Barriga","given":"Susana","non-dropping-particle":"","parse-names":false,"suffix":""},{"dropping-particle":"","family":"Hurt","given":"Karla","non-dropping-particle":"","parse-names":false,"suffix":""},{"dropping-particle":"","family":"Frenzel","given":"Martin","non-dropping-particle":"","parse-names":false,"suffix":""},{"dropping-particle":"","family":"Johnston","given":"Stephen","non-dropping-particle":"","parse-names":false,"suffix":""},{"dropping-particle":"","family":"Llombart-Cussac","given":"Antonio","non-dropping-particle":"","parse-names":false,"suffix":""}],"container-title":"JAMA Oncology","id":"ITEM-3","issue":"1","issued":{"date-parts":[["2020","1","1"]]},"page":"116-124","publisher":"American Medical Association","title":"The Effect of Abemaciclib Plus Fulvestrant on Overall Survival in Hormone Receptor-Positive, ERBB2-Negative Breast Cancer That Progressed on Endocrine Therapy - MONARCH 2: A Randomized Clinical Trial","type":"article-journal","volume":"6"},"uris":["http://www.mendeley.com/documents/?uuid=9cfe75ad-3a90-3a16-a0e7-43943701310e"]}],"mendeley":{"formattedCitation":"[16–18]","plainTextFormattedCitation":"[16–18]","previouslyFormattedCitation":"[16–18]"},"properties":{"noteIndex":0},"schema":"https://github.com/citation-style-language/schema/raw/master/csl-citation.json"}</w:instrText>
      </w:r>
      <w:r w:rsidR="00D86D53" w:rsidRPr="004F0FE2">
        <w:fldChar w:fldCharType="separate"/>
      </w:r>
      <w:r w:rsidR="009B7569" w:rsidRPr="004F0FE2">
        <w:t>[16–18]</w:t>
      </w:r>
      <w:r w:rsidR="00D86D53" w:rsidRPr="004F0FE2">
        <w:fldChar w:fldCharType="end"/>
      </w:r>
      <w:r w:rsidR="008C2B59" w:rsidRPr="004F0FE2">
        <w:t>, have proved in</w:t>
      </w:r>
      <w:r w:rsidR="00D86D53" w:rsidRPr="004F0FE2">
        <w:t xml:space="preserve"> different phase 3 trials</w:t>
      </w:r>
      <w:r w:rsidR="008C2B59" w:rsidRPr="004F0FE2">
        <w:t xml:space="preserve"> significant benefit in term of </w:t>
      </w:r>
      <w:r w:rsidR="00110604" w:rsidRPr="004F0FE2">
        <w:t>progression-free survival (</w:t>
      </w:r>
      <w:r w:rsidR="008C2B59" w:rsidRPr="004F0FE2">
        <w:t>PFS</w:t>
      </w:r>
      <w:r w:rsidR="00110604" w:rsidRPr="004F0FE2">
        <w:t>)</w:t>
      </w:r>
      <w:r w:rsidR="008C2B59" w:rsidRPr="004F0FE2">
        <w:t xml:space="preserve"> and </w:t>
      </w:r>
      <w:r w:rsidR="00110604" w:rsidRPr="004F0FE2">
        <w:t>overall survival (</w:t>
      </w:r>
      <w:r w:rsidR="008C2B59" w:rsidRPr="004F0FE2">
        <w:t>OS</w:t>
      </w:r>
      <w:r w:rsidR="00110604" w:rsidRPr="004F0FE2">
        <w:t>)</w:t>
      </w:r>
      <w:r w:rsidR="008C2B59" w:rsidRPr="004F0FE2">
        <w:t xml:space="preserve"> compared with endocrine therapy alone in patients with </w:t>
      </w:r>
      <w:r w:rsidR="0034449D" w:rsidRPr="004F0FE2">
        <w:t xml:space="preserve">ER+/HER2- </w:t>
      </w:r>
      <w:proofErr w:type="spellStart"/>
      <w:r w:rsidR="0034449D" w:rsidRPr="004F0FE2">
        <w:t>mBC</w:t>
      </w:r>
      <w:proofErr w:type="spellEnd"/>
      <w:r w:rsidR="008C2B59" w:rsidRPr="004F0FE2">
        <w:t>.</w:t>
      </w:r>
      <w:r w:rsidR="0034449D" w:rsidRPr="004F0FE2">
        <w:t xml:space="preserve"> </w:t>
      </w:r>
      <w:r w:rsidRPr="004F0FE2">
        <w:t xml:space="preserve">Based on these results, the combination of CDK4/6 inhibitors plus NSAI has become a standard first-line treatment for patients with </w:t>
      </w:r>
      <w:r w:rsidR="0034449D" w:rsidRPr="004F0FE2">
        <w:t xml:space="preserve">this type of </w:t>
      </w:r>
      <w:proofErr w:type="spellStart"/>
      <w:r w:rsidR="0034449D" w:rsidRPr="004F0FE2">
        <w:t>mBC</w:t>
      </w:r>
      <w:proofErr w:type="spellEnd"/>
      <w:r w:rsidRPr="004F0FE2">
        <w:t>.</w:t>
      </w:r>
    </w:p>
    <w:p w14:paraId="7267A38A" w14:textId="7D63C1E7" w:rsidR="00AA4BD7" w:rsidRPr="004F0FE2" w:rsidRDefault="0065712B" w:rsidP="00673269">
      <w:pPr>
        <w:ind w:right="567"/>
      </w:pPr>
      <w:r w:rsidRPr="004F0FE2">
        <w:t>Palbociclib (PD-0332991) is an oral and selective inhibitor of cyclin dependent kinases 4 and 6 (CDK4/6)</w:t>
      </w:r>
      <w:r w:rsidR="008B169D" w:rsidRPr="004F0FE2">
        <w:t xml:space="preserve"> </w:t>
      </w:r>
      <w:r w:rsidR="008B169D" w:rsidRPr="004F0FE2">
        <w:fldChar w:fldCharType="begin" w:fldLock="1"/>
      </w:r>
      <w:r w:rsidR="009B7569" w:rsidRPr="004F0FE2">
        <w:instrText>ADDIN CSL_CITATION {"citationItems":[{"id":"ITEM-1","itemData":{"DOI":"10.1186/bcr2419","ISSN":"14655411","PMID":"19874578","abstract":"Introduction: Alterations in cell cycle regulators have been implicated in human malignancies including breast cancer. PD 0332991 is an orally active, highly selective inhibitor of the cyclin D kinases (CDK)4 and CDK6 with ability to block retinoblastoma (Rb) phosphorylation in the low nanomolar range. To identify predictors of response, we determined the in vitro sensitivity to PD 0332991 across a panel of molecularly characterized human breast cancer cell lines.Methods: Forty-seven human breast cancer and immortalized cell lines representing the known molecular subgroups of breast cancer were treated with PD 0332991 to determine IC50values. These data were analyzed against baseline gene expression data to identify genes associated with PD 0332991 response.Results: Cell lines representing luminal estrogen receptor-positive (ER+) subtype (including those that are HER2 amplified) were most sensitive to growth inhibition by PD 0332991 while nonluminal/basal subtypes were most resistant. Analysis of variance identified 450 differentially expressed genes between sensitive and resistant cells. pRb and cyclin D1were elevated and CDKN2A (p16) was decreased in the most sensitive lines. Cell cycle analysis showed G0/G1arrest in sensitive cell lines and Western blot analysis demonstrated that Rb phosphorylation is blocked in sensitive lines but not resistant lines. PD 0332991 was synergistic with tamoxifen and trastuzumab in ER+ and HER2-amplified cell lines, respectively. PD 0332991 enhanced sensitivity to tamoxifen in cell lines with conditioned resistance to ER blockade.Conclusions: These studies suggest a role for CDK4/6 inhibition in some breast cancers and identify criteria for patient selection in clinical studies of PD 0332991. © 2009 Finn et al.; licensee BioMed Central Ltd.","author":[{"dropping-particle":"","family":"Finn","given":"Richard S.","non-dropping-particle":"","parse-names":false,"suffix":""},{"dropping-particle":"","family":"Dering","given":"Judy","non-dropping-particle":"","parse-names":false,"suffix":""},{"dropping-particle":"","family":"Conklin","given":"Dylan","non-dropping-particle":"","parse-names":false,"suffix":""},{"dropping-particle":"","family":"Kalous","given":"Ondrej","non-dropping-particle":"","parse-names":false,"suffix":""},{"dropping-particle":"","family":"Cohen","given":"David J.","non-dropping-particle":"","parse-names":false,"suffix":""},{"dropping-particle":"","family":"Desai","given":"Amrita J.","non-dropping-particle":"","parse-names":false,"suffix":""},{"dropping-particle":"","family":"Ginther","given":"Charles","non-dropping-particle":"","parse-names":false,"suffix":""},{"dropping-particle":"","family":"Atefi","given":"Mohammad","non-dropping-particle":"","parse-names":false,"suffix":""},{"dropping-particle":"","family":"Chen","given":"Isan","non-dropping-particle":"","parse-names":false,"suffix":""},{"dropping-particle":"","family":"Fowst","given":"Camilla","non-dropping-particle":"","parse-names":false,"suffix":""},{"dropping-particle":"","family":"Los","given":"Gerret","non-dropping-particle":"","parse-names":false,"suffix":""},{"dropping-particle":"","family":"Slamon","given":"Dennis J.","non-dropping-particle":"","parse-names":false,"suffix":""}],"container-title":"Breast Cancer Research","id":"ITEM-1","issue":"5","issued":{"date-parts":[["2009","10","29"]]},"page":"R77","publisher":"BioMed Central","title":"PD 0332991, a selective cyclin D kinase 4/6 inhibitor, preferentially inhibits proliferation of luminal estrogen receptor-positive human breast cancer cell lines in vitro","type":"article-journal","volume":"11"},"uris":["http://www.mendeley.com/documents/?uuid=7469955e-ed67-327c-8edd-2122e7fe3b72"]}],"mendeley":{"formattedCitation":"[19]","plainTextFormattedCitation":"[19]","previouslyFormattedCitation":"[19]"},"properties":{"noteIndex":0},"schema":"https://github.com/citation-style-language/schema/raw/master/csl-citation.json"}</w:instrText>
      </w:r>
      <w:r w:rsidR="008B169D" w:rsidRPr="004F0FE2">
        <w:fldChar w:fldCharType="separate"/>
      </w:r>
      <w:r w:rsidR="009B7569" w:rsidRPr="004F0FE2">
        <w:t>[19]</w:t>
      </w:r>
      <w:r w:rsidR="008B169D" w:rsidRPr="004F0FE2">
        <w:fldChar w:fldCharType="end"/>
      </w:r>
      <w:r w:rsidRPr="004F0FE2">
        <w:t>. The only known natural substrate for Cdk4/cyclin D1 is t</w:t>
      </w:r>
      <w:r w:rsidR="0034449D" w:rsidRPr="004F0FE2">
        <w:t>he retinoblastoma gene product (</w:t>
      </w:r>
      <w:r w:rsidRPr="004F0FE2">
        <w:t>Rb</w:t>
      </w:r>
      <w:r w:rsidR="0034449D" w:rsidRPr="004F0FE2">
        <w:t>)</w:t>
      </w:r>
      <w:r w:rsidRPr="004F0FE2">
        <w:t>. Palbociclib has shown to have no eff</w:t>
      </w:r>
      <w:r w:rsidR="0034449D" w:rsidRPr="004F0FE2">
        <w:t xml:space="preserve">ect in Rb-negative tumor cells, </w:t>
      </w:r>
      <w:r w:rsidR="007C2456" w:rsidRPr="004F0FE2">
        <w:t xml:space="preserve">therefore </w:t>
      </w:r>
      <w:r w:rsidR="0034449D" w:rsidRPr="004F0FE2">
        <w:t>t</w:t>
      </w:r>
      <w:r w:rsidRPr="004F0FE2">
        <w:t xml:space="preserve">he phosphorylation status of Rb in treated tumors can serve as a biomarker for target modulation by </w:t>
      </w:r>
      <w:proofErr w:type="spellStart"/>
      <w:r w:rsidRPr="004F0FE2">
        <w:t>palbociclib</w:t>
      </w:r>
      <w:proofErr w:type="spellEnd"/>
      <w:r w:rsidRPr="004F0FE2">
        <w:t>. CDK4/6 are involved in cell progression during phase G1 to phase S. Inhibition of both</w:t>
      </w:r>
      <w:r w:rsidR="0034449D" w:rsidRPr="004F0FE2">
        <w:t xml:space="preserve"> kinases </w:t>
      </w:r>
      <w:r w:rsidRPr="004F0FE2">
        <w:t xml:space="preserve">has been shown to prevent the deactivation of retinoblastoma susceptibility gene protein and interfere with tumor cell progression. </w:t>
      </w:r>
      <w:r w:rsidR="0034449D" w:rsidRPr="004F0FE2">
        <w:t xml:space="preserve">Data from preclinical studies </w:t>
      </w:r>
      <w:r w:rsidR="008B169D" w:rsidRPr="004F0FE2">
        <w:fldChar w:fldCharType="begin" w:fldLock="1"/>
      </w:r>
      <w:r w:rsidR="009B7569" w:rsidRPr="004F0FE2">
        <w:instrText>ADDIN CSL_CITATION {"citationItems":[{"id":"ITEM-1","itemData":{"abstract":"PD 0332991 is a highly specific inhibitor of cyclin-dependent kinase 4 (Cdk4) (IC 50 , 0.011 Mmol/L) and Cdk6 (IC 50 , 0.016 Mmol/L), having no activity against a panel of 36 additional protein kinases. It is a potent antiproliferative agent against retinoblastoma (Rb)-positive tumor cells in vitro, inducing an exclusive G 1 arrest, with a concomitant reduction of phospho-Ser 780 /Ser 795 on the Rb protein. Oral administration of PD 0332991 to mice bearing the Colo-205 human colon carcinoma produces marked tumor regression. Therapeutic doses of PD 0332991 cause elimination of phospho-Rb and the proliferative marker Ki-67 in tumor tissue and down-regulation of genes under the transcriptional control of E2F. The results indicate that inhibition of Cdk4/6 alone is sufficient to cause tumor regression and a net reduction in tumor burden in some tumors.","author":[{"dropping-particle":"","family":"Fry","given":"David W","non-dropping-particle":"","parse-names":false,"suffix":""},{"dropping-particle":"","family":"Harvey","given":"Patricia J","non-dropping-particle":"","parse-names":false,"suffix":""},{"dropping-particle":"","family":"Keller","given":"Paul R","non-dropping-particle":"","parse-names":false,"suffix":""},{"dropping-particle":"","family":"Elliott","given":"William L","non-dropping-particle":"","parse-names":false,"suffix":""},{"dropping-particle":"","family":"Meade","given":"Maryanne","non-dropping-particle":"","parse-names":false,"suffix":""},{"dropping-particle":"","family":"Trachet","given":"Erin","non-dropping-particle":"","parse-names":false,"suffix":""},{"dropping-particle":"","family":"Albassam","given":"Mudher","non-dropping-particle":"","parse-names":false,"suffix":""},{"dropping-particle":"","family":"Zheng","given":"Xianxian","non-dropping-particle":"","parse-names":false,"suffix":""},{"dropping-particle":"","family":"Leopold","given":"Wilbur R","non-dropping-particle":"","parse-names":false,"suffix":""},{"dropping-particle":"","family":"Pryer","given":"Nancy K","non-dropping-particle":"","parse-names":false,"suffix":""},{"dropping-particle":"","family":"Toogood","given":"Peter L","non-dropping-particle":"","parse-names":false,"suffix":""}],"container-title":"Mol Cancer Ther","id":"ITEM-1","issue":"11","issued":{"date-parts":[["2004"]]},"number-of-pages":"1427-1464","title":"Specific inhibition of cyclin-dependent kinase 4/6 by PD 0332991 and associated antitumor activity in human tumor xenografts","type":"report","volume":"3"},"uris":["http://www.mendeley.com/documents/?uuid=b2a32006-9a3a-33a4-9a0c-7ed1e5a99479"]}],"mendeley":{"formattedCitation":"[20]","plainTextFormattedCitation":"[20]","previouslyFormattedCitation":"[20]"},"properties":{"noteIndex":0},"schema":"https://github.com/citation-style-language/schema/raw/master/csl-citation.json"}</w:instrText>
      </w:r>
      <w:r w:rsidR="008B169D" w:rsidRPr="004F0FE2">
        <w:fldChar w:fldCharType="separate"/>
      </w:r>
      <w:r w:rsidR="009B7569" w:rsidRPr="004F0FE2">
        <w:t>[20]</w:t>
      </w:r>
      <w:r w:rsidR="008B169D" w:rsidRPr="004F0FE2">
        <w:fldChar w:fldCharType="end"/>
      </w:r>
      <w:r w:rsidR="008B169D" w:rsidRPr="004F0FE2">
        <w:t xml:space="preserve"> </w:t>
      </w:r>
      <w:r w:rsidR="0034449D" w:rsidRPr="004F0FE2">
        <w:t xml:space="preserve">indicate that </w:t>
      </w:r>
      <w:proofErr w:type="spellStart"/>
      <w:r w:rsidR="0034449D" w:rsidRPr="004F0FE2">
        <w:t>pal</w:t>
      </w:r>
      <w:r w:rsidR="008B169D" w:rsidRPr="004F0FE2">
        <w:t>b</w:t>
      </w:r>
      <w:r w:rsidR="0034449D" w:rsidRPr="004F0FE2">
        <w:t>ociclib</w:t>
      </w:r>
      <w:proofErr w:type="spellEnd"/>
      <w:r w:rsidR="0034449D" w:rsidRPr="004F0FE2">
        <w:t xml:space="preserve"> inhibits thymidine incorporation into the DNA of </w:t>
      </w:r>
      <w:r w:rsidR="008B169D" w:rsidRPr="004F0FE2">
        <w:t>a panel of Rb-positive human carcinomas</w:t>
      </w:r>
      <w:r w:rsidR="00B72D12" w:rsidRPr="004F0FE2">
        <w:t xml:space="preserve"> (</w:t>
      </w:r>
      <w:r w:rsidR="008B169D" w:rsidRPr="004F0FE2">
        <w:t>including BC</w:t>
      </w:r>
      <w:r w:rsidR="00B72D12" w:rsidRPr="004F0FE2">
        <w:t>)</w:t>
      </w:r>
      <w:r w:rsidR="008B169D" w:rsidRPr="004F0FE2">
        <w:t xml:space="preserve"> producing cytoreductive as well as a cytostatic effects on tumor cells. </w:t>
      </w:r>
      <w:r w:rsidR="00F04542" w:rsidRPr="004F0FE2">
        <w:t xml:space="preserve">The primary toxicities observed in preclinical studies </w:t>
      </w:r>
      <w:r w:rsidR="00110604" w:rsidRPr="004F0FE2">
        <w:t>involved</w:t>
      </w:r>
      <w:r w:rsidR="00F04542" w:rsidRPr="004F0FE2">
        <w:t xml:space="preserve"> the </w:t>
      </w:r>
      <w:proofErr w:type="spellStart"/>
      <w:r w:rsidR="00F04542" w:rsidRPr="004F0FE2">
        <w:t>hematolymphopoietic</w:t>
      </w:r>
      <w:proofErr w:type="spellEnd"/>
      <w:r w:rsidR="00F04542" w:rsidRPr="004F0FE2">
        <w:t xml:space="preserve"> tissues and male reproductive organs, and the potential for QT prolongation and developmental toxicity. At least 15 studies have evaluated the </w:t>
      </w:r>
      <w:r w:rsidR="00B72D12" w:rsidRPr="004F0FE2">
        <w:t xml:space="preserve">clinical </w:t>
      </w:r>
      <w:r w:rsidR="00F04542" w:rsidRPr="004F0FE2">
        <w:t xml:space="preserve">safety, efficacy, pharmacodynamics and pharmacokinetics of </w:t>
      </w:r>
      <w:proofErr w:type="spellStart"/>
      <w:r w:rsidR="00F04542" w:rsidRPr="004F0FE2">
        <w:t>palbociclib</w:t>
      </w:r>
      <w:proofErr w:type="spellEnd"/>
      <w:r w:rsidR="00F04542" w:rsidRPr="004F0FE2">
        <w:t xml:space="preserve"> (as single agent or in combination) in solid tumors, multiple myeloma, lymphomas and breast cancer</w:t>
      </w:r>
      <w:r w:rsidR="00D31B67" w:rsidRPr="004F0FE2">
        <w:t xml:space="preserve"> </w:t>
      </w:r>
      <w:r w:rsidR="00EB12A3" w:rsidRPr="004F0FE2">
        <w:fldChar w:fldCharType="begin" w:fldLock="1"/>
      </w:r>
      <w:r w:rsidR="009B7569" w:rsidRPr="004F0FE2">
        <w:instrText>ADDIN CSL_CITATION {"citationItems":[{"id":"ITEM-1","itemData":{"DOI":"10.1517/14656566.2014.870555","ISSN":"14656566","abstract":"Introduction: The cyclin D-cyclin-dependent kinases 4 and 6 (CDK4/6)-retinoblastoma (Rb) pathway, governing the cell cycle restriction point, is frequently altered in breast cancer and is a potentially relevant target for anticancer therapy. Palbociclib (PD 0332991), a potent and selective inhibitor of CDK4 and CDK6, inhibits proliferation of several Rb-positive cancer cell lines and xenograft models. Areas covered: The basic features and abnormalities of the cell cycle in breast cancer are described, along with their involvement in estrogen signaling and endocrine resistance. The pharmacological features of palbociclib, its activity in preclinical models of breast cancer and the potential determinants of response are then illustrated, and its clinical development in breast cancer described. A literature search on the topic was conducted through PubMed and the proceedings of the main cancer congresses of recent years. Expert opinion: The combination of palbociclib with endocrine agents is a very promising treatment and Phase III clinical trials are ongoing to confirm its efficacy. Further, potentially useful combinations are those with drugs targeting mitogenic signaling pathways, such as HER2-and PI3K-inhibitors. Combination with chemotherapy seems more problematic, as antagonism has been reported in preclinical models. The identification of predictive factors, already explored in preclinical studies, must be further refined and validated in clinical trials. © 2014 Informa UK, Ltd.","author":[{"dropping-particle":"","family":"Rocca","given":"Andrea","non-dropping-particle":"","parse-names":false,"suffix":""},{"dropping-particle":"","family":"Farolfi","given":"Alberto","non-dropping-particle":"","parse-names":false,"suffix":""},{"dropping-particle":"","family":"Bravaccini","given":"Sara","non-dropping-particle":"","parse-names":false,"suffix":""},{"dropping-particle":"","family":"Schirone","given":"Alessio","non-dropping-particle":"","parse-names":false,"suffix":""},{"dropping-particle":"","family":"Amadori","given":"Dino","non-dropping-particle":"","parse-names":false,"suffix":""}],"container-title":"Expert Opinion on Pharmacotherapy","id":"ITEM-1","issue":"3","issued":{"date-parts":[["2014","2"]]},"page":"407-420","publisher":"Expert Opin Pharmacother","title":"Palbociclib (PD 0332991): Targeting the cell cycle machinery in breast cancer","type":"article-journal","volume":"15"},"uris":["http://www.mendeley.com/documents/?uuid=938c37b3-21d1-353d-be60-23928b008789"]},{"id":"ITEM-2","itemData":{"DOI":"10.1517/13543784.2013.789859","ISSN":"13543784","abstract":"Introduction: Cyclin-dependent kinases (CDKs) regulate cell cycle progression. Certain CDKs (e.g., CDK7, CDK9) also control cellular transcription. Consequently, CDKs represent attractive targets for anticancer drug development, as their aberrant expression is common in diverse malignancies, and CDK inhibition can trigger apoptosis. CDK inhibition may be particularly successful in hematologic malignancies, which are more sensitive to inhibition of cell cycling and apoptosis induction. Areas covered: A number of CDK inhibitors, ranging from pan-CDK inhibitors such as flavopiridol (alvocidib) to highly selective inhibitors of specific CDKs (e.g., CDK4/6), such as PD0332991, that are currently in various phases of development, are profiled in this review. Flavopiridol induces cell cycle arrest, and globally represses transcription via CDK9 inhibition. The latter may represent its major mechanism of action via down-regulation of multiple short-lived proteins. In early phase trials, flavopiridol has shown encouraging efficacy across a wide spectrum of hematologic malignancies. Early results with dinaciclib and PD0332991 also appear promising. Expert opinion: In general, the antitumor efficacy of CDK inhibitor monotherapy is modest, and rational combinations are being explored, including those involving other targeted agents. While selective CDK4/6 inhibition might be effective against certain malignancies, broad-spectrum CDK inhibition will likely be required for most cancers. © 2013 Informa UK, Ltd.","author":[{"dropping-particle":"","family":"Bose","given":"Prithviraj","non-dropping-particle":"","parse-names":false,"suffix":""},{"dropping-particle":"","family":"Simmons","given":"Gary L.","non-dropping-particle":"","parse-names":false,"suffix":""},{"dropping-particle":"","family":"Grant","given":"Steven","non-dropping-particle":"","parse-names":false,"suffix":""}],"container-title":"Expert Opinion on Investigational Drugs","id":"ITEM-2","issue":"6","issued":{"date-parts":[["2013","6"]]},"page":"723-738","publisher":"Expert Opin Investig Drugs","title":"Cyclin-dependent kinase inhibitor therapy for hematologic malignancies","type":"article","volume":"22"},"uris":["http://www.mendeley.com/documents/?uuid=3f6b0040-db6d-3dea-bc55-34a2e9e3fa7e"]}],"mendeley":{"formattedCitation":"[21,22]","plainTextFormattedCitation":"[21,22]","previouslyFormattedCitation":"[21,22]"},"properties":{"noteIndex":0},"schema":"https://github.com/citation-style-language/schema/raw/master/csl-citation.json"}</w:instrText>
      </w:r>
      <w:r w:rsidR="00EB12A3" w:rsidRPr="004F0FE2">
        <w:fldChar w:fldCharType="separate"/>
      </w:r>
      <w:r w:rsidR="009B7569" w:rsidRPr="004F0FE2">
        <w:t>[21,22]</w:t>
      </w:r>
      <w:r w:rsidR="00EB12A3" w:rsidRPr="004F0FE2">
        <w:fldChar w:fldCharType="end"/>
      </w:r>
      <w:r w:rsidR="00EB12A3" w:rsidRPr="004F0FE2">
        <w:t xml:space="preserve">, and is currently being evaluated in several ongoing trials. </w:t>
      </w:r>
      <w:r w:rsidR="00AA4BD7" w:rsidRPr="004F0FE2">
        <w:t xml:space="preserve">Palbociclib clinical development includes one phase II trial and </w:t>
      </w:r>
      <w:r w:rsidR="00D32623" w:rsidRPr="004F0FE2">
        <w:t>two-phase III</w:t>
      </w:r>
      <w:r w:rsidR="00AA4BD7" w:rsidRPr="004F0FE2">
        <w:t xml:space="preserve"> trials evaluating </w:t>
      </w:r>
      <w:proofErr w:type="spellStart"/>
      <w:r w:rsidR="00AA4BD7" w:rsidRPr="004F0FE2">
        <w:t>palbociclib</w:t>
      </w:r>
      <w:proofErr w:type="spellEnd"/>
      <w:r w:rsidR="00AA4BD7" w:rsidRPr="004F0FE2">
        <w:t xml:space="preserve"> in combination with endocrine therapies in post-menopausal patients with ER+/HER2- locally advanced or </w:t>
      </w:r>
      <w:proofErr w:type="spellStart"/>
      <w:r w:rsidR="00AA4BD7" w:rsidRPr="004F0FE2">
        <w:t>mBC</w:t>
      </w:r>
      <w:proofErr w:type="spellEnd"/>
      <w:r w:rsidR="00AA4BD7" w:rsidRPr="004F0FE2">
        <w:t xml:space="preserve">. In the phase II PALOMA-1 trial </w:t>
      </w:r>
      <w:r w:rsidR="00AA4BD7" w:rsidRPr="004F0FE2">
        <w:fldChar w:fldCharType="begin" w:fldLock="1"/>
      </w:r>
      <w:r w:rsidR="009B7569" w:rsidRPr="004F0FE2">
        <w:instrText>ADDIN CSL_CITATION {"citationItems":[{"id":"ITEM-1","itemData":{"DOI":"10.1158/0008-5472.sabcs12-s1-6","ISSN":"0008-5472","abstract":"Background: PD 0332991, a selective inhibitor of CDK 4/6, prevents cellular DNA synthesis by blocking cell cycle progression. Preclinical studies in a BC cell line panel identified the luminal ER subtype, elevated expression of cyclin D1 and Rb protein, and reduced p16 expression as being associated with sensitivity to PD 0332991 (Finn et al. 2009). Synergistic activity was also observed in vitro when combined with tamoxifen. Based on these observations, a phase 1/2 study in combination with letrozole was initiated. We present results from the randomized phase 2 portion. Methods: The phase 2 portion is a two-part study; Part 1, ER + /HER2- selected; Part 2, further biomarkers. We present results from Part 1. The primary endpoint is progression-free survival (PFS); secondary endpoints include response rate, overall survival, safety, and correlative biomarker studies. Post-menopausal women with ER + /HER2- advanced BC were randomized 1:1 to receive either letrozole 2.5 mg QD plus PD 0332991 125 mg QD on Schedule 3/1 (L + P) or letrozole 2.5 mg QD alone (L). Pts continue on assigned study treatment until disease progression, unacceptable toxicity, or consent withdrawal, and are followed for tumor assessments every 2 months. Results: 66 pts were randomized. Baseline characteristics were balanced between the two arms. As of the data cut-off, median duration of treatment was 47 wks for the L + P arm and 24 wks for the L arm. The most commonly reported treatment-related AEs in the combination arm were neutropenia, leukopenia, and fatigue. The response rate was 27% vs. 23% (out of 26 and 22 pts with measurable disease, L + P vs. L, respectively), clinical benefit rate (PR + SD &gt;24 weeks) was 59% vs. 44%, respectively. Two vs. 7 pts had best response of progressive disease for L + P vs. L, respectively. PFS was significantly greater in the L + P arm vs. L (HR = 0.38; 95% CI, 0.17 to 0.86; p = 0.015). There were 20 vs. 8 pts ongoing on assigned treatment. Conclusions: The combination of PD 0332991 and letrozole is well tolerated with encouraging clinical benefit, confirming the preferential sensitivity of ER+ BC observed in preclinical models.","author":[{"dropping-particle":"","family":"Finn","given":"RS","non-dropping-particle":"","parse-names":false,"suffix":""},{"dropping-particle":"","family":"Crown","given":"JP","non-dropping-particle":"","parse-names":false,"suffix":""},{"dropping-particle":"","family":"Lang","given":"I","non-dropping-particle":"","parse-names":false,"suffix":""},{"dropping-particle":"","family":"Boer","given":"K","non-dropping-particle":"","parse-names":false,"suffix":""},{"dropping-particle":"","family":"Bondarenko","given":"IM","non-dropping-particle":"","parse-names":false,"suffix":""},{"dropping-particle":"","family":"Kulyk","given":"SO","non-dropping-particle":"","parse-names":false,"suffix":""},{"dropping-particle":"","family":"Ettl","given":"J","non-dropping-particle":"","parse-names":false,"suffix":""},{"dropping-particle":"","family":"Patel","given":"R","non-dropping-particle":"","parse-names":false,"suffix":""},{"dropping-particle":"","family":"Pinter","given":"T","non-dropping-particle":"","parse-names":false,"suffix":""},{"dropping-particle":"","family":"Schmidt","given":"M","non-dropping-particle":"","parse-names":false,"suffix":""},{"dropping-particle":"","family":"Shparyk","given":"Y","non-dropping-particle":"","parse-names":false,"suffix":""},{"dropping-particle":"","family":"Thummala","given":"AR","non-dropping-particle":"","parse-names":false,"suffix":""},{"dropping-particle":"","family":"Voytko","given":"NL","non-dropping-particle":"","parse-names":false,"suffix":""},{"dropping-particle":"","family":"Breazna","given":"A","non-dropping-particle":"","parse-names":false,"suffix":""},{"dropping-particle":"","family":"Kim","given":"ST","non-dropping-particle":"","parse-names":false,"suffix":""},{"dropping-particle":"","family":"Randolph","given":"S","non-dropping-particle":"","parse-names":false,"suffix":""},{"dropping-particle":"","family":"Slamon","given":"DJ","non-dropping-particle":"","parse-names":false,"suffix":""}],"container-title":"Cancer Research","id":"ITEM-1","issue":"24 Supplement","issued":{"date-parts":[["2012","12","15"]]},"page":"S1-6-S1-6","publisher":"American Association for Cancer Research (AACR)","title":"Abstract S1-6: Results of a randomized phase 2 study of PD 0332991, a cyclin-dependent kinase (CDK) 4/6 inhibitor, in combination with letrozole vs letrozole alone for first-line treatment of ER+/HER2− advanced breast cancer (BC)","type":"paper-conference","volume":"72"},"uris":["http://www.mendeley.com/documents/?uuid=ecce07c0-c7e1-370f-9cf2-3b1238009932"]},{"id":"ITEM-2","itemData":{"DOI":"10.1016/S1470-2045(14)71159-3","ISSN":"14745488","abstract":"Background: Palbociclib (PD-0332991) is an oral, small-molecule inhibitor of cyclin-dependent kinases (CDKs) 4 and 6 with preclinical evidence of growth-inhibitory activity in oestrogen receptor-positive breast cancer cells and synergy with anti-oestrogens. We aimed to assess the safety and efficacy of palbociclib in combination with letrozole as first-line treatment of patients with advanced, oestrogen receptor-positive, HER2-negative breast cancer. Methods: In this open-label, randomised phase 2 study, postmenopausal women with advanced oestrogen receptor-positive and HER2-negative breast cancer who had not received any systemic treatment for their advanced disease were eligible to participate. Patients were enrolled in two separate cohorts that accrued sequentially: in cohort 1, patients were enrolled on the basis of their oestrogen receptor-positive and HER2-negative biomarker status alone, whereas in cohort 2 they were also required to have cancers with amplification of cyclin D1 (CCND1), loss of p16 (INK4A or CDKN2A), or both. In both cohorts, patients were randomly assigned 1:1 via an interactive web-based randomisation system, stratified by disease site and disease-free interval, to receive continuous oral letrozole 2·5 mg daily or continuous oral letrozole 2·5 mg daily plus oral palbociclib 125 mg, given once daily for 3 weeks followed by 1 week off over 28-day cycles. The primary endpoint was investigator-assessed progression-free survival in the intention-to-treat population. Accrual to cohort 2 was stopped after an unplanned interim analysis of cohort 1 and the statistical analysis plan for the primary endpoint was amended to a combined analysis of cohorts 1 and 2 (instead of cohort 2 alone). The study is ongoing but closed to accrual; these are the results of the final analysis of progression-free survival. The study is registered with the ClinicalTrials.gov, number NCT00721409. Findings: Between Dec 22, 2009, and May 12, 2012, we randomly assigned 165 patients, 84 to palbociclib plus letrozole and 81 to letrozole alone. At the time of the final analysis for progression-free survival (median follow-up 29·6 months [95% CI 27·9-36·0] for the palbociclib plus letrozole group and 27·9 months [25·5-31·1] for the letrozole group), 41 progression-free survival events had occurred in the palbociclib plus letrozole group and 59 in the letrozole group. Median progression-free survival was 10·2 months (95% CI 5·7-12·6) for the letrozole group and 20·2…","author":[{"dropping-particle":"","family":"Finn","given":"Richard S.","non-dropping-particle":"","parse-names":false,"suffix":""},{"dropping-particle":"","family":"Crown","given":"John P.","non-dropping-particle":"","parse-names":false,"suffix":""},{"dropping-particle":"","family":"Lang","given":"Istvan","non-dropping-particle":"","parse-names":false,"suffix":""},{"dropping-particle":"","family":"Boer","given":"Katalin","non-dropping-particle":"","parse-names":false,"suffix":""},{"dropping-particle":"","family":"Bondarenko","given":"Igor M.","non-dropping-particle":"","parse-names":false,"suffix":""},{"dropping-particle":"","family":"Kulyk","given":"Sergey O.","non-dropping-particle":"","parse-names":false,"suffix":""},{"dropping-particle":"","family":"Ettl","given":"Johannes","non-dropping-particle":"","parse-names":false,"suffix":""},{"dropping-particle":"","family":"Patel","given":"Ravindranath","non-dropping-particle":"","parse-names":false,"suffix":""},{"dropping-particle":"","family":"Pinter","given":"Tamas","non-dropping-particle":"","parse-names":false,"suffix":""},{"dropping-particle":"","family":"Schmidt","given":"Marcus","non-dropping-particle":"","parse-names":false,"suffix":""},{"dropping-particle":"","family":"Shparyk","given":"Yaroslav","non-dropping-particle":"","parse-names":false,"suffix":""},{"dropping-particle":"","family":"Thummala","given":"Anu R.","non-dropping-particle":"","parse-names":false,"suffix":""},{"dropping-particle":"","family":"Voytko","given":"Nataliya L.","non-dropping-particle":"","parse-names":false,"suffix":""},{"dropping-particle":"","family":"Fowst","given":"Camilla","non-dropping-particle":"","parse-names":false,"suffix":""},{"dropping-particle":"","family":"Huang","given":"Xin","non-dropping-particle":"","parse-names":false,"suffix":""},{"dropping-particle":"","family":"Kim","given":"Sindy T.","non-dropping-particle":"","parse-names":false,"suffix":""},{"dropping-particle":"","family":"Randolph","given":"Sophia","non-dropping-particle":"","parse-names":false,"suffix":""},{"dropping-particle":"","family":"Slamon","given":"Dennis J.","non-dropping-particle":"","parse-names":false,"suffix":""}],"container-title":"The Lancet Oncology","id":"ITEM-2","issue":"1","issued":{"date-parts":[["2015"]]},"page":"25-35","publisher":"Lancet Publishing Group","title":"The cyclin-dependent kinase 4/6 inhibitor palbociclib in combination with letrozole versus letrozole alone as first-line treatment of oestrogen receptor-positive, HER2-negative, advanced breast cancer (PALOMA-1/TRIO-18): A randomised phase 2 study","type":"article-journal","volume":"16"},"uris":["http://www.mendeley.com/documents/?uuid=b52ab954-55ec-3d3f-a4eb-fe102feefc56"]}],"mendeley":{"formattedCitation":"[23,24]","plainTextFormattedCitation":"[23,24]","previouslyFormattedCitation":"[23,24]"},"properties":{"noteIndex":0},"schema":"https://github.com/citation-style-language/schema/raw/master/csl-citation.json"}</w:instrText>
      </w:r>
      <w:r w:rsidR="00AA4BD7" w:rsidRPr="004F0FE2">
        <w:fldChar w:fldCharType="separate"/>
      </w:r>
      <w:r w:rsidR="009B7569" w:rsidRPr="004F0FE2">
        <w:t>[23,24]</w:t>
      </w:r>
      <w:r w:rsidR="00AA4BD7" w:rsidRPr="004F0FE2">
        <w:fldChar w:fldCharType="end"/>
      </w:r>
      <w:r w:rsidR="00AA4BD7" w:rsidRPr="004F0FE2">
        <w:t xml:space="preserve">, 165 women receiving </w:t>
      </w:r>
      <w:proofErr w:type="spellStart"/>
      <w:r w:rsidR="00AA4BD7" w:rsidRPr="004F0FE2">
        <w:t>palbociclib</w:t>
      </w:r>
      <w:proofErr w:type="spellEnd"/>
      <w:r w:rsidR="00AA4BD7" w:rsidRPr="004F0FE2">
        <w:t xml:space="preserve"> + letrozole obtained a doubled median of </w:t>
      </w:r>
      <w:r w:rsidR="00110604" w:rsidRPr="004F0FE2">
        <w:t xml:space="preserve">PFS </w:t>
      </w:r>
      <w:r w:rsidR="00AA4BD7" w:rsidRPr="004F0FE2">
        <w:t xml:space="preserve">when compared with women in the control arm (20.2 months vs. 10.2 months; HR = 0.488, 95%CI: 0.319 – 0.748, p=0.0004) and a trend toward increase </w:t>
      </w:r>
      <w:r w:rsidR="00110604" w:rsidRPr="004F0FE2">
        <w:t>OS</w:t>
      </w:r>
      <w:r w:rsidR="00AA4BD7" w:rsidRPr="004F0FE2">
        <w:t xml:space="preserve"> (37.5 months vs. 33.3 months; HR = 0.813, 95% CI 0.492 – 1.345). The </w:t>
      </w:r>
      <w:r w:rsidR="00110604" w:rsidRPr="004F0FE2">
        <w:t>PFS</w:t>
      </w:r>
      <w:r w:rsidR="00AA4BD7" w:rsidRPr="004F0FE2">
        <w:t xml:space="preserve"> results indicated a 51% reduction in the risk of disease progression with the addition of </w:t>
      </w:r>
      <w:proofErr w:type="spellStart"/>
      <w:r w:rsidR="00AA4BD7" w:rsidRPr="004F0FE2">
        <w:t>palbociclib</w:t>
      </w:r>
      <w:proofErr w:type="spellEnd"/>
      <w:r w:rsidR="00AA4BD7" w:rsidRPr="004F0FE2">
        <w:t xml:space="preserve">. The PALOMA-2 study is a placebo controlled phase III trial that evaluates </w:t>
      </w:r>
      <w:proofErr w:type="spellStart"/>
      <w:r w:rsidR="00AA4BD7" w:rsidRPr="004F0FE2">
        <w:t>palbociclib</w:t>
      </w:r>
      <w:proofErr w:type="spellEnd"/>
      <w:r w:rsidR="00AA4BD7" w:rsidRPr="004F0FE2">
        <w:t xml:space="preserve"> in combination with letrozole versus letrozole plus placebo as first-line treatment for post-menopausal patients with ER+/HER2- locally advanced or </w:t>
      </w:r>
      <w:proofErr w:type="spellStart"/>
      <w:r w:rsidR="00AA4BD7" w:rsidRPr="004F0FE2">
        <w:t>mBC</w:t>
      </w:r>
      <w:proofErr w:type="spellEnd"/>
      <w:r w:rsidR="00AA4BD7" w:rsidRPr="004F0FE2">
        <w:t xml:space="preserve"> patients </w:t>
      </w:r>
      <w:r w:rsidR="00AA4BD7" w:rsidRPr="004F0FE2">
        <w:fldChar w:fldCharType="begin" w:fldLock="1"/>
      </w:r>
      <w:r w:rsidR="009B7569" w:rsidRPr="004F0FE2">
        <w:instrText>ADDIN CSL_CITATION {"citationItems":[{"id":"ITEM-1","itemData":{"URL":"https://clinicaltrials.gov/ct2/show/NCT01740427","accessed":{"date-parts":[["2020","8","4"]]},"id":"ITEM-1","issued":{"date-parts":[["0"]]},"title":"A Study of Palbociclib (PD-0332991) + Letrozole vs. Letrozole For 1st Line Treatment Of Postmenopausal Women With ER+/HER2- Advanced Breast Cancer (PALOMA-2) - Full Text View - ClinicalTrials.gov","type":"webpage"},"uris":["http://www.mendeley.com/documents/?uuid=fbf4174e-c6a9-367d-9dda-dfe2bca170c4"]}],"mendeley":{"formattedCitation":"[25]","plainTextFormattedCitation":"[25]","previouslyFormattedCitation":"[25]"},"properties":{"noteIndex":0},"schema":"https://github.com/citation-style-language/schema/raw/master/csl-citation.json"}</w:instrText>
      </w:r>
      <w:r w:rsidR="00AA4BD7" w:rsidRPr="004F0FE2">
        <w:fldChar w:fldCharType="separate"/>
      </w:r>
      <w:r w:rsidR="009B7569" w:rsidRPr="004F0FE2">
        <w:t>[25]</w:t>
      </w:r>
      <w:r w:rsidR="00AA4BD7" w:rsidRPr="004F0FE2">
        <w:fldChar w:fldCharType="end"/>
      </w:r>
      <w:r w:rsidR="00AA4BD7" w:rsidRPr="004F0FE2">
        <w:t>. Recent results showed that the trial met its primary end-point</w:t>
      </w:r>
      <w:r w:rsidR="00110604" w:rsidRPr="004F0FE2">
        <w:t xml:space="preserve">: </w:t>
      </w:r>
      <w:r w:rsidR="00AA4BD7" w:rsidRPr="004F0FE2">
        <w:t>median PFS in women treated with the combination resulted in an improvement of 10 months in terms of PFS: 24.8 v</w:t>
      </w:r>
      <w:r w:rsidR="00110604" w:rsidRPr="004F0FE2">
        <w:t>ersus</w:t>
      </w:r>
      <w:r w:rsidR="00AA4BD7" w:rsidRPr="004F0FE2">
        <w:t xml:space="preserve"> 14.5 months in the control arm (HR</w:t>
      </w:r>
      <w:r w:rsidR="00110604" w:rsidRPr="004F0FE2">
        <w:t>=</w:t>
      </w:r>
      <w:r w:rsidR="00AA4BD7" w:rsidRPr="004F0FE2">
        <w:t xml:space="preserve">0.59; p &lt;0.00001) </w:t>
      </w:r>
      <w:r w:rsidR="00AA4BD7" w:rsidRPr="004F0FE2">
        <w:fldChar w:fldCharType="begin" w:fldLock="1"/>
      </w:r>
      <w:r w:rsidR="009B7569" w:rsidRPr="004F0FE2">
        <w:instrText>ADDIN CSL_CITATION {"citationItems":[{"id":"ITEM-1","itemData":{"DOI":"10.1200/jco.2016.34.15_suppl.507","ISSN":"0732-183X","abstract":"BACKGROUND A phase 2 study showed that progression-free survival was longer with palbociclib plus letrozole than with letrozole alone in the initial treatment of postmenopausal women with estrogen-receptor (ER)-positive, human epidermal growth factor receptor 2 (HER2)-negative advanced breast cancer. We performed a phase 3 study that was designed to confirm and expand the efficacy and safety data for palbociclib plus letrozole for this indication. METHODS In this double-blind study, we randomly assigned, in a 2:1 ratio, 666 postmenopausal women with ER-positive, HER2-negative breast cancer, who had not had prior treatment for advanced disease, to receive palbociclib plus letrozole or placebo plus letrozole. The primary end point was progression-free survival, as assessed by the investigators; secondary end points were overall survival, objective response, clinical benefit response, patient-reported outcomes, pharmacokinetic effects, and safety. RESULTS The median progression-free survival was 24.8 months (95% confidence interval [CI], 22.1 to not estimable) in the palbociclib-letrozole group, as compared with 14.5 months (95% CI, 12.9 to 17.1) in the placebo-letrozole group (hazard ratio for disease progression or death, 0.58; 95% CI, 0.46 to 0.72; P&lt;0.001). The most common grade 3 or 4 adverse events were neutropenia (occurring in 66.4% of the patients in the palbociclib- letrozole group vs. 1.4% in the placebo-letrozole group), leukopenia (24.8% vs. 0%), anemia (5.4% vs. 1.8%), and fatigue (1.8% vs. 0.5%). Febrile neutropenia was reported in 1.8% of patients in the palbociclib-letrozole group and in none of the patients in the placebo-letrozole group. Permanent discontinuation of any study treatment as a result of adverse events occurred in 43 patients (9.7%) in the palbociclib-letrozole group and in 13 patients (5.9%) in the placebo-letrozole group. CONCLUSIONS Among patients with previously untreated ER-positive, HER2-negative advanced breast cancer, palbociclib combined with letrozole resulted in significantly longer progression-free survival than that with letrozole alone, although the rates of myelotoxic effects were higher with palbociclib-letrozole.","author":[{"dropping-particle":"","family":"Finn","given":"Richard S.","non-dropping-particle":"","parse-names":false,"suffix":""},{"dropping-particle":"","family":"Martin","given":"Miguel","non-dropping-particle":"","parse-names":false,"suffix":""},{"dropping-particle":"","family":"Rugo","given":"Hope S.","non-dropping-particle":"","parse-names":false,"suffix":""},{"dropping-particle":"","family":"Jones","given":"Stephen E.","non-dropping-particle":"","parse-names":false,"suffix":""},{"dropping-particle":"","family":"Im","given":"Seock-Ah","non-dropping-particle":"","parse-names":false,"suffix":""},{"dropping-particle":"","family":"Gelmon","given":"Karen A.","non-dropping-particle":"","parse-names":false,"suffix":""},{"dropping-particle":"","family":"Harbeck","given":"Nadia","non-dropping-particle":"","parse-names":false,"suffix":""},{"dropping-particle":"","family":"Lipatov","given":"Oleg N.","non-dropping-particle":"","parse-names":false,"suffix":""},{"dropping-particle":"","family":"Walshe","given":"Janice Maria","non-dropping-particle":"","parse-names":false,"suffix":""},{"dropping-particle":"","family":"Moulder","given":"Stacy L.","non-dropping-particle":"","parse-names":false,"suffix":""},{"dropping-particle":"","family":"Gauthier","given":"Eric Roland","non-dropping-particle":"","parse-names":false,"suffix":""},{"dropping-particle":"","family":"Lu","given":"Dongrui (Ray)","non-dropping-particle":"","parse-names":false,"suffix":""},{"dropping-particle":"","family":"Randolph","given":"Sophia","non-dropping-particle":"","parse-names":false,"suffix":""},{"dropping-particle":"","family":"Diéras","given":"Véronique","non-dropping-particle":"","parse-names":false,"suffix":""},{"dropping-particle":"","family":"Slamon","given":"Dennis J.","non-dropping-particle":"","parse-names":false,"suffix":""}],"container-title":"Journal of Clinical Oncology","id":"ITEM-1","issue":"15_suppl","issued":{"date-parts":[["2016","5","20"]]},"page":"507-507","publisher":"American Society of Clinical Oncology (ASCO)","title":"PALOMA-2: Primary results from a phase III trial of palbociclib (P) with letrozole (L) compared with letrozole alone in postmenopausal women with ER+/HER2– advanced breast cancer (ABC).","type":"article-journal","volume":"34"},"uris":["http://www.mendeley.com/documents/?uuid=2b984e4f-653a-399e-adca-ef115f859154"]}],"mendeley":{"formattedCitation":"[10]","plainTextFormattedCitation":"[10]","previouslyFormattedCitation":"[10]"},"properties":{"noteIndex":0},"schema":"https://github.com/citation-style-language/schema/raw/master/csl-citation.json"}</w:instrText>
      </w:r>
      <w:r w:rsidR="00AA4BD7" w:rsidRPr="004F0FE2">
        <w:fldChar w:fldCharType="separate"/>
      </w:r>
      <w:r w:rsidR="009B7569" w:rsidRPr="004F0FE2">
        <w:t>[10]</w:t>
      </w:r>
      <w:r w:rsidR="00AA4BD7" w:rsidRPr="004F0FE2">
        <w:fldChar w:fldCharType="end"/>
      </w:r>
      <w:r w:rsidR="00AA4BD7" w:rsidRPr="004F0FE2">
        <w:t xml:space="preserve">. In the PALOMA-3 study, the combination of </w:t>
      </w:r>
      <w:proofErr w:type="spellStart"/>
      <w:r w:rsidR="00AA4BD7" w:rsidRPr="004F0FE2">
        <w:t>palbociclib</w:t>
      </w:r>
      <w:proofErr w:type="spellEnd"/>
      <w:r w:rsidR="00AA4BD7" w:rsidRPr="004F0FE2">
        <w:t xml:space="preserve"> and </w:t>
      </w:r>
      <w:proofErr w:type="spellStart"/>
      <w:r w:rsidR="00AA4BD7" w:rsidRPr="004F0FE2">
        <w:t>fulvestrant</w:t>
      </w:r>
      <w:proofErr w:type="spellEnd"/>
      <w:r w:rsidR="00AA4BD7" w:rsidRPr="004F0FE2">
        <w:t xml:space="preserve"> was associated with significant improvements in PFS compared with </w:t>
      </w:r>
      <w:proofErr w:type="spellStart"/>
      <w:r w:rsidR="00AA4BD7" w:rsidRPr="004F0FE2">
        <w:t>fulvestrant</w:t>
      </w:r>
      <w:proofErr w:type="spellEnd"/>
      <w:r w:rsidR="00AA4BD7" w:rsidRPr="004F0FE2">
        <w:t xml:space="preserve"> plus placebo in patients with metastatic breast cancer with disease relapse or progression after previous endocrine therapy for advanced disease. Median PFS was 9.5 months (95% CI 9</w:t>
      </w:r>
      <w:r w:rsidR="00110604" w:rsidRPr="004F0FE2">
        <w:t>.</w:t>
      </w:r>
      <w:r w:rsidR="00AA4BD7" w:rsidRPr="004F0FE2">
        <w:t>2-11</w:t>
      </w:r>
      <w:r w:rsidR="00110604" w:rsidRPr="004F0FE2">
        <w:t>.</w:t>
      </w:r>
      <w:r w:rsidR="00AA4BD7" w:rsidRPr="004F0FE2">
        <w:t xml:space="preserve">0) in the </w:t>
      </w:r>
      <w:proofErr w:type="spellStart"/>
      <w:r w:rsidR="00AA4BD7" w:rsidRPr="004F0FE2">
        <w:t>fulvestrant</w:t>
      </w:r>
      <w:proofErr w:type="spellEnd"/>
      <w:r w:rsidR="00AA4BD7" w:rsidRPr="004F0FE2">
        <w:t xml:space="preserve"> plus </w:t>
      </w:r>
      <w:proofErr w:type="spellStart"/>
      <w:r w:rsidR="00AA4BD7" w:rsidRPr="004F0FE2">
        <w:t>palbociclib</w:t>
      </w:r>
      <w:proofErr w:type="spellEnd"/>
      <w:r w:rsidR="00AA4BD7" w:rsidRPr="004F0FE2">
        <w:t xml:space="preserve"> group and 4.6 months (3.5-5.6) in the control arm (</w:t>
      </w:r>
      <w:proofErr w:type="spellStart"/>
      <w:r w:rsidR="00AA4BD7" w:rsidRPr="004F0FE2">
        <w:t>fulvestrant</w:t>
      </w:r>
      <w:proofErr w:type="spellEnd"/>
      <w:r w:rsidR="00AA4BD7" w:rsidRPr="004F0FE2">
        <w:t xml:space="preserve"> monotherapy) (HR</w:t>
      </w:r>
      <w:r w:rsidR="00110604" w:rsidRPr="004F0FE2">
        <w:t>=</w:t>
      </w:r>
      <w:r w:rsidR="00AA4BD7" w:rsidRPr="004F0FE2">
        <w:t xml:space="preserve">0.46, 95%CI 0.36-0.59, p&lt;0.0001) </w:t>
      </w:r>
      <w:r w:rsidR="00AA4BD7" w:rsidRPr="004F0FE2">
        <w:fldChar w:fldCharType="begin" w:fldLock="1"/>
      </w:r>
      <w:r w:rsidR="009B7569" w:rsidRPr="004F0FE2">
        <w:instrText>ADDIN CSL_CITATION {"citationItems":[{"id":"ITEM-1","itemData":{"DOI":"10.1016/S1470-2045(15)00613-0","ISSN":"14745488","PMID":"26947331","abstract":"Background In the PALOMA-3 study, the combination of the CDK4 and CDK6 inhibitor palbociclib and fulvestrant was associated with significant improvements in progression-free survival compared with fulvestrant plus placebo in patients with metastatic breast cancer. Identification of patients most suitable for the addition of palbociclib to endocrine therapy after tumour recurrence is crucial for treatment optimisation in metastatic breast cancer. We aimed to confirm our earlier findings with this extended follow-up and show our results for subgroup and biomarker analyses. Methods In this multicentre, double-blind, randomised phase 3 study, women aged 18 years or older with hormone-receptor-positive, HER2-negative metastatic breast cancer that had progressed on previous endocrine therapy were stratified by sensitivity to previous hormonal therapy, menopausal status, and presence of visceral metastasis at 144 centres in 17 countries. Eligible patients—ie, any menopausal status, Eastern Cooperative Oncology Group performance status 0–1, measurable disease or bone disease only, and disease relapse or progression after previous endocrine therapy for advanced disease during treatment or within 12 months of completion of adjuvant therapy—were randomly assigned (2:1) via a centralised interactive web-based and voice-based randomisation system to receive oral palbociclib (125 mg daily for 3 weeks followed by a week off over 28-day cycles) plus 500 mg fulvestrant (intramuscular injection on days 1 and 15 of cycle 1; then on day 1 of subsequent 28-day cycles) or placebo plus fulvestrant. The primary endpoint was investigator-assessed progression-free survival. Analysis was by intention to treat. We also assessed endocrine therapy resistance by clinical parameters, quantitative hormone-receptor expression, and tumour PIK3CA mutational status in circulating DNA at baseline. This study is registered with ClinicalTrials.gov, NCT01942135. Findings Between Oct 7, 2013, and Aug 26, 2014, 521 patients were randomly assigned, 347 to fulvestrant plus palbociclib and 174 to fulvestrant plus placebo. Study enrolment is closed and overall survival follow-up is in progress. By March 16, 2015, 259 progression-free-survival events had occurred (145 in the fulvestrant plus palbociclib group and 114 in the fulvestrant plus placebo group); median follow-up was 8·9 months (IQR 8·7–9·2). Median progression-free survival was 9·5 months (95% CI 9·2–11·0) in the fulvestrant plus palbocicl…","author":[{"dropping-particle":"","family":"Cristofanilli","given":"Massimo","non-dropping-particle":"","parse-names":false,"suffix":""},{"dropping-particle":"","family":"Turner","given":"Nicholas C.","non-dropping-particle":"","parse-names":false,"suffix":""},{"dropping-particle":"","family":"Bondarenko","given":"Igor","non-dropping-particle":"","parse-names":false,"suffix":""},{"dropping-particle":"","family":"Ro","given":"Jungsil","non-dropping-particle":"","parse-names":false,"suffix":""},{"dropping-particle":"","family":"Im","given":"Seock Ah","non-dropping-particle":"","parse-names":false,"suffix":""},{"dropping-particle":"","family":"Masuda","given":"Norikazu","non-dropping-particle":"","parse-names":false,"suffix":""},{"dropping-particle":"","family":"Colleoni","given":"Marco","non-dropping-particle":"","parse-names":false,"suffix":""},{"dropping-particle":"","family":"DeMichele","given":"Angela","non-dropping-particle":"","parse-names":false,"suffix":""},{"dropping-particle":"","family":"Loi","given":"Sherene","non-dropping-particle":"","parse-names":false,"suffix":""},{"dropping-particle":"","family":"Verma","given":"Sunil","non-dropping-particle":"","parse-names":false,"suffix":""},{"dropping-particle":"","family":"Iwata","given":"Hiroji","non-dropping-particle":"","parse-names":false,"suffix":""},{"dropping-particle":"","family":"Harbeck","given":"Nadia","non-dropping-particle":"","parse-names":false,"suffix":""},{"dropping-particle":"","family":"Zhang","given":"Ke","non-dropping-particle":"","parse-names":false,"suffix":""},{"dropping-particle":"","family":"Theall","given":"Kathy Puyana","non-dropping-particle":"","parse-names":false,"suffix":""},{"dropping-particle":"","family":"Jiang","given":"Yuqiu","non-dropping-particle":"","parse-names":false,"suffix":""},{"dropping-particle":"","family":"Bartlett","given":"Cynthia Huang","non-dropping-particle":"","parse-names":false,"suffix":""},{"dropping-particle":"","family":"Koehler","given":"Maria","non-dropping-particle":"","parse-names":false,"suffix":""},{"dropping-particle":"","family":"Slamon","given":"Dennis","non-dropping-particle":"","parse-names":false,"suffix":""}],"container-title":"The Lancet Oncology","id":"ITEM-1","issue":"4","issued":{"date-parts":[["2016","4","1"]]},"page":"425-439","publisher":"Lancet Publishing Group","title":"Fulvestrant plus palbociclib versus fulvestrant plus placebo for treatment of hormone-receptor-positive, HER2-negative metastatic breast cancer that progressed on previous endocrine therapy (PALOMA-3): final analysis of the multicentre, double-blind, phase 3 randomised controlled trial","type":"article-journal","volume":"17"},"uris":["http://www.mendeley.com/documents/?uuid=01c18f02-d00f-312c-b864-de79bef3ef3b"]}],"mendeley":{"formattedCitation":"[26]","plainTextFormattedCitation":"[26]","previouslyFormattedCitation":"[26]"},"properties":{"noteIndex":0},"schema":"https://github.com/citation-style-language/schema/raw/master/csl-citation.json"}</w:instrText>
      </w:r>
      <w:r w:rsidR="00AA4BD7" w:rsidRPr="004F0FE2">
        <w:fldChar w:fldCharType="separate"/>
      </w:r>
      <w:r w:rsidR="009B7569" w:rsidRPr="004F0FE2">
        <w:t>[26]</w:t>
      </w:r>
      <w:r w:rsidR="00AA4BD7" w:rsidRPr="004F0FE2">
        <w:fldChar w:fldCharType="end"/>
      </w:r>
      <w:r w:rsidR="00AA4BD7" w:rsidRPr="004F0FE2">
        <w:t xml:space="preserve">. According with the toxicity data observed in these studies, </w:t>
      </w:r>
      <w:proofErr w:type="spellStart"/>
      <w:r w:rsidR="00AA4BD7" w:rsidRPr="004F0FE2">
        <w:t>p</w:t>
      </w:r>
      <w:r w:rsidR="00044D2B" w:rsidRPr="004F0FE2">
        <w:t>albociclib</w:t>
      </w:r>
      <w:proofErr w:type="spellEnd"/>
      <w:r w:rsidR="00044D2B" w:rsidRPr="004F0FE2">
        <w:t xml:space="preserve"> was generally well-tolerated</w:t>
      </w:r>
      <w:r w:rsidR="00AA4BD7" w:rsidRPr="004F0FE2">
        <w:t xml:space="preserve"> with typical </w:t>
      </w:r>
      <w:r w:rsidR="00AA4BD7" w:rsidRPr="004F0FE2">
        <w:rPr>
          <w:rStyle w:val="hps"/>
        </w:rPr>
        <w:t>myelotoxic adverse events that were</w:t>
      </w:r>
      <w:r w:rsidR="00AA4BD7" w:rsidRPr="004F0FE2">
        <w:t xml:space="preserve"> </w:t>
      </w:r>
      <w:r w:rsidR="00AA4BD7" w:rsidRPr="004F0FE2">
        <w:rPr>
          <w:rStyle w:val="hps"/>
        </w:rPr>
        <w:t>generally manageable</w:t>
      </w:r>
      <w:r w:rsidR="00AA4BD7" w:rsidRPr="004F0FE2">
        <w:t xml:space="preserve">, </w:t>
      </w:r>
      <w:r w:rsidR="00AA4BD7" w:rsidRPr="004F0FE2">
        <w:rPr>
          <w:rStyle w:val="hps"/>
        </w:rPr>
        <w:t>predictable</w:t>
      </w:r>
      <w:r w:rsidR="00AA4BD7" w:rsidRPr="004F0FE2">
        <w:t xml:space="preserve">, </w:t>
      </w:r>
      <w:r w:rsidR="00AA4BD7" w:rsidRPr="004F0FE2">
        <w:rPr>
          <w:rStyle w:val="hps"/>
        </w:rPr>
        <w:t>reversible</w:t>
      </w:r>
      <w:r w:rsidR="00AA4BD7" w:rsidRPr="004F0FE2">
        <w:t xml:space="preserve"> </w:t>
      </w:r>
      <w:r w:rsidR="00AA4BD7" w:rsidRPr="004F0FE2">
        <w:rPr>
          <w:rStyle w:val="hps"/>
        </w:rPr>
        <w:t>and dose dependent</w:t>
      </w:r>
      <w:r w:rsidR="00AA4BD7" w:rsidRPr="004F0FE2">
        <w:t>.</w:t>
      </w:r>
      <w:r w:rsidR="003448C4">
        <w:t xml:space="preserve"> </w:t>
      </w:r>
      <w:r w:rsidR="00044D2B" w:rsidRPr="004F0FE2">
        <w:t xml:space="preserve">The most common adverse events in the </w:t>
      </w:r>
      <w:proofErr w:type="spellStart"/>
      <w:r w:rsidR="00044D2B" w:rsidRPr="004F0FE2">
        <w:t>palbociclib</w:t>
      </w:r>
      <w:proofErr w:type="spellEnd"/>
      <w:r w:rsidR="00044D2B" w:rsidRPr="004F0FE2">
        <w:t xml:space="preserve"> arm were neutropenia, leukopenia, fatigue and anemia. </w:t>
      </w:r>
      <w:r w:rsidR="00AA4BD7" w:rsidRPr="004F0FE2">
        <w:t>Grade 3-4 adverse events</w:t>
      </w:r>
      <w:r w:rsidR="00110604" w:rsidRPr="004F0FE2">
        <w:t>,</w:t>
      </w:r>
      <w:r w:rsidR="00AA4BD7" w:rsidRPr="004F0FE2">
        <w:t xml:space="preserve"> most commonly occurring in the </w:t>
      </w:r>
      <w:proofErr w:type="spellStart"/>
      <w:r w:rsidR="00AA4BD7" w:rsidRPr="004F0FE2">
        <w:t>palbociclib</w:t>
      </w:r>
      <w:proofErr w:type="spellEnd"/>
      <w:r w:rsidR="00AA4BD7" w:rsidRPr="004F0FE2">
        <w:t xml:space="preserve"> group</w:t>
      </w:r>
      <w:r w:rsidR="00110604" w:rsidRPr="004F0FE2">
        <w:t>,</w:t>
      </w:r>
      <w:r w:rsidR="00AA4BD7" w:rsidRPr="004F0FE2">
        <w:t xml:space="preserve"> were neutropenia and leu</w:t>
      </w:r>
      <w:r w:rsidR="00D73C99">
        <w:t>k</w:t>
      </w:r>
      <w:r w:rsidR="00AA4BD7" w:rsidRPr="004F0FE2">
        <w:t xml:space="preserve">openia. </w:t>
      </w:r>
    </w:p>
    <w:p w14:paraId="0CF9E198" w14:textId="214BAC7F" w:rsidR="002852C6" w:rsidRPr="004F0FE2" w:rsidRDefault="0065712B" w:rsidP="00673269">
      <w:pPr>
        <w:ind w:right="567"/>
      </w:pPr>
      <w:r w:rsidRPr="004F0FE2">
        <w:lastRenderedPageBreak/>
        <w:t xml:space="preserve">The selective </w:t>
      </w:r>
      <w:r w:rsidR="00E35F00" w:rsidRPr="004F0FE2">
        <w:t>estrogen</w:t>
      </w:r>
      <w:r w:rsidRPr="004F0FE2">
        <w:t>-receptor</w:t>
      </w:r>
      <w:r w:rsidR="00110604" w:rsidRPr="004F0FE2">
        <w:t xml:space="preserve"> (ER)</w:t>
      </w:r>
      <w:r w:rsidRPr="004F0FE2">
        <w:t xml:space="preserve"> down-regulator </w:t>
      </w:r>
      <w:proofErr w:type="spellStart"/>
      <w:r w:rsidRPr="004F0FE2">
        <w:t>fulvestrant</w:t>
      </w:r>
      <w:proofErr w:type="spellEnd"/>
      <w:r w:rsidRPr="004F0FE2">
        <w:t xml:space="preserve"> is the most effective single-agent endocrine therapy for patients who progress on initial endocrine therapy with NSAI and therefore, it has been widely used for the treatment of endocrine-pretreated, </w:t>
      </w:r>
      <w:r w:rsidR="002852C6" w:rsidRPr="004F0FE2">
        <w:t>ER+/HER2-</w:t>
      </w:r>
      <w:r w:rsidR="003448C4">
        <w:t xml:space="preserve"> </w:t>
      </w:r>
      <w:r w:rsidRPr="004F0FE2">
        <w:t>metastatic breast cancer patients</w:t>
      </w:r>
      <w:r w:rsidR="001B28A3" w:rsidRPr="004F0FE2">
        <w:t xml:space="preserve"> </w:t>
      </w:r>
      <w:r w:rsidR="002852C6" w:rsidRPr="004F0FE2">
        <w:fldChar w:fldCharType="begin" w:fldLock="1"/>
      </w:r>
      <w:r w:rsidR="009B7569" w:rsidRPr="004F0FE2">
        <w:instrText>ADDIN CSL_CITATION {"citationItems":[{"id":"ITEM-1","itemData":{"DOI":"10.1200/JCO.2010.28.8415","ISSN":"0732183X","abstract":"Purpose: We compared fulvestrant 500 mg regimen with the approved dose of fulvestrant 250 mg per month for treatment of postmenopausal women with estrogen receptor-positive advanced breast cancer who experienced progression after prior endocrine therapy. Patients and Methods: Comparison of Faslodex in Recurrent or Metastatic Breast Cancer (CONFIRM) is a double-blind, parallel-group, multicenter, phase III study. Patients were randomly assigned to fulvestrant 500 mg (500 mg intramuscularly [IM] on day 0, then 500 mg IM on days 14 and 28 and every 28 days thereafter) or 250 mg every 28 days. Primary end point was progression-free survival (PFS). Secondary end points included objective response rate, clinical benefit rate (CBR), duration of clinical benefit (DoCB), overall survival (OS), and quality of life (QOL). Results: PFS was significantly longer for fulvestrant 500 mg (n = 362) than 250 mg (n = 374) (hazard ratio [HR] = 0.80; 95% CI, 0.68 to 0.94; P = .006), corresponding to a 20% reduction in risk of progression. Objective response rate was similar for fulvestrant 500 mg and 250 mg (9.1% v 10.2%, respectively). CBR was 45.6% for fulvestrant 500 mg and 39.6% for fulvestrant 250 mg. DoCB and OS were 16.6 and 25.1 months, respectively, for the 500-mg group, whereas DoCB and OS were 13.9 and 22.8 months, respectively, in the 250-mg group. Fulvestrant 500 mg was well tolerated with no dose-dependent adverse events. QOL was similar for both arms. Conclusion: Fulvestrant 500 mg was associated with a statistically significant increase in PFS and not associated with increased toxicity, corresponding to a clinically meaningful improvement in benefit versus risk compared with fulvestrant 250 mg. © 2010 by American Society of Clinical Oncology.","author":[{"dropping-particle":"","family":"Leo","given":"Angelo","non-dropping-particle":"Di","parse-names":false,"suffix":""},{"dropping-particle":"","family":"Jerusalem","given":"Guy","non-dropping-particle":"","parse-names":false,"suffix":""},{"dropping-particle":"","family":"Petruzelka","given":"Lubos","non-dropping-particle":"","parse-names":false,"suffix":""},{"dropping-particle":"","family":"Torres","given":"Roberto","non-dropping-particle":"","parse-names":false,"suffix":""},{"dropping-particle":"","family":"Bondarenko","given":"Igor N.","non-dropping-particle":"","parse-names":false,"suffix":""},{"dropping-particle":"","family":"Khasanov","given":"Rustem","non-dropping-particle":"","parse-names":false,"suffix":""},{"dropping-particle":"","family":"Verhoeven","given":"Didier","non-dropping-particle":"","parse-names":false,"suffix":""},{"dropping-particle":"","family":"Pedrini","given":"José L.","non-dropping-particle":"","parse-names":false,"suffix":""},{"dropping-particle":"","family":"Smirnova","given":"Iya","non-dropping-particle":"","parse-names":false,"suffix":""},{"dropping-particle":"","family":"Lichinitser","given":"Mikhail R.","non-dropping-particle":"","parse-names":false,"suffix":""},{"dropping-particle":"","family":"Pendergrass","given":"Kelly","non-dropping-particle":"","parse-names":false,"suffix":""},{"dropping-particle":"","family":"Garnett","given":"Sally","non-dropping-particle":"","parse-names":false,"suffix":""},{"dropping-particle":"","family":"Lindemann","given":"Justin P.O.","non-dropping-particle":"","parse-names":false,"suffix":""},{"dropping-particle":"","family":"Sapunar","given":"Francisco","non-dropping-particle":"","parse-names":false,"suffix":""},{"dropping-particle":"","family":"Martin","given":"Miguel","non-dropping-particle":"","parse-names":false,"suffix":""}],"container-title":"Journal of Clinical Oncology","id":"ITEM-1","issue":"30","issued":{"date-parts":[["2010","10","20"]]},"page":"4594-4600","publisher":"J Clin Oncol","title":"Results of the CONFIRM phase III trial comparing fulvestrant 250 mg with fulvestrant 500 mg in postmenopausal women with estrogen receptor-positive advanced breast cancer","type":"article-journal","volume":"28"},"uris":["http://www.mendeley.com/documents/?uuid=d485b83f-8bd4-378e-b294-fb6749459804"]}],"mendeley":{"formattedCitation":"[27]","plainTextFormattedCitation":"[27]","previouslyFormattedCitation":"[27]"},"properties":{"noteIndex":0},"schema":"https://github.com/citation-style-language/schema/raw/master/csl-citation.json"}</w:instrText>
      </w:r>
      <w:r w:rsidR="002852C6" w:rsidRPr="004F0FE2">
        <w:fldChar w:fldCharType="separate"/>
      </w:r>
      <w:r w:rsidR="009B7569" w:rsidRPr="004F0FE2">
        <w:t>[27]</w:t>
      </w:r>
      <w:r w:rsidR="002852C6" w:rsidRPr="004F0FE2">
        <w:fldChar w:fldCharType="end"/>
      </w:r>
      <w:r w:rsidRPr="004F0FE2">
        <w:t>.</w:t>
      </w:r>
      <w:r w:rsidR="00906AF5" w:rsidRPr="004F0FE2">
        <w:t xml:space="preserve"> </w:t>
      </w:r>
      <w:proofErr w:type="spellStart"/>
      <w:r w:rsidR="002852C6" w:rsidRPr="004F0FE2">
        <w:t>Fulvestrant</w:t>
      </w:r>
      <w:proofErr w:type="spellEnd"/>
      <w:r w:rsidR="002852C6" w:rsidRPr="004F0FE2">
        <w:t xml:space="preserve"> is a novel </w:t>
      </w:r>
      <w:r w:rsidR="001F516D" w:rsidRPr="004F0FE2">
        <w:t>ER</w:t>
      </w:r>
      <w:r w:rsidR="002852C6" w:rsidRPr="004F0FE2">
        <w:t xml:space="preserve"> antagonist that, unlike </w:t>
      </w:r>
      <w:r w:rsidR="00110604" w:rsidRPr="004F0FE2">
        <w:t>t</w:t>
      </w:r>
      <w:r w:rsidR="002852C6" w:rsidRPr="004F0FE2">
        <w:t xml:space="preserve">amoxifen, is devoid of any agonist activity. After binding to the ER, </w:t>
      </w:r>
      <w:proofErr w:type="spellStart"/>
      <w:r w:rsidR="002852C6" w:rsidRPr="004F0FE2">
        <w:t>fulvestrant</w:t>
      </w:r>
      <w:proofErr w:type="spellEnd"/>
      <w:r w:rsidR="002852C6" w:rsidRPr="004F0FE2">
        <w:t xml:space="preserve"> induces a rapid degradation and loss of </w:t>
      </w:r>
      <w:r w:rsidR="001F516D" w:rsidRPr="004F0FE2">
        <w:t xml:space="preserve">the </w:t>
      </w:r>
      <w:r w:rsidR="002852C6" w:rsidRPr="004F0FE2">
        <w:t xml:space="preserve">ER and </w:t>
      </w:r>
      <w:r w:rsidR="001F516D" w:rsidRPr="004F0FE2">
        <w:t>progesterone receptors (</w:t>
      </w:r>
      <w:proofErr w:type="spellStart"/>
      <w:r w:rsidR="002852C6" w:rsidRPr="004F0FE2">
        <w:t>PgR</w:t>
      </w:r>
      <w:proofErr w:type="spellEnd"/>
      <w:r w:rsidR="001F516D" w:rsidRPr="004F0FE2">
        <w:t>)</w:t>
      </w:r>
      <w:r w:rsidR="002852C6" w:rsidRPr="004F0FE2">
        <w:t xml:space="preserve"> </w:t>
      </w:r>
      <w:r w:rsidR="002852C6" w:rsidRPr="004F0FE2">
        <w:fldChar w:fldCharType="begin" w:fldLock="1"/>
      </w:r>
      <w:r w:rsidR="009B7569" w:rsidRPr="004F0FE2">
        <w:instrText>ADDIN CSL_CITATION {"citationItems":[{"id":"ITEM-1","itemData":{"author":[{"dropping-particle":"","family":"Wakeling","given":"Alan E.","non-dropping-particle":"","parse-names":false,"suffix":""},{"dropping-particle":"","family":"Dukes","given":"Michael","non-dropping-particle":"","parse-names":false,"suffix":""},{"dropping-particle":"","family":"Bowler","given":"Jean","non-dropping-particle":"","parse-names":false,"suffix":""}],"container-title":"Cancer Research","id":"ITEM-1","issue":"15","issued":{"date-parts":[["1991"]]},"title":"A Potent Specific Pure Antiestrogen with Clinical Potential","type":"article-journal","volume":"51"},"uris":["http://www.mendeley.com/documents/?uuid=1a2ccae1-914b-3177-a850-798787d4c0e9"]},{"id":"ITEM-2","itemData":{"author":[{"dropping-particle":"","family":"DeFriend","given":"David J.","non-dropping-particle":"","parse-names":false,"suffix":""},{"dropping-particle":"","family":"Howell","given":"Anthony","non-dropping-particle":"","parse-names":false,"suffix":""},{"dropping-particle":"","family":"Nicholson","given":"Robert I.","non-dropping-particle":"","parse-names":false,"suffix":""},{"dropping-particle":"","family":"Anderson","given":"Elizabeth","non-dropping-particle":"","parse-names":false,"suffix":""},{"dropping-particle":"","family":"Dowsett","given":"Mitchell","non-dropping-particle":"","parse-names":false,"suffix":""},{"dropping-particle":"","family":"Mansel","given":"Robert E.","non-dropping-particle":"","parse-names":false,"suffix":""},{"dropping-particle":"","family":"Blamey","given":"Roger W.","non-dropping-particle":"","parse-names":false,"suffix":""},{"dropping-particle":"","family":"Bundred","given":"Nigel J.","non-dropping-particle":"","parse-names":false,"suffix":""},{"dropping-particle":"","family":"Robertson","given":"John F.","non-dropping-particle":"","parse-names":false,"suffix":""},{"dropping-particle":"","family":"Saunders","given":"Christobel","non-dropping-particle":"","parse-names":false,"suffix":""},{"dropping-particle":"","family":"Baum","given":"Michael","non-dropping-particle":"","parse-names":false,"suffix":""},{"dropping-particle":"","family":"Walton","given":"Peter","non-dropping-particle":"","parse-names":false,"suffix":""},{"dropping-particle":"","family":"Sutcliffe","given":"Frances","non-dropping-particle":"","parse-names":false,"suffix":""},{"dropping-particle":"","family":"Wakeling","given":"Alan E.","non-dropping-particle":"","parse-names":false,"suffix":""}],"container-title":"Cancer Research","id":"ITEM-2","issue":"2","issued":{"date-parts":[["1994"]]},"title":"Investigation of a New Pure Antiestrogen (ICI 182780) in Women with Primary Breast Cancer","type":"article-journal","volume":"54"},"uris":["http://www.mendeley.com/documents/?uuid=0385da4d-cf28-3d0e-89ad-a56733eb60cd"]}],"mendeley":{"formattedCitation":"[28,29]","plainTextFormattedCitation":"[28,29]","previouslyFormattedCitation":"[28,29]"},"properties":{"noteIndex":0},"schema":"https://github.com/citation-style-language/schema/raw/master/csl-citation.json"}</w:instrText>
      </w:r>
      <w:r w:rsidR="002852C6" w:rsidRPr="004F0FE2">
        <w:fldChar w:fldCharType="separate"/>
      </w:r>
      <w:r w:rsidR="009B7569" w:rsidRPr="004F0FE2">
        <w:t>[28,29]</w:t>
      </w:r>
      <w:r w:rsidR="002852C6" w:rsidRPr="004F0FE2">
        <w:fldChar w:fldCharType="end"/>
      </w:r>
      <w:r w:rsidR="002852C6" w:rsidRPr="004F0FE2">
        <w:t xml:space="preserve">. As a result, there is less chance of the estrogen receptor being activated by alternative pathways that are believed to cause resistance </w:t>
      </w:r>
      <w:r w:rsidR="002852C6" w:rsidRPr="004F0FE2">
        <w:fldChar w:fldCharType="begin" w:fldLock="1"/>
      </w:r>
      <w:r w:rsidR="009B7569" w:rsidRPr="004F0FE2">
        <w:instrText>ADDIN CSL_CITATION {"citationItems":[{"id":"ITEM-1","itemData":{"DOI":"10.1016/j.clon.2008.02.010","ISSN":"09366555","PMID":"18387790","author":[{"dropping-particle":"","family":"Dodwell","given":"D.","non-dropping-particle":"","parse-names":false,"suffix":""},{"dropping-particle":"","family":"Coombes","given":"G.","non-dropping-particle":"","parse-names":false,"suffix":""},{"dropping-particle":"","family":"Bliss","given":"J. M.","non-dropping-particle":"","parse-names":false,"suffix":""},{"dropping-particle":"","family":"Kilburn","given":"L. S.","non-dropping-particle":"","parse-names":false,"suffix":""},{"dropping-particle":"","family":"Johnston","given":"S.","non-dropping-particle":"","parse-names":false,"suffix":""}],"container-title":"Clinical Oncology","id":"ITEM-1","issue":"5","issued":{"date-parts":[["2008","6"]]},"page":"321-324","publisher":"Clin Oncol (R Coll Radiol)","title":"Combining Fulvestrant (Faslodex™) with Continued Oestrogen Suppression in Endocrine-sensitive Advanced Breast Cancer: the SoFEA Trial","type":"article","volume":"20"},"uris":["http://www.mendeley.com/documents/?uuid=9cb74267-5707-3b09-b3e7-febcc418dc79"]}],"mendeley":{"formattedCitation":"[30]","plainTextFormattedCitation":"[30]","previouslyFormattedCitation":"[30]"},"properties":{"noteIndex":0},"schema":"https://github.com/citation-style-language/schema/raw/master/csl-citation.json"}</w:instrText>
      </w:r>
      <w:r w:rsidR="002852C6" w:rsidRPr="004F0FE2">
        <w:fldChar w:fldCharType="separate"/>
      </w:r>
      <w:r w:rsidR="009B7569" w:rsidRPr="004F0FE2">
        <w:t>[30]</w:t>
      </w:r>
      <w:r w:rsidR="002852C6" w:rsidRPr="004F0FE2">
        <w:fldChar w:fldCharType="end"/>
      </w:r>
      <w:r w:rsidR="002852C6" w:rsidRPr="004F0FE2">
        <w:t xml:space="preserve">. </w:t>
      </w:r>
      <w:r w:rsidRPr="004F0FE2">
        <w:t xml:space="preserve">FIRST, the phase II study that compared </w:t>
      </w:r>
      <w:proofErr w:type="spellStart"/>
      <w:r w:rsidRPr="004F0FE2">
        <w:t>fulvestrant</w:t>
      </w:r>
      <w:proofErr w:type="spellEnd"/>
      <w:r w:rsidRPr="004F0FE2">
        <w:t xml:space="preserve"> at optimal doses (</w:t>
      </w:r>
      <w:proofErr w:type="spellStart"/>
      <w:r w:rsidRPr="004F0FE2">
        <w:t>fulvestrant</w:t>
      </w:r>
      <w:proofErr w:type="spellEnd"/>
      <w:r w:rsidRPr="004F0FE2">
        <w:t xml:space="preserve"> high dose or </w:t>
      </w:r>
      <w:proofErr w:type="spellStart"/>
      <w:r w:rsidRPr="004F0FE2">
        <w:t>fulvestrant</w:t>
      </w:r>
      <w:proofErr w:type="spellEnd"/>
      <w:r w:rsidRPr="004F0FE2">
        <w:t xml:space="preserve"> HD) to anastrozole as front line therapy for ER</w:t>
      </w:r>
      <w:r w:rsidR="001B28A3" w:rsidRPr="004F0FE2">
        <w:t>+</w:t>
      </w:r>
      <w:r w:rsidRPr="004F0FE2">
        <w:t xml:space="preserve"> </w:t>
      </w:r>
      <w:proofErr w:type="spellStart"/>
      <w:r w:rsidRPr="004F0FE2">
        <w:t>mBC</w:t>
      </w:r>
      <w:proofErr w:type="spellEnd"/>
      <w:r w:rsidRPr="004F0FE2">
        <w:t xml:space="preserve">, provided robust data in </w:t>
      </w:r>
      <w:r w:rsidR="001F516D" w:rsidRPr="004F0FE2">
        <w:t>favor</w:t>
      </w:r>
      <w:r w:rsidRPr="004F0FE2">
        <w:t xml:space="preserve"> of </w:t>
      </w:r>
      <w:proofErr w:type="spellStart"/>
      <w:r w:rsidRPr="004F0FE2">
        <w:t>fulvestrant</w:t>
      </w:r>
      <w:proofErr w:type="spellEnd"/>
      <w:r w:rsidRPr="004F0FE2">
        <w:t xml:space="preserve"> in terms of PFS</w:t>
      </w:r>
      <w:r w:rsidR="002852C6" w:rsidRPr="004F0FE2">
        <w:t xml:space="preserve"> (23.4 vs. 13.1 months, HR</w:t>
      </w:r>
      <w:r w:rsidR="00110604" w:rsidRPr="004F0FE2">
        <w:t>=</w:t>
      </w:r>
      <w:r w:rsidR="002852C6" w:rsidRPr="004F0FE2">
        <w:t xml:space="preserve">0.66; 95% </w:t>
      </w:r>
      <w:r w:rsidR="00110604" w:rsidRPr="004F0FE2">
        <w:t xml:space="preserve">CI </w:t>
      </w:r>
      <w:r w:rsidR="002852C6" w:rsidRPr="004F0FE2">
        <w:t xml:space="preserve">0.47 – 0.92; </w:t>
      </w:r>
      <w:r w:rsidR="001B28A3" w:rsidRPr="004F0FE2">
        <w:t>p</w:t>
      </w:r>
      <w:r w:rsidR="002852C6" w:rsidRPr="004F0FE2">
        <w:t xml:space="preserve">= 0.01) </w:t>
      </w:r>
      <w:r w:rsidR="002852C6" w:rsidRPr="004F0FE2">
        <w:fldChar w:fldCharType="begin" w:fldLock="1"/>
      </w:r>
      <w:r w:rsidR="009B7569" w:rsidRPr="004F0FE2">
        <w:instrText>ADDIN CSL_CITATION {"citationItems":[{"id":"ITEM-1","itemData":{"DOI":"10.1200/JCO.2008.21.1136","ISSN":"0732183X","PMID":"19704066","abstract":"Purpose: To compare the clinical activity of the pure antiestrogen fulvestrant at 500 mg/mo (double the approved dose) with the aromatase inhibitor anastrozole as first-line endocrine therapy for advanced hormone receptor-positive breast cancer in postmenopausal women. Patients and Methods: FIRST (Fulvestrant First-Line Study Comparing Endocrine Treatments) is a phase II, randomized, open-label, multicenter study of a fulvestrant high-dose (HD) regimen (500 mg/mo plus 500 mg on day 14 of month 1) versus anastrozole (1 mg/d). The primary efficacy end point was clinical benefit rate (CBR), defined as the proportion of patients experiencing an objective response (OR) or stable disease for ≥ 24 weeks. The primary analysis was performed 6 months after the last patient was randomly assigned. Results: CBR was similar for fulvestrant HD (n = 102) and anastrozole (n = 103), 72.5% v 67.0%, respectively (odds ratio, 1.30; 95% CI, 0.72 to 2.38; P = .386). Objective response rate (ORR) was also similar between treatments: fulvestrant HD, 36.0%; anastrozole, 35.5%. Time to progression (TTP) was significantly longer for fulvestrant versus anastrozole (median TTP not reached for fulvestrant HD v 12.5 months for anastrozole; hazard ratio, 0.63; 95% CI, 0.39 to 1.00; P = .0496). Duration of OR and CB also numerically favored fulvestrant HD. Both treatments were well tolerated, with no significant differences in the incidence of prespecified adverse events. Conclusion: First-line fulvestrant HD was at least as effective as anastrozole for CBR and ORR and was associated with significantly longer TTP. Fulvestrant HD was generally well tolerated, with a safety profile similar to that of anastrozole. © 2009 by the American Society of Clinical Oncology.","author":[{"dropping-particle":"","family":"Robertson","given":"John F.R.","non-dropping-particle":"","parse-names":false,"suffix":""},{"dropping-particle":"","family":"Llombart-Cussac","given":"Antonio","non-dropping-particle":"","parse-names":false,"suffix":""},{"dropping-particle":"","family":"Rolski","given":"Janusz","non-dropping-particle":"","parse-names":false,"suffix":""},{"dropping-particle":"","family":"Feltl","given":"David","non-dropping-particle":"","parse-names":false,"suffix":""},{"dropping-particle":"","family":"Dewar","given":"John","non-dropping-particle":"","parse-names":false,"suffix":""},{"dropping-particle":"","family":"Macpherson","given":"Euan","non-dropping-particle":"","parse-names":false,"suffix":""},{"dropping-particle":"","family":"Lindemann","given":"Justin","non-dropping-particle":"","parse-names":false,"suffix":""},{"dropping-particle":"","family":"Ellis","given":"Matthew J.","non-dropping-particle":"","parse-names":false,"suffix":""}],"container-title":"Journal of Clinical Oncology","id":"ITEM-1","issue":"27","issued":{"date-parts":[["2009","9","20"]]},"page":"4530-4535","publisher":"J Clin Oncol","title":"Activity of fulvestrant 500 mg versus anastrozole 1 mg as first-line treatment for advanced breast cancer: Results from the FIRST study","type":"article-journal","volume":"27"},"uris":["http://www.mendeley.com/documents/?uuid=fd03f5e9-76c1-38fc-9eab-12eae3ada1e2"]}],"mendeley":{"formattedCitation":"[31]","plainTextFormattedCitation":"[31]","previouslyFormattedCitation":"[31]"},"properties":{"noteIndex":0},"schema":"https://github.com/citation-style-language/schema/raw/master/csl-citation.json"}</w:instrText>
      </w:r>
      <w:r w:rsidR="002852C6" w:rsidRPr="004F0FE2">
        <w:fldChar w:fldCharType="separate"/>
      </w:r>
      <w:r w:rsidR="009B7569" w:rsidRPr="004F0FE2">
        <w:t>[31]</w:t>
      </w:r>
      <w:r w:rsidR="002852C6" w:rsidRPr="004F0FE2">
        <w:fldChar w:fldCharType="end"/>
      </w:r>
      <w:r w:rsidRPr="004F0FE2">
        <w:t xml:space="preserve">. Subsequently, the phase </w:t>
      </w:r>
      <w:r w:rsidR="001F516D" w:rsidRPr="004F0FE2">
        <w:t>III</w:t>
      </w:r>
      <w:r w:rsidRPr="004F0FE2">
        <w:t xml:space="preserve"> FALCON trial compared </w:t>
      </w:r>
      <w:proofErr w:type="spellStart"/>
      <w:r w:rsidRPr="004F0FE2">
        <w:t>fulvestrant</w:t>
      </w:r>
      <w:proofErr w:type="spellEnd"/>
      <w:r w:rsidRPr="004F0FE2">
        <w:t xml:space="preserve"> with anastrozole in postmenopausal patients with </w:t>
      </w:r>
      <w:r w:rsidR="002852C6" w:rsidRPr="004F0FE2">
        <w:t xml:space="preserve">ER+/HER2- </w:t>
      </w:r>
      <w:proofErr w:type="spellStart"/>
      <w:r w:rsidR="002852C6" w:rsidRPr="004F0FE2">
        <w:t>mBC</w:t>
      </w:r>
      <w:proofErr w:type="spellEnd"/>
      <w:r w:rsidRPr="004F0FE2">
        <w:t xml:space="preserve"> who had not had any previous exposure to endocrine therapy</w:t>
      </w:r>
      <w:r w:rsidR="002852C6" w:rsidRPr="004F0FE2">
        <w:t xml:space="preserve"> </w:t>
      </w:r>
      <w:r w:rsidR="002852C6" w:rsidRPr="004F0FE2">
        <w:fldChar w:fldCharType="begin" w:fldLock="1"/>
      </w:r>
      <w:r w:rsidR="009B7569" w:rsidRPr="004F0FE2">
        <w:instrText>ADDIN CSL_CITATION {"citationItems":[{"id":"ITEM-1","itemData":{"DOI":"10.1016/S0140-6736(16)32389-3","ISSN":"1474547X","PMID":"27908454","abstract":"Background Aromatase inhibitors are a standard of care for hormone receptor-positive locally advanced or metastatic breast cancer. We investigated whether the selective oestrogen receptor degrader fulvestrant could improve progression-free survival compared with anastrozole in postmenopausal patients who had not received previous endocrine therapy. Methods In this phase 3, randomised, double-blind trial, we recruited eligible patients with histologically confirmed oestrogen receptor-positive or progesterone receptor-positive, or both, locally advanced or metastatic breast cancer from 113 academic hospitals and community centres in 20 countries. Eligible patients were endocrine therapy-naive, with WHO performance status 0–2, and at least one measurable or non-measurable lesion. Patients were randomly assigned (1:1) to fulvestrant (500 mg intramuscular injection; on days 0, 14, 28, then every 28 days thereafter) or anastrozole (1 mg orally daily) using a computer-generated randomisation scheme. The primary endpoint was progression-free survival, determined by Response Evaluation Criteria in Solid Tumors version 1·1, intervention by surgery or radiotherapy because of disease deterioration, or death from any cause, assessed in the intention-to-treat population. Safety outcomes were assessed in all patients who received at least one dose of randomised treatment (including placebo). This trial is registered with ClinicalTrials.gov, number NCT01602380. Findings Between Oct 17, 2012, and July 11, 2014, 524 patients were enrolled to this study. Of these, 462 patients were randomised (230 to receive fulvestrant and 232 to receive anastrozole). Progression-free survival was significantly longer in the fulvestrant group than in the anastrozole group (hazard ratio [HR] 0·797, 95% CI 0·637–0·999, p=0·0486). Median progression-free survival was 16·6 months (95% CI 13·83–20·99) in the fulvestrant group versus 13·8 months (11·99–16·59) in the anastrozole group. The most common adverse events were arthralgia (38 [17%] in the fulvestrant group vs 24 [10%] in the anastrozole group) and hot flushes (26 [11%] in the fulvestrant group vs 24 [10%] in the anastrozole group). 16 (7%) of 228 patients in in the fulvestrant group and 11 (5%) of 232 patients in the anastrozole group discontinued because of adverse events. Interpretation Fulvestrant has superior efficacy and is a preferred treatment option for patients with hormone receptor-positive locally advanced or metastatic bre…","author":[{"dropping-particle":"","family":"Robertson","given":"John F.R.","non-dropping-particle":"","parse-names":false,"suffix":""},{"dropping-particle":"","family":"Bondarenko","given":"Igor M.","non-dropping-particle":"","parse-names":false,"suffix":""},{"dropping-particle":"","family":"Trishkina","given":"Ekaterina","non-dropping-particle":"","parse-names":false,"suffix":""},{"dropping-particle":"","family":"Dvorkin","given":"Mikhail","non-dropping-particle":"","parse-names":false,"suffix":""},{"dropping-particle":"","family":"Panasci","given":"Lawrence","non-dropping-particle":"","parse-names":false,"suffix":""},{"dropping-particle":"","family":"Manikhas","given":"Alexey","non-dropping-particle":"","parse-names":false,"suffix":""},{"dropping-particle":"","family":"Shparyk","given":"Yaroslav","non-dropping-particle":"","parse-names":false,"suffix":""},{"dropping-particle":"","family":"Cardona-Huerta","given":"Servando","non-dropping-particle":"","parse-names":false,"suffix":""},{"dropping-particle":"","family":"Cheung","given":"Kwok Leung","non-dropping-particle":"","parse-names":false,"suffix":""},{"dropping-particle":"","family":"Philco-Salas","given":"Manuel Jesus","non-dropping-particle":"","parse-names":false,"suffix":""},{"dropping-particle":"","family":"Ruiz-Borrego","given":"Manuel","non-dropping-particle":"","parse-names":false,"suffix":""},{"dropping-particle":"","family":"Shao","given":"Zhimin","non-dropping-particle":"","parse-names":false,"suffix":""},{"dropping-particle":"","family":"Noguchi","given":"Shinzaburo","non-dropping-particle":"","parse-names":false,"suffix":""},{"dropping-particle":"","family":"Rowbottom","given":"Jacqui","non-dropping-particle":"","parse-names":false,"suffix":""},{"dropping-particle":"","family":"Stuart","given":"Mary","non-dropping-particle":"","parse-names":false,"suffix":""},{"dropping-particle":"","family":"Grinsted","given":"Lynda M.","non-dropping-particle":"","parse-names":false,"suffix":""},{"dropping-particle":"","family":"Fazal","given":"Mehdi","non-dropping-particle":"","parse-names":false,"suffix":""},{"dropping-particle":"","family":"Ellis","given":"Matthew J.","non-dropping-particle":"","parse-names":false,"suffix":""}],"container-title":"The Lancet","id":"ITEM-1","issue":"10063","issued":{"date-parts":[["2016","12","17"]]},"page":"2997-3005","publisher":"Lancet Publishing Group","title":"Fulvestrant 500 mg versus anastrozole 1 mg for hormone receptor-positive advanced breast cancer (FALCON): an international, randomised, double-blind, phase 3 trial","type":"article-journal","volume":"388"},"uris":["http://www.mendeley.com/documents/?uuid=211a1aab-4358-33cb-bc43-764f95610866"]}],"mendeley":{"formattedCitation":"[32]","plainTextFormattedCitation":"[32]","previouslyFormattedCitation":"[32]"},"properties":{"noteIndex":0},"schema":"https://github.com/citation-style-language/schema/raw/master/csl-citation.json"}</w:instrText>
      </w:r>
      <w:r w:rsidR="002852C6" w:rsidRPr="004F0FE2">
        <w:fldChar w:fldCharType="separate"/>
      </w:r>
      <w:r w:rsidR="009B7569" w:rsidRPr="004F0FE2">
        <w:t>[32]</w:t>
      </w:r>
      <w:r w:rsidR="002852C6" w:rsidRPr="004F0FE2">
        <w:fldChar w:fldCharType="end"/>
      </w:r>
      <w:r w:rsidRPr="004F0FE2">
        <w:t>.</w:t>
      </w:r>
      <w:r w:rsidR="00FB3356" w:rsidRPr="004F0FE2">
        <w:t xml:space="preserve"> </w:t>
      </w:r>
      <w:proofErr w:type="spellStart"/>
      <w:r w:rsidRPr="004F0FE2">
        <w:t>Fulvestrant</w:t>
      </w:r>
      <w:proofErr w:type="spellEnd"/>
      <w:r w:rsidRPr="004F0FE2">
        <w:t xml:space="preserve"> resulted in a significant </w:t>
      </w:r>
      <w:r w:rsidR="001F516D" w:rsidRPr="004F0FE2">
        <w:t>PFS</w:t>
      </w:r>
      <w:r w:rsidRPr="004F0FE2">
        <w:t xml:space="preserve"> benefit (median, 16·6 vs 13·8 months; </w:t>
      </w:r>
      <w:r w:rsidR="001F516D" w:rsidRPr="004F0FE2">
        <w:t>HR=</w:t>
      </w:r>
      <w:r w:rsidRPr="004F0FE2">
        <w:t>0</w:t>
      </w:r>
      <w:r w:rsidR="001F516D" w:rsidRPr="004F0FE2">
        <w:t>.</w:t>
      </w:r>
      <w:r w:rsidRPr="004F0FE2">
        <w:t xml:space="preserve">80, 95% </w:t>
      </w:r>
      <w:r w:rsidR="001F516D" w:rsidRPr="004F0FE2">
        <w:t xml:space="preserve">CI </w:t>
      </w:r>
      <w:r w:rsidRPr="004F0FE2">
        <w:t>0</w:t>
      </w:r>
      <w:r w:rsidR="001F516D" w:rsidRPr="004F0FE2">
        <w:t>.</w:t>
      </w:r>
      <w:r w:rsidRPr="004F0FE2">
        <w:t>64–0</w:t>
      </w:r>
      <w:r w:rsidR="001F516D" w:rsidRPr="004F0FE2">
        <w:t>.</w:t>
      </w:r>
      <w:r w:rsidRPr="004F0FE2">
        <w:t>99, p=0</w:t>
      </w:r>
      <w:r w:rsidR="001F516D" w:rsidRPr="004F0FE2">
        <w:t>.</w:t>
      </w:r>
      <w:r w:rsidRPr="004F0FE2">
        <w:t>0486)</w:t>
      </w:r>
      <w:r w:rsidR="002852C6" w:rsidRPr="004F0FE2">
        <w:t xml:space="preserve"> </w:t>
      </w:r>
      <w:r w:rsidR="002852C6" w:rsidRPr="004F0FE2">
        <w:fldChar w:fldCharType="begin" w:fldLock="1"/>
      </w:r>
      <w:r w:rsidR="009B7569" w:rsidRPr="004F0FE2">
        <w:instrText>ADDIN CSL_CITATION {"citationItems":[{"id":"ITEM-1","itemData":{"DOI":"10.1093/annonc/mdw435.4","abstract":"Background: This Phase III, randomised, double-blind, multicentre trial (FALCON; NCT01602380) compared the selective estrogen receptor (ER) degrader (SERD) fulvestrant with anastrozole in patients with ER-and/or progesterone receptor-positive locally advanced or metastatic breast cancer who had not received prior hormonal therapy. Methods: Patients were randomised 1:1 to fulvestrant (500 mg IM on Days 0, 14, 28, then each 28 days) or anastrozole (1 mg daily). The primary endpoint was progression-free survival (PFS), assessed via RECIST 1.1, surgery/radiotherapy for disease worsening, or death. Secondary endpoints were: overall survival (OS); objective response rate (ORR, complete response [CR] or partial response [PR]); duration of response (DoR); expected DoR (EDoR); clinical benefit rate (CBR; CR, PR, or stable disease ≥24 weeks); duration of clinical benefit (DoCB); expected DoCB (EDoCB); health-related quality of life (HRQoL); and safety. Results: In total, 462 patients (fulvestrant, n = 230; anastrozole, n = 232) were randomised. The primary endpoint was met as shown by a statistically significant improvement in PFS with fulvestrant vs. anastrozole (hazard ratio 0.797 [95% confidence interval 0.637, 0.999]; p = 0.0486; median PFS, 16.6 vs. 13.8 months, respectively). Secondary outcomes are shown in the Table (OS maturity was 31% at a median follow-up of 25.0 months). Treatment impact on HRQoL was similar in both treatment groups. The most common adverse events were arthralgia (16.7% vs. 10.3%) and hot flushes (11.4% vs. 10.3%) for fulvestrant and anastrozole, respectively. Conclusions: These results confirm the superior efficacy of fulvestrant over anastrozole in postmenopausal women with hormone receptor-positive locally advanced or metastatic breast cancer who have not received prior hormonal therapy.","author":[{"dropping-particle":"","family":"Ellis","given":"M J","non-dropping-particle":"","parse-names":false,"suffix":""},{"dropping-particle":"","family":"Bondarenko","given":"I","non-dropping-particle":"","parse-names":false,"suffix":""},{"dropping-particle":"","family":"Trishkina","given":"E","non-dropping-particle":"","parse-names":false,"suffix":""},{"dropping-particle":"","family":"Dvorkin","given":"M","non-dropping-particle":"","parse-names":false,"suffix":""},{"dropping-particle":"","family":"Panasci","given":"L","non-dropping-particle":"","parse-names":false,"suffix":""},{"dropping-particle":"","family":"Manikhas","given":"A","non-dropping-particle":"","parse-names":false,"suffix":""},{"dropping-particle":"","family":"Shparyk","given":"Y","non-dropping-particle":"","parse-names":false,"suffix":""},{"dropping-particle":"","family":"Cardona-Huerta","given":"S","non-dropping-particle":"","parse-names":false,"suffix":""},{"dropping-particle":"","family":"Cheung","given":"K-L","non-dropping-particle":"","parse-names":false,"suffix":""},{"dropping-particle":"","family":"Philco-Salas","given":"M J","non-dropping-particle":"","parse-names":false,"suffix":""},{"dropping-particle":"","family":"Ruiz-Borrego","given":"M","non-dropping-particle":"","parse-names":false,"suffix":""},{"dropping-particle":"","family":"Shao","given":"Z","non-dropping-particle":"","parse-names":false,"suffix":""},{"dropping-particle":"","family":"Noguchi","given":"S","non-dropping-particle":"","parse-names":false,"suffix":""},{"dropping-particle":"","family":"Grinsted","given":"L M","non-dropping-particle":"","parse-names":false,"suffix":""},{"dropping-particle":"","family":"Fazal","given":"M","non-dropping-particle":"","parse-names":false,"suffix":""},{"dropping-particle":"","family":"Stuart","given":"M","non-dropping-particle":"","parse-names":false,"suffix":""},{"dropping-particle":"","family":"Robertson","given":"J F","non-dropping-particle":"","parse-names":false,"suffix":""}],"container-title":"Abstract Book of the 41st ESMO Congress (ESMO 2016), 7-11 October 2016, Copenhagen, Denmark","id":"ITEM-1","issued":{"date-parts":[["2016"]]},"page":"vi554","title":"late-breaking and deferred publication abstracts LBA14 PR FALCON: A phase III randomised trial of fulvestrant 500 mg vs. anastrozole for hormone receptor-positive advanced breast cancer","type":"article-journal","volume":"27"},"uris":["http://www.mendeley.com/documents/?uuid=83506f34-b6fa-3b9c-a28c-72a944c8d6db"]}],"mendeley":{"formattedCitation":"[33]","plainTextFormattedCitation":"[33]","previouslyFormattedCitation":"[33]"},"properties":{"noteIndex":0},"schema":"https://github.com/citation-style-language/schema/raw/master/csl-citation.json"}</w:instrText>
      </w:r>
      <w:r w:rsidR="002852C6" w:rsidRPr="004F0FE2">
        <w:fldChar w:fldCharType="separate"/>
      </w:r>
      <w:r w:rsidR="009B7569" w:rsidRPr="004F0FE2">
        <w:t>[33]</w:t>
      </w:r>
      <w:r w:rsidR="002852C6" w:rsidRPr="004F0FE2">
        <w:fldChar w:fldCharType="end"/>
      </w:r>
      <w:r w:rsidR="002852C6" w:rsidRPr="004F0FE2">
        <w:t>.</w:t>
      </w:r>
      <w:r w:rsidRPr="004F0FE2">
        <w:t xml:space="preserve"> A predefined subgroup analysis of this study demonstrated that patients with non-visceral disease may derive more benefit with </w:t>
      </w:r>
      <w:proofErr w:type="spellStart"/>
      <w:r w:rsidRPr="004F0FE2">
        <w:t>fulvestrant</w:t>
      </w:r>
      <w:proofErr w:type="spellEnd"/>
      <w:r w:rsidRPr="004F0FE2">
        <w:t xml:space="preserve"> compared with patients with visceral disease</w:t>
      </w:r>
      <w:r w:rsidR="002852C6" w:rsidRPr="004F0FE2">
        <w:t xml:space="preserve"> </w:t>
      </w:r>
      <w:r w:rsidR="002852C6" w:rsidRPr="004F0FE2">
        <w:fldChar w:fldCharType="begin" w:fldLock="1"/>
      </w:r>
      <w:r w:rsidR="009B7569" w:rsidRPr="004F0FE2">
        <w:instrText>ADDIN CSL_CITATION {"citationItems":[{"id":"ITEM-1","itemData":{"DOI":"10.1016/S0140-6736(16)32389-3","ISSN":"1474547X","PMID":"27908454","abstract":"Background Aromatase inhibitors are a standard of care for hormone receptor-positive locally advanced or metastatic breast cancer. We investigated whether the selective oestrogen receptor degrader fulvestrant could improve progression-free survival compared with anastrozole in postmenopausal patients who had not received previous endocrine therapy. Methods In this phase 3, randomised, double-blind trial, we recruited eligible patients with histologically confirmed oestrogen receptor-positive or progesterone receptor-positive, or both, locally advanced or metastatic breast cancer from 113 academic hospitals and community centres in 20 countries. Eligible patients were endocrine therapy-naive, with WHO performance status 0–2, and at least one measurable or non-measurable lesion. Patients were randomly assigned (1:1) to fulvestrant (500 mg intramuscular injection; on days 0, 14, 28, then every 28 days thereafter) or anastrozole (1 mg orally daily) using a computer-generated randomisation scheme. The primary endpoint was progression-free survival, determined by Response Evaluation Criteria in Solid Tumors version 1·1, intervention by surgery or radiotherapy because of disease deterioration, or death from any cause, assessed in the intention-to-treat population. Safety outcomes were assessed in all patients who received at least one dose of randomised treatment (including placebo). This trial is registered with ClinicalTrials.gov, number NCT01602380. Findings Between Oct 17, 2012, and July 11, 2014, 524 patients were enrolled to this study. Of these, 462 patients were randomised (230 to receive fulvestrant and 232 to receive anastrozole). Progression-free survival was significantly longer in the fulvestrant group than in the anastrozole group (hazard ratio [HR] 0·797, 95% CI 0·637–0·999, p=0·0486). Median progression-free survival was 16·6 months (95% CI 13·83–20·99) in the fulvestrant group versus 13·8 months (11·99–16·59) in the anastrozole group. The most common adverse events were arthralgia (38 [17%] in the fulvestrant group vs 24 [10%] in the anastrozole group) and hot flushes (26 [11%] in the fulvestrant group vs 24 [10%] in the anastrozole group). 16 (7%) of 228 patients in in the fulvestrant group and 11 (5%) of 232 patients in the anastrozole group discontinued because of adverse events. Interpretation Fulvestrant has superior efficacy and is a preferred treatment option for patients with hormone receptor-positive locally advanced or metastatic bre…","author":[{"dropping-particle":"","family":"Robertson","given":"John F.R.","non-dropping-particle":"","parse-names":false,"suffix":""},{"dropping-particle":"","family":"Bondarenko","given":"Igor M.","non-dropping-particle":"","parse-names":false,"suffix":""},{"dropping-particle":"","family":"Trishkina","given":"Ekaterina","non-dropping-particle":"","parse-names":false,"suffix":""},{"dropping-particle":"","family":"Dvorkin","given":"Mikhail","non-dropping-particle":"","parse-names":false,"suffix":""},{"dropping-particle":"","family":"Panasci","given":"Lawrence","non-dropping-particle":"","parse-names":false,"suffix":""},{"dropping-particle":"","family":"Manikhas","given":"Alexey","non-dropping-particle":"","parse-names":false,"suffix":""},{"dropping-particle":"","family":"Shparyk","given":"Yaroslav","non-dropping-particle":"","parse-names":false,"suffix":""},{"dropping-particle":"","family":"Cardona-Huerta","given":"Servando","non-dropping-particle":"","parse-names":false,"suffix":""},{"dropping-particle":"","family":"Cheung","given":"Kwok Leung","non-dropping-particle":"","parse-names":false,"suffix":""},{"dropping-particle":"","family":"Philco-Salas","given":"Manuel Jesus","non-dropping-particle":"","parse-names":false,"suffix":""},{"dropping-particle":"","family":"Ruiz-Borrego","given":"Manuel","non-dropping-particle":"","parse-names":false,"suffix":""},{"dropping-particle":"","family":"Shao","given":"Zhimin","non-dropping-particle":"","parse-names":false,"suffix":""},{"dropping-particle":"","family":"Noguchi","given":"Shinzaburo","non-dropping-particle":"","parse-names":false,"suffix":""},{"dropping-particle":"","family":"Rowbottom","given":"Jacqui","non-dropping-particle":"","parse-names":false,"suffix":""},{"dropping-particle":"","family":"Stuart","given":"Mary","non-dropping-particle":"","parse-names":false,"suffix":""},{"dropping-particle":"","family":"Grinsted","given":"Lynda M.","non-dropping-particle":"","parse-names":false,"suffix":""},{"dropping-particle":"","family":"Fazal","given":"Mehdi","non-dropping-particle":"","parse-names":false,"suffix":""},{"dropping-particle":"","family":"Ellis","given":"Matthew J.","non-dropping-particle":"","parse-names":false,"suffix":""}],"container-title":"The Lancet","id":"ITEM-1","issue":"10063","issued":{"date-parts":[["2016","12","17"]]},"page":"2997-3005","publisher":"Lancet Publishing Group","title":"Fulvestrant 500 mg versus anastrozole 1 mg for hormone receptor-positive advanced breast cancer (FALCON): an international, randomised, double-blind, phase 3 trial","type":"article-journal","volume":"388"},"uris":["http://www.mendeley.com/documents/?uuid=211a1aab-4358-33cb-bc43-764f95610866"]}],"mendeley":{"formattedCitation":"[32]","plainTextFormattedCitation":"[32]","previouslyFormattedCitation":"[32]"},"properties":{"noteIndex":0},"schema":"https://github.com/citation-style-language/schema/raw/master/csl-citation.json"}</w:instrText>
      </w:r>
      <w:r w:rsidR="002852C6" w:rsidRPr="004F0FE2">
        <w:fldChar w:fldCharType="separate"/>
      </w:r>
      <w:r w:rsidR="009B7569" w:rsidRPr="004F0FE2">
        <w:t>[32]</w:t>
      </w:r>
      <w:r w:rsidR="002852C6" w:rsidRPr="004F0FE2">
        <w:fldChar w:fldCharType="end"/>
      </w:r>
      <w:r w:rsidRPr="004F0FE2">
        <w:t>.</w:t>
      </w:r>
      <w:r w:rsidR="00FB3356" w:rsidRPr="004F0FE2">
        <w:t xml:space="preserve"> </w:t>
      </w:r>
      <w:r w:rsidRPr="004F0FE2">
        <w:t xml:space="preserve">More recently, the phase </w:t>
      </w:r>
      <w:r w:rsidR="001F516D" w:rsidRPr="004F0FE2">
        <w:t>III</w:t>
      </w:r>
      <w:r w:rsidRPr="004F0FE2">
        <w:t xml:space="preserve"> MONALEESA-3 trial evaluated the combination of </w:t>
      </w:r>
      <w:proofErr w:type="spellStart"/>
      <w:r w:rsidRPr="004F0FE2">
        <w:t>fulvestrant</w:t>
      </w:r>
      <w:proofErr w:type="spellEnd"/>
      <w:r w:rsidRPr="004F0FE2">
        <w:t xml:space="preserve"> and </w:t>
      </w:r>
      <w:proofErr w:type="spellStart"/>
      <w:r w:rsidRPr="004F0FE2">
        <w:t>ribociclib</w:t>
      </w:r>
      <w:proofErr w:type="spellEnd"/>
      <w:r w:rsidRPr="004F0FE2">
        <w:t xml:space="preserve"> in the first- and second-line settings of patients with </w:t>
      </w:r>
      <w:r w:rsidR="002852C6" w:rsidRPr="004F0FE2">
        <w:t xml:space="preserve">ER+/HER2- </w:t>
      </w:r>
      <w:proofErr w:type="spellStart"/>
      <w:r w:rsidR="002852C6" w:rsidRPr="004F0FE2">
        <w:t>mBC</w:t>
      </w:r>
      <w:proofErr w:type="spellEnd"/>
      <w:r w:rsidR="002852C6" w:rsidRPr="004F0FE2">
        <w:t xml:space="preserve"> </w:t>
      </w:r>
      <w:r w:rsidR="002852C6" w:rsidRPr="004F0FE2">
        <w:fldChar w:fldCharType="begin" w:fldLock="1"/>
      </w:r>
      <w:r w:rsidR="009B7569" w:rsidRPr="004F0FE2">
        <w:instrText>ADDIN CSL_CITATION {"citationItems":[{"id":"ITEM-1","itemData":{"DOI":"10.1056/NEJMoa1911149","ISSN":"15334406","PMID":"31826360","abstract":"BACKGROUND In an earlier analysis of this phase 3 trial, ribociclib plus fulvestrant showed a greater benefit with regard to progression-free survival than fulvestrant alone in postmenopausal patients with hormone-receptor-positive, human epidermal growth factor receptor 2 (HER2)-negative advanced breast cancer. Here we report the results of a protocol-specified second interim analysis of overall survival. METHODS Patients were randomly assigned in a 2:1 ratio to receive either ribociclib or placebo in addition to fulvestrant as first-line or second-line treatment. Survival was evaluated by means of a stratified log-rank test and summarized with the use of Kaplan-Meier methods. RESULTS This analysis was based on 275 deaths: 167 among 484 patients (34.5%) receiving ribociclib and 108 among 242 (44.6%) receiving placebo. Ribociclib plus fulvestrant showed a significant overall survival benefit over placebo plus fulvestrant. The estimated overall survival at 42 months was 57.8% (95% confidence interval [CI], 52.0 to 63.2) in the ribociclib group and 45.9% (95% CI, 36.9 to 54.5) in the placebo group, for a 28% difference in the relative risk of death (hazard ratio, 0.72; 95% CI, 0.57 to 0.92; P = 0.00455). The benefit was consistent across most subgroups. In a descriptive update, median progression-free survival among patients receiving first-line treatment was 33.6 months (95% CI, 27.1 to 41.3) in the ribociclib group and 19.2 months (95% CI, 14.9 to 23.6) in the placebo group. No new safety signals were observed. CONCLUSIONS Ribociclib plus fulvestrant showed a significant overall survival benefit over placebo plus fulvestrant in patients with hormone-receptor-positive, HER2-negative advanced breast cancer.","author":[{"dropping-particle":"","family":"Slamon","given":"Dennis J.","non-dropping-particle":"","parse-names":false,"suffix":""},{"dropping-particle":"","family":"Neven","given":"Patrick","non-dropping-particle":"","parse-names":false,"suffix":""},{"dropping-particle":"","family":"Chia","given":"Stephen","non-dropping-particle":"","parse-names":false,"suffix":""},{"dropping-particle":"","family":"Fasching","given":"Peter A.","non-dropping-particle":"","parse-names":false,"suffix":""},{"dropping-particle":"","family":"Laurentiis","given":"Michelino","non-dropping-particle":"De","parse-names":false,"suffix":""},{"dropping-particle":"","family":"Im","given":"Seock Ah","non-dropping-particle":"","parse-names":false,"suffix":""},{"dropping-particle":"","family":"Petrakova","given":"Katarina","non-dropping-particle":"","parse-names":false,"suffix":""},{"dropping-particle":"V.","family":"Bianchi","given":"Giulia","non-dropping-particle":"","parse-names":false,"suffix":""},{"dropping-particle":"","family":"Esteva","given":"Francisco J.","non-dropping-particle":"","parse-names":false,"suffix":""},{"dropping-particle":"","family":"Martín","given":"Miguel","non-dropping-particle":"","parse-names":false,"suffix":""},{"dropping-particle":"","family":"Nusch","given":"Arnd","non-dropping-particle":"","parse-names":false,"suffix":""},{"dropping-particle":"","family":"Sonke","given":"Gabe S.","non-dropping-particle":"","parse-names":false,"suffix":""},{"dropping-particle":"","family":"La Cruz-Merino","given":"Luis","non-dropping-particle":"De","parse-names":false,"suffix":""},{"dropping-particle":"","family":"Beck","given":"J. Thaddeus","non-dropping-particle":"","parse-names":false,"suffix":""},{"dropping-particle":"","family":"Pivot","given":"Xavier","non-dropping-particle":"","parse-names":false,"suffix":""},{"dropping-particle":"","family":"Sondhi","given":"Manu","non-dropping-particle":"","parse-names":false,"suffix":""},{"dropping-particle":"","family":"Wang","given":"Yingbo","non-dropping-particle":"","parse-names":false,"suffix":""},{"dropping-particle":"","family":"Chakravartty","given":"Arunava","non-dropping-particle":"","parse-names":false,"suffix":""},{"dropping-particle":"","family":"Rodriguez-Lorenc","given":"Karen","non-dropping-particle":"","parse-names":false,"suffix":""},{"dropping-particle":"","family":"Taran","given":"Tetiana","non-dropping-particle":"","parse-names":false,"suffix":""},{"dropping-particle":"","family":"Jerusalem","given":"Guy","non-dropping-particle":"","parse-names":false,"suffix":""}],"container-title":"New England Journal of Medicine","id":"ITEM-1","issue":"6","issued":{"date-parts":[["2020","2","6"]]},"page":"514-524","publisher":"Massachussetts Medical Society","title":"Overall survival with ribociclib plus fulvestrant in advanced breast cancer","type":"article-journal","volume":"382"},"uris":["http://www.mendeley.com/documents/?uuid=668fb319-d82a-3b2f-a0fb-767d035762f9"]},{"id":"ITEM-2","itemData":{"DOI":"10.1056/NEJMoa1810527","ISSN":"15334406","PMID":"30345905","abstract":"BACKGROUND: The cyclin-dependent kinase 4 and 6 (CDK4/6) inhibitor palbociclib, in combination with fulvestrant therapy, prolongs progression-free survival among patients with hormone-receptor-positive, human epidermal growth factor receptor 2 (HER2)-negative advanced breast cancer. We report the results of a prespecified analysis of overall survival. METHODS: We randomly assigned patients with hormone-receptor-positive, HER2-negative advanced breast cancer who had progression or relapse during previous endocrine therapy to receive palbociclib plus fulvestrant or placebo plus fulvestrant. We analyzed overall survival; the effect of palbociclib according to the prespecified stratification factors of presence or absence of sensitivity to endocrine therapy, presence or absence of visceral metastatic disease, and menopausal status; the efficacy of subsequent therapies after disease progression; and safety. RESULTS: Among 521 patients who underwent randomization, the median overall survival was 34.9 months (95% confidence interval [CI], 28.8 to 40.0) in the palbociclib- fulvestrant group and 28.0 months (95% CI, 23.6 to 34.6) in the placebo-fulvestrant group (hazard ratio for death, 0.81; 95% CI, 0.64 to 1.03; P = 0.09; absolute difference, 6.9 months). CDK4/6 inhibitor treatment after the completion of the trial regimen occurred in 16% of the patients in the placebo-fulvestrant group. Among 410 patients with sensitivity to previous endocrine therapy, the median overall survival was 39.7 months (95% CI, 34.8 to 45.7) in the palbociclib-fulvestrant group and 29.7 months (95% CI, 23.8 to 37.9) in the placebo-fulvestrant group (hazard ratio, 0.72; 95% CI, 0.55 to 0.94; absolute difference, 10.0 months). The median duration of subsequent therapy was similar in the two groups, and the median time to the receipt of chemotherapy was 17.6 months in the palbociclib- fulvestrant group, as compared with 8.8 months in the placebo-fulvestrant group (hazard ratio, 0.58; 95% CI, 0.47 to 0.73; P&lt;0.001). No new safety signals were observed with 44.8 months of follow-up. CONCLUSIONS: Among patients with hormone-receptor-positive, HER2-negative advanced breast cancer who had sensitivity to previous endocrine therapy, treatment with palbociclib- fulvestrant resulted in longer overall survival than treatment with placebo- fulvestrant. The differences in overall survival in the entire trial group were not significant.","author":[{"dropping-particle":"","family":"Turner","given":"N. C.","non-dropping-particle":"","parse-names":false,"suffix":""},{"dropping-particle":"","family":"Slamon","given":"D. J.","non-dropping-particle":"","parse-names":false,"suffix":""},{"dropping-particle":"","family":"Ro","given":"J.","non-dropping-particle":"","parse-names":false,"suffix":""},{"dropping-particle":"","family":"Bondarenko","given":"I.","non-dropping-particle":"","parse-names":false,"suffix":""},{"dropping-particle":"","family":"Im","given":"S. A.","non-dropping-particle":"","parse-names":false,"suffix":""},{"dropping-particle":"","family":"Masuda","given":"N.","non-dropping-particle":"","parse-names":false,"suffix":""},{"dropping-particle":"","family":"Colleoni","given":"M.","non-dropping-particle":"","parse-names":false,"suffix":""},{"dropping-particle":"","family":"DeMichele","given":"A.","non-dropping-particle":"","parse-names":false,"suffix":""},{"dropping-particle":"","family":"Loi","given":"S.","non-dropping-particle":"","parse-names":false,"suffix":""},{"dropping-particle":"","family":"Verma","given":"S.","non-dropping-particle":"","parse-names":false,"suffix":""},{"dropping-particle":"","family":"Iwata","given":"H.","non-dropping-particle":"","parse-names":false,"suffix":""},{"dropping-particle":"","family":"Harbeck","given":"N.","non-dropping-particle":"","parse-names":false,"suffix":""},{"dropping-particle":"","family":"Loibl","given":"S.","non-dropping-particle":"","parse-names":false,"suffix":""},{"dropping-particle":"","family":"André","given":"F.","non-dropping-particle":"","parse-names":false,"suffix":""},{"dropping-particle":"","family":"Theall","given":"K. Puyana","non-dropping-particle":"","parse-names":false,"suffix":""},{"dropping-particle":"","family":"Huang","given":"X.","non-dropping-particle":"","parse-names":false,"suffix":""},{"dropping-particle":"","family":"Giorgetti","given":"C.","non-dropping-particle":"","parse-names":false,"suffix":""},{"dropping-particle":"","family":"Bartlett","given":"C. Huang","non-dropping-particle":"","parse-names":false,"suffix":""},{"dropping-particle":"","family":"Cristofanilli","given":"M.","non-dropping-particle":"","parse-names":false,"suffix":""}],"container-title":"New England Journal of Medicine","id":"ITEM-2","issue":"20","issued":{"date-parts":[["2018","11","15"]]},"page":"1926-1936","publisher":"Massachussetts Medical Society","title":"Overall survival with palbociclib and fulvestrant in advanced breast cancer","type":"article-journal","volume":"379"},"uris":["http://www.mendeley.com/documents/?uuid=61bcbb39-afcf-361f-bb43-f49bc622cd02"]}],"mendeley":{"formattedCitation":"[16,34]","plainTextFormattedCitation":"[16,34]","previouslyFormattedCitation":"[16,34]"},"properties":{"noteIndex":0},"schema":"https://github.com/citation-style-language/schema/raw/master/csl-citation.json"}</w:instrText>
      </w:r>
      <w:r w:rsidR="002852C6" w:rsidRPr="004F0FE2">
        <w:fldChar w:fldCharType="separate"/>
      </w:r>
      <w:r w:rsidR="009B7569" w:rsidRPr="004F0FE2">
        <w:t>[16,34]</w:t>
      </w:r>
      <w:r w:rsidR="002852C6" w:rsidRPr="004F0FE2">
        <w:fldChar w:fldCharType="end"/>
      </w:r>
      <w:r w:rsidRPr="004F0FE2">
        <w:t>.</w:t>
      </w:r>
      <w:r w:rsidR="00FB3356" w:rsidRPr="004F0FE2">
        <w:t xml:space="preserve"> </w:t>
      </w:r>
      <w:r w:rsidRPr="004F0FE2">
        <w:t xml:space="preserve">The addition of </w:t>
      </w:r>
      <w:proofErr w:type="spellStart"/>
      <w:r w:rsidRPr="004F0FE2">
        <w:t>ribociclib</w:t>
      </w:r>
      <w:proofErr w:type="spellEnd"/>
      <w:r w:rsidRPr="004F0FE2">
        <w:t xml:space="preserve"> led to significant improvements in both </w:t>
      </w:r>
      <w:r w:rsidR="001F516D" w:rsidRPr="004F0FE2">
        <w:t>PFS</w:t>
      </w:r>
      <w:r w:rsidRPr="004F0FE2">
        <w:t xml:space="preserve"> (median, 20</w:t>
      </w:r>
      <w:r w:rsidR="001F516D" w:rsidRPr="004F0FE2">
        <w:t>.</w:t>
      </w:r>
      <w:r w:rsidRPr="004F0FE2">
        <w:t>6 vs 12</w:t>
      </w:r>
      <w:r w:rsidR="001F516D" w:rsidRPr="004F0FE2">
        <w:t>.</w:t>
      </w:r>
      <w:r w:rsidRPr="004F0FE2">
        <w:t xml:space="preserve">8 months; </w:t>
      </w:r>
      <w:r w:rsidR="001F516D" w:rsidRPr="004F0FE2">
        <w:t>HR=</w:t>
      </w:r>
      <w:r w:rsidRPr="004F0FE2">
        <w:t>0</w:t>
      </w:r>
      <w:r w:rsidR="001F516D" w:rsidRPr="004F0FE2">
        <w:t>.</w:t>
      </w:r>
      <w:r w:rsidRPr="004F0FE2">
        <w:t>59, 95% CI 0</w:t>
      </w:r>
      <w:r w:rsidR="001F516D" w:rsidRPr="004F0FE2">
        <w:t>.</w:t>
      </w:r>
      <w:r w:rsidRPr="004F0FE2">
        <w:t>49–0</w:t>
      </w:r>
      <w:r w:rsidR="001F516D" w:rsidRPr="004F0FE2">
        <w:t>.</w:t>
      </w:r>
      <w:r w:rsidRPr="004F0FE2">
        <w:t xml:space="preserve">71) and </w:t>
      </w:r>
      <w:r w:rsidR="001F516D" w:rsidRPr="004F0FE2">
        <w:t>OS</w:t>
      </w:r>
      <w:r w:rsidRPr="004F0FE2">
        <w:t xml:space="preserve"> (median, not reached vs 40 months; </w:t>
      </w:r>
      <w:r w:rsidR="001F516D" w:rsidRPr="004F0FE2">
        <w:t>HR=</w:t>
      </w:r>
      <w:r w:rsidRPr="004F0FE2">
        <w:t>0</w:t>
      </w:r>
      <w:r w:rsidR="001F516D" w:rsidRPr="004F0FE2">
        <w:t>.</w:t>
      </w:r>
      <w:r w:rsidRPr="004F0FE2">
        <w:t>72, 95% CI 0</w:t>
      </w:r>
      <w:r w:rsidR="001F516D" w:rsidRPr="004F0FE2">
        <w:t>.</w:t>
      </w:r>
      <w:r w:rsidRPr="004F0FE2">
        <w:t>57–0</w:t>
      </w:r>
      <w:r w:rsidR="001F516D" w:rsidRPr="004F0FE2">
        <w:t>.</w:t>
      </w:r>
      <w:r w:rsidRPr="004F0FE2">
        <w:t>92; p=0</w:t>
      </w:r>
      <w:r w:rsidR="001F516D" w:rsidRPr="004F0FE2">
        <w:t>.</w:t>
      </w:r>
      <w:r w:rsidRPr="004F0FE2">
        <w:t>0045) regardless of line of therapy.</w:t>
      </w:r>
    </w:p>
    <w:p w14:paraId="69502C74" w14:textId="60C78222" w:rsidR="00F41DF7" w:rsidRPr="004F0FE2" w:rsidRDefault="0065712B" w:rsidP="00673269">
      <w:pPr>
        <w:ind w:right="567"/>
      </w:pPr>
      <w:r w:rsidRPr="004F0FE2">
        <w:t xml:space="preserve">Findings from previously reported FALCON and MONALEESA-3 studies raised the question about the best endocrine partner for CDK4/6 inhibitors as first-line therapy. </w:t>
      </w:r>
      <w:r w:rsidR="00F41DF7" w:rsidRPr="004F0FE2">
        <w:t>An indirect comparison between data ava</w:t>
      </w:r>
      <w:r w:rsidR="001F516D" w:rsidRPr="004F0FE2">
        <w:t xml:space="preserve">ilable for </w:t>
      </w:r>
      <w:proofErr w:type="spellStart"/>
      <w:r w:rsidR="001F516D" w:rsidRPr="004F0FE2">
        <w:t>palbociclib</w:t>
      </w:r>
      <w:proofErr w:type="spellEnd"/>
      <w:r w:rsidR="001F516D" w:rsidRPr="004F0FE2">
        <w:t xml:space="preserve"> (PALOMA-</w:t>
      </w:r>
      <w:r w:rsidR="00F41DF7" w:rsidRPr="004F0FE2">
        <w:t xml:space="preserve">1 and PALOMA-2) and </w:t>
      </w:r>
      <w:proofErr w:type="spellStart"/>
      <w:r w:rsidR="00F41DF7" w:rsidRPr="004F0FE2">
        <w:t>fulvestrant</w:t>
      </w:r>
      <w:proofErr w:type="spellEnd"/>
      <w:r w:rsidR="00F41DF7" w:rsidRPr="004F0FE2">
        <w:t xml:space="preserve"> (FIRST and FALCON) identifies </w:t>
      </w:r>
      <w:r w:rsidR="00E35F00" w:rsidRPr="004F0FE2">
        <w:t>favorable</w:t>
      </w:r>
      <w:r w:rsidR="00F41DF7" w:rsidRPr="004F0FE2">
        <w:t xml:space="preserve"> </w:t>
      </w:r>
      <w:r w:rsidR="00BF588A" w:rsidRPr="004F0FE2">
        <w:t>h</w:t>
      </w:r>
      <w:r w:rsidR="00F41DF7" w:rsidRPr="004F0FE2">
        <w:t xml:space="preserve">azard </w:t>
      </w:r>
      <w:r w:rsidR="00BF588A" w:rsidRPr="004F0FE2">
        <w:t>r</w:t>
      </w:r>
      <w:r w:rsidR="00F41DF7" w:rsidRPr="004F0FE2">
        <w:t>atios for letrozole-</w:t>
      </w:r>
      <w:proofErr w:type="spellStart"/>
      <w:r w:rsidR="00F41DF7" w:rsidRPr="004F0FE2">
        <w:t>palbociclib</w:t>
      </w:r>
      <w:proofErr w:type="spellEnd"/>
      <w:r w:rsidR="00F41DF7" w:rsidRPr="004F0FE2">
        <w:t xml:space="preserve"> and </w:t>
      </w:r>
      <w:proofErr w:type="spellStart"/>
      <w:r w:rsidR="00F41DF7" w:rsidRPr="004F0FE2">
        <w:t>fulvestrant</w:t>
      </w:r>
      <w:proofErr w:type="spellEnd"/>
      <w:r w:rsidR="00F41DF7" w:rsidRPr="004F0FE2">
        <w:t xml:space="preserve"> compared with standard aromatase inhibitors as front line endocrine therapy for ER-positive locally advanced or </w:t>
      </w:r>
      <w:proofErr w:type="spellStart"/>
      <w:r w:rsidR="00F41DF7" w:rsidRPr="004F0FE2">
        <w:t>mBC</w:t>
      </w:r>
      <w:proofErr w:type="spellEnd"/>
      <w:r w:rsidR="00F41DF7" w:rsidRPr="004F0FE2">
        <w:t xml:space="preserve">. Such observations prompted the design of this international, </w:t>
      </w:r>
      <w:r w:rsidR="00E35F00" w:rsidRPr="004F0FE2">
        <w:t>randomized</w:t>
      </w:r>
      <w:r w:rsidR="00F41DF7" w:rsidRPr="004F0FE2">
        <w:t xml:space="preserve">, open-label trial assessing efficacy and tolerability of </w:t>
      </w:r>
      <w:proofErr w:type="spellStart"/>
      <w:r w:rsidR="00F41DF7" w:rsidRPr="004F0FE2">
        <w:t>palbociclib</w:t>
      </w:r>
      <w:proofErr w:type="spellEnd"/>
      <w:r w:rsidR="00F41DF7" w:rsidRPr="004F0FE2">
        <w:t xml:space="preserve"> with either </w:t>
      </w:r>
      <w:proofErr w:type="spellStart"/>
      <w:r w:rsidR="00F41DF7" w:rsidRPr="004F0FE2">
        <w:t>fulvestrant</w:t>
      </w:r>
      <w:proofErr w:type="spellEnd"/>
      <w:r w:rsidR="00F41DF7" w:rsidRPr="004F0FE2">
        <w:t xml:space="preserve"> or letrozole as initial therapy in women with endocrine-sensitive, ER+/HER2- metastatic breast cancer.</w:t>
      </w:r>
    </w:p>
    <w:p w14:paraId="43C64CBC" w14:textId="77777777" w:rsidR="0065712B" w:rsidRPr="004F0FE2" w:rsidRDefault="00196057" w:rsidP="00673269">
      <w:pPr>
        <w:pStyle w:val="Ttulo2"/>
        <w:ind w:right="567"/>
      </w:pPr>
      <w:bookmarkStart w:id="128" w:name="_Toc52468084"/>
      <w:r w:rsidRPr="004F0FE2">
        <w:t>Purpose</w:t>
      </w:r>
      <w:bookmarkEnd w:id="128"/>
      <w:r w:rsidRPr="004F0FE2">
        <w:t xml:space="preserve"> </w:t>
      </w:r>
    </w:p>
    <w:p w14:paraId="297AA609" w14:textId="13BBAB36" w:rsidR="00F41DF7" w:rsidRPr="004F0FE2" w:rsidRDefault="0065712B" w:rsidP="00673269">
      <w:pPr>
        <w:ind w:right="567"/>
        <w:rPr>
          <w:color w:val="000000"/>
          <w:lang w:eastAsia="es-ES"/>
        </w:rPr>
      </w:pPr>
      <w:r w:rsidRPr="004F0FE2">
        <w:t xml:space="preserve">PARSIFAL is an open-label, randomized, controlled, multicenter phase II study with the aim of assessing the efficacy and safety of the combination </w:t>
      </w:r>
      <w:proofErr w:type="spellStart"/>
      <w:r w:rsidRPr="004F0FE2">
        <w:t>palbociclib</w:t>
      </w:r>
      <w:proofErr w:type="spellEnd"/>
      <w:r w:rsidRPr="004F0FE2">
        <w:t xml:space="preserve"> plus </w:t>
      </w:r>
      <w:proofErr w:type="spellStart"/>
      <w:r w:rsidRPr="004F0FE2">
        <w:t>fulvestrant</w:t>
      </w:r>
      <w:proofErr w:type="spellEnd"/>
      <w:r w:rsidRPr="004F0FE2">
        <w:t xml:space="preserve"> v</w:t>
      </w:r>
      <w:r w:rsidR="001F516D" w:rsidRPr="004F0FE2">
        <w:t>ersus</w:t>
      </w:r>
      <w:r w:rsidRPr="004F0FE2">
        <w:t xml:space="preserve"> </w:t>
      </w:r>
      <w:proofErr w:type="spellStart"/>
      <w:r w:rsidRPr="004F0FE2">
        <w:t>palbociclib</w:t>
      </w:r>
      <w:proofErr w:type="spellEnd"/>
      <w:r w:rsidRPr="004F0FE2">
        <w:t xml:space="preserve"> plus letrozole in terms of PFS in women with </w:t>
      </w:r>
      <w:r w:rsidR="00F41DF7" w:rsidRPr="004F0FE2">
        <w:rPr>
          <w:color w:val="000000"/>
          <w:lang w:eastAsia="es-ES"/>
        </w:rPr>
        <w:t xml:space="preserve">endocrine-sensitive, </w:t>
      </w:r>
      <w:r w:rsidR="00F41DF7" w:rsidRPr="004F0FE2">
        <w:t xml:space="preserve">ER+/HER2- </w:t>
      </w:r>
      <w:r w:rsidR="00F41DF7" w:rsidRPr="004F0FE2">
        <w:rPr>
          <w:color w:val="000000"/>
          <w:lang w:eastAsia="es-ES"/>
        </w:rPr>
        <w:t>advanced BC.</w:t>
      </w:r>
    </w:p>
    <w:p w14:paraId="614063A9" w14:textId="77777777" w:rsidR="00196057" w:rsidRPr="004F0FE2" w:rsidRDefault="00196057" w:rsidP="00673269">
      <w:pPr>
        <w:pStyle w:val="Ttulo2"/>
        <w:ind w:right="567"/>
      </w:pPr>
      <w:bookmarkStart w:id="129" w:name="_Toc46085710"/>
      <w:bookmarkStart w:id="130" w:name="_Toc52468085"/>
      <w:r w:rsidRPr="004F0FE2">
        <w:t>Objectives</w:t>
      </w:r>
      <w:bookmarkStart w:id="131" w:name="_Toc349040003"/>
      <w:bookmarkStart w:id="132" w:name="_Toc349040194"/>
      <w:bookmarkStart w:id="133" w:name="_Toc349040660"/>
      <w:bookmarkStart w:id="134" w:name="_Toc350240037"/>
      <w:bookmarkStart w:id="135" w:name="_Toc350241346"/>
      <w:bookmarkStart w:id="136" w:name="_Toc350241421"/>
      <w:bookmarkStart w:id="137" w:name="_Toc350579970"/>
      <w:bookmarkStart w:id="138" w:name="_Toc350583781"/>
      <w:bookmarkStart w:id="139" w:name="_Toc350583900"/>
      <w:bookmarkStart w:id="140" w:name="_Toc351358042"/>
      <w:bookmarkStart w:id="141" w:name="_Toc351358632"/>
      <w:bookmarkStart w:id="142" w:name="_Toc352037261"/>
      <w:bookmarkStart w:id="143" w:name="_Toc352038897"/>
      <w:bookmarkStart w:id="144" w:name="_Toc352039630"/>
      <w:bookmarkStart w:id="145" w:name="_Toc352039729"/>
      <w:bookmarkStart w:id="146" w:name="_Toc377434679"/>
      <w:bookmarkStart w:id="147" w:name="_Toc377434845"/>
      <w:bookmarkStart w:id="148" w:name="_Toc377435003"/>
      <w:bookmarkStart w:id="149" w:name="_Toc377435141"/>
      <w:bookmarkStart w:id="150" w:name="_Toc377438544"/>
      <w:bookmarkStart w:id="151" w:name="_Toc392499774"/>
      <w:bookmarkStart w:id="152" w:name="_Toc392500406"/>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9"/>
      <w:bookmarkEnd w:id="130"/>
    </w:p>
    <w:p w14:paraId="7E3C33AA" w14:textId="7FD04D70" w:rsidR="00977932" w:rsidRDefault="009D5108" w:rsidP="00673269">
      <w:pPr>
        <w:pStyle w:val="Ttulo3"/>
        <w:ind w:right="567"/>
      </w:pPr>
      <w:bookmarkStart w:id="153" w:name="_Toc52468086"/>
      <w:r w:rsidRPr="004F0FE2">
        <w:t>Primary objectives and related outcomes</w:t>
      </w:r>
      <w:bookmarkEnd w:id="153"/>
    </w:p>
    <w:tbl>
      <w:tblPr>
        <w:tblW w:w="0" w:type="auto"/>
        <w:tblInd w:w="108" w:type="dxa"/>
        <w:tblBorders>
          <w:top w:val="single" w:sz="4" w:space="0" w:color="auto"/>
          <w:bottom w:val="single" w:sz="4" w:space="0" w:color="auto"/>
          <w:insideH w:val="single" w:sz="4" w:space="0" w:color="auto"/>
        </w:tblBorders>
        <w:tblLook w:val="04A0" w:firstRow="1" w:lastRow="0" w:firstColumn="1" w:lastColumn="0" w:noHBand="0" w:noVBand="1"/>
      </w:tblPr>
      <w:tblGrid>
        <w:gridCol w:w="4143"/>
        <w:gridCol w:w="4029"/>
      </w:tblGrid>
      <w:tr w:rsidR="002768B7" w:rsidRPr="00B372B3" w14:paraId="1E855A8B" w14:textId="77777777" w:rsidTr="00A5705E">
        <w:trPr>
          <w:trHeight w:val="389"/>
        </w:trPr>
        <w:tc>
          <w:tcPr>
            <w:tcW w:w="4143" w:type="dxa"/>
            <w:shd w:val="clear" w:color="auto" w:fill="auto"/>
            <w:vAlign w:val="center"/>
          </w:tcPr>
          <w:p w14:paraId="669708D3" w14:textId="77777777" w:rsidR="009D5108" w:rsidRPr="00B372B3" w:rsidRDefault="009D5108" w:rsidP="00673269">
            <w:pPr>
              <w:pStyle w:val="BodyText12"/>
              <w:spacing w:after="0" w:line="240" w:lineRule="auto"/>
              <w:ind w:left="0" w:right="567"/>
              <w:jc w:val="center"/>
              <w:rPr>
                <w:rFonts w:ascii="Arial" w:hAnsi="Arial" w:cs="Arial"/>
                <w:b/>
                <w:sz w:val="20"/>
              </w:rPr>
            </w:pPr>
            <w:r w:rsidRPr="00B372B3">
              <w:rPr>
                <w:rFonts w:ascii="Arial" w:hAnsi="Arial" w:cs="Arial"/>
                <w:b/>
                <w:sz w:val="20"/>
              </w:rPr>
              <w:t>Primary objective</w:t>
            </w:r>
          </w:p>
        </w:tc>
        <w:tc>
          <w:tcPr>
            <w:tcW w:w="4029" w:type="dxa"/>
            <w:shd w:val="clear" w:color="auto" w:fill="auto"/>
            <w:vAlign w:val="center"/>
          </w:tcPr>
          <w:p w14:paraId="4B3A8176" w14:textId="77777777" w:rsidR="009D5108" w:rsidRPr="00B372B3" w:rsidRDefault="009D5108" w:rsidP="00673269">
            <w:pPr>
              <w:pStyle w:val="BodyText12"/>
              <w:spacing w:after="0" w:line="240" w:lineRule="auto"/>
              <w:ind w:left="0" w:right="567"/>
              <w:jc w:val="center"/>
              <w:rPr>
                <w:rFonts w:ascii="Arial" w:hAnsi="Arial" w:cs="Arial"/>
                <w:b/>
                <w:sz w:val="20"/>
              </w:rPr>
            </w:pPr>
            <w:r w:rsidRPr="00B372B3">
              <w:rPr>
                <w:rFonts w:ascii="Arial" w:hAnsi="Arial" w:cs="Arial"/>
                <w:b/>
                <w:sz w:val="20"/>
              </w:rPr>
              <w:t>Endpoint of primary objective</w:t>
            </w:r>
          </w:p>
        </w:tc>
      </w:tr>
      <w:tr w:rsidR="002768B7" w:rsidRPr="00B372B3" w14:paraId="080D1884" w14:textId="77777777" w:rsidTr="00A5705E">
        <w:tc>
          <w:tcPr>
            <w:tcW w:w="4143" w:type="dxa"/>
            <w:shd w:val="clear" w:color="auto" w:fill="auto"/>
          </w:tcPr>
          <w:p w14:paraId="50C8841E" w14:textId="10F63443" w:rsidR="004C1F31" w:rsidRPr="00B372B3" w:rsidRDefault="009D5108" w:rsidP="00673269">
            <w:pPr>
              <w:pStyle w:val="SynopsisText"/>
              <w:spacing w:before="0" w:after="0"/>
              <w:ind w:right="567"/>
              <w:rPr>
                <w:rFonts w:ascii="Arial" w:hAnsi="Arial" w:cs="Arial"/>
                <w:sz w:val="20"/>
              </w:rPr>
            </w:pPr>
            <w:r w:rsidRPr="00B372B3">
              <w:rPr>
                <w:rFonts w:ascii="Arial" w:hAnsi="Arial" w:cs="Arial"/>
                <w:sz w:val="20"/>
              </w:rPr>
              <w:t xml:space="preserve">To compare the efficacy of the combination of </w:t>
            </w:r>
            <w:proofErr w:type="spellStart"/>
            <w:r w:rsidRPr="00B372B3">
              <w:rPr>
                <w:rFonts w:ascii="Arial" w:hAnsi="Arial" w:cs="Arial"/>
                <w:sz w:val="20"/>
              </w:rPr>
              <w:t>palbociclib</w:t>
            </w:r>
            <w:proofErr w:type="spellEnd"/>
            <w:r w:rsidRPr="00B372B3">
              <w:rPr>
                <w:rFonts w:ascii="Arial" w:hAnsi="Arial" w:cs="Arial"/>
                <w:sz w:val="20"/>
              </w:rPr>
              <w:t xml:space="preserve"> plus </w:t>
            </w:r>
            <w:proofErr w:type="spellStart"/>
            <w:r w:rsidRPr="00B372B3">
              <w:rPr>
                <w:rFonts w:ascii="Arial" w:hAnsi="Arial" w:cs="Arial"/>
                <w:sz w:val="20"/>
              </w:rPr>
              <w:t>fulvestrant</w:t>
            </w:r>
            <w:proofErr w:type="spellEnd"/>
            <w:r w:rsidRPr="00B372B3">
              <w:rPr>
                <w:rFonts w:ascii="Arial" w:hAnsi="Arial" w:cs="Arial"/>
                <w:sz w:val="20"/>
              </w:rPr>
              <w:t xml:space="preserve"> versus </w:t>
            </w:r>
            <w:proofErr w:type="spellStart"/>
            <w:r w:rsidRPr="00B372B3">
              <w:rPr>
                <w:rFonts w:ascii="Arial" w:hAnsi="Arial" w:cs="Arial"/>
                <w:sz w:val="20"/>
              </w:rPr>
              <w:t>palbociclib</w:t>
            </w:r>
            <w:proofErr w:type="spellEnd"/>
            <w:r w:rsidRPr="00B372B3">
              <w:rPr>
                <w:rFonts w:ascii="Arial" w:hAnsi="Arial" w:cs="Arial"/>
                <w:sz w:val="20"/>
              </w:rPr>
              <w:t xml:space="preserve"> plus letrozole in terms </w:t>
            </w:r>
            <w:r w:rsidR="005A6F4A">
              <w:rPr>
                <w:rFonts w:ascii="Arial" w:hAnsi="Arial" w:cs="Arial"/>
                <w:sz w:val="20"/>
              </w:rPr>
              <w:t xml:space="preserve">of </w:t>
            </w:r>
            <w:r w:rsidR="004C1F31" w:rsidRPr="00B372B3">
              <w:rPr>
                <w:rFonts w:ascii="Arial" w:hAnsi="Arial" w:cs="Arial"/>
                <w:sz w:val="20"/>
              </w:rPr>
              <w:t>progression-free survival (PFS) in patients with hormone-sensitive, estrogen receptor-positive (ER+), human epidermal growth factor receptor 2-negative (HER2-) locally advanced or metastatic breast cancer (</w:t>
            </w:r>
            <w:proofErr w:type="spellStart"/>
            <w:r w:rsidR="004C1F31" w:rsidRPr="00B372B3">
              <w:rPr>
                <w:rFonts w:ascii="Arial" w:hAnsi="Arial" w:cs="Arial"/>
                <w:sz w:val="20"/>
              </w:rPr>
              <w:t>mBC</w:t>
            </w:r>
            <w:proofErr w:type="spellEnd"/>
            <w:r w:rsidR="004C1F31" w:rsidRPr="00B372B3">
              <w:rPr>
                <w:rFonts w:ascii="Arial" w:hAnsi="Arial" w:cs="Arial"/>
                <w:sz w:val="20"/>
              </w:rPr>
              <w:t>).</w:t>
            </w:r>
          </w:p>
          <w:p w14:paraId="7CEF55B1" w14:textId="66366B8A" w:rsidR="009D5108" w:rsidRPr="00B372B3" w:rsidRDefault="009D5108" w:rsidP="00673269">
            <w:pPr>
              <w:pStyle w:val="BodyText12"/>
              <w:spacing w:after="0" w:line="240" w:lineRule="auto"/>
              <w:ind w:left="0" w:right="567"/>
              <w:rPr>
                <w:rFonts w:ascii="Arial" w:hAnsi="Arial" w:cs="Arial"/>
                <w:sz w:val="20"/>
              </w:rPr>
            </w:pPr>
          </w:p>
          <w:p w14:paraId="04B76748" w14:textId="77777777" w:rsidR="00196057" w:rsidRPr="00B372B3" w:rsidRDefault="00196057" w:rsidP="00673269">
            <w:pPr>
              <w:pStyle w:val="BodyText12"/>
              <w:spacing w:after="0" w:line="240" w:lineRule="auto"/>
              <w:ind w:left="0" w:right="567"/>
              <w:rPr>
                <w:rFonts w:ascii="Arial" w:hAnsi="Arial" w:cs="Arial"/>
                <w:sz w:val="20"/>
              </w:rPr>
            </w:pPr>
          </w:p>
        </w:tc>
        <w:tc>
          <w:tcPr>
            <w:tcW w:w="4029" w:type="dxa"/>
            <w:shd w:val="clear" w:color="auto" w:fill="auto"/>
          </w:tcPr>
          <w:p w14:paraId="646B5E25" w14:textId="20F52C3D" w:rsidR="004C1F31" w:rsidRPr="00B372B3" w:rsidRDefault="001F516D" w:rsidP="00673269">
            <w:pPr>
              <w:spacing w:after="0" w:line="240" w:lineRule="auto"/>
              <w:ind w:right="567"/>
            </w:pPr>
            <w:r w:rsidRPr="00B372B3">
              <w:t>PFS</w:t>
            </w:r>
            <w:r w:rsidR="004C1F31" w:rsidRPr="00B372B3">
              <w:t>, defined as the time from randomization until objective tumor progression or death, as assessed by the investigator according to Response Evaluation Criteria in Solid Tumors (RECIST) v1.1</w:t>
            </w:r>
            <w:r w:rsidR="004C1F31" w:rsidRPr="00B372B3">
              <w:fldChar w:fldCharType="begin" w:fldLock="1"/>
            </w:r>
            <w:r w:rsidR="004C1F31" w:rsidRPr="00B372B3">
              <w:instrText>ADDIN CSL_CITATION {"citationItems":[{"id":"ITEM-1","itemData":{"DOI":"10.1016/j.ejca.2008.10.026","author":[{"dropping-particle":"","family":"Eisenhauer","given":"E A","non-dropping-particle":"","parse-names":false,"suffix":""},{"dropping-particle":"","family":"Therasse","given":"P","non-dropping-particle":"","parse-names":false,"suffix":""},{"dropping-particle":"","family":"Bogaerts","given":"J","non-dropping-particle":"","parse-names":false,"suffix":""},{"dropping-particle":"","family":"Schwartz","given":"L H","non-dropping-particle":"","parse-names":false,"suffix":""},{"dropping-particle":"","family":"Sargent","given":"D","non-dropping-particle":"","parse-names":false,"suffix":""},{"dropping-particle":"","family":"Ford","given":"R","non-dropping-particle":"","parse-names":false,"suffix":""},{"dropping-particle":"","family":"Dancey","given":"J","non-dropping-particle":"","parse-names":false,"suffix":""},{"dropping-particle":"","family":"Arbuck","given":"S","non-dropping-particle":"","parse-names":false,"suffix":""},{"dropping-particle":"","family":"Gwyther","given":"S","non-dropping-particle":"","parse-names":false,"suffix":""},{"dropping-particle":"","family":"Mooney","given":"M","non-dropping-particle":"","parse-names":false,"suffix":""},{"dropping-particle":"","family":"Rubinstein","given":"L","non-dropping-particle":"","parse-names":false,"suffix":""},{"dropping-particle":"","family":"Shankar","given":"L","non-dropping-particle":"","parse-names":false,"suffix":""},{"dropping-particle":"","family":"Dodd","given":"L","non-dropping-particle":"","parse-names":false,"suffix":""},{"dropping-particle":"","family":"Kaplan","given":"R","non-dropping-particle":"","parse-names":false,"suffix":""},{"dropping-particle":"","family":"Lacombe","given":"D","non-dropping-particle":"","parse-names":false,"suffix":""},{"dropping-particle":"","family":"Verweij","given":"J","non-dropping-particle":"","parse-names":false,"suffix":""},{"dropping-particle":"","family":"Biologicals","given":"Glaxosmithkline","non-dropping-particle":"","parse-names":false,"suffix":""}],"id":"ITEM-1","issued":{"date-parts":[["0"]]},"title":"New response evaluation criteria in solid tumours: Revised RECIST guideline (version 1.1)","type":"article-journal"},"uris":["http://www.mendeley.com/documents/?uuid=55e3775d-6a22-3545-9f5a-de04960dda69"]}],"mendeley":{"formattedCitation":"[1]","plainTextFormattedCitation":"[1]","previouslyFormattedCitation":"[1]"},"properties":{"noteIndex":0},"schema":"https://github.com/citation-style-language/schema/raw/master/csl-citation.json"}</w:instrText>
            </w:r>
            <w:r w:rsidR="004C1F31" w:rsidRPr="00B372B3">
              <w:fldChar w:fldCharType="separate"/>
            </w:r>
            <w:r w:rsidR="004C1F31" w:rsidRPr="00B372B3">
              <w:t>[1]</w:t>
            </w:r>
            <w:r w:rsidR="004C1F31" w:rsidRPr="00B372B3">
              <w:fldChar w:fldCharType="end"/>
            </w:r>
            <w:r w:rsidR="004C1F31" w:rsidRPr="00B372B3">
              <w:t>.</w:t>
            </w:r>
          </w:p>
          <w:p w14:paraId="0B01F1ED" w14:textId="1BA001A2" w:rsidR="009D5108" w:rsidRPr="00B372B3" w:rsidRDefault="009D5108" w:rsidP="00673269">
            <w:pPr>
              <w:pStyle w:val="BodyText12"/>
              <w:spacing w:after="0" w:line="240" w:lineRule="auto"/>
              <w:ind w:left="0" w:right="567"/>
              <w:rPr>
                <w:rFonts w:ascii="Arial" w:hAnsi="Arial" w:cs="Arial"/>
                <w:sz w:val="20"/>
              </w:rPr>
            </w:pPr>
          </w:p>
          <w:p w14:paraId="64AAD07C" w14:textId="77777777" w:rsidR="009D5108" w:rsidRPr="00B372B3" w:rsidRDefault="009D5108" w:rsidP="00673269">
            <w:pPr>
              <w:pStyle w:val="BodyText12"/>
              <w:spacing w:after="0" w:line="240" w:lineRule="auto"/>
              <w:ind w:left="0" w:right="567"/>
              <w:rPr>
                <w:rFonts w:ascii="Arial" w:hAnsi="Arial" w:cs="Arial"/>
                <w:sz w:val="20"/>
              </w:rPr>
            </w:pPr>
          </w:p>
        </w:tc>
      </w:tr>
    </w:tbl>
    <w:p w14:paraId="79722FE7" w14:textId="3FE81500" w:rsidR="009D5108" w:rsidRDefault="009D5108" w:rsidP="00673269">
      <w:pPr>
        <w:pStyle w:val="BodyText12"/>
        <w:ind w:right="567"/>
        <w:rPr>
          <w:rFonts w:ascii="Arial" w:hAnsi="Arial" w:cs="Arial"/>
          <w:sz w:val="20"/>
        </w:rPr>
      </w:pPr>
    </w:p>
    <w:p w14:paraId="457A7B10" w14:textId="06CFFB65" w:rsidR="00673269" w:rsidRDefault="00673269" w:rsidP="00673269">
      <w:pPr>
        <w:pStyle w:val="BodyText12"/>
        <w:ind w:right="567"/>
        <w:rPr>
          <w:rFonts w:ascii="Arial" w:hAnsi="Arial" w:cs="Arial"/>
          <w:sz w:val="20"/>
        </w:rPr>
      </w:pPr>
    </w:p>
    <w:p w14:paraId="73EBF85A" w14:textId="77777777" w:rsidR="00673269" w:rsidRPr="004F0FE2" w:rsidRDefault="00673269" w:rsidP="00673269">
      <w:pPr>
        <w:pStyle w:val="BodyText12"/>
        <w:ind w:right="567"/>
        <w:rPr>
          <w:rFonts w:ascii="Arial" w:hAnsi="Arial" w:cs="Arial"/>
          <w:sz w:val="20"/>
        </w:rPr>
      </w:pPr>
    </w:p>
    <w:p w14:paraId="2CA4BAB6" w14:textId="77777777" w:rsidR="009D5108" w:rsidRPr="004F0FE2" w:rsidRDefault="009D5108" w:rsidP="00673269">
      <w:pPr>
        <w:pStyle w:val="Ttulo3"/>
        <w:ind w:right="567"/>
      </w:pPr>
      <w:bookmarkStart w:id="154" w:name="_Toc52468087"/>
      <w:r w:rsidRPr="004F0FE2">
        <w:lastRenderedPageBreak/>
        <w:t>Secondary objectives and related outcomes</w:t>
      </w:r>
      <w:bookmarkEnd w:id="154"/>
    </w:p>
    <w:tbl>
      <w:tblPr>
        <w:tblW w:w="0" w:type="auto"/>
        <w:tblInd w:w="142" w:type="dxa"/>
        <w:tblBorders>
          <w:top w:val="single" w:sz="4" w:space="0" w:color="auto"/>
          <w:bottom w:val="single" w:sz="4" w:space="0" w:color="auto"/>
          <w:insideH w:val="single" w:sz="4" w:space="0" w:color="auto"/>
        </w:tblBorders>
        <w:tblLook w:val="04A0" w:firstRow="1" w:lastRow="0" w:firstColumn="1" w:lastColumn="0" w:noHBand="0" w:noVBand="1"/>
      </w:tblPr>
      <w:tblGrid>
        <w:gridCol w:w="4111"/>
        <w:gridCol w:w="4027"/>
      </w:tblGrid>
      <w:tr w:rsidR="002768B7" w:rsidRPr="00A60103" w14:paraId="64C06D0C" w14:textId="77777777" w:rsidTr="00A60103">
        <w:trPr>
          <w:trHeight w:val="362"/>
        </w:trPr>
        <w:tc>
          <w:tcPr>
            <w:tcW w:w="4111" w:type="dxa"/>
            <w:shd w:val="clear" w:color="auto" w:fill="auto"/>
            <w:vAlign w:val="center"/>
          </w:tcPr>
          <w:p w14:paraId="469BB374" w14:textId="77777777" w:rsidR="002768B7" w:rsidRPr="00A60103" w:rsidRDefault="002768B7" w:rsidP="00673269">
            <w:pPr>
              <w:pStyle w:val="BodyText12"/>
              <w:spacing w:after="0" w:line="240" w:lineRule="auto"/>
              <w:ind w:left="360" w:right="567"/>
              <w:jc w:val="center"/>
              <w:rPr>
                <w:rFonts w:ascii="Arial" w:hAnsi="Arial" w:cs="Arial"/>
                <w:b/>
                <w:sz w:val="20"/>
              </w:rPr>
            </w:pPr>
            <w:r w:rsidRPr="00A60103">
              <w:rPr>
                <w:rFonts w:ascii="Arial" w:hAnsi="Arial" w:cs="Arial"/>
                <w:b/>
                <w:sz w:val="20"/>
              </w:rPr>
              <w:t>Secondary objective</w:t>
            </w:r>
            <w:r w:rsidR="00164DE4" w:rsidRPr="00A60103">
              <w:rPr>
                <w:rFonts w:ascii="Arial" w:hAnsi="Arial" w:cs="Arial"/>
                <w:b/>
                <w:sz w:val="20"/>
              </w:rPr>
              <w:t>s</w:t>
            </w:r>
          </w:p>
        </w:tc>
        <w:tc>
          <w:tcPr>
            <w:tcW w:w="4027" w:type="dxa"/>
            <w:shd w:val="clear" w:color="auto" w:fill="auto"/>
            <w:vAlign w:val="center"/>
          </w:tcPr>
          <w:p w14:paraId="5E405316" w14:textId="77777777" w:rsidR="002768B7" w:rsidRPr="00A60103" w:rsidRDefault="002768B7" w:rsidP="00673269">
            <w:pPr>
              <w:pStyle w:val="BodyText12"/>
              <w:spacing w:after="0" w:line="240" w:lineRule="auto"/>
              <w:ind w:left="360" w:right="567"/>
              <w:jc w:val="center"/>
              <w:rPr>
                <w:rFonts w:ascii="Arial" w:hAnsi="Arial" w:cs="Arial"/>
                <w:b/>
                <w:sz w:val="20"/>
              </w:rPr>
            </w:pPr>
            <w:r w:rsidRPr="00A60103">
              <w:rPr>
                <w:rFonts w:ascii="Arial" w:hAnsi="Arial" w:cs="Arial"/>
                <w:b/>
                <w:sz w:val="20"/>
              </w:rPr>
              <w:t>Endpoint of secondary objective</w:t>
            </w:r>
            <w:r w:rsidR="00164DE4" w:rsidRPr="00A60103">
              <w:rPr>
                <w:rFonts w:ascii="Arial" w:hAnsi="Arial" w:cs="Arial"/>
                <w:b/>
                <w:sz w:val="20"/>
              </w:rPr>
              <w:t>s</w:t>
            </w:r>
          </w:p>
        </w:tc>
      </w:tr>
      <w:tr w:rsidR="004C1F31" w:rsidRPr="00A60103" w14:paraId="75D28C4B" w14:textId="77777777" w:rsidTr="00A60103">
        <w:tc>
          <w:tcPr>
            <w:tcW w:w="4111" w:type="dxa"/>
            <w:shd w:val="clear" w:color="auto" w:fill="auto"/>
          </w:tcPr>
          <w:p w14:paraId="612866C4" w14:textId="55405F7B" w:rsidR="004C1F31" w:rsidRPr="00A60103" w:rsidRDefault="004C1F31" w:rsidP="00673269">
            <w:pPr>
              <w:spacing w:line="240" w:lineRule="auto"/>
              <w:ind w:right="567"/>
            </w:pPr>
            <w:r w:rsidRPr="00A60103">
              <w:t xml:space="preserve">To compare the time to progression (TTP) of patients randomized in the </w:t>
            </w:r>
            <w:proofErr w:type="spellStart"/>
            <w:r w:rsidRPr="00A60103">
              <w:t>palbociclib</w:t>
            </w:r>
            <w:proofErr w:type="spellEnd"/>
            <w:r w:rsidRPr="00A60103">
              <w:t xml:space="preserve"> plus </w:t>
            </w:r>
            <w:proofErr w:type="spellStart"/>
            <w:r w:rsidRPr="00A60103">
              <w:t>fulvestrant</w:t>
            </w:r>
            <w:proofErr w:type="spellEnd"/>
            <w:r w:rsidRPr="00A60103">
              <w:t xml:space="preserve"> and </w:t>
            </w:r>
            <w:proofErr w:type="spellStart"/>
            <w:r w:rsidRPr="00A60103">
              <w:t>palbociclib</w:t>
            </w:r>
            <w:proofErr w:type="spellEnd"/>
            <w:r w:rsidRPr="00A60103">
              <w:t xml:space="preserve"> plus letrozole arms.</w:t>
            </w:r>
          </w:p>
        </w:tc>
        <w:tc>
          <w:tcPr>
            <w:tcW w:w="4027" w:type="dxa"/>
            <w:shd w:val="clear" w:color="auto" w:fill="auto"/>
          </w:tcPr>
          <w:p w14:paraId="65FB5401" w14:textId="3F6ACAED" w:rsidR="004C1F31" w:rsidRPr="00A60103" w:rsidRDefault="00A60103" w:rsidP="00673269">
            <w:pPr>
              <w:spacing w:line="240" w:lineRule="auto"/>
              <w:ind w:right="567"/>
            </w:pPr>
            <w:r w:rsidRPr="00A60103">
              <w:t>TTP</w:t>
            </w:r>
            <w:r>
              <w:t>,</w:t>
            </w:r>
            <w:r w:rsidRPr="00A60103">
              <w:t xml:space="preserve"> defined as the time from randomization to disease progression, as assessed by the investigator according to RECIST v1.1 </w:t>
            </w:r>
            <w:r w:rsidRPr="00A60103">
              <w:fldChar w:fldCharType="begin" w:fldLock="1"/>
            </w:r>
            <w:r w:rsidRPr="00A60103">
              <w:instrText>ADDIN CSL_CITATION {"citationItems":[{"id":"ITEM-1","itemData":{"DOI":"10.1016/j.ejca.2008.10.026","author":[{"dropping-particle":"","family":"Eisenhauer","given":"E A","non-dropping-particle":"","parse-names":false,"suffix":""},{"dropping-particle":"","family":"Therasse","given":"P","non-dropping-particle":"","parse-names":false,"suffix":""},{"dropping-particle":"","family":"Bogaerts","given":"J","non-dropping-particle":"","parse-names":false,"suffix":""},{"dropping-particle":"","family":"Schwartz","given":"L H","non-dropping-particle":"","parse-names":false,"suffix":""},{"dropping-particle":"","family":"Sargent","given":"D","non-dropping-particle":"","parse-names":false,"suffix":""},{"dropping-particle":"","family":"Ford","given":"R","non-dropping-particle":"","parse-names":false,"suffix":""},{"dropping-particle":"","family":"Dancey","given":"J","non-dropping-particle":"","parse-names":false,"suffix":""},{"dropping-particle":"","family":"Arbuck","given":"S","non-dropping-particle":"","parse-names":false,"suffix":""},{"dropping-particle":"","family":"Gwyther","given":"S","non-dropping-particle":"","parse-names":false,"suffix":""},{"dropping-particle":"","family":"Mooney","given":"M","non-dropping-particle":"","parse-names":false,"suffix":""},{"dropping-particle":"","family":"Rubinstein","given":"L","non-dropping-particle":"","parse-names":false,"suffix":""},{"dropping-particle":"","family":"Shankar","given":"L","non-dropping-particle":"","parse-names":false,"suffix":""},{"dropping-particle":"","family":"Dodd","given":"L","non-dropping-particle":"","parse-names":false,"suffix":""},{"dropping-particle":"","family":"Kaplan","given":"R","non-dropping-particle":"","parse-names":false,"suffix":""},{"dropping-particle":"","family":"Lacombe","given":"D","non-dropping-particle":"","parse-names":false,"suffix":""},{"dropping-particle":"","family":"Verweij","given":"J","non-dropping-particle":"","parse-names":false,"suffix":""},{"dropping-particle":"","family":"Biologicals","given":"Glaxosmithkline","non-dropping-particle":"","parse-names":false,"suffix":""}],"id":"ITEM-1","issued":{"date-parts":[["0"]]},"title":"New response evaluation criteria in solid tumours: Revised RECIST guideline (version 1.1)","type":"article-journal"},"uris":["http://www.mendeley.com/documents/?uuid=55e3775d-6a22-3545-9f5a-de04960dda69"]}],"mendeley":{"formattedCitation":"[1]","plainTextFormattedCitation":"[1]","previouslyFormattedCitation":"[1]"},"properties":{"noteIndex":0},"schema":"https://github.com/citation-style-language/schema/raw/master/csl-citation.json"}</w:instrText>
            </w:r>
            <w:r w:rsidRPr="00A60103">
              <w:fldChar w:fldCharType="separate"/>
            </w:r>
            <w:r w:rsidRPr="00A60103">
              <w:t>[1]</w:t>
            </w:r>
            <w:r w:rsidRPr="00A60103">
              <w:fldChar w:fldCharType="end"/>
            </w:r>
            <w:r w:rsidRPr="00A60103">
              <w:t>.</w:t>
            </w:r>
          </w:p>
        </w:tc>
      </w:tr>
      <w:tr w:rsidR="007D56E4" w:rsidRPr="00A60103" w14:paraId="6206BA87" w14:textId="77777777" w:rsidTr="00A60103">
        <w:tc>
          <w:tcPr>
            <w:tcW w:w="4111" w:type="dxa"/>
            <w:shd w:val="clear" w:color="auto" w:fill="auto"/>
          </w:tcPr>
          <w:p w14:paraId="6B0794F8" w14:textId="77777777" w:rsidR="007D56E4" w:rsidRPr="00A60103" w:rsidRDefault="007D56E4" w:rsidP="00673269">
            <w:pPr>
              <w:spacing w:after="0" w:line="240" w:lineRule="auto"/>
              <w:ind w:right="567"/>
            </w:pPr>
            <w:r w:rsidRPr="00A60103">
              <w:t>To</w:t>
            </w:r>
            <w:r>
              <w:t xml:space="preserve"> compare the clinical response, </w:t>
            </w:r>
            <w:r w:rsidRPr="00A60103">
              <w:t>in terms of clinical benefit</w:t>
            </w:r>
            <w:r>
              <w:t xml:space="preserve"> rate (CBR)</w:t>
            </w:r>
            <w:r w:rsidRPr="00A60103">
              <w:t xml:space="preserve"> and overall response</w:t>
            </w:r>
            <w:r>
              <w:t xml:space="preserve"> rate (ORR</w:t>
            </w:r>
            <w:r w:rsidRPr="00A60103">
              <w:t xml:space="preserve">) of patients randomized in the </w:t>
            </w:r>
            <w:proofErr w:type="spellStart"/>
            <w:r w:rsidRPr="00A60103">
              <w:t>palbociclib</w:t>
            </w:r>
            <w:proofErr w:type="spellEnd"/>
            <w:r w:rsidRPr="00A60103">
              <w:t xml:space="preserve"> plus </w:t>
            </w:r>
            <w:proofErr w:type="spellStart"/>
            <w:r w:rsidRPr="00A60103">
              <w:t>fulvestrant</w:t>
            </w:r>
            <w:proofErr w:type="spellEnd"/>
            <w:r w:rsidRPr="00A60103">
              <w:t xml:space="preserve"> and </w:t>
            </w:r>
            <w:proofErr w:type="spellStart"/>
            <w:r w:rsidRPr="00A60103">
              <w:t>palbociclib</w:t>
            </w:r>
            <w:proofErr w:type="spellEnd"/>
            <w:r w:rsidRPr="00A60103">
              <w:t xml:space="preserve"> plus letrozole arms. </w:t>
            </w:r>
          </w:p>
          <w:p w14:paraId="08B44734" w14:textId="77777777" w:rsidR="007D56E4" w:rsidRPr="00A60103" w:rsidRDefault="007D56E4" w:rsidP="00673269">
            <w:pPr>
              <w:spacing w:after="0" w:line="240" w:lineRule="auto"/>
              <w:ind w:right="567"/>
            </w:pPr>
          </w:p>
        </w:tc>
        <w:tc>
          <w:tcPr>
            <w:tcW w:w="4027" w:type="dxa"/>
            <w:shd w:val="clear" w:color="auto" w:fill="auto"/>
          </w:tcPr>
          <w:p w14:paraId="1CEAE8C1" w14:textId="77777777" w:rsidR="007D56E4" w:rsidRPr="00A60103" w:rsidRDefault="007D56E4" w:rsidP="00673269">
            <w:pPr>
              <w:spacing w:line="240" w:lineRule="auto"/>
              <w:ind w:right="567"/>
            </w:pPr>
            <w:r w:rsidRPr="00A60103">
              <w:t xml:space="preserve">ORR defined as the proportion of patients with best overall response of confirmed CR or </w:t>
            </w:r>
            <w:r>
              <w:t>PR</w:t>
            </w:r>
            <w:r w:rsidRPr="00A60103">
              <w:t xml:space="preserve"> based on local investigator’s assessment according to RECIST v1.1 </w:t>
            </w:r>
            <w:r w:rsidRPr="00A60103">
              <w:fldChar w:fldCharType="begin" w:fldLock="1"/>
            </w:r>
            <w:r w:rsidRPr="00A60103">
              <w:instrText>ADDIN CSL_CITATION {"citationItems":[{"id":"ITEM-1","itemData":{"DOI":"10.1016/j.ejca.2008.10.026","author":[{"dropping-particle":"","family":"Eisenhauer","given":"E A","non-dropping-particle":"","parse-names":false,"suffix":""},{"dropping-particle":"","family":"Therasse","given":"P","non-dropping-particle":"","parse-names":false,"suffix":""},{"dropping-particle":"","family":"Bogaerts","given":"J","non-dropping-particle":"","parse-names":false,"suffix":""},{"dropping-particle":"","family":"Schwartz","given":"L H","non-dropping-particle":"","parse-names":false,"suffix":""},{"dropping-particle":"","family":"Sargent","given":"D","non-dropping-particle":"","parse-names":false,"suffix":""},{"dropping-particle":"","family":"Ford","given":"R","non-dropping-particle":"","parse-names":false,"suffix":""},{"dropping-particle":"","family":"Dancey","given":"J","non-dropping-particle":"","parse-names":false,"suffix":""},{"dropping-particle":"","family":"Arbuck","given":"S","non-dropping-particle":"","parse-names":false,"suffix":""},{"dropping-particle":"","family":"Gwyther","given":"S","non-dropping-particle":"","parse-names":false,"suffix":""},{"dropping-particle":"","family":"Mooney","given":"M","non-dropping-particle":"","parse-names":false,"suffix":""},{"dropping-particle":"","family":"Rubinstein","given":"L","non-dropping-particle":"","parse-names":false,"suffix":""},{"dropping-particle":"","family":"Shankar","given":"L","non-dropping-particle":"","parse-names":false,"suffix":""},{"dropping-particle":"","family":"Dodd","given":"L","non-dropping-particle":"","parse-names":false,"suffix":""},{"dropping-particle":"","family":"Kaplan","given":"R","non-dropping-particle":"","parse-names":false,"suffix":""},{"dropping-particle":"","family":"Lacombe","given":"D","non-dropping-particle":"","parse-names":false,"suffix":""},{"dropping-particle":"","family":"Verweij","given":"J","non-dropping-particle":"","parse-names":false,"suffix":""},{"dropping-particle":"","family":"Biologicals","given":"Glaxosmithkline","non-dropping-particle":"","parse-names":false,"suffix":""}],"id":"ITEM-1","issued":{"date-parts":[["0"]]},"title":"New response evaluation criteria in solid tumours: Revised RECIST guideline (version 1.1)","type":"article-journal"},"uris":["http://www.mendeley.com/documents/?uuid=55e3775d-6a22-3545-9f5a-de04960dda69"]}],"mendeley":{"formattedCitation":"[1]","plainTextFormattedCitation":"[1]","previouslyFormattedCitation":"[1]"},"properties":{"noteIndex":0},"schema":"https://github.com/citation-style-language/schema/raw/master/csl-citation.json"}</w:instrText>
            </w:r>
            <w:r w:rsidRPr="00A60103">
              <w:fldChar w:fldCharType="separate"/>
            </w:r>
            <w:r w:rsidRPr="00A60103">
              <w:t>[1]</w:t>
            </w:r>
            <w:r w:rsidRPr="00A60103">
              <w:fldChar w:fldCharType="end"/>
            </w:r>
            <w:r w:rsidRPr="00A60103">
              <w:t xml:space="preserve">. </w:t>
            </w:r>
          </w:p>
          <w:p w14:paraId="071C416E" w14:textId="7AEFF4EC" w:rsidR="007D56E4" w:rsidRPr="00A60103" w:rsidRDefault="007D56E4" w:rsidP="00673269">
            <w:pPr>
              <w:spacing w:line="240" w:lineRule="auto"/>
              <w:ind w:right="567"/>
            </w:pPr>
            <w:r w:rsidRPr="00A60103">
              <w:t xml:space="preserve">CBR defined as the percentage of patients who experience a CR, PR or stable disease (for at least 24 weeks) </w:t>
            </w:r>
            <w:r>
              <w:t xml:space="preserve">based on </w:t>
            </w:r>
            <w:r w:rsidRPr="00A60103">
              <w:t xml:space="preserve">local investigator’s assessment according to RECIST v1.1 </w:t>
            </w:r>
            <w:r w:rsidRPr="00A60103">
              <w:fldChar w:fldCharType="begin" w:fldLock="1"/>
            </w:r>
            <w:r w:rsidRPr="00A60103">
              <w:instrText>ADDIN CSL_CITATION {"citationItems":[{"id":"ITEM-1","itemData":{"DOI":"10.1016/j.ejca.2008.10.026","author":[{"dropping-particle":"","family":"Eisenhauer","given":"E A","non-dropping-particle":"","parse-names":false,"suffix":""},{"dropping-particle":"","family":"Therasse","given":"P","non-dropping-particle":"","parse-names":false,"suffix":""},{"dropping-particle":"","family":"Bogaerts","given":"J","non-dropping-particle":"","parse-names":false,"suffix":""},{"dropping-particle":"","family":"Schwartz","given":"L H","non-dropping-particle":"","parse-names":false,"suffix":""},{"dropping-particle":"","family":"Sargent","given":"D","non-dropping-particle":"","parse-names":false,"suffix":""},{"dropping-particle":"","family":"Ford","given":"R","non-dropping-particle":"","parse-names":false,"suffix":""},{"dropping-particle":"","family":"Dancey","given":"J","non-dropping-particle":"","parse-names":false,"suffix":""},{"dropping-particle":"","family":"Arbuck","given":"S","non-dropping-particle":"","parse-names":false,"suffix":""},{"dropping-particle":"","family":"Gwyther","given":"S","non-dropping-particle":"","parse-names":false,"suffix":""},{"dropping-particle":"","family":"Mooney","given":"M","non-dropping-particle":"","parse-names":false,"suffix":""},{"dropping-particle":"","family":"Rubinstein","given":"L","non-dropping-particle":"","parse-names":false,"suffix":""},{"dropping-particle":"","family":"Shankar","given":"L","non-dropping-particle":"","parse-names":false,"suffix":""},{"dropping-particle":"","family":"Dodd","given":"L","non-dropping-particle":"","parse-names":false,"suffix":""},{"dropping-particle":"","family":"Kaplan","given":"R","non-dropping-particle":"","parse-names":false,"suffix":""},{"dropping-particle":"","family":"Lacombe","given":"D","non-dropping-particle":"","parse-names":false,"suffix":""},{"dropping-particle":"","family":"Verweij","given":"J","non-dropping-particle":"","parse-names":false,"suffix":""},{"dropping-particle":"","family":"Biologicals","given":"Glaxosmithkline","non-dropping-particle":"","parse-names":false,"suffix":""}],"id":"ITEM-1","issued":{"date-parts":[["0"]]},"title":"New response evaluation criteria in solid tumours: Revised RECIST guideline (version 1.1)","type":"article-journal"},"uris":["http://www.mendeley.com/documents/?uuid=55e3775d-6a22-3545-9f5a-de04960dda69"]}],"mendeley":{"formattedCitation":"[1]","plainTextFormattedCitation":"[1]","previouslyFormattedCitation":"[1]"},"properties":{"noteIndex":0},"schema":"https://github.com/citation-style-language/schema/raw/master/csl-citation.json"}</w:instrText>
            </w:r>
            <w:r w:rsidRPr="00A60103">
              <w:fldChar w:fldCharType="separate"/>
            </w:r>
            <w:r w:rsidRPr="00A60103">
              <w:t>[1]</w:t>
            </w:r>
            <w:r w:rsidRPr="00A60103">
              <w:fldChar w:fldCharType="end"/>
            </w:r>
            <w:r w:rsidRPr="00A60103">
              <w:t>.</w:t>
            </w:r>
          </w:p>
        </w:tc>
      </w:tr>
      <w:tr w:rsidR="004C1F31" w:rsidRPr="00A60103" w14:paraId="440B4AD2" w14:textId="77777777" w:rsidTr="00A60103">
        <w:tc>
          <w:tcPr>
            <w:tcW w:w="4111" w:type="dxa"/>
            <w:shd w:val="clear" w:color="auto" w:fill="auto"/>
          </w:tcPr>
          <w:p w14:paraId="7F682F29" w14:textId="77777777" w:rsidR="004C1F31" w:rsidRPr="00A60103" w:rsidRDefault="004C1F31" w:rsidP="00673269">
            <w:pPr>
              <w:spacing w:after="0" w:line="240" w:lineRule="auto"/>
              <w:ind w:right="567"/>
            </w:pPr>
            <w:r w:rsidRPr="00A60103">
              <w:t>To compare the duration of response (</w:t>
            </w:r>
            <w:proofErr w:type="spellStart"/>
            <w:r w:rsidRPr="00A60103">
              <w:t>DoR</w:t>
            </w:r>
            <w:proofErr w:type="spellEnd"/>
            <w:r w:rsidRPr="00A60103">
              <w:t xml:space="preserve">) of patients randomized in the </w:t>
            </w:r>
            <w:proofErr w:type="spellStart"/>
            <w:r w:rsidRPr="00A60103">
              <w:t>palbociclib</w:t>
            </w:r>
            <w:proofErr w:type="spellEnd"/>
            <w:r w:rsidRPr="00A60103">
              <w:t xml:space="preserve"> plus </w:t>
            </w:r>
            <w:proofErr w:type="spellStart"/>
            <w:r w:rsidRPr="00A60103">
              <w:t>fulvestrant</w:t>
            </w:r>
            <w:proofErr w:type="spellEnd"/>
            <w:r w:rsidRPr="00A60103">
              <w:t xml:space="preserve"> and </w:t>
            </w:r>
            <w:proofErr w:type="spellStart"/>
            <w:r w:rsidRPr="00A60103">
              <w:t>palbociclib</w:t>
            </w:r>
            <w:proofErr w:type="spellEnd"/>
            <w:r w:rsidRPr="00A60103">
              <w:t xml:space="preserve"> plus letrozole arms.</w:t>
            </w:r>
          </w:p>
          <w:p w14:paraId="7F9D9CC6" w14:textId="77777777" w:rsidR="004C1F31" w:rsidRPr="00A60103" w:rsidRDefault="004C1F31" w:rsidP="00673269">
            <w:pPr>
              <w:spacing w:after="0" w:line="240" w:lineRule="auto"/>
              <w:ind w:right="567"/>
            </w:pPr>
          </w:p>
        </w:tc>
        <w:tc>
          <w:tcPr>
            <w:tcW w:w="4027" w:type="dxa"/>
            <w:shd w:val="clear" w:color="auto" w:fill="auto"/>
          </w:tcPr>
          <w:p w14:paraId="5C94659E" w14:textId="6649C389" w:rsidR="004C1F31" w:rsidRPr="00A60103" w:rsidRDefault="00A60103" w:rsidP="00673269">
            <w:pPr>
              <w:spacing w:line="240" w:lineRule="auto"/>
              <w:ind w:right="567"/>
            </w:pPr>
            <w:proofErr w:type="spellStart"/>
            <w:r w:rsidRPr="00A60103">
              <w:t>DoR</w:t>
            </w:r>
            <w:proofErr w:type="spellEnd"/>
            <w:r>
              <w:t xml:space="preserve">, </w:t>
            </w:r>
            <w:r w:rsidRPr="00A60103">
              <w:t>defined as the time from d</w:t>
            </w:r>
            <w:r>
              <w:t xml:space="preserve">ocumentation of tumor response, </w:t>
            </w:r>
            <w:r w:rsidRPr="00A60103">
              <w:t xml:space="preserve">either </w:t>
            </w:r>
            <w:r>
              <w:t>complete response (CR)</w:t>
            </w:r>
            <w:r w:rsidRPr="00A60103">
              <w:t xml:space="preserve"> or </w:t>
            </w:r>
            <w:r>
              <w:t>partial response (PR</w:t>
            </w:r>
            <w:r w:rsidRPr="00A60103">
              <w:t>) to disease progression.</w:t>
            </w:r>
          </w:p>
        </w:tc>
      </w:tr>
      <w:tr w:rsidR="00A60103" w:rsidRPr="00A60103" w14:paraId="33CFC206" w14:textId="77777777" w:rsidTr="00A60103">
        <w:tc>
          <w:tcPr>
            <w:tcW w:w="4111" w:type="dxa"/>
            <w:shd w:val="clear" w:color="auto" w:fill="auto"/>
          </w:tcPr>
          <w:p w14:paraId="4F1A0E6F" w14:textId="77777777" w:rsidR="00A60103" w:rsidRPr="00A60103" w:rsidRDefault="00A60103" w:rsidP="00673269">
            <w:pPr>
              <w:spacing w:after="0" w:line="240" w:lineRule="auto"/>
              <w:ind w:right="567"/>
            </w:pPr>
            <w:r w:rsidRPr="00A60103">
              <w:t xml:space="preserve">To compare time to response (TTR) of patients randomized in the </w:t>
            </w:r>
            <w:proofErr w:type="spellStart"/>
            <w:r w:rsidRPr="00A60103">
              <w:t>palbociclib</w:t>
            </w:r>
            <w:proofErr w:type="spellEnd"/>
            <w:r w:rsidRPr="00A60103">
              <w:t xml:space="preserve"> plus </w:t>
            </w:r>
            <w:proofErr w:type="spellStart"/>
            <w:r w:rsidRPr="00A60103">
              <w:t>fulvestrant</w:t>
            </w:r>
            <w:proofErr w:type="spellEnd"/>
            <w:r w:rsidRPr="00A60103">
              <w:t xml:space="preserve"> and </w:t>
            </w:r>
            <w:proofErr w:type="spellStart"/>
            <w:r w:rsidRPr="00A60103">
              <w:t>palbociclib</w:t>
            </w:r>
            <w:proofErr w:type="spellEnd"/>
            <w:r w:rsidRPr="00A60103">
              <w:t xml:space="preserve"> plus letrozole arms.</w:t>
            </w:r>
          </w:p>
          <w:p w14:paraId="47B2EE6B" w14:textId="77777777" w:rsidR="00A60103" w:rsidRPr="00A60103" w:rsidRDefault="00A60103" w:rsidP="00673269">
            <w:pPr>
              <w:spacing w:after="0" w:line="240" w:lineRule="auto"/>
              <w:ind w:right="567"/>
            </w:pPr>
          </w:p>
        </w:tc>
        <w:tc>
          <w:tcPr>
            <w:tcW w:w="4027" w:type="dxa"/>
            <w:shd w:val="clear" w:color="auto" w:fill="auto"/>
          </w:tcPr>
          <w:p w14:paraId="36714E25" w14:textId="6B85FC82" w:rsidR="00A60103" w:rsidRPr="00A60103" w:rsidRDefault="00A60103" w:rsidP="00673269">
            <w:pPr>
              <w:spacing w:line="240" w:lineRule="auto"/>
              <w:ind w:right="567"/>
            </w:pPr>
            <w:r w:rsidRPr="00A60103">
              <w:t>TTR</w:t>
            </w:r>
            <w:r>
              <w:t xml:space="preserve">, </w:t>
            </w:r>
            <w:r w:rsidRPr="00A60103">
              <w:t>defined as the time from randomization to the first overall tumor response (tumor shrinkage of ≥30%) observed for patients who achieved a CR or PR.</w:t>
            </w:r>
          </w:p>
        </w:tc>
      </w:tr>
      <w:tr w:rsidR="004C1F31" w:rsidRPr="00A60103" w14:paraId="34ACCC21" w14:textId="77777777" w:rsidTr="00A60103">
        <w:tc>
          <w:tcPr>
            <w:tcW w:w="4111" w:type="dxa"/>
            <w:shd w:val="clear" w:color="auto" w:fill="auto"/>
          </w:tcPr>
          <w:p w14:paraId="1BCF476D" w14:textId="77777777" w:rsidR="004C1F31" w:rsidRPr="00A60103" w:rsidRDefault="004C1F31" w:rsidP="00673269">
            <w:pPr>
              <w:spacing w:after="0" w:line="240" w:lineRule="auto"/>
              <w:ind w:right="567"/>
            </w:pPr>
            <w:r w:rsidRPr="00A60103">
              <w:t xml:space="preserve">To compare the overall survival (OS) of patients randomized in the </w:t>
            </w:r>
            <w:proofErr w:type="spellStart"/>
            <w:r w:rsidRPr="00A60103">
              <w:t>palbociclib</w:t>
            </w:r>
            <w:proofErr w:type="spellEnd"/>
            <w:r w:rsidRPr="00A60103">
              <w:t xml:space="preserve"> plus </w:t>
            </w:r>
            <w:proofErr w:type="spellStart"/>
            <w:r w:rsidRPr="00A60103">
              <w:t>fulvestrant</w:t>
            </w:r>
            <w:proofErr w:type="spellEnd"/>
            <w:r w:rsidRPr="00A60103">
              <w:t xml:space="preserve"> and </w:t>
            </w:r>
            <w:proofErr w:type="spellStart"/>
            <w:r w:rsidRPr="00A60103">
              <w:t>palbociclib</w:t>
            </w:r>
            <w:proofErr w:type="spellEnd"/>
            <w:r w:rsidRPr="00A60103">
              <w:t xml:space="preserve"> plus letrozole arms. </w:t>
            </w:r>
          </w:p>
          <w:p w14:paraId="0582AD43" w14:textId="77777777" w:rsidR="004C1F31" w:rsidRPr="00A60103" w:rsidRDefault="004C1F31" w:rsidP="00673269">
            <w:pPr>
              <w:spacing w:line="240" w:lineRule="auto"/>
              <w:ind w:right="567"/>
            </w:pPr>
          </w:p>
        </w:tc>
        <w:tc>
          <w:tcPr>
            <w:tcW w:w="4027" w:type="dxa"/>
            <w:shd w:val="clear" w:color="auto" w:fill="auto"/>
          </w:tcPr>
          <w:p w14:paraId="013DA342" w14:textId="45FE5B6D" w:rsidR="004C1F31" w:rsidRPr="00A60103" w:rsidRDefault="00A60103" w:rsidP="00673269">
            <w:pPr>
              <w:spacing w:line="240" w:lineRule="auto"/>
              <w:ind w:right="567"/>
            </w:pPr>
            <w:r>
              <w:t>OS</w:t>
            </w:r>
            <w:r w:rsidRPr="00A60103">
              <w:t>, defined as the time from randomization until death from any cause.</w:t>
            </w:r>
          </w:p>
        </w:tc>
      </w:tr>
      <w:tr w:rsidR="00A60103" w:rsidRPr="00A60103" w14:paraId="3629F790" w14:textId="77777777" w:rsidTr="00A60103">
        <w:tc>
          <w:tcPr>
            <w:tcW w:w="4111" w:type="dxa"/>
            <w:shd w:val="clear" w:color="auto" w:fill="auto"/>
          </w:tcPr>
          <w:p w14:paraId="2F8E478E" w14:textId="77777777" w:rsidR="00A60103" w:rsidRPr="00A60103" w:rsidRDefault="00A60103" w:rsidP="00673269">
            <w:pPr>
              <w:spacing w:after="0" w:line="240" w:lineRule="auto"/>
              <w:ind w:right="567"/>
            </w:pPr>
            <w:r w:rsidRPr="00A60103">
              <w:t xml:space="preserve">To evaluate the safety and tolerability of </w:t>
            </w:r>
            <w:proofErr w:type="spellStart"/>
            <w:r w:rsidRPr="00A60103">
              <w:t>palbociclib</w:t>
            </w:r>
            <w:proofErr w:type="spellEnd"/>
            <w:r w:rsidRPr="00A60103">
              <w:t xml:space="preserve"> combined with either </w:t>
            </w:r>
            <w:proofErr w:type="spellStart"/>
            <w:r w:rsidRPr="00A60103">
              <w:t>fulvestrant</w:t>
            </w:r>
            <w:proofErr w:type="spellEnd"/>
            <w:r w:rsidRPr="00A60103">
              <w:t xml:space="preserve"> or letrozole.</w:t>
            </w:r>
          </w:p>
          <w:p w14:paraId="03532FA9" w14:textId="77777777" w:rsidR="00A60103" w:rsidRPr="00A60103" w:rsidRDefault="00A60103" w:rsidP="00673269">
            <w:pPr>
              <w:spacing w:line="240" w:lineRule="auto"/>
              <w:ind w:right="567"/>
            </w:pPr>
          </w:p>
        </w:tc>
        <w:tc>
          <w:tcPr>
            <w:tcW w:w="4027" w:type="dxa"/>
            <w:shd w:val="clear" w:color="auto" w:fill="auto"/>
          </w:tcPr>
          <w:p w14:paraId="29582902" w14:textId="2809EB5F" w:rsidR="00A60103" w:rsidRPr="00A60103" w:rsidRDefault="00A60103" w:rsidP="00673269">
            <w:pPr>
              <w:spacing w:line="240" w:lineRule="auto"/>
              <w:ind w:right="567"/>
            </w:pPr>
            <w:r w:rsidRPr="00A60103">
              <w:t xml:space="preserve">Patient safety and adverse events will be assessed using the National Cancer Institute Common Terminology Criteria for Adverse Events (CTCAE), version 4 </w:t>
            </w:r>
            <w:r w:rsidRPr="00A60103">
              <w:fldChar w:fldCharType="begin" w:fldLock="1"/>
            </w:r>
            <w:r w:rsidRPr="00A60103">
              <w:instrText>ADDIN CSL_CITATION {"citationItems":[{"id":"ITEM-1","itemData":{"author":[{"dropping-particle":"","family":"Cancer Institute","given":"National","non-dropping-particle":"","parse-names":false,"suffix":""}],"id":"ITEM-1","issued":{"date-parts":[["2009"]]},"title":"Common Terminology Criteria for Adverse Events (CTCAE) Version 4.0","type":"report"},"uris":["http://www.mendeley.com/documents/?uuid=1f08f697-0ac8-3cb5-adec-487a2e467d77"]}],"mendeley":{"formattedCitation":"[2]","plainTextFormattedCitation":"[2]","previouslyFormattedCitation":"[2]"},"properties":{"noteIndex":0},"schema":"https://github.com/citation-style-language/schema/raw/master/csl-citation.json"}</w:instrText>
            </w:r>
            <w:r w:rsidRPr="00A60103">
              <w:fldChar w:fldCharType="separate"/>
            </w:r>
            <w:r w:rsidRPr="00A60103">
              <w:t>[2]</w:t>
            </w:r>
            <w:r w:rsidRPr="00A60103">
              <w:fldChar w:fldCharType="end"/>
            </w:r>
            <w:r w:rsidRPr="00A60103">
              <w:t xml:space="preserve">. </w:t>
            </w:r>
          </w:p>
        </w:tc>
      </w:tr>
      <w:tr w:rsidR="00A60103" w:rsidRPr="00A60103" w14:paraId="3F43D303" w14:textId="77777777" w:rsidTr="00A60103">
        <w:tc>
          <w:tcPr>
            <w:tcW w:w="4111" w:type="dxa"/>
            <w:shd w:val="clear" w:color="auto" w:fill="auto"/>
          </w:tcPr>
          <w:p w14:paraId="7EFDD6EB" w14:textId="77777777" w:rsidR="00A60103" w:rsidRPr="00A60103" w:rsidRDefault="00A60103" w:rsidP="00673269">
            <w:pPr>
              <w:spacing w:after="0" w:line="240" w:lineRule="auto"/>
              <w:ind w:right="567"/>
            </w:pPr>
            <w:r w:rsidRPr="00A60103">
              <w:t xml:space="preserve">To correlate the safety profile of </w:t>
            </w:r>
            <w:proofErr w:type="spellStart"/>
            <w:r w:rsidRPr="00A60103">
              <w:t>palbociclib</w:t>
            </w:r>
            <w:proofErr w:type="spellEnd"/>
            <w:r w:rsidRPr="00A60103">
              <w:t xml:space="preserve"> combined with either </w:t>
            </w:r>
            <w:proofErr w:type="spellStart"/>
            <w:r w:rsidRPr="00A60103">
              <w:t>fulvestrant</w:t>
            </w:r>
            <w:proofErr w:type="spellEnd"/>
            <w:r w:rsidRPr="00A60103">
              <w:t xml:space="preserve"> or letrozole with baseline patient characteristics.</w:t>
            </w:r>
          </w:p>
          <w:p w14:paraId="2DA354AA" w14:textId="77777777" w:rsidR="00A60103" w:rsidRPr="00A60103" w:rsidRDefault="00A60103" w:rsidP="00673269">
            <w:pPr>
              <w:spacing w:line="240" w:lineRule="auto"/>
              <w:ind w:right="567"/>
            </w:pPr>
          </w:p>
        </w:tc>
        <w:tc>
          <w:tcPr>
            <w:tcW w:w="4027" w:type="dxa"/>
            <w:shd w:val="clear" w:color="auto" w:fill="auto"/>
          </w:tcPr>
          <w:p w14:paraId="6DF3DBCA" w14:textId="0ECA7FFC" w:rsidR="00A60103" w:rsidRPr="00A60103" w:rsidRDefault="00A60103" w:rsidP="00673269">
            <w:pPr>
              <w:spacing w:line="240" w:lineRule="auto"/>
              <w:ind w:right="567"/>
            </w:pPr>
            <w:r>
              <w:t>Baseline m</w:t>
            </w:r>
            <w:r w:rsidRPr="00A60103">
              <w:t>edical history and demographic data (clinically significant diseases, surgeries, cancer history, smoking history, use of alcohol and drugs of abuse, medications used within 21 days prior to enrollment, age, sex, and self-reported race/ethnicity).</w:t>
            </w:r>
          </w:p>
        </w:tc>
      </w:tr>
      <w:tr w:rsidR="00A60103" w:rsidRPr="00A60103" w14:paraId="5D99FC0A" w14:textId="77777777" w:rsidTr="00A60103">
        <w:tc>
          <w:tcPr>
            <w:tcW w:w="4111" w:type="dxa"/>
            <w:shd w:val="clear" w:color="auto" w:fill="auto"/>
          </w:tcPr>
          <w:p w14:paraId="60250B4D" w14:textId="77777777" w:rsidR="00A60103" w:rsidRPr="00A60103" w:rsidRDefault="00A60103" w:rsidP="00673269">
            <w:pPr>
              <w:spacing w:after="0" w:line="240" w:lineRule="auto"/>
              <w:ind w:right="567"/>
            </w:pPr>
            <w:r w:rsidRPr="00A60103">
              <w:t xml:space="preserve">To identify potential biomarkers to predict the benefit from </w:t>
            </w:r>
            <w:proofErr w:type="spellStart"/>
            <w:r w:rsidRPr="00A60103">
              <w:t>palbociclib</w:t>
            </w:r>
            <w:proofErr w:type="spellEnd"/>
            <w:r w:rsidRPr="00A60103">
              <w:t xml:space="preserve"> combined with </w:t>
            </w:r>
            <w:proofErr w:type="spellStart"/>
            <w:r w:rsidRPr="00A60103">
              <w:t>fulvestrant</w:t>
            </w:r>
            <w:proofErr w:type="spellEnd"/>
            <w:r w:rsidRPr="00A60103">
              <w:t xml:space="preserve"> or letrozole.</w:t>
            </w:r>
          </w:p>
          <w:p w14:paraId="52ABA3A8" w14:textId="77777777" w:rsidR="00A60103" w:rsidRPr="00A60103" w:rsidRDefault="00A60103" w:rsidP="00673269">
            <w:pPr>
              <w:spacing w:line="240" w:lineRule="auto"/>
              <w:ind w:right="567"/>
            </w:pPr>
          </w:p>
        </w:tc>
        <w:tc>
          <w:tcPr>
            <w:tcW w:w="4027" w:type="dxa"/>
            <w:shd w:val="clear" w:color="auto" w:fill="auto"/>
          </w:tcPr>
          <w:p w14:paraId="1DB25600" w14:textId="3D9A16DF" w:rsidR="00A60103" w:rsidRPr="00A60103" w:rsidRDefault="00A60103" w:rsidP="00673269">
            <w:pPr>
              <w:spacing w:line="240" w:lineRule="auto"/>
              <w:ind w:right="567"/>
            </w:pPr>
            <w:r>
              <w:t>P</w:t>
            </w:r>
            <w:r w:rsidRPr="00A60103">
              <w:t>attern of expression of ESR1 mutations and other CDK4/6 related biomarkers (i.e. Rb, Akt, PIK3, p53 CA cyclin D1, cyclin A2, E2F1...) in liquid biopsies and tissue samples.</w:t>
            </w:r>
          </w:p>
        </w:tc>
      </w:tr>
      <w:tr w:rsidR="00A60103" w:rsidRPr="00A60103" w14:paraId="3C910D2F" w14:textId="77777777" w:rsidTr="00A60103">
        <w:tc>
          <w:tcPr>
            <w:tcW w:w="4111" w:type="dxa"/>
            <w:shd w:val="clear" w:color="auto" w:fill="auto"/>
          </w:tcPr>
          <w:p w14:paraId="4D39B348" w14:textId="77777777" w:rsidR="00A60103" w:rsidRPr="00A60103" w:rsidRDefault="00A60103" w:rsidP="00673269">
            <w:pPr>
              <w:spacing w:after="0" w:line="240" w:lineRule="auto"/>
              <w:ind w:right="567"/>
            </w:pPr>
            <w:r w:rsidRPr="00A60103">
              <w:t xml:space="preserve">To identify mechanisms of resistance to </w:t>
            </w:r>
            <w:proofErr w:type="spellStart"/>
            <w:r w:rsidRPr="00A60103">
              <w:t>palbociclib</w:t>
            </w:r>
            <w:proofErr w:type="spellEnd"/>
            <w:r w:rsidRPr="00A60103">
              <w:t xml:space="preserve"> combined with endocrine therapy. </w:t>
            </w:r>
          </w:p>
          <w:p w14:paraId="092EAFA4" w14:textId="77777777" w:rsidR="00A60103" w:rsidRPr="00A60103" w:rsidRDefault="00A60103" w:rsidP="00673269">
            <w:pPr>
              <w:spacing w:line="240" w:lineRule="auto"/>
              <w:ind w:right="567"/>
            </w:pPr>
          </w:p>
        </w:tc>
        <w:tc>
          <w:tcPr>
            <w:tcW w:w="4027" w:type="dxa"/>
            <w:shd w:val="clear" w:color="auto" w:fill="auto"/>
          </w:tcPr>
          <w:p w14:paraId="4DF36BF3" w14:textId="77777777" w:rsidR="00A60103" w:rsidRPr="00A60103" w:rsidRDefault="00A60103" w:rsidP="00673269">
            <w:pPr>
              <w:spacing w:line="240" w:lineRule="auto"/>
              <w:ind w:right="567"/>
            </w:pPr>
            <w:r w:rsidRPr="00A60103">
              <w:lastRenderedPageBreak/>
              <w:t>Proteomics analysis to evaluate differential pattern of protein expression from tissue samples.</w:t>
            </w:r>
          </w:p>
          <w:p w14:paraId="5F14D089" w14:textId="0E8121B2" w:rsidR="00A60103" w:rsidRPr="00A60103" w:rsidRDefault="00A60103" w:rsidP="00673269">
            <w:pPr>
              <w:spacing w:line="240" w:lineRule="auto"/>
              <w:ind w:right="567"/>
            </w:pPr>
            <w:r w:rsidRPr="00A60103">
              <w:lastRenderedPageBreak/>
              <w:t>Exome and RNA sequencing will be performed in selected samples</w:t>
            </w:r>
          </w:p>
        </w:tc>
      </w:tr>
    </w:tbl>
    <w:p w14:paraId="2909DFFA" w14:textId="6BC005D6" w:rsidR="00977932" w:rsidRPr="004F0FE2" w:rsidRDefault="00196057" w:rsidP="00673269">
      <w:pPr>
        <w:pStyle w:val="Ttulo2"/>
        <w:ind w:right="567"/>
      </w:pPr>
      <w:bookmarkStart w:id="155" w:name="_Toc52468088"/>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4F0FE2">
        <w:lastRenderedPageBreak/>
        <w:t>Study design</w:t>
      </w:r>
      <w:bookmarkEnd w:id="155"/>
    </w:p>
    <w:p w14:paraId="7AE24DF6" w14:textId="643615C6" w:rsidR="00AD2318" w:rsidRPr="004F0FE2" w:rsidRDefault="00AD2318" w:rsidP="00673269">
      <w:pPr>
        <w:ind w:right="567"/>
      </w:pPr>
      <w:bookmarkStart w:id="156" w:name="_Toc349040004"/>
      <w:bookmarkStart w:id="157" w:name="_Toc349040195"/>
      <w:bookmarkStart w:id="158" w:name="_Toc349040661"/>
      <w:bookmarkStart w:id="159" w:name="_Toc350240038"/>
      <w:bookmarkStart w:id="160" w:name="_Toc350241347"/>
      <w:bookmarkStart w:id="161" w:name="_Toc350241422"/>
      <w:bookmarkStart w:id="162" w:name="_Toc350579971"/>
      <w:bookmarkStart w:id="163" w:name="_Toc350583782"/>
      <w:bookmarkStart w:id="164" w:name="_Toc350583901"/>
      <w:bookmarkStart w:id="165" w:name="_Toc351358043"/>
      <w:bookmarkStart w:id="166" w:name="_Toc351358633"/>
      <w:bookmarkStart w:id="167" w:name="_Toc352037262"/>
      <w:bookmarkStart w:id="168" w:name="_Toc352038898"/>
      <w:bookmarkStart w:id="169" w:name="_Toc352039631"/>
      <w:bookmarkStart w:id="170" w:name="_Toc352039730"/>
      <w:bookmarkStart w:id="171" w:name="_Toc377434680"/>
      <w:bookmarkStart w:id="172" w:name="_Toc377434846"/>
      <w:bookmarkStart w:id="173" w:name="_Toc377435004"/>
      <w:bookmarkStart w:id="174" w:name="_Toc377435142"/>
      <w:bookmarkStart w:id="175" w:name="_Toc377438545"/>
      <w:bookmarkStart w:id="176" w:name="_Toc392499775"/>
      <w:bookmarkStart w:id="177" w:name="_Toc392500407"/>
      <w:bookmarkStart w:id="178" w:name="_Ref133295243"/>
      <w:bookmarkStart w:id="179" w:name="_Toc46085713"/>
      <w:r w:rsidRPr="004F0FE2">
        <w:t>In this</w:t>
      </w:r>
      <w:r w:rsidR="00196057" w:rsidRPr="004F0FE2">
        <w:t xml:space="preserve"> phase </w:t>
      </w:r>
      <w:r w:rsidR="00FC4935" w:rsidRPr="004F0FE2">
        <w:t>I</w:t>
      </w:r>
      <w:r w:rsidR="00196057" w:rsidRPr="004F0FE2">
        <w:t>I,</w:t>
      </w:r>
      <w:r w:rsidRPr="004F0FE2">
        <w:t xml:space="preserve"> international, </w:t>
      </w:r>
      <w:r w:rsidR="00A53B3E" w:rsidRPr="004F0FE2">
        <w:t>randomized</w:t>
      </w:r>
      <w:r w:rsidRPr="004F0FE2">
        <w:t xml:space="preserve">, open-label study, patients with ER+/HER2- metastatic breast cancer with no prior therapy in the advanced setting and endocrine-sensitive criteria were recruited from 47 </w:t>
      </w:r>
      <w:r w:rsidR="00A53B3E" w:rsidRPr="004F0FE2">
        <w:t>centers</w:t>
      </w:r>
      <w:r w:rsidRPr="004F0FE2">
        <w:t xml:space="preserve"> in seven countries</w:t>
      </w:r>
      <w:r w:rsidR="00196057" w:rsidRPr="004F0FE2">
        <w:t xml:space="preserve"> (</w:t>
      </w:r>
      <w:r w:rsidR="00403DC6" w:rsidRPr="00F57DAA">
        <w:rPr>
          <w:i/>
          <w:color w:val="2F5496" w:themeColor="accent1" w:themeShade="BF"/>
        </w:rPr>
        <w:fldChar w:fldCharType="begin"/>
      </w:r>
      <w:r w:rsidR="00403DC6" w:rsidRPr="00F57DAA">
        <w:rPr>
          <w:i/>
          <w:color w:val="2F5496" w:themeColor="accent1" w:themeShade="BF"/>
        </w:rPr>
        <w:instrText xml:space="preserve"> REF _Ref52424813 \h </w:instrText>
      </w:r>
      <w:r w:rsidR="00F57DAA" w:rsidRPr="00F57DAA">
        <w:rPr>
          <w:i/>
          <w:color w:val="2F5496" w:themeColor="accent1" w:themeShade="BF"/>
        </w:rPr>
        <w:instrText xml:space="preserve"> \* MERGEFORMAT </w:instrText>
      </w:r>
      <w:r w:rsidR="00403DC6" w:rsidRPr="00F57DAA">
        <w:rPr>
          <w:i/>
          <w:color w:val="2F5496" w:themeColor="accent1" w:themeShade="BF"/>
        </w:rPr>
      </w:r>
      <w:r w:rsidR="00403DC6" w:rsidRPr="00F57DAA">
        <w:rPr>
          <w:i/>
          <w:color w:val="2F5496" w:themeColor="accent1" w:themeShade="BF"/>
        </w:rPr>
        <w:fldChar w:fldCharType="separate"/>
      </w:r>
      <w:r w:rsidR="00403DC6" w:rsidRPr="00F57DAA">
        <w:rPr>
          <w:i/>
          <w:color w:val="2F5496" w:themeColor="accent1" w:themeShade="BF"/>
        </w:rPr>
        <w:t xml:space="preserve">Table </w:t>
      </w:r>
      <w:r w:rsidR="00403DC6" w:rsidRPr="00F57DAA">
        <w:rPr>
          <w:i/>
          <w:noProof/>
          <w:color w:val="2F5496" w:themeColor="accent1" w:themeShade="BF"/>
        </w:rPr>
        <w:t>1</w:t>
      </w:r>
      <w:r w:rsidR="00403DC6" w:rsidRPr="00F57DAA">
        <w:rPr>
          <w:i/>
          <w:color w:val="2F5496" w:themeColor="accent1" w:themeShade="BF"/>
        </w:rPr>
        <w:fldChar w:fldCharType="end"/>
      </w:r>
      <w:r w:rsidR="00196057" w:rsidRPr="004F0FE2">
        <w:t>)</w:t>
      </w:r>
      <w:r w:rsidRPr="004F0FE2">
        <w:t xml:space="preserve">. Patients were randomly assigned (1:1 ratio) to receive either </w:t>
      </w:r>
      <w:proofErr w:type="spellStart"/>
      <w:r w:rsidRPr="004F0FE2">
        <w:t>palbociclib</w:t>
      </w:r>
      <w:proofErr w:type="spellEnd"/>
      <w:r w:rsidRPr="004F0FE2">
        <w:t xml:space="preserve"> with </w:t>
      </w:r>
      <w:r w:rsidR="00FC4935" w:rsidRPr="004F0FE2">
        <w:t xml:space="preserve">either </w:t>
      </w:r>
      <w:proofErr w:type="spellStart"/>
      <w:r w:rsidRPr="004F0FE2">
        <w:t>fulvestrant</w:t>
      </w:r>
      <w:proofErr w:type="spellEnd"/>
      <w:r w:rsidRPr="004F0FE2">
        <w:t xml:space="preserve"> or letrozole</w:t>
      </w:r>
      <w:r w:rsidR="00E87941">
        <w:t xml:space="preserve"> (</w:t>
      </w:r>
      <w:r w:rsidR="00E87941" w:rsidRPr="008E3E15">
        <w:rPr>
          <w:i/>
          <w:color w:val="2F5496" w:themeColor="accent1" w:themeShade="BF"/>
        </w:rPr>
        <w:fldChar w:fldCharType="begin"/>
      </w:r>
      <w:r w:rsidR="00E87941" w:rsidRPr="008E3E15">
        <w:rPr>
          <w:i/>
          <w:color w:val="2F5496" w:themeColor="accent1" w:themeShade="BF"/>
        </w:rPr>
        <w:instrText xml:space="preserve"> REF _Ref52439411 \h </w:instrText>
      </w:r>
      <w:r w:rsidR="008E3E15" w:rsidRPr="008E3E15">
        <w:rPr>
          <w:i/>
          <w:color w:val="2F5496" w:themeColor="accent1" w:themeShade="BF"/>
        </w:rPr>
        <w:instrText xml:space="preserve"> \* MERGEFORMAT </w:instrText>
      </w:r>
      <w:r w:rsidR="00E87941" w:rsidRPr="008E3E15">
        <w:rPr>
          <w:i/>
          <w:color w:val="2F5496" w:themeColor="accent1" w:themeShade="BF"/>
        </w:rPr>
      </w:r>
      <w:r w:rsidR="00E87941" w:rsidRPr="008E3E15">
        <w:rPr>
          <w:i/>
          <w:color w:val="2F5496" w:themeColor="accent1" w:themeShade="BF"/>
        </w:rPr>
        <w:fldChar w:fldCharType="separate"/>
      </w:r>
      <w:r w:rsidR="00E87941" w:rsidRPr="008E3E15">
        <w:rPr>
          <w:i/>
          <w:color w:val="2F5496" w:themeColor="accent1" w:themeShade="BF"/>
        </w:rPr>
        <w:t xml:space="preserve">Figure </w:t>
      </w:r>
      <w:r w:rsidR="00E87941" w:rsidRPr="008E3E15">
        <w:rPr>
          <w:i/>
          <w:noProof/>
          <w:color w:val="2F5496" w:themeColor="accent1" w:themeShade="BF"/>
        </w:rPr>
        <w:t>1</w:t>
      </w:r>
      <w:r w:rsidR="00E87941" w:rsidRPr="008E3E15">
        <w:rPr>
          <w:i/>
          <w:color w:val="2F5496" w:themeColor="accent1" w:themeShade="BF"/>
        </w:rPr>
        <w:fldChar w:fldCharType="end"/>
      </w:r>
      <w:r w:rsidR="00E87941">
        <w:t>)</w:t>
      </w:r>
      <w:r w:rsidRPr="004F0FE2">
        <w:t xml:space="preserve">. </w:t>
      </w:r>
      <w:r w:rsidR="00A53B3E" w:rsidRPr="004F0FE2">
        <w:t>Randomization</w:t>
      </w:r>
      <w:r w:rsidRPr="004F0FE2">
        <w:t xml:space="preserve"> was stratified according to type of disease presentation (</w:t>
      </w:r>
      <w:r w:rsidRPr="004F0FE2">
        <w:rPr>
          <w:i/>
        </w:rPr>
        <w:t>de novo</w:t>
      </w:r>
      <w:r w:rsidRPr="004F0FE2">
        <w:t xml:space="preserve"> vs recurrent) and the presence of visceral involvement (yes vs no).</w:t>
      </w:r>
      <w:r w:rsidRPr="004F0FE2">
        <w:rPr>
          <w:shd w:val="clear" w:color="auto" w:fill="FFFFFF"/>
        </w:rPr>
        <w:t xml:space="preserve"> </w:t>
      </w:r>
      <w:r w:rsidR="00780E6D" w:rsidRPr="004F0FE2">
        <w:t xml:space="preserve">The main objective of this trial </w:t>
      </w:r>
      <w:r w:rsidR="00FC4935" w:rsidRPr="004F0FE2">
        <w:t>was</w:t>
      </w:r>
      <w:r w:rsidR="00780E6D" w:rsidRPr="004F0FE2">
        <w:t xml:space="preserve"> to evaluate the efficacy of the combination of </w:t>
      </w:r>
      <w:proofErr w:type="spellStart"/>
      <w:r w:rsidR="00780E6D" w:rsidRPr="004F0FE2">
        <w:t>palbociclib</w:t>
      </w:r>
      <w:proofErr w:type="spellEnd"/>
      <w:r w:rsidR="00780E6D" w:rsidRPr="004F0FE2">
        <w:t xml:space="preserve"> plus </w:t>
      </w:r>
      <w:proofErr w:type="spellStart"/>
      <w:r w:rsidR="00780E6D" w:rsidRPr="004F0FE2">
        <w:t>fulvestrant</w:t>
      </w:r>
      <w:proofErr w:type="spellEnd"/>
      <w:r w:rsidR="00780E6D" w:rsidRPr="004F0FE2">
        <w:t xml:space="preserve"> versus</w:t>
      </w:r>
      <w:r w:rsidR="00E27A85">
        <w:t xml:space="preserve"> </w:t>
      </w:r>
      <w:proofErr w:type="spellStart"/>
      <w:r w:rsidR="00780E6D" w:rsidRPr="004F0FE2">
        <w:t>palbociclib</w:t>
      </w:r>
      <w:proofErr w:type="spellEnd"/>
      <w:r w:rsidR="00780E6D" w:rsidRPr="004F0FE2">
        <w:t xml:space="preserve"> plus letrozole in terms of investigator-assessed progression</w:t>
      </w:r>
      <w:r w:rsidR="0071077C">
        <w:t>-</w:t>
      </w:r>
      <w:r w:rsidR="00780E6D" w:rsidRPr="004F0FE2">
        <w:t>free survival (PFS)</w:t>
      </w:r>
      <w:r w:rsidRPr="004F0FE2">
        <w:rPr>
          <w:shd w:val="clear" w:color="auto" w:fill="FFFFFF"/>
        </w:rPr>
        <w:t xml:space="preserve">, determined by </w:t>
      </w:r>
      <w:r w:rsidRPr="004F0FE2">
        <w:t xml:space="preserve">Response Evaluation Criteria in Solid </w:t>
      </w:r>
      <w:r w:rsidR="00A53B3E" w:rsidRPr="004F0FE2">
        <w:t>Tumors</w:t>
      </w:r>
      <w:r w:rsidRPr="004F0FE2">
        <w:t xml:space="preserve"> version</w:t>
      </w:r>
      <w:r w:rsidR="00FC4935" w:rsidRPr="004F0FE2">
        <w:t xml:space="preserve"> (RECIST) version</w:t>
      </w:r>
      <w:r w:rsidRPr="004F0FE2">
        <w:t xml:space="preserve"> 1</w:t>
      </w:r>
      <w:r w:rsidR="00FC4935" w:rsidRPr="004F0FE2">
        <w:t>.</w:t>
      </w:r>
      <w:r w:rsidRPr="004F0FE2">
        <w:t>1. This trial is registered with ClinicalTrials.gov, number (</w:t>
      </w:r>
      <w:r w:rsidRPr="004F0FE2">
        <w:rPr>
          <w:shd w:val="clear" w:color="auto" w:fill="FFFFFF"/>
        </w:rPr>
        <w:t>NCT02491983)</w:t>
      </w:r>
      <w:r w:rsidRPr="004F0FE2">
        <w:t>.</w:t>
      </w:r>
    </w:p>
    <w:p w14:paraId="56D5D5E5" w14:textId="77777777" w:rsidR="006A7887" w:rsidRPr="004F0FE2" w:rsidRDefault="006A7887" w:rsidP="00673269">
      <w:pPr>
        <w:pStyle w:val="Ttulo2"/>
        <w:ind w:right="567"/>
      </w:pPr>
      <w:bookmarkStart w:id="180" w:name="_Toc52468089"/>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sidRPr="004F0FE2">
        <w:t>Study population.</w:t>
      </w:r>
      <w:bookmarkEnd w:id="180"/>
    </w:p>
    <w:p w14:paraId="647B9206" w14:textId="77777777" w:rsidR="00977932" w:rsidRPr="004F0FE2" w:rsidRDefault="00977932" w:rsidP="00673269">
      <w:pPr>
        <w:pStyle w:val="BodyText12"/>
        <w:spacing w:after="0" w:line="240" w:lineRule="auto"/>
        <w:ind w:left="0" w:right="567"/>
        <w:rPr>
          <w:rFonts w:ascii="Arial" w:hAnsi="Arial" w:cs="Arial"/>
          <w:sz w:val="20"/>
        </w:rPr>
      </w:pPr>
      <w:r w:rsidRPr="004F0FE2">
        <w:rPr>
          <w:rFonts w:ascii="Arial" w:hAnsi="Arial" w:cs="Arial"/>
          <w:sz w:val="20"/>
        </w:rPr>
        <w:t xml:space="preserve">The study was open to </w:t>
      </w:r>
      <w:r w:rsidR="00780E6D" w:rsidRPr="004F0FE2">
        <w:rPr>
          <w:rFonts w:ascii="Arial" w:hAnsi="Arial" w:cs="Arial"/>
          <w:sz w:val="20"/>
        </w:rPr>
        <w:t xml:space="preserve">women </w:t>
      </w:r>
      <w:r w:rsidRPr="004F0FE2">
        <w:rPr>
          <w:rFonts w:ascii="Arial" w:hAnsi="Arial" w:cs="Arial"/>
          <w:sz w:val="20"/>
        </w:rPr>
        <w:t xml:space="preserve">who met the following </w:t>
      </w:r>
      <w:r w:rsidR="00C22932" w:rsidRPr="004F0FE2">
        <w:rPr>
          <w:rFonts w:ascii="Arial" w:hAnsi="Arial" w:cs="Arial"/>
          <w:sz w:val="20"/>
        </w:rPr>
        <w:t xml:space="preserve">selection </w:t>
      </w:r>
      <w:r w:rsidRPr="004F0FE2">
        <w:rPr>
          <w:rFonts w:ascii="Arial" w:hAnsi="Arial" w:cs="Arial"/>
          <w:sz w:val="20"/>
        </w:rPr>
        <w:t>criteria:</w:t>
      </w:r>
    </w:p>
    <w:p w14:paraId="739DD63B" w14:textId="77777777" w:rsidR="00780E6D" w:rsidRPr="004F0FE2" w:rsidRDefault="00780E6D" w:rsidP="00673269">
      <w:pPr>
        <w:pStyle w:val="BodyText12"/>
        <w:spacing w:after="0" w:line="240" w:lineRule="auto"/>
        <w:ind w:left="0" w:right="567"/>
        <w:rPr>
          <w:rFonts w:ascii="Arial" w:hAnsi="Arial" w:cs="Arial"/>
          <w:b/>
          <w:sz w:val="20"/>
        </w:rPr>
      </w:pPr>
    </w:p>
    <w:p w14:paraId="09788BF0" w14:textId="0321C98E" w:rsidR="007D56E4" w:rsidRPr="00F8399C" w:rsidRDefault="007D56E4" w:rsidP="00673269">
      <w:pPr>
        <w:ind w:right="567"/>
        <w:rPr>
          <w:b/>
          <w:sz w:val="22"/>
        </w:rPr>
      </w:pPr>
      <w:r w:rsidRPr="00F8399C">
        <w:rPr>
          <w:b/>
          <w:sz w:val="22"/>
        </w:rPr>
        <w:t xml:space="preserve">Inclusion criteria: </w:t>
      </w:r>
    </w:p>
    <w:p w14:paraId="6617133C" w14:textId="77777777" w:rsidR="007D56E4" w:rsidRPr="007D56E4" w:rsidRDefault="007D56E4" w:rsidP="00673269">
      <w:pPr>
        <w:numPr>
          <w:ilvl w:val="0"/>
          <w:numId w:val="16"/>
        </w:numPr>
        <w:suppressAutoHyphens/>
        <w:spacing w:after="0"/>
        <w:ind w:left="284" w:right="567" w:hanging="284"/>
      </w:pPr>
      <w:r w:rsidRPr="007D56E4">
        <w:t>Postmenopausal women, as defined by any of the following criteria:</w:t>
      </w:r>
    </w:p>
    <w:p w14:paraId="1E49C30F" w14:textId="77777777" w:rsidR="007D56E4" w:rsidRPr="007D56E4" w:rsidRDefault="007D56E4" w:rsidP="00673269">
      <w:pPr>
        <w:pStyle w:val="Prrafodelista"/>
        <w:numPr>
          <w:ilvl w:val="0"/>
          <w:numId w:val="36"/>
        </w:numPr>
        <w:spacing w:after="0" w:line="264" w:lineRule="auto"/>
        <w:ind w:right="567"/>
        <w:rPr>
          <w:rFonts w:eastAsia="Times New Roman" w:cs="Times New Roman"/>
          <w:b/>
          <w:bCs/>
          <w:szCs w:val="20"/>
          <w:lang w:val="en-US"/>
        </w:rPr>
      </w:pPr>
      <w:r w:rsidRPr="007D56E4">
        <w:rPr>
          <w:szCs w:val="20"/>
          <w:lang w:val="en-US"/>
        </w:rPr>
        <w:t>Age 60 or over</w:t>
      </w:r>
    </w:p>
    <w:p w14:paraId="0ECCDD43" w14:textId="77777777" w:rsidR="007D56E4" w:rsidRPr="007D56E4" w:rsidRDefault="007D56E4" w:rsidP="00673269">
      <w:pPr>
        <w:pStyle w:val="Prrafodelista"/>
        <w:numPr>
          <w:ilvl w:val="0"/>
          <w:numId w:val="36"/>
        </w:numPr>
        <w:spacing w:after="0" w:line="264" w:lineRule="auto"/>
        <w:ind w:right="567"/>
        <w:rPr>
          <w:rFonts w:eastAsia="Times New Roman" w:cs="Times New Roman"/>
          <w:b/>
          <w:bCs/>
          <w:szCs w:val="20"/>
          <w:lang w:val="en-US"/>
        </w:rPr>
      </w:pPr>
      <w:r w:rsidRPr="007D56E4">
        <w:rPr>
          <w:szCs w:val="20"/>
          <w:lang w:val="en-US"/>
        </w:rPr>
        <w:t>Age 45 to 59 years and meets ≥ 1 of the following criteria:</w:t>
      </w:r>
    </w:p>
    <w:p w14:paraId="6450F967" w14:textId="77777777" w:rsidR="007D56E4" w:rsidRPr="007D56E4" w:rsidRDefault="007D56E4" w:rsidP="00673269">
      <w:pPr>
        <w:pStyle w:val="Prrafodelista"/>
        <w:numPr>
          <w:ilvl w:val="1"/>
          <w:numId w:val="36"/>
        </w:numPr>
        <w:spacing w:after="0" w:line="264" w:lineRule="auto"/>
        <w:ind w:right="567"/>
        <w:rPr>
          <w:rFonts w:eastAsia="Times New Roman" w:cs="Times New Roman"/>
          <w:b/>
          <w:bCs/>
          <w:szCs w:val="20"/>
          <w:lang w:val="en-US"/>
        </w:rPr>
      </w:pPr>
      <w:r w:rsidRPr="007D56E4">
        <w:rPr>
          <w:szCs w:val="20"/>
          <w:lang w:val="en-US"/>
        </w:rPr>
        <w:t xml:space="preserve">Amenorrhea for ≥ 24 months </w:t>
      </w:r>
    </w:p>
    <w:p w14:paraId="117CC8C0" w14:textId="77777777" w:rsidR="007D56E4" w:rsidRPr="007D56E4" w:rsidRDefault="007D56E4" w:rsidP="00673269">
      <w:pPr>
        <w:pStyle w:val="Prrafodelista"/>
        <w:numPr>
          <w:ilvl w:val="1"/>
          <w:numId w:val="36"/>
        </w:numPr>
        <w:spacing w:after="0" w:line="264" w:lineRule="auto"/>
        <w:ind w:right="567"/>
        <w:rPr>
          <w:rFonts w:eastAsia="Times New Roman" w:cs="Times New Roman"/>
          <w:b/>
          <w:bCs/>
          <w:szCs w:val="20"/>
          <w:lang w:val="en-US"/>
        </w:rPr>
      </w:pPr>
      <w:r w:rsidRPr="007D56E4">
        <w:rPr>
          <w:szCs w:val="20"/>
          <w:lang w:val="en-US"/>
        </w:rPr>
        <w:t>Amenorrhea for &lt; 24 months and follicle-stimulating hormone within the postmenopausal range (including patients with hysterectomy, prior hormone replacement therapy, or chemotherapy-induced amenorrhea)</w:t>
      </w:r>
    </w:p>
    <w:p w14:paraId="7B2E298A" w14:textId="77777777" w:rsidR="007D56E4" w:rsidRPr="007D56E4" w:rsidRDefault="007D56E4" w:rsidP="00673269">
      <w:pPr>
        <w:pStyle w:val="Prrafodelista"/>
        <w:numPr>
          <w:ilvl w:val="0"/>
          <w:numId w:val="36"/>
        </w:numPr>
        <w:spacing w:after="0" w:line="264" w:lineRule="auto"/>
        <w:ind w:right="567"/>
        <w:rPr>
          <w:szCs w:val="20"/>
          <w:lang w:val="en-US"/>
        </w:rPr>
      </w:pPr>
      <w:r w:rsidRPr="007D56E4">
        <w:rPr>
          <w:szCs w:val="20"/>
          <w:lang w:val="en-US"/>
        </w:rPr>
        <w:t>Over 18 years of age and bilateral oophorectomy</w:t>
      </w:r>
    </w:p>
    <w:p w14:paraId="34FC9163" w14:textId="77777777" w:rsidR="007D56E4" w:rsidRPr="007D56E4" w:rsidRDefault="007D56E4" w:rsidP="00673269">
      <w:pPr>
        <w:ind w:left="284" w:right="567"/>
      </w:pPr>
      <w:r w:rsidRPr="007D56E4">
        <w:t>OR</w:t>
      </w:r>
    </w:p>
    <w:p w14:paraId="58625F5A" w14:textId="10875426" w:rsidR="007D56E4" w:rsidRPr="007D56E4" w:rsidRDefault="007D56E4" w:rsidP="00673269">
      <w:pPr>
        <w:suppressAutoHyphens/>
        <w:ind w:left="284" w:right="567"/>
      </w:pPr>
      <w:r w:rsidRPr="007D56E4">
        <w:t xml:space="preserve">Premenopausal women provided they are being treated with </w:t>
      </w:r>
      <w:r w:rsidR="00F8399C" w:rsidRPr="00F8399C">
        <w:t xml:space="preserve">Luteinizing Hormone-Releasing Hormone </w:t>
      </w:r>
      <w:r w:rsidRPr="007D56E4">
        <w:t xml:space="preserve">analogues </w:t>
      </w:r>
      <w:r w:rsidR="00F8399C">
        <w:t>(</w:t>
      </w:r>
      <w:r w:rsidR="00F8399C" w:rsidRPr="007D56E4">
        <w:t>LHRH</w:t>
      </w:r>
      <w:r w:rsidR="00F8399C">
        <w:t xml:space="preserve">) </w:t>
      </w:r>
      <w:r w:rsidRPr="007D56E4">
        <w:t>for at least 28 days prior to study entry</w:t>
      </w:r>
    </w:p>
    <w:p w14:paraId="50F0D81C" w14:textId="77777777" w:rsidR="007D56E4" w:rsidRPr="007D56E4" w:rsidRDefault="007D56E4" w:rsidP="00673269">
      <w:pPr>
        <w:numPr>
          <w:ilvl w:val="0"/>
          <w:numId w:val="14"/>
        </w:numPr>
        <w:suppressAutoHyphens/>
        <w:spacing w:after="0"/>
        <w:ind w:left="284" w:right="567" w:hanging="284"/>
      </w:pPr>
      <w:r w:rsidRPr="007D56E4">
        <w:t>Eastern Cooperative Oncology Group (ECOG) score lower or equal to 2</w:t>
      </w:r>
    </w:p>
    <w:p w14:paraId="429F90E6" w14:textId="4FCF1898" w:rsidR="007D56E4" w:rsidRPr="007D56E4" w:rsidRDefault="007D56E4" w:rsidP="00673269">
      <w:pPr>
        <w:numPr>
          <w:ilvl w:val="0"/>
          <w:numId w:val="14"/>
        </w:numPr>
        <w:suppressAutoHyphens/>
        <w:spacing w:after="0"/>
        <w:ind w:left="284" w:right="567" w:hanging="284"/>
      </w:pPr>
      <w:r w:rsidRPr="007D56E4">
        <w:t>Histologically co</w:t>
      </w:r>
      <w:r w:rsidR="00F8399C">
        <w:t>nfirmed recurrent ER+ (</w:t>
      </w:r>
      <w:r w:rsidRPr="007D56E4">
        <w:t>estrogen and/or progesterone) HER2-</w:t>
      </w:r>
      <w:r w:rsidR="00F8399C">
        <w:t xml:space="preserve"> </w:t>
      </w:r>
      <w:r w:rsidRPr="007D56E4">
        <w:t xml:space="preserve">locally advanced or </w:t>
      </w:r>
      <w:proofErr w:type="spellStart"/>
      <w:r w:rsidR="00F8399C">
        <w:t>mBC</w:t>
      </w:r>
      <w:proofErr w:type="spellEnd"/>
      <w:r w:rsidR="00F8399C">
        <w:rPr>
          <w:rStyle w:val="Refdenotaalpie"/>
        </w:rPr>
        <w:footnoteReference w:id="2"/>
      </w:r>
      <w:r w:rsidRPr="007D56E4">
        <w:t xml:space="preserve"> </w:t>
      </w:r>
    </w:p>
    <w:p w14:paraId="7E86A284" w14:textId="77777777" w:rsidR="007D56E4" w:rsidRPr="007D56E4" w:rsidRDefault="007D56E4" w:rsidP="00673269">
      <w:pPr>
        <w:numPr>
          <w:ilvl w:val="0"/>
          <w:numId w:val="14"/>
        </w:numPr>
        <w:suppressAutoHyphens/>
        <w:spacing w:after="0"/>
        <w:ind w:left="284" w:right="567" w:hanging="284"/>
      </w:pPr>
      <w:r w:rsidRPr="007D56E4">
        <w:t xml:space="preserve">Patients should not be candidates for a local treatment with a radical intention. </w:t>
      </w:r>
    </w:p>
    <w:p w14:paraId="2AB34098" w14:textId="5AE85A18" w:rsidR="00F8399C" w:rsidRDefault="007D56E4" w:rsidP="00673269">
      <w:pPr>
        <w:numPr>
          <w:ilvl w:val="0"/>
          <w:numId w:val="14"/>
        </w:numPr>
        <w:suppressAutoHyphens/>
        <w:spacing w:after="0"/>
        <w:ind w:left="284" w:right="567" w:hanging="284"/>
      </w:pPr>
      <w:r w:rsidRPr="007D56E4">
        <w:t>No prior hormonal or chemotherapy</w:t>
      </w:r>
      <w:r w:rsidR="00F8399C">
        <w:t xml:space="preserve"> line in the metastatic setting.</w:t>
      </w:r>
    </w:p>
    <w:p w14:paraId="4000BD95" w14:textId="6396C93E" w:rsidR="007D56E4" w:rsidRPr="007D56E4" w:rsidRDefault="007D56E4" w:rsidP="00673269">
      <w:pPr>
        <w:numPr>
          <w:ilvl w:val="0"/>
          <w:numId w:val="14"/>
        </w:numPr>
        <w:suppressAutoHyphens/>
        <w:spacing w:after="0"/>
        <w:ind w:left="284" w:right="567" w:hanging="284"/>
      </w:pPr>
      <w:r w:rsidRPr="007D56E4">
        <w:t>Patient must have measurable (according to RECIST 1.1) or non</w:t>
      </w:r>
      <w:r w:rsidR="00F8399C">
        <w:t>-</w:t>
      </w:r>
      <w:r w:rsidRPr="007D56E4">
        <w:t>measurable disease with these exceptions</w:t>
      </w:r>
      <w:r w:rsidR="00F8399C">
        <w:t>: p</w:t>
      </w:r>
      <w:r w:rsidRPr="007D56E4">
        <w:t xml:space="preserve">atients with only </w:t>
      </w:r>
      <w:proofErr w:type="spellStart"/>
      <w:r w:rsidRPr="007D56E4">
        <w:t>blastic</w:t>
      </w:r>
      <w:proofErr w:type="spellEnd"/>
      <w:r w:rsidRPr="007D56E4">
        <w:t xml:space="preserve"> bone lesions are not eligible</w:t>
      </w:r>
      <w:r w:rsidR="00F8399C">
        <w:t>; p</w:t>
      </w:r>
      <w:r w:rsidRPr="007D56E4">
        <w:t>atients with only pleural, peritoneal or cardiac effusion, or meningeal carcinomatosis are not eligible</w:t>
      </w:r>
      <w:r w:rsidR="00F8399C">
        <w:t xml:space="preserve">. </w:t>
      </w:r>
    </w:p>
    <w:p w14:paraId="392062C8" w14:textId="77777777" w:rsidR="00F8399C" w:rsidRDefault="007D56E4" w:rsidP="00673269">
      <w:pPr>
        <w:numPr>
          <w:ilvl w:val="0"/>
          <w:numId w:val="14"/>
        </w:numPr>
        <w:suppressAutoHyphens/>
        <w:spacing w:after="0"/>
        <w:ind w:left="284" w:right="567" w:hanging="284"/>
      </w:pPr>
      <w:r w:rsidRPr="007D56E4">
        <w:t>Life expectancy greater or equal to 12 weeks</w:t>
      </w:r>
      <w:r w:rsidR="00F8399C">
        <w:t>.</w:t>
      </w:r>
    </w:p>
    <w:p w14:paraId="25E74E12" w14:textId="7C647040" w:rsidR="007D56E4" w:rsidRPr="00F8399C" w:rsidRDefault="007D56E4" w:rsidP="00673269">
      <w:pPr>
        <w:numPr>
          <w:ilvl w:val="0"/>
          <w:numId w:val="14"/>
        </w:numPr>
        <w:suppressAutoHyphens/>
        <w:spacing w:after="0"/>
        <w:ind w:left="284" w:right="567" w:hanging="284"/>
      </w:pPr>
      <w:r w:rsidRPr="00F8399C">
        <w:t>Adequate organ function:</w:t>
      </w:r>
      <w:r w:rsidR="00F8399C">
        <w:t xml:space="preserve"> (a) </w:t>
      </w:r>
      <w:r w:rsidRPr="00F8399C">
        <w:rPr>
          <w:u w:val="single"/>
        </w:rPr>
        <w:t>Hematological</w:t>
      </w:r>
      <w:r w:rsidRPr="00F8399C">
        <w:t>: White blood cell (WBC) count &gt;3.0 x 109/L, absolute neutrophil count (ANC) &gt;1.5 x 109/L, platelet count &gt;75.0 x109/L, and hemoglobin &gt;10.0 g/dL (&gt;6.2 mmol/L)</w:t>
      </w:r>
      <w:r w:rsidR="00F8399C">
        <w:t xml:space="preserve">; (b) </w:t>
      </w:r>
      <w:r w:rsidRPr="00F8399C">
        <w:rPr>
          <w:u w:val="single"/>
        </w:rPr>
        <w:t>Hepatic</w:t>
      </w:r>
      <w:r w:rsidRPr="00F8399C">
        <w:t>: bilirubin &lt; 1.5 times the upper limit of normal (x ULN); alkaline phosphatase (ALP), aspartate transaminase (AST), and alanine transaminase (ALT) &lt;2.5 times ULN. Patients with ALP ≥2.5 times ULN are eligible if ALP abnormalities are unequivocally related to bone lesions (radiological assessments performed within 4 weeks prior to randomization demonstrated bone metastatic disease</w:t>
      </w:r>
      <w:r w:rsidR="00F8399C">
        <w:t xml:space="preserve">); (c) </w:t>
      </w:r>
      <w:r w:rsidR="00F8399C" w:rsidRPr="00F8399C">
        <w:rPr>
          <w:u w:val="single"/>
        </w:rPr>
        <w:t>and r</w:t>
      </w:r>
      <w:r w:rsidRPr="00F8399C">
        <w:rPr>
          <w:u w:val="single"/>
        </w:rPr>
        <w:t>enal</w:t>
      </w:r>
      <w:r w:rsidRPr="00F8399C">
        <w:t>: serum creatinine &lt; 1.5 x ULN.</w:t>
      </w:r>
    </w:p>
    <w:p w14:paraId="35AAC65B" w14:textId="77777777" w:rsidR="007D56E4" w:rsidRPr="007D56E4" w:rsidRDefault="007D56E4" w:rsidP="00673269">
      <w:pPr>
        <w:numPr>
          <w:ilvl w:val="0"/>
          <w:numId w:val="14"/>
        </w:numPr>
        <w:suppressAutoHyphens/>
        <w:spacing w:after="0"/>
        <w:ind w:left="284" w:right="567" w:hanging="284"/>
      </w:pPr>
      <w:r w:rsidRPr="007D56E4">
        <w:t>Exhibit patient compliance and geographic proximity that allow for adequate follow-up.</w:t>
      </w:r>
    </w:p>
    <w:p w14:paraId="73886546" w14:textId="1F3AACB4" w:rsidR="007D56E4" w:rsidRPr="007D56E4" w:rsidRDefault="007D56E4" w:rsidP="00673269">
      <w:pPr>
        <w:numPr>
          <w:ilvl w:val="0"/>
          <w:numId w:val="14"/>
        </w:numPr>
        <w:suppressAutoHyphens/>
        <w:spacing w:after="0"/>
        <w:ind w:left="426" w:right="567" w:hanging="426"/>
      </w:pPr>
      <w:r w:rsidRPr="007D56E4">
        <w:lastRenderedPageBreak/>
        <w:t xml:space="preserve">Patient has been informed about the nature of study, and has agreed to participate in the study, and signed the </w:t>
      </w:r>
      <w:r w:rsidR="00F8399C">
        <w:t>i</w:t>
      </w:r>
      <w:r w:rsidRPr="007D56E4">
        <w:t xml:space="preserve">nformed </w:t>
      </w:r>
      <w:r w:rsidR="00F8399C">
        <w:t>c</w:t>
      </w:r>
      <w:r w:rsidRPr="007D56E4">
        <w:t>onsent form prior to participation in any study-related activities.</w:t>
      </w:r>
    </w:p>
    <w:p w14:paraId="52A234ED" w14:textId="77777777" w:rsidR="007D56E4" w:rsidRPr="007D56E4" w:rsidRDefault="007D56E4" w:rsidP="00673269">
      <w:pPr>
        <w:numPr>
          <w:ilvl w:val="0"/>
          <w:numId w:val="14"/>
        </w:numPr>
        <w:suppressAutoHyphens/>
        <w:spacing w:after="0"/>
        <w:ind w:left="426" w:right="567" w:hanging="426"/>
      </w:pPr>
      <w:r w:rsidRPr="007D56E4">
        <w:t>No other malignancies within the past five years except adequate treated basal cell or squamous cell skin cancer or carcinoma in situ of the cervix</w:t>
      </w:r>
    </w:p>
    <w:p w14:paraId="33D543BC" w14:textId="52CF4EF5" w:rsidR="007D56E4" w:rsidRPr="007D56E4" w:rsidRDefault="007D56E4" w:rsidP="00673269">
      <w:pPr>
        <w:numPr>
          <w:ilvl w:val="0"/>
          <w:numId w:val="14"/>
        </w:numPr>
        <w:suppressAutoHyphens/>
        <w:spacing w:after="0"/>
        <w:ind w:left="426" w:right="567" w:hanging="426"/>
      </w:pPr>
      <w:r w:rsidRPr="007D56E4">
        <w:t>Resolution of all acute toxic effects of prior anti-cancer therapy or surgical procedures to NCI</w:t>
      </w:r>
      <w:r w:rsidR="00F8399C">
        <w:t>-</w:t>
      </w:r>
      <w:r w:rsidRPr="007D56E4">
        <w:t xml:space="preserve">CTCAE version 4.0 </w:t>
      </w:r>
      <w:r w:rsidR="00F8399C">
        <w:t xml:space="preserve">[2] </w:t>
      </w:r>
      <w:r w:rsidRPr="007D56E4">
        <w:t xml:space="preserve">Grade </w:t>
      </w:r>
      <w:r w:rsidRPr="007D56E4">
        <w:sym w:font="Symbol" w:char="F0A3"/>
      </w:r>
      <w:r w:rsidRPr="007D56E4">
        <w:t>1 (except alopecia or other toxicities not considered a safety risk for the patient at investigator's discretion).</w:t>
      </w:r>
    </w:p>
    <w:p w14:paraId="179462C2" w14:textId="362A8377" w:rsidR="007D56E4" w:rsidRPr="007D56E4" w:rsidRDefault="007D56E4" w:rsidP="00673269">
      <w:pPr>
        <w:numPr>
          <w:ilvl w:val="0"/>
          <w:numId w:val="14"/>
        </w:numPr>
        <w:suppressAutoHyphens/>
        <w:spacing w:after="0"/>
        <w:ind w:left="426" w:right="567" w:hanging="426"/>
      </w:pPr>
      <w:r w:rsidRPr="007D56E4">
        <w:t xml:space="preserve">Patient has been informed about the translational sub-study and has agreed to participate in the collection of blood and tumor tissue samples by signing the </w:t>
      </w:r>
      <w:r w:rsidR="00F8399C">
        <w:t>i</w:t>
      </w:r>
      <w:r w:rsidRPr="007D56E4">
        <w:t xml:space="preserve">nformed </w:t>
      </w:r>
      <w:r w:rsidR="00F8399C">
        <w:t>c</w:t>
      </w:r>
      <w:r w:rsidRPr="007D56E4">
        <w:t>onsent form.</w:t>
      </w:r>
    </w:p>
    <w:p w14:paraId="329D6FB0" w14:textId="77777777" w:rsidR="007D56E4" w:rsidRPr="007D56E4" w:rsidRDefault="007D56E4" w:rsidP="00673269">
      <w:pPr>
        <w:ind w:right="567"/>
      </w:pPr>
    </w:p>
    <w:p w14:paraId="3AE64F77" w14:textId="72EB1C13" w:rsidR="00F8399C" w:rsidRPr="00F8399C" w:rsidRDefault="00F8399C" w:rsidP="00673269">
      <w:pPr>
        <w:ind w:right="567"/>
        <w:rPr>
          <w:b/>
          <w:sz w:val="22"/>
        </w:rPr>
      </w:pPr>
      <w:r>
        <w:rPr>
          <w:b/>
          <w:sz w:val="22"/>
        </w:rPr>
        <w:t>Ex</w:t>
      </w:r>
      <w:r w:rsidRPr="00F8399C">
        <w:rPr>
          <w:b/>
          <w:sz w:val="22"/>
        </w:rPr>
        <w:t xml:space="preserve">clusion criteria: </w:t>
      </w:r>
    </w:p>
    <w:p w14:paraId="00EC85F3" w14:textId="1255A145" w:rsidR="007D56E4" w:rsidRPr="007D56E4" w:rsidRDefault="007D56E4" w:rsidP="00673269">
      <w:pPr>
        <w:pStyle w:val="Prrafodelista"/>
        <w:numPr>
          <w:ilvl w:val="0"/>
          <w:numId w:val="15"/>
        </w:numPr>
        <w:suppressAutoHyphens/>
        <w:spacing w:after="0" w:line="264" w:lineRule="auto"/>
        <w:ind w:left="426" w:right="567" w:hanging="426"/>
        <w:rPr>
          <w:szCs w:val="20"/>
          <w:lang w:val="en-US"/>
        </w:rPr>
      </w:pPr>
      <w:r w:rsidRPr="007D56E4">
        <w:rPr>
          <w:szCs w:val="20"/>
          <w:lang w:val="en-US"/>
        </w:rPr>
        <w:t>ER or HER2 unknown disease</w:t>
      </w:r>
      <w:r w:rsidR="00F8399C">
        <w:rPr>
          <w:szCs w:val="20"/>
          <w:lang w:val="en-US"/>
        </w:rPr>
        <w:t>.</w:t>
      </w:r>
    </w:p>
    <w:p w14:paraId="0CDB7C65" w14:textId="32A3D6A7" w:rsidR="007D56E4" w:rsidRPr="007D56E4" w:rsidRDefault="007D56E4" w:rsidP="00673269">
      <w:pPr>
        <w:pStyle w:val="Prrafodelista"/>
        <w:numPr>
          <w:ilvl w:val="0"/>
          <w:numId w:val="15"/>
        </w:numPr>
        <w:suppressAutoHyphens/>
        <w:spacing w:after="0" w:line="264" w:lineRule="auto"/>
        <w:ind w:left="426" w:right="567" w:hanging="426"/>
        <w:rPr>
          <w:szCs w:val="20"/>
          <w:lang w:val="en-US"/>
        </w:rPr>
      </w:pPr>
      <w:r w:rsidRPr="007D56E4">
        <w:rPr>
          <w:szCs w:val="20"/>
          <w:lang w:val="en-US"/>
        </w:rPr>
        <w:t>HER2</w:t>
      </w:r>
      <w:r w:rsidR="00F8399C">
        <w:rPr>
          <w:szCs w:val="20"/>
          <w:lang w:val="en-US"/>
        </w:rPr>
        <w:t>+</w:t>
      </w:r>
      <w:r w:rsidRPr="007D56E4">
        <w:rPr>
          <w:szCs w:val="20"/>
          <w:lang w:val="en-US"/>
        </w:rPr>
        <w:t xml:space="preserve"> disease based on local laboratory results (performed by immunohistochemistry/FISH)</w:t>
      </w:r>
      <w:r w:rsidR="00F8399C">
        <w:rPr>
          <w:szCs w:val="20"/>
          <w:lang w:val="en-US"/>
        </w:rPr>
        <w:t xml:space="preserve">. </w:t>
      </w:r>
    </w:p>
    <w:p w14:paraId="5B3FDC3F" w14:textId="104F412D" w:rsidR="007D56E4" w:rsidRPr="007D56E4" w:rsidRDefault="007D56E4" w:rsidP="00673269">
      <w:pPr>
        <w:pStyle w:val="Prrafodelista"/>
        <w:numPr>
          <w:ilvl w:val="0"/>
          <w:numId w:val="15"/>
        </w:numPr>
        <w:suppressAutoHyphens/>
        <w:spacing w:after="0" w:line="264" w:lineRule="auto"/>
        <w:ind w:left="426" w:right="567" w:hanging="426"/>
        <w:rPr>
          <w:szCs w:val="20"/>
          <w:lang w:val="en-US"/>
        </w:rPr>
      </w:pPr>
      <w:r w:rsidRPr="007D56E4">
        <w:rPr>
          <w:szCs w:val="20"/>
          <w:lang w:val="en-US"/>
        </w:rPr>
        <w:t xml:space="preserve">Locally advanced </w:t>
      </w:r>
      <w:r w:rsidR="00F8399C">
        <w:rPr>
          <w:szCs w:val="20"/>
          <w:lang w:val="en-US"/>
        </w:rPr>
        <w:t>BC</w:t>
      </w:r>
      <w:r w:rsidRPr="007D56E4">
        <w:rPr>
          <w:szCs w:val="20"/>
          <w:lang w:val="en-US"/>
        </w:rPr>
        <w:t xml:space="preserve"> candidate for a radical treatment.</w:t>
      </w:r>
    </w:p>
    <w:p w14:paraId="3BF15303" w14:textId="77777777" w:rsidR="007D56E4" w:rsidRPr="007D56E4" w:rsidRDefault="007D56E4" w:rsidP="00673269">
      <w:pPr>
        <w:pStyle w:val="Prrafodelista"/>
        <w:numPr>
          <w:ilvl w:val="0"/>
          <w:numId w:val="15"/>
        </w:numPr>
        <w:suppressAutoHyphens/>
        <w:spacing w:after="0" w:line="264" w:lineRule="auto"/>
        <w:ind w:left="426" w:right="567" w:hanging="426"/>
        <w:rPr>
          <w:szCs w:val="20"/>
          <w:lang w:val="en-US"/>
        </w:rPr>
      </w:pPr>
      <w:r w:rsidRPr="007D56E4">
        <w:rPr>
          <w:szCs w:val="20"/>
          <w:lang w:val="en-US"/>
        </w:rPr>
        <w:t>Prior endocrine therapy in the metastatic setting is not allowed. (Neo)/Adjuvant endocrine therapy is allowed only if the disease-free interval between the end of endocrine therapy and the appearance of metastases in higher than 12 months.</w:t>
      </w:r>
    </w:p>
    <w:p w14:paraId="340A6E76" w14:textId="5F101EFA" w:rsidR="007D56E4" w:rsidRPr="007D56E4" w:rsidRDefault="007D56E4" w:rsidP="00673269">
      <w:pPr>
        <w:pStyle w:val="Prrafodelista"/>
        <w:numPr>
          <w:ilvl w:val="0"/>
          <w:numId w:val="15"/>
        </w:numPr>
        <w:suppressAutoHyphens/>
        <w:spacing w:after="0" w:line="264" w:lineRule="auto"/>
        <w:ind w:left="426" w:right="567" w:hanging="426"/>
        <w:rPr>
          <w:szCs w:val="20"/>
          <w:lang w:val="en-US"/>
        </w:rPr>
      </w:pPr>
      <w:r w:rsidRPr="007D56E4">
        <w:rPr>
          <w:szCs w:val="20"/>
          <w:lang w:val="en-US"/>
        </w:rPr>
        <w:t>Patients with rapidly progressive visceral disease or visceral crisis</w:t>
      </w:r>
      <w:r w:rsidR="005E2AE9">
        <w:rPr>
          <w:szCs w:val="20"/>
          <w:lang w:val="en-US"/>
        </w:rPr>
        <w:t>.</w:t>
      </w:r>
    </w:p>
    <w:p w14:paraId="0F3C6C94" w14:textId="7E1F548D" w:rsidR="007D56E4" w:rsidRPr="007D56E4" w:rsidRDefault="007D56E4" w:rsidP="00673269">
      <w:pPr>
        <w:pStyle w:val="Prrafodelista"/>
        <w:numPr>
          <w:ilvl w:val="0"/>
          <w:numId w:val="15"/>
        </w:numPr>
        <w:suppressAutoHyphens/>
        <w:spacing w:after="0" w:line="264" w:lineRule="auto"/>
        <w:ind w:left="426" w:right="567" w:hanging="426"/>
        <w:rPr>
          <w:szCs w:val="20"/>
          <w:lang w:val="en-US"/>
        </w:rPr>
      </w:pPr>
      <w:r w:rsidRPr="007D56E4">
        <w:rPr>
          <w:szCs w:val="20"/>
          <w:lang w:val="en-US"/>
        </w:rPr>
        <w:t xml:space="preserve">Have had a major surgery (defined as requiring general </w:t>
      </w:r>
      <w:r w:rsidR="005E2AE9" w:rsidRPr="007D56E4">
        <w:rPr>
          <w:szCs w:val="20"/>
          <w:lang w:val="en-US"/>
        </w:rPr>
        <w:t>anesthesia</w:t>
      </w:r>
      <w:r w:rsidRPr="007D56E4">
        <w:rPr>
          <w:szCs w:val="20"/>
          <w:lang w:val="en-US"/>
        </w:rPr>
        <w:t>) or significant traumatic injury within 4 weeks of start of study drug, patients who have not recovered from the side effects of any major surgery or patients that may require major surgery during the course of the study</w:t>
      </w:r>
    </w:p>
    <w:p w14:paraId="1C1E16BA" w14:textId="4D9DE5D1" w:rsidR="007D56E4" w:rsidRPr="007D56E4" w:rsidRDefault="007D56E4" w:rsidP="00673269">
      <w:pPr>
        <w:pStyle w:val="Prrafodelista"/>
        <w:numPr>
          <w:ilvl w:val="0"/>
          <w:numId w:val="15"/>
        </w:numPr>
        <w:suppressAutoHyphens/>
        <w:spacing w:after="0" w:line="264" w:lineRule="auto"/>
        <w:ind w:left="426" w:right="567" w:hanging="426"/>
        <w:rPr>
          <w:szCs w:val="20"/>
          <w:lang w:val="en-US"/>
        </w:rPr>
      </w:pPr>
      <w:r w:rsidRPr="007D56E4">
        <w:rPr>
          <w:szCs w:val="20"/>
          <w:lang w:val="en-US"/>
        </w:rPr>
        <w:t>Patients with an active, bleeding diathesis</w:t>
      </w:r>
      <w:r w:rsidR="005E2AE9">
        <w:rPr>
          <w:szCs w:val="20"/>
          <w:lang w:val="en-US"/>
        </w:rPr>
        <w:t>.</w:t>
      </w:r>
    </w:p>
    <w:p w14:paraId="495A9072" w14:textId="66500B43" w:rsidR="007D56E4" w:rsidRPr="007D56E4" w:rsidRDefault="005E2AE9" w:rsidP="00673269">
      <w:pPr>
        <w:pStyle w:val="Prrafodelista"/>
        <w:numPr>
          <w:ilvl w:val="0"/>
          <w:numId w:val="15"/>
        </w:numPr>
        <w:spacing w:after="0" w:line="264" w:lineRule="auto"/>
        <w:ind w:left="426" w:right="567" w:hanging="426"/>
        <w:rPr>
          <w:szCs w:val="20"/>
          <w:lang w:val="en-US"/>
        </w:rPr>
      </w:pPr>
      <w:r>
        <w:rPr>
          <w:szCs w:val="20"/>
          <w:lang w:val="en-US"/>
        </w:rPr>
        <w:t>S</w:t>
      </w:r>
      <w:r w:rsidR="007D56E4" w:rsidRPr="007D56E4">
        <w:rPr>
          <w:szCs w:val="20"/>
          <w:lang w:val="en-US"/>
        </w:rPr>
        <w:t>erious</w:t>
      </w:r>
      <w:r>
        <w:rPr>
          <w:szCs w:val="20"/>
          <w:lang w:val="en-US"/>
        </w:rPr>
        <w:t xml:space="preserve"> concomitant systemic disorder </w:t>
      </w:r>
      <w:r w:rsidR="007D56E4" w:rsidRPr="007D56E4">
        <w:rPr>
          <w:szCs w:val="20"/>
          <w:lang w:val="en-US"/>
        </w:rPr>
        <w:t>incompatible with the study (at the discretion of investigator)</w:t>
      </w:r>
      <w:r>
        <w:rPr>
          <w:szCs w:val="20"/>
          <w:lang w:val="en-US"/>
        </w:rPr>
        <w:t xml:space="preserve">. E.g. </w:t>
      </w:r>
      <w:r w:rsidRPr="007D56E4">
        <w:rPr>
          <w:szCs w:val="20"/>
          <w:lang w:val="en-US"/>
        </w:rPr>
        <w:t>active infection including HIV, or cardiac disease</w:t>
      </w:r>
      <w:r w:rsidR="007D56E4" w:rsidRPr="007D56E4">
        <w:rPr>
          <w:szCs w:val="20"/>
          <w:lang w:val="en-US"/>
        </w:rPr>
        <w:t>, previous history of bleeding diathesis, or anti-coagulation treatment (</w:t>
      </w:r>
      <w:r>
        <w:rPr>
          <w:szCs w:val="20"/>
          <w:lang w:val="en-US"/>
        </w:rPr>
        <w:t>t</w:t>
      </w:r>
      <w:r w:rsidR="007D56E4" w:rsidRPr="007D56E4">
        <w:rPr>
          <w:szCs w:val="20"/>
          <w:lang w:val="en-US"/>
        </w:rPr>
        <w:t>he use of low molecular weight heparin is allowed as soon as it is used as prophylaxis intention).</w:t>
      </w:r>
    </w:p>
    <w:p w14:paraId="32644C11" w14:textId="3D2E3D0E" w:rsidR="007D56E4" w:rsidRPr="007D56E4" w:rsidRDefault="007D56E4" w:rsidP="00673269">
      <w:pPr>
        <w:pStyle w:val="Prrafodelista"/>
        <w:numPr>
          <w:ilvl w:val="0"/>
          <w:numId w:val="15"/>
        </w:numPr>
        <w:suppressAutoHyphens/>
        <w:spacing w:after="0" w:line="264" w:lineRule="auto"/>
        <w:ind w:left="426" w:right="567" w:hanging="426"/>
        <w:rPr>
          <w:szCs w:val="20"/>
          <w:lang w:val="en-US"/>
        </w:rPr>
      </w:pPr>
      <w:r w:rsidRPr="007D56E4">
        <w:rPr>
          <w:szCs w:val="20"/>
          <w:lang w:val="en-US"/>
        </w:rPr>
        <w:t>Are unable to swallow tablets</w:t>
      </w:r>
      <w:r w:rsidR="005E2AE9">
        <w:rPr>
          <w:szCs w:val="20"/>
          <w:lang w:val="en-US"/>
        </w:rPr>
        <w:t>.</w:t>
      </w:r>
    </w:p>
    <w:p w14:paraId="4CC6FC2C" w14:textId="5B180C4F" w:rsidR="007D56E4" w:rsidRPr="007D56E4" w:rsidRDefault="007D56E4" w:rsidP="00673269">
      <w:pPr>
        <w:pStyle w:val="Prrafodelista"/>
        <w:numPr>
          <w:ilvl w:val="0"/>
          <w:numId w:val="15"/>
        </w:numPr>
        <w:suppressAutoHyphens/>
        <w:spacing w:after="0" w:line="264" w:lineRule="auto"/>
        <w:ind w:left="426" w:right="567" w:hanging="426"/>
        <w:rPr>
          <w:szCs w:val="20"/>
          <w:lang w:val="en-US"/>
        </w:rPr>
      </w:pPr>
      <w:r w:rsidRPr="007D56E4">
        <w:rPr>
          <w:szCs w:val="20"/>
          <w:lang w:val="en-US"/>
        </w:rPr>
        <w:t>History of malabsorption syndrome or other condition that would interfere with enteral absorption</w:t>
      </w:r>
      <w:r w:rsidR="005E2AE9">
        <w:rPr>
          <w:szCs w:val="20"/>
          <w:lang w:val="en-US"/>
        </w:rPr>
        <w:t>.</w:t>
      </w:r>
    </w:p>
    <w:p w14:paraId="08C4EF37" w14:textId="6A253357" w:rsidR="007D56E4" w:rsidRPr="007D56E4" w:rsidRDefault="007D56E4" w:rsidP="00673269">
      <w:pPr>
        <w:pStyle w:val="Prrafodelista"/>
        <w:numPr>
          <w:ilvl w:val="0"/>
          <w:numId w:val="15"/>
        </w:numPr>
        <w:suppressAutoHyphens/>
        <w:spacing w:after="0" w:line="264" w:lineRule="auto"/>
        <w:ind w:left="426" w:right="567" w:hanging="426"/>
        <w:rPr>
          <w:szCs w:val="20"/>
          <w:lang w:val="en-US"/>
        </w:rPr>
      </w:pPr>
      <w:r w:rsidRPr="007D56E4">
        <w:rPr>
          <w:szCs w:val="20"/>
          <w:lang w:val="en-US"/>
        </w:rPr>
        <w:t xml:space="preserve">Chronic daily treatment with corticosteroids with a dose of ≥ 10mg/day methylprednisolone </w:t>
      </w:r>
      <w:r w:rsidR="005E2AE9">
        <w:rPr>
          <w:szCs w:val="20"/>
          <w:lang w:val="en-US"/>
        </w:rPr>
        <w:t xml:space="preserve">or </w:t>
      </w:r>
      <w:r w:rsidRPr="007D56E4">
        <w:rPr>
          <w:szCs w:val="20"/>
          <w:lang w:val="en-US"/>
        </w:rPr>
        <w:t xml:space="preserve">equivalent (excluding inhaled steroids). </w:t>
      </w:r>
    </w:p>
    <w:p w14:paraId="0619D28C" w14:textId="34F5D958" w:rsidR="007D56E4" w:rsidRPr="007D56E4" w:rsidRDefault="007D56E4" w:rsidP="00673269">
      <w:pPr>
        <w:pStyle w:val="Prrafodelista"/>
        <w:numPr>
          <w:ilvl w:val="0"/>
          <w:numId w:val="15"/>
        </w:numPr>
        <w:suppressAutoHyphens/>
        <w:spacing w:after="0" w:line="264" w:lineRule="auto"/>
        <w:ind w:left="426" w:right="567" w:hanging="426"/>
        <w:rPr>
          <w:szCs w:val="20"/>
          <w:lang w:val="en-US"/>
        </w:rPr>
      </w:pPr>
      <w:r w:rsidRPr="007D56E4">
        <w:rPr>
          <w:szCs w:val="20"/>
          <w:lang w:val="en-US"/>
        </w:rPr>
        <w:t xml:space="preserve">Known active uncontrolled or symptomatic </w:t>
      </w:r>
      <w:r w:rsidR="005E2AE9">
        <w:rPr>
          <w:szCs w:val="20"/>
          <w:lang w:val="en-US"/>
        </w:rPr>
        <w:t>Central Nervous System (</w:t>
      </w:r>
      <w:r w:rsidRPr="007D56E4">
        <w:rPr>
          <w:szCs w:val="20"/>
          <w:lang w:val="en-US"/>
        </w:rPr>
        <w:t>CNS</w:t>
      </w:r>
      <w:r w:rsidR="005E2AE9">
        <w:rPr>
          <w:szCs w:val="20"/>
          <w:lang w:val="en-US"/>
        </w:rPr>
        <w:t>)</w:t>
      </w:r>
      <w:r w:rsidRPr="007D56E4">
        <w:rPr>
          <w:szCs w:val="20"/>
          <w:lang w:val="en-US"/>
        </w:rPr>
        <w:t xml:space="preserve"> metastases, carcinomatous meningitis, or leptomeningeal disease as indicated by clinical symptoms, cerebral oedema, and/or progressive growth. Patients with a history of CNS metastases or cord compression are eligible if they have been definitively treated with local therapy (e.g., radiotherapy, stereotactic surgery) and are clinically stable</w:t>
      </w:r>
      <w:r w:rsidR="005E2AE9">
        <w:rPr>
          <w:szCs w:val="20"/>
          <w:lang w:val="en-US"/>
        </w:rPr>
        <w:t>,</w:t>
      </w:r>
      <w:r w:rsidRPr="007D56E4">
        <w:rPr>
          <w:szCs w:val="20"/>
          <w:lang w:val="en-US"/>
        </w:rPr>
        <w:t xml:space="preserve"> off anticonvulsants and steroids for at least 4 weeks before randomization</w:t>
      </w:r>
      <w:r w:rsidR="005E2AE9">
        <w:rPr>
          <w:szCs w:val="20"/>
          <w:lang w:val="en-US"/>
        </w:rPr>
        <w:t>.</w:t>
      </w:r>
    </w:p>
    <w:p w14:paraId="27AEF5DD" w14:textId="77777777" w:rsidR="007D56E4" w:rsidRPr="007D56E4" w:rsidRDefault="007D56E4" w:rsidP="00673269">
      <w:pPr>
        <w:pStyle w:val="Prrafodelista"/>
        <w:numPr>
          <w:ilvl w:val="0"/>
          <w:numId w:val="15"/>
        </w:numPr>
        <w:suppressAutoHyphens/>
        <w:spacing w:after="0" w:line="264" w:lineRule="auto"/>
        <w:ind w:left="426" w:right="567" w:hanging="426"/>
        <w:rPr>
          <w:szCs w:val="20"/>
          <w:lang w:val="en-US"/>
        </w:rPr>
      </w:pPr>
      <w:r w:rsidRPr="007D56E4">
        <w:rPr>
          <w:szCs w:val="20"/>
          <w:lang w:val="en-US"/>
        </w:rPr>
        <w:t xml:space="preserve">Known hypersensitivity to letrozole, </w:t>
      </w:r>
      <w:proofErr w:type="spellStart"/>
      <w:r w:rsidRPr="007D56E4">
        <w:rPr>
          <w:szCs w:val="20"/>
          <w:lang w:val="en-US"/>
        </w:rPr>
        <w:t>fulvestrant</w:t>
      </w:r>
      <w:proofErr w:type="spellEnd"/>
      <w:r w:rsidRPr="007D56E4">
        <w:rPr>
          <w:szCs w:val="20"/>
          <w:lang w:val="en-US"/>
        </w:rPr>
        <w:t xml:space="preserve"> or any of their excipients, or to any PD-0332991 excipients.</w:t>
      </w:r>
    </w:p>
    <w:p w14:paraId="7E1AF12E" w14:textId="0210E40D" w:rsidR="007D56E4" w:rsidRPr="007D56E4" w:rsidRDefault="005E2AE9" w:rsidP="00673269">
      <w:pPr>
        <w:numPr>
          <w:ilvl w:val="0"/>
          <w:numId w:val="14"/>
        </w:numPr>
        <w:suppressAutoHyphens/>
        <w:spacing w:after="0"/>
        <w:ind w:left="426" w:right="567" w:hanging="426"/>
      </w:pPr>
      <w:r w:rsidRPr="005E2AE9">
        <w:rPr>
          <w:rStyle w:val="st"/>
        </w:rPr>
        <w:t>Corrected QT interval according to Fridericia’s formula</w:t>
      </w:r>
      <w:r w:rsidRPr="005E2AE9">
        <w:t xml:space="preserve"> (</w:t>
      </w:r>
      <w:proofErr w:type="spellStart"/>
      <w:r w:rsidR="007D56E4" w:rsidRPr="005E2AE9">
        <w:t>QTcF</w:t>
      </w:r>
      <w:proofErr w:type="spellEnd"/>
      <w:r>
        <w:t>)</w:t>
      </w:r>
      <w:r w:rsidR="007D56E4" w:rsidRPr="007D56E4">
        <w:t xml:space="preserve"> &gt;480 msec on basal assessments, personal history of long or short QT syndrome, </w:t>
      </w:r>
      <w:proofErr w:type="spellStart"/>
      <w:r w:rsidR="007D56E4" w:rsidRPr="007D56E4">
        <w:t>Brugada</w:t>
      </w:r>
      <w:proofErr w:type="spellEnd"/>
      <w:r w:rsidR="007D56E4" w:rsidRPr="007D56E4">
        <w:t xml:space="preserve"> syndrome or known history of QTc prolongation, or Torsade de Pointes (</w:t>
      </w:r>
      <w:proofErr w:type="spellStart"/>
      <w:r w:rsidR="007D56E4" w:rsidRPr="007D56E4">
        <w:t>TdP</w:t>
      </w:r>
      <w:proofErr w:type="spellEnd"/>
      <w:r w:rsidR="007D56E4" w:rsidRPr="007D56E4">
        <w:t>).</w:t>
      </w:r>
    </w:p>
    <w:p w14:paraId="6AA36001" w14:textId="77777777" w:rsidR="007D56E4" w:rsidRPr="007D56E4" w:rsidRDefault="007D56E4" w:rsidP="00673269">
      <w:pPr>
        <w:numPr>
          <w:ilvl w:val="0"/>
          <w:numId w:val="14"/>
        </w:numPr>
        <w:suppressAutoHyphens/>
        <w:spacing w:after="0"/>
        <w:ind w:left="426" w:right="567" w:hanging="426"/>
      </w:pPr>
      <w:r w:rsidRPr="007D56E4">
        <w:t>Uncontrolled electrolyte disorders that can compound the effects of a QTc-prolonging drug (e.g., hypocalcemia, hypokalemia, hypomagnesemia).</w:t>
      </w:r>
    </w:p>
    <w:p w14:paraId="69B7139D" w14:textId="77777777" w:rsidR="007D56E4" w:rsidRPr="004F0FE2" w:rsidRDefault="007D56E4" w:rsidP="00673269">
      <w:pPr>
        <w:pStyle w:val="BodyText12"/>
        <w:spacing w:after="0" w:line="240" w:lineRule="auto"/>
        <w:ind w:left="426" w:right="567" w:hanging="426"/>
        <w:rPr>
          <w:rFonts w:ascii="Arial" w:hAnsi="Arial" w:cs="Arial"/>
          <w:b/>
          <w:sz w:val="20"/>
        </w:rPr>
      </w:pPr>
    </w:p>
    <w:p w14:paraId="32361FEE" w14:textId="4F529FFD" w:rsidR="006A7887" w:rsidRDefault="00780E6D" w:rsidP="00673269">
      <w:pPr>
        <w:ind w:right="567"/>
      </w:pPr>
      <w:r w:rsidRPr="004F0FE2">
        <w:t xml:space="preserve">The study had a sample size of at least 486 eligible patients. </w:t>
      </w:r>
      <w:r w:rsidR="006A7887" w:rsidRPr="004F0FE2">
        <w:t>Each patient was uniquely identified in the study by a combination of his/her center number</w:t>
      </w:r>
      <w:r w:rsidR="003D0547" w:rsidRPr="004F0FE2">
        <w:t xml:space="preserve"> </w:t>
      </w:r>
      <w:r w:rsidR="00FC4935" w:rsidRPr="004F0FE2">
        <w:t xml:space="preserve">and a 5-digit </w:t>
      </w:r>
      <w:r w:rsidR="00004E54" w:rsidRPr="004F0FE2">
        <w:t>p</w:t>
      </w:r>
      <w:r w:rsidR="00FC4935" w:rsidRPr="004F0FE2">
        <w:t xml:space="preserve">atient </w:t>
      </w:r>
      <w:r w:rsidR="00004E54" w:rsidRPr="004F0FE2">
        <w:t>n</w:t>
      </w:r>
      <w:r w:rsidR="00FC4935" w:rsidRPr="004F0FE2">
        <w:t xml:space="preserve">umber used </w:t>
      </w:r>
      <w:r w:rsidR="00004E54" w:rsidRPr="004F0FE2">
        <w:t xml:space="preserve">to register all data on the </w:t>
      </w:r>
      <w:r w:rsidR="00AE4D07" w:rsidRPr="004F0FE2">
        <w:t>case report forms (</w:t>
      </w:r>
      <w:r w:rsidR="00004E54" w:rsidRPr="004F0FE2">
        <w:t>CRFs</w:t>
      </w:r>
      <w:r w:rsidR="00AE4D07" w:rsidRPr="004F0FE2">
        <w:t>)</w:t>
      </w:r>
      <w:r w:rsidR="00004E54" w:rsidRPr="004F0FE2">
        <w:t xml:space="preserve">. </w:t>
      </w:r>
    </w:p>
    <w:p w14:paraId="2FD08D32" w14:textId="5B7E9899" w:rsidR="00673269" w:rsidRDefault="00673269" w:rsidP="00673269">
      <w:pPr>
        <w:ind w:right="567"/>
      </w:pPr>
    </w:p>
    <w:p w14:paraId="22B10E7C" w14:textId="77777777" w:rsidR="00673269" w:rsidRPr="004F0FE2" w:rsidRDefault="00673269" w:rsidP="00673269">
      <w:pPr>
        <w:ind w:right="567"/>
      </w:pPr>
    </w:p>
    <w:p w14:paraId="6173C56D" w14:textId="77777777" w:rsidR="006A7887" w:rsidRPr="004F0FE2" w:rsidRDefault="002E463A" w:rsidP="00673269">
      <w:pPr>
        <w:pStyle w:val="Ttulo2"/>
        <w:ind w:right="567"/>
      </w:pPr>
      <w:bookmarkStart w:id="181" w:name="_Toc52468090"/>
      <w:r w:rsidRPr="004F0FE2">
        <w:lastRenderedPageBreak/>
        <w:t>Treatments.</w:t>
      </w:r>
      <w:bookmarkEnd w:id="181"/>
    </w:p>
    <w:p w14:paraId="3169C9E1" w14:textId="77777777" w:rsidR="002E463A" w:rsidRPr="004F0FE2" w:rsidRDefault="002E463A" w:rsidP="00673269">
      <w:pPr>
        <w:pStyle w:val="Ttulo3"/>
        <w:ind w:right="567"/>
      </w:pPr>
      <w:bookmarkStart w:id="182" w:name="_Toc52468091"/>
      <w:r w:rsidRPr="004F0FE2">
        <w:t xml:space="preserve">Study treatments </w:t>
      </w:r>
      <w:r w:rsidR="0053701A" w:rsidRPr="004F0FE2">
        <w:t>allocation and supply</w:t>
      </w:r>
      <w:r w:rsidRPr="004F0FE2">
        <w:t>.</w:t>
      </w:r>
      <w:bookmarkEnd w:id="182"/>
    </w:p>
    <w:p w14:paraId="42728A11" w14:textId="77777777" w:rsidR="00780E6D" w:rsidRPr="004F0FE2" w:rsidRDefault="00780E6D" w:rsidP="00673269">
      <w:pPr>
        <w:ind w:right="567"/>
      </w:pPr>
      <w:r w:rsidRPr="004F0FE2">
        <w:t xml:space="preserve">After signing the informed consent form, </w:t>
      </w:r>
      <w:r w:rsidR="000E626F" w:rsidRPr="004F0FE2">
        <w:t xml:space="preserve">eligible </w:t>
      </w:r>
      <w:r w:rsidRPr="004F0FE2">
        <w:t>patients were randomized (1:1) to one of two therapy regimens:</w:t>
      </w:r>
    </w:p>
    <w:p w14:paraId="3F277309" w14:textId="77777777" w:rsidR="00780E6D" w:rsidRPr="004F0FE2" w:rsidRDefault="00780E6D" w:rsidP="00673269">
      <w:pPr>
        <w:numPr>
          <w:ilvl w:val="0"/>
          <w:numId w:val="17"/>
        </w:numPr>
        <w:ind w:right="567"/>
      </w:pPr>
      <w:r w:rsidRPr="004F0FE2">
        <w:rPr>
          <w:u w:val="single"/>
        </w:rPr>
        <w:t>Patients in Arm A</w:t>
      </w:r>
      <w:r w:rsidRPr="004F0FE2">
        <w:t xml:space="preserve"> </w:t>
      </w:r>
      <w:r w:rsidR="003C1C4D" w:rsidRPr="004F0FE2">
        <w:t>received</w:t>
      </w:r>
      <w:r w:rsidRPr="004F0FE2">
        <w:t xml:space="preserve"> </w:t>
      </w:r>
      <w:proofErr w:type="spellStart"/>
      <w:r w:rsidRPr="004F0FE2">
        <w:t>fulvestrant</w:t>
      </w:r>
      <w:proofErr w:type="spellEnd"/>
      <w:r w:rsidRPr="004F0FE2">
        <w:t xml:space="preserve"> 500 mg/5mL </w:t>
      </w:r>
      <w:proofErr w:type="spellStart"/>
      <w:r w:rsidRPr="004F0FE2">
        <w:t>i.m.</w:t>
      </w:r>
      <w:proofErr w:type="spellEnd"/>
      <w:r w:rsidRPr="004F0FE2">
        <w:t xml:space="preserve"> injection administered on days 1 and 14, of a 28-day cycle on cycle one and one monthly thereafter. Palbociclib 125 mg total dose </w:t>
      </w:r>
      <w:r w:rsidR="003C1C4D" w:rsidRPr="004F0FE2">
        <w:t xml:space="preserve">was </w:t>
      </w:r>
      <w:r w:rsidRPr="004F0FE2">
        <w:t xml:space="preserve">taken orally once daily beginning on </w:t>
      </w:r>
      <w:r w:rsidR="00D42CEB" w:rsidRPr="004F0FE2">
        <w:t>d</w:t>
      </w:r>
      <w:r w:rsidRPr="004F0FE2">
        <w:t xml:space="preserve">ay 1 of </w:t>
      </w:r>
      <w:proofErr w:type="spellStart"/>
      <w:r w:rsidRPr="004F0FE2">
        <w:t>fulvestrant</w:t>
      </w:r>
      <w:proofErr w:type="spellEnd"/>
      <w:r w:rsidRPr="004F0FE2">
        <w:t xml:space="preserve"> and continuing throughout </w:t>
      </w:r>
      <w:r w:rsidR="00D42CEB" w:rsidRPr="004F0FE2">
        <w:t>d</w:t>
      </w:r>
      <w:r w:rsidRPr="004F0FE2">
        <w:t>ay 21 of every 28-day cycle.</w:t>
      </w:r>
    </w:p>
    <w:p w14:paraId="6774F756" w14:textId="77777777" w:rsidR="00780E6D" w:rsidRPr="004F0FE2" w:rsidRDefault="00780E6D" w:rsidP="00673269">
      <w:pPr>
        <w:numPr>
          <w:ilvl w:val="0"/>
          <w:numId w:val="17"/>
        </w:numPr>
        <w:ind w:right="567"/>
      </w:pPr>
      <w:r w:rsidRPr="004F0FE2">
        <w:rPr>
          <w:u w:val="single"/>
        </w:rPr>
        <w:t>Patients in Arm B</w:t>
      </w:r>
      <w:r w:rsidRPr="004F0FE2">
        <w:t xml:space="preserve"> receive</w:t>
      </w:r>
      <w:r w:rsidR="003C1C4D" w:rsidRPr="004F0FE2">
        <w:t>d</w:t>
      </w:r>
      <w:r w:rsidRPr="004F0FE2">
        <w:t xml:space="preserve"> letrozole 2.5 mg orally once daily beginning on </w:t>
      </w:r>
      <w:r w:rsidR="00D42CEB" w:rsidRPr="004F0FE2">
        <w:t>d</w:t>
      </w:r>
      <w:r w:rsidRPr="004F0FE2">
        <w:t xml:space="preserve">ay 1 and continuing through </w:t>
      </w:r>
      <w:r w:rsidR="00D42CEB" w:rsidRPr="004F0FE2">
        <w:t>d</w:t>
      </w:r>
      <w:r w:rsidRPr="004F0FE2">
        <w:t xml:space="preserve">ay 28 of a 28-day cycle. Palbociclib 125 mg capsules </w:t>
      </w:r>
      <w:r w:rsidR="003C1C4D" w:rsidRPr="004F0FE2">
        <w:t>were</w:t>
      </w:r>
      <w:r w:rsidRPr="004F0FE2">
        <w:t xml:space="preserve"> taken orally once daily beginning on </w:t>
      </w:r>
      <w:r w:rsidR="00D42CEB" w:rsidRPr="004F0FE2">
        <w:t>d</w:t>
      </w:r>
      <w:r w:rsidRPr="004F0FE2">
        <w:t xml:space="preserve">ay 1 of letrozole and continuing throughout </w:t>
      </w:r>
      <w:r w:rsidR="00D42CEB" w:rsidRPr="004F0FE2">
        <w:t>d</w:t>
      </w:r>
      <w:r w:rsidRPr="004F0FE2">
        <w:t>ay 21 of every 28-day cycle.</w:t>
      </w:r>
    </w:p>
    <w:p w14:paraId="0D417AA2" w14:textId="77777777" w:rsidR="000E626F" w:rsidRPr="004F0FE2" w:rsidRDefault="000E626F" w:rsidP="00673269">
      <w:pPr>
        <w:ind w:right="567"/>
      </w:pPr>
      <w:r w:rsidRPr="004F0FE2">
        <w:t>Patients were stratified by site of disease (visceral</w:t>
      </w:r>
      <w:r w:rsidRPr="004F0FE2">
        <w:rPr>
          <w:vertAlign w:val="superscript"/>
        </w:rPr>
        <w:t xml:space="preserve"> </w:t>
      </w:r>
      <w:r w:rsidRPr="004F0FE2">
        <w:t>vs. non-visceral</w:t>
      </w:r>
      <w:r w:rsidR="004565D4" w:rsidRPr="004F0FE2">
        <w:rPr>
          <w:vertAlign w:val="superscript"/>
        </w:rPr>
        <w:footnoteReference w:id="3"/>
      </w:r>
      <w:r w:rsidRPr="004F0FE2">
        <w:t>), and by the onset of metastatic disease diagnos</w:t>
      </w:r>
      <w:r w:rsidR="00004E54" w:rsidRPr="004F0FE2">
        <w:t>e</w:t>
      </w:r>
      <w:r w:rsidRPr="004F0FE2">
        <w:t xml:space="preserve"> (de novo metastatic versus non de novo patients).</w:t>
      </w:r>
    </w:p>
    <w:p w14:paraId="240A4AE8" w14:textId="77777777" w:rsidR="00004E54" w:rsidRPr="004F0FE2" w:rsidRDefault="003C1C4D" w:rsidP="00673269">
      <w:pPr>
        <w:ind w:right="567"/>
      </w:pPr>
      <w:r w:rsidRPr="004F0FE2">
        <w:t xml:space="preserve">Patients </w:t>
      </w:r>
      <w:r w:rsidR="00780E6D" w:rsidRPr="004F0FE2">
        <w:t>continue</w:t>
      </w:r>
      <w:r w:rsidRPr="004F0FE2">
        <w:t>d</w:t>
      </w:r>
      <w:r w:rsidR="00780E6D" w:rsidRPr="004F0FE2">
        <w:t xml:space="preserve"> to receive their assigned treatment until objective disease progression, symptomatic deterioration, unacceptable toxicity, death, or withdrawal of consent, whichever </w:t>
      </w:r>
      <w:r w:rsidR="008145C5" w:rsidRPr="004F0FE2">
        <w:t>occurred</w:t>
      </w:r>
      <w:r w:rsidR="00780E6D" w:rsidRPr="004F0FE2">
        <w:t xml:space="preserve"> first. </w:t>
      </w:r>
      <w:r w:rsidR="00004E54" w:rsidRPr="004F0FE2">
        <w:t>Dose delays and dose reductions were allowed as outlined in the appended Study Protocol</w:t>
      </w:r>
      <w:r w:rsidR="00004E54" w:rsidRPr="004F0FE2">
        <w:rPr>
          <w:lang w:eastAsia="zh-CN"/>
        </w:rPr>
        <w:t>.</w:t>
      </w:r>
    </w:p>
    <w:p w14:paraId="39E866A5" w14:textId="77777777" w:rsidR="0053701A" w:rsidRPr="004F0FE2" w:rsidRDefault="0053701A" w:rsidP="00673269">
      <w:pPr>
        <w:ind w:right="567"/>
      </w:pPr>
      <w:r w:rsidRPr="004F0FE2">
        <w:t xml:space="preserve">Palbociclib (PD-0332991) </w:t>
      </w:r>
      <w:r w:rsidR="00004E54" w:rsidRPr="004F0FE2">
        <w:t>was</w:t>
      </w:r>
      <w:r w:rsidRPr="004F0FE2">
        <w:t xml:space="preserve"> supplied as capsules containing 75 mg, 100 mg, or 125 mg for self-medication. </w:t>
      </w:r>
      <w:proofErr w:type="spellStart"/>
      <w:r w:rsidRPr="004F0FE2">
        <w:t>Fulvestrant</w:t>
      </w:r>
      <w:proofErr w:type="spellEnd"/>
      <w:r w:rsidRPr="004F0FE2">
        <w:t xml:space="preserve"> </w:t>
      </w:r>
      <w:r w:rsidR="00004E54" w:rsidRPr="004F0FE2">
        <w:t>was</w:t>
      </w:r>
      <w:r w:rsidRPr="004F0FE2">
        <w:t xml:space="preserve"> supplied as two pre-filled syringe (5 ml) that contain</w:t>
      </w:r>
      <w:r w:rsidR="00004E54" w:rsidRPr="004F0FE2">
        <w:t>ed</w:t>
      </w:r>
      <w:r w:rsidRPr="004F0FE2">
        <w:t xml:space="preserve"> each one 250 mg </w:t>
      </w:r>
      <w:proofErr w:type="spellStart"/>
      <w:r w:rsidRPr="004F0FE2">
        <w:t>fulvestrant</w:t>
      </w:r>
      <w:proofErr w:type="spellEnd"/>
      <w:r w:rsidRPr="004F0FE2">
        <w:t xml:space="preserve"> to be administered at the investigational center/hospital. Commercially available letrozole 2.5 mg film-coated tablets </w:t>
      </w:r>
      <w:r w:rsidR="00004E54" w:rsidRPr="004F0FE2">
        <w:t>was</w:t>
      </w:r>
      <w:r w:rsidRPr="004F0FE2">
        <w:t xml:space="preserve"> used in the study. At the beginning of each cycle patients </w:t>
      </w:r>
      <w:r w:rsidR="00004E54" w:rsidRPr="004F0FE2">
        <w:t>were</w:t>
      </w:r>
      <w:r w:rsidRPr="004F0FE2">
        <w:t xml:space="preserve"> required to return all bottles of </w:t>
      </w:r>
      <w:proofErr w:type="spellStart"/>
      <w:r w:rsidRPr="004F0FE2">
        <w:t>palbociclib</w:t>
      </w:r>
      <w:proofErr w:type="spellEnd"/>
      <w:r w:rsidRPr="004F0FE2">
        <w:t xml:space="preserve"> and all packages of letrozole as well as the completed patient diary for drug accountability. </w:t>
      </w:r>
      <w:proofErr w:type="spellStart"/>
      <w:r w:rsidRPr="004F0FE2">
        <w:t>Fulvestrant</w:t>
      </w:r>
      <w:proofErr w:type="spellEnd"/>
      <w:r w:rsidRPr="004F0FE2">
        <w:t xml:space="preserve"> drug accountability </w:t>
      </w:r>
      <w:r w:rsidR="00004E54" w:rsidRPr="004F0FE2">
        <w:t>was</w:t>
      </w:r>
      <w:r w:rsidRPr="004F0FE2">
        <w:t xml:space="preserve"> required to the investigational site staff. </w:t>
      </w:r>
    </w:p>
    <w:p w14:paraId="23B6A2E8" w14:textId="77777777" w:rsidR="006A7887" w:rsidRPr="004F0FE2" w:rsidRDefault="006A7887" w:rsidP="00673269">
      <w:pPr>
        <w:pStyle w:val="Ttulo3"/>
        <w:ind w:right="567"/>
      </w:pPr>
      <w:bookmarkStart w:id="183" w:name="_Toc52468092"/>
      <w:r w:rsidRPr="004F0FE2">
        <w:t>Concomitant treatments</w:t>
      </w:r>
      <w:bookmarkEnd w:id="183"/>
    </w:p>
    <w:p w14:paraId="30946564" w14:textId="627DB8B0" w:rsidR="00B54FA9" w:rsidRPr="004F0FE2" w:rsidRDefault="006A7887" w:rsidP="00673269">
      <w:pPr>
        <w:ind w:right="567"/>
      </w:pPr>
      <w:r w:rsidRPr="004F0FE2">
        <w:rPr>
          <w:lang w:eastAsia="es-ES"/>
        </w:rPr>
        <w:t>Clinical teams were instructed to register any new medications the patient received after the start of the study</w:t>
      </w:r>
      <w:r w:rsidR="009F5AF7">
        <w:rPr>
          <w:lang w:eastAsia="es-ES"/>
        </w:rPr>
        <w:t xml:space="preserve">, that </w:t>
      </w:r>
      <w:proofErr w:type="spellStart"/>
      <w:r w:rsidR="009F5AF7">
        <w:rPr>
          <w:lang w:eastAsia="es-ES"/>
        </w:rPr>
        <w:t>is</w:t>
      </w:r>
      <w:r w:rsidR="00B54FA9" w:rsidRPr="004F0FE2">
        <w:rPr>
          <w:lang w:eastAsia="es-ES"/>
        </w:rPr>
        <w:t>between</w:t>
      </w:r>
      <w:proofErr w:type="spellEnd"/>
      <w:r w:rsidR="00B54FA9" w:rsidRPr="004F0FE2">
        <w:rPr>
          <w:lang w:eastAsia="es-ES"/>
        </w:rPr>
        <w:t xml:space="preserve"> the 21 days preceding first </w:t>
      </w:r>
      <w:r w:rsidR="00615BB3" w:rsidRPr="004F0FE2">
        <w:rPr>
          <w:lang w:eastAsia="es-ES"/>
        </w:rPr>
        <w:t>treatment</w:t>
      </w:r>
      <w:r w:rsidR="00B54FA9" w:rsidRPr="004F0FE2">
        <w:rPr>
          <w:lang w:eastAsia="es-ES"/>
        </w:rPr>
        <w:t xml:space="preserve"> and day 28 after last administration</w:t>
      </w:r>
      <w:r w:rsidR="00A334A7" w:rsidRPr="00A334A7">
        <w:rPr>
          <w:lang w:eastAsia="es-ES"/>
        </w:rPr>
        <w:t xml:space="preserve"> </w:t>
      </w:r>
      <w:r w:rsidR="00A334A7">
        <w:rPr>
          <w:lang w:eastAsia="es-ES"/>
        </w:rPr>
        <w:t>of the investigational medicinal product (</w:t>
      </w:r>
      <w:r w:rsidR="00A334A7" w:rsidRPr="004F0FE2">
        <w:rPr>
          <w:lang w:eastAsia="es-ES"/>
        </w:rPr>
        <w:t>IMP</w:t>
      </w:r>
      <w:r w:rsidR="00B54FA9" w:rsidRPr="004F0FE2">
        <w:rPr>
          <w:lang w:eastAsia="es-ES"/>
        </w:rPr>
        <w:t xml:space="preserve">). </w:t>
      </w:r>
      <w:r w:rsidR="00B54FA9" w:rsidRPr="004F0FE2">
        <w:t>Afterwards, only information about further anti-cancer therapies received by the patient once she goes off study was collected.</w:t>
      </w:r>
    </w:p>
    <w:p w14:paraId="48026F44" w14:textId="77777777" w:rsidR="00977932" w:rsidRPr="004F0FE2" w:rsidRDefault="00977932" w:rsidP="00673269">
      <w:pPr>
        <w:pStyle w:val="BodyText12"/>
        <w:ind w:left="0" w:right="567"/>
        <w:rPr>
          <w:rFonts w:ascii="Arial" w:hAnsi="Arial" w:cs="Arial"/>
          <w:sz w:val="20"/>
        </w:rPr>
      </w:pPr>
      <w:r w:rsidRPr="004F0FE2">
        <w:rPr>
          <w:rFonts w:ascii="Arial" w:hAnsi="Arial" w:cs="Arial"/>
          <w:sz w:val="20"/>
        </w:rPr>
        <w:t xml:space="preserve">The following nonexclusive list of medications and supportive therapies was permitted during the study: </w:t>
      </w:r>
    </w:p>
    <w:p w14:paraId="2073578D" w14:textId="77777777" w:rsidR="00673680" w:rsidRPr="004F0FE2" w:rsidRDefault="00DF75A8" w:rsidP="00673269">
      <w:pPr>
        <w:numPr>
          <w:ilvl w:val="0"/>
          <w:numId w:val="18"/>
        </w:numPr>
        <w:ind w:left="284" w:right="567" w:hanging="284"/>
      </w:pPr>
      <w:r w:rsidRPr="004F0FE2">
        <w:t xml:space="preserve">Although not required per-protocol, any </w:t>
      </w:r>
      <w:r w:rsidR="00673680" w:rsidRPr="004F0FE2">
        <w:t>pre-medication is allowed at the investigator’s discretion.</w:t>
      </w:r>
    </w:p>
    <w:p w14:paraId="03F27985" w14:textId="77777777" w:rsidR="00DF75A8" w:rsidRPr="004F0FE2" w:rsidRDefault="00673680" w:rsidP="00673269">
      <w:pPr>
        <w:numPr>
          <w:ilvl w:val="0"/>
          <w:numId w:val="18"/>
        </w:numPr>
        <w:ind w:left="284" w:right="567" w:hanging="284"/>
      </w:pPr>
      <w:r w:rsidRPr="004F0FE2">
        <w:t xml:space="preserve">Erythropoiesis stimulating agents (ESAs) (such as Procrit®, Aranesp®, Epogen®) may be used for supportive care according to recommendations of National Comprehensive Cancer Network (NCCN) guidelines. </w:t>
      </w:r>
    </w:p>
    <w:p w14:paraId="082C86C3" w14:textId="77777777" w:rsidR="00673680" w:rsidRPr="004F0FE2" w:rsidRDefault="00673680" w:rsidP="00673269">
      <w:pPr>
        <w:numPr>
          <w:ilvl w:val="0"/>
          <w:numId w:val="18"/>
        </w:numPr>
        <w:ind w:left="284" w:right="567" w:hanging="284"/>
      </w:pPr>
      <w:r w:rsidRPr="004F0FE2">
        <w:t>Granulocyte-colony stimulating factors should not be used prophylactically but they may be used in treatment-emergent neutropenia in accordance NCCN guidelines.</w:t>
      </w:r>
    </w:p>
    <w:p w14:paraId="2F3A9718" w14:textId="77777777" w:rsidR="00673680" w:rsidRPr="004F0FE2" w:rsidRDefault="00DF75A8" w:rsidP="00673269">
      <w:pPr>
        <w:numPr>
          <w:ilvl w:val="0"/>
          <w:numId w:val="18"/>
        </w:numPr>
        <w:ind w:left="284" w:right="567" w:hanging="284"/>
      </w:pPr>
      <w:r w:rsidRPr="004F0FE2">
        <w:t>P</w:t>
      </w:r>
      <w:r w:rsidR="00673680" w:rsidRPr="004F0FE2">
        <w:t>alliative radiotherapy may be permitted to treat pre-existing painful bone metastases or to treat brain met</w:t>
      </w:r>
      <w:r w:rsidRPr="004F0FE2">
        <w:t xml:space="preserve">astases. </w:t>
      </w:r>
    </w:p>
    <w:p w14:paraId="75C34CA8" w14:textId="77777777" w:rsidR="00DF75A8" w:rsidRPr="004F0FE2" w:rsidRDefault="006A7887" w:rsidP="00673269">
      <w:pPr>
        <w:numPr>
          <w:ilvl w:val="0"/>
          <w:numId w:val="18"/>
        </w:numPr>
        <w:ind w:left="284" w:right="567" w:hanging="284"/>
      </w:pPr>
      <w:r w:rsidRPr="004F0FE2">
        <w:lastRenderedPageBreak/>
        <w:t>Bisphosphonates or denosumab is permitted for the control of bone pain, prevention and/or treatment of bone metastases, and treatment of osteoporosis.</w:t>
      </w:r>
    </w:p>
    <w:p w14:paraId="6060BA2C" w14:textId="77777777" w:rsidR="00673680" w:rsidRPr="004F0FE2" w:rsidRDefault="00673680" w:rsidP="00673269">
      <w:pPr>
        <w:numPr>
          <w:ilvl w:val="0"/>
          <w:numId w:val="18"/>
        </w:numPr>
        <w:ind w:left="284" w:right="567" w:hanging="284"/>
      </w:pPr>
      <w:r w:rsidRPr="004F0FE2">
        <w:t xml:space="preserve">Other medications considered necessary for the patient’s safety and wellbeing may be given at the discretion of the investigator. </w:t>
      </w:r>
    </w:p>
    <w:p w14:paraId="79D30E9C" w14:textId="77777777" w:rsidR="00673680" w:rsidRPr="004F0FE2" w:rsidRDefault="006A7887" w:rsidP="00673269">
      <w:pPr>
        <w:pStyle w:val="Ttulo3"/>
        <w:ind w:right="567"/>
      </w:pPr>
      <w:bookmarkStart w:id="184" w:name="_Toc52468093"/>
      <w:r w:rsidRPr="004F0FE2">
        <w:t>Prohibited therapies</w:t>
      </w:r>
      <w:r w:rsidR="003D0547" w:rsidRPr="004F0FE2">
        <w:t>.</w:t>
      </w:r>
      <w:bookmarkEnd w:id="184"/>
    </w:p>
    <w:p w14:paraId="30E474B4" w14:textId="77777777" w:rsidR="00977932" w:rsidRPr="004F0FE2" w:rsidRDefault="00977932" w:rsidP="00673269">
      <w:pPr>
        <w:pStyle w:val="BodyText12"/>
        <w:ind w:left="0" w:right="567"/>
        <w:rPr>
          <w:rFonts w:ascii="Arial" w:hAnsi="Arial" w:cs="Arial"/>
          <w:sz w:val="20"/>
        </w:rPr>
      </w:pPr>
      <w:r w:rsidRPr="004F0FE2">
        <w:rPr>
          <w:rFonts w:ascii="Arial" w:hAnsi="Arial" w:cs="Arial"/>
          <w:sz w:val="20"/>
        </w:rPr>
        <w:t xml:space="preserve">The following medications and supportive therapies and procedures were prohibited during the study: </w:t>
      </w:r>
    </w:p>
    <w:p w14:paraId="475DE4F2" w14:textId="77777777" w:rsidR="006A7887" w:rsidRPr="004F0FE2" w:rsidRDefault="006A7887" w:rsidP="00673269">
      <w:pPr>
        <w:numPr>
          <w:ilvl w:val="0"/>
          <w:numId w:val="19"/>
        </w:numPr>
        <w:ind w:left="284" w:right="567" w:hanging="284"/>
      </w:pPr>
      <w:r w:rsidRPr="004F0FE2">
        <w:t xml:space="preserve">Any therapies intended for the treatment of cancer, other than </w:t>
      </w:r>
      <w:proofErr w:type="spellStart"/>
      <w:r w:rsidRPr="004F0FE2">
        <w:t>palbociclib</w:t>
      </w:r>
      <w:proofErr w:type="spellEnd"/>
      <w:r w:rsidRPr="004F0FE2">
        <w:t xml:space="preserve">, </w:t>
      </w:r>
      <w:proofErr w:type="spellStart"/>
      <w:r w:rsidRPr="004F0FE2">
        <w:t>fulvestrant</w:t>
      </w:r>
      <w:proofErr w:type="spellEnd"/>
      <w:r w:rsidRPr="004F0FE2">
        <w:t xml:space="preserve"> or letrozole</w:t>
      </w:r>
      <w:r w:rsidR="00AE4D07" w:rsidRPr="004F0FE2">
        <w:t xml:space="preserve"> (E.g.</w:t>
      </w:r>
      <w:r w:rsidR="00BC0ED1" w:rsidRPr="004F0FE2">
        <w:t xml:space="preserve"> </w:t>
      </w:r>
      <w:r w:rsidRPr="004F0FE2">
        <w:t>cytotoxic chemotherapy, immunotherapy, hormonal therapy, and biologic or targeted agents are prohibited</w:t>
      </w:r>
      <w:r w:rsidR="00BC0ED1" w:rsidRPr="004F0FE2">
        <w:t>)</w:t>
      </w:r>
      <w:r w:rsidRPr="004F0FE2">
        <w:t>.</w:t>
      </w:r>
    </w:p>
    <w:p w14:paraId="782503A8" w14:textId="5E3EA2B9" w:rsidR="00326F74" w:rsidRPr="004F0FE2" w:rsidRDefault="00B54FA9" w:rsidP="00673269">
      <w:pPr>
        <w:numPr>
          <w:ilvl w:val="0"/>
          <w:numId w:val="19"/>
        </w:numPr>
        <w:ind w:left="284" w:right="567" w:hanging="284"/>
      </w:pPr>
      <w:r w:rsidRPr="004F0FE2">
        <w:t xml:space="preserve">Strong CYP3A inhibitors or inducers should be avoided, as </w:t>
      </w:r>
      <w:proofErr w:type="spellStart"/>
      <w:r w:rsidRPr="004F0FE2">
        <w:t>palbociclib</w:t>
      </w:r>
      <w:proofErr w:type="spellEnd"/>
      <w:r w:rsidRPr="004F0FE2">
        <w:t xml:space="preserve"> is primarily metabolized by these enzymes</w:t>
      </w:r>
      <w:r w:rsidR="00164DE4" w:rsidRPr="004F0FE2">
        <w:t xml:space="preserve"> (</w:t>
      </w:r>
      <w:r w:rsidR="00403DC6" w:rsidRPr="00F57DAA">
        <w:rPr>
          <w:i/>
          <w:color w:val="2F5496" w:themeColor="accent1" w:themeShade="BF"/>
        </w:rPr>
        <w:fldChar w:fldCharType="begin"/>
      </w:r>
      <w:r w:rsidR="00403DC6" w:rsidRPr="00F57DAA">
        <w:rPr>
          <w:i/>
          <w:color w:val="2F5496" w:themeColor="accent1" w:themeShade="BF"/>
        </w:rPr>
        <w:instrText xml:space="preserve"> REF _Ref52425257 \h </w:instrText>
      </w:r>
      <w:r w:rsidR="00F57DAA">
        <w:rPr>
          <w:i/>
          <w:color w:val="2F5496" w:themeColor="accent1" w:themeShade="BF"/>
        </w:rPr>
        <w:instrText xml:space="preserve"> \* MERGEFORMAT </w:instrText>
      </w:r>
      <w:r w:rsidR="00403DC6" w:rsidRPr="00F57DAA">
        <w:rPr>
          <w:i/>
          <w:color w:val="2F5496" w:themeColor="accent1" w:themeShade="BF"/>
        </w:rPr>
      </w:r>
      <w:r w:rsidR="00403DC6" w:rsidRPr="00F57DAA">
        <w:rPr>
          <w:i/>
          <w:color w:val="2F5496" w:themeColor="accent1" w:themeShade="BF"/>
        </w:rPr>
        <w:fldChar w:fldCharType="separate"/>
      </w:r>
      <w:r w:rsidR="00403DC6" w:rsidRPr="00F57DAA">
        <w:rPr>
          <w:i/>
          <w:color w:val="2F5496" w:themeColor="accent1" w:themeShade="BF"/>
        </w:rPr>
        <w:t>Table 2</w:t>
      </w:r>
      <w:r w:rsidR="00403DC6" w:rsidRPr="00F57DAA">
        <w:rPr>
          <w:i/>
          <w:color w:val="2F5496" w:themeColor="accent1" w:themeShade="BF"/>
        </w:rPr>
        <w:fldChar w:fldCharType="end"/>
      </w:r>
      <w:r w:rsidR="00164DE4" w:rsidRPr="004F0FE2">
        <w:t>)</w:t>
      </w:r>
      <w:r w:rsidRPr="004F0FE2">
        <w:t xml:space="preserve">. </w:t>
      </w:r>
    </w:p>
    <w:p w14:paraId="3F0A4BE0" w14:textId="77777777" w:rsidR="00EF72DB" w:rsidRPr="004F0FE2" w:rsidRDefault="00EF72DB" w:rsidP="00673269">
      <w:pPr>
        <w:numPr>
          <w:ilvl w:val="0"/>
          <w:numId w:val="19"/>
        </w:numPr>
        <w:ind w:left="284" w:right="567" w:hanging="284"/>
      </w:pPr>
      <w:r w:rsidRPr="004F0FE2">
        <w:t xml:space="preserve">Radiotherapy for unequivocal disease progression is not permitted while on study treatment, with the exception of new central nervous system (CNS) metastases or isolated progression of previously treated CNS lesions. </w:t>
      </w:r>
    </w:p>
    <w:p w14:paraId="090DB65B" w14:textId="77777777" w:rsidR="00EF72DB" w:rsidRPr="004F0FE2" w:rsidRDefault="00EF72DB" w:rsidP="00673269">
      <w:pPr>
        <w:numPr>
          <w:ilvl w:val="0"/>
          <w:numId w:val="19"/>
        </w:numPr>
        <w:ind w:left="284" w:right="567" w:hanging="284"/>
      </w:pPr>
      <w:r w:rsidRPr="004F0FE2">
        <w:t>Drugs known to cause QT interval prolongation are also prohibited during the active treatment phase.</w:t>
      </w:r>
    </w:p>
    <w:p w14:paraId="68E60133" w14:textId="37A6F45B" w:rsidR="00536D1D" w:rsidRPr="004F0FE2" w:rsidRDefault="00326F74" w:rsidP="00673269">
      <w:pPr>
        <w:ind w:right="567"/>
      </w:pPr>
      <w:r w:rsidRPr="004F0FE2">
        <w:t>Treatment with chronic immunosuppressive therapies, including systemic corticosteroids (daily dose &lt; 10 mg of methylprednisolone equivalent</w:t>
      </w:r>
      <w:r w:rsidR="00EF72DB" w:rsidRPr="004F0FE2">
        <w:t>, given for physiological replacement, anti-emetic, allergic reactions or asthma</w:t>
      </w:r>
      <w:r w:rsidRPr="004F0FE2">
        <w:t xml:space="preserve">) </w:t>
      </w:r>
      <w:r w:rsidR="00EF72DB" w:rsidRPr="004F0FE2">
        <w:t>or</w:t>
      </w:r>
      <w:r w:rsidRPr="004F0FE2">
        <w:t xml:space="preserve"> herbal medicine</w:t>
      </w:r>
      <w:r w:rsidR="00BC0ED1" w:rsidRPr="004F0FE2">
        <w:t xml:space="preserve"> were</w:t>
      </w:r>
      <w:r w:rsidRPr="004F0FE2">
        <w:t xml:space="preserve"> not prohibited but</w:t>
      </w:r>
      <w:r w:rsidR="00EF72DB" w:rsidRPr="004F0FE2">
        <w:t xml:space="preserve"> </w:t>
      </w:r>
      <w:r w:rsidR="00BC0ED1" w:rsidRPr="004F0FE2">
        <w:t>were</w:t>
      </w:r>
      <w:r w:rsidR="00EF72DB" w:rsidRPr="004F0FE2">
        <w:t xml:space="preserve"> generally not recommended during the treatment phase. </w:t>
      </w:r>
    </w:p>
    <w:p w14:paraId="62D1CF58" w14:textId="77777777" w:rsidR="00B24750" w:rsidRPr="004F0FE2" w:rsidRDefault="00B24750" w:rsidP="00673269">
      <w:pPr>
        <w:pStyle w:val="Ttulo3"/>
        <w:ind w:right="567"/>
      </w:pPr>
      <w:bookmarkStart w:id="185" w:name="_Toc52468094"/>
      <w:r w:rsidRPr="004F0FE2">
        <w:t>Treatment discontinuation</w:t>
      </w:r>
      <w:bookmarkEnd w:id="185"/>
    </w:p>
    <w:p w14:paraId="260C4799" w14:textId="77777777" w:rsidR="00925E01" w:rsidRPr="004F0FE2" w:rsidRDefault="00925E01" w:rsidP="00673269">
      <w:pPr>
        <w:ind w:right="567"/>
      </w:pPr>
      <w:r w:rsidRPr="004F0FE2">
        <w:t xml:space="preserve">Patients were informed that they had the right to discontinue from the study drug at any time for any reason, without prejudice to their medical care. The investigator also had the right to discontinue patients from treatment and withdraw them from the study for any of the following reasons: </w:t>
      </w:r>
    </w:p>
    <w:p w14:paraId="40239040" w14:textId="77777777" w:rsidR="00B24750" w:rsidRPr="004F0FE2" w:rsidRDefault="00B24750" w:rsidP="00673269">
      <w:pPr>
        <w:numPr>
          <w:ilvl w:val="0"/>
          <w:numId w:val="21"/>
        </w:numPr>
        <w:ind w:left="284" w:right="567" w:hanging="284"/>
      </w:pPr>
      <w:r w:rsidRPr="004F0FE2">
        <w:t>Radiologically confirmed and documented unequivocal disease progression, with the exception of new CNS metastases or isolated progression of previously treated CNS lesions. Patients who ha</w:t>
      </w:r>
      <w:r w:rsidR="00BC0ED1" w:rsidRPr="004F0FE2">
        <w:t>d</w:t>
      </w:r>
      <w:r w:rsidRPr="004F0FE2">
        <w:t xml:space="preserve"> disease control outside of the CNS</w:t>
      </w:r>
      <w:r w:rsidR="00BC0ED1" w:rsidRPr="004F0FE2">
        <w:t xml:space="preserve"> </w:t>
      </w:r>
      <w:r w:rsidRPr="004F0FE2">
        <w:t xml:space="preserve">but who developed CNS </w:t>
      </w:r>
      <w:r w:rsidR="00BC0ED1" w:rsidRPr="004F0FE2">
        <w:t xml:space="preserve">radiation-treatable </w:t>
      </w:r>
      <w:r w:rsidRPr="004F0FE2">
        <w:t xml:space="preserve">metastases were allowed to continue </w:t>
      </w:r>
      <w:r w:rsidR="00BC0ED1" w:rsidRPr="004F0FE2">
        <w:t xml:space="preserve">treatment </w:t>
      </w:r>
      <w:r w:rsidRPr="004F0FE2">
        <w:t>until they either experience</w:t>
      </w:r>
      <w:r w:rsidR="00BC0ED1" w:rsidRPr="004F0FE2">
        <w:t>d</w:t>
      </w:r>
      <w:r w:rsidRPr="004F0FE2">
        <w:t xml:space="preserve"> systemic progression and/or further progression in the CNS that could not be treated with additional radiation.</w:t>
      </w:r>
    </w:p>
    <w:p w14:paraId="2F61AEA8" w14:textId="77777777" w:rsidR="00B24750" w:rsidRPr="004F0FE2" w:rsidRDefault="00B24750" w:rsidP="00673269">
      <w:pPr>
        <w:numPr>
          <w:ilvl w:val="0"/>
          <w:numId w:val="21"/>
        </w:numPr>
        <w:ind w:left="284" w:right="567" w:hanging="284"/>
      </w:pPr>
      <w:r w:rsidRPr="004F0FE2">
        <w:t xml:space="preserve">Adverse event(s) that according to the protocol or in the judgment of the investigator may cause severe or permanent harm or which rule out continuation of study drug. Detailed criteria for discontinuation due to toxicities are detailed in the </w:t>
      </w:r>
      <w:r w:rsidR="003C6ADA" w:rsidRPr="004F0FE2">
        <w:t>S</w:t>
      </w:r>
      <w:r w:rsidRPr="004F0FE2">
        <w:t xml:space="preserve">tudy </w:t>
      </w:r>
      <w:r w:rsidR="003C6ADA" w:rsidRPr="004F0FE2">
        <w:t>P</w:t>
      </w:r>
      <w:r w:rsidRPr="004F0FE2">
        <w:t xml:space="preserve">rotocol, appended to this report. </w:t>
      </w:r>
    </w:p>
    <w:p w14:paraId="517640D7" w14:textId="77777777" w:rsidR="00B24750" w:rsidRPr="004F0FE2" w:rsidRDefault="00B24750" w:rsidP="00673269">
      <w:pPr>
        <w:numPr>
          <w:ilvl w:val="0"/>
          <w:numId w:val="21"/>
        </w:numPr>
        <w:ind w:left="284" w:right="567" w:hanging="284"/>
      </w:pPr>
      <w:r w:rsidRPr="004F0FE2">
        <w:t>General or specific changes in the patient’s condition</w:t>
      </w:r>
      <w:r w:rsidR="00AE4D07" w:rsidRPr="004F0FE2">
        <w:t xml:space="preserve"> which</w:t>
      </w:r>
      <w:r w:rsidRPr="004F0FE2">
        <w:t xml:space="preserve"> render the patient unacceptable for further treatment in the judgment of the investigator.</w:t>
      </w:r>
    </w:p>
    <w:p w14:paraId="40A261D4" w14:textId="77777777" w:rsidR="00B24750" w:rsidRPr="004F0FE2" w:rsidRDefault="00B24750" w:rsidP="00673269">
      <w:pPr>
        <w:numPr>
          <w:ilvl w:val="0"/>
          <w:numId w:val="21"/>
        </w:numPr>
        <w:ind w:left="284" w:right="567" w:hanging="284"/>
      </w:pPr>
      <w:r w:rsidRPr="004F0FE2">
        <w:t>Serious non-compliance with the study protocol.</w:t>
      </w:r>
    </w:p>
    <w:p w14:paraId="308FE72C" w14:textId="77777777" w:rsidR="00B24750" w:rsidRPr="004F0FE2" w:rsidRDefault="00B24750" w:rsidP="00673269">
      <w:pPr>
        <w:numPr>
          <w:ilvl w:val="0"/>
          <w:numId w:val="21"/>
        </w:numPr>
        <w:ind w:left="284" w:right="567" w:hanging="284"/>
      </w:pPr>
      <w:r w:rsidRPr="004F0FE2">
        <w:t>Death.</w:t>
      </w:r>
    </w:p>
    <w:p w14:paraId="1BA43EB4" w14:textId="77777777" w:rsidR="00B24750" w:rsidRPr="004F0FE2" w:rsidRDefault="00AE4D07" w:rsidP="00673269">
      <w:pPr>
        <w:numPr>
          <w:ilvl w:val="0"/>
          <w:numId w:val="21"/>
        </w:numPr>
        <w:ind w:left="284" w:right="567" w:hanging="284"/>
      </w:pPr>
      <w:r w:rsidRPr="004F0FE2">
        <w:t>Patient withdraws consent or lost to follow-up.</w:t>
      </w:r>
    </w:p>
    <w:p w14:paraId="07065051" w14:textId="77777777" w:rsidR="00B24750" w:rsidRPr="004F0FE2" w:rsidRDefault="00B24750" w:rsidP="00673269">
      <w:pPr>
        <w:numPr>
          <w:ilvl w:val="0"/>
          <w:numId w:val="21"/>
        </w:numPr>
        <w:ind w:left="284" w:right="567" w:hanging="284"/>
      </w:pPr>
      <w:r w:rsidRPr="004F0FE2">
        <w:t>The study site or the sponsor decides to close the study.</w:t>
      </w:r>
    </w:p>
    <w:p w14:paraId="1843ED7F" w14:textId="10EFFC4C" w:rsidR="00AE4D07" w:rsidRPr="004F0FE2" w:rsidRDefault="00AE4D07" w:rsidP="00673269">
      <w:pPr>
        <w:ind w:right="567"/>
      </w:pPr>
      <w:r w:rsidRPr="004F0FE2">
        <w:t xml:space="preserve">The reason(s) for a patient’s discontinuation were to be recorded on the CRFs. Patients who withdrew from the study were not replaced. Patients discontinuing the study drug were followed-up as per standard clinical practice up to </w:t>
      </w:r>
      <w:r w:rsidR="00A5705E">
        <w:t>end of study (</w:t>
      </w:r>
      <w:proofErr w:type="spellStart"/>
      <w:r w:rsidR="00A5705E">
        <w:t>EoS</w:t>
      </w:r>
      <w:proofErr w:type="spellEnd"/>
      <w:r w:rsidR="00A5705E">
        <w:t xml:space="preserve">) </w:t>
      </w:r>
      <w:r w:rsidRPr="004F0FE2">
        <w:t xml:space="preserve">or up to study termination (whichever occurred first). </w:t>
      </w:r>
    </w:p>
    <w:p w14:paraId="00FAF237" w14:textId="1193D550" w:rsidR="00B24750" w:rsidRPr="004F0FE2" w:rsidRDefault="00B24750" w:rsidP="00673269">
      <w:pPr>
        <w:ind w:right="567"/>
      </w:pPr>
      <w:r w:rsidRPr="004F0FE2">
        <w:lastRenderedPageBreak/>
        <w:t>All patients who ha</w:t>
      </w:r>
      <w:r w:rsidR="00BC0ED1" w:rsidRPr="004F0FE2">
        <w:t>d</w:t>
      </w:r>
      <w:r w:rsidRPr="004F0FE2">
        <w:t xml:space="preserve"> not progressed and </w:t>
      </w:r>
      <w:r w:rsidR="00925E01" w:rsidRPr="004F0FE2">
        <w:t>were</w:t>
      </w:r>
      <w:r w:rsidRPr="004F0FE2">
        <w:t xml:space="preserve"> still in receipt of study treatment at the </w:t>
      </w:r>
      <w:proofErr w:type="spellStart"/>
      <w:r w:rsidRPr="004F0FE2">
        <w:t>EoS</w:t>
      </w:r>
      <w:proofErr w:type="spellEnd"/>
      <w:r w:rsidRPr="004F0FE2">
        <w:t>, at the discretion of the investigator</w:t>
      </w:r>
      <w:r w:rsidR="00925E01" w:rsidRPr="004F0FE2">
        <w:t>,</w:t>
      </w:r>
      <w:r w:rsidRPr="004F0FE2">
        <w:t xml:space="preserve"> </w:t>
      </w:r>
      <w:r w:rsidR="00AE4D07" w:rsidRPr="004F0FE2">
        <w:t xml:space="preserve">could </w:t>
      </w:r>
      <w:r w:rsidRPr="004F0FE2">
        <w:t>continue</w:t>
      </w:r>
      <w:r w:rsidR="00925E01" w:rsidRPr="004F0FE2">
        <w:t xml:space="preserve"> study</w:t>
      </w:r>
      <w:r w:rsidRPr="004F0FE2">
        <w:t xml:space="preserve"> </w:t>
      </w:r>
      <w:r w:rsidR="00925E01" w:rsidRPr="004F0FE2">
        <w:t>treatment</w:t>
      </w:r>
      <w:r w:rsidRPr="004F0FE2">
        <w:t xml:space="preserve">. </w:t>
      </w:r>
    </w:p>
    <w:p w14:paraId="362AC9A0" w14:textId="77777777" w:rsidR="00977932" w:rsidRPr="004F0FE2" w:rsidRDefault="00B54FA9" w:rsidP="00673269">
      <w:pPr>
        <w:pStyle w:val="Ttulo2"/>
        <w:ind w:right="567"/>
      </w:pPr>
      <w:bookmarkStart w:id="186" w:name="_Toc52468095"/>
      <w:r w:rsidRPr="004F0FE2">
        <w:t>A</w:t>
      </w:r>
      <w:r w:rsidR="008C6B51" w:rsidRPr="004F0FE2">
        <w:t xml:space="preserve">ssessments and </w:t>
      </w:r>
      <w:r w:rsidRPr="004F0FE2">
        <w:t>study procedures</w:t>
      </w:r>
      <w:bookmarkEnd w:id="186"/>
      <w:r w:rsidR="00977932" w:rsidRPr="004F0FE2">
        <w:t xml:space="preserve"> </w:t>
      </w:r>
    </w:p>
    <w:p w14:paraId="2285C7F5" w14:textId="10112A36" w:rsidR="00D565C7" w:rsidRPr="004F0FE2" w:rsidRDefault="00403DC6" w:rsidP="00673269">
      <w:pPr>
        <w:ind w:right="567"/>
      </w:pPr>
      <w:r w:rsidRPr="00F57DAA">
        <w:rPr>
          <w:i/>
          <w:color w:val="2F5496" w:themeColor="accent1" w:themeShade="BF"/>
        </w:rPr>
        <w:fldChar w:fldCharType="begin"/>
      </w:r>
      <w:r w:rsidRPr="00F57DAA">
        <w:rPr>
          <w:i/>
          <w:color w:val="2F5496" w:themeColor="accent1" w:themeShade="BF"/>
        </w:rPr>
        <w:instrText xml:space="preserve"> REF _Ref52425278 \h </w:instrText>
      </w:r>
      <w:r w:rsidR="00F57DAA" w:rsidRPr="00F57DAA">
        <w:rPr>
          <w:i/>
          <w:color w:val="2F5496" w:themeColor="accent1" w:themeShade="BF"/>
        </w:rPr>
        <w:instrText xml:space="preserve"> \* MERGEFORMAT </w:instrText>
      </w:r>
      <w:r w:rsidRPr="00F57DAA">
        <w:rPr>
          <w:i/>
          <w:color w:val="2F5496" w:themeColor="accent1" w:themeShade="BF"/>
        </w:rPr>
      </w:r>
      <w:r w:rsidRPr="00F57DAA">
        <w:rPr>
          <w:i/>
          <w:color w:val="2F5496" w:themeColor="accent1" w:themeShade="BF"/>
        </w:rPr>
        <w:fldChar w:fldCharType="separate"/>
      </w:r>
      <w:r w:rsidRPr="00F57DAA">
        <w:rPr>
          <w:i/>
          <w:color w:val="2F5496" w:themeColor="accent1" w:themeShade="BF"/>
        </w:rPr>
        <w:t xml:space="preserve">Table </w:t>
      </w:r>
      <w:r w:rsidRPr="00F57DAA">
        <w:rPr>
          <w:i/>
          <w:noProof/>
          <w:color w:val="2F5496" w:themeColor="accent1" w:themeShade="BF"/>
        </w:rPr>
        <w:t>3</w:t>
      </w:r>
      <w:r w:rsidRPr="00F57DAA">
        <w:rPr>
          <w:i/>
          <w:color w:val="2F5496" w:themeColor="accent1" w:themeShade="BF"/>
        </w:rPr>
        <w:fldChar w:fldCharType="end"/>
      </w:r>
      <w:r w:rsidR="00F57DAA">
        <w:t xml:space="preserve"> </w:t>
      </w:r>
      <w:r w:rsidR="00D565C7" w:rsidRPr="004F0FE2">
        <w:t>summarizes the frequency and timing of study-related procedures and study drug administration. Prior to engaging in any study-related procedure, each patient signed and dated an informed consent form. All screening evaluations had to be completed and reviewed to confirm that patients me</w:t>
      </w:r>
      <w:r w:rsidR="00F509A0" w:rsidRPr="004F0FE2">
        <w:t>t</w:t>
      </w:r>
      <w:r w:rsidR="00D565C7" w:rsidRPr="004F0FE2">
        <w:t xml:space="preserve"> all eligibility criteria before study start. </w:t>
      </w:r>
    </w:p>
    <w:p w14:paraId="0154D63A" w14:textId="77777777" w:rsidR="00D565C7" w:rsidRPr="004F0FE2" w:rsidRDefault="00D565C7" w:rsidP="00673269">
      <w:pPr>
        <w:ind w:right="567"/>
      </w:pPr>
      <w:r w:rsidRPr="004F0FE2">
        <w:t xml:space="preserve">Visits were based on scheduled 28-day cycles (if no treatment delay due to toxicity </w:t>
      </w:r>
      <w:r w:rsidR="00F509A0" w:rsidRPr="004F0FE2">
        <w:t>occurred</w:t>
      </w:r>
      <w:r w:rsidRPr="004F0FE2">
        <w:t xml:space="preserve">). All visits and assessments had to occur within ± 3 business days from the scheduled date, unless otherwise noted. Any assessment scheduled on the day of study treatment administration had to be performed prior to dose </w:t>
      </w:r>
      <w:r w:rsidR="00F509A0" w:rsidRPr="004F0FE2">
        <w:t>administration.</w:t>
      </w:r>
    </w:p>
    <w:p w14:paraId="2EAB28D7" w14:textId="77777777" w:rsidR="00861350" w:rsidRPr="004F0FE2" w:rsidRDefault="00861350" w:rsidP="00673269">
      <w:pPr>
        <w:pStyle w:val="Ttulo3"/>
        <w:ind w:right="567"/>
      </w:pPr>
      <w:bookmarkStart w:id="187" w:name="_Toc52468096"/>
      <w:r w:rsidRPr="004F0FE2">
        <w:t>Safety assessments.</w:t>
      </w:r>
      <w:bookmarkEnd w:id="187"/>
    </w:p>
    <w:p w14:paraId="774A9BAA" w14:textId="77777777" w:rsidR="00861350" w:rsidRPr="004F0FE2" w:rsidRDefault="00861350" w:rsidP="00673269">
      <w:pPr>
        <w:ind w:right="567"/>
      </w:pPr>
      <w:r w:rsidRPr="004F0FE2">
        <w:t>The first safety follow</w:t>
      </w:r>
      <w:r w:rsidR="003D0547" w:rsidRPr="004F0FE2">
        <w:t>-</w:t>
      </w:r>
      <w:r w:rsidRPr="004F0FE2">
        <w:t>up visit for the study treatment w</w:t>
      </w:r>
      <w:r w:rsidR="00AE4D07" w:rsidRPr="004F0FE2">
        <w:t>as</w:t>
      </w:r>
      <w:r w:rsidRPr="004F0FE2">
        <w:t xml:space="preserve"> scheduled for all patients 28 days (+/- 7 days) after the last dose of any IMP.</w:t>
      </w:r>
    </w:p>
    <w:p w14:paraId="0442D31E" w14:textId="77777777" w:rsidR="00F509A0" w:rsidRPr="004F0FE2" w:rsidRDefault="00D565C7" w:rsidP="00673269">
      <w:pPr>
        <w:ind w:right="567"/>
      </w:pPr>
      <w:r w:rsidRPr="004F0FE2">
        <w:t xml:space="preserve">All patients </w:t>
      </w:r>
      <w:r w:rsidR="00F509A0" w:rsidRPr="004F0FE2">
        <w:t>were</w:t>
      </w:r>
      <w:r w:rsidRPr="004F0FE2">
        <w:t xml:space="preserve"> closely monitored for safety and tolerability during study treatment and at the follow up period. </w:t>
      </w:r>
      <w:r w:rsidR="00F509A0" w:rsidRPr="004F0FE2">
        <w:t xml:space="preserve">The following were assessed to evaluate safety and tolerability: </w:t>
      </w:r>
    </w:p>
    <w:p w14:paraId="12A9D5A1" w14:textId="77777777" w:rsidR="00F509A0" w:rsidRPr="004F0FE2" w:rsidRDefault="003D0547" w:rsidP="00673269">
      <w:pPr>
        <w:ind w:right="567"/>
        <w:rPr>
          <w:b/>
        </w:rPr>
      </w:pPr>
      <w:r w:rsidRPr="004F0FE2">
        <w:rPr>
          <w:b/>
        </w:rPr>
        <w:t xml:space="preserve">(a) </w:t>
      </w:r>
      <w:r w:rsidR="00F509A0" w:rsidRPr="004F0FE2">
        <w:rPr>
          <w:b/>
        </w:rPr>
        <w:t xml:space="preserve">Adverse Events </w:t>
      </w:r>
    </w:p>
    <w:p w14:paraId="18755004" w14:textId="77777777" w:rsidR="00065CE8" w:rsidRPr="004F0FE2" w:rsidRDefault="00F509A0" w:rsidP="00673269">
      <w:pPr>
        <w:ind w:right="567"/>
      </w:pPr>
      <w:r w:rsidRPr="004F0FE2">
        <w:t xml:space="preserve">Adverse events were reported by the patient from the performance of the first study-related procedure, during the treatment period, and </w:t>
      </w:r>
      <w:r w:rsidR="008145C5" w:rsidRPr="004F0FE2">
        <w:t>until the end-of-treatment visit (</w:t>
      </w:r>
      <w:r w:rsidR="00BB6F6B" w:rsidRPr="004F0FE2">
        <w:rPr>
          <w:i/>
          <w:kern w:val="20"/>
          <w:u w:color="000000"/>
        </w:rPr>
        <w:t>28±7 days after last dose)</w:t>
      </w:r>
      <w:r w:rsidRPr="004F0FE2">
        <w:t xml:space="preserve">. Adverse events </w:t>
      </w:r>
      <w:r w:rsidR="00666E40" w:rsidRPr="004F0FE2">
        <w:t xml:space="preserve">were also based </w:t>
      </w:r>
      <w:r w:rsidRPr="004F0FE2">
        <w:t xml:space="preserve">on abnormal findings on physical/neurological examinations, vital signs, laboratory tests, or other tests performed on the patient. </w:t>
      </w:r>
    </w:p>
    <w:p w14:paraId="678B6AB7" w14:textId="77777777" w:rsidR="00861350" w:rsidRPr="004F0FE2" w:rsidRDefault="00861350" w:rsidP="00673269">
      <w:pPr>
        <w:ind w:right="567"/>
      </w:pPr>
      <w:r w:rsidRPr="004F0FE2">
        <w:t>All ≥ grade 2 adverse events were followed up until improvement to baseline levels, grade 1 or complete recovery, the patient withdraws consent, patient’s death or lost to follow-up.</w:t>
      </w:r>
    </w:p>
    <w:p w14:paraId="6A89D056" w14:textId="77777777" w:rsidR="00F509A0" w:rsidRPr="004F0FE2" w:rsidRDefault="00F509A0" w:rsidP="00673269">
      <w:pPr>
        <w:ind w:right="567"/>
      </w:pPr>
      <w:r w:rsidRPr="004F0FE2">
        <w:t xml:space="preserve">At the time of study set-up, the adverse events of </w:t>
      </w:r>
      <w:r w:rsidR="00BE0FF7" w:rsidRPr="004F0FE2">
        <w:t>special</w:t>
      </w:r>
      <w:r w:rsidRPr="004F0FE2">
        <w:t xml:space="preserve"> interest in relation to </w:t>
      </w:r>
      <w:r w:rsidR="008145C5" w:rsidRPr="004F0FE2">
        <w:t>study drug</w:t>
      </w:r>
      <w:r w:rsidRPr="004F0FE2">
        <w:t xml:space="preserve"> therapy were as listed below: </w:t>
      </w:r>
    </w:p>
    <w:p w14:paraId="440A55A0" w14:textId="77777777" w:rsidR="00867FD0" w:rsidRPr="004F0FE2" w:rsidRDefault="00BE0FF7" w:rsidP="00673269">
      <w:pPr>
        <w:numPr>
          <w:ilvl w:val="0"/>
          <w:numId w:val="30"/>
        </w:numPr>
        <w:ind w:left="284" w:right="567" w:hanging="284"/>
      </w:pPr>
      <w:r w:rsidRPr="004F0FE2">
        <w:t xml:space="preserve">Suspected transmission of an infectious agent by a medication, whereby any organism, virus or infectious particle pathogenic or non-pathogenic, is considered an infectious agent. </w:t>
      </w:r>
    </w:p>
    <w:p w14:paraId="5B83A18E" w14:textId="77777777" w:rsidR="00BE0FF7" w:rsidRPr="004F0FE2" w:rsidRDefault="00BE0FF7" w:rsidP="00673269">
      <w:pPr>
        <w:numPr>
          <w:ilvl w:val="0"/>
          <w:numId w:val="30"/>
        </w:numPr>
        <w:ind w:left="284" w:right="567" w:hanging="284"/>
      </w:pPr>
      <w:r w:rsidRPr="004F0FE2">
        <w:t>Potential drug-induced liver injury as assessed by laboratory criteria for Hy’s law</w:t>
      </w:r>
      <w:r w:rsidR="00867FD0" w:rsidRPr="004F0FE2">
        <w:t xml:space="preserve">: AST or ALT elevations &gt; 3 x ULN; </w:t>
      </w:r>
      <w:r w:rsidRPr="004F0FE2">
        <w:t xml:space="preserve">Concurrent elevation of total bilirubin &gt;2 × ULN (or clinical jaundice if total bilirubin measures are not available), except in patients with documented Gilbert’s syndrome. </w:t>
      </w:r>
    </w:p>
    <w:p w14:paraId="63D9BAE5" w14:textId="77777777" w:rsidR="00134EA8" w:rsidRPr="004F0FE2" w:rsidRDefault="003D0547" w:rsidP="00673269">
      <w:pPr>
        <w:ind w:right="567"/>
        <w:rPr>
          <w:b/>
        </w:rPr>
      </w:pPr>
      <w:r w:rsidRPr="004F0FE2">
        <w:rPr>
          <w:b/>
        </w:rPr>
        <w:t xml:space="preserve">(b) </w:t>
      </w:r>
      <w:r w:rsidR="00134EA8" w:rsidRPr="004F0FE2">
        <w:rPr>
          <w:b/>
        </w:rPr>
        <w:t>Safety Laboratory Tests</w:t>
      </w:r>
    </w:p>
    <w:p w14:paraId="32E3DC20" w14:textId="07E4EB66" w:rsidR="00134EA8" w:rsidRPr="004F0FE2" w:rsidRDefault="00134EA8" w:rsidP="00673269">
      <w:pPr>
        <w:ind w:right="567"/>
      </w:pPr>
      <w:r w:rsidRPr="004F0FE2">
        <w:t xml:space="preserve">Local prospective endocrine receptors and HER2 status, </w:t>
      </w:r>
      <w:r w:rsidR="00817D0E" w:rsidRPr="004F0FE2">
        <w:t>hematology</w:t>
      </w:r>
      <w:r w:rsidRPr="004F0FE2">
        <w:t xml:space="preserve"> and biochemistry tests were performed at screening to assess eligibility. Local hematology and serum chemistry test were performed before treatment administration on day 1 of each cycle and at the </w:t>
      </w:r>
      <w:r w:rsidR="008145C5" w:rsidRPr="004F0FE2">
        <w:t xml:space="preserve">end-of-treatment </w:t>
      </w:r>
      <w:r w:rsidRPr="004F0FE2">
        <w:t>visit. The following values were included:</w:t>
      </w:r>
    </w:p>
    <w:p w14:paraId="6A8097E8" w14:textId="77777777" w:rsidR="00134EA8" w:rsidRPr="004F0FE2" w:rsidRDefault="00134EA8" w:rsidP="00673269">
      <w:pPr>
        <w:numPr>
          <w:ilvl w:val="0"/>
          <w:numId w:val="31"/>
        </w:numPr>
        <w:ind w:left="284" w:right="567" w:hanging="284"/>
      </w:pPr>
      <w:r w:rsidRPr="004F0FE2">
        <w:t>Hematology tests: hemoglobin, hematocrit, red blood cell count, platelet count, and white blood cell count with differential count (neutrophils, lymphocytes, monocytes, eosinophils, basophils).</w:t>
      </w:r>
    </w:p>
    <w:p w14:paraId="625088C7" w14:textId="77777777" w:rsidR="00134EA8" w:rsidRPr="004F0FE2" w:rsidRDefault="00134EA8" w:rsidP="00673269">
      <w:pPr>
        <w:numPr>
          <w:ilvl w:val="0"/>
          <w:numId w:val="31"/>
        </w:numPr>
        <w:ind w:left="284" w:right="567" w:hanging="284"/>
      </w:pPr>
      <w:r w:rsidRPr="004F0FE2">
        <w:t xml:space="preserve">Serum chemistry tests: sodium, potassium, calcium, chloride, magnesium, uric acid, total protein, alkaline phosphatase, AST, ALT, GGT, lactate dehydrogenase, total bilirubin, blood glucose and creatinine. </w:t>
      </w:r>
    </w:p>
    <w:p w14:paraId="469C30E8" w14:textId="77777777" w:rsidR="00134EA8" w:rsidRPr="004F0FE2" w:rsidRDefault="003D0547" w:rsidP="00673269">
      <w:pPr>
        <w:ind w:right="567"/>
        <w:rPr>
          <w:b/>
        </w:rPr>
      </w:pPr>
      <w:r w:rsidRPr="004F0FE2">
        <w:rPr>
          <w:b/>
        </w:rPr>
        <w:t xml:space="preserve">(c) </w:t>
      </w:r>
      <w:r w:rsidR="00134EA8" w:rsidRPr="004F0FE2">
        <w:rPr>
          <w:b/>
        </w:rPr>
        <w:t>Electrocardiograms</w:t>
      </w:r>
      <w:r w:rsidR="00666E40" w:rsidRPr="004F0FE2">
        <w:rPr>
          <w:b/>
        </w:rPr>
        <w:t xml:space="preserve"> (ECG)</w:t>
      </w:r>
    </w:p>
    <w:p w14:paraId="710CFC5C" w14:textId="77777777" w:rsidR="00861350" w:rsidRPr="004F0FE2" w:rsidRDefault="00134EA8" w:rsidP="00673269">
      <w:pPr>
        <w:ind w:right="567"/>
      </w:pPr>
      <w:r w:rsidRPr="004F0FE2">
        <w:t xml:space="preserve">A 12-lead ECG was obtained at baseline and </w:t>
      </w:r>
      <w:r w:rsidR="008145C5" w:rsidRPr="004F0FE2">
        <w:rPr>
          <w:color w:val="000000"/>
        </w:rPr>
        <w:t xml:space="preserve">thereafter </w:t>
      </w:r>
      <w:r w:rsidRPr="004F0FE2">
        <w:rPr>
          <w:color w:val="000000"/>
        </w:rPr>
        <w:t xml:space="preserve">every 3 cycles starting on cycle 3 up to </w:t>
      </w:r>
      <w:r w:rsidR="00BB6F6B" w:rsidRPr="004F0FE2">
        <w:rPr>
          <w:color w:val="000000"/>
        </w:rPr>
        <w:t xml:space="preserve">the </w:t>
      </w:r>
      <w:r w:rsidR="008145C5" w:rsidRPr="004F0FE2">
        <w:rPr>
          <w:color w:val="000000"/>
        </w:rPr>
        <w:t>end</w:t>
      </w:r>
      <w:r w:rsidR="00BB6F6B" w:rsidRPr="004F0FE2">
        <w:rPr>
          <w:color w:val="000000"/>
        </w:rPr>
        <w:t>-</w:t>
      </w:r>
      <w:r w:rsidR="008145C5" w:rsidRPr="004F0FE2">
        <w:rPr>
          <w:color w:val="000000"/>
        </w:rPr>
        <w:t>of</w:t>
      </w:r>
      <w:r w:rsidR="00BB6F6B" w:rsidRPr="004F0FE2">
        <w:rPr>
          <w:color w:val="000000"/>
        </w:rPr>
        <w:t>-</w:t>
      </w:r>
      <w:r w:rsidR="008145C5" w:rsidRPr="004F0FE2">
        <w:rPr>
          <w:color w:val="000000"/>
        </w:rPr>
        <w:t>treatment visit</w:t>
      </w:r>
      <w:r w:rsidRPr="004F0FE2">
        <w:t xml:space="preserve">. The QT interval corrected as per </w:t>
      </w:r>
      <w:r w:rsidRPr="004F0FE2">
        <w:rPr>
          <w:lang w:eastAsia="es-ES"/>
        </w:rPr>
        <w:t>Fridericia’s</w:t>
      </w:r>
      <w:r w:rsidRPr="004F0FE2">
        <w:t xml:space="preserve"> formula </w:t>
      </w:r>
      <w:r w:rsidR="008145C5" w:rsidRPr="004F0FE2">
        <w:t>had to be</w:t>
      </w:r>
      <w:r w:rsidRPr="004F0FE2">
        <w:t xml:space="preserve"> recorded (</w:t>
      </w:r>
      <w:proofErr w:type="spellStart"/>
      <w:r w:rsidRPr="004F0FE2">
        <w:t>QTcF</w:t>
      </w:r>
      <w:proofErr w:type="spellEnd"/>
      <w:r w:rsidRPr="004F0FE2">
        <w:t xml:space="preserve">). </w:t>
      </w:r>
      <w:r w:rsidR="003C6ADA" w:rsidRPr="004F0FE2">
        <w:t>Detailed</w:t>
      </w:r>
      <w:r w:rsidR="00861350" w:rsidRPr="004F0FE2">
        <w:t xml:space="preserve"> </w:t>
      </w:r>
      <w:r w:rsidR="003C6ADA" w:rsidRPr="004F0FE2">
        <w:t xml:space="preserve">QTc prolongation management are outlined in the appended Study Protocol. </w:t>
      </w:r>
    </w:p>
    <w:p w14:paraId="1A3A4B96" w14:textId="77777777" w:rsidR="00F509A0" w:rsidRPr="004F0FE2" w:rsidRDefault="003D0547" w:rsidP="00673269">
      <w:pPr>
        <w:ind w:right="567"/>
        <w:rPr>
          <w:b/>
        </w:rPr>
      </w:pPr>
      <w:r w:rsidRPr="004F0FE2">
        <w:rPr>
          <w:b/>
        </w:rPr>
        <w:t xml:space="preserve">(d) </w:t>
      </w:r>
      <w:r w:rsidR="00F509A0" w:rsidRPr="004F0FE2">
        <w:rPr>
          <w:b/>
        </w:rPr>
        <w:t xml:space="preserve">Vital Signs </w:t>
      </w:r>
    </w:p>
    <w:p w14:paraId="49727E34" w14:textId="189CD3B1" w:rsidR="00065CE8" w:rsidRPr="004F0FE2" w:rsidRDefault="00065CE8" w:rsidP="00673269">
      <w:pPr>
        <w:ind w:right="567"/>
      </w:pPr>
      <w:r w:rsidRPr="004F0FE2">
        <w:lastRenderedPageBreak/>
        <w:t xml:space="preserve">Vital signs </w:t>
      </w:r>
      <w:r w:rsidR="00725E97" w:rsidRPr="004F0FE2">
        <w:t>(</w:t>
      </w:r>
      <w:r w:rsidRPr="004F0FE2">
        <w:t xml:space="preserve">measurements of height </w:t>
      </w:r>
      <w:r w:rsidR="00725E97" w:rsidRPr="004F0FE2">
        <w:t>at screening</w:t>
      </w:r>
      <w:r w:rsidRPr="004F0FE2">
        <w:t>, weight, respiratory rate, heart rate, blood pressure, and temperature</w:t>
      </w:r>
      <w:r w:rsidR="00725E97" w:rsidRPr="004F0FE2">
        <w:t>) were measured and any clinically relevant changes recorded as adverse events if appropriate</w:t>
      </w:r>
      <w:r w:rsidR="00666E40" w:rsidRPr="004F0FE2">
        <w:t xml:space="preserve"> </w:t>
      </w:r>
      <w:r w:rsidR="00725E97" w:rsidRPr="004F0FE2">
        <w:t xml:space="preserve">during the screening period, prior to each study drug dosing, and at the </w:t>
      </w:r>
      <w:r w:rsidR="008145C5" w:rsidRPr="004F0FE2">
        <w:t>end of treatment</w:t>
      </w:r>
      <w:r w:rsidR="00725E97" w:rsidRPr="004F0FE2">
        <w:t xml:space="preserve"> visit.</w:t>
      </w:r>
      <w:r w:rsidR="003448C4">
        <w:t xml:space="preserve"> </w:t>
      </w:r>
    </w:p>
    <w:p w14:paraId="48605A05" w14:textId="77777777" w:rsidR="00F509A0" w:rsidRPr="004F0FE2" w:rsidRDefault="003D0547" w:rsidP="00673269">
      <w:pPr>
        <w:ind w:right="567"/>
        <w:rPr>
          <w:b/>
        </w:rPr>
      </w:pPr>
      <w:r w:rsidRPr="004F0FE2">
        <w:rPr>
          <w:b/>
        </w:rPr>
        <w:t xml:space="preserve">(e) </w:t>
      </w:r>
      <w:r w:rsidR="00F509A0" w:rsidRPr="004F0FE2">
        <w:rPr>
          <w:b/>
        </w:rPr>
        <w:t xml:space="preserve">Physical Examination </w:t>
      </w:r>
    </w:p>
    <w:p w14:paraId="336A5672" w14:textId="77777777" w:rsidR="00247310" w:rsidRPr="004F0FE2" w:rsidRDefault="00247310" w:rsidP="00673269">
      <w:pPr>
        <w:ind w:right="567"/>
      </w:pPr>
      <w:r w:rsidRPr="004F0FE2">
        <w:t>A complete physical examination, including the evaluation of head</w:t>
      </w:r>
      <w:r w:rsidR="00666E40" w:rsidRPr="004F0FE2">
        <w:t xml:space="preserve"> (</w:t>
      </w:r>
      <w:r w:rsidRPr="004F0FE2">
        <w:t>eye, ear, nose, and throat</w:t>
      </w:r>
      <w:r w:rsidR="00666E40" w:rsidRPr="004F0FE2">
        <w:t>)</w:t>
      </w:r>
      <w:r w:rsidRPr="004F0FE2">
        <w:t xml:space="preserve">; cardiovascular; dermatological; musculoskeletal; respiratory; gastrointestinal; and neurological systems was performed at screening, during day 1 of each cycle (prior to dosing) and at the </w:t>
      </w:r>
      <w:r w:rsidR="008145C5" w:rsidRPr="004F0FE2">
        <w:t>end</w:t>
      </w:r>
      <w:r w:rsidR="00BB6F6B" w:rsidRPr="004F0FE2">
        <w:t>-</w:t>
      </w:r>
      <w:r w:rsidR="008145C5" w:rsidRPr="004F0FE2">
        <w:t>of</w:t>
      </w:r>
      <w:r w:rsidR="00BB6F6B" w:rsidRPr="004F0FE2">
        <w:t>-</w:t>
      </w:r>
      <w:r w:rsidR="008145C5" w:rsidRPr="004F0FE2">
        <w:t>treatment</w:t>
      </w:r>
      <w:r w:rsidRPr="004F0FE2">
        <w:t xml:space="preserve"> visit. Changes from baseline abnormalities were recorded at each subsequent physical examination and reported as adverse events if appropriate in the study CRF. </w:t>
      </w:r>
    </w:p>
    <w:p w14:paraId="11832B15" w14:textId="7DB64E56" w:rsidR="00065CE8" w:rsidRPr="004F0FE2" w:rsidRDefault="00065CE8" w:rsidP="00673269">
      <w:pPr>
        <w:ind w:right="567"/>
      </w:pPr>
      <w:r w:rsidRPr="004F0FE2">
        <w:t xml:space="preserve">As part of </w:t>
      </w:r>
      <w:r w:rsidR="00817D0E" w:rsidRPr="004F0FE2">
        <w:t>tumor</w:t>
      </w:r>
      <w:r w:rsidRPr="004F0FE2">
        <w:t xml:space="preserve"> assessment, physical examinations </w:t>
      </w:r>
      <w:r w:rsidR="00247310" w:rsidRPr="004F0FE2">
        <w:t>also included</w:t>
      </w:r>
      <w:r w:rsidRPr="004F0FE2">
        <w:t xml:space="preserve"> the evaluation of the presence and degree of enlarged lymph nodes, hepatomegaly, and splenomegaly. Limited physical examinations </w:t>
      </w:r>
      <w:r w:rsidR="005A2E5D" w:rsidRPr="004F0FE2">
        <w:t>were</w:t>
      </w:r>
      <w:r w:rsidRPr="004F0FE2">
        <w:t xml:space="preserve"> symptom-directed.</w:t>
      </w:r>
    </w:p>
    <w:p w14:paraId="70188C08" w14:textId="77777777" w:rsidR="00134EA8" w:rsidRPr="004F0FE2" w:rsidRDefault="003D0547" w:rsidP="00673269">
      <w:pPr>
        <w:ind w:right="567"/>
        <w:rPr>
          <w:b/>
        </w:rPr>
      </w:pPr>
      <w:r w:rsidRPr="004F0FE2">
        <w:rPr>
          <w:b/>
        </w:rPr>
        <w:t xml:space="preserve">(f) </w:t>
      </w:r>
      <w:r w:rsidR="00134EA8" w:rsidRPr="004F0FE2">
        <w:rPr>
          <w:b/>
        </w:rPr>
        <w:t>ECOG Performance Status</w:t>
      </w:r>
    </w:p>
    <w:p w14:paraId="78C11314" w14:textId="77777777" w:rsidR="00134EA8" w:rsidRPr="004F0FE2" w:rsidRDefault="00134EA8" w:rsidP="00673269">
      <w:pPr>
        <w:ind w:right="567"/>
      </w:pPr>
      <w:r w:rsidRPr="004F0FE2">
        <w:t xml:space="preserve">ECOG performance status was measured (preferably by the same person throughout the study) </w:t>
      </w:r>
      <w:r w:rsidR="005465ED" w:rsidRPr="004F0FE2">
        <w:fldChar w:fldCharType="begin" w:fldLock="1"/>
      </w:r>
      <w:r w:rsidR="00B868FB" w:rsidRPr="004F0FE2">
        <w:instrText>ADDIN CSL_CITATION {"citationItems":[{"id":"ITEM-1","itemData":{"URL":"https://ecog-acrin.org/resources/ecog-performance-status","accessed":{"date-parts":[["2020","8","6"]]},"id":"ITEM-1","issued":{"date-parts":[["0"]]},"title":"ECOG Performance Status - ECOG-ACRIN","type":"webpage"},"uris":["http://www.mendeley.com/documents/?uuid=3f62c335-65f7-353a-8a0b-45b71ab2a3d1"]}],"mendeley":{"formattedCitation":"[35]","plainTextFormattedCitation":"[35]","previouslyFormattedCitation":"[35]"},"properties":{"noteIndex":0},"schema":"https://github.com/citation-style-language/schema/raw/master/csl-citation.json"}</w:instrText>
      </w:r>
      <w:r w:rsidR="005465ED" w:rsidRPr="004F0FE2">
        <w:fldChar w:fldCharType="separate"/>
      </w:r>
      <w:r w:rsidR="00A531F3" w:rsidRPr="004F0FE2">
        <w:t>[35]</w:t>
      </w:r>
      <w:r w:rsidR="005465ED" w:rsidRPr="004F0FE2">
        <w:fldChar w:fldCharType="end"/>
      </w:r>
      <w:r w:rsidRPr="004F0FE2">
        <w:t xml:space="preserve">. </w:t>
      </w:r>
    </w:p>
    <w:p w14:paraId="2205CFFE" w14:textId="77777777" w:rsidR="009044B0" w:rsidRPr="004F0FE2" w:rsidRDefault="00861350" w:rsidP="00673269">
      <w:pPr>
        <w:pStyle w:val="Ttulo3"/>
        <w:ind w:right="567"/>
      </w:pPr>
      <w:bookmarkStart w:id="188" w:name="_Toc52468097"/>
      <w:r w:rsidRPr="004F0FE2">
        <w:t>Efficacy</w:t>
      </w:r>
      <w:r w:rsidR="007C5424" w:rsidRPr="004F0FE2">
        <w:t xml:space="preserve"> assessments</w:t>
      </w:r>
      <w:bookmarkEnd w:id="188"/>
    </w:p>
    <w:p w14:paraId="54090223" w14:textId="77777777" w:rsidR="009044B0" w:rsidRPr="004F0FE2" w:rsidRDefault="007C5424" w:rsidP="00673269">
      <w:pPr>
        <w:ind w:right="567"/>
        <w:rPr>
          <w:b/>
        </w:rPr>
      </w:pPr>
      <w:r w:rsidRPr="004F0FE2">
        <w:t>Initial tumo</w:t>
      </w:r>
      <w:r w:rsidR="00861350" w:rsidRPr="004F0FE2">
        <w:t xml:space="preserve">r response assessment </w:t>
      </w:r>
      <w:r w:rsidR="00FA63E6" w:rsidRPr="004F0FE2">
        <w:t>was</w:t>
      </w:r>
      <w:r w:rsidR="00861350" w:rsidRPr="004F0FE2">
        <w:t xml:space="preserve"> performed at the end of cycle 3. Thereafter, all patients </w:t>
      </w:r>
      <w:r w:rsidR="00FA63E6" w:rsidRPr="004F0FE2">
        <w:t>were</w:t>
      </w:r>
      <w:r w:rsidR="00861350" w:rsidRPr="004F0FE2">
        <w:t xml:space="preserve"> followed up for efficacy every 12 weeks</w:t>
      </w:r>
      <w:r w:rsidR="009044B0" w:rsidRPr="004F0FE2">
        <w:t xml:space="preserve"> (±7 days)</w:t>
      </w:r>
      <w:r w:rsidR="00D51772" w:rsidRPr="004F0FE2">
        <w:t xml:space="preserve"> </w:t>
      </w:r>
      <w:r w:rsidR="00861350" w:rsidRPr="004F0FE2">
        <w:t xml:space="preserve">during the study period until </w:t>
      </w:r>
      <w:r w:rsidR="00D51772" w:rsidRPr="004F0FE2">
        <w:t xml:space="preserve">confirmed disease </w:t>
      </w:r>
      <w:r w:rsidR="00861350" w:rsidRPr="004F0FE2">
        <w:t xml:space="preserve">progression, </w:t>
      </w:r>
      <w:r w:rsidR="00D51772" w:rsidRPr="004F0FE2">
        <w:t xml:space="preserve">study treatment discontinuation </w:t>
      </w:r>
      <w:r w:rsidR="00861350" w:rsidRPr="004F0FE2">
        <w:t xml:space="preserve">or </w:t>
      </w:r>
      <w:r w:rsidR="00D51772" w:rsidRPr="004F0FE2">
        <w:t>discontinuation of patient from overall study participation (e.g., death, consent withdrawal, lost to follow-up)</w:t>
      </w:r>
      <w:r w:rsidR="00861350" w:rsidRPr="004F0FE2">
        <w:t>, whichever occu</w:t>
      </w:r>
      <w:r w:rsidR="00666E40" w:rsidRPr="004F0FE2">
        <w:t>rred</w:t>
      </w:r>
      <w:r w:rsidR="00861350" w:rsidRPr="004F0FE2">
        <w:t xml:space="preserve"> first. </w:t>
      </w:r>
      <w:r w:rsidR="00831B61" w:rsidRPr="004F0FE2">
        <w:t>After discontinuation of study treatment, post-treatment follow-up was collected every 6 months (±7 days)</w:t>
      </w:r>
      <w:r w:rsidR="009044B0" w:rsidRPr="004F0FE2">
        <w:t xml:space="preserve">, including collection of anticancer drug therapy, survival status and tumor assessment (if discontinuation happened for any reason other than progression). </w:t>
      </w:r>
    </w:p>
    <w:p w14:paraId="78A3E1C3" w14:textId="77777777" w:rsidR="007C5424" w:rsidRPr="004F0FE2" w:rsidRDefault="00D51772" w:rsidP="00673269">
      <w:pPr>
        <w:ind w:right="567"/>
      </w:pPr>
      <w:r w:rsidRPr="004F0FE2">
        <w:t xml:space="preserve">Response assessments </w:t>
      </w:r>
      <w:r w:rsidR="00666E40" w:rsidRPr="004F0FE2">
        <w:t>were</w:t>
      </w:r>
      <w:r w:rsidRPr="004F0FE2">
        <w:t xml:space="preserve"> performed by the investigator,</w:t>
      </w:r>
      <w:r w:rsidR="004565D4" w:rsidRPr="004F0FE2">
        <w:t xml:space="preserve"> based on physical examinations, </w:t>
      </w:r>
      <w:r w:rsidRPr="004F0FE2">
        <w:t>CT or MRI scans</w:t>
      </w:r>
      <w:r w:rsidR="000F44D1" w:rsidRPr="004F0FE2">
        <w:t xml:space="preserve"> (thorax, abdomen, pelvis</w:t>
      </w:r>
      <w:r w:rsidR="004565D4" w:rsidRPr="004F0FE2">
        <w:t xml:space="preserve"> and brain</w:t>
      </w:r>
      <w:r w:rsidR="004565D4" w:rsidRPr="004F0FE2">
        <w:rPr>
          <w:rStyle w:val="Refdenotaalpie"/>
          <w:rFonts w:ascii="Arial" w:hAnsi="Arial"/>
          <w:color w:val="000000"/>
        </w:rPr>
        <w:footnoteReference w:id="4"/>
      </w:r>
      <w:r w:rsidR="000F44D1" w:rsidRPr="004F0FE2">
        <w:t>)</w:t>
      </w:r>
      <w:r w:rsidRPr="004F0FE2">
        <w:t>, and bone scans</w:t>
      </w:r>
      <w:r w:rsidR="004565D4" w:rsidRPr="004F0FE2">
        <w:rPr>
          <w:rStyle w:val="Refdenotaalpie"/>
          <w:rFonts w:ascii="Arial" w:hAnsi="Arial"/>
          <w:color w:val="000000"/>
        </w:rPr>
        <w:footnoteReference w:id="5"/>
      </w:r>
      <w:r w:rsidRPr="004F0FE2">
        <w:t xml:space="preserve"> using RECIST v. 1.1</w:t>
      </w:r>
      <w:r w:rsidR="00831B61" w:rsidRPr="004F0FE2">
        <w:t xml:space="preserve"> </w:t>
      </w:r>
      <w:r w:rsidR="00831B61" w:rsidRPr="004F0FE2">
        <w:fldChar w:fldCharType="begin" w:fldLock="1"/>
      </w:r>
      <w:r w:rsidR="009B7569" w:rsidRPr="004F0FE2">
        <w:instrText>ADDIN CSL_CITATION {"citationItems":[{"id":"ITEM-1","itemData":{"DOI":"10.1016/j.ejca.2008.10.026","author":[{"dropping-particle":"","family":"Eisenhauer","given":"E A","non-dropping-particle":"","parse-names":false,"suffix":""},{"dropping-particle":"","family":"Therasse","given":"P","non-dropping-particle":"","parse-names":false,"suffix":""},{"dropping-particle":"","family":"Bogaerts","given":"J","non-dropping-particle":"","parse-names":false,"suffix":""},{"dropping-particle":"","family":"Schwartz","given":"L H","non-dropping-particle":"","parse-names":false,"suffix":""},{"dropping-particle":"","family":"Sargent","given":"D","non-dropping-particle":"","parse-names":false,"suffix":""},{"dropping-particle":"","family":"Ford","given":"R","non-dropping-particle":"","parse-names":false,"suffix":""},{"dropping-particle":"","family":"Dancey","given":"J","non-dropping-particle":"","parse-names":false,"suffix":""},{"dropping-particle":"","family":"Arbuck","given":"S","non-dropping-particle":"","parse-names":false,"suffix":""},{"dropping-particle":"","family":"Gwyther","given":"S","non-dropping-particle":"","parse-names":false,"suffix":""},{"dropping-particle":"","family":"Mooney","given":"M","non-dropping-particle":"","parse-names":false,"suffix":""},{"dropping-particle":"","family":"Rubinstein","given":"L","non-dropping-particle":"","parse-names":false,"suffix":""},{"dropping-particle":"","family":"Shankar","given":"L","non-dropping-particle":"","parse-names":false,"suffix":""},{"dropping-particle":"","family":"Dodd","given":"L","non-dropping-particle":"","parse-names":false,"suffix":""},{"dropping-particle":"","family":"Kaplan","given":"R","non-dropping-particle":"","parse-names":false,"suffix":""},{"dropping-particle":"","family":"Lacombe","given":"D","non-dropping-particle":"","parse-names":false,"suffix":""},{"dropping-particle":"","family":"Verweij","given":"J","non-dropping-particle":"","parse-names":false,"suffix":""},{"dropping-particle":"","family":"Biologicals","given":"Glaxosmithkline","non-dropping-particle":"","parse-names":false,"suffix":""}],"id":"ITEM-1","issued":{"date-parts":[["0"]]},"title":"New response evaluation criteria in solid tumours: Revised RECIST guideline (version 1.1)","type":"article-journal"},"uris":["http://www.mendeley.com/documents/?uuid=55e3775d-6a22-3545-9f5a-de04960dda69"]}],"mendeley":{"formattedCitation":"[1]","plainTextFormattedCitation":"[1]","previouslyFormattedCitation":"[1]"},"properties":{"noteIndex":0},"schema":"https://github.com/citation-style-language/schema/raw/master/csl-citation.json"}</w:instrText>
      </w:r>
      <w:r w:rsidR="00831B61" w:rsidRPr="004F0FE2">
        <w:fldChar w:fldCharType="separate"/>
      </w:r>
      <w:r w:rsidR="00B868FB" w:rsidRPr="004F0FE2">
        <w:t>[1]</w:t>
      </w:r>
      <w:r w:rsidR="00831B61" w:rsidRPr="004F0FE2">
        <w:fldChar w:fldCharType="end"/>
      </w:r>
      <w:r w:rsidR="00831B61" w:rsidRPr="004F0FE2">
        <w:t>.</w:t>
      </w:r>
      <w:r w:rsidRPr="004F0FE2">
        <w:t xml:space="preserve"> </w:t>
      </w:r>
      <w:r w:rsidR="007C5424" w:rsidRPr="004F0FE2">
        <w:t>If a PET/CT scanner was used specific quality requirements had to be met. The same radiographic procedure used at screening had to be used throughout the study.</w:t>
      </w:r>
    </w:p>
    <w:p w14:paraId="4218E901" w14:textId="77777777" w:rsidR="009044B0" w:rsidRPr="004F0FE2" w:rsidRDefault="00FA63E6" w:rsidP="00673269">
      <w:pPr>
        <w:ind w:right="567"/>
      </w:pPr>
      <w:r w:rsidRPr="004F0FE2">
        <w:t xml:space="preserve">Measurable and no-measurable disease </w:t>
      </w:r>
      <w:r w:rsidR="00831B61" w:rsidRPr="004F0FE2">
        <w:t>had to be</w:t>
      </w:r>
      <w:r w:rsidRPr="004F0FE2">
        <w:t xml:space="preserve"> documented at screening and re-assessed at each subsequent tumor evaluation</w:t>
      </w:r>
      <w:r w:rsidR="007C5424" w:rsidRPr="004F0FE2">
        <w:t xml:space="preserve"> for all known and/or suspected sites of disease</w:t>
      </w:r>
      <w:r w:rsidRPr="004F0FE2">
        <w:t>.</w:t>
      </w:r>
      <w:r w:rsidR="00831B61" w:rsidRPr="004F0FE2">
        <w:t xml:space="preserve"> </w:t>
      </w:r>
      <w:r w:rsidR="009044B0" w:rsidRPr="004F0FE2">
        <w:t xml:space="preserve">At the investigator’s discretion, </w:t>
      </w:r>
      <w:r w:rsidR="007C5424" w:rsidRPr="004F0FE2">
        <w:t xml:space="preserve">radiologic </w:t>
      </w:r>
      <w:r w:rsidR="000F44D1" w:rsidRPr="004F0FE2">
        <w:t>assessments</w:t>
      </w:r>
      <w:r w:rsidR="009044B0" w:rsidRPr="004F0FE2">
        <w:t xml:space="preserve"> </w:t>
      </w:r>
      <w:r w:rsidR="000F44D1" w:rsidRPr="004F0FE2">
        <w:t xml:space="preserve">could also </w:t>
      </w:r>
      <w:r w:rsidR="009044B0" w:rsidRPr="004F0FE2">
        <w:t xml:space="preserve">be obtained at any time when clinically indicated or if progressive disease </w:t>
      </w:r>
      <w:r w:rsidR="000F44D1" w:rsidRPr="004F0FE2">
        <w:t>was</w:t>
      </w:r>
      <w:r w:rsidR="009044B0" w:rsidRPr="004F0FE2">
        <w:t xml:space="preserve"> suspected.</w:t>
      </w:r>
    </w:p>
    <w:p w14:paraId="50AFAC3F" w14:textId="77777777" w:rsidR="00977932" w:rsidRPr="004F0FE2" w:rsidRDefault="004565D4" w:rsidP="00673269">
      <w:pPr>
        <w:pStyle w:val="Ttulo3"/>
        <w:ind w:right="567"/>
      </w:pPr>
      <w:bookmarkStart w:id="189" w:name="_Toc52468098"/>
      <w:r w:rsidRPr="004F0FE2">
        <w:t>Other protocol assessments: Evaluation of molecular biomarkers</w:t>
      </w:r>
      <w:bookmarkEnd w:id="189"/>
      <w:r w:rsidRPr="004F0FE2">
        <w:t xml:space="preserve"> </w:t>
      </w:r>
    </w:p>
    <w:p w14:paraId="7E6FC167" w14:textId="77777777" w:rsidR="00925E01" w:rsidRPr="004F0FE2" w:rsidRDefault="00861350" w:rsidP="00673269">
      <w:pPr>
        <w:pStyle w:val="BodyText12"/>
        <w:spacing w:after="0" w:line="240" w:lineRule="auto"/>
        <w:ind w:left="0" w:right="567"/>
        <w:rPr>
          <w:rFonts w:ascii="Arial" w:hAnsi="Arial" w:cs="Arial"/>
          <w:color w:val="000000"/>
          <w:sz w:val="20"/>
        </w:rPr>
      </w:pPr>
      <w:r w:rsidRPr="004F0FE2">
        <w:rPr>
          <w:rFonts w:ascii="Arial" w:hAnsi="Arial" w:cs="Arial"/>
          <w:color w:val="000000"/>
          <w:sz w:val="20"/>
        </w:rPr>
        <w:t xml:space="preserve">Blood samples </w:t>
      </w:r>
      <w:r w:rsidR="00A230A7" w:rsidRPr="004F0FE2">
        <w:rPr>
          <w:rFonts w:ascii="Arial" w:hAnsi="Arial" w:cs="Arial"/>
          <w:color w:val="000000"/>
          <w:sz w:val="20"/>
        </w:rPr>
        <w:t>were</w:t>
      </w:r>
      <w:r w:rsidRPr="004F0FE2">
        <w:rPr>
          <w:rFonts w:ascii="Arial" w:hAnsi="Arial" w:cs="Arial"/>
          <w:color w:val="000000"/>
          <w:sz w:val="20"/>
        </w:rPr>
        <w:t xml:space="preserve"> collected from all patients at baseline, after 2 and 12 weeks of treatment start</w:t>
      </w:r>
      <w:r w:rsidR="00A230A7" w:rsidRPr="004F0FE2">
        <w:rPr>
          <w:rFonts w:ascii="Arial" w:hAnsi="Arial" w:cs="Arial"/>
          <w:color w:val="000000"/>
          <w:sz w:val="20"/>
        </w:rPr>
        <w:t>,</w:t>
      </w:r>
      <w:r w:rsidRPr="004F0FE2">
        <w:rPr>
          <w:rFonts w:ascii="Arial" w:hAnsi="Arial" w:cs="Arial"/>
          <w:color w:val="000000"/>
          <w:sz w:val="20"/>
        </w:rPr>
        <w:t xml:space="preserve"> and at time of progression.</w:t>
      </w:r>
      <w:r w:rsidR="004565D4" w:rsidRPr="004F0FE2">
        <w:rPr>
          <w:rFonts w:ascii="Arial" w:hAnsi="Arial" w:cs="Arial"/>
          <w:color w:val="000000"/>
          <w:sz w:val="20"/>
        </w:rPr>
        <w:t xml:space="preserve"> </w:t>
      </w:r>
      <w:r w:rsidRPr="004F0FE2">
        <w:rPr>
          <w:rFonts w:ascii="Arial" w:hAnsi="Arial" w:cs="Arial"/>
          <w:color w:val="000000"/>
          <w:sz w:val="20"/>
        </w:rPr>
        <w:t xml:space="preserve">Additionally, patients </w:t>
      </w:r>
      <w:r w:rsidR="00A230A7" w:rsidRPr="004F0FE2">
        <w:rPr>
          <w:rFonts w:ascii="Arial" w:hAnsi="Arial" w:cs="Arial"/>
          <w:color w:val="000000"/>
          <w:sz w:val="20"/>
        </w:rPr>
        <w:t xml:space="preserve">had to </w:t>
      </w:r>
      <w:r w:rsidRPr="004F0FE2">
        <w:rPr>
          <w:rFonts w:ascii="Arial" w:hAnsi="Arial" w:cs="Arial"/>
          <w:color w:val="000000"/>
          <w:sz w:val="20"/>
        </w:rPr>
        <w:t>consent to provide tumor samples from metastatic tissue at baseline and at time of progression.</w:t>
      </w:r>
      <w:r w:rsidR="004565D4" w:rsidRPr="004F0FE2">
        <w:rPr>
          <w:rFonts w:ascii="Arial" w:hAnsi="Arial" w:cs="Arial"/>
          <w:color w:val="000000"/>
          <w:sz w:val="20"/>
        </w:rPr>
        <w:t xml:space="preserve"> </w:t>
      </w:r>
      <w:r w:rsidR="00A230A7" w:rsidRPr="004F0FE2">
        <w:rPr>
          <w:rFonts w:ascii="Arial" w:hAnsi="Arial" w:cs="Arial"/>
          <w:color w:val="000000"/>
          <w:sz w:val="20"/>
        </w:rPr>
        <w:t xml:space="preserve">Details on the evaluation of molecular biomarkers are included in the appended Study protocol. </w:t>
      </w:r>
    </w:p>
    <w:p w14:paraId="205B886D" w14:textId="77777777" w:rsidR="00867FD0" w:rsidRPr="004F0FE2" w:rsidRDefault="00867FD0" w:rsidP="00673269">
      <w:pPr>
        <w:pStyle w:val="Ttulo2"/>
        <w:ind w:right="567"/>
      </w:pPr>
      <w:bookmarkStart w:id="190" w:name="_Toc52468099"/>
      <w:bookmarkStart w:id="191" w:name="_Toc46085714"/>
      <w:r w:rsidRPr="004F0FE2">
        <w:t>End of Study</w:t>
      </w:r>
      <w:bookmarkEnd w:id="190"/>
    </w:p>
    <w:p w14:paraId="728D88BF" w14:textId="7933F59D" w:rsidR="003D0547" w:rsidRPr="004F0FE2" w:rsidRDefault="00A230A7" w:rsidP="00673269">
      <w:pPr>
        <w:ind w:right="567"/>
      </w:pPr>
      <w:r w:rsidRPr="004F0FE2">
        <w:t>Unless premature termination of the study, the end of study</w:t>
      </w:r>
      <w:r w:rsidR="00A5705E">
        <w:t xml:space="preserve"> (</w:t>
      </w:r>
      <w:proofErr w:type="spellStart"/>
      <w:r w:rsidR="00A5705E">
        <w:t>EoS</w:t>
      </w:r>
      <w:proofErr w:type="spellEnd"/>
      <w:r w:rsidR="00A5705E">
        <w:t>)</w:t>
      </w:r>
      <w:r w:rsidR="00867FD0" w:rsidRPr="004F0FE2">
        <w:t xml:space="preserve"> </w:t>
      </w:r>
      <w:r w:rsidRPr="004F0FE2">
        <w:t xml:space="preserve">was planned to occur </w:t>
      </w:r>
      <w:r w:rsidR="00867FD0" w:rsidRPr="004F0FE2">
        <w:t xml:space="preserve">when trial efficacy decision criteria </w:t>
      </w:r>
      <w:r w:rsidRPr="004F0FE2">
        <w:t>were met (</w:t>
      </w:r>
      <w:r w:rsidR="00867FD0" w:rsidRPr="004F0FE2">
        <w:t xml:space="preserve">final analysis </w:t>
      </w:r>
      <w:r w:rsidRPr="004F0FE2">
        <w:t xml:space="preserve">was </w:t>
      </w:r>
      <w:r w:rsidR="00867FD0" w:rsidRPr="004F0FE2">
        <w:t>expected with 254 PFS ev</w:t>
      </w:r>
      <w:r w:rsidRPr="004F0FE2">
        <w:t xml:space="preserve">ents and 486 </w:t>
      </w:r>
      <w:r w:rsidRPr="004F0FE2">
        <w:lastRenderedPageBreak/>
        <w:t>patients included)</w:t>
      </w:r>
      <w:r w:rsidR="00867FD0" w:rsidRPr="004F0FE2">
        <w:t xml:space="preserve">. This </w:t>
      </w:r>
      <w:r w:rsidRPr="004F0FE2">
        <w:t>was planned to be</w:t>
      </w:r>
      <w:r w:rsidR="00867FD0" w:rsidRPr="004F0FE2">
        <w:t xml:space="preserve"> the last data collection point</w:t>
      </w:r>
      <w:r w:rsidRPr="004F0FE2">
        <w:t xml:space="preserve"> (end of follow up)</w:t>
      </w:r>
      <w:r w:rsidR="00867FD0" w:rsidRPr="004F0FE2">
        <w:t xml:space="preserve">, </w:t>
      </w:r>
      <w:r w:rsidRPr="004F0FE2">
        <w:t>either</w:t>
      </w:r>
      <w:r w:rsidR="00867FD0" w:rsidRPr="004F0FE2">
        <w:t xml:space="preserve"> a clinic </w:t>
      </w:r>
      <w:r w:rsidR="00817D0E" w:rsidRPr="004F0FE2">
        <w:t>visits</w:t>
      </w:r>
      <w:r w:rsidR="00867FD0" w:rsidRPr="004F0FE2">
        <w:t xml:space="preserve"> or a laboratory sample.</w:t>
      </w:r>
    </w:p>
    <w:p w14:paraId="3AC40EB5" w14:textId="77777777" w:rsidR="00977932" w:rsidRPr="004F0FE2" w:rsidRDefault="00977932" w:rsidP="00673269">
      <w:pPr>
        <w:pStyle w:val="Ttulo2"/>
        <w:ind w:right="567"/>
      </w:pPr>
      <w:bookmarkStart w:id="192" w:name="_Toc52468100"/>
      <w:r w:rsidRPr="004F0FE2">
        <w:t xml:space="preserve">Data </w:t>
      </w:r>
      <w:r w:rsidR="004941E7" w:rsidRPr="004F0FE2">
        <w:t>q</w:t>
      </w:r>
      <w:r w:rsidRPr="004F0FE2">
        <w:t xml:space="preserve">uality </w:t>
      </w:r>
      <w:r w:rsidR="004941E7" w:rsidRPr="004F0FE2">
        <w:t>a</w:t>
      </w:r>
      <w:r w:rsidRPr="004F0FE2">
        <w:t>ssurance</w:t>
      </w:r>
      <w:bookmarkEnd w:id="191"/>
      <w:bookmarkEnd w:id="192"/>
    </w:p>
    <w:p w14:paraId="0E751165" w14:textId="77777777" w:rsidR="008F2A1F" w:rsidRPr="004F0FE2" w:rsidRDefault="008F2A1F" w:rsidP="00673269">
      <w:pPr>
        <w:pStyle w:val="Ttulo3"/>
        <w:ind w:right="567"/>
      </w:pPr>
      <w:bookmarkStart w:id="193" w:name="_Toc52468101"/>
      <w:r w:rsidRPr="004F0FE2">
        <w:t xml:space="preserve">Study </w:t>
      </w:r>
      <w:r w:rsidR="004941E7" w:rsidRPr="004F0FE2">
        <w:t>m</w:t>
      </w:r>
      <w:r w:rsidRPr="004F0FE2">
        <w:t>onitoring</w:t>
      </w:r>
      <w:bookmarkEnd w:id="193"/>
    </w:p>
    <w:p w14:paraId="3C2908CA" w14:textId="77777777" w:rsidR="008F2A1F" w:rsidRPr="004F0FE2" w:rsidRDefault="008F2A1F" w:rsidP="00673269">
      <w:pPr>
        <w:pStyle w:val="BodyText12"/>
        <w:ind w:left="0" w:right="567"/>
        <w:rPr>
          <w:rFonts w:ascii="Arial" w:hAnsi="Arial" w:cs="Arial"/>
          <w:sz w:val="20"/>
        </w:rPr>
      </w:pPr>
      <w:r w:rsidRPr="004F0FE2">
        <w:rPr>
          <w:rFonts w:ascii="Arial" w:hAnsi="Arial" w:cs="Arial"/>
          <w:sz w:val="20"/>
        </w:rPr>
        <w:t>Prior to the initiation of the protocol at a given study center, a study visit was conducted to verify the qualifications of the investigator and center facilities, and to inform the investigator of his/her responsibilities and procedures for adequate study conduct.</w:t>
      </w:r>
    </w:p>
    <w:p w14:paraId="0D42F099" w14:textId="77777777" w:rsidR="008F2A1F" w:rsidRPr="004F0FE2" w:rsidRDefault="008F2A1F" w:rsidP="00673269">
      <w:pPr>
        <w:ind w:right="567"/>
      </w:pPr>
      <w:r w:rsidRPr="004F0FE2">
        <w:t xml:space="preserve">Study progress was monitored by </w:t>
      </w:r>
      <w:proofErr w:type="spellStart"/>
      <w:r w:rsidRPr="004F0FE2">
        <w:t>MedSIR</w:t>
      </w:r>
      <w:proofErr w:type="spellEnd"/>
      <w:r w:rsidRPr="004F0FE2">
        <w:t xml:space="preserve"> or its representative (e.g., a CRO) as frequently as necessary to ensure that the rights and well-being of human subjects were protected; the reported trial data were accurate, complete, and verifiable from the source documents; and the conduct of the trial </w:t>
      </w:r>
      <w:r w:rsidR="008508CB" w:rsidRPr="004F0FE2">
        <w:t>was</w:t>
      </w:r>
      <w:r w:rsidRPr="004F0FE2">
        <w:t xml:space="preserve"> in compliance with the current approved protocol/amendment(s), GCP, and applicable regulatory requirements.</w:t>
      </w:r>
    </w:p>
    <w:p w14:paraId="5C14CE6F" w14:textId="77777777" w:rsidR="008F2A1F" w:rsidRPr="004F0FE2" w:rsidRDefault="008F2A1F" w:rsidP="00673269">
      <w:pPr>
        <w:pStyle w:val="BodyText12"/>
        <w:spacing w:after="0" w:line="240" w:lineRule="auto"/>
        <w:ind w:left="0" w:right="567"/>
        <w:rPr>
          <w:rFonts w:ascii="Arial" w:hAnsi="Arial" w:cs="Arial"/>
          <w:sz w:val="20"/>
        </w:rPr>
      </w:pPr>
      <w:r w:rsidRPr="004F0FE2">
        <w:rPr>
          <w:rFonts w:ascii="Arial" w:hAnsi="Arial" w:cs="Arial"/>
          <w:sz w:val="20"/>
        </w:rPr>
        <w:t>Data recorded on the CRF</w:t>
      </w:r>
      <w:r w:rsidR="008508CB" w:rsidRPr="004F0FE2">
        <w:rPr>
          <w:rFonts w:ascii="Arial" w:hAnsi="Arial" w:cs="Arial"/>
          <w:sz w:val="20"/>
        </w:rPr>
        <w:t>s</w:t>
      </w:r>
      <w:r w:rsidRPr="004F0FE2">
        <w:rPr>
          <w:rFonts w:ascii="Arial" w:hAnsi="Arial" w:cs="Arial"/>
          <w:sz w:val="20"/>
        </w:rPr>
        <w:t xml:space="preserve"> was verified by checking the entries against source documents in order to ensure data completeness and accuracy as required by study protocol. The revision of medical records was performed in a manner to ensure that patient confidentiality was maintained. Instances of missing, uninterpretable, or inconsistent data were discussed with the investigator for resolution.</w:t>
      </w:r>
    </w:p>
    <w:p w14:paraId="254062A6" w14:textId="77777777" w:rsidR="00375397" w:rsidRPr="004F0FE2" w:rsidRDefault="00375397" w:rsidP="00673269">
      <w:pPr>
        <w:pStyle w:val="BodyText12"/>
        <w:spacing w:after="0" w:line="240" w:lineRule="auto"/>
        <w:ind w:left="0" w:right="567"/>
        <w:rPr>
          <w:rFonts w:ascii="Arial" w:hAnsi="Arial" w:cs="Arial"/>
          <w:sz w:val="20"/>
        </w:rPr>
      </w:pPr>
    </w:p>
    <w:p w14:paraId="32154A7B" w14:textId="77777777" w:rsidR="008F2A1F" w:rsidRPr="004F0FE2" w:rsidRDefault="008F2A1F" w:rsidP="00673269">
      <w:pPr>
        <w:pStyle w:val="Ttulo3"/>
        <w:ind w:right="567"/>
      </w:pPr>
      <w:bookmarkStart w:id="194" w:name="_Toc52468102"/>
      <w:r w:rsidRPr="004F0FE2">
        <w:t>Data base management and quality control</w:t>
      </w:r>
      <w:bookmarkEnd w:id="194"/>
    </w:p>
    <w:p w14:paraId="75D711CB" w14:textId="77777777" w:rsidR="008F2A1F" w:rsidRPr="004F0FE2" w:rsidRDefault="008F2A1F" w:rsidP="00673269">
      <w:pPr>
        <w:ind w:right="567"/>
        <w:rPr>
          <w:lang w:eastAsia="es-ES"/>
        </w:rPr>
      </w:pPr>
      <w:proofErr w:type="spellStart"/>
      <w:r w:rsidRPr="004F0FE2">
        <w:rPr>
          <w:lang w:eastAsia="es-ES"/>
        </w:rPr>
        <w:t>MedSIR</w:t>
      </w:r>
      <w:proofErr w:type="spellEnd"/>
      <w:r w:rsidRPr="004F0FE2">
        <w:rPr>
          <w:lang w:eastAsia="es-ES"/>
        </w:rPr>
        <w:t xml:space="preserve"> staff reviewed the data entered into the CRF</w:t>
      </w:r>
      <w:r w:rsidR="008508CB" w:rsidRPr="004F0FE2">
        <w:rPr>
          <w:lang w:eastAsia="es-ES"/>
        </w:rPr>
        <w:t>s</w:t>
      </w:r>
      <w:r w:rsidRPr="004F0FE2">
        <w:rPr>
          <w:lang w:eastAsia="es-ES"/>
        </w:rPr>
        <w:t xml:space="preserve"> for completeness</w:t>
      </w:r>
      <w:r w:rsidR="000F0569" w:rsidRPr="004F0FE2">
        <w:rPr>
          <w:lang w:eastAsia="es-ES"/>
        </w:rPr>
        <w:t xml:space="preserve"> </w:t>
      </w:r>
      <w:r w:rsidRPr="004F0FE2">
        <w:rPr>
          <w:lang w:eastAsia="es-ES"/>
        </w:rPr>
        <w:t>and accuracy and instructed the site personnel to make any required corrections or additions.</w:t>
      </w:r>
      <w:r w:rsidR="000F0569" w:rsidRPr="004F0FE2">
        <w:rPr>
          <w:lang w:eastAsia="es-ES"/>
        </w:rPr>
        <w:t xml:space="preserve"> </w:t>
      </w:r>
      <w:r w:rsidRPr="004F0FE2">
        <w:rPr>
          <w:lang w:eastAsia="es-ES"/>
        </w:rPr>
        <w:t>Queries were sent to the investigational site using an electronic data query. Designated</w:t>
      </w:r>
      <w:r w:rsidR="00CF3660" w:rsidRPr="004F0FE2">
        <w:rPr>
          <w:lang w:eastAsia="es-ES"/>
        </w:rPr>
        <w:t xml:space="preserve"> </w:t>
      </w:r>
      <w:r w:rsidR="008508CB" w:rsidRPr="004F0FE2">
        <w:rPr>
          <w:lang w:eastAsia="es-ES"/>
        </w:rPr>
        <w:t>i</w:t>
      </w:r>
      <w:r w:rsidRPr="004F0FE2">
        <w:rPr>
          <w:lang w:eastAsia="es-ES"/>
        </w:rPr>
        <w:t>nvestigator site staff were required to respond to each query and confirm or correct the data.</w:t>
      </w:r>
    </w:p>
    <w:p w14:paraId="56D29307" w14:textId="4B9A0265" w:rsidR="008F2A1F" w:rsidRPr="004F0FE2" w:rsidRDefault="008F2A1F" w:rsidP="00673269">
      <w:pPr>
        <w:ind w:right="567"/>
        <w:rPr>
          <w:color w:val="FF0000"/>
          <w:lang w:eastAsia="es-ES"/>
        </w:rPr>
      </w:pPr>
      <w:r w:rsidRPr="004F0FE2">
        <w:rPr>
          <w:lang w:eastAsia="es-ES"/>
        </w:rPr>
        <w:t xml:space="preserve">Concomitant medications entered into the database were coded using the </w:t>
      </w:r>
      <w:r w:rsidRPr="00E237BD">
        <w:rPr>
          <w:color w:val="000000" w:themeColor="text1"/>
          <w:lang w:eastAsia="es-ES"/>
        </w:rPr>
        <w:t>World Health</w:t>
      </w:r>
      <w:r w:rsidR="0053701A" w:rsidRPr="00E237BD">
        <w:rPr>
          <w:color w:val="000000" w:themeColor="text1"/>
          <w:lang w:eastAsia="es-ES"/>
        </w:rPr>
        <w:t xml:space="preserve"> </w:t>
      </w:r>
      <w:r w:rsidRPr="00E237BD">
        <w:rPr>
          <w:color w:val="000000" w:themeColor="text1"/>
          <w:lang w:eastAsia="es-ES"/>
        </w:rPr>
        <w:t>Organization (WHO) Drug Reference List, which employs the Anatomical Therapeutic</w:t>
      </w:r>
      <w:r w:rsidR="0053701A" w:rsidRPr="00E237BD">
        <w:rPr>
          <w:color w:val="000000" w:themeColor="text1"/>
          <w:lang w:eastAsia="es-ES"/>
        </w:rPr>
        <w:t xml:space="preserve"> </w:t>
      </w:r>
      <w:r w:rsidRPr="00E237BD">
        <w:rPr>
          <w:color w:val="000000" w:themeColor="text1"/>
          <w:lang w:eastAsia="es-ES"/>
        </w:rPr>
        <w:t xml:space="preserve">Chemical classification system. </w:t>
      </w:r>
      <w:r w:rsidR="00C74747" w:rsidRPr="00E237BD">
        <w:rPr>
          <w:color w:val="000000" w:themeColor="text1"/>
          <w:lang w:eastAsia="es-ES"/>
        </w:rPr>
        <w:t>A</w:t>
      </w:r>
      <w:r w:rsidRPr="00E237BD">
        <w:rPr>
          <w:color w:val="000000" w:themeColor="text1"/>
          <w:lang w:eastAsia="es-ES"/>
        </w:rPr>
        <w:t>dverse</w:t>
      </w:r>
      <w:r w:rsidR="00CF3660" w:rsidRPr="00E237BD">
        <w:rPr>
          <w:color w:val="000000" w:themeColor="text1"/>
          <w:lang w:eastAsia="es-ES"/>
        </w:rPr>
        <w:t xml:space="preserve"> </w:t>
      </w:r>
      <w:r w:rsidRPr="00E237BD">
        <w:rPr>
          <w:color w:val="000000" w:themeColor="text1"/>
          <w:lang w:eastAsia="es-ES"/>
        </w:rPr>
        <w:t xml:space="preserve">events were coded using Medical Dictionary for Regulatory Activities (MedDRA) version </w:t>
      </w:r>
      <w:r w:rsidR="00B71452" w:rsidRPr="00E237BD">
        <w:rPr>
          <w:color w:val="000000" w:themeColor="text1"/>
          <w:lang w:eastAsia="es-ES"/>
        </w:rPr>
        <w:t>20</w:t>
      </w:r>
      <w:r w:rsidRPr="00E237BD">
        <w:rPr>
          <w:color w:val="000000" w:themeColor="text1"/>
          <w:lang w:eastAsia="es-ES"/>
        </w:rPr>
        <w:t>.0</w:t>
      </w:r>
      <w:r w:rsidR="008508CB" w:rsidRPr="00E237BD">
        <w:rPr>
          <w:color w:val="000000" w:themeColor="text1"/>
          <w:lang w:eastAsia="es-ES"/>
        </w:rPr>
        <w:t xml:space="preserve"> </w:t>
      </w:r>
      <w:r w:rsidRPr="004F0FE2">
        <w:rPr>
          <w:lang w:eastAsia="es-ES"/>
        </w:rPr>
        <w:t>terminology.</w:t>
      </w:r>
    </w:p>
    <w:p w14:paraId="675F5E2A" w14:textId="77777777" w:rsidR="008F2A1F" w:rsidRPr="004F0FE2" w:rsidRDefault="008F2A1F" w:rsidP="00673269">
      <w:pPr>
        <w:pStyle w:val="Ttulo3"/>
        <w:ind w:right="567"/>
      </w:pPr>
      <w:bookmarkStart w:id="195" w:name="_Toc52468103"/>
      <w:r w:rsidRPr="004F0FE2">
        <w:t>Quality assurance and auditing</w:t>
      </w:r>
      <w:bookmarkEnd w:id="195"/>
    </w:p>
    <w:p w14:paraId="50AC5D4E" w14:textId="77777777" w:rsidR="00977932" w:rsidRPr="004F0FE2" w:rsidRDefault="00281A0A" w:rsidP="00673269">
      <w:pPr>
        <w:pStyle w:val="BodyText12"/>
        <w:ind w:left="0" w:right="567"/>
        <w:rPr>
          <w:rFonts w:ascii="Arial" w:hAnsi="Arial" w:cs="Arial"/>
          <w:sz w:val="20"/>
        </w:rPr>
      </w:pPr>
      <w:r w:rsidRPr="004F0FE2">
        <w:rPr>
          <w:rFonts w:ascii="Arial" w:hAnsi="Arial" w:cs="Arial"/>
          <w:sz w:val="20"/>
        </w:rPr>
        <w:t>Two</w:t>
      </w:r>
      <w:r w:rsidR="00CF3660" w:rsidRPr="004F0FE2">
        <w:rPr>
          <w:rFonts w:ascii="Arial" w:hAnsi="Arial" w:cs="Arial"/>
          <w:sz w:val="20"/>
        </w:rPr>
        <w:t xml:space="preserve"> Health Authority inspections </w:t>
      </w:r>
      <w:r w:rsidRPr="004F0FE2">
        <w:rPr>
          <w:rFonts w:ascii="Arial" w:hAnsi="Arial" w:cs="Arial"/>
          <w:sz w:val="20"/>
        </w:rPr>
        <w:t xml:space="preserve">were conducted during the study in </w:t>
      </w:r>
      <w:proofErr w:type="spellStart"/>
      <w:r w:rsidRPr="004F0FE2">
        <w:rPr>
          <w:rFonts w:ascii="Arial" w:hAnsi="Arial" w:cs="Arial"/>
          <w:sz w:val="20"/>
        </w:rPr>
        <w:t>Medizinisches</w:t>
      </w:r>
      <w:proofErr w:type="spellEnd"/>
      <w:r w:rsidRPr="004F0FE2">
        <w:rPr>
          <w:rFonts w:ascii="Arial" w:hAnsi="Arial" w:cs="Arial"/>
          <w:sz w:val="20"/>
        </w:rPr>
        <w:t xml:space="preserve"> </w:t>
      </w:r>
      <w:proofErr w:type="spellStart"/>
      <w:r w:rsidRPr="004F0FE2">
        <w:rPr>
          <w:rFonts w:ascii="Arial" w:hAnsi="Arial" w:cs="Arial"/>
          <w:sz w:val="20"/>
        </w:rPr>
        <w:t>Versorgungszentrum</w:t>
      </w:r>
      <w:proofErr w:type="spellEnd"/>
      <w:r w:rsidRPr="004F0FE2">
        <w:rPr>
          <w:rFonts w:ascii="Arial" w:hAnsi="Arial" w:cs="Arial"/>
          <w:sz w:val="20"/>
        </w:rPr>
        <w:t xml:space="preserve"> des </w:t>
      </w:r>
      <w:proofErr w:type="spellStart"/>
      <w:r w:rsidRPr="004F0FE2">
        <w:rPr>
          <w:rFonts w:ascii="Arial" w:hAnsi="Arial" w:cs="Arial"/>
          <w:sz w:val="20"/>
        </w:rPr>
        <w:t>Städtischen</w:t>
      </w:r>
      <w:proofErr w:type="spellEnd"/>
      <w:r w:rsidRPr="004F0FE2">
        <w:rPr>
          <w:rFonts w:ascii="Arial" w:hAnsi="Arial" w:cs="Arial"/>
          <w:sz w:val="20"/>
        </w:rPr>
        <w:t xml:space="preserve"> </w:t>
      </w:r>
      <w:proofErr w:type="spellStart"/>
      <w:r w:rsidRPr="004F0FE2">
        <w:rPr>
          <w:rFonts w:ascii="Arial" w:hAnsi="Arial" w:cs="Arial"/>
          <w:sz w:val="20"/>
        </w:rPr>
        <w:t>Klinikum</w:t>
      </w:r>
      <w:proofErr w:type="spellEnd"/>
      <w:r w:rsidRPr="004F0FE2">
        <w:rPr>
          <w:rFonts w:ascii="Arial" w:hAnsi="Arial" w:cs="Arial"/>
          <w:sz w:val="20"/>
        </w:rPr>
        <w:t xml:space="preserve"> (Germany) and A.S.L. Brindisi P.O. </w:t>
      </w:r>
      <w:proofErr w:type="spellStart"/>
      <w:r w:rsidRPr="004F0FE2">
        <w:rPr>
          <w:rFonts w:ascii="Arial" w:hAnsi="Arial" w:cs="Arial"/>
          <w:sz w:val="20"/>
        </w:rPr>
        <w:t>Senatore</w:t>
      </w:r>
      <w:proofErr w:type="spellEnd"/>
      <w:r w:rsidRPr="004F0FE2">
        <w:rPr>
          <w:rFonts w:ascii="Arial" w:hAnsi="Arial" w:cs="Arial"/>
          <w:sz w:val="20"/>
        </w:rPr>
        <w:t xml:space="preserve"> Antonio </w:t>
      </w:r>
      <w:proofErr w:type="spellStart"/>
      <w:r w:rsidRPr="004F0FE2">
        <w:rPr>
          <w:rFonts w:ascii="Arial" w:hAnsi="Arial" w:cs="Arial"/>
          <w:sz w:val="20"/>
        </w:rPr>
        <w:t>Perrino</w:t>
      </w:r>
      <w:proofErr w:type="spellEnd"/>
      <w:r w:rsidRPr="004F0FE2">
        <w:rPr>
          <w:rFonts w:ascii="Arial" w:hAnsi="Arial" w:cs="Arial"/>
          <w:sz w:val="20"/>
        </w:rPr>
        <w:t xml:space="preserve"> (Italy). </w:t>
      </w:r>
    </w:p>
    <w:p w14:paraId="7F845053" w14:textId="77777777" w:rsidR="00977932" w:rsidRPr="004F0FE2" w:rsidRDefault="00977932" w:rsidP="00673269">
      <w:pPr>
        <w:pStyle w:val="Ttulo2"/>
        <w:ind w:right="567"/>
      </w:pPr>
      <w:bookmarkStart w:id="196" w:name="_Ref140998721"/>
      <w:bookmarkStart w:id="197" w:name="_Toc46085715"/>
      <w:bookmarkStart w:id="198" w:name="_Toc52468104"/>
      <w:bookmarkStart w:id="199" w:name="_Toc349040009"/>
      <w:bookmarkStart w:id="200" w:name="_Toc349040200"/>
      <w:bookmarkStart w:id="201" w:name="_Toc349040666"/>
      <w:bookmarkStart w:id="202" w:name="_Toc350240043"/>
      <w:bookmarkStart w:id="203" w:name="_Toc350241352"/>
      <w:bookmarkStart w:id="204" w:name="_Toc350241427"/>
      <w:bookmarkStart w:id="205" w:name="_Toc350579976"/>
      <w:bookmarkStart w:id="206" w:name="_Toc350583787"/>
      <w:bookmarkStart w:id="207" w:name="_Toc350583906"/>
      <w:bookmarkStart w:id="208" w:name="_Toc351358048"/>
      <w:bookmarkStart w:id="209" w:name="_Toc351358638"/>
      <w:bookmarkStart w:id="210" w:name="_Toc352037267"/>
      <w:bookmarkStart w:id="211" w:name="_Toc352038903"/>
      <w:bookmarkStart w:id="212" w:name="_Toc352039636"/>
      <w:bookmarkStart w:id="213" w:name="_Toc352039735"/>
      <w:bookmarkStart w:id="214" w:name="_Toc377434685"/>
      <w:bookmarkStart w:id="215" w:name="_Toc377434851"/>
      <w:bookmarkStart w:id="216" w:name="_Toc377435009"/>
      <w:bookmarkStart w:id="217" w:name="_Toc377435147"/>
      <w:bookmarkStart w:id="218" w:name="_Toc377438550"/>
      <w:bookmarkStart w:id="219" w:name="_Toc392499780"/>
      <w:bookmarkStart w:id="220" w:name="_Toc392500412"/>
      <w:r w:rsidRPr="004F0FE2">
        <w:t>Statistical Methods</w:t>
      </w:r>
      <w:bookmarkEnd w:id="196"/>
      <w:bookmarkEnd w:id="197"/>
      <w:bookmarkEnd w:id="198"/>
    </w:p>
    <w:p w14:paraId="120A7BF0" w14:textId="1BD4A888" w:rsidR="00CF3660" w:rsidRPr="004F0FE2" w:rsidRDefault="00CF3660" w:rsidP="00673269">
      <w:pPr>
        <w:ind w:right="567"/>
        <w:rPr>
          <w:color w:val="FF0000"/>
        </w:rPr>
      </w:pPr>
      <w:bookmarkStart w:id="221" w:name="_Toc64862406"/>
      <w:r w:rsidRPr="004F0FE2">
        <w:rPr>
          <w:lang w:eastAsia="es-ES"/>
        </w:rPr>
        <w:t xml:space="preserve">This section describes the statistical analyses that were planned as per the protocol and statistical analysis plan (SAP). </w:t>
      </w:r>
      <w:r w:rsidR="0091211E" w:rsidRPr="004F0FE2">
        <w:rPr>
          <w:lang w:eastAsia="es-ES"/>
        </w:rPr>
        <w:t xml:space="preserve">A tabular summary of the methods of statistical analysis of study variables is presented in </w:t>
      </w:r>
      <w:r w:rsidR="00403DC6" w:rsidRPr="00F57DAA">
        <w:rPr>
          <w:i/>
          <w:color w:val="2F5496" w:themeColor="accent1" w:themeShade="BF"/>
          <w:lang w:eastAsia="es-ES"/>
        </w:rPr>
        <w:fldChar w:fldCharType="begin"/>
      </w:r>
      <w:r w:rsidR="00403DC6" w:rsidRPr="00F57DAA">
        <w:rPr>
          <w:i/>
          <w:color w:val="2F5496" w:themeColor="accent1" w:themeShade="BF"/>
          <w:lang w:eastAsia="es-ES"/>
        </w:rPr>
        <w:instrText xml:space="preserve"> REF _Ref52425293 \h </w:instrText>
      </w:r>
      <w:r w:rsidR="00F57DAA" w:rsidRPr="00F57DAA">
        <w:rPr>
          <w:i/>
          <w:color w:val="2F5496" w:themeColor="accent1" w:themeShade="BF"/>
          <w:lang w:eastAsia="es-ES"/>
        </w:rPr>
        <w:instrText xml:space="preserve"> \* MERGEFORMAT </w:instrText>
      </w:r>
      <w:r w:rsidR="00403DC6" w:rsidRPr="00F57DAA">
        <w:rPr>
          <w:i/>
          <w:color w:val="2F5496" w:themeColor="accent1" w:themeShade="BF"/>
          <w:lang w:eastAsia="es-ES"/>
        </w:rPr>
      </w:r>
      <w:r w:rsidR="00403DC6" w:rsidRPr="00F57DAA">
        <w:rPr>
          <w:i/>
          <w:color w:val="2F5496" w:themeColor="accent1" w:themeShade="BF"/>
          <w:lang w:eastAsia="es-ES"/>
        </w:rPr>
        <w:fldChar w:fldCharType="separate"/>
      </w:r>
      <w:r w:rsidR="00403DC6" w:rsidRPr="00F57DAA">
        <w:rPr>
          <w:i/>
          <w:color w:val="2F5496" w:themeColor="accent1" w:themeShade="BF"/>
        </w:rPr>
        <w:t xml:space="preserve">Table </w:t>
      </w:r>
      <w:r w:rsidR="00403DC6" w:rsidRPr="00F57DAA">
        <w:rPr>
          <w:i/>
          <w:noProof/>
          <w:color w:val="2F5496" w:themeColor="accent1" w:themeShade="BF"/>
        </w:rPr>
        <w:t>4</w:t>
      </w:r>
      <w:r w:rsidR="00403DC6" w:rsidRPr="00F57DAA">
        <w:rPr>
          <w:i/>
          <w:color w:val="2F5496" w:themeColor="accent1" w:themeShade="BF"/>
          <w:lang w:eastAsia="es-ES"/>
        </w:rPr>
        <w:fldChar w:fldCharType="end"/>
      </w:r>
      <w:r w:rsidR="0091211E" w:rsidRPr="004F0FE2">
        <w:rPr>
          <w:lang w:eastAsia="es-ES"/>
        </w:rPr>
        <w:t xml:space="preserve">. </w:t>
      </w:r>
    </w:p>
    <w:p w14:paraId="37415C5D" w14:textId="77777777" w:rsidR="00CF3660" w:rsidRPr="004F0FE2" w:rsidRDefault="00213A46" w:rsidP="00673269">
      <w:pPr>
        <w:pStyle w:val="Ttulo3"/>
        <w:ind w:right="567"/>
      </w:pPr>
      <w:bookmarkStart w:id="222" w:name="_Toc52468105"/>
      <w:r w:rsidRPr="004F0FE2">
        <w:t>Analysis populations</w:t>
      </w:r>
      <w:bookmarkEnd w:id="222"/>
    </w:p>
    <w:p w14:paraId="61811BC6" w14:textId="77777777" w:rsidR="000F3C2B" w:rsidRPr="004F0FE2" w:rsidRDefault="00213A46" w:rsidP="00673269">
      <w:pPr>
        <w:ind w:right="567"/>
      </w:pPr>
      <w:r w:rsidRPr="004F0FE2">
        <w:t xml:space="preserve">Patients </w:t>
      </w:r>
      <w:r w:rsidR="000F3C2B" w:rsidRPr="004F0FE2">
        <w:t>were</w:t>
      </w:r>
      <w:r w:rsidRPr="004F0FE2">
        <w:t xml:space="preserve"> classified into one of the following populations: Screening Population, Safety Population</w:t>
      </w:r>
      <w:r w:rsidR="00487389" w:rsidRPr="004F0FE2">
        <w:t xml:space="preserve"> (SP)</w:t>
      </w:r>
      <w:r w:rsidRPr="004F0FE2">
        <w:t>, Intent-To-Treat (ITT) Population and Per Protocol (PP) and exploratory evaluable Population.</w:t>
      </w:r>
      <w:r w:rsidR="000F3C2B" w:rsidRPr="004F0FE2">
        <w:t xml:space="preserve"> </w:t>
      </w:r>
    </w:p>
    <w:p w14:paraId="3113596A" w14:textId="77777777" w:rsidR="00213A46" w:rsidRPr="004F0FE2" w:rsidRDefault="000F3C2B" w:rsidP="00673269">
      <w:pPr>
        <w:ind w:right="567"/>
      </w:pPr>
      <w:r w:rsidRPr="004F0FE2">
        <w:rPr>
          <w:b/>
        </w:rPr>
        <w:t>Screening population:</w:t>
      </w:r>
      <w:r w:rsidRPr="004F0FE2">
        <w:t xml:space="preserve"> </w:t>
      </w:r>
      <w:r w:rsidR="00213A46" w:rsidRPr="004F0FE2">
        <w:t xml:space="preserve">All patients who were present at the screening visit </w:t>
      </w:r>
      <w:r w:rsidR="00BC664D" w:rsidRPr="004F0FE2">
        <w:t xml:space="preserve">were </w:t>
      </w:r>
      <w:r w:rsidR="00213A46" w:rsidRPr="004F0FE2">
        <w:t>included in the screening population.</w:t>
      </w:r>
    </w:p>
    <w:p w14:paraId="4E5A1338" w14:textId="77777777" w:rsidR="00213A46" w:rsidRPr="004F0FE2" w:rsidRDefault="000F3C2B" w:rsidP="00673269">
      <w:pPr>
        <w:ind w:right="567"/>
      </w:pPr>
      <w:r w:rsidRPr="004F0FE2">
        <w:rPr>
          <w:b/>
        </w:rPr>
        <w:t>Safety population:</w:t>
      </w:r>
      <w:r w:rsidRPr="004F0FE2">
        <w:t xml:space="preserve"> </w:t>
      </w:r>
      <w:r w:rsidR="00213A46" w:rsidRPr="004F0FE2">
        <w:t>All randomized patients who receive</w:t>
      </w:r>
      <w:r w:rsidR="00BC664D" w:rsidRPr="004F0FE2">
        <w:t>d</w:t>
      </w:r>
      <w:r w:rsidR="00213A46" w:rsidRPr="004F0FE2">
        <w:t xml:space="preserve"> </w:t>
      </w:r>
      <w:r w:rsidR="00BC664D" w:rsidRPr="004F0FE2">
        <w:t xml:space="preserve">at least </w:t>
      </w:r>
      <w:r w:rsidR="00213A46" w:rsidRPr="004F0FE2">
        <w:t xml:space="preserve">one </w:t>
      </w:r>
      <w:r w:rsidR="00BC664D" w:rsidRPr="004F0FE2">
        <w:t>dose</w:t>
      </w:r>
      <w:r w:rsidR="00213A46" w:rsidRPr="004F0FE2">
        <w:t xml:space="preserve"> of study treatment </w:t>
      </w:r>
      <w:r w:rsidR="00BC664D" w:rsidRPr="004F0FE2">
        <w:t xml:space="preserve">were </w:t>
      </w:r>
      <w:r w:rsidR="00213A46" w:rsidRPr="004F0FE2">
        <w:t>included in the safety analysis set, except for patients who receive</w:t>
      </w:r>
      <w:r w:rsidR="00BC664D" w:rsidRPr="004F0FE2">
        <w:t>d</w:t>
      </w:r>
      <w:r w:rsidR="00213A46" w:rsidRPr="004F0FE2">
        <w:t xml:space="preserve"> one drug exposure but </w:t>
      </w:r>
      <w:r w:rsidR="00BC664D" w:rsidRPr="004F0FE2">
        <w:t>were</w:t>
      </w:r>
      <w:r w:rsidR="00213A46" w:rsidRPr="004F0FE2">
        <w:t xml:space="preserve"> immediately lost to follow-up.</w:t>
      </w:r>
      <w:r w:rsidRPr="004F0FE2">
        <w:t xml:space="preserve"> </w:t>
      </w:r>
      <w:r w:rsidR="00213A46" w:rsidRPr="004F0FE2">
        <w:t xml:space="preserve">All safety analyses </w:t>
      </w:r>
      <w:r w:rsidR="00BC664D" w:rsidRPr="004F0FE2">
        <w:t>were</w:t>
      </w:r>
      <w:r w:rsidR="00213A46" w:rsidRPr="004F0FE2">
        <w:t xml:space="preserve"> based upon the Safety population.</w:t>
      </w:r>
    </w:p>
    <w:p w14:paraId="70A031C5" w14:textId="77777777" w:rsidR="00213A46" w:rsidRPr="004F0FE2" w:rsidRDefault="000F3C2B" w:rsidP="00673269">
      <w:pPr>
        <w:ind w:right="567"/>
      </w:pPr>
      <w:r w:rsidRPr="004F0FE2">
        <w:rPr>
          <w:b/>
        </w:rPr>
        <w:t>Intent-To-Treat population:</w:t>
      </w:r>
      <w:r w:rsidRPr="004F0FE2">
        <w:t xml:space="preserve"> </w:t>
      </w:r>
      <w:r w:rsidR="00213A46" w:rsidRPr="004F0FE2">
        <w:t>A</w:t>
      </w:r>
      <w:r w:rsidR="00BC664D" w:rsidRPr="004F0FE2">
        <w:t xml:space="preserve">ll randomized patients were </w:t>
      </w:r>
      <w:r w:rsidR="00A63191" w:rsidRPr="004F0FE2">
        <w:t>included</w:t>
      </w:r>
      <w:r w:rsidR="00213A46" w:rsidRPr="004F0FE2">
        <w:t xml:space="preserve"> in the Intent-to-Treat (ITT) population. </w:t>
      </w:r>
      <w:r w:rsidR="00BF588A" w:rsidRPr="004F0FE2">
        <w:t>P</w:t>
      </w:r>
      <w:r w:rsidR="00213A46" w:rsidRPr="004F0FE2">
        <w:t>atient</w:t>
      </w:r>
      <w:r w:rsidR="00BF588A" w:rsidRPr="004F0FE2">
        <w:t>s</w:t>
      </w:r>
      <w:r w:rsidR="00213A46" w:rsidRPr="004F0FE2">
        <w:t xml:space="preserve"> </w:t>
      </w:r>
      <w:r w:rsidR="00BC664D" w:rsidRPr="004F0FE2">
        <w:t xml:space="preserve">were </w:t>
      </w:r>
      <w:r w:rsidR="00213A46" w:rsidRPr="004F0FE2">
        <w:t xml:space="preserve">analyzed in the arm to which they were randomly assigned, regardless </w:t>
      </w:r>
      <w:r w:rsidR="00213A46" w:rsidRPr="004F0FE2">
        <w:lastRenderedPageBreak/>
        <w:t>of their adherence with the entry criteria, regardless of the treatment they received, and regardless of subsequent withdrawal from treatment or deviation from the protocol.</w:t>
      </w:r>
    </w:p>
    <w:p w14:paraId="4CA23805" w14:textId="77777777" w:rsidR="00213A46" w:rsidRPr="004F0FE2" w:rsidRDefault="000F3C2B" w:rsidP="00673269">
      <w:pPr>
        <w:ind w:right="567"/>
      </w:pPr>
      <w:r w:rsidRPr="004F0FE2">
        <w:rPr>
          <w:b/>
        </w:rPr>
        <w:t>Per Protocol population:</w:t>
      </w:r>
      <w:r w:rsidRPr="004F0FE2">
        <w:t xml:space="preserve"> </w:t>
      </w:r>
      <w:r w:rsidR="00213A46" w:rsidRPr="004F0FE2">
        <w:t>A</w:t>
      </w:r>
      <w:r w:rsidR="00BC664D" w:rsidRPr="004F0FE2">
        <w:t xml:space="preserve">ll patients in the ITT population who fulfilled all eligibility criteria, started treatment on the assigned arm and presented not major </w:t>
      </w:r>
      <w:r w:rsidR="00A63191" w:rsidRPr="004F0FE2">
        <w:t>protocol</w:t>
      </w:r>
      <w:r w:rsidR="00BC664D" w:rsidRPr="004F0FE2">
        <w:t xml:space="preserve"> deviations were included </w:t>
      </w:r>
      <w:r w:rsidR="00213A46" w:rsidRPr="004F0FE2">
        <w:t>in the Per Protocol (PP)</w:t>
      </w:r>
      <w:r w:rsidR="00BC664D" w:rsidRPr="004F0FE2">
        <w:t>.</w:t>
      </w:r>
    </w:p>
    <w:p w14:paraId="064BEF90" w14:textId="77777777" w:rsidR="00213A46" w:rsidRPr="004F0FE2" w:rsidRDefault="000F3C2B" w:rsidP="00673269">
      <w:pPr>
        <w:ind w:right="567"/>
        <w:rPr>
          <w:color w:val="000000"/>
        </w:rPr>
      </w:pPr>
      <w:r w:rsidRPr="004F0FE2">
        <w:rPr>
          <w:b/>
        </w:rPr>
        <w:t>Exploratory evaluable population:</w:t>
      </w:r>
      <w:r w:rsidRPr="004F0FE2">
        <w:t xml:space="preserve"> </w:t>
      </w:r>
      <w:r w:rsidR="00213A46" w:rsidRPr="004F0FE2">
        <w:t xml:space="preserve">Exploratory analyses </w:t>
      </w:r>
      <w:r w:rsidR="00BC664D" w:rsidRPr="004F0FE2">
        <w:t xml:space="preserve">were </w:t>
      </w:r>
      <w:r w:rsidR="00213A46" w:rsidRPr="004F0FE2">
        <w:t xml:space="preserve">performed on those patients in the ITT (all randomized) population who </w:t>
      </w:r>
      <w:r w:rsidR="00A63191" w:rsidRPr="004F0FE2">
        <w:t xml:space="preserve">provided </w:t>
      </w:r>
      <w:r w:rsidR="00213A46" w:rsidRPr="004F0FE2">
        <w:t xml:space="preserve">consent to participate in the exploratory research program and were evaluable for </w:t>
      </w:r>
      <w:r w:rsidR="00213A46" w:rsidRPr="004F0FE2">
        <w:rPr>
          <w:color w:val="000000"/>
        </w:rPr>
        <w:t>biomarker status.</w:t>
      </w:r>
    </w:p>
    <w:p w14:paraId="2A320F53" w14:textId="77777777" w:rsidR="00583C8F" w:rsidRPr="004F0FE2" w:rsidRDefault="00D67098" w:rsidP="00673269">
      <w:pPr>
        <w:pStyle w:val="Ttulo3"/>
        <w:ind w:right="567"/>
        <w:rPr>
          <w:lang w:eastAsia="es-ES"/>
        </w:rPr>
      </w:pPr>
      <w:bookmarkStart w:id="223" w:name="_Toc52468106"/>
      <w:r w:rsidRPr="004F0FE2">
        <w:rPr>
          <w:lang w:eastAsia="es-ES"/>
        </w:rPr>
        <w:t>General methodology</w:t>
      </w:r>
      <w:bookmarkEnd w:id="223"/>
    </w:p>
    <w:p w14:paraId="5D82BCD7" w14:textId="77777777" w:rsidR="00D67098" w:rsidRPr="004F0FE2" w:rsidRDefault="00D67098" w:rsidP="00673269">
      <w:pPr>
        <w:ind w:right="567"/>
      </w:pPr>
      <w:r w:rsidRPr="004F0FE2">
        <w:t>For each safety or efficacy parameter, the last valid assessment made before first study drug administration was used as the baseline for all analyses unless otherwise specified.</w:t>
      </w:r>
    </w:p>
    <w:p w14:paraId="7B936E33" w14:textId="77777777" w:rsidR="00D67098" w:rsidRPr="004F0FE2" w:rsidRDefault="00D67098" w:rsidP="00673269">
      <w:pPr>
        <w:ind w:right="567"/>
      </w:pPr>
      <w:r w:rsidRPr="004F0FE2">
        <w:t xml:space="preserve">Continuous data was summarized in terms of the number of observations, mean, </w:t>
      </w:r>
      <w:bookmarkStart w:id="224" w:name="OLE_LINK38"/>
      <w:r w:rsidRPr="004F0FE2">
        <w:t>standard deviation</w:t>
      </w:r>
      <w:bookmarkEnd w:id="224"/>
      <w:r w:rsidRPr="004F0FE2">
        <w:t xml:space="preserve"> (SD), median, minimum, maximum, and first and third quartiles, unless otherwise stated. Where data were collected over time, both the observed data and change from baseline was summarized at each time point. Categorical data was summarized in terms of the number of subjects providing data at the relevant time point (n), frequency counts and percentages. Changes from baseline in categorical data w</w:t>
      </w:r>
      <w:r w:rsidR="00A63191" w:rsidRPr="004F0FE2">
        <w:t>ere</w:t>
      </w:r>
      <w:r w:rsidRPr="004F0FE2">
        <w:t xml:space="preserve"> summarized using shift tables where appropriate.</w:t>
      </w:r>
    </w:p>
    <w:p w14:paraId="61F7A285" w14:textId="77777777" w:rsidR="00D67098" w:rsidRPr="004F0FE2" w:rsidRDefault="00D67098" w:rsidP="00673269">
      <w:pPr>
        <w:ind w:right="567"/>
      </w:pPr>
      <w:r w:rsidRPr="004F0FE2">
        <w:t>All statistical analys</w:t>
      </w:r>
      <w:r w:rsidR="008D4986" w:rsidRPr="004F0FE2">
        <w:t>e</w:t>
      </w:r>
      <w:r w:rsidRPr="004F0FE2">
        <w:t xml:space="preserve">s were produced using SAS® version 9.4 version in a secure and validated environment. </w:t>
      </w:r>
    </w:p>
    <w:p w14:paraId="7422BC3A" w14:textId="77777777" w:rsidR="00583C8F" w:rsidRPr="004F0FE2" w:rsidRDefault="00737925" w:rsidP="00673269">
      <w:pPr>
        <w:pStyle w:val="Ttulo3"/>
        <w:ind w:right="567"/>
        <w:rPr>
          <w:lang w:eastAsia="es-ES"/>
        </w:rPr>
      </w:pPr>
      <w:bookmarkStart w:id="225" w:name="_Toc52468107"/>
      <w:bookmarkEnd w:id="221"/>
      <w:r w:rsidRPr="004F0FE2">
        <w:rPr>
          <w:lang w:eastAsia="es-ES"/>
        </w:rPr>
        <w:t>Patient disposition</w:t>
      </w:r>
      <w:bookmarkEnd w:id="225"/>
    </w:p>
    <w:p w14:paraId="739BFD32" w14:textId="77777777" w:rsidR="00737925" w:rsidRPr="004F0FE2" w:rsidRDefault="00737925" w:rsidP="00673269">
      <w:pPr>
        <w:ind w:right="567"/>
        <w:rPr>
          <w:bCs/>
          <w:lang w:eastAsia="es-ES"/>
        </w:rPr>
      </w:pPr>
      <w:r w:rsidRPr="004F0FE2">
        <w:rPr>
          <w:lang w:eastAsia="es-ES"/>
        </w:rPr>
        <w:t xml:space="preserve">All patients who signed informed consent were accounted in patient disposition. Descriptive statistics were </w:t>
      </w:r>
      <w:r w:rsidR="008B2FDD" w:rsidRPr="004F0FE2">
        <w:rPr>
          <w:lang w:eastAsia="es-ES"/>
        </w:rPr>
        <w:t xml:space="preserve">to be </w:t>
      </w:r>
      <w:r w:rsidRPr="004F0FE2">
        <w:rPr>
          <w:bCs/>
          <w:lang w:eastAsia="es-ES"/>
        </w:rPr>
        <w:t xml:space="preserve">provided for the following: </w:t>
      </w:r>
    </w:p>
    <w:p w14:paraId="424D5862" w14:textId="77777777" w:rsidR="00737925" w:rsidRPr="004F0FE2" w:rsidRDefault="00737925" w:rsidP="00673269">
      <w:pPr>
        <w:numPr>
          <w:ilvl w:val="0"/>
          <w:numId w:val="22"/>
        </w:numPr>
        <w:ind w:left="284" w:right="567" w:hanging="284"/>
      </w:pPr>
      <w:r w:rsidRPr="004F0FE2">
        <w:t>Overall number of subjects in the screening population, number of screen failures, and the number of patients randomized.</w:t>
      </w:r>
    </w:p>
    <w:p w14:paraId="2C446CC3" w14:textId="77777777" w:rsidR="00737925" w:rsidRPr="004F0FE2" w:rsidRDefault="00737925" w:rsidP="00673269">
      <w:pPr>
        <w:numPr>
          <w:ilvl w:val="0"/>
          <w:numId w:val="22"/>
        </w:numPr>
        <w:ind w:left="284" w:right="567" w:hanging="284"/>
      </w:pPr>
      <w:r w:rsidRPr="004F0FE2">
        <w:t>Number and percent of subjects in each of the analysis populations (Safety, ITT and PP) by treatment and center.</w:t>
      </w:r>
    </w:p>
    <w:p w14:paraId="580D416A" w14:textId="77777777" w:rsidR="00737925" w:rsidRPr="004F0FE2" w:rsidRDefault="00737925" w:rsidP="00673269">
      <w:pPr>
        <w:numPr>
          <w:ilvl w:val="0"/>
          <w:numId w:val="22"/>
        </w:numPr>
        <w:ind w:left="284" w:right="567" w:hanging="284"/>
      </w:pPr>
      <w:r w:rsidRPr="004F0FE2">
        <w:t>Listing of subjects excluded from each of the analysis populations along with reason for exclusion.</w:t>
      </w:r>
    </w:p>
    <w:p w14:paraId="0F9371C7" w14:textId="77777777" w:rsidR="00737925" w:rsidRPr="004F0FE2" w:rsidRDefault="00737925" w:rsidP="00673269">
      <w:pPr>
        <w:numPr>
          <w:ilvl w:val="0"/>
          <w:numId w:val="22"/>
        </w:numPr>
        <w:ind w:left="284" w:right="567" w:hanging="284"/>
      </w:pPr>
      <w:r w:rsidRPr="004F0FE2">
        <w:t>Listing of protocol deviations.</w:t>
      </w:r>
    </w:p>
    <w:p w14:paraId="268092D8" w14:textId="77777777" w:rsidR="00737925" w:rsidRPr="004F0FE2" w:rsidRDefault="00737925" w:rsidP="00673269">
      <w:pPr>
        <w:numPr>
          <w:ilvl w:val="0"/>
          <w:numId w:val="22"/>
        </w:numPr>
        <w:ind w:left="284" w:right="567" w:hanging="284"/>
      </w:pPr>
      <w:r w:rsidRPr="004F0FE2">
        <w:t>Study termination:</w:t>
      </w:r>
    </w:p>
    <w:p w14:paraId="2D8E411C" w14:textId="77777777" w:rsidR="00737925" w:rsidRPr="004F0FE2" w:rsidRDefault="00737925" w:rsidP="00673269">
      <w:pPr>
        <w:numPr>
          <w:ilvl w:val="1"/>
          <w:numId w:val="22"/>
        </w:numPr>
        <w:ind w:right="567"/>
      </w:pPr>
      <w:r w:rsidRPr="004F0FE2">
        <w:t>Number and percent of subjects who completed the study.</w:t>
      </w:r>
    </w:p>
    <w:p w14:paraId="4564A471" w14:textId="77777777" w:rsidR="00737925" w:rsidRPr="004F0FE2" w:rsidRDefault="00737925" w:rsidP="00673269">
      <w:pPr>
        <w:numPr>
          <w:ilvl w:val="1"/>
          <w:numId w:val="22"/>
        </w:numPr>
        <w:ind w:right="567"/>
      </w:pPr>
      <w:r w:rsidRPr="004F0FE2">
        <w:t>Frequency of premature termination reasons.</w:t>
      </w:r>
    </w:p>
    <w:p w14:paraId="410551A7" w14:textId="77777777" w:rsidR="00737925" w:rsidRPr="004F0FE2" w:rsidRDefault="00737925" w:rsidP="00673269">
      <w:pPr>
        <w:numPr>
          <w:ilvl w:val="1"/>
          <w:numId w:val="22"/>
        </w:numPr>
        <w:ind w:right="567"/>
      </w:pPr>
      <w:r w:rsidRPr="004F0FE2">
        <w:t>Listing of all dropouts along with reason for termination, treatment group and time of termination.</w:t>
      </w:r>
    </w:p>
    <w:p w14:paraId="041A3BE7" w14:textId="77777777" w:rsidR="00383B45" w:rsidRPr="004F0FE2" w:rsidRDefault="00383B45" w:rsidP="00673269">
      <w:pPr>
        <w:ind w:right="567"/>
      </w:pPr>
      <w:r w:rsidRPr="004F0FE2">
        <w:t>No statistical tests were planned for these data.</w:t>
      </w:r>
    </w:p>
    <w:p w14:paraId="7D78C449" w14:textId="77777777" w:rsidR="00737925" w:rsidRPr="004F0FE2" w:rsidRDefault="00737925" w:rsidP="00673269">
      <w:pPr>
        <w:pStyle w:val="Ttulo3"/>
        <w:ind w:right="567"/>
        <w:rPr>
          <w:lang w:eastAsia="es-ES"/>
        </w:rPr>
      </w:pPr>
      <w:bookmarkStart w:id="226" w:name="_Toc52468108"/>
      <w:r w:rsidRPr="004F0FE2">
        <w:rPr>
          <w:lang w:eastAsia="es-ES"/>
        </w:rPr>
        <w:t>Demographics and other baseline characteristics</w:t>
      </w:r>
      <w:bookmarkEnd w:id="226"/>
    </w:p>
    <w:p w14:paraId="1D0F2DA4" w14:textId="77777777" w:rsidR="00383B45" w:rsidRPr="004F0FE2" w:rsidRDefault="000F3C2B" w:rsidP="00673269">
      <w:pPr>
        <w:ind w:right="567"/>
      </w:pPr>
      <w:r w:rsidRPr="004F0FE2">
        <w:t xml:space="preserve">Baseline characteristics </w:t>
      </w:r>
      <w:r w:rsidR="00737925" w:rsidRPr="004F0FE2">
        <w:t>were</w:t>
      </w:r>
      <w:r w:rsidRPr="004F0FE2">
        <w:t xml:space="preserve"> provided by treatment group and overall for the ITT and PP population</w:t>
      </w:r>
      <w:r w:rsidR="00A63191" w:rsidRPr="004F0FE2">
        <w:t>s</w:t>
      </w:r>
      <w:r w:rsidRPr="004F0FE2">
        <w:t>.</w:t>
      </w:r>
      <w:r w:rsidR="00737925" w:rsidRPr="004F0FE2">
        <w:t xml:space="preserve"> </w:t>
      </w:r>
      <w:r w:rsidRPr="004F0FE2">
        <w:t xml:space="preserve">Descriptive statistics, including number of subjects in each treatment group, mean, standard deviation (STD), median and range for continuous variables and frequency and percent for categorical variables </w:t>
      </w:r>
      <w:r w:rsidR="00737925" w:rsidRPr="004F0FE2">
        <w:t>were</w:t>
      </w:r>
      <w:r w:rsidRPr="004F0FE2">
        <w:t xml:space="preserve"> provided by treatment group</w:t>
      </w:r>
      <w:r w:rsidR="00737925" w:rsidRPr="004F0FE2">
        <w:t xml:space="preserve"> for</w:t>
      </w:r>
      <w:r w:rsidR="00383B45" w:rsidRPr="004F0FE2">
        <w:t xml:space="preserve">: demographic characteristics, medical history, prior concomitant medication, tumor history, TNM </w:t>
      </w:r>
      <w:r w:rsidR="008B2FDD" w:rsidRPr="004F0FE2">
        <w:t>s</w:t>
      </w:r>
      <w:r w:rsidR="00383B45" w:rsidRPr="004F0FE2">
        <w:t xml:space="preserve">taging for </w:t>
      </w:r>
      <w:r w:rsidR="002350E9" w:rsidRPr="004F0FE2">
        <w:t>p</w:t>
      </w:r>
      <w:r w:rsidR="00383B45" w:rsidRPr="004F0FE2">
        <w:t xml:space="preserve">rimary </w:t>
      </w:r>
      <w:r w:rsidR="002350E9" w:rsidRPr="004F0FE2">
        <w:t>t</w:t>
      </w:r>
      <w:r w:rsidR="00383B45" w:rsidRPr="004F0FE2">
        <w:t>umor</w:t>
      </w:r>
      <w:r w:rsidR="002350E9" w:rsidRPr="004F0FE2">
        <w:t>, p</w:t>
      </w:r>
      <w:r w:rsidR="00383B45" w:rsidRPr="004F0FE2">
        <w:t xml:space="preserve">rimary </w:t>
      </w:r>
      <w:r w:rsidR="002350E9" w:rsidRPr="004F0FE2">
        <w:t>t</w:t>
      </w:r>
      <w:r w:rsidR="00383B45" w:rsidRPr="004F0FE2">
        <w:t xml:space="preserve">umor </w:t>
      </w:r>
      <w:r w:rsidR="002350E9" w:rsidRPr="004F0FE2">
        <w:t>t</w:t>
      </w:r>
      <w:r w:rsidR="00383B45" w:rsidRPr="004F0FE2">
        <w:t>reatment</w:t>
      </w:r>
      <w:r w:rsidR="002350E9" w:rsidRPr="004F0FE2">
        <w:t>, p</w:t>
      </w:r>
      <w:r w:rsidR="00383B45" w:rsidRPr="004F0FE2">
        <w:t>revious surgeries for breast cancer</w:t>
      </w:r>
      <w:r w:rsidR="002350E9" w:rsidRPr="004F0FE2">
        <w:t>, m</w:t>
      </w:r>
      <w:r w:rsidR="00383B45" w:rsidRPr="004F0FE2">
        <w:t xml:space="preserve">etastatic </w:t>
      </w:r>
      <w:r w:rsidR="002350E9" w:rsidRPr="004F0FE2">
        <w:t>d</w:t>
      </w:r>
      <w:r w:rsidR="00383B45" w:rsidRPr="004F0FE2">
        <w:t>isease</w:t>
      </w:r>
      <w:r w:rsidR="002350E9" w:rsidRPr="004F0FE2">
        <w:t xml:space="preserve">, </w:t>
      </w:r>
      <w:r w:rsidR="00383B45" w:rsidRPr="004F0FE2">
        <w:t xml:space="preserve">TNM </w:t>
      </w:r>
      <w:r w:rsidR="008B2FDD" w:rsidRPr="004F0FE2">
        <w:t>s</w:t>
      </w:r>
      <w:r w:rsidR="00383B45" w:rsidRPr="004F0FE2">
        <w:t xml:space="preserve">taging </w:t>
      </w:r>
      <w:r w:rsidR="008B2FDD" w:rsidRPr="004F0FE2">
        <w:t xml:space="preserve">and receptors </w:t>
      </w:r>
      <w:r w:rsidR="00383B45" w:rsidRPr="004F0FE2">
        <w:t xml:space="preserve">for </w:t>
      </w:r>
      <w:r w:rsidR="008B2FDD" w:rsidRPr="004F0FE2">
        <w:t>m</w:t>
      </w:r>
      <w:r w:rsidR="00383B45" w:rsidRPr="004F0FE2">
        <w:t xml:space="preserve">etastatic </w:t>
      </w:r>
      <w:r w:rsidR="008B2FDD" w:rsidRPr="004F0FE2">
        <w:t>d</w:t>
      </w:r>
      <w:r w:rsidR="00383B45" w:rsidRPr="004F0FE2">
        <w:t>isease</w:t>
      </w:r>
      <w:r w:rsidR="002350E9" w:rsidRPr="004F0FE2">
        <w:t>, t</w:t>
      </w:r>
      <w:r w:rsidR="00383B45" w:rsidRPr="004F0FE2">
        <w:t xml:space="preserve">arget and </w:t>
      </w:r>
      <w:r w:rsidR="002350E9" w:rsidRPr="004F0FE2">
        <w:t>n</w:t>
      </w:r>
      <w:r w:rsidR="00383B45" w:rsidRPr="004F0FE2">
        <w:t>on-</w:t>
      </w:r>
      <w:r w:rsidR="002350E9" w:rsidRPr="004F0FE2">
        <w:t>t</w:t>
      </w:r>
      <w:r w:rsidR="00383B45" w:rsidRPr="004F0FE2">
        <w:t xml:space="preserve">arget </w:t>
      </w:r>
      <w:r w:rsidR="002350E9" w:rsidRPr="004F0FE2">
        <w:t>l</w:t>
      </w:r>
      <w:r w:rsidR="00383B45" w:rsidRPr="004F0FE2">
        <w:t>esions (tumor radiological assessment)</w:t>
      </w:r>
      <w:r w:rsidR="002350E9" w:rsidRPr="004F0FE2">
        <w:t>, v</w:t>
      </w:r>
      <w:r w:rsidR="00383B45" w:rsidRPr="004F0FE2">
        <w:t xml:space="preserve">ital </w:t>
      </w:r>
      <w:r w:rsidR="002350E9" w:rsidRPr="004F0FE2">
        <w:t>s</w:t>
      </w:r>
      <w:r w:rsidR="00383B45" w:rsidRPr="004F0FE2">
        <w:t>igns</w:t>
      </w:r>
      <w:r w:rsidR="002350E9" w:rsidRPr="004F0FE2">
        <w:t>, ECOG p</w:t>
      </w:r>
      <w:r w:rsidR="00383B45" w:rsidRPr="004F0FE2">
        <w:t xml:space="preserve">erformance </w:t>
      </w:r>
      <w:r w:rsidR="002350E9" w:rsidRPr="004F0FE2">
        <w:t>s</w:t>
      </w:r>
      <w:r w:rsidR="00383B45" w:rsidRPr="004F0FE2">
        <w:t>tatus</w:t>
      </w:r>
      <w:r w:rsidR="002350E9" w:rsidRPr="004F0FE2">
        <w:t xml:space="preserve">, </w:t>
      </w:r>
      <w:r w:rsidR="00383B45" w:rsidRPr="004F0FE2">
        <w:t xml:space="preserve">12-lead </w:t>
      </w:r>
      <w:r w:rsidR="008B2FDD" w:rsidRPr="004F0FE2">
        <w:t>ECG</w:t>
      </w:r>
      <w:r w:rsidR="002350E9" w:rsidRPr="004F0FE2">
        <w:t>, h</w:t>
      </w:r>
      <w:r w:rsidR="00383B45" w:rsidRPr="004F0FE2">
        <w:t>ematology</w:t>
      </w:r>
      <w:r w:rsidR="002350E9" w:rsidRPr="004F0FE2">
        <w:t>, b</w:t>
      </w:r>
      <w:r w:rsidR="00383B45" w:rsidRPr="004F0FE2">
        <w:t>iochemistry</w:t>
      </w:r>
      <w:r w:rsidR="002350E9" w:rsidRPr="004F0FE2">
        <w:t>.</w:t>
      </w:r>
    </w:p>
    <w:p w14:paraId="6A56AFA3" w14:textId="77777777" w:rsidR="00383B45" w:rsidRPr="004F0FE2" w:rsidRDefault="00383B45" w:rsidP="00673269">
      <w:pPr>
        <w:ind w:right="567"/>
      </w:pPr>
      <w:r w:rsidRPr="004F0FE2">
        <w:t>No statistical tests were planned for these data.</w:t>
      </w:r>
    </w:p>
    <w:p w14:paraId="1A9CEFDC" w14:textId="77777777" w:rsidR="00583C8F" w:rsidRPr="004F0FE2" w:rsidRDefault="000A4F73" w:rsidP="00673269">
      <w:pPr>
        <w:pStyle w:val="Ttulo3"/>
        <w:ind w:right="567"/>
        <w:rPr>
          <w:lang w:eastAsia="es-ES"/>
        </w:rPr>
      </w:pPr>
      <w:bookmarkStart w:id="227" w:name="_Toc52468109"/>
      <w:r w:rsidRPr="004F0FE2">
        <w:rPr>
          <w:lang w:eastAsia="es-ES"/>
        </w:rPr>
        <w:lastRenderedPageBreak/>
        <w:t>Duration and extent of exposure</w:t>
      </w:r>
      <w:bookmarkEnd w:id="227"/>
    </w:p>
    <w:p w14:paraId="11AA9721" w14:textId="77777777" w:rsidR="003C21C0" w:rsidRPr="004F0FE2" w:rsidRDefault="001677A4" w:rsidP="00673269">
      <w:pPr>
        <w:ind w:right="567"/>
      </w:pPr>
      <w:r w:rsidRPr="004F0FE2">
        <w:t xml:space="preserve">The treatment duration (days), days on </w:t>
      </w:r>
      <w:r w:rsidR="00E15C21" w:rsidRPr="004F0FE2">
        <w:t>d</w:t>
      </w:r>
      <w:r w:rsidRPr="004F0FE2">
        <w:t xml:space="preserve">rug and </w:t>
      </w:r>
      <w:r w:rsidR="00E15C21" w:rsidRPr="004F0FE2">
        <w:t>t</w:t>
      </w:r>
      <w:r w:rsidRPr="004F0FE2">
        <w:t xml:space="preserve">reatment compliance (%) </w:t>
      </w:r>
      <w:r w:rsidR="008B2FDD" w:rsidRPr="004F0FE2">
        <w:t>w</w:t>
      </w:r>
      <w:r w:rsidR="00A63191" w:rsidRPr="004F0FE2">
        <w:t xml:space="preserve">ere </w:t>
      </w:r>
      <w:r w:rsidRPr="004F0FE2">
        <w:t>summarized in terms of the number of observations, mean, standard deviation (STD), median, minimum and maximum, to each treatment and both arms.</w:t>
      </w:r>
      <w:r w:rsidR="000A4F73" w:rsidRPr="004F0FE2">
        <w:t xml:space="preserve"> </w:t>
      </w:r>
      <w:bookmarkStart w:id="228" w:name="OLE_LINK17"/>
      <w:r w:rsidR="000A4F73" w:rsidRPr="004F0FE2">
        <w:t xml:space="preserve">Extent of exposure measured as </w:t>
      </w:r>
      <w:bookmarkStart w:id="229" w:name="OLE_LINK20"/>
      <w:bookmarkStart w:id="230" w:name="OLE_LINK21"/>
      <w:bookmarkStart w:id="231" w:name="OLE_LINK22"/>
      <w:r w:rsidR="000A4F73" w:rsidRPr="004F0FE2">
        <w:t>Relative Dose Intensity</w:t>
      </w:r>
      <w:bookmarkEnd w:id="229"/>
      <w:bookmarkEnd w:id="230"/>
      <w:bookmarkEnd w:id="231"/>
      <w:r w:rsidR="000A4F73" w:rsidRPr="004F0FE2">
        <w:t xml:space="preserve"> (RDI</w:t>
      </w:r>
      <w:r w:rsidR="000E3913" w:rsidRPr="004F0FE2">
        <w:t>;</w:t>
      </w:r>
      <w:r w:rsidR="00952FCA" w:rsidRPr="004F0FE2">
        <w:t xml:space="preserve"> the ratio of administered doses to planned doses</w:t>
      </w:r>
      <w:r w:rsidR="000A4F73" w:rsidRPr="004F0FE2">
        <w:t xml:space="preserve">) in different treatments and both arms </w:t>
      </w:r>
      <w:bookmarkEnd w:id="228"/>
      <w:r w:rsidR="000E3913" w:rsidRPr="004F0FE2">
        <w:t>was</w:t>
      </w:r>
      <w:r w:rsidR="000A4F73" w:rsidRPr="004F0FE2">
        <w:t xml:space="preserve"> described with median, interquartile range (IQR) and range. The treatments RDI </w:t>
      </w:r>
      <w:r w:rsidR="000E3913" w:rsidRPr="004F0FE2">
        <w:t>was</w:t>
      </w:r>
      <w:r w:rsidR="000A4F73" w:rsidRPr="004F0FE2">
        <w:t xml:space="preserve"> </w:t>
      </w:r>
      <w:bookmarkStart w:id="232" w:name="OLE_LINK18"/>
      <w:bookmarkStart w:id="233" w:name="OLE_LINK19"/>
      <w:r w:rsidR="000A4F73" w:rsidRPr="004F0FE2">
        <w:t>correlat</w:t>
      </w:r>
      <w:bookmarkEnd w:id="232"/>
      <w:bookmarkEnd w:id="233"/>
      <w:r w:rsidR="000A4F73" w:rsidRPr="004F0FE2">
        <w:t xml:space="preserve">ed with </w:t>
      </w:r>
      <w:bookmarkStart w:id="234" w:name="OLE_LINK130"/>
      <w:bookmarkStart w:id="235" w:name="OLE_LINK131"/>
      <w:bookmarkStart w:id="236" w:name="OLE_LINK132"/>
      <w:r w:rsidR="000A4F73" w:rsidRPr="004F0FE2">
        <w:t>best overall tumor assessment</w:t>
      </w:r>
      <w:bookmarkEnd w:id="234"/>
      <w:bookmarkEnd w:id="235"/>
      <w:bookmarkEnd w:id="236"/>
      <w:r w:rsidR="000A4F73" w:rsidRPr="004F0FE2">
        <w:t xml:space="preserve">, PFS and OS based on </w:t>
      </w:r>
      <w:r w:rsidR="000E3913" w:rsidRPr="004F0FE2">
        <w:t xml:space="preserve">the </w:t>
      </w:r>
      <w:r w:rsidR="000A4F73" w:rsidRPr="004F0FE2">
        <w:t xml:space="preserve">ITT and PP populations. The correlation between RDI and best overall response </w:t>
      </w:r>
      <w:r w:rsidR="000E3913" w:rsidRPr="004F0FE2">
        <w:t>was</w:t>
      </w:r>
      <w:r w:rsidR="000A4F73" w:rsidRPr="004F0FE2">
        <w:t xml:space="preserve"> described with </w:t>
      </w:r>
      <w:bookmarkStart w:id="237" w:name="OLE_LINK135"/>
      <w:bookmarkStart w:id="238" w:name="OLE_LINK136"/>
      <w:r w:rsidR="000A4F73" w:rsidRPr="004F0FE2">
        <w:t xml:space="preserve">95%CI </w:t>
      </w:r>
      <w:r w:rsidR="000E3913" w:rsidRPr="004F0FE2">
        <w:t>S</w:t>
      </w:r>
      <w:r w:rsidR="000A4F73" w:rsidRPr="004F0FE2">
        <w:t>pearman correlation test and scatter plots</w:t>
      </w:r>
      <w:bookmarkEnd w:id="237"/>
      <w:bookmarkEnd w:id="238"/>
      <w:r w:rsidR="000A4F73" w:rsidRPr="004F0FE2">
        <w:t xml:space="preserve">. The correlation between RDI </w:t>
      </w:r>
      <w:bookmarkStart w:id="239" w:name="OLE_LINK142"/>
      <w:bookmarkStart w:id="240" w:name="OLE_LINK143"/>
      <w:bookmarkStart w:id="241" w:name="OLE_LINK144"/>
      <w:bookmarkStart w:id="242" w:name="OLE_LINK145"/>
      <w:r w:rsidR="000A4F73" w:rsidRPr="004F0FE2">
        <w:t xml:space="preserve">dichotomized </w:t>
      </w:r>
      <w:bookmarkEnd w:id="239"/>
      <w:bookmarkEnd w:id="240"/>
      <w:bookmarkEnd w:id="241"/>
      <w:bookmarkEnd w:id="242"/>
      <w:r w:rsidR="000A4F73" w:rsidRPr="004F0FE2">
        <w:t xml:space="preserve">and time-to-event outcomes (PFS, OS) </w:t>
      </w:r>
      <w:r w:rsidR="000E3913" w:rsidRPr="004F0FE2">
        <w:t>was</w:t>
      </w:r>
      <w:r w:rsidR="000A4F73" w:rsidRPr="004F0FE2">
        <w:t xml:space="preserve"> analyzed with </w:t>
      </w:r>
      <w:bookmarkStart w:id="243" w:name="OLE_LINK137"/>
      <w:bookmarkStart w:id="244" w:name="OLE_LINK138"/>
      <w:r w:rsidR="000A4F73" w:rsidRPr="004F0FE2">
        <w:t>Kaplan-</w:t>
      </w:r>
      <w:r w:rsidR="000E3913" w:rsidRPr="004F0FE2">
        <w:t>M</w:t>
      </w:r>
      <w:r w:rsidR="000A4F73" w:rsidRPr="004F0FE2">
        <w:t>e</w:t>
      </w:r>
      <w:r w:rsidR="000E3913" w:rsidRPr="004F0FE2">
        <w:t>i</w:t>
      </w:r>
      <w:r w:rsidR="000A4F73" w:rsidRPr="004F0FE2">
        <w:t>er curves and log-rank test</w:t>
      </w:r>
      <w:bookmarkEnd w:id="243"/>
      <w:bookmarkEnd w:id="244"/>
      <w:r w:rsidR="0099300D" w:rsidRPr="004F0FE2">
        <w:t xml:space="preserve">. </w:t>
      </w:r>
    </w:p>
    <w:p w14:paraId="5874760C" w14:textId="77777777" w:rsidR="003C21C0" w:rsidRPr="004F0FE2" w:rsidRDefault="000A4F73" w:rsidP="00673269">
      <w:pPr>
        <w:pStyle w:val="Ttulo3"/>
        <w:ind w:right="567"/>
      </w:pPr>
      <w:bookmarkStart w:id="245" w:name="_Toc52468110"/>
      <w:r w:rsidRPr="004F0FE2">
        <w:t>Concomitant medications.</w:t>
      </w:r>
      <w:bookmarkEnd w:id="245"/>
    </w:p>
    <w:p w14:paraId="06E198E2" w14:textId="77777777" w:rsidR="000A4F73" w:rsidRPr="004F0FE2" w:rsidRDefault="000A4F73" w:rsidP="00673269">
      <w:pPr>
        <w:ind w:right="567"/>
      </w:pPr>
      <w:r w:rsidRPr="004F0FE2">
        <w:t xml:space="preserve">The number and percent of unique patients taking concomitant medications </w:t>
      </w:r>
      <w:r w:rsidR="000E3913" w:rsidRPr="004F0FE2">
        <w:t>was</w:t>
      </w:r>
      <w:r w:rsidRPr="004F0FE2">
        <w:t xml:space="preserve"> summarized by therapeutic classification, coded term and treatment group. </w:t>
      </w:r>
    </w:p>
    <w:p w14:paraId="17B2C682" w14:textId="77777777" w:rsidR="00E15C21" w:rsidRPr="004F0FE2" w:rsidRDefault="00D67098" w:rsidP="00673269">
      <w:pPr>
        <w:pStyle w:val="Ttulo3"/>
        <w:ind w:right="567"/>
      </w:pPr>
      <w:bookmarkStart w:id="246" w:name="_Toc52468111"/>
      <w:r w:rsidRPr="004F0FE2">
        <w:t>Efficacy analysis.</w:t>
      </w:r>
      <w:bookmarkEnd w:id="246"/>
    </w:p>
    <w:p w14:paraId="407629BD" w14:textId="77777777" w:rsidR="002D2A10" w:rsidRPr="004F0FE2" w:rsidRDefault="001E3857" w:rsidP="00673269">
      <w:pPr>
        <w:ind w:right="567"/>
        <w:rPr>
          <w:b/>
        </w:rPr>
      </w:pPr>
      <w:r w:rsidRPr="004F0FE2">
        <w:rPr>
          <w:b/>
        </w:rPr>
        <w:t xml:space="preserve">(a) </w:t>
      </w:r>
      <w:r w:rsidR="002D2A10" w:rsidRPr="004F0FE2">
        <w:rPr>
          <w:b/>
        </w:rPr>
        <w:t>Primary efficacy analysis.</w:t>
      </w:r>
    </w:p>
    <w:p w14:paraId="102C2090" w14:textId="77777777" w:rsidR="00D67098" w:rsidRPr="004F0FE2" w:rsidRDefault="00D67098" w:rsidP="00673269">
      <w:pPr>
        <w:ind w:right="567"/>
      </w:pPr>
      <w:r w:rsidRPr="004F0FE2">
        <w:t xml:space="preserve">The </w:t>
      </w:r>
      <w:r w:rsidR="000E3913" w:rsidRPr="004F0FE2">
        <w:t>PFS</w:t>
      </w:r>
      <w:r w:rsidRPr="004F0FE2">
        <w:t xml:space="preserve"> was compared between the intervention arm (</w:t>
      </w:r>
      <w:proofErr w:type="spellStart"/>
      <w:r w:rsidRPr="004F0FE2">
        <w:t>palbociclib</w:t>
      </w:r>
      <w:proofErr w:type="spellEnd"/>
      <w:r w:rsidRPr="004F0FE2">
        <w:t xml:space="preserve"> in combination with </w:t>
      </w:r>
      <w:proofErr w:type="spellStart"/>
      <w:r w:rsidRPr="004F0FE2">
        <w:t>fulvestrant</w:t>
      </w:r>
      <w:proofErr w:type="spellEnd"/>
      <w:r w:rsidRPr="004F0FE2">
        <w:t>) and the control arm (</w:t>
      </w:r>
      <w:proofErr w:type="spellStart"/>
      <w:r w:rsidRPr="004F0FE2">
        <w:t>palbociclib</w:t>
      </w:r>
      <w:proofErr w:type="spellEnd"/>
      <w:r w:rsidRPr="004F0FE2">
        <w:t xml:space="preserve"> in combination with letrozole) using the Kaplan-Meier method, log-rank test and multivariable Cox proportional hazards model, adjusting for site of disease (visceral v</w:t>
      </w:r>
      <w:r w:rsidR="00835EEE" w:rsidRPr="004F0FE2">
        <w:t>ersus</w:t>
      </w:r>
      <w:r w:rsidRPr="004F0FE2">
        <w:t xml:space="preserve"> non-visceral), the onset of metastatic disease diagnoses (de novo metastatic </w:t>
      </w:r>
      <w:r w:rsidR="00835EEE" w:rsidRPr="004F0FE2">
        <w:t>versus</w:t>
      </w:r>
      <w:r w:rsidRPr="004F0FE2">
        <w:t xml:space="preserve"> non-de novo patients).</w:t>
      </w:r>
      <w:r w:rsidR="00E15C21" w:rsidRPr="004F0FE2">
        <w:t xml:space="preserve"> Patients with no progression or death were censored at the date of their last evaluable imaging</w:t>
      </w:r>
      <w:r w:rsidR="00835EEE" w:rsidRPr="004F0FE2">
        <w:t>,</w:t>
      </w:r>
      <w:r w:rsidR="00E15C21" w:rsidRPr="004F0FE2">
        <w:t xml:space="preserve"> </w:t>
      </w:r>
      <w:r w:rsidR="00835EEE" w:rsidRPr="004F0FE2">
        <w:t>within</w:t>
      </w:r>
      <w:r w:rsidR="00E15C21" w:rsidRPr="004F0FE2">
        <w:t xml:space="preserve"> 35 days after last dose administration date. </w:t>
      </w:r>
      <w:r w:rsidRPr="004F0FE2">
        <w:t>The median PFS survival probability in each treatment group and the Hazard Ratio (HR), with its corresponding confidence intervals</w:t>
      </w:r>
      <w:r w:rsidR="00BF588A" w:rsidRPr="004F0FE2">
        <w:t xml:space="preserve"> (CI)</w:t>
      </w:r>
      <w:r w:rsidRPr="004F0FE2">
        <w:t>, w</w:t>
      </w:r>
      <w:r w:rsidR="00835EEE" w:rsidRPr="004F0FE2">
        <w:t xml:space="preserve">ere </w:t>
      </w:r>
      <w:r w:rsidRPr="004F0FE2">
        <w:t>calculated.</w:t>
      </w:r>
    </w:p>
    <w:p w14:paraId="07E9F32E" w14:textId="77777777" w:rsidR="00D67098" w:rsidRPr="004F0FE2" w:rsidRDefault="00D67098" w:rsidP="00673269">
      <w:pPr>
        <w:ind w:right="567"/>
      </w:pPr>
      <w:r w:rsidRPr="004F0FE2">
        <w:t>We tested the primary endpoint at a nominal level of 0.001 and 0.0498 at interim and final analysis, respectively.</w:t>
      </w:r>
      <w:r w:rsidR="00994619" w:rsidRPr="004F0FE2">
        <w:t xml:space="preserve"> </w:t>
      </w:r>
      <w:r w:rsidRPr="004F0FE2">
        <w:t>In the interim analysis after 89 PFS events</w:t>
      </w:r>
      <w:r w:rsidR="00994619" w:rsidRPr="004F0FE2">
        <w:t xml:space="preserve"> we</w:t>
      </w:r>
      <w:r w:rsidRPr="004F0FE2">
        <w:t xml:space="preserve"> </w:t>
      </w:r>
      <w:r w:rsidR="00994619" w:rsidRPr="004F0FE2">
        <w:t>planned to declare</w:t>
      </w:r>
      <w:r w:rsidRPr="004F0FE2">
        <w:t xml:space="preserve"> that the PFS of </w:t>
      </w:r>
      <w:proofErr w:type="spellStart"/>
      <w:r w:rsidRPr="004F0FE2">
        <w:t>palbociclib</w:t>
      </w:r>
      <w:proofErr w:type="spellEnd"/>
      <w:r w:rsidRPr="004F0FE2">
        <w:t xml:space="preserve"> plus </w:t>
      </w:r>
      <w:proofErr w:type="spellStart"/>
      <w:r w:rsidRPr="004F0FE2">
        <w:t>fulvestrant</w:t>
      </w:r>
      <w:proofErr w:type="spellEnd"/>
      <w:r w:rsidRPr="004F0FE2">
        <w:t xml:space="preserve"> arm is superior from control group if the upper limit of </w:t>
      </w:r>
      <w:bookmarkStart w:id="247" w:name="OLE_LINK3"/>
      <w:r w:rsidRPr="004F0FE2">
        <w:t>99</w:t>
      </w:r>
      <w:r w:rsidR="00D765BB" w:rsidRPr="004F0FE2">
        <w:t>.</w:t>
      </w:r>
      <w:r w:rsidRPr="004F0FE2">
        <w:t>9%</w:t>
      </w:r>
      <w:bookmarkEnd w:id="247"/>
      <w:r w:rsidR="00BF588A" w:rsidRPr="004F0FE2">
        <w:t xml:space="preserve"> CI</w:t>
      </w:r>
      <w:r w:rsidRPr="004F0FE2">
        <w:t xml:space="preserve"> for the </w:t>
      </w:r>
      <w:r w:rsidR="00D765BB" w:rsidRPr="004F0FE2">
        <w:t>HR</w:t>
      </w:r>
      <w:r w:rsidRPr="004F0FE2">
        <w:t xml:space="preserve"> </w:t>
      </w:r>
      <w:r w:rsidR="00D765BB" w:rsidRPr="004F0FE2">
        <w:t>was</w:t>
      </w:r>
      <w:r w:rsidRPr="004F0FE2">
        <w:t xml:space="preserve"> lower than 1.</w:t>
      </w:r>
      <w:r w:rsidR="00994619" w:rsidRPr="004F0FE2">
        <w:t xml:space="preserve"> </w:t>
      </w:r>
      <w:r w:rsidRPr="004F0FE2">
        <w:t xml:space="preserve">Otherwise, non-inferiority </w:t>
      </w:r>
      <w:r w:rsidR="002D2A10" w:rsidRPr="004F0FE2">
        <w:t>was to be</w:t>
      </w:r>
      <w:r w:rsidRPr="004F0FE2">
        <w:t xml:space="preserve"> declared if the upper limit of 99</w:t>
      </w:r>
      <w:r w:rsidR="00D765BB" w:rsidRPr="004F0FE2">
        <w:t>.</w:t>
      </w:r>
      <w:r w:rsidRPr="004F0FE2">
        <w:t xml:space="preserve">9% </w:t>
      </w:r>
      <w:r w:rsidR="00BF588A" w:rsidRPr="004F0FE2">
        <w:t>CI</w:t>
      </w:r>
      <w:r w:rsidRPr="004F0FE2">
        <w:t xml:space="preserve"> for the </w:t>
      </w:r>
      <w:r w:rsidR="00D765BB" w:rsidRPr="004F0FE2">
        <w:t>HR</w:t>
      </w:r>
      <w:r w:rsidRPr="004F0FE2">
        <w:t xml:space="preserve"> is lower than non-inferiority margin of 1.21.</w:t>
      </w:r>
      <w:r w:rsidR="002D2A10" w:rsidRPr="004F0FE2">
        <w:t xml:space="preserve"> </w:t>
      </w:r>
      <w:r w:rsidRPr="004F0FE2">
        <w:t>In the final analysis after 254 PFS events</w:t>
      </w:r>
      <w:r w:rsidR="00994619" w:rsidRPr="004F0FE2">
        <w:t xml:space="preserve"> w</w:t>
      </w:r>
      <w:r w:rsidRPr="004F0FE2">
        <w:t xml:space="preserve">e </w:t>
      </w:r>
      <w:r w:rsidR="002D2A10" w:rsidRPr="004F0FE2">
        <w:t>planned to</w:t>
      </w:r>
      <w:r w:rsidRPr="004F0FE2">
        <w:t xml:space="preserve"> declare that the PFS of </w:t>
      </w:r>
      <w:proofErr w:type="spellStart"/>
      <w:r w:rsidRPr="004F0FE2">
        <w:t>palbociclib</w:t>
      </w:r>
      <w:proofErr w:type="spellEnd"/>
      <w:r w:rsidRPr="004F0FE2">
        <w:t xml:space="preserve"> plus </w:t>
      </w:r>
      <w:proofErr w:type="spellStart"/>
      <w:r w:rsidRPr="004F0FE2">
        <w:t>fulvestrant</w:t>
      </w:r>
      <w:proofErr w:type="spellEnd"/>
      <w:r w:rsidRPr="004F0FE2">
        <w:t xml:space="preserve"> arm </w:t>
      </w:r>
      <w:r w:rsidR="00D765BB" w:rsidRPr="004F0FE2">
        <w:t>was</w:t>
      </w:r>
      <w:r w:rsidRPr="004F0FE2">
        <w:t xml:space="preserve"> superior from control group if the upper limit of 95% </w:t>
      </w:r>
      <w:r w:rsidR="00BF588A" w:rsidRPr="004F0FE2">
        <w:t>CI</w:t>
      </w:r>
      <w:r w:rsidRPr="004F0FE2">
        <w:t xml:space="preserve"> for the </w:t>
      </w:r>
      <w:r w:rsidR="00D765BB" w:rsidRPr="004F0FE2">
        <w:t>HR</w:t>
      </w:r>
      <w:r w:rsidRPr="004F0FE2">
        <w:t xml:space="preserve"> </w:t>
      </w:r>
      <w:r w:rsidR="00D765BB" w:rsidRPr="004F0FE2">
        <w:t>was</w:t>
      </w:r>
      <w:r w:rsidRPr="004F0FE2">
        <w:t xml:space="preserve"> lower than 1. Otherwise, non-inferiority </w:t>
      </w:r>
      <w:r w:rsidR="00D765BB" w:rsidRPr="004F0FE2">
        <w:t>was to be</w:t>
      </w:r>
      <w:r w:rsidRPr="004F0FE2">
        <w:t xml:space="preserve"> declared if the upper limit of 95% </w:t>
      </w:r>
      <w:r w:rsidR="00BF588A" w:rsidRPr="004F0FE2">
        <w:t>CI</w:t>
      </w:r>
      <w:r w:rsidRPr="004F0FE2">
        <w:t xml:space="preserve"> for the </w:t>
      </w:r>
      <w:r w:rsidR="00BF588A" w:rsidRPr="004F0FE2">
        <w:t>HR</w:t>
      </w:r>
      <w:r w:rsidRPr="004F0FE2">
        <w:t xml:space="preserve"> </w:t>
      </w:r>
      <w:r w:rsidR="00D765BB" w:rsidRPr="004F0FE2">
        <w:t>was</w:t>
      </w:r>
      <w:r w:rsidRPr="004F0FE2">
        <w:t xml:space="preserve"> lower than non-inferiority margin of 1.21.</w:t>
      </w:r>
    </w:p>
    <w:p w14:paraId="3522EE66" w14:textId="77777777" w:rsidR="00D67098" w:rsidRPr="004F0FE2" w:rsidRDefault="00D67098" w:rsidP="00673269">
      <w:pPr>
        <w:ind w:right="567"/>
      </w:pPr>
      <w:r w:rsidRPr="004F0FE2">
        <w:t xml:space="preserve">The primary efficacy analysis </w:t>
      </w:r>
      <w:r w:rsidR="00D765BB" w:rsidRPr="004F0FE2">
        <w:t>was</w:t>
      </w:r>
      <w:r w:rsidRPr="004F0FE2">
        <w:t xml:space="preserve"> based on the ITT and PP population</w:t>
      </w:r>
      <w:r w:rsidR="00D765BB" w:rsidRPr="004F0FE2">
        <w:t>s</w:t>
      </w:r>
      <w:r w:rsidRPr="004F0FE2">
        <w:t xml:space="preserve">. The ITT population </w:t>
      </w:r>
      <w:r w:rsidR="00D765BB" w:rsidRPr="004F0FE2">
        <w:t>was</w:t>
      </w:r>
      <w:r w:rsidRPr="004F0FE2">
        <w:t xml:space="preserve"> considered the primary population for superiority analysis, with appropriate support provided by the PP population. In non-inferiority analysis the ITT and PP population</w:t>
      </w:r>
      <w:r w:rsidR="00D765BB" w:rsidRPr="004F0FE2">
        <w:t>s</w:t>
      </w:r>
      <w:r w:rsidRPr="004F0FE2">
        <w:t xml:space="preserve"> ha</w:t>
      </w:r>
      <w:r w:rsidR="00D765BB" w:rsidRPr="004F0FE2">
        <w:t xml:space="preserve">d </w:t>
      </w:r>
      <w:r w:rsidRPr="004F0FE2">
        <w:t xml:space="preserve">equal importance and their </w:t>
      </w:r>
      <w:r w:rsidR="00D765BB" w:rsidRPr="004F0FE2">
        <w:t>results</w:t>
      </w:r>
      <w:r w:rsidRPr="004F0FE2">
        <w:t xml:space="preserve"> should lead to similar conclusi</w:t>
      </w:r>
      <w:r w:rsidR="00D71CA5" w:rsidRPr="004F0FE2">
        <w:t xml:space="preserve">ons for a robust interpretation </w:t>
      </w:r>
      <w:r w:rsidR="005465ED" w:rsidRPr="004F0FE2">
        <w:fldChar w:fldCharType="begin" w:fldLock="1"/>
      </w:r>
      <w:r w:rsidR="00B868FB" w:rsidRPr="004F0FE2">
        <w:instrText>ADDIN CSL_CITATION {"citationItems":[{"id":"ITEM-1","itemData":{"author":[{"dropping-particle":"","family":"Medicines Agency","given":"European","non-dropping-particle":"","parse-names":false,"suffix":""}],"id":"ITEM-1","issued":{"date-parts":[["2000"]]},"title":"The European Agency for the Evaluation of Medicinal Products Evaluation of Medicines for Human Use","type":"report"},"uris":["http://www.mendeley.com/documents/?uuid=691476ec-66b0-3b44-a8c5-14db842ef121"]}],"mendeley":{"formattedCitation":"[36]","plainTextFormattedCitation":"[36]","previouslyFormattedCitation":"[36]"},"properties":{"noteIndex":0},"schema":"https://github.com/citation-style-language/schema/raw/master/csl-citation.json"}</w:instrText>
      </w:r>
      <w:r w:rsidR="005465ED" w:rsidRPr="004F0FE2">
        <w:fldChar w:fldCharType="separate"/>
      </w:r>
      <w:r w:rsidR="00A531F3" w:rsidRPr="004F0FE2">
        <w:t>[36]</w:t>
      </w:r>
      <w:r w:rsidR="005465ED" w:rsidRPr="004F0FE2">
        <w:fldChar w:fldCharType="end"/>
      </w:r>
      <w:r w:rsidR="00D71CA5" w:rsidRPr="004F0FE2">
        <w:t xml:space="preserve">. </w:t>
      </w:r>
    </w:p>
    <w:p w14:paraId="18208BDC" w14:textId="77777777" w:rsidR="002D2A10" w:rsidRPr="004F0FE2" w:rsidRDefault="001E3857" w:rsidP="00673269">
      <w:pPr>
        <w:ind w:right="567"/>
        <w:rPr>
          <w:b/>
        </w:rPr>
      </w:pPr>
      <w:bookmarkStart w:id="248" w:name="_Toc34224313"/>
      <w:r w:rsidRPr="004F0FE2">
        <w:rPr>
          <w:b/>
        </w:rPr>
        <w:t xml:space="preserve">(b) </w:t>
      </w:r>
      <w:r w:rsidR="002D2A10" w:rsidRPr="004F0FE2">
        <w:rPr>
          <w:b/>
        </w:rPr>
        <w:t>Secondary Efficacy Analysis</w:t>
      </w:r>
      <w:bookmarkEnd w:id="248"/>
    </w:p>
    <w:p w14:paraId="33A2315E" w14:textId="77777777" w:rsidR="002D2A10" w:rsidRPr="004F0FE2" w:rsidRDefault="002D2A10" w:rsidP="00673269">
      <w:pPr>
        <w:ind w:right="567"/>
      </w:pPr>
      <w:r w:rsidRPr="004F0FE2">
        <w:t>All secondary efficacy analys</w:t>
      </w:r>
      <w:r w:rsidR="008D4986" w:rsidRPr="004F0FE2">
        <w:t>e</w:t>
      </w:r>
      <w:r w:rsidRPr="004F0FE2">
        <w:t xml:space="preserve">s were </w:t>
      </w:r>
      <w:r w:rsidR="00D765BB" w:rsidRPr="004F0FE2">
        <w:t xml:space="preserve">also </w:t>
      </w:r>
      <w:r w:rsidRPr="004F0FE2">
        <w:t xml:space="preserve">based on the ITT and PP population. The ITT population was considered the primary population for superiority analysis. The statistical comparison of PFS, OS, TTP, </w:t>
      </w:r>
      <w:proofErr w:type="spellStart"/>
      <w:r w:rsidRPr="004F0FE2">
        <w:t>DoR</w:t>
      </w:r>
      <w:proofErr w:type="spellEnd"/>
      <w:r w:rsidRPr="004F0FE2">
        <w:t xml:space="preserve"> and TTR between treatment groups, was performed using the Kaplan-Meier method and Log-Rank test followed by multivariable Cox proportional hazards model for adjusting for stratified randomization variables. The binary outcomes (ORR and CBR) were evaluated using the Fisher’s exact test followed by multivariate logistic regression for adjusting for stratified randomization variables. </w:t>
      </w:r>
    </w:p>
    <w:p w14:paraId="704CB0B2" w14:textId="77777777" w:rsidR="002D2A10" w:rsidRPr="004F0FE2" w:rsidRDefault="002D2A10" w:rsidP="00673269">
      <w:pPr>
        <w:ind w:right="567"/>
      </w:pPr>
      <w:r w:rsidRPr="004F0FE2">
        <w:t xml:space="preserve">The </w:t>
      </w:r>
      <w:bookmarkStart w:id="249" w:name="OLE_LINK41"/>
      <w:bookmarkStart w:id="250" w:name="OLE_LINK42"/>
      <w:r w:rsidRPr="004F0FE2">
        <w:t xml:space="preserve">Odds </w:t>
      </w:r>
      <w:bookmarkEnd w:id="249"/>
      <w:bookmarkEnd w:id="250"/>
      <w:r w:rsidRPr="004F0FE2">
        <w:t xml:space="preserve">Ratio (OR) and </w:t>
      </w:r>
      <w:r w:rsidR="00BF588A" w:rsidRPr="004F0FE2">
        <w:t>HR</w:t>
      </w:r>
      <w:r w:rsidRPr="004F0FE2">
        <w:t xml:space="preserve">, with its corresponding 95% </w:t>
      </w:r>
      <w:r w:rsidR="00BF588A" w:rsidRPr="004F0FE2">
        <w:t>CIs</w:t>
      </w:r>
      <w:r w:rsidRPr="004F0FE2">
        <w:t xml:space="preserve">, were calculated to compare dichotomous and time to event variables, respectively. To assess the impact of potential clustering for patients cared by the same site, we </w:t>
      </w:r>
      <w:r w:rsidR="00BF588A" w:rsidRPr="004F0FE2">
        <w:t>used</w:t>
      </w:r>
      <w:r w:rsidRPr="004F0FE2">
        <w:t xml:space="preserve"> mixed cox regression models.</w:t>
      </w:r>
    </w:p>
    <w:p w14:paraId="49239CCB" w14:textId="77777777" w:rsidR="002D2A10" w:rsidRPr="004F0FE2" w:rsidRDefault="002D2A10" w:rsidP="00673269">
      <w:pPr>
        <w:ind w:right="567"/>
      </w:pPr>
      <w:r w:rsidRPr="004F0FE2">
        <w:t>No adjustment w</w:t>
      </w:r>
      <w:r w:rsidR="00BF588A" w:rsidRPr="004F0FE2">
        <w:t xml:space="preserve">as </w:t>
      </w:r>
      <w:r w:rsidRPr="004F0FE2">
        <w:t>made for multiple testing.</w:t>
      </w:r>
    </w:p>
    <w:p w14:paraId="7642E299" w14:textId="77777777" w:rsidR="00C41AEC" w:rsidRPr="004F0FE2" w:rsidRDefault="001E3857" w:rsidP="00673269">
      <w:pPr>
        <w:ind w:right="567"/>
        <w:rPr>
          <w:b/>
        </w:rPr>
      </w:pPr>
      <w:bookmarkStart w:id="251" w:name="_Toc34224315"/>
      <w:bookmarkStart w:id="252" w:name="_Toc34224316"/>
      <w:r w:rsidRPr="004F0FE2">
        <w:rPr>
          <w:b/>
        </w:rPr>
        <w:t xml:space="preserve">(c) </w:t>
      </w:r>
      <w:r w:rsidR="00C41AEC" w:rsidRPr="004F0FE2">
        <w:rPr>
          <w:b/>
        </w:rPr>
        <w:t>Efficacy Endpoints by Baseline Characteristics</w:t>
      </w:r>
      <w:bookmarkEnd w:id="251"/>
    </w:p>
    <w:p w14:paraId="7EFBF307" w14:textId="77777777" w:rsidR="00C41AEC" w:rsidRPr="004F0FE2" w:rsidRDefault="00C41AEC" w:rsidP="00673269">
      <w:pPr>
        <w:ind w:right="567"/>
      </w:pPr>
      <w:bookmarkStart w:id="253" w:name="OLE_LINK57"/>
      <w:r w:rsidRPr="004F0FE2">
        <w:lastRenderedPageBreak/>
        <w:t xml:space="preserve">To assess whether the results </w:t>
      </w:r>
      <w:r w:rsidR="00BF588A" w:rsidRPr="004F0FE2">
        <w:t>were</w:t>
      </w:r>
      <w:r w:rsidRPr="004F0FE2">
        <w:t xml:space="preserve"> consistent across subgroups </w:t>
      </w:r>
      <w:r w:rsidR="00BF588A" w:rsidRPr="004F0FE2">
        <w:t>f</w:t>
      </w:r>
      <w:r w:rsidRPr="004F0FE2">
        <w:t xml:space="preserve">orest plots of HR or </w:t>
      </w:r>
      <w:proofErr w:type="spellStart"/>
      <w:r w:rsidRPr="004F0FE2">
        <w:t>OR</w:t>
      </w:r>
      <w:proofErr w:type="spellEnd"/>
      <w:r w:rsidRPr="004F0FE2">
        <w:t xml:space="preserve"> with 95% CIs were provided. All efficacy endpoint (PFS, OS, ORR, CBR, </w:t>
      </w:r>
      <w:proofErr w:type="spellStart"/>
      <w:r w:rsidRPr="004F0FE2">
        <w:t>DoR</w:t>
      </w:r>
      <w:proofErr w:type="spellEnd"/>
      <w:r w:rsidRPr="004F0FE2">
        <w:t>, TTP and TTR) were compared between treatments arms (ITT population) using forest plots in each of the baseline c</w:t>
      </w:r>
      <w:r w:rsidR="00BF588A" w:rsidRPr="004F0FE2">
        <w:t xml:space="preserve">haracteristics and by stratification </w:t>
      </w:r>
      <w:r w:rsidRPr="004F0FE2">
        <w:t xml:space="preserve">factors. </w:t>
      </w:r>
    </w:p>
    <w:p w14:paraId="22A73FAB" w14:textId="77777777" w:rsidR="002D2A10" w:rsidRPr="00206A9D" w:rsidRDefault="008D4986" w:rsidP="00673269">
      <w:pPr>
        <w:pStyle w:val="Ttulo3"/>
        <w:ind w:right="567"/>
        <w:rPr>
          <w:color w:val="auto"/>
        </w:rPr>
      </w:pPr>
      <w:bookmarkStart w:id="254" w:name="_Toc52468112"/>
      <w:bookmarkEnd w:id="253"/>
      <w:r w:rsidRPr="00206A9D">
        <w:rPr>
          <w:color w:val="auto"/>
        </w:rPr>
        <w:t>Translational sub-studies</w:t>
      </w:r>
      <w:bookmarkEnd w:id="252"/>
      <w:bookmarkEnd w:id="254"/>
    </w:p>
    <w:p w14:paraId="7589A140" w14:textId="64708347" w:rsidR="00E82E63" w:rsidRPr="00206A9D" w:rsidRDefault="00E82E63" w:rsidP="00673269">
      <w:pPr>
        <w:ind w:right="567"/>
        <w:rPr>
          <w:lang w:eastAsia="es-ES"/>
        </w:rPr>
      </w:pPr>
      <w:r w:rsidRPr="00206A9D">
        <w:rPr>
          <w:lang w:eastAsia="es-ES"/>
        </w:rPr>
        <w:t xml:space="preserve">The results of </w:t>
      </w:r>
      <w:r w:rsidR="00D747D4" w:rsidRPr="00206A9D">
        <w:rPr>
          <w:lang w:eastAsia="es-ES"/>
        </w:rPr>
        <w:t xml:space="preserve">PARSIFAL </w:t>
      </w:r>
      <w:r w:rsidRPr="00206A9D">
        <w:rPr>
          <w:lang w:eastAsia="es-ES"/>
        </w:rPr>
        <w:t xml:space="preserve">translational </w:t>
      </w:r>
      <w:r w:rsidR="00D747D4" w:rsidRPr="00206A9D">
        <w:rPr>
          <w:lang w:eastAsia="es-ES"/>
        </w:rPr>
        <w:t xml:space="preserve">sub-studies </w:t>
      </w:r>
      <w:r w:rsidR="0095217A" w:rsidRPr="00206A9D">
        <w:rPr>
          <w:lang w:eastAsia="es-ES"/>
        </w:rPr>
        <w:t xml:space="preserve">(MedOPP081_transFAL project) </w:t>
      </w:r>
      <w:r w:rsidR="00D747D4" w:rsidRPr="00206A9D">
        <w:rPr>
          <w:lang w:eastAsia="es-ES"/>
        </w:rPr>
        <w:t>are not included in the current clinical study report and will be provided in a separate document.</w:t>
      </w:r>
    </w:p>
    <w:p w14:paraId="58D65603" w14:textId="77777777" w:rsidR="00583C8F" w:rsidRPr="004F0FE2" w:rsidRDefault="00583C8F" w:rsidP="00673269">
      <w:pPr>
        <w:pStyle w:val="Ttulo3"/>
        <w:ind w:right="567"/>
        <w:rPr>
          <w:lang w:eastAsia="es-ES"/>
        </w:rPr>
      </w:pPr>
      <w:bookmarkStart w:id="255" w:name="_Toc52468113"/>
      <w:r w:rsidRPr="004F0FE2">
        <w:rPr>
          <w:lang w:eastAsia="es-ES"/>
        </w:rPr>
        <w:t>Safety analyses</w:t>
      </w:r>
      <w:bookmarkEnd w:id="255"/>
    </w:p>
    <w:p w14:paraId="31AE89E2" w14:textId="77777777" w:rsidR="008D4986" w:rsidRPr="004F0FE2" w:rsidRDefault="00CE13E1" w:rsidP="00673269">
      <w:pPr>
        <w:ind w:right="567"/>
      </w:pPr>
      <w:r w:rsidRPr="004F0FE2">
        <w:t xml:space="preserve">All </w:t>
      </w:r>
      <w:r w:rsidR="00C41AEC" w:rsidRPr="004F0FE2">
        <w:t>safety assessments were summarized by appropriate descriptive statistics</w:t>
      </w:r>
      <w:r w:rsidRPr="004F0FE2">
        <w:t xml:space="preserve"> by study group in the Safety population</w:t>
      </w:r>
      <w:r w:rsidR="00C41AEC" w:rsidRPr="004F0FE2">
        <w:t>.</w:t>
      </w:r>
      <w:r w:rsidRPr="004F0FE2">
        <w:t xml:space="preserve"> </w:t>
      </w:r>
      <w:r w:rsidR="008D4986" w:rsidRPr="004F0FE2">
        <w:t xml:space="preserve">Analysis of safety-related data was considered at four levels: </w:t>
      </w:r>
    </w:p>
    <w:p w14:paraId="0FEC5FF2" w14:textId="77777777" w:rsidR="008D4986" w:rsidRPr="004F0FE2" w:rsidRDefault="008D4986" w:rsidP="00673269">
      <w:pPr>
        <w:numPr>
          <w:ilvl w:val="0"/>
          <w:numId w:val="23"/>
        </w:numPr>
        <w:ind w:left="284" w:right="567" w:hanging="284"/>
      </w:pPr>
      <w:r w:rsidRPr="004F0FE2">
        <w:t>First, the extent of exposure (dose, duration, number of patients) was examined to determine the degree to which safety can be assessed from the study.</w:t>
      </w:r>
    </w:p>
    <w:p w14:paraId="7A298D45" w14:textId="77777777" w:rsidR="008D4986" w:rsidRPr="004F0FE2" w:rsidRDefault="008D4986" w:rsidP="00673269">
      <w:pPr>
        <w:numPr>
          <w:ilvl w:val="0"/>
          <w:numId w:val="23"/>
        </w:numPr>
        <w:ind w:left="284" w:right="567" w:hanging="284"/>
      </w:pPr>
      <w:r w:rsidRPr="004F0FE2">
        <w:t>Second, we described and compared clinically relevant test</w:t>
      </w:r>
      <w:r w:rsidR="00CE13E1" w:rsidRPr="004F0FE2">
        <w:t>s</w:t>
      </w:r>
      <w:r w:rsidRPr="004F0FE2">
        <w:t xml:space="preserve">, concomitant medications and adverse events reported in every study group. For adverse events, we reported intensity, causality, body system, action taken, and outcome. </w:t>
      </w:r>
    </w:p>
    <w:p w14:paraId="271D7F69" w14:textId="77777777" w:rsidR="008D4986" w:rsidRPr="004F0FE2" w:rsidRDefault="008D4986" w:rsidP="00673269">
      <w:pPr>
        <w:numPr>
          <w:ilvl w:val="0"/>
          <w:numId w:val="23"/>
        </w:numPr>
        <w:ind w:left="284" w:right="567" w:hanging="284"/>
      </w:pPr>
      <w:r w:rsidRPr="004F0FE2">
        <w:t xml:space="preserve">Third, serious adverse events, deaths and study discontinuations were described and examined in every study group. </w:t>
      </w:r>
    </w:p>
    <w:p w14:paraId="31ADB5FD" w14:textId="77777777" w:rsidR="008D4986" w:rsidRPr="004F0FE2" w:rsidRDefault="008D4986" w:rsidP="00673269">
      <w:pPr>
        <w:numPr>
          <w:ilvl w:val="0"/>
          <w:numId w:val="23"/>
        </w:numPr>
        <w:ind w:left="284" w:right="567" w:hanging="284"/>
      </w:pPr>
      <w:r w:rsidRPr="004F0FE2">
        <w:t xml:space="preserve">Finally, </w:t>
      </w:r>
      <w:bookmarkStart w:id="256" w:name="OLE_LINK5"/>
      <w:r w:rsidRPr="004F0FE2">
        <w:t>patient grade 3 and 4 toxicities in every study group were classified by MedDRA system organ class and compared between patient baseline characteristics</w:t>
      </w:r>
      <w:bookmarkEnd w:id="256"/>
      <w:r w:rsidRPr="004F0FE2">
        <w:t>.</w:t>
      </w:r>
    </w:p>
    <w:p w14:paraId="702B7264" w14:textId="77777777" w:rsidR="00C41AEC" w:rsidRPr="004F0FE2" w:rsidRDefault="001E3857" w:rsidP="00673269">
      <w:pPr>
        <w:spacing w:before="120"/>
        <w:ind w:right="567"/>
        <w:rPr>
          <w:b/>
        </w:rPr>
      </w:pPr>
      <w:r w:rsidRPr="004F0FE2">
        <w:rPr>
          <w:b/>
        </w:rPr>
        <w:t xml:space="preserve">(a) </w:t>
      </w:r>
      <w:r w:rsidR="00C41AEC" w:rsidRPr="004F0FE2">
        <w:rPr>
          <w:b/>
        </w:rPr>
        <w:t>Adverse events</w:t>
      </w:r>
    </w:p>
    <w:p w14:paraId="4DD04B1B" w14:textId="77777777" w:rsidR="00D15D54" w:rsidRPr="004F0FE2" w:rsidRDefault="00CE13E1" w:rsidP="00673269">
      <w:pPr>
        <w:ind w:right="567"/>
      </w:pPr>
      <w:r w:rsidRPr="004F0FE2">
        <w:t xml:space="preserve">All AEs recorded on the </w:t>
      </w:r>
      <w:r w:rsidR="00D15D54" w:rsidRPr="004F0FE2">
        <w:t>CRF</w:t>
      </w:r>
      <w:r w:rsidRPr="004F0FE2">
        <w:t>s</w:t>
      </w:r>
      <w:r w:rsidR="00D15D54" w:rsidRPr="004F0FE2">
        <w:t xml:space="preserve"> were coded using the current version of MedDRA to give a </w:t>
      </w:r>
      <w:bookmarkStart w:id="257" w:name="OLE_LINK45"/>
      <w:bookmarkStart w:id="258" w:name="OLE_LINK46"/>
      <w:r w:rsidR="00D15D54" w:rsidRPr="004F0FE2">
        <w:t>system organ class (SOC</w:t>
      </w:r>
      <w:bookmarkEnd w:id="257"/>
      <w:bookmarkEnd w:id="258"/>
      <w:r w:rsidR="00D15D54" w:rsidRPr="004F0FE2">
        <w:t xml:space="preserve">) and </w:t>
      </w:r>
      <w:bookmarkStart w:id="259" w:name="OLE_LINK47"/>
      <w:r w:rsidR="00D15D54" w:rsidRPr="004F0FE2">
        <w:t xml:space="preserve">preferred term </w:t>
      </w:r>
      <w:bookmarkEnd w:id="259"/>
      <w:r w:rsidR="00D15D54" w:rsidRPr="004F0FE2">
        <w:t xml:space="preserve">(PT) for each event. Adverse events </w:t>
      </w:r>
      <w:r w:rsidRPr="004F0FE2">
        <w:t>were</w:t>
      </w:r>
      <w:r w:rsidR="00D15D54" w:rsidRPr="004F0FE2">
        <w:t xml:space="preserve"> coded with grades defined according to CTCAE V4.0 criteria</w:t>
      </w:r>
      <w:r w:rsidRPr="004F0FE2">
        <w:t xml:space="preserve"> </w:t>
      </w:r>
      <w:r w:rsidRPr="004F0FE2">
        <w:fldChar w:fldCharType="begin" w:fldLock="1"/>
      </w:r>
      <w:r w:rsidR="0035303F" w:rsidRPr="004F0FE2">
        <w:instrText>ADDIN CSL_CITATION {"citationItems":[{"id":"ITEM-1","itemData":{"author":[{"dropping-particle":"","family":"Cancer Institute","given":"National","non-dropping-particle":"","parse-names":false,"suffix":""}],"id":"ITEM-1","issued":{"date-parts":[["2009"]]},"title":"Common Terminology Criteria for Adverse Events (CTCAE) Version 4.0","type":"report"},"uris":["http://www.mendeley.com/documents/?uuid=1f08f697-0ac8-3cb5-adec-487a2e467d77"]}],"mendeley":{"formattedCitation":"[2]","plainTextFormattedCitation":"[2]","previouslyFormattedCitation":"[2]"},"properties":{"noteIndex":0},"schema":"https://github.com/citation-style-language/schema/raw/master/csl-citation.json"}</w:instrText>
      </w:r>
      <w:r w:rsidRPr="004F0FE2">
        <w:fldChar w:fldCharType="separate"/>
      </w:r>
      <w:r w:rsidRPr="004F0FE2">
        <w:t>[2]</w:t>
      </w:r>
      <w:r w:rsidRPr="004F0FE2">
        <w:fldChar w:fldCharType="end"/>
      </w:r>
      <w:r w:rsidR="00D15D54" w:rsidRPr="004F0FE2">
        <w:t>.</w:t>
      </w:r>
    </w:p>
    <w:p w14:paraId="4ADE307C" w14:textId="5BBC6871" w:rsidR="005E11EE" w:rsidRPr="004F0FE2" w:rsidRDefault="00D15D54" w:rsidP="00673269">
      <w:pPr>
        <w:ind w:right="567"/>
      </w:pPr>
      <w:r w:rsidRPr="004F0FE2">
        <w:t xml:space="preserve">Treatment-emergent AEs (i.e. those events occur after the first study medication administration and were not present at baseline or worsened in severity following the start of treatment) were tabulated according to </w:t>
      </w:r>
      <w:r w:rsidR="005E11EE" w:rsidRPr="004F0FE2">
        <w:t xml:space="preserve">intensity, </w:t>
      </w:r>
      <w:r w:rsidRPr="004F0FE2">
        <w:t>causality</w:t>
      </w:r>
      <w:r w:rsidR="005E11EE" w:rsidRPr="004F0FE2">
        <w:t>, body system, action taken, and outcome.</w:t>
      </w:r>
      <w:r w:rsidR="003448C4">
        <w:t xml:space="preserve"> </w:t>
      </w:r>
      <w:r w:rsidRPr="004F0FE2">
        <w:t>If intensity of an AE or causality of an AE to the study medication were missing, a worst-case scenario prevailed.</w:t>
      </w:r>
    </w:p>
    <w:p w14:paraId="48F6F18B" w14:textId="77777777" w:rsidR="00D15D54" w:rsidRPr="004F0FE2" w:rsidRDefault="00D15D54" w:rsidP="00673269">
      <w:pPr>
        <w:ind w:right="567"/>
      </w:pPr>
      <w:r w:rsidRPr="004F0FE2">
        <w:t xml:space="preserve">The following summaries </w:t>
      </w:r>
      <w:r w:rsidR="009C200C" w:rsidRPr="004F0FE2">
        <w:t>were</w:t>
      </w:r>
      <w:r w:rsidRPr="004F0FE2">
        <w:t xml:space="preserve"> provided:</w:t>
      </w:r>
    </w:p>
    <w:p w14:paraId="449D3BEF" w14:textId="77777777" w:rsidR="00D15D54" w:rsidRPr="004F0FE2" w:rsidRDefault="00D15D54" w:rsidP="00673269">
      <w:pPr>
        <w:numPr>
          <w:ilvl w:val="0"/>
          <w:numId w:val="24"/>
        </w:numPr>
        <w:ind w:right="567"/>
      </w:pPr>
      <w:r w:rsidRPr="004F0FE2">
        <w:t>An overview of adverse events by treatment group (number of subjects with at least one AEs, number of subjects with at least one TEAE, number of subjects with serious TEAE, number of subjects with non-serious TEAE, number of deaths, number of subjects with TEAE leading to discontinuation of study treatment, number of subjects dropped out due to AE).</w:t>
      </w:r>
    </w:p>
    <w:p w14:paraId="5F1122E1" w14:textId="77777777" w:rsidR="00D15D54" w:rsidRPr="004F0FE2" w:rsidRDefault="00D15D54" w:rsidP="00673269">
      <w:pPr>
        <w:numPr>
          <w:ilvl w:val="0"/>
          <w:numId w:val="24"/>
        </w:numPr>
        <w:ind w:right="567"/>
      </w:pPr>
      <w:r w:rsidRPr="004F0FE2">
        <w:t xml:space="preserve">A summary of the number and percentage of subjects reporting a </w:t>
      </w:r>
      <w:r w:rsidR="005E11EE" w:rsidRPr="004F0FE2">
        <w:t>TEAE</w:t>
      </w:r>
      <w:r w:rsidRPr="004F0FE2">
        <w:t xml:space="preserve"> </w:t>
      </w:r>
      <w:r w:rsidR="009F1371" w:rsidRPr="004F0FE2">
        <w:t xml:space="preserve">(and IMP-related TEAEs) </w:t>
      </w:r>
      <w:r w:rsidRPr="004F0FE2">
        <w:t>by treatment group, SOC, and PT.</w:t>
      </w:r>
    </w:p>
    <w:p w14:paraId="2F73F086" w14:textId="77777777" w:rsidR="00D15D54" w:rsidRPr="004F0FE2" w:rsidRDefault="00D15D54" w:rsidP="00673269">
      <w:pPr>
        <w:numPr>
          <w:ilvl w:val="0"/>
          <w:numId w:val="24"/>
        </w:numPr>
        <w:ind w:right="567"/>
      </w:pPr>
      <w:r w:rsidRPr="004F0FE2">
        <w:t xml:space="preserve">A summary of the number and percentage of subjects reporting a </w:t>
      </w:r>
      <w:r w:rsidR="009F1371" w:rsidRPr="004F0FE2">
        <w:t xml:space="preserve">grade ≥ 3 </w:t>
      </w:r>
      <w:r w:rsidR="005E11EE" w:rsidRPr="004F0FE2">
        <w:t xml:space="preserve">TEAE </w:t>
      </w:r>
      <w:r w:rsidR="009F1371" w:rsidRPr="004F0FE2">
        <w:t xml:space="preserve">(and IMP-related grade ≥ 3 TEAE) </w:t>
      </w:r>
      <w:r w:rsidRPr="004F0FE2">
        <w:t>by treatment group, by maximum intensity, SOC and PT.</w:t>
      </w:r>
    </w:p>
    <w:p w14:paraId="0DDF15E8" w14:textId="77777777" w:rsidR="00D15D54" w:rsidRPr="004F0FE2" w:rsidRDefault="00D15D54" w:rsidP="00673269">
      <w:pPr>
        <w:numPr>
          <w:ilvl w:val="0"/>
          <w:numId w:val="24"/>
        </w:numPr>
        <w:ind w:right="567"/>
      </w:pPr>
      <w:r w:rsidRPr="004F0FE2">
        <w:t xml:space="preserve">A summary of the number and percentage of subjects reporting a serious </w:t>
      </w:r>
      <w:r w:rsidR="005E11EE" w:rsidRPr="004F0FE2">
        <w:t>TEAE</w:t>
      </w:r>
      <w:r w:rsidR="009F1371" w:rsidRPr="004F0FE2">
        <w:t xml:space="preserve"> (and IMP-related serious TEAEs)</w:t>
      </w:r>
      <w:r w:rsidRPr="004F0FE2">
        <w:t>, by treatment group, SOC and PT.</w:t>
      </w:r>
    </w:p>
    <w:p w14:paraId="425814DC" w14:textId="77777777" w:rsidR="00D15D54" w:rsidRPr="004F0FE2" w:rsidRDefault="00D15D54" w:rsidP="00673269">
      <w:pPr>
        <w:numPr>
          <w:ilvl w:val="0"/>
          <w:numId w:val="24"/>
        </w:numPr>
        <w:ind w:right="567"/>
      </w:pPr>
      <w:r w:rsidRPr="004F0FE2">
        <w:t xml:space="preserve">A summary of the number and percentage of subjects reporting a </w:t>
      </w:r>
      <w:r w:rsidR="005E11EE" w:rsidRPr="004F0FE2">
        <w:t xml:space="preserve">TEAE </w:t>
      </w:r>
      <w:r w:rsidRPr="004F0FE2">
        <w:t>resulting in death during the study, by treatment group, SOC and PT.</w:t>
      </w:r>
    </w:p>
    <w:p w14:paraId="482522E0" w14:textId="77777777" w:rsidR="00D15D54" w:rsidRPr="004F0FE2" w:rsidRDefault="00D15D54" w:rsidP="00673269">
      <w:pPr>
        <w:numPr>
          <w:ilvl w:val="0"/>
          <w:numId w:val="24"/>
        </w:numPr>
        <w:ind w:right="567"/>
      </w:pPr>
      <w:r w:rsidRPr="004F0FE2">
        <w:t xml:space="preserve">A summary of the number and percentage of subjects with </w:t>
      </w:r>
      <w:r w:rsidR="009F1371" w:rsidRPr="004F0FE2">
        <w:t>TEAEs</w:t>
      </w:r>
      <w:r w:rsidRPr="004F0FE2">
        <w:t xml:space="preserve"> leading to discontinuation of study drug, by treatment group, SOC and PT.</w:t>
      </w:r>
    </w:p>
    <w:p w14:paraId="49A2FCD8" w14:textId="77777777" w:rsidR="009C200C" w:rsidRPr="004F0FE2" w:rsidRDefault="001E3857" w:rsidP="00673269">
      <w:pPr>
        <w:spacing w:before="120"/>
        <w:ind w:right="567"/>
        <w:rPr>
          <w:b/>
        </w:rPr>
      </w:pPr>
      <w:bookmarkStart w:id="260" w:name="_Toc34224321"/>
      <w:r w:rsidRPr="004F0FE2">
        <w:rPr>
          <w:b/>
        </w:rPr>
        <w:t xml:space="preserve">(b) </w:t>
      </w:r>
      <w:r w:rsidR="009C200C" w:rsidRPr="004F0FE2">
        <w:rPr>
          <w:b/>
        </w:rPr>
        <w:t>Clinical Laboratory Parameters</w:t>
      </w:r>
      <w:bookmarkEnd w:id="260"/>
    </w:p>
    <w:p w14:paraId="0CCAD3E5" w14:textId="77777777" w:rsidR="009C200C" w:rsidRPr="004F0FE2" w:rsidRDefault="009C200C" w:rsidP="00673269">
      <w:pPr>
        <w:ind w:right="567"/>
      </w:pPr>
      <w:r w:rsidRPr="004F0FE2">
        <w:t xml:space="preserve">All hematology and biochemistry parameters were presented by descriptive statistics in a tabulated summary by time point of assessment per treatment group together with the respective changes </w:t>
      </w:r>
      <w:r w:rsidRPr="004F0FE2">
        <w:lastRenderedPageBreak/>
        <w:t xml:space="preserve">from baseline. In addition, a frequency table for clinically significant values was presented by time point of assessment. </w:t>
      </w:r>
    </w:p>
    <w:p w14:paraId="5C2FC178" w14:textId="77777777" w:rsidR="009C200C" w:rsidRPr="004F0FE2" w:rsidRDefault="001E3857" w:rsidP="00673269">
      <w:pPr>
        <w:ind w:right="567"/>
        <w:rPr>
          <w:b/>
        </w:rPr>
      </w:pPr>
      <w:bookmarkStart w:id="261" w:name="_Toc34224322"/>
      <w:r w:rsidRPr="004F0FE2">
        <w:rPr>
          <w:b/>
        </w:rPr>
        <w:t xml:space="preserve">(c) </w:t>
      </w:r>
      <w:r w:rsidR="009C200C" w:rsidRPr="004F0FE2">
        <w:rPr>
          <w:b/>
        </w:rPr>
        <w:t>Vital Signs</w:t>
      </w:r>
      <w:bookmarkEnd w:id="261"/>
    </w:p>
    <w:p w14:paraId="2F1E0B29" w14:textId="77777777" w:rsidR="009C200C" w:rsidRPr="004F0FE2" w:rsidRDefault="009C200C" w:rsidP="00673269">
      <w:pPr>
        <w:ind w:right="567"/>
      </w:pPr>
      <w:r w:rsidRPr="004F0FE2">
        <w:t xml:space="preserve">Weight, systolic and diastolic blood pressure, heart rate and respiratory rate were presented by descriptive statistics in a tabulated summary by time point of assessment per treatment group together with the respective changes from baseline. In addition, frequency tables for the number of patients with increases or decreases from baseline in systolic/diastolic blood pressure of &gt;20 mmHg and pulse rate of &gt;15 </w:t>
      </w:r>
      <w:bookmarkStart w:id="262" w:name="OLE_LINK49"/>
      <w:bookmarkStart w:id="263" w:name="OLE_LINK50"/>
      <w:r w:rsidRPr="004F0FE2">
        <w:t xml:space="preserve">bpm </w:t>
      </w:r>
      <w:bookmarkEnd w:id="262"/>
      <w:bookmarkEnd w:id="263"/>
      <w:r w:rsidRPr="004F0FE2">
        <w:t xml:space="preserve">were provided by time point of assessment and overall. </w:t>
      </w:r>
      <w:bookmarkStart w:id="264" w:name="_Toc34224323"/>
    </w:p>
    <w:p w14:paraId="2E9EF352" w14:textId="77777777" w:rsidR="009C200C" w:rsidRPr="004F0FE2" w:rsidRDefault="001E3857" w:rsidP="00673269">
      <w:pPr>
        <w:ind w:right="567"/>
        <w:rPr>
          <w:b/>
        </w:rPr>
      </w:pPr>
      <w:r w:rsidRPr="004F0FE2">
        <w:rPr>
          <w:b/>
        </w:rPr>
        <w:t xml:space="preserve">(d) </w:t>
      </w:r>
      <w:r w:rsidR="009C200C" w:rsidRPr="004F0FE2">
        <w:rPr>
          <w:b/>
        </w:rPr>
        <w:t>Physical Examination</w:t>
      </w:r>
      <w:bookmarkEnd w:id="264"/>
    </w:p>
    <w:p w14:paraId="22E958F2" w14:textId="77777777" w:rsidR="009C200C" w:rsidRPr="004F0FE2" w:rsidRDefault="009C200C" w:rsidP="00673269">
      <w:pPr>
        <w:ind w:right="567"/>
      </w:pPr>
      <w:r w:rsidRPr="004F0FE2">
        <w:t xml:space="preserve">A frequency table per treatment group, time point and body system </w:t>
      </w:r>
      <w:proofErr w:type="gramStart"/>
      <w:r w:rsidRPr="004F0FE2">
        <w:t>was</w:t>
      </w:r>
      <w:proofErr w:type="gramEnd"/>
      <w:r w:rsidRPr="004F0FE2">
        <w:t xml:space="preserve"> provided for assessment results of normal, abnormal and not done.</w:t>
      </w:r>
    </w:p>
    <w:p w14:paraId="6D0612AE" w14:textId="77777777" w:rsidR="00583C8F" w:rsidRPr="004F0FE2" w:rsidRDefault="00583C8F" w:rsidP="00673269">
      <w:pPr>
        <w:pStyle w:val="Ttulo3"/>
        <w:ind w:right="567"/>
        <w:rPr>
          <w:lang w:eastAsia="es-ES"/>
        </w:rPr>
      </w:pPr>
      <w:bookmarkStart w:id="265" w:name="_Toc52468114"/>
      <w:r w:rsidRPr="004F0FE2">
        <w:rPr>
          <w:lang w:eastAsia="es-ES"/>
        </w:rPr>
        <w:t>Handling of missing values/censoring/discontinuations</w:t>
      </w:r>
      <w:bookmarkEnd w:id="265"/>
    </w:p>
    <w:p w14:paraId="1D078417" w14:textId="77777777" w:rsidR="009C200C" w:rsidRPr="004F0FE2" w:rsidRDefault="009C200C" w:rsidP="00673269">
      <w:pPr>
        <w:ind w:right="567"/>
      </w:pPr>
      <w:r w:rsidRPr="004F0FE2">
        <w:t xml:space="preserve">The analysis of the efficacy endpoints (progression and death) was based on a log-rank or Cox regression tests and, therefore, not affected by patient withdrawals (as they will be censored) provided that dropping out was unrelated to prognosis. Patients with missing information in other outcomes, such as </w:t>
      </w:r>
      <w:r w:rsidR="009F1371" w:rsidRPr="004F0FE2">
        <w:t>CBR</w:t>
      </w:r>
      <w:r w:rsidRPr="004F0FE2">
        <w:t xml:space="preserve"> or </w:t>
      </w:r>
      <w:r w:rsidR="009F1371" w:rsidRPr="004F0FE2">
        <w:t>ORR</w:t>
      </w:r>
      <w:r w:rsidRPr="004F0FE2">
        <w:t>, were considered as no responders. Furthermore, we reported reasons for withdrawal for each randomization group and compared the reasons qualitatively.</w:t>
      </w:r>
    </w:p>
    <w:p w14:paraId="446328F7" w14:textId="77777777" w:rsidR="00583C8F" w:rsidRPr="004F0FE2" w:rsidRDefault="00583C8F" w:rsidP="00673269">
      <w:pPr>
        <w:pStyle w:val="Ttulo3"/>
        <w:ind w:right="567"/>
        <w:rPr>
          <w:lang w:eastAsia="es-ES"/>
        </w:rPr>
      </w:pPr>
      <w:bookmarkStart w:id="266" w:name="_Toc52468115"/>
      <w:r w:rsidRPr="004F0FE2">
        <w:rPr>
          <w:lang w:eastAsia="es-ES"/>
        </w:rPr>
        <w:t>Sample size calculation</w:t>
      </w:r>
      <w:bookmarkEnd w:id="266"/>
    </w:p>
    <w:p w14:paraId="2B2777EE" w14:textId="77777777" w:rsidR="00BF5153" w:rsidRPr="004F0FE2" w:rsidRDefault="00BF5153" w:rsidP="00673269">
      <w:pPr>
        <w:ind w:right="567"/>
      </w:pPr>
      <w:r w:rsidRPr="004F0FE2">
        <w:t xml:space="preserve">The primary endpoint </w:t>
      </w:r>
      <w:r w:rsidR="006E06E5" w:rsidRPr="004F0FE2">
        <w:t>of this trial was</w:t>
      </w:r>
      <w:r w:rsidRPr="004F0FE2">
        <w:t xml:space="preserve"> </w:t>
      </w:r>
      <w:r w:rsidR="009F1371" w:rsidRPr="004F0FE2">
        <w:t>PFS</w:t>
      </w:r>
      <w:r w:rsidRPr="004F0FE2">
        <w:t xml:space="preserve"> according to RECIST version 1.1. The primary analysis </w:t>
      </w:r>
      <w:r w:rsidR="006E06E5" w:rsidRPr="004F0FE2">
        <w:t>was</w:t>
      </w:r>
      <w:r w:rsidRPr="004F0FE2">
        <w:t xml:space="preserve"> to compare the efficacy of </w:t>
      </w:r>
      <w:proofErr w:type="spellStart"/>
      <w:r w:rsidRPr="004F0FE2">
        <w:t>palbociclib</w:t>
      </w:r>
      <w:proofErr w:type="spellEnd"/>
      <w:r w:rsidRPr="004F0FE2">
        <w:t xml:space="preserve"> in combination with </w:t>
      </w:r>
      <w:proofErr w:type="spellStart"/>
      <w:r w:rsidRPr="004F0FE2">
        <w:t>fulvestrant</w:t>
      </w:r>
      <w:proofErr w:type="spellEnd"/>
      <w:r w:rsidRPr="004F0FE2">
        <w:t xml:space="preserve"> (interventional arm) versus </w:t>
      </w:r>
      <w:proofErr w:type="spellStart"/>
      <w:r w:rsidRPr="004F0FE2">
        <w:t>palbociclib</w:t>
      </w:r>
      <w:proofErr w:type="spellEnd"/>
      <w:r w:rsidRPr="004F0FE2">
        <w:t xml:space="preserve"> plus letrozole (control arm).</w:t>
      </w:r>
    </w:p>
    <w:p w14:paraId="2430A407" w14:textId="77777777" w:rsidR="00BF5153" w:rsidRPr="004F0FE2" w:rsidRDefault="001E3857" w:rsidP="00673269">
      <w:pPr>
        <w:spacing w:before="120"/>
        <w:ind w:right="567"/>
        <w:rPr>
          <w:b/>
        </w:rPr>
      </w:pPr>
      <w:r w:rsidRPr="004F0FE2">
        <w:rPr>
          <w:b/>
        </w:rPr>
        <w:t xml:space="preserve">(a) </w:t>
      </w:r>
      <w:r w:rsidR="00BF5153" w:rsidRPr="004F0FE2">
        <w:rPr>
          <w:b/>
        </w:rPr>
        <w:t>Superiority analysis:</w:t>
      </w:r>
    </w:p>
    <w:p w14:paraId="79116DB7" w14:textId="77777777" w:rsidR="00BF5153" w:rsidRPr="004F0FE2" w:rsidRDefault="00BF5153" w:rsidP="00673269">
      <w:pPr>
        <w:ind w:right="567"/>
      </w:pPr>
      <w:r w:rsidRPr="004F0FE2">
        <w:t xml:space="preserve">Based on published efficacy data for </w:t>
      </w:r>
      <w:proofErr w:type="spellStart"/>
      <w:r w:rsidRPr="004F0FE2">
        <w:t>palbociclib</w:t>
      </w:r>
      <w:proofErr w:type="spellEnd"/>
      <w:r w:rsidRPr="004F0FE2">
        <w:t xml:space="preserve"> and </w:t>
      </w:r>
      <w:proofErr w:type="spellStart"/>
      <w:r w:rsidRPr="004F0FE2">
        <w:t>fulvestrant</w:t>
      </w:r>
      <w:proofErr w:type="spellEnd"/>
      <w:r w:rsidRPr="004F0FE2">
        <w:t xml:space="preserve"> in similar target population, the investigator hypothesis (H</w:t>
      </w:r>
      <w:r w:rsidRPr="004F0FE2">
        <w:rPr>
          <w:vertAlign w:val="subscript"/>
        </w:rPr>
        <w:t>1</w:t>
      </w:r>
      <w:r w:rsidRPr="004F0FE2">
        <w:t xml:space="preserve">) </w:t>
      </w:r>
      <w:r w:rsidR="006E06E5" w:rsidRPr="004F0FE2">
        <w:t xml:space="preserve">was </w:t>
      </w:r>
      <w:r w:rsidRPr="004F0FE2">
        <w:t xml:space="preserve">that median PFS in the </w:t>
      </w:r>
      <w:proofErr w:type="spellStart"/>
      <w:r w:rsidRPr="004F0FE2">
        <w:t>palbociclib</w:t>
      </w:r>
      <w:proofErr w:type="spellEnd"/>
      <w:r w:rsidRPr="004F0FE2">
        <w:t xml:space="preserve"> plus </w:t>
      </w:r>
      <w:proofErr w:type="spellStart"/>
      <w:r w:rsidRPr="004F0FE2">
        <w:t>fulvestrant</w:t>
      </w:r>
      <w:proofErr w:type="spellEnd"/>
      <w:r w:rsidRPr="004F0FE2">
        <w:t xml:space="preserve"> arm (31.3 months) will be higher (</w:t>
      </w:r>
      <w:r w:rsidR="00BF588A" w:rsidRPr="004F0FE2">
        <w:t>HR</w:t>
      </w:r>
      <w:r w:rsidRPr="004F0FE2">
        <w:t xml:space="preserve"> = 0.7) than in the </w:t>
      </w:r>
      <w:r w:rsidR="00B54736" w:rsidRPr="004F0FE2">
        <w:t>control group</w:t>
      </w:r>
      <w:r w:rsidRPr="004F0FE2">
        <w:t xml:space="preserve"> (22 months). Therefore, we test</w:t>
      </w:r>
      <w:r w:rsidR="00B54736" w:rsidRPr="004F0FE2">
        <w:t>ed</w:t>
      </w:r>
      <w:r w:rsidRPr="004F0FE2">
        <w:t xml:space="preserve"> the null hypothesis (H</w:t>
      </w:r>
      <w:r w:rsidRPr="004F0FE2">
        <w:rPr>
          <w:vertAlign w:val="subscript"/>
        </w:rPr>
        <w:t>0</w:t>
      </w:r>
      <w:r w:rsidRPr="004F0FE2">
        <w:t xml:space="preserve">) that median PFS is equal in both groups. The analysis </w:t>
      </w:r>
      <w:r w:rsidR="00B54736" w:rsidRPr="004F0FE2">
        <w:t>was</w:t>
      </w:r>
      <w:r w:rsidRPr="004F0FE2">
        <w:t xml:space="preserve"> performed with </w:t>
      </w:r>
      <w:r w:rsidR="00AC72BC" w:rsidRPr="004F0FE2">
        <w:t>a l</w:t>
      </w:r>
      <w:r w:rsidRPr="004F0FE2">
        <w:t>og-</w:t>
      </w:r>
      <w:r w:rsidR="00AC72BC" w:rsidRPr="004F0FE2">
        <w:t>r</w:t>
      </w:r>
      <w:r w:rsidRPr="004F0FE2">
        <w:t>ank test</w:t>
      </w:r>
      <w:r w:rsidR="00B54736" w:rsidRPr="004F0FE2">
        <w:t xml:space="preserve"> assuming </w:t>
      </w:r>
      <w:r w:rsidRPr="004F0FE2">
        <w:t>an exponential survival function. We estimate</w:t>
      </w:r>
      <w:r w:rsidR="00AC72BC" w:rsidRPr="004F0FE2">
        <w:t>d</w:t>
      </w:r>
      <w:r w:rsidRPr="004F0FE2">
        <w:t xml:space="preserve"> a 24 </w:t>
      </w:r>
      <w:r w:rsidR="00111663" w:rsidRPr="004F0FE2">
        <w:t>months’</w:t>
      </w:r>
      <w:r w:rsidRPr="004F0FE2">
        <w:t xml:space="preserve"> accrual period and a 12 </w:t>
      </w:r>
      <w:r w:rsidR="00111663" w:rsidRPr="004F0FE2">
        <w:t>months’</w:t>
      </w:r>
      <w:r w:rsidRPr="004F0FE2">
        <w:t xml:space="preserve"> treatment period (maximum follow-up of 36 mo</w:t>
      </w:r>
      <w:r w:rsidR="00B54736" w:rsidRPr="004F0FE2">
        <w:t>nths</w:t>
      </w:r>
      <w:r w:rsidRPr="004F0FE2">
        <w:t xml:space="preserve">). We planned a </w:t>
      </w:r>
      <w:r w:rsidR="00AC72BC" w:rsidRPr="004F0FE2">
        <w:t xml:space="preserve">stratified randomization </w:t>
      </w:r>
      <w:r w:rsidR="0035303F" w:rsidRPr="004F0FE2">
        <w:t>with</w:t>
      </w:r>
      <w:r w:rsidR="00AC72BC" w:rsidRPr="004F0FE2">
        <w:t xml:space="preserve"> a 1:1 </w:t>
      </w:r>
      <w:r w:rsidR="0035303F" w:rsidRPr="004F0FE2">
        <w:t xml:space="preserve">allocation </w:t>
      </w:r>
      <w:r w:rsidR="00AC72BC" w:rsidRPr="004F0FE2">
        <w:t>ratio</w:t>
      </w:r>
      <w:r w:rsidRPr="004F0FE2">
        <w:t xml:space="preserve">. Regarding type I and type II errors, we assumed a power of 80% and a two-sided overall alpha error of 5%. An interim analysis </w:t>
      </w:r>
      <w:r w:rsidR="00B54736" w:rsidRPr="004F0FE2">
        <w:t xml:space="preserve">was to </w:t>
      </w:r>
      <w:r w:rsidRPr="004F0FE2">
        <w:t xml:space="preserve">occur at 22 </w:t>
      </w:r>
      <w:r w:rsidR="00B54736" w:rsidRPr="004F0FE2">
        <w:t>months</w:t>
      </w:r>
      <w:r w:rsidRPr="004F0FE2">
        <w:t xml:space="preserve"> with 89 events (35% of total events expected). The final analysis </w:t>
      </w:r>
      <w:r w:rsidR="00B54736" w:rsidRPr="004F0FE2">
        <w:t>was to be</w:t>
      </w:r>
      <w:r w:rsidRPr="004F0FE2">
        <w:t xml:space="preserve"> performed at approximately 36 mo</w:t>
      </w:r>
      <w:r w:rsidR="00B54736" w:rsidRPr="004F0FE2">
        <w:t>nths</w:t>
      </w:r>
      <w:r w:rsidRPr="004F0FE2">
        <w:t xml:space="preserve"> with 254 events and 486 patients include</w:t>
      </w:r>
      <w:r w:rsidR="00B54736" w:rsidRPr="004F0FE2">
        <w:t xml:space="preserve">d (52% PFS event rate assumed). </w:t>
      </w:r>
      <w:r w:rsidR="00AC72BC" w:rsidRPr="004F0FE2">
        <w:t>According to Lan-</w:t>
      </w:r>
      <w:proofErr w:type="spellStart"/>
      <w:r w:rsidR="00AC72BC" w:rsidRPr="004F0FE2">
        <w:t>DeMets</w:t>
      </w:r>
      <w:proofErr w:type="spellEnd"/>
      <w:r w:rsidR="00AC72BC" w:rsidRPr="004F0FE2">
        <w:t xml:space="preserve"> </w:t>
      </w:r>
      <w:proofErr w:type="spellStart"/>
      <w:r w:rsidRPr="004F0FE2">
        <w:t>O'brien</w:t>
      </w:r>
      <w:proofErr w:type="spellEnd"/>
      <w:r w:rsidRPr="004F0FE2">
        <w:t xml:space="preserve">-Fleming approximation spending function, the two-sided local type I error for testing the null-hypothesis within one interim and final analysis </w:t>
      </w:r>
      <w:r w:rsidR="00D71CA5" w:rsidRPr="004F0FE2">
        <w:t>were</w:t>
      </w:r>
      <w:r w:rsidRPr="004F0FE2">
        <w:t xml:space="preserve"> 0.001 and, 0.0498, respectively. Therefore, we </w:t>
      </w:r>
      <w:r w:rsidR="00B54736" w:rsidRPr="004F0FE2">
        <w:t>had to</w:t>
      </w:r>
      <w:r w:rsidRPr="004F0FE2">
        <w:t xml:space="preserve"> include 243 patients in the control arm and 243 pat</w:t>
      </w:r>
      <w:r w:rsidR="00AC72BC" w:rsidRPr="004F0FE2">
        <w:t>ients in the interventional arm: a</w:t>
      </w:r>
      <w:r w:rsidRPr="004F0FE2">
        <w:t xml:space="preserve"> total of 486 patients </w:t>
      </w:r>
      <w:r w:rsidR="00B54736" w:rsidRPr="004F0FE2">
        <w:t>were planned to be</w:t>
      </w:r>
      <w:r w:rsidRPr="004F0FE2">
        <w:t xml:space="preserve"> included in this study. </w:t>
      </w:r>
    </w:p>
    <w:p w14:paraId="2CAB0922" w14:textId="77777777" w:rsidR="00BF5153" w:rsidRPr="004F0FE2" w:rsidRDefault="00BF5153" w:rsidP="00673269">
      <w:pPr>
        <w:ind w:right="567"/>
      </w:pPr>
      <w:r w:rsidRPr="004F0FE2">
        <w:t xml:space="preserve">It can be expected that including factors of prognostic importance in the </w:t>
      </w:r>
      <w:r w:rsidR="00AC72BC" w:rsidRPr="004F0FE2">
        <w:t>C</w:t>
      </w:r>
      <w:r w:rsidRPr="004F0FE2">
        <w:t>ox regression model as defined for the confirmatory analysis will increase the power as compared to the log-rank test. However, we preferred to take a conservative approach and we accept</w:t>
      </w:r>
      <w:r w:rsidR="00B54736" w:rsidRPr="004F0FE2">
        <w:t>ed</w:t>
      </w:r>
      <w:r w:rsidRPr="004F0FE2">
        <w:t xml:space="preserve"> the sample size calculated without adjusting for prognostic factors.</w:t>
      </w:r>
    </w:p>
    <w:p w14:paraId="388A165F" w14:textId="77777777" w:rsidR="00AC72BC" w:rsidRPr="004F0FE2" w:rsidRDefault="00AC72BC" w:rsidP="00673269">
      <w:pPr>
        <w:ind w:right="567"/>
      </w:pPr>
    </w:p>
    <w:p w14:paraId="24891D1F" w14:textId="77777777" w:rsidR="00BF5153" w:rsidRPr="004F0FE2" w:rsidRDefault="001E3857" w:rsidP="00673269">
      <w:pPr>
        <w:ind w:right="567"/>
        <w:rPr>
          <w:b/>
        </w:rPr>
      </w:pPr>
      <w:r w:rsidRPr="004F0FE2">
        <w:rPr>
          <w:b/>
        </w:rPr>
        <w:t xml:space="preserve">(b) </w:t>
      </w:r>
      <w:r w:rsidR="00BF5153" w:rsidRPr="004F0FE2">
        <w:rPr>
          <w:b/>
        </w:rPr>
        <w:t>Non-inferiority analysis:</w:t>
      </w:r>
    </w:p>
    <w:p w14:paraId="3B2EE33D" w14:textId="77777777" w:rsidR="001677A4" w:rsidRPr="004F0FE2" w:rsidRDefault="00BF5153" w:rsidP="00673269">
      <w:pPr>
        <w:ind w:right="567"/>
      </w:pPr>
      <w:r w:rsidRPr="004F0FE2">
        <w:t xml:space="preserve">As per EMEA guidelines, we </w:t>
      </w:r>
      <w:r w:rsidR="0035303F" w:rsidRPr="004F0FE2">
        <w:t>planned to</w:t>
      </w:r>
      <w:r w:rsidRPr="004F0FE2">
        <w:t xml:space="preserve"> switch to non-inferiority analyses if the superiority criteria c</w:t>
      </w:r>
      <w:r w:rsidR="0035303F" w:rsidRPr="004F0FE2">
        <w:t>ould not</w:t>
      </w:r>
      <w:r w:rsidRPr="004F0FE2">
        <w:t xml:space="preserve"> be met (CPMP/EWP/482/99 EMEA guideline). We </w:t>
      </w:r>
      <w:r w:rsidR="00B54736" w:rsidRPr="004F0FE2">
        <w:t>were to</w:t>
      </w:r>
      <w:r w:rsidRPr="004F0FE2">
        <w:t xml:space="preserve"> declare non-inferiority if the upper bound 95% </w:t>
      </w:r>
      <w:r w:rsidR="0035303F" w:rsidRPr="004F0FE2">
        <w:t>CI</w:t>
      </w:r>
      <w:r w:rsidRPr="004F0FE2">
        <w:t xml:space="preserve"> of HR between median PFS in </w:t>
      </w:r>
      <w:proofErr w:type="spellStart"/>
      <w:r w:rsidRPr="004F0FE2">
        <w:t>palbociclib</w:t>
      </w:r>
      <w:proofErr w:type="spellEnd"/>
      <w:r w:rsidRPr="004F0FE2">
        <w:t xml:space="preserve"> plus letrozole and </w:t>
      </w:r>
      <w:proofErr w:type="spellStart"/>
      <w:r w:rsidRPr="004F0FE2">
        <w:t>palbociclib</w:t>
      </w:r>
      <w:proofErr w:type="spellEnd"/>
      <w:r w:rsidRPr="004F0FE2">
        <w:t xml:space="preserve"> plus </w:t>
      </w:r>
      <w:proofErr w:type="spellStart"/>
      <w:r w:rsidRPr="004F0FE2">
        <w:t>fulvestrant</w:t>
      </w:r>
      <w:proofErr w:type="spellEnd"/>
      <w:r w:rsidRPr="004F0FE2">
        <w:t xml:space="preserve"> arms, f</w:t>
      </w:r>
      <w:r w:rsidR="00B54736" w:rsidRPr="004F0FE2">
        <w:t>e</w:t>
      </w:r>
      <w:r w:rsidRPr="004F0FE2">
        <w:t xml:space="preserve">ll within </w:t>
      </w:r>
      <w:r w:rsidR="0035303F" w:rsidRPr="004F0FE2">
        <w:t>a</w:t>
      </w:r>
      <w:r w:rsidRPr="004F0FE2">
        <w:t xml:space="preserve"> non-inferiority margin of 1.21. Non-inferiority margin </w:t>
      </w:r>
      <w:r w:rsidR="00B54736" w:rsidRPr="004F0FE2">
        <w:t xml:space="preserve">is </w:t>
      </w:r>
      <w:r w:rsidRPr="004F0FE2">
        <w:t>justified according with the FDA guidance in non-inferiority studies</w:t>
      </w:r>
      <w:r w:rsidR="0035303F" w:rsidRPr="004F0FE2">
        <w:t xml:space="preserve"> </w:t>
      </w:r>
      <w:r w:rsidR="0035303F" w:rsidRPr="004F0FE2">
        <w:fldChar w:fldCharType="begin" w:fldLock="1"/>
      </w:r>
      <w:r w:rsidR="00CD67E8" w:rsidRPr="004F0FE2">
        <w:instrText>ADDIN CSL_CITATION {"citationItems":[{"id":"ITEM-1","itemData":{"author":[{"dropping-particle":"","family":"Fda","given":"","non-dropping-particle":"","parse-names":false,"suffix":""},{"dropping-particle":"","family":"Cder","given":"","non-dropping-particle":"","parse-names":false,"suffix":""},{"dropping-particle":"","family":"buckmans","given":"","non-dropping-particle":"","parse-names":false,"suffix":""}],"id":"ITEM-1","issued":{"date-parts":[["2016"]]},"title":"Non-Inferiority Clinical Trials to Establish Effectiveness Guidance for Industry","type":"report"},"uris":["http://www.mendeley.com/documents/?uuid=3640c437-a5b1-341f-8aa4-f3fec7a2c085"]}],"mendeley":{"formattedCitation":"[37]","plainTextFormattedCitation":"[37]","previouslyFormattedCitation":"[37]"},"properties":{"noteIndex":0},"schema":"https://github.com/citation-style-language/schema/raw/master/csl-citation.json"}</w:instrText>
      </w:r>
      <w:r w:rsidR="0035303F" w:rsidRPr="004F0FE2">
        <w:fldChar w:fldCharType="separate"/>
      </w:r>
      <w:r w:rsidR="0035303F" w:rsidRPr="004F0FE2">
        <w:t>[37]</w:t>
      </w:r>
      <w:r w:rsidR="0035303F" w:rsidRPr="004F0FE2">
        <w:fldChar w:fldCharType="end"/>
      </w:r>
      <w:r w:rsidRPr="004F0FE2">
        <w:t xml:space="preserve">. They propose to estimate the average effect of the active control over placebo in historical studies and </w:t>
      </w:r>
      <w:r w:rsidR="0035303F" w:rsidRPr="004F0FE2">
        <w:t>select</w:t>
      </w:r>
      <w:r w:rsidRPr="004F0FE2">
        <w:t xml:space="preserve"> the 95%CI lower </w:t>
      </w:r>
      <w:r w:rsidRPr="004F0FE2">
        <w:lastRenderedPageBreak/>
        <w:t xml:space="preserve">bound. Finally, this value should be adjusted to retain at least 50% of the historical effect of active control versus placebo arms. </w:t>
      </w:r>
      <w:r w:rsidR="00B54736" w:rsidRPr="004F0FE2">
        <w:t>Accordingly,</w:t>
      </w:r>
      <w:r w:rsidRPr="004F0FE2">
        <w:t xml:space="preserve"> the combined effect of PALOMA-1 and 2 studies </w:t>
      </w:r>
      <w:r w:rsidR="00B54736" w:rsidRPr="004F0FE2">
        <w:t>w</w:t>
      </w:r>
      <w:r w:rsidR="0078082B" w:rsidRPr="004F0FE2">
        <w:t xml:space="preserve">as 1.79 (HR, </w:t>
      </w:r>
      <w:r w:rsidRPr="004F0FE2">
        <w:t xml:space="preserve">95%CI: 1.47 to 2.18) and the non-inferiority margin </w:t>
      </w:r>
      <w:r w:rsidR="00B54736" w:rsidRPr="004F0FE2">
        <w:t xml:space="preserve">was </w:t>
      </w:r>
      <w:r w:rsidRPr="004F0FE2">
        <w:t xml:space="preserve">1.21. With 254 PFS events, if the HR ≤ 0.94 or median PFS in </w:t>
      </w:r>
      <w:proofErr w:type="spellStart"/>
      <w:r w:rsidRPr="004F0FE2">
        <w:t>palbociclib</w:t>
      </w:r>
      <w:proofErr w:type="spellEnd"/>
      <w:r w:rsidRPr="004F0FE2">
        <w:t xml:space="preserve"> plus letrozole is 22 </w:t>
      </w:r>
      <w:r w:rsidR="00B54736" w:rsidRPr="004F0FE2">
        <w:t>months</w:t>
      </w:r>
      <w:r w:rsidRPr="004F0FE2">
        <w:t xml:space="preserve"> v</w:t>
      </w:r>
      <w:r w:rsidR="005A2C25" w:rsidRPr="004F0FE2">
        <w:t>ersus</w:t>
      </w:r>
      <w:r w:rsidRPr="004F0FE2">
        <w:t xml:space="preserve"> </w:t>
      </w:r>
      <w:proofErr w:type="spellStart"/>
      <w:r w:rsidRPr="004F0FE2">
        <w:t>palbociclib</w:t>
      </w:r>
      <w:proofErr w:type="spellEnd"/>
      <w:r w:rsidRPr="004F0FE2">
        <w:t xml:space="preserve"> plus </w:t>
      </w:r>
      <w:proofErr w:type="spellStart"/>
      <w:r w:rsidRPr="004F0FE2">
        <w:t>fulvestrant</w:t>
      </w:r>
      <w:proofErr w:type="spellEnd"/>
      <w:r w:rsidRPr="004F0FE2">
        <w:t xml:space="preserve"> 23.3 m</w:t>
      </w:r>
      <w:r w:rsidR="00B54736" w:rsidRPr="004F0FE2">
        <w:t>onths</w:t>
      </w:r>
      <w:r w:rsidRPr="004F0FE2">
        <w:t xml:space="preserve"> or better, the upper bound 95% CI </w:t>
      </w:r>
      <w:r w:rsidR="005A2C25" w:rsidRPr="004F0FE2">
        <w:t xml:space="preserve">of HR </w:t>
      </w:r>
      <w:r w:rsidRPr="004F0FE2">
        <w:t>w</w:t>
      </w:r>
      <w:r w:rsidR="00B54736" w:rsidRPr="004F0FE2">
        <w:t xml:space="preserve">ould </w:t>
      </w:r>
      <w:r w:rsidRPr="004F0FE2">
        <w:t xml:space="preserve">fall within the non-inferiority margin of 1.21, allowing for </w:t>
      </w:r>
      <w:r w:rsidR="005A2C25" w:rsidRPr="004F0FE2">
        <w:t>conclusion</w:t>
      </w:r>
      <w:r w:rsidRPr="004F0FE2">
        <w:t xml:space="preserve"> that both combinations have a similar treatment effect.</w:t>
      </w:r>
      <w:r w:rsidR="00575960" w:rsidRPr="004F0FE2">
        <w:t xml:space="preserve"> </w:t>
      </w:r>
      <w:r w:rsidRPr="004F0FE2">
        <w:t>Th</w:t>
      </w:r>
      <w:r w:rsidR="005A2C25" w:rsidRPr="004F0FE2">
        <w:t>is</w:t>
      </w:r>
      <w:r w:rsidRPr="004F0FE2">
        <w:t xml:space="preserve"> sample size estimation was made using R (package </w:t>
      </w:r>
      <w:proofErr w:type="spellStart"/>
      <w:r w:rsidRPr="004F0FE2">
        <w:t>gsDesign</w:t>
      </w:r>
      <w:proofErr w:type="spellEnd"/>
      <w:r w:rsidRPr="004F0FE2">
        <w:t xml:space="preserve">), according to the formulas published by </w:t>
      </w:r>
      <w:proofErr w:type="spellStart"/>
      <w:r w:rsidRPr="004F0FE2">
        <w:t>Lachin</w:t>
      </w:r>
      <w:proofErr w:type="spellEnd"/>
      <w:r w:rsidRPr="004F0FE2">
        <w:t xml:space="preserve"> JM and Foulkes MA (1986)</w:t>
      </w:r>
      <w:r w:rsidR="005465ED" w:rsidRPr="004F0FE2">
        <w:t xml:space="preserve"> </w:t>
      </w:r>
      <w:r w:rsidR="005465ED" w:rsidRPr="004F0FE2">
        <w:fldChar w:fldCharType="begin" w:fldLock="1"/>
      </w:r>
      <w:r w:rsidR="00CD67E8" w:rsidRPr="004F0FE2">
        <w:instrText>ADDIN CSL_CITATION {"citationItems":[{"id":"ITEM-1","itemData":{"DOI":"10.2307/2531201","ISSN":"0006341X","abstract":"When designing a clinical trial to test the equality of survival distributions for two treatment groups, the usual assumptions are exponential survival, uniform patient entry, full compliance, and censoring only administratively at the end of the trial. Various authors have presented methods for estimation of sample size or power under these assumptions, some of which allow for an R-year accrual period with T total years of study, T greater than R. The method of Lachin (1981, Controlled Clinical Trials 2, 93-113) is extended to allow for cases where patients enter the trial in a nonuniform manner over time, patients may exit from the trial due to loss to follow-up (other than administrative), other patients may continue follow-up although failing to comply with the treatment regimen, and a stratified analysis may be planned according to one or more prognostic covariates.","author":[{"dropping-particle":"","family":"Lachin","given":"John M.","non-dropping-particle":"","parse-names":false,"suffix":""},{"dropping-particle":"","family":"Foulkes","given":"Mary A.","non-dropping-particle":"","parse-names":false,"suffix":""}],"container-title":"Biometrics","id":"ITEM-1","issue":"3","issued":{"date-parts":[["1986","9","1"]]},"page":"507","publisher":"JSTOR","title":"Evaluation of Sample Size and Power for Analyses of Survival with Allowance for Nonuniform Patient Entry, Losses to Follow-Up, Noncompliance, and Stratification","type":"article-journal","volume":"42"},"uris":["http://www.mendeley.com/documents/?uuid=a1a84460-9dc5-36bc-b3d6-6b25fd6bf018"]}],"mendeley":{"formattedCitation":"[38]","plainTextFormattedCitation":"[38]","previouslyFormattedCitation":"[38]"},"properties":{"noteIndex":0},"schema":"https://github.com/citation-style-language/schema/raw/master/csl-citation.json"}</w:instrText>
      </w:r>
      <w:r w:rsidR="005465ED" w:rsidRPr="004F0FE2">
        <w:fldChar w:fldCharType="separate"/>
      </w:r>
      <w:r w:rsidR="0035303F" w:rsidRPr="004F0FE2">
        <w:t>[38]</w:t>
      </w:r>
      <w:r w:rsidR="005465ED" w:rsidRPr="004F0FE2">
        <w:fldChar w:fldCharType="end"/>
      </w:r>
      <w:r w:rsidRPr="004F0FE2">
        <w:t>.</w:t>
      </w:r>
      <w:r w:rsidR="009D6060" w:rsidRPr="004F0FE2">
        <w:t xml:space="preserve"> </w:t>
      </w:r>
    </w:p>
    <w:p w14:paraId="10D05EC0" w14:textId="77777777" w:rsidR="00583C8F" w:rsidRPr="004F0FE2" w:rsidRDefault="00583C8F" w:rsidP="00673269">
      <w:pPr>
        <w:pStyle w:val="Ttulo3"/>
        <w:ind w:right="567"/>
        <w:rPr>
          <w:lang w:eastAsia="es-ES"/>
        </w:rPr>
      </w:pPr>
      <w:bookmarkStart w:id="267" w:name="_Toc52468116"/>
      <w:r w:rsidRPr="004F0FE2">
        <w:rPr>
          <w:lang w:eastAsia="es-ES"/>
        </w:rPr>
        <w:t>Interim analysis</w:t>
      </w:r>
      <w:bookmarkEnd w:id="267"/>
    </w:p>
    <w:p w14:paraId="24CF9915" w14:textId="5052DF7F" w:rsidR="00CC35E2" w:rsidRPr="004F0FE2" w:rsidRDefault="00CC35E2" w:rsidP="00673269">
      <w:pPr>
        <w:ind w:right="567"/>
      </w:pPr>
      <w:r w:rsidRPr="004F0FE2">
        <w:t xml:space="preserve">One interim analysis was planned to be performed after 35% of the total PFS events (89 events) had been registered. Efficacy and safety results from this analysis (the primary </w:t>
      </w:r>
      <w:r w:rsidR="002E73DE" w:rsidRPr="004F0FE2">
        <w:t>endpoint</w:t>
      </w:r>
      <w:r w:rsidRPr="004F0FE2">
        <w:t xml:space="preserve"> and all safety and efficacy secondary objectives) were planned to be evaluated by the Steering Committee (SC) to decide on early study termination.</w:t>
      </w:r>
    </w:p>
    <w:p w14:paraId="4B309059" w14:textId="77777777" w:rsidR="00A83059" w:rsidRPr="004F0FE2" w:rsidRDefault="00A83059" w:rsidP="00673269">
      <w:pPr>
        <w:pStyle w:val="Ttulo2"/>
        <w:ind w:right="567"/>
      </w:pPr>
      <w:bookmarkStart w:id="268" w:name="_Toc52468117"/>
      <w:r w:rsidRPr="004F0FE2">
        <w:t>Changes in the conduct of the study or planned analyses.</w:t>
      </w:r>
      <w:bookmarkEnd w:id="268"/>
    </w:p>
    <w:p w14:paraId="211E7861" w14:textId="77777777" w:rsidR="00977932" w:rsidRPr="004F0FE2" w:rsidRDefault="00A83059" w:rsidP="00673269">
      <w:pPr>
        <w:pStyle w:val="Ttulo3"/>
        <w:ind w:right="567"/>
      </w:pPr>
      <w:bookmarkStart w:id="269" w:name="_Toc52468118"/>
      <w:r w:rsidRPr="004F0FE2">
        <w:t>Protocol amendments.</w:t>
      </w:r>
      <w:bookmarkEnd w:id="269"/>
    </w:p>
    <w:p w14:paraId="28FCF71C" w14:textId="77777777" w:rsidR="005C091F" w:rsidRPr="004F0FE2" w:rsidRDefault="005C091F" w:rsidP="00673269">
      <w:pPr>
        <w:ind w:right="567"/>
      </w:pPr>
      <w:r w:rsidRPr="004F0FE2">
        <w:rPr>
          <w:lang w:eastAsia="es-ES"/>
        </w:rPr>
        <w:t>From the initial protocol version 1 (dated 28</w:t>
      </w:r>
      <w:r w:rsidRPr="004F0FE2">
        <w:rPr>
          <w:vertAlign w:val="superscript"/>
          <w:lang w:eastAsia="es-ES"/>
        </w:rPr>
        <w:t>th</w:t>
      </w:r>
      <w:r w:rsidRPr="004F0FE2">
        <w:rPr>
          <w:lang w:eastAsia="es-ES"/>
        </w:rPr>
        <w:t xml:space="preserve"> January 2015), the study protocol was amended in eight occasions</w:t>
      </w:r>
      <w:r w:rsidRPr="004F0FE2">
        <w:t>:</w:t>
      </w:r>
    </w:p>
    <w:p w14:paraId="0BA0A6CC" w14:textId="77777777" w:rsidR="00E52286" w:rsidRPr="004F0FE2" w:rsidRDefault="00E52286" w:rsidP="00673269">
      <w:pPr>
        <w:numPr>
          <w:ilvl w:val="0"/>
          <w:numId w:val="32"/>
        </w:numPr>
        <w:spacing w:after="0"/>
        <w:ind w:left="284" w:right="567" w:hanging="284"/>
      </w:pPr>
      <w:r w:rsidRPr="004F0FE2">
        <w:t>Initial protocol version</w:t>
      </w:r>
      <w:r w:rsidR="00A635A9" w:rsidRPr="004F0FE2">
        <w:t xml:space="preserve"> 1, dated: </w:t>
      </w:r>
      <w:r w:rsidRPr="004F0FE2">
        <w:t>28th January 2015 (applicable globally)</w:t>
      </w:r>
    </w:p>
    <w:p w14:paraId="2D2B8760" w14:textId="4232F8BF" w:rsidR="00E52286" w:rsidRPr="004F0FE2" w:rsidRDefault="00E52286" w:rsidP="00673269">
      <w:pPr>
        <w:numPr>
          <w:ilvl w:val="0"/>
          <w:numId w:val="32"/>
        </w:numPr>
        <w:spacing w:after="0"/>
        <w:ind w:left="284" w:right="567" w:hanging="284"/>
      </w:pPr>
      <w:r w:rsidRPr="004F0FE2">
        <w:t>Protocol version</w:t>
      </w:r>
      <w:r w:rsidR="00A635A9" w:rsidRPr="004F0FE2">
        <w:t xml:space="preserve"> 2,</w:t>
      </w:r>
      <w:r w:rsidRPr="004F0FE2">
        <w:t xml:space="preserve"> dated:</w:t>
      </w:r>
      <w:r w:rsidR="00A635A9" w:rsidRPr="004F0FE2">
        <w:t xml:space="preserve"> </w:t>
      </w:r>
      <w:r w:rsidRPr="004F0FE2">
        <w:t>30th July 2015 (</w:t>
      </w:r>
      <w:r w:rsidR="002E4060">
        <w:t>initial approval</w:t>
      </w:r>
      <w:r w:rsidR="002E4060" w:rsidRPr="004F0FE2">
        <w:t xml:space="preserve"> </w:t>
      </w:r>
      <w:r w:rsidRPr="004F0FE2">
        <w:t xml:space="preserve">in France, Russia, </w:t>
      </w:r>
      <w:r w:rsidR="002E4060">
        <w:t>submitted in</w:t>
      </w:r>
      <w:r w:rsidRPr="004F0FE2">
        <w:t xml:space="preserve"> UAE)</w:t>
      </w:r>
    </w:p>
    <w:p w14:paraId="79F5283E" w14:textId="12CC581A" w:rsidR="00E52286" w:rsidRPr="004F0FE2" w:rsidRDefault="00E52286" w:rsidP="00673269">
      <w:pPr>
        <w:numPr>
          <w:ilvl w:val="0"/>
          <w:numId w:val="32"/>
        </w:numPr>
        <w:spacing w:after="0"/>
        <w:ind w:left="284" w:right="567" w:hanging="284"/>
      </w:pPr>
      <w:r w:rsidRPr="004F0FE2">
        <w:t>Protocol version</w:t>
      </w:r>
      <w:r w:rsidR="00A635A9" w:rsidRPr="004F0FE2">
        <w:t xml:space="preserve"> 3,</w:t>
      </w:r>
      <w:r w:rsidRPr="004F0FE2">
        <w:t xml:space="preserve"> dated:</w:t>
      </w:r>
      <w:r w:rsidR="00A635A9" w:rsidRPr="004F0FE2">
        <w:t xml:space="preserve"> </w:t>
      </w:r>
      <w:r w:rsidRPr="004F0FE2">
        <w:t>7th October 2015 (</w:t>
      </w:r>
      <w:r w:rsidR="002E4060">
        <w:t>initial approval</w:t>
      </w:r>
      <w:r w:rsidR="002E4060" w:rsidRPr="004F0FE2">
        <w:t xml:space="preserve"> </w:t>
      </w:r>
      <w:r w:rsidRPr="004F0FE2">
        <w:t>in Germany)</w:t>
      </w:r>
    </w:p>
    <w:p w14:paraId="4D15BF78" w14:textId="77777777" w:rsidR="00E52286" w:rsidRPr="004F0FE2" w:rsidRDefault="00E52286" w:rsidP="00673269">
      <w:pPr>
        <w:numPr>
          <w:ilvl w:val="0"/>
          <w:numId w:val="32"/>
        </w:numPr>
        <w:spacing w:after="0"/>
        <w:ind w:left="284" w:right="567" w:hanging="284"/>
      </w:pPr>
      <w:r w:rsidRPr="004F0FE2">
        <w:t>Protocol version</w:t>
      </w:r>
      <w:r w:rsidR="00A635A9" w:rsidRPr="004F0FE2">
        <w:t xml:space="preserve"> 4,</w:t>
      </w:r>
      <w:r w:rsidRPr="004F0FE2">
        <w:t xml:space="preserve"> dated:</w:t>
      </w:r>
      <w:r w:rsidR="00A635A9" w:rsidRPr="004F0FE2">
        <w:t xml:space="preserve"> </w:t>
      </w:r>
      <w:r w:rsidRPr="004F0FE2">
        <w:t>20th January 2016 (applicable globally)</w:t>
      </w:r>
    </w:p>
    <w:p w14:paraId="565F3CA1" w14:textId="77777777" w:rsidR="00EC4947" w:rsidRPr="004F0FE2" w:rsidRDefault="00E52286" w:rsidP="00673269">
      <w:pPr>
        <w:numPr>
          <w:ilvl w:val="0"/>
          <w:numId w:val="32"/>
        </w:numPr>
        <w:spacing w:after="0"/>
        <w:ind w:left="284" w:right="567" w:hanging="284"/>
      </w:pPr>
      <w:r w:rsidRPr="004F0FE2">
        <w:t xml:space="preserve">Protocol version </w:t>
      </w:r>
      <w:r w:rsidR="00A635A9" w:rsidRPr="004F0FE2">
        <w:t xml:space="preserve">5, </w:t>
      </w:r>
      <w:r w:rsidRPr="004F0FE2">
        <w:t>dated:</w:t>
      </w:r>
      <w:r w:rsidR="00A635A9" w:rsidRPr="004F0FE2">
        <w:t xml:space="preserve"> </w:t>
      </w:r>
      <w:r w:rsidRPr="004F0FE2">
        <w:t>30th June 2016 (applicable globally)</w:t>
      </w:r>
    </w:p>
    <w:p w14:paraId="1EA5C4C2" w14:textId="77777777" w:rsidR="00E52286" w:rsidRPr="004F0FE2" w:rsidRDefault="00E52286" w:rsidP="00673269">
      <w:pPr>
        <w:numPr>
          <w:ilvl w:val="0"/>
          <w:numId w:val="32"/>
        </w:numPr>
        <w:spacing w:after="0"/>
        <w:ind w:left="284" w:right="567" w:hanging="284"/>
      </w:pPr>
      <w:r w:rsidRPr="004F0FE2">
        <w:t>Protocol version</w:t>
      </w:r>
      <w:r w:rsidR="00A635A9" w:rsidRPr="004F0FE2">
        <w:t xml:space="preserve"> 6, </w:t>
      </w:r>
      <w:r w:rsidRPr="004F0FE2">
        <w:t>dated:</w:t>
      </w:r>
      <w:r w:rsidR="00A635A9" w:rsidRPr="004F0FE2">
        <w:t xml:space="preserve"> </w:t>
      </w:r>
      <w:r w:rsidRPr="004F0FE2">
        <w:t>20th December 2016 (applicable globally)</w:t>
      </w:r>
    </w:p>
    <w:p w14:paraId="5879F8E7" w14:textId="3DC3EC28" w:rsidR="00A635A9" w:rsidRPr="00206A9D" w:rsidRDefault="00A635A9" w:rsidP="00673269">
      <w:pPr>
        <w:numPr>
          <w:ilvl w:val="0"/>
          <w:numId w:val="32"/>
        </w:numPr>
        <w:spacing w:after="0"/>
        <w:ind w:left="284" w:right="567" w:hanging="284"/>
      </w:pPr>
      <w:r w:rsidRPr="004F0FE2">
        <w:t>Protocol version 7, date: 12</w:t>
      </w:r>
      <w:r w:rsidRPr="004F0FE2">
        <w:rPr>
          <w:vertAlign w:val="superscript"/>
        </w:rPr>
        <w:t>th</w:t>
      </w:r>
      <w:r w:rsidRPr="004F0FE2">
        <w:t xml:space="preserve"> May </w:t>
      </w:r>
      <w:r w:rsidRPr="00206A9D">
        <w:t>2017 (applicable</w:t>
      </w:r>
      <w:r w:rsidR="002F7618">
        <w:t xml:space="preserve"> globally, except</w:t>
      </w:r>
      <w:r w:rsidR="002E73DE" w:rsidRPr="00206A9D">
        <w:t xml:space="preserve"> in Italy</w:t>
      </w:r>
      <w:r w:rsidRPr="00206A9D">
        <w:t>)</w:t>
      </w:r>
    </w:p>
    <w:p w14:paraId="5A4E991F" w14:textId="276CF607" w:rsidR="00952FCA" w:rsidRPr="00206A9D" w:rsidRDefault="00A635A9" w:rsidP="00673269">
      <w:pPr>
        <w:numPr>
          <w:ilvl w:val="0"/>
          <w:numId w:val="32"/>
        </w:numPr>
        <w:spacing w:after="0"/>
        <w:ind w:left="284" w:right="567" w:hanging="284"/>
      </w:pPr>
      <w:r w:rsidRPr="00206A9D">
        <w:t>Protocol version 8, date: 14</w:t>
      </w:r>
      <w:r w:rsidRPr="00206A9D">
        <w:rPr>
          <w:vertAlign w:val="superscript"/>
        </w:rPr>
        <w:t>th</w:t>
      </w:r>
      <w:r w:rsidRPr="00206A9D">
        <w:t xml:space="preserve"> November 2018 (applicable globally)</w:t>
      </w:r>
    </w:p>
    <w:p w14:paraId="145526FC" w14:textId="7E215B83" w:rsidR="00A635A9" w:rsidRPr="00206A9D" w:rsidRDefault="00A635A9" w:rsidP="00673269">
      <w:pPr>
        <w:numPr>
          <w:ilvl w:val="0"/>
          <w:numId w:val="32"/>
        </w:numPr>
        <w:spacing w:after="0"/>
        <w:ind w:left="284" w:right="567" w:hanging="284"/>
      </w:pPr>
      <w:r w:rsidRPr="00206A9D">
        <w:t>Protocol version 9, date: 12</w:t>
      </w:r>
      <w:r w:rsidRPr="00206A9D">
        <w:rPr>
          <w:vertAlign w:val="superscript"/>
        </w:rPr>
        <w:t>th</w:t>
      </w:r>
      <w:r w:rsidRPr="00206A9D">
        <w:t xml:space="preserve"> December 2019 (applicable </w:t>
      </w:r>
      <w:r w:rsidR="00223999" w:rsidRPr="00206A9D">
        <w:t>globally</w:t>
      </w:r>
      <w:r w:rsidRPr="00206A9D">
        <w:t>)</w:t>
      </w:r>
    </w:p>
    <w:p w14:paraId="21C55A87" w14:textId="77777777" w:rsidR="005A2C25" w:rsidRPr="004F0FE2" w:rsidRDefault="005A2C25" w:rsidP="00673269">
      <w:pPr>
        <w:autoSpaceDE w:val="0"/>
        <w:autoSpaceDN w:val="0"/>
        <w:adjustRightInd w:val="0"/>
        <w:spacing w:after="0" w:line="240" w:lineRule="auto"/>
        <w:ind w:right="567"/>
        <w:jc w:val="left"/>
        <w:rPr>
          <w:color w:val="000000"/>
          <w:lang w:eastAsia="es-ES"/>
        </w:rPr>
      </w:pPr>
    </w:p>
    <w:p w14:paraId="2B2EC3BD" w14:textId="77777777" w:rsidR="005C091F" w:rsidRPr="004F0FE2" w:rsidRDefault="005C091F" w:rsidP="00673269">
      <w:pPr>
        <w:autoSpaceDE w:val="0"/>
        <w:autoSpaceDN w:val="0"/>
        <w:adjustRightInd w:val="0"/>
        <w:spacing w:before="60" w:after="60" w:line="240" w:lineRule="auto"/>
        <w:ind w:right="567"/>
        <w:rPr>
          <w:color w:val="000000"/>
          <w:lang w:eastAsia="es-ES"/>
        </w:rPr>
      </w:pPr>
      <w:r w:rsidRPr="004F0FE2">
        <w:rPr>
          <w:color w:val="000000"/>
          <w:lang w:eastAsia="es-ES"/>
        </w:rPr>
        <w:t>Key features of all amendments are given below:</w:t>
      </w:r>
    </w:p>
    <w:p w14:paraId="3C17E335" w14:textId="77777777" w:rsidR="00917738" w:rsidRPr="004F0FE2" w:rsidRDefault="00917738" w:rsidP="00673269">
      <w:pPr>
        <w:autoSpaceDE w:val="0"/>
        <w:autoSpaceDN w:val="0"/>
        <w:adjustRightInd w:val="0"/>
        <w:spacing w:after="0" w:line="240" w:lineRule="auto"/>
        <w:ind w:right="567"/>
        <w:jc w:val="left"/>
        <w:rPr>
          <w:rFonts w:ascii="TimesNewRoman" w:hAnsi="TimesNewRoman" w:cs="TimesNewRoman"/>
          <w:color w:val="000000"/>
          <w:sz w:val="24"/>
          <w:szCs w:val="24"/>
          <w:lang w:eastAsia="es-ES"/>
        </w:rPr>
      </w:pPr>
    </w:p>
    <w:tbl>
      <w:tblPr>
        <w:tblW w:w="0" w:type="auto"/>
        <w:tblInd w:w="108"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8312"/>
      </w:tblGrid>
      <w:tr w:rsidR="00CA4919" w:rsidRPr="004F0FE2" w14:paraId="33388580" w14:textId="77777777" w:rsidTr="005A2C25">
        <w:tc>
          <w:tcPr>
            <w:tcW w:w="8312" w:type="dxa"/>
            <w:shd w:val="clear" w:color="auto" w:fill="auto"/>
          </w:tcPr>
          <w:p w14:paraId="7B742EE8" w14:textId="235E2A83" w:rsidR="00CA4919" w:rsidRPr="00E237BD" w:rsidRDefault="00CA4919" w:rsidP="00673269">
            <w:pPr>
              <w:autoSpaceDE w:val="0"/>
              <w:autoSpaceDN w:val="0"/>
              <w:adjustRightInd w:val="0"/>
              <w:spacing w:before="60" w:after="60" w:line="240" w:lineRule="auto"/>
              <w:ind w:right="567"/>
              <w:jc w:val="left"/>
              <w:rPr>
                <w:color w:val="000000"/>
                <w:sz w:val="18"/>
                <w:szCs w:val="18"/>
                <w:lang w:eastAsia="es-ES"/>
              </w:rPr>
            </w:pPr>
            <w:r w:rsidRPr="002E4060">
              <w:rPr>
                <w:b/>
                <w:color w:val="000000"/>
                <w:sz w:val="18"/>
                <w:szCs w:val="18"/>
                <w:lang w:eastAsia="es-ES"/>
              </w:rPr>
              <w:t>Amendment #1</w:t>
            </w:r>
            <w:r w:rsidR="002E4060" w:rsidRPr="002E4060">
              <w:rPr>
                <w:b/>
                <w:color w:val="000000"/>
                <w:sz w:val="18"/>
                <w:szCs w:val="18"/>
                <w:lang w:eastAsia="es-ES"/>
              </w:rPr>
              <w:t xml:space="preserve"> dated 20</w:t>
            </w:r>
            <w:r w:rsidR="002E4060" w:rsidRPr="00E237BD">
              <w:rPr>
                <w:b/>
                <w:color w:val="000000"/>
                <w:sz w:val="18"/>
                <w:szCs w:val="18"/>
                <w:vertAlign w:val="superscript"/>
                <w:lang w:eastAsia="es-ES"/>
              </w:rPr>
              <w:t>th</w:t>
            </w:r>
            <w:r w:rsidR="002E4060" w:rsidRPr="002E4060">
              <w:rPr>
                <w:b/>
                <w:color w:val="000000"/>
                <w:sz w:val="18"/>
                <w:szCs w:val="18"/>
                <w:vertAlign w:val="superscript"/>
                <w:lang w:eastAsia="es-ES"/>
              </w:rPr>
              <w:t xml:space="preserve"> </w:t>
            </w:r>
            <w:r w:rsidR="002E4060" w:rsidRPr="00E237BD">
              <w:rPr>
                <w:b/>
                <w:color w:val="000000"/>
                <w:sz w:val="18"/>
                <w:szCs w:val="18"/>
                <w:lang w:eastAsia="es-ES"/>
              </w:rPr>
              <w:t>January 2016 leading to Protocol version 4</w:t>
            </w:r>
          </w:p>
        </w:tc>
      </w:tr>
      <w:tr w:rsidR="005C091F" w:rsidRPr="004F0FE2" w14:paraId="6092D1E6" w14:textId="77777777" w:rsidTr="005A2C25">
        <w:tc>
          <w:tcPr>
            <w:tcW w:w="8312" w:type="dxa"/>
            <w:shd w:val="clear" w:color="auto" w:fill="auto"/>
          </w:tcPr>
          <w:p w14:paraId="7038F4D5" w14:textId="77777777" w:rsidR="005C091F" w:rsidRDefault="005C091F" w:rsidP="00673269">
            <w:pPr>
              <w:autoSpaceDE w:val="0"/>
              <w:autoSpaceDN w:val="0"/>
              <w:adjustRightInd w:val="0"/>
              <w:spacing w:after="0" w:line="240" w:lineRule="auto"/>
              <w:ind w:right="567"/>
              <w:rPr>
                <w:color w:val="000000"/>
                <w:sz w:val="18"/>
                <w:szCs w:val="18"/>
                <w:lang w:eastAsia="es-ES"/>
              </w:rPr>
            </w:pPr>
            <w:r w:rsidRPr="004F0FE2">
              <w:rPr>
                <w:color w:val="000000"/>
                <w:sz w:val="18"/>
                <w:szCs w:val="18"/>
                <w:lang w:eastAsia="es-ES"/>
              </w:rPr>
              <w:t xml:space="preserve">List of Steering Committee members. Revision of Background and Rationale Information to update clinical data related to </w:t>
            </w:r>
            <w:proofErr w:type="spellStart"/>
            <w:r w:rsidRPr="004F0FE2">
              <w:rPr>
                <w:color w:val="000000"/>
                <w:sz w:val="18"/>
                <w:szCs w:val="18"/>
                <w:lang w:eastAsia="es-ES"/>
              </w:rPr>
              <w:t>fulvestrant</w:t>
            </w:r>
            <w:proofErr w:type="spellEnd"/>
            <w:r w:rsidRPr="004F0FE2">
              <w:rPr>
                <w:color w:val="000000"/>
                <w:sz w:val="18"/>
                <w:szCs w:val="18"/>
                <w:lang w:eastAsia="es-ES"/>
              </w:rPr>
              <w:t xml:space="preserve"> and </w:t>
            </w:r>
            <w:proofErr w:type="spellStart"/>
            <w:r w:rsidRPr="004F0FE2">
              <w:rPr>
                <w:color w:val="000000"/>
                <w:sz w:val="18"/>
                <w:szCs w:val="18"/>
                <w:lang w:eastAsia="es-ES"/>
              </w:rPr>
              <w:t>palbociclib</w:t>
            </w:r>
            <w:proofErr w:type="spellEnd"/>
            <w:r w:rsidRPr="004F0FE2">
              <w:rPr>
                <w:color w:val="000000"/>
                <w:sz w:val="18"/>
                <w:szCs w:val="18"/>
                <w:lang w:eastAsia="es-ES"/>
              </w:rPr>
              <w:t xml:space="preserve">, interaction of estrogens and cyclin-dependent kinases (CDK) in </w:t>
            </w:r>
            <w:r w:rsidR="001B284D" w:rsidRPr="004F0FE2">
              <w:rPr>
                <w:color w:val="000000"/>
                <w:sz w:val="18"/>
                <w:szCs w:val="18"/>
                <w:lang w:eastAsia="es-ES"/>
              </w:rPr>
              <w:t>BC</w:t>
            </w:r>
            <w:r w:rsidRPr="004F0FE2">
              <w:rPr>
                <w:color w:val="000000"/>
                <w:sz w:val="18"/>
                <w:szCs w:val="18"/>
                <w:lang w:eastAsia="es-ES"/>
              </w:rPr>
              <w:t>. Addition of a new sub-section covering translational sub-studies. Addition of new inclusion criterion (inclusion criterion 2) to extend the study population to pre-menopausal women under</w:t>
            </w:r>
            <w:r w:rsidR="001B284D" w:rsidRPr="004F0FE2">
              <w:rPr>
                <w:color w:val="000000"/>
                <w:sz w:val="18"/>
                <w:szCs w:val="18"/>
                <w:lang w:eastAsia="es-ES"/>
              </w:rPr>
              <w:t xml:space="preserve"> LHRH</w:t>
            </w:r>
            <w:r w:rsidRPr="004F0FE2">
              <w:rPr>
                <w:color w:val="000000"/>
                <w:sz w:val="18"/>
                <w:szCs w:val="18"/>
                <w:lang w:eastAsia="es-ES"/>
              </w:rPr>
              <w:t xml:space="preserve"> treatment. Clarification on inclusion criterion 6 that patient should have not received either hormonal treatment or chemotherapy in the metastatic setting. Clarification on inclusion criterion 9 regarding the required value for ANC at baseline from 1.0 x 10</w:t>
            </w:r>
            <w:r w:rsidRPr="004F0FE2">
              <w:rPr>
                <w:color w:val="000000"/>
                <w:sz w:val="18"/>
                <w:szCs w:val="18"/>
                <w:vertAlign w:val="superscript"/>
                <w:lang w:eastAsia="es-ES"/>
              </w:rPr>
              <w:t>9</w:t>
            </w:r>
            <w:r w:rsidRPr="004F0FE2">
              <w:rPr>
                <w:color w:val="000000"/>
                <w:sz w:val="18"/>
                <w:szCs w:val="18"/>
                <w:lang w:eastAsia="es-ES"/>
              </w:rPr>
              <w:t>/L to 1.5 x 10</w:t>
            </w:r>
            <w:r w:rsidRPr="004F0FE2">
              <w:rPr>
                <w:color w:val="000000"/>
                <w:sz w:val="18"/>
                <w:szCs w:val="18"/>
                <w:vertAlign w:val="superscript"/>
                <w:lang w:eastAsia="es-ES"/>
              </w:rPr>
              <w:t>9</w:t>
            </w:r>
            <w:r w:rsidRPr="004F0FE2">
              <w:rPr>
                <w:color w:val="000000"/>
                <w:sz w:val="18"/>
                <w:szCs w:val="18"/>
                <w:lang w:eastAsia="es-ES"/>
              </w:rPr>
              <w:t xml:space="preserve">/L. Replacement of the stratification criterion </w:t>
            </w:r>
            <w:r w:rsidR="001B284D" w:rsidRPr="004F0FE2">
              <w:rPr>
                <w:color w:val="000000"/>
                <w:sz w:val="18"/>
                <w:szCs w:val="18"/>
                <w:lang w:eastAsia="es-ES"/>
              </w:rPr>
              <w:t>to</w:t>
            </w:r>
            <w:r w:rsidRPr="004F0FE2">
              <w:rPr>
                <w:color w:val="000000"/>
                <w:sz w:val="18"/>
                <w:szCs w:val="18"/>
                <w:lang w:eastAsia="es-ES"/>
              </w:rPr>
              <w:t xml:space="preserve"> “de novo vs. non de novo metastatic disease”. Implementation of translational sub-studies to evaluate the prognostic and predictive value of a variety of biomarkers involving blood and tumor sample collections. Recommendation for the use of erythropoietin-stimulating agents based on NCCN guidelines. Update on prohibited treatments and drug interactions. Clarification that sponsor supply for study IMPs will continue after the </w:t>
            </w:r>
            <w:proofErr w:type="spellStart"/>
            <w:r w:rsidR="00106C97" w:rsidRPr="004F0FE2">
              <w:rPr>
                <w:color w:val="000000"/>
                <w:sz w:val="18"/>
                <w:szCs w:val="18"/>
                <w:lang w:eastAsia="es-ES"/>
              </w:rPr>
              <w:t>EoS</w:t>
            </w:r>
            <w:proofErr w:type="spellEnd"/>
            <w:r w:rsidRPr="004F0FE2">
              <w:rPr>
                <w:color w:val="000000"/>
                <w:sz w:val="18"/>
                <w:szCs w:val="18"/>
                <w:lang w:eastAsia="es-ES"/>
              </w:rPr>
              <w:t xml:space="preserve"> if drugs are not available. Restriction of the requirement to perform baseline brain tumor assessment only in patients with clinical suspicion of central involvement. Clarification on the requirements and time points for tumor assessment throughout the study. Requirement for additional hemogram on C1D14 and C2D14. Changes in the contact details for expedite safety reporting. Removal of section 7.3. Typographical, format and wording adjustments.</w:t>
            </w:r>
          </w:p>
          <w:p w14:paraId="1A6645DC" w14:textId="57ABADD7" w:rsidR="00A5705E" w:rsidRPr="004F0FE2" w:rsidRDefault="00A5705E" w:rsidP="00673269">
            <w:pPr>
              <w:autoSpaceDE w:val="0"/>
              <w:autoSpaceDN w:val="0"/>
              <w:adjustRightInd w:val="0"/>
              <w:spacing w:after="0" w:line="240" w:lineRule="auto"/>
              <w:ind w:right="567"/>
              <w:rPr>
                <w:color w:val="000000"/>
                <w:sz w:val="18"/>
                <w:szCs w:val="18"/>
                <w:lang w:eastAsia="es-ES"/>
              </w:rPr>
            </w:pPr>
          </w:p>
        </w:tc>
      </w:tr>
      <w:tr w:rsidR="005C091F" w:rsidRPr="004F0FE2" w14:paraId="2D2C7D95" w14:textId="77777777" w:rsidTr="005A2C25">
        <w:tc>
          <w:tcPr>
            <w:tcW w:w="8312" w:type="dxa"/>
            <w:shd w:val="clear" w:color="auto" w:fill="auto"/>
          </w:tcPr>
          <w:p w14:paraId="7B8B619B" w14:textId="3BD4695A" w:rsidR="005C091F" w:rsidRPr="004F0FE2" w:rsidRDefault="005C091F" w:rsidP="00673269">
            <w:pPr>
              <w:autoSpaceDE w:val="0"/>
              <w:autoSpaceDN w:val="0"/>
              <w:adjustRightInd w:val="0"/>
              <w:spacing w:before="60" w:after="60" w:line="240" w:lineRule="auto"/>
              <w:ind w:right="567"/>
              <w:rPr>
                <w:b/>
                <w:color w:val="000000"/>
                <w:sz w:val="18"/>
                <w:szCs w:val="18"/>
                <w:lang w:eastAsia="es-ES"/>
              </w:rPr>
            </w:pPr>
            <w:r w:rsidRPr="004F0FE2">
              <w:rPr>
                <w:b/>
                <w:color w:val="000000"/>
                <w:sz w:val="18"/>
                <w:szCs w:val="18"/>
                <w:lang w:eastAsia="es-ES"/>
              </w:rPr>
              <w:t>Amendment #2</w:t>
            </w:r>
            <w:r w:rsidR="002E4060">
              <w:rPr>
                <w:b/>
                <w:color w:val="000000"/>
                <w:sz w:val="18"/>
                <w:szCs w:val="18"/>
                <w:lang w:eastAsia="es-ES"/>
              </w:rPr>
              <w:t xml:space="preserve"> leading to </w:t>
            </w:r>
            <w:r w:rsidR="008442BE">
              <w:rPr>
                <w:b/>
                <w:color w:val="000000"/>
                <w:sz w:val="18"/>
                <w:szCs w:val="18"/>
                <w:lang w:eastAsia="es-ES"/>
              </w:rPr>
              <w:t>P</w:t>
            </w:r>
            <w:r w:rsidR="002E4060">
              <w:rPr>
                <w:b/>
                <w:color w:val="000000"/>
                <w:sz w:val="18"/>
                <w:szCs w:val="18"/>
                <w:lang w:eastAsia="es-ES"/>
              </w:rPr>
              <w:t>rotocol version 5</w:t>
            </w:r>
          </w:p>
        </w:tc>
      </w:tr>
      <w:tr w:rsidR="005C091F" w:rsidRPr="004F0FE2" w14:paraId="3FFE9AE0" w14:textId="77777777" w:rsidTr="005A2C25">
        <w:tc>
          <w:tcPr>
            <w:tcW w:w="8312" w:type="dxa"/>
            <w:shd w:val="clear" w:color="auto" w:fill="auto"/>
          </w:tcPr>
          <w:p w14:paraId="5B6B29E7" w14:textId="77777777" w:rsidR="005C091F" w:rsidRDefault="005C091F" w:rsidP="00673269">
            <w:pPr>
              <w:autoSpaceDE w:val="0"/>
              <w:autoSpaceDN w:val="0"/>
              <w:adjustRightInd w:val="0"/>
              <w:spacing w:after="0" w:line="240" w:lineRule="auto"/>
              <w:ind w:right="567"/>
              <w:rPr>
                <w:rFonts w:eastAsia="ArialMT"/>
                <w:sz w:val="18"/>
                <w:szCs w:val="18"/>
                <w:lang w:eastAsia="es-ES"/>
              </w:rPr>
            </w:pPr>
            <w:r w:rsidRPr="004F0FE2">
              <w:rPr>
                <w:rFonts w:eastAsia="ArialMT"/>
                <w:sz w:val="18"/>
                <w:szCs w:val="18"/>
                <w:lang w:eastAsia="es-ES"/>
              </w:rPr>
              <w:t>Revision of</w:t>
            </w:r>
            <w:r w:rsidR="00917738" w:rsidRPr="004F0FE2">
              <w:rPr>
                <w:rFonts w:eastAsia="ArialMT"/>
                <w:sz w:val="18"/>
                <w:szCs w:val="18"/>
                <w:lang w:eastAsia="es-ES"/>
              </w:rPr>
              <w:t xml:space="preserve"> </w:t>
            </w:r>
            <w:r w:rsidRPr="004F0FE2">
              <w:rPr>
                <w:rFonts w:eastAsia="ArialMT"/>
                <w:sz w:val="18"/>
                <w:szCs w:val="18"/>
                <w:lang w:eastAsia="es-ES"/>
              </w:rPr>
              <w:t>Background and</w:t>
            </w:r>
            <w:r w:rsidR="00917738" w:rsidRPr="004F0FE2">
              <w:rPr>
                <w:rFonts w:eastAsia="ArialMT"/>
                <w:sz w:val="18"/>
                <w:szCs w:val="18"/>
                <w:lang w:eastAsia="es-ES"/>
              </w:rPr>
              <w:t xml:space="preserve"> </w:t>
            </w:r>
            <w:r w:rsidRPr="004F0FE2">
              <w:rPr>
                <w:rFonts w:eastAsia="ArialMT"/>
                <w:sz w:val="18"/>
                <w:szCs w:val="18"/>
                <w:lang w:eastAsia="es-ES"/>
              </w:rPr>
              <w:t>Rationale as per</w:t>
            </w:r>
            <w:r w:rsidR="00917738" w:rsidRPr="004F0FE2">
              <w:rPr>
                <w:rFonts w:eastAsia="ArialMT"/>
                <w:sz w:val="18"/>
                <w:szCs w:val="18"/>
                <w:lang w:eastAsia="es-ES"/>
              </w:rPr>
              <w:t xml:space="preserve"> </w:t>
            </w:r>
            <w:r w:rsidRPr="004F0FE2">
              <w:rPr>
                <w:rFonts w:eastAsia="ArialMT"/>
                <w:sz w:val="18"/>
                <w:szCs w:val="18"/>
                <w:lang w:eastAsia="es-ES"/>
              </w:rPr>
              <w:t>recent published</w:t>
            </w:r>
            <w:r w:rsidR="00917738" w:rsidRPr="004F0FE2">
              <w:rPr>
                <w:rFonts w:eastAsia="ArialMT"/>
                <w:sz w:val="18"/>
                <w:szCs w:val="18"/>
                <w:lang w:eastAsia="es-ES"/>
              </w:rPr>
              <w:t xml:space="preserve"> </w:t>
            </w:r>
            <w:r w:rsidRPr="004F0FE2">
              <w:rPr>
                <w:rFonts w:eastAsia="ArialMT"/>
                <w:sz w:val="18"/>
                <w:szCs w:val="18"/>
                <w:lang w:eastAsia="es-ES"/>
              </w:rPr>
              <w:t>data. Addition of new</w:t>
            </w:r>
            <w:r w:rsidR="00917738" w:rsidRPr="004F0FE2">
              <w:rPr>
                <w:rFonts w:eastAsia="ArialMT"/>
                <w:sz w:val="18"/>
                <w:szCs w:val="18"/>
                <w:lang w:eastAsia="es-ES"/>
              </w:rPr>
              <w:t xml:space="preserve"> </w:t>
            </w:r>
            <w:r w:rsidRPr="004F0FE2">
              <w:rPr>
                <w:rFonts w:eastAsia="ArialMT"/>
                <w:sz w:val="18"/>
                <w:szCs w:val="18"/>
                <w:lang w:eastAsia="es-ES"/>
              </w:rPr>
              <w:t>inclusion criterion</w:t>
            </w:r>
            <w:r w:rsidR="00917738" w:rsidRPr="004F0FE2">
              <w:rPr>
                <w:rFonts w:eastAsia="ArialMT"/>
                <w:sz w:val="18"/>
                <w:szCs w:val="18"/>
                <w:lang w:eastAsia="es-ES"/>
              </w:rPr>
              <w:t xml:space="preserve"> </w:t>
            </w:r>
            <w:r w:rsidRPr="004F0FE2">
              <w:rPr>
                <w:rFonts w:eastAsia="ArialMT"/>
                <w:sz w:val="18"/>
                <w:szCs w:val="18"/>
                <w:lang w:eastAsia="es-ES"/>
              </w:rPr>
              <w:t>(inclusion criterion 13)</w:t>
            </w:r>
            <w:r w:rsidR="00917738" w:rsidRPr="004F0FE2">
              <w:rPr>
                <w:rFonts w:eastAsia="ArialMT"/>
                <w:sz w:val="18"/>
                <w:szCs w:val="18"/>
                <w:lang w:eastAsia="es-ES"/>
              </w:rPr>
              <w:t xml:space="preserve"> </w:t>
            </w:r>
            <w:r w:rsidRPr="004F0FE2">
              <w:rPr>
                <w:rFonts w:eastAsia="ArialMT"/>
                <w:sz w:val="18"/>
                <w:szCs w:val="18"/>
                <w:lang w:eastAsia="es-ES"/>
              </w:rPr>
              <w:t>requiring patients</w:t>
            </w:r>
            <w:r w:rsidR="00917738" w:rsidRPr="004F0FE2">
              <w:rPr>
                <w:rFonts w:eastAsia="ArialMT"/>
                <w:sz w:val="18"/>
                <w:szCs w:val="18"/>
                <w:lang w:eastAsia="es-ES"/>
              </w:rPr>
              <w:t xml:space="preserve"> </w:t>
            </w:r>
            <w:r w:rsidRPr="004F0FE2">
              <w:rPr>
                <w:rFonts w:eastAsia="ArialMT"/>
                <w:sz w:val="18"/>
                <w:szCs w:val="18"/>
                <w:lang w:eastAsia="es-ES"/>
              </w:rPr>
              <w:t>consents to blood</w:t>
            </w:r>
            <w:r w:rsidR="00917738" w:rsidRPr="004F0FE2">
              <w:rPr>
                <w:rFonts w:eastAsia="ArialMT"/>
                <w:sz w:val="18"/>
                <w:szCs w:val="18"/>
                <w:lang w:eastAsia="es-ES"/>
              </w:rPr>
              <w:t xml:space="preserve"> </w:t>
            </w:r>
            <w:r w:rsidRPr="004F0FE2">
              <w:rPr>
                <w:rFonts w:eastAsia="ArialMT"/>
                <w:sz w:val="18"/>
                <w:szCs w:val="18"/>
                <w:lang w:eastAsia="es-ES"/>
              </w:rPr>
              <w:t>sample collection for</w:t>
            </w:r>
            <w:r w:rsidR="00917738" w:rsidRPr="004F0FE2">
              <w:rPr>
                <w:rFonts w:eastAsia="ArialMT"/>
                <w:sz w:val="18"/>
                <w:szCs w:val="18"/>
                <w:lang w:eastAsia="es-ES"/>
              </w:rPr>
              <w:t xml:space="preserve"> </w:t>
            </w:r>
            <w:r w:rsidRPr="004F0FE2">
              <w:rPr>
                <w:rFonts w:eastAsia="ArialMT"/>
                <w:sz w:val="18"/>
                <w:szCs w:val="18"/>
                <w:lang w:eastAsia="es-ES"/>
              </w:rPr>
              <w:t>biomarker research. Merging of inclusion</w:t>
            </w:r>
            <w:r w:rsidR="00917738" w:rsidRPr="004F0FE2">
              <w:rPr>
                <w:rFonts w:eastAsia="ArialMT"/>
                <w:sz w:val="18"/>
                <w:szCs w:val="18"/>
                <w:lang w:eastAsia="es-ES"/>
              </w:rPr>
              <w:t xml:space="preserve"> </w:t>
            </w:r>
            <w:r w:rsidRPr="004F0FE2">
              <w:rPr>
                <w:rFonts w:eastAsia="ArialMT"/>
                <w:sz w:val="18"/>
                <w:szCs w:val="18"/>
                <w:lang w:eastAsia="es-ES"/>
              </w:rPr>
              <w:t>criteria related to</w:t>
            </w:r>
            <w:r w:rsidR="00917738" w:rsidRPr="004F0FE2">
              <w:rPr>
                <w:rFonts w:eastAsia="ArialMT"/>
                <w:sz w:val="18"/>
                <w:szCs w:val="18"/>
                <w:lang w:eastAsia="es-ES"/>
              </w:rPr>
              <w:t xml:space="preserve"> </w:t>
            </w:r>
            <w:r w:rsidRPr="004F0FE2">
              <w:rPr>
                <w:rFonts w:eastAsia="ArialMT"/>
                <w:sz w:val="18"/>
                <w:szCs w:val="18"/>
                <w:lang w:eastAsia="es-ES"/>
              </w:rPr>
              <w:t>menopausal status in</w:t>
            </w:r>
            <w:r w:rsidR="00917738" w:rsidRPr="004F0FE2">
              <w:rPr>
                <w:rFonts w:eastAsia="ArialMT"/>
                <w:sz w:val="18"/>
                <w:szCs w:val="18"/>
                <w:lang w:eastAsia="es-ES"/>
              </w:rPr>
              <w:t xml:space="preserve"> </w:t>
            </w:r>
            <w:r w:rsidRPr="004F0FE2">
              <w:rPr>
                <w:rFonts w:eastAsia="ArialMT"/>
                <w:sz w:val="18"/>
                <w:szCs w:val="18"/>
                <w:lang w:eastAsia="es-ES"/>
              </w:rPr>
              <w:t>a single inclusion</w:t>
            </w:r>
            <w:r w:rsidR="00917738" w:rsidRPr="004F0FE2">
              <w:rPr>
                <w:rFonts w:eastAsia="ArialMT"/>
                <w:sz w:val="18"/>
                <w:szCs w:val="18"/>
                <w:lang w:eastAsia="es-ES"/>
              </w:rPr>
              <w:t xml:space="preserve"> </w:t>
            </w:r>
            <w:r w:rsidRPr="004F0FE2">
              <w:rPr>
                <w:rFonts w:eastAsia="ArialMT"/>
                <w:sz w:val="18"/>
                <w:szCs w:val="18"/>
                <w:lang w:eastAsia="es-ES"/>
              </w:rPr>
              <w:t>criterion (</w:t>
            </w:r>
            <w:r w:rsidR="0095217A" w:rsidRPr="004F0FE2">
              <w:rPr>
                <w:rFonts w:eastAsia="ArialMT"/>
                <w:sz w:val="18"/>
                <w:szCs w:val="18"/>
                <w:lang w:eastAsia="es-ES"/>
              </w:rPr>
              <w:t>inclusion</w:t>
            </w:r>
            <w:r w:rsidR="00917738" w:rsidRPr="004F0FE2">
              <w:rPr>
                <w:rFonts w:eastAsia="ArialMT"/>
                <w:sz w:val="18"/>
                <w:szCs w:val="18"/>
                <w:lang w:eastAsia="es-ES"/>
              </w:rPr>
              <w:t xml:space="preserve"> </w:t>
            </w:r>
            <w:r w:rsidRPr="004F0FE2">
              <w:rPr>
                <w:rFonts w:eastAsia="ArialMT"/>
                <w:sz w:val="18"/>
                <w:szCs w:val="18"/>
                <w:lang w:eastAsia="es-ES"/>
              </w:rPr>
              <w:t>criterion #1). Clarification on</w:t>
            </w:r>
            <w:r w:rsidR="00917738" w:rsidRPr="004F0FE2">
              <w:rPr>
                <w:rFonts w:eastAsia="ArialMT"/>
                <w:sz w:val="18"/>
                <w:szCs w:val="18"/>
                <w:lang w:eastAsia="es-ES"/>
              </w:rPr>
              <w:t xml:space="preserve"> </w:t>
            </w:r>
            <w:r w:rsidRPr="004F0FE2">
              <w:rPr>
                <w:rFonts w:eastAsia="ArialMT"/>
                <w:sz w:val="18"/>
                <w:szCs w:val="18"/>
                <w:lang w:eastAsia="es-ES"/>
              </w:rPr>
              <w:t>inclusion criterion 9</w:t>
            </w:r>
            <w:r w:rsidR="00917738" w:rsidRPr="004F0FE2">
              <w:rPr>
                <w:rFonts w:eastAsia="ArialMT"/>
                <w:sz w:val="18"/>
                <w:szCs w:val="18"/>
                <w:lang w:eastAsia="es-ES"/>
              </w:rPr>
              <w:t xml:space="preserve"> </w:t>
            </w:r>
            <w:r w:rsidRPr="004F0FE2">
              <w:rPr>
                <w:rFonts w:eastAsia="ArialMT"/>
                <w:sz w:val="18"/>
                <w:szCs w:val="18"/>
                <w:lang w:eastAsia="es-ES"/>
              </w:rPr>
              <w:t>regarding acceptable</w:t>
            </w:r>
            <w:r w:rsidR="00917738" w:rsidRPr="004F0FE2">
              <w:rPr>
                <w:rFonts w:eastAsia="ArialMT"/>
                <w:sz w:val="18"/>
                <w:szCs w:val="18"/>
                <w:lang w:eastAsia="es-ES"/>
              </w:rPr>
              <w:t xml:space="preserve"> </w:t>
            </w:r>
            <w:r w:rsidRPr="004F0FE2">
              <w:rPr>
                <w:rFonts w:eastAsia="ArialMT"/>
                <w:sz w:val="18"/>
                <w:szCs w:val="18"/>
                <w:lang w:eastAsia="es-ES"/>
              </w:rPr>
              <w:t>values for alkaline</w:t>
            </w:r>
            <w:r w:rsidR="00917738" w:rsidRPr="004F0FE2">
              <w:rPr>
                <w:rFonts w:eastAsia="ArialMT"/>
                <w:sz w:val="18"/>
                <w:szCs w:val="18"/>
                <w:lang w:eastAsia="es-ES"/>
              </w:rPr>
              <w:t xml:space="preserve"> </w:t>
            </w:r>
            <w:r w:rsidRPr="004F0FE2">
              <w:rPr>
                <w:rFonts w:eastAsia="ArialMT"/>
                <w:sz w:val="18"/>
                <w:szCs w:val="18"/>
                <w:lang w:eastAsia="es-ES"/>
              </w:rPr>
              <w:t>phosphatase. Typo correction on</w:t>
            </w:r>
            <w:r w:rsidR="00917738" w:rsidRPr="004F0FE2">
              <w:rPr>
                <w:rFonts w:eastAsia="ArialMT"/>
                <w:sz w:val="18"/>
                <w:szCs w:val="18"/>
                <w:lang w:eastAsia="es-ES"/>
              </w:rPr>
              <w:t xml:space="preserve"> </w:t>
            </w:r>
            <w:r w:rsidRPr="004F0FE2">
              <w:rPr>
                <w:rFonts w:eastAsia="ArialMT"/>
                <w:sz w:val="18"/>
                <w:szCs w:val="18"/>
                <w:lang w:eastAsia="es-ES"/>
              </w:rPr>
              <w:t>treatment schedule</w:t>
            </w:r>
            <w:r w:rsidR="00917738" w:rsidRPr="004F0FE2">
              <w:rPr>
                <w:rFonts w:eastAsia="ArialMT"/>
                <w:sz w:val="18"/>
                <w:szCs w:val="18"/>
                <w:lang w:eastAsia="es-ES"/>
              </w:rPr>
              <w:t xml:space="preserve"> </w:t>
            </w:r>
            <w:r w:rsidRPr="004F0FE2">
              <w:rPr>
                <w:rFonts w:eastAsia="ArialMT"/>
                <w:sz w:val="18"/>
                <w:szCs w:val="18"/>
                <w:lang w:eastAsia="es-ES"/>
              </w:rPr>
              <w:t xml:space="preserve">for </w:t>
            </w:r>
            <w:proofErr w:type="spellStart"/>
            <w:r w:rsidRPr="004F0FE2">
              <w:rPr>
                <w:rFonts w:eastAsia="ArialMT"/>
                <w:sz w:val="18"/>
                <w:szCs w:val="18"/>
                <w:lang w:eastAsia="es-ES"/>
              </w:rPr>
              <w:lastRenderedPageBreak/>
              <w:t>palbociclib</w:t>
            </w:r>
            <w:proofErr w:type="spellEnd"/>
            <w:r w:rsidRPr="004F0FE2">
              <w:rPr>
                <w:rFonts w:eastAsia="ArialMT"/>
                <w:sz w:val="18"/>
                <w:szCs w:val="18"/>
                <w:lang w:eastAsia="es-ES"/>
              </w:rPr>
              <w:t xml:space="preserve"> for patients in Arm B,</w:t>
            </w:r>
            <w:r w:rsidR="00917738" w:rsidRPr="004F0FE2">
              <w:rPr>
                <w:rFonts w:eastAsia="ArialMT"/>
                <w:sz w:val="18"/>
                <w:szCs w:val="18"/>
                <w:lang w:eastAsia="es-ES"/>
              </w:rPr>
              <w:t xml:space="preserve"> </w:t>
            </w:r>
            <w:r w:rsidRPr="004F0FE2">
              <w:rPr>
                <w:rFonts w:eastAsia="ArialMT"/>
                <w:sz w:val="18"/>
                <w:szCs w:val="18"/>
                <w:lang w:eastAsia="es-ES"/>
              </w:rPr>
              <w:t>treatment period</w:t>
            </w:r>
            <w:r w:rsidR="00917738" w:rsidRPr="004F0FE2">
              <w:rPr>
                <w:rFonts w:eastAsia="ArialMT"/>
                <w:sz w:val="18"/>
                <w:szCs w:val="18"/>
                <w:lang w:eastAsia="es-ES"/>
              </w:rPr>
              <w:t xml:space="preserve"> </w:t>
            </w:r>
            <w:r w:rsidRPr="004F0FE2">
              <w:rPr>
                <w:rFonts w:eastAsia="ArialMT"/>
                <w:sz w:val="18"/>
                <w:szCs w:val="18"/>
                <w:lang w:eastAsia="es-ES"/>
              </w:rPr>
              <w:t>corrected from 28</w:t>
            </w:r>
            <w:r w:rsidR="00917738" w:rsidRPr="004F0FE2">
              <w:rPr>
                <w:rFonts w:eastAsia="ArialMT"/>
                <w:sz w:val="18"/>
                <w:szCs w:val="18"/>
                <w:lang w:eastAsia="es-ES"/>
              </w:rPr>
              <w:t xml:space="preserve"> </w:t>
            </w:r>
            <w:r w:rsidRPr="004F0FE2">
              <w:rPr>
                <w:rFonts w:eastAsia="ArialMT"/>
                <w:sz w:val="18"/>
                <w:szCs w:val="18"/>
                <w:lang w:eastAsia="es-ES"/>
              </w:rPr>
              <w:t>days to 21 days of a</w:t>
            </w:r>
            <w:r w:rsidR="00917738" w:rsidRPr="004F0FE2">
              <w:rPr>
                <w:rFonts w:eastAsia="ArialMT"/>
                <w:sz w:val="18"/>
                <w:szCs w:val="18"/>
                <w:lang w:eastAsia="es-ES"/>
              </w:rPr>
              <w:t xml:space="preserve"> </w:t>
            </w:r>
            <w:r w:rsidRPr="004F0FE2">
              <w:rPr>
                <w:rFonts w:eastAsia="ArialMT"/>
                <w:sz w:val="18"/>
                <w:szCs w:val="18"/>
                <w:lang w:eastAsia="es-ES"/>
              </w:rPr>
              <w:t xml:space="preserve">28-days cycle. </w:t>
            </w:r>
            <w:r w:rsidR="00917738" w:rsidRPr="004F0FE2">
              <w:rPr>
                <w:rFonts w:eastAsia="ArialMT"/>
                <w:sz w:val="18"/>
                <w:szCs w:val="18"/>
                <w:lang w:eastAsia="es-ES"/>
              </w:rPr>
              <w:t>H</w:t>
            </w:r>
            <w:r w:rsidRPr="004F0FE2">
              <w:rPr>
                <w:rFonts w:eastAsia="ArialMT"/>
                <w:sz w:val="18"/>
                <w:szCs w:val="18"/>
                <w:lang w:eastAsia="es-ES"/>
              </w:rPr>
              <w:t>armonization of the</w:t>
            </w:r>
            <w:r w:rsidR="00917738" w:rsidRPr="004F0FE2">
              <w:rPr>
                <w:rFonts w:eastAsia="ArialMT"/>
                <w:sz w:val="18"/>
                <w:szCs w:val="18"/>
                <w:lang w:eastAsia="es-ES"/>
              </w:rPr>
              <w:t xml:space="preserve"> </w:t>
            </w:r>
            <w:r w:rsidRPr="004F0FE2">
              <w:rPr>
                <w:rFonts w:eastAsia="ArialMT"/>
                <w:sz w:val="18"/>
                <w:szCs w:val="18"/>
                <w:lang w:eastAsia="es-ES"/>
              </w:rPr>
              <w:t>protocol wording</w:t>
            </w:r>
            <w:r w:rsidR="00917738" w:rsidRPr="004F0FE2">
              <w:rPr>
                <w:rFonts w:eastAsia="ArialMT"/>
                <w:sz w:val="18"/>
                <w:szCs w:val="18"/>
                <w:lang w:eastAsia="es-ES"/>
              </w:rPr>
              <w:t xml:space="preserve"> </w:t>
            </w:r>
            <w:r w:rsidRPr="004F0FE2">
              <w:rPr>
                <w:rFonts w:eastAsia="ArialMT"/>
                <w:sz w:val="18"/>
                <w:szCs w:val="18"/>
                <w:lang w:eastAsia="es-ES"/>
              </w:rPr>
              <w:t>regarding timepoints</w:t>
            </w:r>
            <w:r w:rsidR="00917738" w:rsidRPr="004F0FE2">
              <w:rPr>
                <w:rFonts w:eastAsia="ArialMT"/>
                <w:sz w:val="18"/>
                <w:szCs w:val="18"/>
                <w:lang w:eastAsia="es-ES"/>
              </w:rPr>
              <w:t xml:space="preserve"> </w:t>
            </w:r>
            <w:r w:rsidRPr="004F0FE2">
              <w:rPr>
                <w:rFonts w:eastAsia="ArialMT"/>
                <w:sz w:val="18"/>
                <w:szCs w:val="18"/>
                <w:lang w:eastAsia="es-ES"/>
              </w:rPr>
              <w:t>and frequency to</w:t>
            </w:r>
            <w:r w:rsidR="00917738" w:rsidRPr="004F0FE2">
              <w:rPr>
                <w:rFonts w:eastAsia="ArialMT"/>
                <w:sz w:val="18"/>
                <w:szCs w:val="18"/>
                <w:lang w:eastAsia="es-ES"/>
              </w:rPr>
              <w:t xml:space="preserve"> </w:t>
            </w:r>
            <w:r w:rsidRPr="004F0FE2">
              <w:rPr>
                <w:rFonts w:eastAsia="ArialMT"/>
                <w:sz w:val="18"/>
                <w:szCs w:val="18"/>
                <w:lang w:eastAsia="es-ES"/>
              </w:rPr>
              <w:t>perform ECGs during</w:t>
            </w:r>
            <w:r w:rsidR="00917738" w:rsidRPr="004F0FE2">
              <w:rPr>
                <w:rFonts w:eastAsia="ArialMT"/>
                <w:sz w:val="18"/>
                <w:szCs w:val="18"/>
                <w:lang w:eastAsia="es-ES"/>
              </w:rPr>
              <w:t xml:space="preserve"> </w:t>
            </w:r>
            <w:r w:rsidRPr="004F0FE2">
              <w:rPr>
                <w:rFonts w:eastAsia="ArialMT"/>
                <w:sz w:val="18"/>
                <w:szCs w:val="18"/>
                <w:lang w:eastAsia="es-ES"/>
              </w:rPr>
              <w:t>the treatment period.</w:t>
            </w:r>
          </w:p>
          <w:p w14:paraId="1EDA83CA" w14:textId="36830532" w:rsidR="00A5705E" w:rsidRPr="004F0FE2" w:rsidRDefault="00A5705E" w:rsidP="00673269">
            <w:pPr>
              <w:autoSpaceDE w:val="0"/>
              <w:autoSpaceDN w:val="0"/>
              <w:adjustRightInd w:val="0"/>
              <w:spacing w:after="0" w:line="240" w:lineRule="auto"/>
              <w:ind w:right="567"/>
              <w:rPr>
                <w:color w:val="000000"/>
                <w:sz w:val="18"/>
                <w:szCs w:val="18"/>
                <w:lang w:eastAsia="es-ES"/>
              </w:rPr>
            </w:pPr>
          </w:p>
        </w:tc>
      </w:tr>
      <w:tr w:rsidR="00917738" w:rsidRPr="004F0FE2" w14:paraId="787BBA88" w14:textId="77777777" w:rsidTr="005A2C25">
        <w:tc>
          <w:tcPr>
            <w:tcW w:w="8312" w:type="dxa"/>
            <w:shd w:val="clear" w:color="auto" w:fill="auto"/>
          </w:tcPr>
          <w:p w14:paraId="25884996" w14:textId="1FF9112E" w:rsidR="00917738" w:rsidRPr="004F0FE2" w:rsidRDefault="00917738" w:rsidP="00673269">
            <w:pPr>
              <w:autoSpaceDE w:val="0"/>
              <w:autoSpaceDN w:val="0"/>
              <w:adjustRightInd w:val="0"/>
              <w:spacing w:before="60" w:after="60" w:line="240" w:lineRule="auto"/>
              <w:ind w:right="567"/>
              <w:rPr>
                <w:b/>
                <w:color w:val="000000"/>
                <w:sz w:val="18"/>
                <w:szCs w:val="18"/>
                <w:lang w:eastAsia="es-ES"/>
              </w:rPr>
            </w:pPr>
            <w:r w:rsidRPr="004F0FE2">
              <w:rPr>
                <w:b/>
                <w:color w:val="000000"/>
                <w:sz w:val="18"/>
                <w:szCs w:val="18"/>
                <w:lang w:eastAsia="es-ES"/>
              </w:rPr>
              <w:lastRenderedPageBreak/>
              <w:t>Amendment #3</w:t>
            </w:r>
            <w:r w:rsidR="002E4060">
              <w:rPr>
                <w:b/>
                <w:color w:val="000000"/>
                <w:sz w:val="18"/>
                <w:szCs w:val="18"/>
                <w:lang w:eastAsia="es-ES"/>
              </w:rPr>
              <w:t xml:space="preserve"> leading to </w:t>
            </w:r>
            <w:r w:rsidR="008442BE">
              <w:rPr>
                <w:b/>
                <w:color w:val="000000"/>
                <w:sz w:val="18"/>
                <w:szCs w:val="18"/>
                <w:lang w:eastAsia="es-ES"/>
              </w:rPr>
              <w:t>P</w:t>
            </w:r>
            <w:r w:rsidR="002E4060">
              <w:rPr>
                <w:b/>
                <w:color w:val="000000"/>
                <w:sz w:val="18"/>
                <w:szCs w:val="18"/>
                <w:lang w:eastAsia="es-ES"/>
              </w:rPr>
              <w:t>rotocol version 6</w:t>
            </w:r>
          </w:p>
        </w:tc>
      </w:tr>
      <w:tr w:rsidR="00917738" w:rsidRPr="004F0FE2" w14:paraId="22E4F0A0" w14:textId="77777777" w:rsidTr="005A2C25">
        <w:tc>
          <w:tcPr>
            <w:tcW w:w="8312" w:type="dxa"/>
            <w:shd w:val="clear" w:color="auto" w:fill="auto"/>
          </w:tcPr>
          <w:p w14:paraId="3DAFF8B4" w14:textId="220C4641" w:rsidR="00917738" w:rsidRPr="004F0FE2" w:rsidRDefault="00917738" w:rsidP="00673269">
            <w:pPr>
              <w:autoSpaceDE w:val="0"/>
              <w:autoSpaceDN w:val="0"/>
              <w:adjustRightInd w:val="0"/>
              <w:spacing w:after="0" w:line="240" w:lineRule="auto"/>
              <w:ind w:right="567"/>
              <w:rPr>
                <w:color w:val="000000"/>
                <w:sz w:val="18"/>
                <w:szCs w:val="18"/>
                <w:lang w:eastAsia="es-ES"/>
              </w:rPr>
            </w:pPr>
            <w:r w:rsidRPr="004F0FE2">
              <w:rPr>
                <w:rFonts w:eastAsia="ArialMT"/>
                <w:sz w:val="18"/>
                <w:szCs w:val="18"/>
                <w:lang w:eastAsia="es-ES"/>
              </w:rPr>
              <w:t xml:space="preserve">Revision of background information to include recent published data on </w:t>
            </w:r>
            <w:proofErr w:type="spellStart"/>
            <w:r w:rsidRPr="004F0FE2">
              <w:rPr>
                <w:rFonts w:eastAsia="ArialMT"/>
                <w:sz w:val="18"/>
                <w:szCs w:val="18"/>
                <w:lang w:eastAsia="es-ES"/>
              </w:rPr>
              <w:t>palbociclib</w:t>
            </w:r>
            <w:proofErr w:type="spellEnd"/>
            <w:r w:rsidR="001B284D" w:rsidRPr="004F0FE2">
              <w:rPr>
                <w:rFonts w:eastAsia="ArialMT"/>
                <w:sz w:val="18"/>
                <w:szCs w:val="18"/>
                <w:lang w:eastAsia="es-ES"/>
              </w:rPr>
              <w:t xml:space="preserve"> </w:t>
            </w:r>
            <w:r w:rsidRPr="004F0FE2">
              <w:rPr>
                <w:rFonts w:eastAsia="ArialMT"/>
                <w:sz w:val="18"/>
                <w:szCs w:val="18"/>
                <w:lang w:eastAsia="es-ES"/>
              </w:rPr>
              <w:t xml:space="preserve">and </w:t>
            </w:r>
            <w:proofErr w:type="spellStart"/>
            <w:r w:rsidRPr="004F0FE2">
              <w:rPr>
                <w:rFonts w:eastAsia="ArialMT"/>
                <w:sz w:val="18"/>
                <w:szCs w:val="18"/>
                <w:lang w:eastAsia="es-ES"/>
              </w:rPr>
              <w:t>fulvestrant</w:t>
            </w:r>
            <w:proofErr w:type="spellEnd"/>
            <w:r w:rsidRPr="004F0FE2">
              <w:rPr>
                <w:rFonts w:eastAsia="ArialMT"/>
                <w:sz w:val="18"/>
                <w:szCs w:val="18"/>
                <w:lang w:eastAsia="es-ES"/>
              </w:rPr>
              <w:t xml:space="preserve"> on the treatment of ER+/HER2- metastatic breast cancer patients. Revision of statistical assumptions leading to: (1) Modification of expected median PFS and Hazard Ratio for control vs. interventional arm. (2) Modification of primary variable to overall PFS. (3) Change in sample size from 304 patients to 486. Switch of analysis of primary endpoint from superiority only to non</w:t>
            </w:r>
            <w:r w:rsidR="001B284D" w:rsidRPr="004F0FE2">
              <w:rPr>
                <w:rFonts w:eastAsia="ArialMT"/>
                <w:sz w:val="18"/>
                <w:szCs w:val="18"/>
                <w:lang w:eastAsia="es-ES"/>
              </w:rPr>
              <w:t>-</w:t>
            </w:r>
            <w:r w:rsidRPr="004F0FE2">
              <w:rPr>
                <w:rFonts w:eastAsia="ArialMT"/>
                <w:sz w:val="18"/>
                <w:szCs w:val="18"/>
                <w:lang w:eastAsia="es-ES"/>
              </w:rPr>
              <w:t xml:space="preserve">inferiority analyses, if the superiority criteria cannot be met. Re-definition of interim analysis. Addition of new secondary </w:t>
            </w:r>
            <w:r w:rsidR="0095217A" w:rsidRPr="004F0FE2">
              <w:rPr>
                <w:rFonts w:eastAsia="ArialMT"/>
                <w:sz w:val="18"/>
                <w:szCs w:val="18"/>
                <w:lang w:eastAsia="es-ES"/>
              </w:rPr>
              <w:t>endpoints</w:t>
            </w:r>
            <w:r w:rsidRPr="004F0FE2">
              <w:rPr>
                <w:rFonts w:eastAsia="ArialMT"/>
                <w:sz w:val="18"/>
                <w:szCs w:val="18"/>
                <w:lang w:eastAsia="es-ES"/>
              </w:rPr>
              <w:t xml:space="preserve">: </w:t>
            </w:r>
            <w:proofErr w:type="spellStart"/>
            <w:r w:rsidR="001B284D" w:rsidRPr="004F0FE2">
              <w:rPr>
                <w:rFonts w:eastAsia="ArialMT"/>
                <w:sz w:val="18"/>
                <w:szCs w:val="18"/>
                <w:lang w:eastAsia="es-ES"/>
              </w:rPr>
              <w:t>DoR</w:t>
            </w:r>
            <w:proofErr w:type="spellEnd"/>
            <w:r w:rsidRPr="004F0FE2">
              <w:rPr>
                <w:rFonts w:eastAsia="ArialMT"/>
                <w:sz w:val="18"/>
                <w:szCs w:val="18"/>
                <w:lang w:eastAsia="es-ES"/>
              </w:rPr>
              <w:t xml:space="preserve"> and </w:t>
            </w:r>
            <w:r w:rsidR="001B284D" w:rsidRPr="004F0FE2">
              <w:rPr>
                <w:rFonts w:eastAsia="ArialMT"/>
                <w:sz w:val="18"/>
                <w:szCs w:val="18"/>
                <w:lang w:eastAsia="es-ES"/>
              </w:rPr>
              <w:t>TTR</w:t>
            </w:r>
            <w:r w:rsidRPr="004F0FE2">
              <w:rPr>
                <w:rFonts w:eastAsia="ArialMT"/>
                <w:sz w:val="18"/>
                <w:szCs w:val="18"/>
                <w:lang w:eastAsia="es-ES"/>
              </w:rPr>
              <w:t>. Update on the definition of End of Study. Extend the justification of translational sub-studies analysis. Addition of patient derived xenograft (PDX) models as potential studies to be performed from tumor samples.</w:t>
            </w:r>
          </w:p>
        </w:tc>
      </w:tr>
      <w:tr w:rsidR="00917738" w:rsidRPr="004F0FE2" w14:paraId="690E9553" w14:textId="77777777" w:rsidTr="005A2C25">
        <w:tc>
          <w:tcPr>
            <w:tcW w:w="8312" w:type="dxa"/>
            <w:shd w:val="clear" w:color="auto" w:fill="auto"/>
          </w:tcPr>
          <w:p w14:paraId="43EFFECB" w14:textId="30CD671E" w:rsidR="00917738" w:rsidRPr="004F0FE2" w:rsidRDefault="00917738" w:rsidP="00673269">
            <w:pPr>
              <w:autoSpaceDE w:val="0"/>
              <w:autoSpaceDN w:val="0"/>
              <w:adjustRightInd w:val="0"/>
              <w:spacing w:before="60" w:after="60" w:line="240" w:lineRule="auto"/>
              <w:ind w:right="567"/>
              <w:rPr>
                <w:b/>
                <w:color w:val="000000"/>
                <w:sz w:val="18"/>
                <w:szCs w:val="18"/>
                <w:lang w:eastAsia="es-ES"/>
              </w:rPr>
            </w:pPr>
            <w:r w:rsidRPr="004F0FE2">
              <w:rPr>
                <w:b/>
                <w:color w:val="000000"/>
                <w:sz w:val="18"/>
                <w:szCs w:val="18"/>
                <w:lang w:eastAsia="es-ES"/>
              </w:rPr>
              <w:t>Amendment #4</w:t>
            </w:r>
            <w:r w:rsidR="002E4060">
              <w:rPr>
                <w:b/>
                <w:color w:val="000000"/>
                <w:sz w:val="18"/>
                <w:szCs w:val="18"/>
                <w:lang w:eastAsia="es-ES"/>
              </w:rPr>
              <w:t xml:space="preserve"> leading to </w:t>
            </w:r>
            <w:r w:rsidR="008442BE">
              <w:rPr>
                <w:b/>
                <w:color w:val="000000"/>
                <w:sz w:val="18"/>
                <w:szCs w:val="18"/>
                <w:lang w:eastAsia="es-ES"/>
              </w:rPr>
              <w:t>P</w:t>
            </w:r>
            <w:r w:rsidR="002E4060">
              <w:rPr>
                <w:b/>
                <w:color w:val="000000"/>
                <w:sz w:val="18"/>
                <w:szCs w:val="18"/>
                <w:lang w:eastAsia="es-ES"/>
              </w:rPr>
              <w:t>rotocol version 7</w:t>
            </w:r>
          </w:p>
        </w:tc>
      </w:tr>
      <w:tr w:rsidR="00917738" w:rsidRPr="004F0FE2" w14:paraId="21F9A970" w14:textId="77777777" w:rsidTr="005A2C25">
        <w:tc>
          <w:tcPr>
            <w:tcW w:w="8312" w:type="dxa"/>
            <w:shd w:val="clear" w:color="auto" w:fill="auto"/>
          </w:tcPr>
          <w:p w14:paraId="0D2709B9" w14:textId="77777777" w:rsidR="00917738" w:rsidRDefault="00917738" w:rsidP="00673269">
            <w:pPr>
              <w:autoSpaceDE w:val="0"/>
              <w:autoSpaceDN w:val="0"/>
              <w:adjustRightInd w:val="0"/>
              <w:spacing w:after="0" w:line="240" w:lineRule="auto"/>
              <w:ind w:right="567"/>
              <w:rPr>
                <w:rFonts w:eastAsia="ArialMT"/>
                <w:sz w:val="18"/>
                <w:szCs w:val="18"/>
                <w:lang w:eastAsia="es-ES"/>
              </w:rPr>
            </w:pPr>
            <w:r w:rsidRPr="004F0FE2">
              <w:rPr>
                <w:rFonts w:eastAsia="ArialMT"/>
                <w:sz w:val="18"/>
                <w:szCs w:val="18"/>
                <w:lang w:eastAsia="es-ES"/>
              </w:rPr>
              <w:t>Revision of inclusion criteria 13 to</w:t>
            </w:r>
            <w:r w:rsidR="001B284D" w:rsidRPr="004F0FE2">
              <w:rPr>
                <w:rFonts w:eastAsia="ArialMT"/>
                <w:sz w:val="18"/>
                <w:szCs w:val="18"/>
                <w:lang w:eastAsia="es-ES"/>
              </w:rPr>
              <w:t xml:space="preserve"> </w:t>
            </w:r>
            <w:r w:rsidRPr="004F0FE2">
              <w:rPr>
                <w:rFonts w:eastAsia="ArialMT"/>
                <w:sz w:val="18"/>
                <w:szCs w:val="18"/>
                <w:lang w:eastAsia="es-ES"/>
              </w:rPr>
              <w:t>request as mandatory procedure</w:t>
            </w:r>
            <w:r w:rsidR="001B284D" w:rsidRPr="004F0FE2">
              <w:rPr>
                <w:rFonts w:eastAsia="ArialMT"/>
                <w:sz w:val="18"/>
                <w:szCs w:val="18"/>
                <w:lang w:eastAsia="es-ES"/>
              </w:rPr>
              <w:t xml:space="preserve"> </w:t>
            </w:r>
            <w:r w:rsidRPr="004F0FE2">
              <w:rPr>
                <w:rFonts w:eastAsia="ArialMT"/>
                <w:sz w:val="18"/>
                <w:szCs w:val="18"/>
                <w:lang w:eastAsia="es-ES"/>
              </w:rPr>
              <w:t>in the study the consent to</w:t>
            </w:r>
            <w:r w:rsidR="001B284D" w:rsidRPr="004F0FE2">
              <w:rPr>
                <w:rFonts w:eastAsia="ArialMT"/>
                <w:sz w:val="18"/>
                <w:szCs w:val="18"/>
                <w:lang w:eastAsia="es-ES"/>
              </w:rPr>
              <w:t xml:space="preserve"> provide tumor tissue samples. </w:t>
            </w:r>
            <w:r w:rsidRPr="004F0FE2">
              <w:rPr>
                <w:rFonts w:eastAsia="ArialMT"/>
                <w:sz w:val="18"/>
                <w:szCs w:val="18"/>
                <w:lang w:eastAsia="es-ES"/>
              </w:rPr>
              <w:t>Revision of dose modifications</w:t>
            </w:r>
            <w:r w:rsidR="001B284D" w:rsidRPr="004F0FE2">
              <w:rPr>
                <w:rFonts w:eastAsia="ArialMT"/>
                <w:sz w:val="18"/>
                <w:szCs w:val="18"/>
                <w:lang w:eastAsia="es-ES"/>
              </w:rPr>
              <w:t xml:space="preserve"> </w:t>
            </w:r>
            <w:r w:rsidRPr="004F0FE2">
              <w:rPr>
                <w:rFonts w:eastAsia="ArialMT"/>
                <w:sz w:val="18"/>
                <w:szCs w:val="18"/>
                <w:lang w:eastAsia="es-ES"/>
              </w:rPr>
              <w:t xml:space="preserve">guidelines for </w:t>
            </w:r>
            <w:proofErr w:type="spellStart"/>
            <w:r w:rsidR="0095217A" w:rsidRPr="004F0FE2">
              <w:rPr>
                <w:rFonts w:eastAsia="ArialMT"/>
                <w:sz w:val="18"/>
                <w:szCs w:val="18"/>
                <w:lang w:eastAsia="es-ES"/>
              </w:rPr>
              <w:t>palbociclib</w:t>
            </w:r>
            <w:proofErr w:type="spellEnd"/>
            <w:r w:rsidR="001B284D" w:rsidRPr="004F0FE2">
              <w:rPr>
                <w:rFonts w:eastAsia="ArialMT"/>
                <w:sz w:val="18"/>
                <w:szCs w:val="18"/>
                <w:lang w:eastAsia="es-ES"/>
              </w:rPr>
              <w:t xml:space="preserve">. </w:t>
            </w:r>
            <w:r w:rsidRPr="004F0FE2">
              <w:rPr>
                <w:rFonts w:eastAsia="ArialMT"/>
                <w:sz w:val="18"/>
                <w:szCs w:val="18"/>
                <w:lang w:eastAsia="es-ES"/>
              </w:rPr>
              <w:t>Definition of maximum dose of</w:t>
            </w:r>
            <w:r w:rsidR="001B284D" w:rsidRPr="004F0FE2">
              <w:rPr>
                <w:rFonts w:eastAsia="ArialMT"/>
                <w:sz w:val="18"/>
                <w:szCs w:val="18"/>
                <w:lang w:eastAsia="es-ES"/>
              </w:rPr>
              <w:t xml:space="preserve"> </w:t>
            </w:r>
            <w:r w:rsidRPr="004F0FE2">
              <w:rPr>
                <w:rFonts w:eastAsia="ArialMT"/>
                <w:sz w:val="18"/>
                <w:szCs w:val="18"/>
                <w:lang w:eastAsia="es-ES"/>
              </w:rPr>
              <w:t>corticosteroids as below of 10 mg</w:t>
            </w:r>
            <w:r w:rsidR="001B284D" w:rsidRPr="004F0FE2">
              <w:rPr>
                <w:rFonts w:eastAsia="ArialMT"/>
                <w:sz w:val="18"/>
                <w:szCs w:val="18"/>
                <w:lang w:eastAsia="es-ES"/>
              </w:rPr>
              <w:t xml:space="preserve"> </w:t>
            </w:r>
            <w:r w:rsidRPr="004F0FE2">
              <w:rPr>
                <w:rFonts w:eastAsia="ArialMT"/>
                <w:sz w:val="18"/>
                <w:szCs w:val="18"/>
                <w:lang w:eastAsia="es-ES"/>
              </w:rPr>
              <w:t>per day of methylprednisolone</w:t>
            </w:r>
            <w:r w:rsidR="001B284D" w:rsidRPr="004F0FE2">
              <w:rPr>
                <w:rFonts w:eastAsia="ArialMT"/>
                <w:sz w:val="18"/>
                <w:szCs w:val="18"/>
                <w:lang w:eastAsia="es-ES"/>
              </w:rPr>
              <w:t xml:space="preserve"> </w:t>
            </w:r>
            <w:r w:rsidRPr="004F0FE2">
              <w:rPr>
                <w:rFonts w:eastAsia="ArialMT"/>
                <w:sz w:val="18"/>
                <w:szCs w:val="18"/>
                <w:lang w:eastAsia="es-ES"/>
              </w:rPr>
              <w:t>equivalent.</w:t>
            </w:r>
          </w:p>
          <w:p w14:paraId="6F837A59" w14:textId="5EA57930" w:rsidR="00A5705E" w:rsidRPr="004F0FE2" w:rsidRDefault="00A5705E" w:rsidP="00673269">
            <w:pPr>
              <w:autoSpaceDE w:val="0"/>
              <w:autoSpaceDN w:val="0"/>
              <w:adjustRightInd w:val="0"/>
              <w:spacing w:after="0" w:line="240" w:lineRule="auto"/>
              <w:ind w:right="567"/>
              <w:rPr>
                <w:color w:val="000000"/>
                <w:sz w:val="18"/>
                <w:szCs w:val="18"/>
                <w:lang w:eastAsia="es-ES"/>
              </w:rPr>
            </w:pPr>
          </w:p>
        </w:tc>
      </w:tr>
      <w:tr w:rsidR="001B284D" w:rsidRPr="004F0FE2" w14:paraId="6ACDDBFF" w14:textId="77777777" w:rsidTr="005A2C25">
        <w:tc>
          <w:tcPr>
            <w:tcW w:w="8312" w:type="dxa"/>
            <w:shd w:val="clear" w:color="auto" w:fill="auto"/>
          </w:tcPr>
          <w:p w14:paraId="01E5DFF8" w14:textId="5A727B64" w:rsidR="001B284D" w:rsidRPr="004F0FE2" w:rsidRDefault="001B284D" w:rsidP="00673269">
            <w:pPr>
              <w:autoSpaceDE w:val="0"/>
              <w:autoSpaceDN w:val="0"/>
              <w:adjustRightInd w:val="0"/>
              <w:spacing w:before="60" w:after="60" w:line="240" w:lineRule="auto"/>
              <w:ind w:right="567"/>
              <w:rPr>
                <w:b/>
                <w:color w:val="000000"/>
                <w:sz w:val="18"/>
                <w:szCs w:val="18"/>
                <w:lang w:eastAsia="es-ES"/>
              </w:rPr>
            </w:pPr>
            <w:r w:rsidRPr="004F0FE2">
              <w:rPr>
                <w:b/>
                <w:color w:val="000000"/>
                <w:sz w:val="18"/>
                <w:szCs w:val="18"/>
                <w:lang w:eastAsia="es-ES"/>
              </w:rPr>
              <w:t>Amendment #5</w:t>
            </w:r>
            <w:r w:rsidR="002E4060">
              <w:rPr>
                <w:b/>
                <w:color w:val="000000"/>
                <w:sz w:val="18"/>
                <w:szCs w:val="18"/>
                <w:lang w:eastAsia="es-ES"/>
              </w:rPr>
              <w:t xml:space="preserve"> leading to </w:t>
            </w:r>
            <w:r w:rsidR="008442BE">
              <w:rPr>
                <w:b/>
                <w:color w:val="000000"/>
                <w:sz w:val="18"/>
                <w:szCs w:val="18"/>
                <w:lang w:eastAsia="es-ES"/>
              </w:rPr>
              <w:t>P</w:t>
            </w:r>
            <w:r w:rsidR="002E4060">
              <w:rPr>
                <w:b/>
                <w:color w:val="000000"/>
                <w:sz w:val="18"/>
                <w:szCs w:val="18"/>
                <w:lang w:eastAsia="es-ES"/>
              </w:rPr>
              <w:t>rotocol version 8</w:t>
            </w:r>
          </w:p>
        </w:tc>
      </w:tr>
      <w:tr w:rsidR="001B284D" w:rsidRPr="004F0FE2" w14:paraId="6E3E0A74" w14:textId="77777777" w:rsidTr="005A2C25">
        <w:tc>
          <w:tcPr>
            <w:tcW w:w="8312" w:type="dxa"/>
            <w:shd w:val="clear" w:color="auto" w:fill="auto"/>
          </w:tcPr>
          <w:p w14:paraId="767DBA99" w14:textId="77777777" w:rsidR="001B284D" w:rsidRPr="004F0FE2" w:rsidRDefault="001B284D" w:rsidP="00673269">
            <w:pPr>
              <w:autoSpaceDE w:val="0"/>
              <w:autoSpaceDN w:val="0"/>
              <w:adjustRightInd w:val="0"/>
              <w:spacing w:after="0" w:line="240" w:lineRule="auto"/>
              <w:ind w:right="567"/>
              <w:rPr>
                <w:rFonts w:eastAsia="ArialMT"/>
                <w:sz w:val="18"/>
                <w:szCs w:val="18"/>
                <w:lang w:eastAsia="es-ES"/>
              </w:rPr>
            </w:pPr>
            <w:r w:rsidRPr="004F0FE2">
              <w:rPr>
                <w:rFonts w:eastAsia="ArialMT"/>
                <w:sz w:val="18"/>
                <w:szCs w:val="18"/>
                <w:lang w:eastAsia="es-ES"/>
              </w:rPr>
              <w:t>Update of Sponsor’s Medical Monitor. Steering Committee update. Change in the definition of</w:t>
            </w:r>
          </w:p>
          <w:p w14:paraId="6100F0AC" w14:textId="77777777" w:rsidR="001B284D" w:rsidRDefault="001B284D" w:rsidP="00673269">
            <w:pPr>
              <w:autoSpaceDE w:val="0"/>
              <w:autoSpaceDN w:val="0"/>
              <w:adjustRightInd w:val="0"/>
              <w:spacing w:after="0" w:line="240" w:lineRule="auto"/>
              <w:ind w:right="567"/>
              <w:rPr>
                <w:rFonts w:eastAsia="ArialMT"/>
                <w:sz w:val="18"/>
                <w:szCs w:val="18"/>
                <w:lang w:eastAsia="es-ES"/>
              </w:rPr>
            </w:pPr>
            <w:r w:rsidRPr="004F0FE2">
              <w:rPr>
                <w:rFonts w:eastAsia="ArialMT"/>
                <w:sz w:val="18"/>
                <w:szCs w:val="18"/>
                <w:lang w:eastAsia="es-ES"/>
              </w:rPr>
              <w:t>Study period. Change in contact details. Update medical monitor and Sponsor’s Safety Management Risk details. Modification of the regulation for data protection Regulation (EU) 2016/679 of the European Parliament and of the Council, of 27 April 2016. Remove the word ARO in promotor Name. Typographical, format and wording adjustment.</w:t>
            </w:r>
          </w:p>
          <w:p w14:paraId="506C852E" w14:textId="01061284" w:rsidR="00A5705E" w:rsidRPr="004F0FE2" w:rsidRDefault="00A5705E" w:rsidP="00673269">
            <w:pPr>
              <w:autoSpaceDE w:val="0"/>
              <w:autoSpaceDN w:val="0"/>
              <w:adjustRightInd w:val="0"/>
              <w:spacing w:after="0" w:line="240" w:lineRule="auto"/>
              <w:ind w:right="567"/>
              <w:rPr>
                <w:color w:val="000000"/>
                <w:sz w:val="18"/>
                <w:szCs w:val="18"/>
                <w:lang w:eastAsia="es-ES"/>
              </w:rPr>
            </w:pPr>
          </w:p>
        </w:tc>
      </w:tr>
      <w:tr w:rsidR="00917738" w:rsidRPr="004F0FE2" w14:paraId="4688BB2A" w14:textId="77777777" w:rsidTr="005A2C25">
        <w:tc>
          <w:tcPr>
            <w:tcW w:w="8312" w:type="dxa"/>
            <w:shd w:val="clear" w:color="auto" w:fill="auto"/>
          </w:tcPr>
          <w:p w14:paraId="5D23EEB0" w14:textId="5F5BBD65" w:rsidR="00917738" w:rsidRPr="004F0FE2" w:rsidRDefault="00917738" w:rsidP="00673269">
            <w:pPr>
              <w:autoSpaceDE w:val="0"/>
              <w:autoSpaceDN w:val="0"/>
              <w:adjustRightInd w:val="0"/>
              <w:spacing w:before="60" w:after="60" w:line="240" w:lineRule="auto"/>
              <w:ind w:right="567"/>
              <w:rPr>
                <w:b/>
                <w:color w:val="000000"/>
                <w:sz w:val="18"/>
                <w:szCs w:val="18"/>
                <w:lang w:eastAsia="es-ES"/>
              </w:rPr>
            </w:pPr>
            <w:r w:rsidRPr="004F0FE2">
              <w:rPr>
                <w:b/>
                <w:color w:val="000000"/>
                <w:sz w:val="18"/>
                <w:szCs w:val="18"/>
                <w:lang w:eastAsia="es-ES"/>
              </w:rPr>
              <w:t>Amendment #6</w:t>
            </w:r>
            <w:r w:rsidR="002E4060">
              <w:rPr>
                <w:b/>
                <w:color w:val="000000"/>
                <w:sz w:val="18"/>
                <w:szCs w:val="18"/>
                <w:lang w:eastAsia="es-ES"/>
              </w:rPr>
              <w:t xml:space="preserve"> leading to </w:t>
            </w:r>
            <w:r w:rsidR="008442BE">
              <w:rPr>
                <w:b/>
                <w:color w:val="000000"/>
                <w:sz w:val="18"/>
                <w:szCs w:val="18"/>
                <w:lang w:eastAsia="es-ES"/>
              </w:rPr>
              <w:t>P</w:t>
            </w:r>
            <w:r w:rsidR="002E4060">
              <w:rPr>
                <w:b/>
                <w:color w:val="000000"/>
                <w:sz w:val="18"/>
                <w:szCs w:val="18"/>
                <w:lang w:eastAsia="es-ES"/>
              </w:rPr>
              <w:t>rotocol version 9</w:t>
            </w:r>
          </w:p>
        </w:tc>
      </w:tr>
      <w:tr w:rsidR="002E4060" w:rsidRPr="004F0FE2" w14:paraId="23345A81" w14:textId="77777777" w:rsidTr="005A2C25">
        <w:tc>
          <w:tcPr>
            <w:tcW w:w="8312" w:type="dxa"/>
            <w:shd w:val="clear" w:color="auto" w:fill="auto"/>
          </w:tcPr>
          <w:p w14:paraId="06812350" w14:textId="74711DE9" w:rsidR="002E4060" w:rsidRPr="004F0FE2" w:rsidRDefault="002E4060" w:rsidP="00673269">
            <w:pPr>
              <w:autoSpaceDE w:val="0"/>
              <w:autoSpaceDN w:val="0"/>
              <w:adjustRightInd w:val="0"/>
              <w:spacing w:after="0" w:line="240" w:lineRule="auto"/>
              <w:ind w:right="567"/>
              <w:rPr>
                <w:color w:val="000000"/>
                <w:sz w:val="18"/>
                <w:szCs w:val="18"/>
                <w:lang w:eastAsia="es-ES"/>
              </w:rPr>
            </w:pPr>
            <w:r w:rsidRPr="00367B80">
              <w:rPr>
                <w:rFonts w:eastAsia="ArialMT"/>
                <w:sz w:val="18"/>
                <w:szCs w:val="18"/>
                <w:lang w:eastAsia="es-ES"/>
              </w:rPr>
              <w:t>Revision of toxicity profile for Palbociclib including interstitial lung disease (ILD) and/or pneumonitis as non-hematologic toxicity as well as its management. Revision of protocol to include updated pregnancy and la</w:t>
            </w:r>
            <w:r w:rsidR="00B675A6">
              <w:rPr>
                <w:rFonts w:eastAsia="ArialMT"/>
                <w:sz w:val="18"/>
                <w:szCs w:val="18"/>
                <w:lang w:eastAsia="es-ES"/>
              </w:rPr>
              <w:t>c</w:t>
            </w:r>
            <w:r w:rsidRPr="00367B80">
              <w:rPr>
                <w:rFonts w:eastAsia="ArialMT"/>
                <w:sz w:val="18"/>
                <w:szCs w:val="18"/>
                <w:lang w:eastAsia="es-ES"/>
              </w:rPr>
              <w:t xml:space="preserve">tation information for </w:t>
            </w:r>
            <w:proofErr w:type="spellStart"/>
            <w:r w:rsidRPr="00367B80">
              <w:rPr>
                <w:rFonts w:eastAsia="ArialMT"/>
                <w:sz w:val="18"/>
                <w:szCs w:val="18"/>
                <w:lang w:eastAsia="es-ES"/>
              </w:rPr>
              <w:t>fulvestrant</w:t>
            </w:r>
            <w:proofErr w:type="spellEnd"/>
            <w:r w:rsidRPr="00367B80">
              <w:rPr>
                <w:rFonts w:eastAsia="ArialMT"/>
                <w:sz w:val="18"/>
                <w:szCs w:val="18"/>
                <w:lang w:eastAsia="es-ES"/>
              </w:rPr>
              <w:t>.</w:t>
            </w:r>
          </w:p>
        </w:tc>
      </w:tr>
    </w:tbl>
    <w:p w14:paraId="6176DE22" w14:textId="77777777" w:rsidR="00A5705E" w:rsidRDefault="00A5705E" w:rsidP="00673269">
      <w:pPr>
        <w:ind w:right="567"/>
      </w:pPr>
    </w:p>
    <w:p w14:paraId="2A80C14F" w14:textId="62408D3A" w:rsidR="00A83059" w:rsidRPr="004F0FE2" w:rsidRDefault="00A83059" w:rsidP="00673269">
      <w:pPr>
        <w:pStyle w:val="Ttulo3"/>
        <w:ind w:right="567"/>
      </w:pPr>
      <w:bookmarkStart w:id="270" w:name="_Toc52468119"/>
      <w:r w:rsidRPr="004F0FE2">
        <w:t>Changes in planned analyses.</w:t>
      </w:r>
      <w:bookmarkEnd w:id="270"/>
    </w:p>
    <w:p w14:paraId="2884C140" w14:textId="77777777" w:rsidR="004C18F7" w:rsidRPr="004F0FE2" w:rsidRDefault="00CA4919" w:rsidP="00673269">
      <w:pPr>
        <w:ind w:right="567"/>
      </w:pPr>
      <w:r w:rsidRPr="004F0FE2">
        <w:t>Amendment #3</w:t>
      </w:r>
      <w:r w:rsidR="004C18F7" w:rsidRPr="004F0FE2">
        <w:t xml:space="preserve"> (dated 20</w:t>
      </w:r>
      <w:r w:rsidR="004C18F7" w:rsidRPr="004F0FE2">
        <w:rPr>
          <w:vertAlign w:val="superscript"/>
        </w:rPr>
        <w:t>th</w:t>
      </w:r>
      <w:r w:rsidR="004C18F7" w:rsidRPr="004F0FE2">
        <w:t xml:space="preserve"> December 2016) involved a revision of planned statistical analyses leading to: </w:t>
      </w:r>
    </w:p>
    <w:p w14:paraId="07F68E05" w14:textId="57539DC5" w:rsidR="004C18F7" w:rsidRPr="004F0FE2" w:rsidRDefault="004C18F7" w:rsidP="00673269">
      <w:pPr>
        <w:ind w:right="567"/>
      </w:pPr>
      <w:r w:rsidRPr="004F0FE2">
        <w:t xml:space="preserve">(a) </w:t>
      </w:r>
      <w:r w:rsidR="008D79C8" w:rsidRPr="004F0FE2">
        <w:t>M</w:t>
      </w:r>
      <w:r w:rsidRPr="004F0FE2">
        <w:t xml:space="preserve">odification of statistical assumptions regarding expected median PFS and HR for control versus the interventional arm. </w:t>
      </w:r>
      <w:r w:rsidR="00FB7275" w:rsidRPr="004F0FE2">
        <w:t>Two</w:t>
      </w:r>
      <w:r w:rsidRPr="004F0FE2">
        <w:t xml:space="preserve"> published phase III trials</w:t>
      </w:r>
      <w:r w:rsidR="00FB7275" w:rsidRPr="004F0FE2">
        <w:t xml:space="preserve"> </w:t>
      </w:r>
      <w:r w:rsidR="00FB7275" w:rsidRPr="004F0FE2">
        <w:fldChar w:fldCharType="begin" w:fldLock="1"/>
      </w:r>
      <w:r w:rsidR="009B7569" w:rsidRPr="004F0FE2">
        <w:instrText>ADDIN CSL_CITATION {"citationItems":[{"id":"ITEM-1","itemData":{"DOI":"10.1016/S0140-6736(16)32389-3","ISSN":"1474547X","PMID":"27908454","abstract":"Background Aromatase inhibitors are a standard of care for hormone receptor-positive locally advanced or metastatic breast cancer. We investigated whether the selective oestrogen receptor degrader fulvestrant could improve progression-free survival compared with anastrozole in postmenopausal patients who had not received previous endocrine therapy. Methods In this phase 3, randomised, double-blind trial, we recruited eligible patients with histologically confirmed oestrogen receptor-positive or progesterone receptor-positive, or both, locally advanced or metastatic breast cancer from 113 academic hospitals and community centres in 20 countries. Eligible patients were endocrine therapy-naive, with WHO performance status 0–2, and at least one measurable or non-measurable lesion. Patients were randomly assigned (1:1) to fulvestrant (500 mg intramuscular injection; on days 0, 14, 28, then every 28 days thereafter) or anastrozole (1 mg orally daily) using a computer-generated randomisation scheme. The primary endpoint was progression-free survival, determined by Response Evaluation Criteria in Solid Tumors version 1·1, intervention by surgery or radiotherapy because of disease deterioration, or death from any cause, assessed in the intention-to-treat population. Safety outcomes were assessed in all patients who received at least one dose of randomised treatment (including placebo). This trial is registered with ClinicalTrials.gov, number NCT01602380. Findings Between Oct 17, 2012, and July 11, 2014, 524 patients were enrolled to this study. Of these, 462 patients were randomised (230 to receive fulvestrant and 232 to receive anastrozole). Progression-free survival was significantly longer in the fulvestrant group than in the anastrozole group (hazard ratio [HR] 0·797, 95% CI 0·637–0·999, p=0·0486). Median progression-free survival was 16·6 months (95% CI 13·83–20·99) in the fulvestrant group versus 13·8 months (11·99–16·59) in the anastrozole group. The most common adverse events were arthralgia (38 [17%] in the fulvestrant group vs 24 [10%] in the anastrozole group) and hot flushes (26 [11%] in the fulvestrant group vs 24 [10%] in the anastrozole group). 16 (7%) of 228 patients in in the fulvestrant group and 11 (5%) of 232 patients in the anastrozole group discontinued because of adverse events. Interpretation Fulvestrant has superior efficacy and is a preferred treatment option for patients with hormone receptor-positive locally advanced or metastatic bre…","author":[{"dropping-particle":"","family":"Robertson","given":"John F.R.","non-dropping-particle":"","parse-names":false,"suffix":""},{"dropping-particle":"","family":"Bondarenko","given":"Igor M.","non-dropping-particle":"","parse-names":false,"suffix":""},{"dropping-particle":"","family":"Trishkina","given":"Ekaterina","non-dropping-particle":"","parse-names":false,"suffix":""},{"dropping-particle":"","family":"Dvorkin","given":"Mikhail","non-dropping-particle":"","parse-names":false,"suffix":""},{"dropping-particle":"","family":"Panasci","given":"Lawrence","non-dropping-particle":"","parse-names":false,"suffix":""},{"dropping-particle":"","family":"Manikhas","given":"Alexey","non-dropping-particle":"","parse-names":false,"suffix":""},{"dropping-particle":"","family":"Shparyk","given":"Yaroslav","non-dropping-particle":"","parse-names":false,"suffix":""},{"dropping-particle":"","family":"Cardona-Huerta","given":"Servando","non-dropping-particle":"","parse-names":false,"suffix":""},{"dropping-particle":"","family":"Cheung","given":"Kwok Leung","non-dropping-particle":"","parse-names":false,"suffix":""},{"dropping-particle":"","family":"Philco-Salas","given":"Manuel Jesus","non-dropping-particle":"","parse-names":false,"suffix":""},{"dropping-particle":"","family":"Ruiz-Borrego","given":"Manuel","non-dropping-particle":"","parse-names":false,"suffix":""},{"dropping-particle":"","family":"Shao","given":"Zhimin","non-dropping-particle":"","parse-names":false,"suffix":""},{"dropping-particle":"","family":"Noguchi","given":"Shinzaburo","non-dropping-particle":"","parse-names":false,"suffix":""},{"dropping-particle":"","family":"Rowbottom","given":"Jacqui","non-dropping-particle":"","parse-names":false,"suffix":""},{"dropping-particle":"","family":"Stuart","given":"Mary","non-dropping-particle":"","parse-names":false,"suffix":""},{"dropping-particle":"","family":"Grinsted","given":"Lynda M.","non-dropping-particle":"","parse-names":false,"suffix":""},{"dropping-particle":"","family":"Fazal","given":"Mehdi","non-dropping-particle":"","parse-names":false,"suffix":""},{"dropping-particle":"","family":"Ellis","given":"Matthew J.","non-dropping-particle":"","parse-names":false,"suffix":""}],"container-title":"The Lancet","id":"ITEM-1","issue":"10063","issued":{"date-parts":[["2016","12","17"]]},"page":"2997-3005","publisher":"Lancet Publishing Group","title":"Fulvestrant 500 mg versus anastrozole 1 mg for hormone receptor-positive advanced breast cancer (FALCON): an international, randomised, double-blind, phase 3 trial","type":"article-journal","volume":"388"},"uris":["http://www.mendeley.com/documents/?uuid=211a1aab-4358-33cb-bc43-764f95610866"]},{"id":"ITEM-2","itemData":{"DOI":"10.1056/NEJMoa1607303","ISSN":"15334406","abstract":"BACKGROUND A phase 2 study showed that progression-free survival was longer with palbociclib plus letrozole than with letrozole alone in the initial treatment of postmenopausal women with estrogen-receptor (ER)-positive, human epidermal growth factor receptor 2 (HER2)-negative advanced breast cancer. We performed a phase 3 study that was designed to confirm and expand the efficacy and safety data for palbociclib plus letrozole for this indication. METHODS In this double-blind study, we randomly assigned, in a 2:1 ratio, 666 postmenopausal women with ER-positive, HER2-negative breast cancer, who had not had prior treatment for advanced disease, to receive palbociclib plus letrozole or placebo plus letrozole. The primary end point was progression-free survival, as assessed by the investigators; secondary end points were overall survival, objective response, clinical benefit response, patient-reported outcomes, pharmacokinetic effects, and safety. RESULTS The median progression-free survival was 24.8 months (95% confidence interval [CI], 22.1 to not estimable) in the palbociclib-letrozole group, as compared with 14.5 months (95% CI, 12.9 to 17.1) in the placebo-letrozole group (hazard ratio for disease progression or death, 0.58; 95% CI, 0.46 to 0.72; P&lt;0.001). The most common grade 3 or 4 adverse events were neutropenia (occurring in 66.4% of the patients in the palbociclib- letrozole group vs. 1.4% in the placebo-letrozole group), leukopenia (24.8% vs. 0%), anemia (5.4% vs. 1.8%), and fatigue (1.8% vs. 0.5%). Febrile neutropenia was reported in 1.8% of patients in the palbociclib-letrozole group and in none of the patients in the placebo-letrozole group. Permanent discontinuation of any study treatment as a result of adverse events occurred in 43 patients (9.7%) in the palbociclib-letrozole group and in 13 patients (5.9%) in the placebo-letrozole group. CONCLUSIONS Among patients with previously untreated ER-positive, HER2-negative advanced breast cancer, palbociclib combined with letrozole resulted in significantly longer progression-free survival than that with letrozole alone, although the rates of myelotoxic effects were higher with palbociclib-letrozole.","author":[{"dropping-particle":"","family":"Finn","given":"Richard S.","non-dropping-particle":"","parse-names":false,"suffix":""},{"dropping-particle":"","family":"Martin","given":"Miguel","non-dropping-particle":"","parse-names":false,"suffix":""},{"dropping-particle":"","family":"Rugo","given":"Hope S.","non-dropping-particle":"","parse-names":false,"suffix":""},{"dropping-particle":"","family":"Jones","given":"Stephen","non-dropping-particle":"","parse-names":false,"suffix":""},{"dropping-particle":"","family":"Im","given":"Seock Ah","non-dropping-particle":"","parse-names":false,"suffix":""},{"dropping-particle":"","family":"Gelmon","given":"Karen","non-dropping-particle":"","parse-names":false,"suffix":""},{"dropping-particle":"","family":"Harbeck","given":"Nadia","non-dropping-particle":"","parse-names":false,"suffix":""},{"dropping-particle":"","family":"Lipatov","given":"Oleg N.","non-dropping-particle":"","parse-names":false,"suffix":""},{"dropping-particle":"","family":"Walshe","given":"Janice M.","non-dropping-particle":"","parse-names":false,"suffix":""},{"dropping-particle":"","family":"Moulder","given":"Stacy","non-dropping-particle":"","parse-names":false,"suffix":""},{"dropping-particle":"","family":"Gauthier","given":"Eric","non-dropping-particle":"","parse-names":false,"suffix":""},{"dropping-particle":"","family":"Lu","given":"Dongrui R.","non-dropping-particle":"","parse-names":false,"suffix":""},{"dropping-particle":"","family":"Randolph","given":"Sophia","non-dropping-particle":"","parse-names":false,"suffix":""},{"dropping-particle":"","family":"Dieras","given":"Veronique","non-dropping-particle":"","parse-names":false,"suffix":""},{"dropping-particle":"","family":"Slamon","given":"Dennis J.","non-dropping-particle":"","parse-names":false,"suffix":""}],"container-title":"New England Journal of Medicine","id":"ITEM-2","issue":"20","issued":{"date-parts":[["2016","11","17"]]},"page":"1925-1936","publisher":"Massachussetts Medical Society","title":"Palbociclib and letrozole in advanced breast cancer","type":"article-journal","volume":"375"},"uris":["http://www.mendeley.com/documents/?uuid=09617519-7475-3785-a36d-c85aa1f9243a"]}],"mendeley":{"formattedCitation":"[15,32]","plainTextFormattedCitation":"[15,32]","previouslyFormattedCitation":"[15,32]"},"properties":{"noteIndex":0},"schema":"https://github.com/citation-style-language/schema/raw/master/csl-citation.json"}</w:instrText>
      </w:r>
      <w:r w:rsidR="00FB7275" w:rsidRPr="004F0FE2">
        <w:fldChar w:fldCharType="separate"/>
      </w:r>
      <w:r w:rsidR="009B7569" w:rsidRPr="004F0FE2">
        <w:t>[15,32]</w:t>
      </w:r>
      <w:r w:rsidR="00FB7275" w:rsidRPr="004F0FE2">
        <w:fldChar w:fldCharType="end"/>
      </w:r>
      <w:r w:rsidRPr="004F0FE2">
        <w:t xml:space="preserve"> provided </w:t>
      </w:r>
      <w:r w:rsidR="00FB7275" w:rsidRPr="004F0FE2">
        <w:t xml:space="preserve">new estimations of the efficacy and safety of both the </w:t>
      </w:r>
      <w:proofErr w:type="spellStart"/>
      <w:r w:rsidR="00172A25" w:rsidRPr="004F0FE2">
        <w:t>palbociclib</w:t>
      </w:r>
      <w:proofErr w:type="spellEnd"/>
      <w:r w:rsidR="00FB7275" w:rsidRPr="004F0FE2">
        <w:t xml:space="preserve">-letrozole combination as well as single-agent </w:t>
      </w:r>
      <w:proofErr w:type="spellStart"/>
      <w:r w:rsidR="00FB7275" w:rsidRPr="004F0FE2">
        <w:t>fulvestrant</w:t>
      </w:r>
      <w:proofErr w:type="spellEnd"/>
      <w:r w:rsidR="00FB7275" w:rsidRPr="004F0FE2">
        <w:t xml:space="preserve"> for the treatment of front-line ER+ </w:t>
      </w:r>
      <w:proofErr w:type="spellStart"/>
      <w:r w:rsidR="00FB7275" w:rsidRPr="004F0FE2">
        <w:t>mBC</w:t>
      </w:r>
      <w:proofErr w:type="spellEnd"/>
      <w:r w:rsidR="00FB7275" w:rsidRPr="004F0FE2">
        <w:t xml:space="preserve"> patients. </w:t>
      </w:r>
    </w:p>
    <w:p w14:paraId="18B2FA29" w14:textId="77777777" w:rsidR="004C18F7" w:rsidRPr="004F0FE2" w:rsidRDefault="008D79C8" w:rsidP="00673269">
      <w:pPr>
        <w:ind w:right="567"/>
      </w:pPr>
      <w:r w:rsidRPr="004F0FE2">
        <w:t>(b) M</w:t>
      </w:r>
      <w:r w:rsidR="004C18F7" w:rsidRPr="004F0FE2">
        <w:t xml:space="preserve">odification of the primary variable from PFS at 1 year to overall PFS, considered, in light of the new data, a more robust primary endpoint. </w:t>
      </w:r>
    </w:p>
    <w:p w14:paraId="2533AE0B" w14:textId="77777777" w:rsidR="00CA4919" w:rsidRPr="004F0FE2" w:rsidRDefault="004C18F7" w:rsidP="00673269">
      <w:pPr>
        <w:ind w:right="567"/>
        <w:rPr>
          <w:rFonts w:eastAsia="ArialMT"/>
          <w:lang w:eastAsia="es-ES"/>
        </w:rPr>
      </w:pPr>
      <w:r w:rsidRPr="004F0FE2">
        <w:t xml:space="preserve">(c) </w:t>
      </w:r>
      <w:r w:rsidR="008D79C8" w:rsidRPr="004F0FE2">
        <w:t>C</w:t>
      </w:r>
      <w:r w:rsidRPr="004F0FE2">
        <w:t xml:space="preserve">hange in sample size from 304 patients to </w:t>
      </w:r>
      <w:r w:rsidR="00CA4919" w:rsidRPr="004F0FE2">
        <w:rPr>
          <w:rFonts w:eastAsia="ArialMT"/>
          <w:lang w:eastAsia="es-ES"/>
        </w:rPr>
        <w:t>486</w:t>
      </w:r>
      <w:r w:rsidRPr="004F0FE2">
        <w:rPr>
          <w:rFonts w:eastAsia="ArialMT"/>
          <w:lang w:eastAsia="es-ES"/>
        </w:rPr>
        <w:t xml:space="preserve"> as a result of updating the statistical </w:t>
      </w:r>
      <w:r w:rsidR="00FB7275" w:rsidRPr="004F0FE2">
        <w:rPr>
          <w:rFonts w:eastAsia="ArialMT"/>
          <w:lang w:eastAsia="es-ES"/>
        </w:rPr>
        <w:t>assumptions</w:t>
      </w:r>
      <w:r w:rsidRPr="004F0FE2">
        <w:rPr>
          <w:rFonts w:eastAsia="ArialMT"/>
          <w:lang w:eastAsia="es-ES"/>
        </w:rPr>
        <w:t xml:space="preserve"> for its calculation. </w:t>
      </w:r>
    </w:p>
    <w:p w14:paraId="4AA8A9D9" w14:textId="7D4FE244" w:rsidR="00CA4919" w:rsidRPr="004F0FE2" w:rsidRDefault="004C18F7" w:rsidP="00673269">
      <w:pPr>
        <w:ind w:right="567"/>
        <w:rPr>
          <w:rFonts w:eastAsia="ArialMT"/>
          <w:lang w:eastAsia="es-ES"/>
        </w:rPr>
      </w:pPr>
      <w:r w:rsidRPr="004F0FE2">
        <w:rPr>
          <w:rFonts w:eastAsia="ArialMT"/>
          <w:lang w:eastAsia="es-ES"/>
        </w:rPr>
        <w:t xml:space="preserve">(d) </w:t>
      </w:r>
      <w:r w:rsidR="00CA4919" w:rsidRPr="004F0FE2">
        <w:rPr>
          <w:rFonts w:eastAsia="ArialMT"/>
          <w:lang w:eastAsia="es-ES"/>
        </w:rPr>
        <w:t>Switch of analysis of</w:t>
      </w:r>
      <w:r w:rsidR="00FB7275" w:rsidRPr="004F0FE2">
        <w:rPr>
          <w:rFonts w:eastAsia="ArialMT"/>
          <w:lang w:eastAsia="es-ES"/>
        </w:rPr>
        <w:t xml:space="preserve"> </w:t>
      </w:r>
      <w:r w:rsidR="00CA4919" w:rsidRPr="004F0FE2">
        <w:rPr>
          <w:rFonts w:eastAsia="ArialMT"/>
          <w:lang w:eastAsia="es-ES"/>
        </w:rPr>
        <w:t xml:space="preserve">primary </w:t>
      </w:r>
      <w:r w:rsidR="00223999" w:rsidRPr="004F0FE2">
        <w:rPr>
          <w:rFonts w:eastAsia="ArialMT"/>
          <w:lang w:eastAsia="es-ES"/>
        </w:rPr>
        <w:t>endpoint</w:t>
      </w:r>
      <w:r w:rsidR="00CA4919" w:rsidRPr="004F0FE2">
        <w:rPr>
          <w:rFonts w:eastAsia="ArialMT"/>
          <w:lang w:eastAsia="es-ES"/>
        </w:rPr>
        <w:t xml:space="preserve"> from</w:t>
      </w:r>
      <w:r w:rsidR="00FB7275" w:rsidRPr="004F0FE2">
        <w:rPr>
          <w:rFonts w:eastAsia="ArialMT"/>
          <w:lang w:eastAsia="es-ES"/>
        </w:rPr>
        <w:t xml:space="preserve"> </w:t>
      </w:r>
      <w:r w:rsidR="00CA4919" w:rsidRPr="004F0FE2">
        <w:rPr>
          <w:rFonts w:eastAsia="ArialMT"/>
          <w:lang w:eastAsia="es-ES"/>
        </w:rPr>
        <w:t>superiority only to non</w:t>
      </w:r>
      <w:r w:rsidR="0024538A" w:rsidRPr="004F0FE2">
        <w:rPr>
          <w:rFonts w:eastAsia="ArialMT"/>
          <w:lang w:eastAsia="es-ES"/>
        </w:rPr>
        <w:t>-</w:t>
      </w:r>
      <w:r w:rsidR="00CA4919" w:rsidRPr="004F0FE2">
        <w:rPr>
          <w:rFonts w:eastAsia="ArialMT"/>
          <w:lang w:eastAsia="es-ES"/>
        </w:rPr>
        <w:t>inferiority</w:t>
      </w:r>
      <w:r w:rsidR="00FB7275" w:rsidRPr="004F0FE2">
        <w:rPr>
          <w:rFonts w:eastAsia="ArialMT"/>
          <w:lang w:eastAsia="es-ES"/>
        </w:rPr>
        <w:t xml:space="preserve"> </w:t>
      </w:r>
      <w:r w:rsidR="00CA4919" w:rsidRPr="004F0FE2">
        <w:rPr>
          <w:rFonts w:eastAsia="ArialMT"/>
          <w:lang w:eastAsia="es-ES"/>
        </w:rPr>
        <w:t>analyses, if the</w:t>
      </w:r>
      <w:r w:rsidR="00FB7275" w:rsidRPr="004F0FE2">
        <w:rPr>
          <w:rFonts w:eastAsia="ArialMT"/>
          <w:lang w:eastAsia="es-ES"/>
        </w:rPr>
        <w:t xml:space="preserve"> </w:t>
      </w:r>
      <w:r w:rsidR="00CA4919" w:rsidRPr="004F0FE2">
        <w:rPr>
          <w:rFonts w:eastAsia="ArialMT"/>
          <w:lang w:eastAsia="es-ES"/>
        </w:rPr>
        <w:t>superiority criteria cannot</w:t>
      </w:r>
      <w:r w:rsidR="00FB7275" w:rsidRPr="004F0FE2">
        <w:rPr>
          <w:rFonts w:eastAsia="ArialMT"/>
          <w:lang w:eastAsia="es-ES"/>
        </w:rPr>
        <w:t xml:space="preserve"> </w:t>
      </w:r>
      <w:r w:rsidR="00CA4919" w:rsidRPr="004F0FE2">
        <w:rPr>
          <w:rFonts w:eastAsia="ArialMT"/>
          <w:lang w:eastAsia="es-ES"/>
        </w:rPr>
        <w:t>be met.</w:t>
      </w:r>
      <w:r w:rsidR="00FB7275" w:rsidRPr="004F0FE2">
        <w:rPr>
          <w:rFonts w:eastAsia="ArialMT"/>
          <w:lang w:eastAsia="es-ES"/>
        </w:rPr>
        <w:t xml:space="preserve"> </w:t>
      </w:r>
      <w:r w:rsidR="00CA4919" w:rsidRPr="004F0FE2">
        <w:rPr>
          <w:rFonts w:eastAsia="ArialMT"/>
          <w:lang w:eastAsia="es-ES"/>
        </w:rPr>
        <w:t xml:space="preserve">Non-inferiority margin </w:t>
      </w:r>
      <w:r w:rsidR="00FB7275" w:rsidRPr="004F0FE2">
        <w:rPr>
          <w:rFonts w:eastAsia="ArialMT"/>
          <w:lang w:eastAsia="es-ES"/>
        </w:rPr>
        <w:t xml:space="preserve">was </w:t>
      </w:r>
      <w:r w:rsidR="00CA4919" w:rsidRPr="004F0FE2">
        <w:rPr>
          <w:rFonts w:eastAsia="ArialMT"/>
          <w:lang w:eastAsia="es-ES"/>
        </w:rPr>
        <w:t>set at 1.21. This</w:t>
      </w:r>
      <w:r w:rsidR="00FB7275" w:rsidRPr="004F0FE2">
        <w:rPr>
          <w:rFonts w:eastAsia="ArialMT"/>
          <w:lang w:eastAsia="es-ES"/>
        </w:rPr>
        <w:t xml:space="preserve"> </w:t>
      </w:r>
      <w:r w:rsidR="00CA4919" w:rsidRPr="004F0FE2">
        <w:rPr>
          <w:rFonts w:eastAsia="ArialMT"/>
          <w:lang w:eastAsia="es-ES"/>
        </w:rPr>
        <w:t xml:space="preserve">margin </w:t>
      </w:r>
      <w:r w:rsidR="00FB7275" w:rsidRPr="004F0FE2">
        <w:rPr>
          <w:rFonts w:eastAsia="ArialMT"/>
          <w:lang w:eastAsia="es-ES"/>
        </w:rPr>
        <w:t>was</w:t>
      </w:r>
      <w:r w:rsidR="00CA4919" w:rsidRPr="004F0FE2">
        <w:rPr>
          <w:rFonts w:eastAsia="ArialMT"/>
          <w:lang w:eastAsia="es-ES"/>
        </w:rPr>
        <w:t xml:space="preserve"> defined according with the FDA guidance in</w:t>
      </w:r>
      <w:r w:rsidR="00FB7275" w:rsidRPr="004F0FE2">
        <w:rPr>
          <w:rFonts w:eastAsia="ArialMT"/>
          <w:lang w:eastAsia="es-ES"/>
        </w:rPr>
        <w:t xml:space="preserve"> </w:t>
      </w:r>
      <w:r w:rsidR="00CA4919" w:rsidRPr="004F0FE2">
        <w:rPr>
          <w:rFonts w:eastAsia="ArialMT"/>
          <w:lang w:eastAsia="es-ES"/>
        </w:rPr>
        <w:t>non-inferiority studies.</w:t>
      </w:r>
      <w:r w:rsidR="008D79C8" w:rsidRPr="004F0FE2">
        <w:rPr>
          <w:rFonts w:eastAsia="ArialMT"/>
          <w:lang w:eastAsia="es-ES"/>
        </w:rPr>
        <w:t xml:space="preserve"> </w:t>
      </w:r>
      <w:r w:rsidR="008D79C8" w:rsidRPr="004F0FE2">
        <w:rPr>
          <w:rFonts w:eastAsia="ArialMT"/>
          <w:lang w:eastAsia="es-ES"/>
        </w:rPr>
        <w:fldChar w:fldCharType="begin" w:fldLock="1"/>
      </w:r>
      <w:r w:rsidR="00CD67E8" w:rsidRPr="004F0FE2">
        <w:rPr>
          <w:rFonts w:eastAsia="ArialMT"/>
          <w:lang w:eastAsia="es-ES"/>
        </w:rPr>
        <w:instrText>ADDIN CSL_CITATION {"citationItems":[{"id":"ITEM-1","itemData":{"author":[{"dropping-particle":"","family":"Fda","given":"","non-dropping-particle":"","parse-names":false,"suffix":""},{"dropping-particle":"","family":"Cder","given":"","non-dropping-particle":"","parse-names":false,"suffix":""},{"dropping-particle":"","family":"buckmans","given":"","non-dropping-particle":"","parse-names":false,"suffix":""}],"id":"ITEM-1","issued":{"date-parts":[["2016"]]},"title":"Non-Inferiority Clinical Trials to Establish Effectiveness Guidance for Industry","type":"report"},"uris":["http://www.mendeley.com/documents/?uuid=3640c437-a5b1-341f-8aa4-f3fec7a2c085"]}],"mendeley":{"formattedCitation":"[37]","plainTextFormattedCitation":"[37]","previouslyFormattedCitation":"[37]"},"properties":{"noteIndex":0},"schema":"https://github.com/citation-style-language/schema/raw/master/csl-citation.json"}</w:instrText>
      </w:r>
      <w:r w:rsidR="008D79C8" w:rsidRPr="004F0FE2">
        <w:rPr>
          <w:rFonts w:eastAsia="ArialMT"/>
          <w:lang w:eastAsia="es-ES"/>
        </w:rPr>
        <w:fldChar w:fldCharType="separate"/>
      </w:r>
      <w:r w:rsidR="0035303F" w:rsidRPr="004F0FE2">
        <w:rPr>
          <w:rFonts w:eastAsia="ArialMT"/>
          <w:lang w:eastAsia="es-ES"/>
        </w:rPr>
        <w:t>[37]</w:t>
      </w:r>
      <w:r w:rsidR="008D79C8" w:rsidRPr="004F0FE2">
        <w:rPr>
          <w:rFonts w:eastAsia="ArialMT"/>
          <w:lang w:eastAsia="es-ES"/>
        </w:rPr>
        <w:fldChar w:fldCharType="end"/>
      </w:r>
      <w:r w:rsidR="00CA4919" w:rsidRPr="004F0FE2">
        <w:rPr>
          <w:rFonts w:eastAsia="ArialMT"/>
          <w:lang w:eastAsia="es-ES"/>
        </w:rPr>
        <w:t xml:space="preserve"> </w:t>
      </w:r>
    </w:p>
    <w:p w14:paraId="4388B91B" w14:textId="4DA65FE4" w:rsidR="00CA4919" w:rsidRPr="004F0FE2" w:rsidRDefault="008D79C8" w:rsidP="00673269">
      <w:pPr>
        <w:ind w:right="567"/>
        <w:rPr>
          <w:rFonts w:eastAsia="ArialMT"/>
          <w:lang w:eastAsia="es-ES"/>
        </w:rPr>
      </w:pPr>
      <w:r w:rsidRPr="004F0FE2">
        <w:rPr>
          <w:rFonts w:eastAsia="ArialMT"/>
          <w:lang w:eastAsia="es-ES"/>
        </w:rPr>
        <w:t xml:space="preserve">(e) </w:t>
      </w:r>
      <w:r w:rsidR="00CA4919" w:rsidRPr="004F0FE2">
        <w:rPr>
          <w:rFonts w:eastAsia="ArialMT"/>
          <w:lang w:eastAsia="es-ES"/>
        </w:rPr>
        <w:t>Re-definition of interim</w:t>
      </w:r>
      <w:r w:rsidRPr="004F0FE2">
        <w:rPr>
          <w:rFonts w:eastAsia="ArialMT"/>
          <w:lang w:eastAsia="es-ES"/>
        </w:rPr>
        <w:t xml:space="preserve"> </w:t>
      </w:r>
      <w:r w:rsidR="00CA4919" w:rsidRPr="004F0FE2">
        <w:rPr>
          <w:rFonts w:eastAsia="ArialMT"/>
          <w:lang w:eastAsia="es-ES"/>
        </w:rPr>
        <w:t>analysis</w:t>
      </w:r>
      <w:r w:rsidR="0024538A" w:rsidRPr="004F0FE2">
        <w:rPr>
          <w:rFonts w:eastAsia="ArialMT"/>
          <w:lang w:eastAsia="es-ES"/>
        </w:rPr>
        <w:t xml:space="preserve"> to </w:t>
      </w:r>
      <w:r w:rsidR="00223999" w:rsidRPr="004F0FE2">
        <w:rPr>
          <w:rFonts w:eastAsia="ArialMT"/>
          <w:lang w:eastAsia="es-ES"/>
        </w:rPr>
        <w:t>occur</w:t>
      </w:r>
      <w:r w:rsidR="0024538A" w:rsidRPr="004F0FE2">
        <w:rPr>
          <w:rFonts w:eastAsia="ArialMT"/>
          <w:lang w:eastAsia="es-ES"/>
        </w:rPr>
        <w:t xml:space="preserve"> </w:t>
      </w:r>
      <w:r w:rsidR="00CA4919" w:rsidRPr="004F0FE2">
        <w:rPr>
          <w:rFonts w:eastAsia="ArialMT"/>
          <w:lang w:eastAsia="es-ES"/>
        </w:rPr>
        <w:t>at 22 months after 35%</w:t>
      </w:r>
      <w:r w:rsidRPr="004F0FE2">
        <w:rPr>
          <w:rFonts w:eastAsia="ArialMT"/>
          <w:lang w:eastAsia="es-ES"/>
        </w:rPr>
        <w:t xml:space="preserve"> </w:t>
      </w:r>
      <w:r w:rsidR="00CA4919" w:rsidRPr="004F0FE2">
        <w:rPr>
          <w:rFonts w:eastAsia="ArialMT"/>
          <w:lang w:eastAsia="es-ES"/>
        </w:rPr>
        <w:t>of the total PFS events (89</w:t>
      </w:r>
      <w:r w:rsidRPr="004F0FE2">
        <w:rPr>
          <w:rFonts w:eastAsia="ArialMT"/>
          <w:lang w:eastAsia="es-ES"/>
        </w:rPr>
        <w:t xml:space="preserve"> </w:t>
      </w:r>
      <w:r w:rsidR="00CA4919" w:rsidRPr="004F0FE2">
        <w:rPr>
          <w:rFonts w:eastAsia="ArialMT"/>
          <w:lang w:eastAsia="es-ES"/>
        </w:rPr>
        <w:t>events) have been observed. In line with updated statistical assumptions and the</w:t>
      </w:r>
      <w:r w:rsidRPr="004F0FE2">
        <w:rPr>
          <w:rFonts w:eastAsia="ArialMT"/>
          <w:lang w:eastAsia="es-ES"/>
        </w:rPr>
        <w:t xml:space="preserve"> </w:t>
      </w:r>
      <w:r w:rsidR="00CA4919" w:rsidRPr="004F0FE2">
        <w:rPr>
          <w:rFonts w:eastAsia="ArialMT"/>
          <w:lang w:eastAsia="es-ES"/>
        </w:rPr>
        <w:t xml:space="preserve">new primary endpoint definition, interim analysis </w:t>
      </w:r>
      <w:r w:rsidRPr="004F0FE2">
        <w:rPr>
          <w:rFonts w:eastAsia="ArialMT"/>
          <w:lang w:eastAsia="es-ES"/>
        </w:rPr>
        <w:t xml:space="preserve">was </w:t>
      </w:r>
      <w:r w:rsidR="00CA4919" w:rsidRPr="004F0FE2">
        <w:rPr>
          <w:rFonts w:eastAsia="ArialMT"/>
          <w:lang w:eastAsia="es-ES"/>
        </w:rPr>
        <w:t>switched from a temporal to an event-driven analysis.</w:t>
      </w:r>
    </w:p>
    <w:p w14:paraId="6F322163" w14:textId="32BABAB3" w:rsidR="00CA4919" w:rsidRPr="004F0FE2" w:rsidRDefault="008D79C8" w:rsidP="00673269">
      <w:pPr>
        <w:ind w:right="567"/>
        <w:rPr>
          <w:rFonts w:eastAsia="ArialMT"/>
          <w:lang w:eastAsia="es-ES"/>
        </w:rPr>
      </w:pPr>
      <w:r w:rsidRPr="004F0FE2">
        <w:rPr>
          <w:rFonts w:eastAsia="ArialMT"/>
          <w:lang w:eastAsia="es-ES"/>
        </w:rPr>
        <w:t xml:space="preserve">(f) </w:t>
      </w:r>
      <w:r w:rsidR="00CA4919" w:rsidRPr="004F0FE2">
        <w:rPr>
          <w:rFonts w:eastAsia="ArialMT"/>
          <w:lang w:eastAsia="es-ES"/>
        </w:rPr>
        <w:t>Addition of new secondary</w:t>
      </w:r>
      <w:r w:rsidRPr="004F0FE2">
        <w:rPr>
          <w:rFonts w:eastAsia="ArialMT"/>
          <w:lang w:eastAsia="es-ES"/>
        </w:rPr>
        <w:t xml:space="preserve"> </w:t>
      </w:r>
      <w:r w:rsidR="00223999" w:rsidRPr="004F0FE2">
        <w:rPr>
          <w:rFonts w:eastAsia="ArialMT"/>
          <w:lang w:eastAsia="es-ES"/>
        </w:rPr>
        <w:t>endpoints</w:t>
      </w:r>
      <w:r w:rsidR="00CA4919" w:rsidRPr="004F0FE2">
        <w:rPr>
          <w:rFonts w:eastAsia="ArialMT"/>
          <w:lang w:eastAsia="es-ES"/>
        </w:rPr>
        <w:t>: Duration of</w:t>
      </w:r>
      <w:r w:rsidRPr="004F0FE2">
        <w:rPr>
          <w:rFonts w:eastAsia="ArialMT"/>
          <w:lang w:eastAsia="es-ES"/>
        </w:rPr>
        <w:t xml:space="preserve"> </w:t>
      </w:r>
      <w:r w:rsidR="00CA4919" w:rsidRPr="004F0FE2">
        <w:rPr>
          <w:rFonts w:eastAsia="ArialMT"/>
          <w:lang w:eastAsia="es-ES"/>
        </w:rPr>
        <w:t>Response and time to</w:t>
      </w:r>
      <w:r w:rsidRPr="004F0FE2">
        <w:rPr>
          <w:rFonts w:eastAsia="ArialMT"/>
          <w:lang w:eastAsia="es-ES"/>
        </w:rPr>
        <w:t xml:space="preserve"> </w:t>
      </w:r>
      <w:r w:rsidR="00CA4919" w:rsidRPr="004F0FE2">
        <w:rPr>
          <w:rFonts w:eastAsia="ArialMT"/>
          <w:lang w:eastAsia="es-ES"/>
        </w:rPr>
        <w:t>response.</w:t>
      </w:r>
    </w:p>
    <w:p w14:paraId="7137D856" w14:textId="77777777" w:rsidR="00CA4919" w:rsidRPr="004F0FE2" w:rsidRDefault="008D79C8" w:rsidP="00673269">
      <w:pPr>
        <w:ind w:right="567"/>
        <w:rPr>
          <w:rFonts w:eastAsia="ArialMT"/>
          <w:lang w:eastAsia="es-ES"/>
        </w:rPr>
      </w:pPr>
      <w:r w:rsidRPr="004F0FE2">
        <w:rPr>
          <w:rFonts w:eastAsia="ArialMT"/>
          <w:lang w:eastAsia="es-ES"/>
        </w:rPr>
        <w:t xml:space="preserve">(g) </w:t>
      </w:r>
      <w:r w:rsidR="00CA4919" w:rsidRPr="004F0FE2">
        <w:rPr>
          <w:rFonts w:eastAsia="ArialMT"/>
          <w:lang w:eastAsia="es-ES"/>
        </w:rPr>
        <w:t>Update on the definition of</w:t>
      </w:r>
      <w:r w:rsidRPr="004F0FE2">
        <w:rPr>
          <w:rFonts w:eastAsia="ArialMT"/>
          <w:lang w:eastAsia="es-ES"/>
        </w:rPr>
        <w:t xml:space="preserve"> </w:t>
      </w:r>
      <w:r w:rsidR="00CA4919" w:rsidRPr="004F0FE2">
        <w:rPr>
          <w:rFonts w:eastAsia="ArialMT"/>
          <w:lang w:eastAsia="es-ES"/>
        </w:rPr>
        <w:t>End of Study</w:t>
      </w:r>
      <w:r w:rsidR="0024538A" w:rsidRPr="004F0FE2">
        <w:rPr>
          <w:rFonts w:eastAsia="ArialMT"/>
          <w:lang w:eastAsia="es-ES"/>
        </w:rPr>
        <w:t xml:space="preserve"> to </w:t>
      </w:r>
      <w:r w:rsidR="007164B0" w:rsidRPr="004F0FE2">
        <w:rPr>
          <w:rFonts w:eastAsia="ArialMT"/>
          <w:lang w:eastAsia="es-ES"/>
        </w:rPr>
        <w:t>occur</w:t>
      </w:r>
      <w:r w:rsidR="0024538A" w:rsidRPr="004F0FE2">
        <w:rPr>
          <w:rFonts w:eastAsia="ArialMT"/>
          <w:lang w:eastAsia="es-ES"/>
        </w:rPr>
        <w:t xml:space="preserve"> one year after randomization</w:t>
      </w:r>
      <w:r w:rsidR="007164B0" w:rsidRPr="004F0FE2">
        <w:rPr>
          <w:rFonts w:eastAsia="ArialMT"/>
          <w:lang w:eastAsia="es-ES"/>
        </w:rPr>
        <w:t xml:space="preserve"> </w:t>
      </w:r>
      <w:r w:rsidR="00CA4919" w:rsidRPr="004F0FE2">
        <w:rPr>
          <w:rFonts w:eastAsia="ArialMT"/>
          <w:lang w:eastAsia="es-ES"/>
        </w:rPr>
        <w:t>of the last patient or when</w:t>
      </w:r>
      <w:r w:rsidRPr="004F0FE2">
        <w:rPr>
          <w:rFonts w:eastAsia="ArialMT"/>
          <w:lang w:eastAsia="es-ES"/>
        </w:rPr>
        <w:t xml:space="preserve"> </w:t>
      </w:r>
      <w:r w:rsidR="00CA4919" w:rsidRPr="004F0FE2">
        <w:rPr>
          <w:rFonts w:eastAsia="ArialMT"/>
          <w:lang w:eastAsia="es-ES"/>
        </w:rPr>
        <w:t>trial efficacy decision criteria</w:t>
      </w:r>
      <w:r w:rsidRPr="004F0FE2">
        <w:rPr>
          <w:rFonts w:eastAsia="ArialMT"/>
          <w:lang w:eastAsia="es-ES"/>
        </w:rPr>
        <w:t xml:space="preserve"> </w:t>
      </w:r>
      <w:r w:rsidR="00CA4919" w:rsidRPr="004F0FE2">
        <w:rPr>
          <w:rFonts w:eastAsia="ArialMT"/>
          <w:lang w:eastAsia="es-ES"/>
        </w:rPr>
        <w:t>are met, whichever is earlier.</w:t>
      </w:r>
    </w:p>
    <w:p w14:paraId="26346090" w14:textId="1AF92552" w:rsidR="002A362D" w:rsidRPr="00673269" w:rsidRDefault="0024538A" w:rsidP="00673269">
      <w:pPr>
        <w:ind w:right="567"/>
        <w:rPr>
          <w:rFonts w:eastAsia="ArialMT"/>
          <w:lang w:eastAsia="es-ES"/>
        </w:rPr>
      </w:pPr>
      <w:r w:rsidRPr="004F0FE2">
        <w:rPr>
          <w:rFonts w:eastAsia="ArialMT"/>
          <w:lang w:eastAsia="es-ES"/>
        </w:rPr>
        <w:t xml:space="preserve">(h) </w:t>
      </w:r>
      <w:r w:rsidR="00CA4919" w:rsidRPr="004F0FE2">
        <w:rPr>
          <w:rFonts w:eastAsia="ArialMT"/>
          <w:lang w:eastAsia="es-ES"/>
        </w:rPr>
        <w:t>Exten</w:t>
      </w:r>
      <w:r w:rsidRPr="004F0FE2">
        <w:rPr>
          <w:rFonts w:eastAsia="ArialMT"/>
          <w:lang w:eastAsia="es-ES"/>
        </w:rPr>
        <w:t>sion of</w:t>
      </w:r>
      <w:r w:rsidR="00CA4919" w:rsidRPr="004F0FE2">
        <w:rPr>
          <w:rFonts w:eastAsia="ArialMT"/>
          <w:lang w:eastAsia="es-ES"/>
        </w:rPr>
        <w:t xml:space="preserve"> the justification of</w:t>
      </w:r>
      <w:r w:rsidRPr="004F0FE2">
        <w:rPr>
          <w:rFonts w:eastAsia="ArialMT"/>
          <w:lang w:eastAsia="es-ES"/>
        </w:rPr>
        <w:t xml:space="preserve"> </w:t>
      </w:r>
      <w:r w:rsidR="00CA4919" w:rsidRPr="004F0FE2">
        <w:rPr>
          <w:rFonts w:eastAsia="ArialMT"/>
          <w:lang w:eastAsia="es-ES"/>
        </w:rPr>
        <w:t>translational sub-studies</w:t>
      </w:r>
      <w:r w:rsidRPr="004F0FE2">
        <w:rPr>
          <w:rFonts w:eastAsia="ArialMT"/>
          <w:lang w:eastAsia="es-ES"/>
        </w:rPr>
        <w:t xml:space="preserve"> </w:t>
      </w:r>
      <w:r w:rsidR="00CA4919" w:rsidRPr="004F0FE2">
        <w:rPr>
          <w:rFonts w:eastAsia="ArialMT"/>
          <w:lang w:eastAsia="es-ES"/>
        </w:rPr>
        <w:t>analysis in the statistical</w:t>
      </w:r>
      <w:r w:rsidRPr="004F0FE2">
        <w:rPr>
          <w:rFonts w:eastAsia="ArialMT"/>
          <w:lang w:eastAsia="es-ES"/>
        </w:rPr>
        <w:t xml:space="preserve"> </w:t>
      </w:r>
      <w:r w:rsidR="00CA4919" w:rsidRPr="004F0FE2">
        <w:rPr>
          <w:rFonts w:eastAsia="ArialMT"/>
          <w:lang w:eastAsia="es-ES"/>
        </w:rPr>
        <w:t>section.</w:t>
      </w:r>
    </w:p>
    <w:p w14:paraId="42693979" w14:textId="77777777" w:rsidR="002A362D" w:rsidRPr="004F0FE2" w:rsidRDefault="00111663" w:rsidP="00673269">
      <w:pPr>
        <w:pStyle w:val="BulletIndent1"/>
        <w:numPr>
          <w:ilvl w:val="0"/>
          <w:numId w:val="0"/>
        </w:numPr>
        <w:ind w:left="850" w:right="567"/>
        <w:rPr>
          <w:rFonts w:ascii="Arial" w:hAnsi="Arial" w:cs="Arial"/>
          <w:sz w:val="20"/>
        </w:rPr>
      </w:pPr>
      <w:r w:rsidRPr="004F0FE2">
        <w:rPr>
          <w:rFonts w:ascii="Arial" w:hAnsi="Arial" w:cs="Arial"/>
          <w:sz w:val="20"/>
        </w:rPr>
        <w:br w:type="page"/>
      </w:r>
    </w:p>
    <w:p w14:paraId="59CEA388" w14:textId="77777777" w:rsidR="00977932" w:rsidRPr="004F0FE2" w:rsidRDefault="00977932" w:rsidP="00673269">
      <w:pPr>
        <w:pStyle w:val="Ttulo1"/>
        <w:ind w:left="709" w:right="567" w:hanging="283"/>
      </w:pPr>
      <w:bookmarkStart w:id="271" w:name="_Hlt64435932"/>
      <w:bookmarkStart w:id="272" w:name="_Toc349040032"/>
      <w:bookmarkStart w:id="273" w:name="_Toc349040223"/>
      <w:bookmarkStart w:id="274" w:name="_Toc349040689"/>
      <w:bookmarkStart w:id="275" w:name="_Toc350240066"/>
      <w:bookmarkStart w:id="276" w:name="_Toc350241375"/>
      <w:bookmarkStart w:id="277" w:name="_Toc350241450"/>
      <w:bookmarkStart w:id="278" w:name="_Toc350579999"/>
      <w:bookmarkStart w:id="279" w:name="_Toc350583810"/>
      <w:bookmarkStart w:id="280" w:name="_Toc350583929"/>
      <w:bookmarkStart w:id="281" w:name="_Toc351358071"/>
      <w:bookmarkStart w:id="282" w:name="_Toc351358661"/>
      <w:bookmarkStart w:id="283" w:name="_Toc352037290"/>
      <w:bookmarkStart w:id="284" w:name="_Toc352038926"/>
      <w:bookmarkStart w:id="285" w:name="_Toc352039659"/>
      <w:bookmarkStart w:id="286" w:name="_Toc352039758"/>
      <w:bookmarkStart w:id="287" w:name="_Toc377434708"/>
      <w:bookmarkStart w:id="288" w:name="_Toc377434874"/>
      <w:bookmarkStart w:id="289" w:name="_Toc377435032"/>
      <w:bookmarkStart w:id="290" w:name="_Toc377435170"/>
      <w:bookmarkStart w:id="291" w:name="_Toc377438573"/>
      <w:bookmarkStart w:id="292" w:name="_Toc392499803"/>
      <w:bookmarkStart w:id="293" w:name="_Toc392500435"/>
      <w:bookmarkStart w:id="294" w:name="_Toc46085716"/>
      <w:bookmarkStart w:id="295" w:name="_Toc48334780"/>
      <w:bookmarkStart w:id="296" w:name="_Toc52468120"/>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71"/>
      <w:r w:rsidRPr="004F0FE2">
        <w:lastRenderedPageBreak/>
        <w:t>SUBJECT AND TREATMENT INFORMATION</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67648AAB" w14:textId="77777777" w:rsidR="00BE1D72" w:rsidRPr="004F0FE2" w:rsidRDefault="00BE1D72" w:rsidP="00673269">
      <w:pPr>
        <w:pStyle w:val="Ttulo2"/>
        <w:ind w:right="567"/>
      </w:pPr>
      <w:bookmarkStart w:id="297" w:name="_Toc52468121"/>
      <w:r w:rsidRPr="004F0FE2">
        <w:t>Disposition of patients</w:t>
      </w:r>
      <w:bookmarkEnd w:id="297"/>
    </w:p>
    <w:p w14:paraId="1728C267" w14:textId="5F15AC34" w:rsidR="00BE1D72" w:rsidRPr="00206A9D" w:rsidRDefault="0097034E" w:rsidP="00673269">
      <w:pPr>
        <w:ind w:right="567"/>
      </w:pPr>
      <w:r w:rsidRPr="004F0FE2">
        <w:t xml:space="preserve">An overall summary of patient disposition, including the number of patients treated and </w:t>
      </w:r>
      <w:r w:rsidRPr="00A5705E">
        <w:t xml:space="preserve">withdrawn from the study, and the reason for withdrawal, is presented in </w:t>
      </w:r>
      <w:r w:rsidR="00403DC6" w:rsidRPr="00F57DAA">
        <w:rPr>
          <w:i/>
          <w:color w:val="2F5496" w:themeColor="accent1" w:themeShade="BF"/>
        </w:rPr>
        <w:fldChar w:fldCharType="begin"/>
      </w:r>
      <w:r w:rsidR="00403DC6" w:rsidRPr="00F57DAA">
        <w:rPr>
          <w:i/>
          <w:color w:val="2F5496" w:themeColor="accent1" w:themeShade="BF"/>
        </w:rPr>
        <w:instrText xml:space="preserve"> REF _Ref52424830 \h </w:instrText>
      </w:r>
      <w:r w:rsidR="00F57DAA" w:rsidRPr="00F57DAA">
        <w:rPr>
          <w:i/>
          <w:color w:val="2F5496" w:themeColor="accent1" w:themeShade="BF"/>
        </w:rPr>
        <w:instrText xml:space="preserve"> \* MERGEFORMAT </w:instrText>
      </w:r>
      <w:r w:rsidR="00403DC6" w:rsidRPr="00F57DAA">
        <w:rPr>
          <w:i/>
          <w:color w:val="2F5496" w:themeColor="accent1" w:themeShade="BF"/>
        </w:rPr>
      </w:r>
      <w:r w:rsidR="00403DC6" w:rsidRPr="00F57DAA">
        <w:rPr>
          <w:i/>
          <w:color w:val="2F5496" w:themeColor="accent1" w:themeShade="BF"/>
        </w:rPr>
        <w:fldChar w:fldCharType="separate"/>
      </w:r>
      <w:r w:rsidR="00403DC6" w:rsidRPr="00F57DAA">
        <w:rPr>
          <w:i/>
          <w:color w:val="2F5496" w:themeColor="accent1" w:themeShade="BF"/>
        </w:rPr>
        <w:t xml:space="preserve">Table </w:t>
      </w:r>
      <w:r w:rsidR="00403DC6" w:rsidRPr="00F57DAA">
        <w:rPr>
          <w:i/>
          <w:noProof/>
          <w:color w:val="2F5496" w:themeColor="accent1" w:themeShade="BF"/>
        </w:rPr>
        <w:t>5</w:t>
      </w:r>
      <w:r w:rsidR="00403DC6" w:rsidRPr="00F57DAA">
        <w:rPr>
          <w:i/>
          <w:color w:val="2F5496" w:themeColor="accent1" w:themeShade="BF"/>
        </w:rPr>
        <w:fldChar w:fldCharType="end"/>
      </w:r>
      <w:r w:rsidR="00D321F5" w:rsidRPr="00A5705E">
        <w:t xml:space="preserve"> and </w:t>
      </w:r>
      <w:r w:rsidR="00773549" w:rsidRPr="005406F7">
        <w:rPr>
          <w:i/>
          <w:color w:val="2F5496" w:themeColor="accent1" w:themeShade="BF"/>
        </w:rPr>
        <w:fldChar w:fldCharType="begin"/>
      </w:r>
      <w:r w:rsidR="00773549" w:rsidRPr="00DF3FBD">
        <w:rPr>
          <w:i/>
          <w:color w:val="2F5496" w:themeColor="accent1" w:themeShade="BF"/>
        </w:rPr>
        <w:instrText xml:space="preserve"> REF _Ref52427053 \h </w:instrText>
      </w:r>
      <w:r w:rsidR="00F57DAA" w:rsidRPr="00DF3FBD">
        <w:rPr>
          <w:i/>
          <w:color w:val="2F5496" w:themeColor="accent1" w:themeShade="BF"/>
        </w:rPr>
        <w:instrText xml:space="preserve"> \* MERGEFORMAT </w:instrText>
      </w:r>
      <w:r w:rsidR="00773549" w:rsidRPr="005406F7">
        <w:rPr>
          <w:i/>
          <w:color w:val="2F5496" w:themeColor="accent1" w:themeShade="BF"/>
        </w:rPr>
      </w:r>
      <w:r w:rsidR="00773549" w:rsidRPr="005406F7">
        <w:rPr>
          <w:i/>
          <w:color w:val="2F5496" w:themeColor="accent1" w:themeShade="BF"/>
        </w:rPr>
        <w:fldChar w:fldCharType="separate"/>
      </w:r>
      <w:r w:rsidR="00DF3FBD" w:rsidRPr="007501F4">
        <w:rPr>
          <w:i/>
          <w:color w:val="2F5496" w:themeColor="accent1" w:themeShade="BF"/>
        </w:rPr>
        <w:fldChar w:fldCharType="begin"/>
      </w:r>
      <w:r w:rsidR="00DF3FBD" w:rsidRPr="00DF3FBD">
        <w:rPr>
          <w:i/>
          <w:color w:val="2F5496" w:themeColor="accent1" w:themeShade="BF"/>
        </w:rPr>
        <w:instrText xml:space="preserve"> REF _Ref52458104 \h </w:instrText>
      </w:r>
      <w:r w:rsidR="00DF3FBD" w:rsidRPr="007501F4">
        <w:rPr>
          <w:i/>
          <w:color w:val="2F5496" w:themeColor="accent1" w:themeShade="BF"/>
        </w:rPr>
        <w:instrText xml:space="preserve"> \* MERGEFORMAT </w:instrText>
      </w:r>
      <w:r w:rsidR="00DF3FBD" w:rsidRPr="007501F4">
        <w:rPr>
          <w:i/>
          <w:color w:val="2F5496" w:themeColor="accent1" w:themeShade="BF"/>
        </w:rPr>
      </w:r>
      <w:r w:rsidR="00DF3FBD" w:rsidRPr="007501F4">
        <w:rPr>
          <w:i/>
          <w:color w:val="2F5496" w:themeColor="accent1" w:themeShade="BF"/>
        </w:rPr>
        <w:fldChar w:fldCharType="separate"/>
      </w:r>
      <w:r w:rsidR="00DF3FBD" w:rsidRPr="007501F4">
        <w:rPr>
          <w:i/>
          <w:color w:val="2F5496" w:themeColor="accent1" w:themeShade="BF"/>
        </w:rPr>
        <w:t>Figure 2</w:t>
      </w:r>
      <w:r w:rsidR="00DF3FBD" w:rsidRPr="007501F4">
        <w:rPr>
          <w:i/>
          <w:color w:val="2F5496" w:themeColor="accent1" w:themeShade="BF"/>
        </w:rPr>
        <w:fldChar w:fldCharType="end"/>
      </w:r>
      <w:r w:rsidR="00773549" w:rsidRPr="005406F7">
        <w:rPr>
          <w:i/>
          <w:color w:val="2F5496" w:themeColor="accent1" w:themeShade="BF"/>
        </w:rPr>
        <w:fldChar w:fldCharType="end"/>
      </w:r>
      <w:r w:rsidRPr="007501F4">
        <w:rPr>
          <w:i/>
        </w:rPr>
        <w:t>.</w:t>
      </w:r>
      <w:r w:rsidRPr="00A5705E">
        <w:t xml:space="preserve"> </w:t>
      </w:r>
      <w:r w:rsidR="00A6453C" w:rsidRPr="00A5705E">
        <w:t xml:space="preserve">From </w:t>
      </w:r>
      <w:r w:rsidR="00172A25" w:rsidRPr="00A5705E">
        <w:t>13</w:t>
      </w:r>
      <w:r w:rsidR="00172A25" w:rsidRPr="00A5705E">
        <w:rPr>
          <w:vertAlign w:val="superscript"/>
        </w:rPr>
        <w:t>th</w:t>
      </w:r>
      <w:r w:rsidR="00172A25" w:rsidRPr="00A5705E">
        <w:t xml:space="preserve"> August 2015</w:t>
      </w:r>
      <w:r w:rsidR="00A6453C" w:rsidRPr="00A5705E">
        <w:t xml:space="preserve"> through </w:t>
      </w:r>
      <w:r w:rsidR="00172A25" w:rsidRPr="00A5705E">
        <w:t>8</w:t>
      </w:r>
      <w:r w:rsidR="00172A25" w:rsidRPr="00A5705E">
        <w:rPr>
          <w:vertAlign w:val="superscript"/>
        </w:rPr>
        <w:t>th</w:t>
      </w:r>
      <w:r w:rsidR="00172A25" w:rsidRPr="00A5705E">
        <w:t xml:space="preserve"> January 2018, </w:t>
      </w:r>
      <w:r w:rsidR="00A6453C" w:rsidRPr="00A5705E">
        <w:t xml:space="preserve">a </w:t>
      </w:r>
      <w:r w:rsidR="00977932" w:rsidRPr="00A5705E">
        <w:t xml:space="preserve">total </w:t>
      </w:r>
      <w:r w:rsidR="00977932" w:rsidRPr="004F0FE2">
        <w:t xml:space="preserve">of </w:t>
      </w:r>
      <w:r w:rsidR="00A6453C" w:rsidRPr="004F0FE2">
        <w:t>552</w:t>
      </w:r>
      <w:r w:rsidR="00977932" w:rsidRPr="004F0FE2">
        <w:t xml:space="preserve"> patients with </w:t>
      </w:r>
      <w:r w:rsidR="00A6453C" w:rsidRPr="004F0FE2">
        <w:t xml:space="preserve">ER+/HER2- </w:t>
      </w:r>
      <w:proofErr w:type="spellStart"/>
      <w:r w:rsidR="00A6453C" w:rsidRPr="004F0FE2">
        <w:rPr>
          <w:color w:val="000000"/>
        </w:rPr>
        <w:t>mBC</w:t>
      </w:r>
      <w:proofErr w:type="spellEnd"/>
      <w:r w:rsidR="00A6453C" w:rsidRPr="004F0FE2">
        <w:rPr>
          <w:color w:val="000000"/>
        </w:rPr>
        <w:t xml:space="preserve"> with no prior therapy in the advanced setting and endocrine sensitive criteria </w:t>
      </w:r>
      <w:r w:rsidR="00977932" w:rsidRPr="004F0FE2">
        <w:t xml:space="preserve">were </w:t>
      </w:r>
      <w:r w:rsidR="00AE2B23" w:rsidRPr="004F0FE2">
        <w:t>screened</w:t>
      </w:r>
      <w:r w:rsidR="00977932" w:rsidRPr="004F0FE2">
        <w:t xml:space="preserve"> at </w:t>
      </w:r>
      <w:r w:rsidR="00A6453C" w:rsidRPr="004F0FE2">
        <w:t xml:space="preserve">47 </w:t>
      </w:r>
      <w:r w:rsidR="00977932" w:rsidRPr="004F0FE2">
        <w:t xml:space="preserve">sites in </w:t>
      </w:r>
      <w:r w:rsidR="00A6453C" w:rsidRPr="004F0FE2">
        <w:t>7</w:t>
      </w:r>
      <w:r w:rsidR="00977932" w:rsidRPr="004F0FE2">
        <w:t xml:space="preserve"> countries worldwide</w:t>
      </w:r>
      <w:r w:rsidR="0091211E" w:rsidRPr="004F0FE2">
        <w:t xml:space="preserve"> (</w:t>
      </w:r>
      <w:r w:rsidR="00403DC6" w:rsidRPr="00F57DAA">
        <w:rPr>
          <w:i/>
          <w:color w:val="2F5496" w:themeColor="accent1" w:themeShade="BF"/>
        </w:rPr>
        <w:fldChar w:fldCharType="begin"/>
      </w:r>
      <w:r w:rsidR="00403DC6" w:rsidRPr="00F57DAA">
        <w:rPr>
          <w:i/>
          <w:color w:val="2F5496" w:themeColor="accent1" w:themeShade="BF"/>
        </w:rPr>
        <w:instrText xml:space="preserve"> REF _Ref52424813 \h </w:instrText>
      </w:r>
      <w:r w:rsidR="00F57DAA" w:rsidRPr="00F57DAA">
        <w:rPr>
          <w:i/>
          <w:color w:val="2F5496" w:themeColor="accent1" w:themeShade="BF"/>
        </w:rPr>
        <w:instrText xml:space="preserve"> \* MERGEFORMAT </w:instrText>
      </w:r>
      <w:r w:rsidR="00403DC6" w:rsidRPr="00F57DAA">
        <w:rPr>
          <w:i/>
          <w:color w:val="2F5496" w:themeColor="accent1" w:themeShade="BF"/>
        </w:rPr>
      </w:r>
      <w:r w:rsidR="00403DC6" w:rsidRPr="00F57DAA">
        <w:rPr>
          <w:i/>
          <w:color w:val="2F5496" w:themeColor="accent1" w:themeShade="BF"/>
        </w:rPr>
        <w:fldChar w:fldCharType="separate"/>
      </w:r>
      <w:r w:rsidR="00403DC6" w:rsidRPr="00F57DAA">
        <w:rPr>
          <w:i/>
          <w:color w:val="2F5496" w:themeColor="accent1" w:themeShade="BF"/>
        </w:rPr>
        <w:t xml:space="preserve">Table </w:t>
      </w:r>
      <w:r w:rsidR="00403DC6" w:rsidRPr="00F57DAA">
        <w:rPr>
          <w:i/>
          <w:noProof/>
          <w:color w:val="2F5496" w:themeColor="accent1" w:themeShade="BF"/>
        </w:rPr>
        <w:t>1</w:t>
      </w:r>
      <w:r w:rsidR="00403DC6" w:rsidRPr="00F57DAA">
        <w:rPr>
          <w:i/>
          <w:color w:val="2F5496" w:themeColor="accent1" w:themeShade="BF"/>
        </w:rPr>
        <w:fldChar w:fldCharType="end"/>
      </w:r>
      <w:r w:rsidR="0091211E" w:rsidRPr="004F0FE2">
        <w:t>)</w:t>
      </w:r>
      <w:r w:rsidR="00977932" w:rsidRPr="004F0FE2">
        <w:t xml:space="preserve">. </w:t>
      </w:r>
      <w:r w:rsidR="00223999" w:rsidRPr="004F0FE2">
        <w:t>Requirement</w:t>
      </w:r>
      <w:r w:rsidR="00172A25" w:rsidRPr="004F0FE2">
        <w:t xml:space="preserve"> for regulatory and </w:t>
      </w:r>
      <w:r w:rsidR="00223999" w:rsidRPr="004F0FE2">
        <w:t>Ethics</w:t>
      </w:r>
      <w:r w:rsidR="00172A25" w:rsidRPr="004F0FE2">
        <w:t xml:space="preserve"> approval of amendment #3, enrolment was on hold from 13rd December 2016 to 8</w:t>
      </w:r>
      <w:r w:rsidR="00172A25" w:rsidRPr="00206A9D">
        <w:rPr>
          <w:vertAlign w:val="superscript"/>
        </w:rPr>
        <w:t>th</w:t>
      </w:r>
      <w:r w:rsidR="00172A25" w:rsidRPr="004F0FE2">
        <w:t xml:space="preserve"> March 2017. </w:t>
      </w:r>
      <w:r w:rsidR="00977932" w:rsidRPr="004F0FE2">
        <w:t xml:space="preserve">A total of </w:t>
      </w:r>
      <w:r w:rsidR="00A6453C" w:rsidRPr="004F0FE2">
        <w:t>66 (12%)</w:t>
      </w:r>
      <w:r w:rsidR="00977932" w:rsidRPr="004F0FE2">
        <w:t xml:space="preserve"> patients </w:t>
      </w:r>
      <w:r w:rsidR="00A6453C" w:rsidRPr="004F0FE2">
        <w:t xml:space="preserve">were excluded for non-fulfillment of selection criteria (59), withdrawal of consent (6) and patient refusal to participate (1). A </w:t>
      </w:r>
      <w:r w:rsidR="00B311E0" w:rsidRPr="004F0FE2">
        <w:t>sample</w:t>
      </w:r>
      <w:r w:rsidR="00A6453C" w:rsidRPr="004F0FE2">
        <w:t xml:space="preserve"> of 486 patients were </w:t>
      </w:r>
      <w:r w:rsidR="00AE2B23" w:rsidRPr="004F0FE2">
        <w:t xml:space="preserve">finally </w:t>
      </w:r>
      <w:r w:rsidR="00A6453C" w:rsidRPr="004F0FE2">
        <w:t xml:space="preserve">enrolled and randomly assigned 1:1 to receive </w:t>
      </w:r>
      <w:proofErr w:type="spellStart"/>
      <w:r w:rsidR="00A6453C" w:rsidRPr="004F0FE2">
        <w:t>palbociclib</w:t>
      </w:r>
      <w:proofErr w:type="spellEnd"/>
      <w:r w:rsidR="00A6453C" w:rsidRPr="004F0FE2">
        <w:t xml:space="preserve"> (oral 125 mg/day; 3 weeks on/1 week off) plus either </w:t>
      </w:r>
      <w:proofErr w:type="spellStart"/>
      <w:r w:rsidR="00A6453C" w:rsidRPr="004F0FE2">
        <w:t>fulvestrant</w:t>
      </w:r>
      <w:proofErr w:type="spellEnd"/>
      <w:r w:rsidR="00A6453C" w:rsidRPr="004F0FE2">
        <w:t xml:space="preserve"> (intramuscular injection 500 mg/d</w:t>
      </w:r>
      <w:r w:rsidR="00B311E0" w:rsidRPr="004F0FE2">
        <w:t>ay</w:t>
      </w:r>
      <w:r w:rsidR="00A6453C" w:rsidRPr="004F0FE2">
        <w:t>; d</w:t>
      </w:r>
      <w:r w:rsidR="00B311E0" w:rsidRPr="004F0FE2">
        <w:t>ays</w:t>
      </w:r>
      <w:r w:rsidR="00A6453C" w:rsidRPr="004F0FE2">
        <w:t xml:space="preserve"> 0, 14, 28, and then every 28 d</w:t>
      </w:r>
      <w:r w:rsidR="00B311E0" w:rsidRPr="004F0FE2">
        <w:t>ay</w:t>
      </w:r>
      <w:r w:rsidR="00A6453C" w:rsidRPr="004F0FE2">
        <w:t>s</w:t>
      </w:r>
      <w:r w:rsidR="00B311E0" w:rsidRPr="004F0FE2">
        <w:t xml:space="preserve">) </w:t>
      </w:r>
      <w:r w:rsidR="00A6453C" w:rsidRPr="004F0FE2">
        <w:t>or letrozole (oral 2.5 mg/d</w:t>
      </w:r>
      <w:r w:rsidR="00B311E0" w:rsidRPr="004F0FE2">
        <w:t>ay)</w:t>
      </w:r>
      <w:r w:rsidR="00A6453C" w:rsidRPr="004F0FE2">
        <w:t>. Patients were stratified by visceral involvement and type of disease presentation (</w:t>
      </w:r>
      <w:r w:rsidR="00A6453C" w:rsidRPr="004F0FE2">
        <w:rPr>
          <w:i/>
          <w:iCs/>
        </w:rPr>
        <w:t xml:space="preserve">de </w:t>
      </w:r>
      <w:r w:rsidR="00A6453C" w:rsidRPr="004F0FE2">
        <w:rPr>
          <w:iCs/>
        </w:rPr>
        <w:t>novo</w:t>
      </w:r>
      <w:r w:rsidR="00A6453C" w:rsidRPr="004F0FE2">
        <w:t>/recurrent).</w:t>
      </w:r>
      <w:r w:rsidR="00AE2B23" w:rsidRPr="004F0FE2">
        <w:t xml:space="preserve"> </w:t>
      </w:r>
      <w:r w:rsidR="00F278A6" w:rsidRPr="004F0FE2">
        <w:t xml:space="preserve">Following randomization, only 3 </w:t>
      </w:r>
      <w:r w:rsidR="00B311E0" w:rsidRPr="004F0FE2">
        <w:t xml:space="preserve">of the 486 </w:t>
      </w:r>
      <w:r w:rsidR="00F278A6" w:rsidRPr="004F0FE2">
        <w:t xml:space="preserve">patients </w:t>
      </w:r>
      <w:r w:rsidR="00AE2B23" w:rsidRPr="004F0FE2">
        <w:t>were discontinued before receiving any dose of the stud</w:t>
      </w:r>
      <w:r w:rsidR="00F278A6" w:rsidRPr="004F0FE2">
        <w:t>y treatment</w:t>
      </w:r>
      <w:r w:rsidR="00317825" w:rsidRPr="004F0FE2">
        <w:t xml:space="preserve">, </w:t>
      </w:r>
      <w:r w:rsidR="00F6166C" w:rsidRPr="004F0FE2">
        <w:t>leading to</w:t>
      </w:r>
      <w:r w:rsidR="00317825" w:rsidRPr="004F0FE2">
        <w:t xml:space="preserve"> </w:t>
      </w:r>
      <w:r w:rsidR="00B311E0" w:rsidRPr="004F0FE2">
        <w:t xml:space="preserve">a total of </w:t>
      </w:r>
      <w:r w:rsidR="00317825" w:rsidRPr="004F0FE2">
        <w:t>24</w:t>
      </w:r>
      <w:r w:rsidR="00F6166C" w:rsidRPr="004F0FE2">
        <w:t>1</w:t>
      </w:r>
      <w:r w:rsidR="00317825" w:rsidRPr="004F0FE2">
        <w:t xml:space="preserve"> and 24</w:t>
      </w:r>
      <w:r w:rsidR="00F6166C" w:rsidRPr="004F0FE2">
        <w:t>2</w:t>
      </w:r>
      <w:r w:rsidR="00317825" w:rsidRPr="004F0FE2">
        <w:t xml:space="preserve"> patients </w:t>
      </w:r>
      <w:r w:rsidR="009E722F" w:rsidRPr="004F0FE2">
        <w:t>comprising the safety population of</w:t>
      </w:r>
      <w:r w:rsidR="00317825" w:rsidRPr="004F0FE2">
        <w:t xml:space="preserve"> the intervention and control groups respectively.</w:t>
      </w:r>
      <w:r w:rsidR="003448C4">
        <w:t xml:space="preserve"> </w:t>
      </w:r>
      <w:r w:rsidR="00BE1D72" w:rsidRPr="004F0FE2">
        <w:t xml:space="preserve">One patient in the </w:t>
      </w:r>
      <w:proofErr w:type="spellStart"/>
      <w:r w:rsidR="00BE1D72" w:rsidRPr="004F0FE2">
        <w:t>palbociclib-fulvestrant</w:t>
      </w:r>
      <w:proofErr w:type="spellEnd"/>
      <w:r w:rsidR="00BE1D72" w:rsidRPr="004F0FE2">
        <w:t xml:space="preserve"> group did not receive </w:t>
      </w:r>
      <w:r w:rsidR="00FB275A" w:rsidRPr="004F0FE2">
        <w:t xml:space="preserve">the </w:t>
      </w:r>
      <w:r w:rsidR="00BE1D72" w:rsidRPr="004F0FE2">
        <w:t>study treatment because</w:t>
      </w:r>
      <w:r w:rsidR="00FB275A" w:rsidRPr="004F0FE2">
        <w:t xml:space="preserve"> of</w:t>
      </w:r>
      <w:r w:rsidR="00BE1D72" w:rsidRPr="004F0FE2">
        <w:t xml:space="preserve"> </w:t>
      </w:r>
      <w:r w:rsidR="00FB275A" w:rsidRPr="004F0FE2">
        <w:t>consent withdrawal</w:t>
      </w:r>
      <w:r w:rsidR="00BE1D72" w:rsidRPr="004F0FE2">
        <w:t>.</w:t>
      </w:r>
      <w:r w:rsidR="00BE1D72" w:rsidRPr="004F0FE2">
        <w:rPr>
          <w:vertAlign w:val="superscript"/>
        </w:rPr>
        <w:t xml:space="preserve"> </w:t>
      </w:r>
      <w:r w:rsidR="00BE1D72" w:rsidRPr="004F0FE2">
        <w:t xml:space="preserve">Out of </w:t>
      </w:r>
      <w:r w:rsidR="00FB275A" w:rsidRPr="004F0FE2">
        <w:t xml:space="preserve">2 </w:t>
      </w:r>
      <w:r w:rsidR="00BE1D72" w:rsidRPr="004F0FE2">
        <w:t xml:space="preserve">patients who did not receive study treatment in the </w:t>
      </w:r>
      <w:proofErr w:type="spellStart"/>
      <w:r w:rsidR="00BE1D72" w:rsidRPr="004F0FE2">
        <w:t>palbociclib</w:t>
      </w:r>
      <w:proofErr w:type="spellEnd"/>
      <w:r w:rsidR="00BE1D72" w:rsidRPr="004F0FE2">
        <w:t>-letrozole arm</w:t>
      </w:r>
      <w:r w:rsidR="00FB275A" w:rsidRPr="004F0FE2">
        <w:t>, 1</w:t>
      </w:r>
      <w:r w:rsidR="00BE1D72" w:rsidRPr="004F0FE2">
        <w:t xml:space="preserve"> patient </w:t>
      </w:r>
      <w:r w:rsidR="00FB275A" w:rsidRPr="004F0FE2">
        <w:t xml:space="preserve">was mistakenly included because she </w:t>
      </w:r>
      <w:r w:rsidR="00BE1D72" w:rsidRPr="004F0FE2">
        <w:t xml:space="preserve">did not meet selection criteria (uncontrolled brain metastases) and </w:t>
      </w:r>
      <w:r w:rsidR="000729E9" w:rsidRPr="004F0FE2">
        <w:t>1</w:t>
      </w:r>
      <w:r w:rsidR="00BE1D72" w:rsidRPr="004F0FE2">
        <w:t xml:space="preserve"> patient was discontinued due to investigator’s decision</w:t>
      </w:r>
      <w:r w:rsidR="00740E33" w:rsidRPr="004F0FE2">
        <w:t xml:space="preserve"> (</w:t>
      </w:r>
      <w:r w:rsidR="00DF3FBD" w:rsidRPr="00D534DC">
        <w:rPr>
          <w:i/>
          <w:color w:val="2F5496" w:themeColor="accent1" w:themeShade="BF"/>
        </w:rPr>
        <w:fldChar w:fldCharType="begin"/>
      </w:r>
      <w:r w:rsidR="00DF3FBD" w:rsidRPr="00D534DC">
        <w:rPr>
          <w:i/>
          <w:color w:val="2F5496" w:themeColor="accent1" w:themeShade="BF"/>
        </w:rPr>
        <w:instrText xml:space="preserve"> REF _Ref52427053 \h  \* MERGEFORMAT </w:instrText>
      </w:r>
      <w:r w:rsidR="00DF3FBD" w:rsidRPr="00D534DC">
        <w:rPr>
          <w:i/>
          <w:color w:val="2F5496" w:themeColor="accent1" w:themeShade="BF"/>
        </w:rPr>
      </w:r>
      <w:r w:rsidR="00DF3FBD" w:rsidRPr="00D534DC">
        <w:rPr>
          <w:i/>
          <w:color w:val="2F5496" w:themeColor="accent1" w:themeShade="BF"/>
        </w:rPr>
        <w:fldChar w:fldCharType="separate"/>
      </w:r>
      <w:r w:rsidR="00DF3FBD" w:rsidRPr="00D534DC">
        <w:rPr>
          <w:i/>
          <w:color w:val="2F5496" w:themeColor="accent1" w:themeShade="BF"/>
        </w:rPr>
        <w:fldChar w:fldCharType="begin"/>
      </w:r>
      <w:r w:rsidR="00DF3FBD" w:rsidRPr="00D534DC">
        <w:rPr>
          <w:i/>
          <w:color w:val="2F5496" w:themeColor="accent1" w:themeShade="BF"/>
        </w:rPr>
        <w:instrText xml:space="preserve"> REF _Ref52458104 \h  \* MERGEFORMAT </w:instrText>
      </w:r>
      <w:r w:rsidR="00DF3FBD" w:rsidRPr="00D534DC">
        <w:rPr>
          <w:i/>
          <w:color w:val="2F5496" w:themeColor="accent1" w:themeShade="BF"/>
        </w:rPr>
      </w:r>
      <w:r w:rsidR="00DF3FBD" w:rsidRPr="00D534DC">
        <w:rPr>
          <w:i/>
          <w:color w:val="2F5496" w:themeColor="accent1" w:themeShade="BF"/>
        </w:rPr>
        <w:fldChar w:fldCharType="separate"/>
      </w:r>
      <w:r w:rsidR="00DF3FBD" w:rsidRPr="00D534DC">
        <w:rPr>
          <w:i/>
          <w:color w:val="2F5496" w:themeColor="accent1" w:themeShade="BF"/>
        </w:rPr>
        <w:t>Figure 2</w:t>
      </w:r>
      <w:r w:rsidR="00DF3FBD" w:rsidRPr="00D534DC">
        <w:rPr>
          <w:i/>
          <w:color w:val="2F5496" w:themeColor="accent1" w:themeShade="BF"/>
        </w:rPr>
        <w:fldChar w:fldCharType="end"/>
      </w:r>
      <w:r w:rsidR="00DF3FBD" w:rsidRPr="00D534DC">
        <w:rPr>
          <w:i/>
          <w:color w:val="2F5496" w:themeColor="accent1" w:themeShade="BF"/>
        </w:rPr>
        <w:fldChar w:fldCharType="end"/>
      </w:r>
      <w:r w:rsidR="00740E33" w:rsidRPr="004F0FE2">
        <w:t>)</w:t>
      </w:r>
      <w:r w:rsidR="00BE1D72" w:rsidRPr="004F0FE2">
        <w:t xml:space="preserve">. </w:t>
      </w:r>
    </w:p>
    <w:p w14:paraId="1B63023F" w14:textId="653929EB" w:rsidR="00342EF9" w:rsidRDefault="00172A25" w:rsidP="00673269">
      <w:pPr>
        <w:ind w:right="567"/>
      </w:pPr>
      <w:r w:rsidRPr="004F0FE2">
        <w:t xml:space="preserve">At the time when criteria for </w:t>
      </w:r>
      <w:proofErr w:type="spellStart"/>
      <w:r w:rsidR="00BB55F3">
        <w:t>EoS</w:t>
      </w:r>
      <w:proofErr w:type="spellEnd"/>
      <w:r w:rsidRPr="004F0FE2">
        <w:t xml:space="preserve"> w</w:t>
      </w:r>
      <w:r w:rsidR="00BB55F3">
        <w:t>ere</w:t>
      </w:r>
      <w:r w:rsidRPr="004F0FE2">
        <w:t xml:space="preserve"> met (254 events with 486 patients enrolled) there were </w:t>
      </w:r>
      <w:r w:rsidR="00BB55F3">
        <w:t>160 (32.9%) patients</w:t>
      </w:r>
      <w:r w:rsidRPr="004F0FE2">
        <w:t xml:space="preserve"> </w:t>
      </w:r>
      <w:r w:rsidR="00BB55F3">
        <w:t xml:space="preserve">still </w:t>
      </w:r>
      <w:r w:rsidRPr="004F0FE2">
        <w:t>on treatment</w:t>
      </w:r>
      <w:r w:rsidR="00BB55F3">
        <w:t xml:space="preserve"> (72 in the </w:t>
      </w:r>
      <w:proofErr w:type="spellStart"/>
      <w:r w:rsidR="00BB55F3">
        <w:t>palbociclib-fulvestrant</w:t>
      </w:r>
      <w:proofErr w:type="spellEnd"/>
      <w:r w:rsidR="00BB55F3">
        <w:t xml:space="preserve"> arm and 88 in the </w:t>
      </w:r>
      <w:proofErr w:type="spellStart"/>
      <w:r w:rsidR="00BB55F3">
        <w:t>palbociclib</w:t>
      </w:r>
      <w:proofErr w:type="spellEnd"/>
      <w:r w:rsidR="00BB55F3">
        <w:t>-letrozo</w:t>
      </w:r>
      <w:r w:rsidR="00801364">
        <w:t>l</w:t>
      </w:r>
      <w:r w:rsidR="00BB55F3">
        <w:t>e group)</w:t>
      </w:r>
      <w:r w:rsidRPr="004F0FE2">
        <w:t>. As agreed per protocol, if patient was benefiting of study treatment</w:t>
      </w:r>
      <w:r w:rsidR="00342EF9" w:rsidRPr="00342EF9">
        <w:t xml:space="preserve"> </w:t>
      </w:r>
      <w:r w:rsidR="00342EF9">
        <w:t>based on</w:t>
      </w:r>
      <w:r w:rsidR="00342EF9" w:rsidRPr="004F0FE2">
        <w:t xml:space="preserve"> investigator</w:t>
      </w:r>
      <w:r w:rsidR="00342EF9">
        <w:t>’s</w:t>
      </w:r>
      <w:r w:rsidR="00342EF9" w:rsidRPr="004F0FE2">
        <w:t xml:space="preserve"> </w:t>
      </w:r>
      <w:r w:rsidR="00342EF9">
        <w:t>judgement</w:t>
      </w:r>
      <w:r w:rsidRPr="004F0FE2">
        <w:t xml:space="preserve">, </w:t>
      </w:r>
      <w:r w:rsidR="00342EF9">
        <w:t xml:space="preserve">the </w:t>
      </w:r>
      <w:r w:rsidRPr="004F0FE2">
        <w:t xml:space="preserve">sponsor arranged </w:t>
      </w:r>
      <w:r w:rsidR="00223999" w:rsidRPr="004F0FE2">
        <w:t>appropriate</w:t>
      </w:r>
      <w:r w:rsidRPr="004F0FE2">
        <w:t xml:space="preserve"> measures to ensure post-tr</w:t>
      </w:r>
      <w:r w:rsidR="00BB55F3">
        <w:t>ial</w:t>
      </w:r>
      <w:r w:rsidRPr="004F0FE2">
        <w:t xml:space="preserve"> access</w:t>
      </w:r>
      <w:r w:rsidR="00342EF9">
        <w:t xml:space="preserve"> to</w:t>
      </w:r>
      <w:r w:rsidRPr="004F0FE2">
        <w:t xml:space="preserve"> medication </w:t>
      </w:r>
      <w:r w:rsidR="00342EF9">
        <w:t>in cases</w:t>
      </w:r>
      <w:r w:rsidRPr="004F0FE2">
        <w:t xml:space="preserve"> </w:t>
      </w:r>
      <w:r w:rsidR="00342EF9">
        <w:t>where</w:t>
      </w:r>
      <w:r w:rsidRPr="004F0FE2">
        <w:t xml:space="preserve"> </w:t>
      </w:r>
      <w:r w:rsidR="00342EF9">
        <w:t xml:space="preserve">provision was not possible in a reimbursed setting. </w:t>
      </w:r>
    </w:p>
    <w:p w14:paraId="257FD0EF" w14:textId="77777777" w:rsidR="00646E1B" w:rsidRPr="004F0FE2" w:rsidRDefault="00646E1B" w:rsidP="00673269">
      <w:pPr>
        <w:pStyle w:val="Ttulo2"/>
        <w:ind w:right="567"/>
      </w:pPr>
      <w:bookmarkStart w:id="298" w:name="_Toc52468122"/>
      <w:r w:rsidRPr="004F0FE2">
        <w:t>Treatment discontinuation and protocol deviations</w:t>
      </w:r>
      <w:bookmarkEnd w:id="298"/>
    </w:p>
    <w:p w14:paraId="337F2F6D" w14:textId="63198198" w:rsidR="00DE6D79" w:rsidRPr="00673269" w:rsidRDefault="00F278A6" w:rsidP="00673269">
      <w:pPr>
        <w:ind w:right="567"/>
        <w:rPr>
          <w:color w:val="000000"/>
        </w:rPr>
      </w:pPr>
      <w:r w:rsidRPr="004F0FE2">
        <w:rPr>
          <w:rFonts w:eastAsia="OTNEJMQuadraat"/>
          <w:lang w:eastAsia="es-ES"/>
        </w:rPr>
        <w:t>The</w:t>
      </w:r>
      <w:r w:rsidR="00317825" w:rsidRPr="004F0FE2">
        <w:rPr>
          <w:rFonts w:eastAsia="OTNEJMQuadraat"/>
          <w:lang w:eastAsia="es-ES"/>
        </w:rPr>
        <w:t xml:space="preserve"> overall</w:t>
      </w:r>
      <w:r w:rsidRPr="004F0FE2">
        <w:rPr>
          <w:rFonts w:eastAsia="OTNEJMQuadraat"/>
          <w:lang w:eastAsia="es-ES"/>
        </w:rPr>
        <w:t xml:space="preserve"> mean duration of follow-up was 30.5 months (IC95% </w:t>
      </w:r>
      <w:r w:rsidRPr="004F0FE2">
        <w:t xml:space="preserve">29.4 - 31.6), 30.6 (IC95% 29.0 </w:t>
      </w:r>
      <w:r w:rsidR="000511B9" w:rsidRPr="004F0FE2">
        <w:t xml:space="preserve">- </w:t>
      </w:r>
      <w:r w:rsidRPr="004F0FE2">
        <w:t xml:space="preserve">32.1) in the </w:t>
      </w:r>
      <w:proofErr w:type="spellStart"/>
      <w:r w:rsidRPr="004F0FE2">
        <w:t>palboc</w:t>
      </w:r>
      <w:r w:rsidR="00B311E0" w:rsidRPr="004F0FE2">
        <w:t>iclib-</w:t>
      </w:r>
      <w:r w:rsidRPr="004F0FE2">
        <w:t>fulvestrant</w:t>
      </w:r>
      <w:proofErr w:type="spellEnd"/>
      <w:r w:rsidRPr="004F0FE2">
        <w:t xml:space="preserve"> group, and 30.4 (95% 28.9 </w:t>
      </w:r>
      <w:r w:rsidR="000511B9" w:rsidRPr="004F0FE2">
        <w:t>-</w:t>
      </w:r>
      <w:r w:rsidRPr="004F0FE2">
        <w:t xml:space="preserve"> 31.9) in the control group.</w:t>
      </w:r>
      <w:r w:rsidR="00487389" w:rsidRPr="004F0FE2">
        <w:t xml:space="preserve"> </w:t>
      </w:r>
      <w:r w:rsidR="00317825" w:rsidRPr="004F0FE2">
        <w:t xml:space="preserve">A total of 326 (67.1%) patients discontinued treatment throughout follow-up, with 171 women in the </w:t>
      </w:r>
      <w:proofErr w:type="spellStart"/>
      <w:r w:rsidR="00317825" w:rsidRPr="004F0FE2">
        <w:t>pal</w:t>
      </w:r>
      <w:r w:rsidR="00E651B3" w:rsidRPr="004F0FE2">
        <w:t>b</w:t>
      </w:r>
      <w:r w:rsidR="00BE1D72" w:rsidRPr="004F0FE2">
        <w:t>ociclib-</w:t>
      </w:r>
      <w:r w:rsidR="00317825" w:rsidRPr="004F0FE2">
        <w:t>fulvestrant</w:t>
      </w:r>
      <w:proofErr w:type="spellEnd"/>
      <w:r w:rsidR="00317825" w:rsidRPr="004F0FE2">
        <w:t xml:space="preserve"> group (70.4%) and 155 in the </w:t>
      </w:r>
      <w:proofErr w:type="spellStart"/>
      <w:r w:rsidR="00172A25" w:rsidRPr="004F0FE2">
        <w:t>palbociclib</w:t>
      </w:r>
      <w:proofErr w:type="spellEnd"/>
      <w:r w:rsidR="00317825" w:rsidRPr="004F0FE2">
        <w:t xml:space="preserve"> plus letrozole group (63.8%)</w:t>
      </w:r>
      <w:r w:rsidR="00FB275A" w:rsidRPr="004F0FE2">
        <w:t xml:space="preserve"> (</w:t>
      </w:r>
      <w:r w:rsidR="00403DC6" w:rsidRPr="00F57DAA">
        <w:rPr>
          <w:i/>
          <w:color w:val="2F5496" w:themeColor="accent1" w:themeShade="BF"/>
        </w:rPr>
        <w:fldChar w:fldCharType="begin"/>
      </w:r>
      <w:r w:rsidR="00403DC6" w:rsidRPr="00F57DAA">
        <w:rPr>
          <w:i/>
          <w:color w:val="2F5496" w:themeColor="accent1" w:themeShade="BF"/>
        </w:rPr>
        <w:instrText xml:space="preserve"> REF _Ref52424830 \h </w:instrText>
      </w:r>
      <w:r w:rsidR="00F57DAA" w:rsidRPr="00F57DAA">
        <w:rPr>
          <w:i/>
          <w:color w:val="2F5496" w:themeColor="accent1" w:themeShade="BF"/>
        </w:rPr>
        <w:instrText xml:space="preserve"> \* MERGEFORMAT </w:instrText>
      </w:r>
      <w:r w:rsidR="00403DC6" w:rsidRPr="00F57DAA">
        <w:rPr>
          <w:i/>
          <w:color w:val="2F5496" w:themeColor="accent1" w:themeShade="BF"/>
        </w:rPr>
      </w:r>
      <w:r w:rsidR="00403DC6" w:rsidRPr="00F57DAA">
        <w:rPr>
          <w:i/>
          <w:color w:val="2F5496" w:themeColor="accent1" w:themeShade="BF"/>
        </w:rPr>
        <w:fldChar w:fldCharType="separate"/>
      </w:r>
      <w:r w:rsidR="00403DC6" w:rsidRPr="00F57DAA">
        <w:rPr>
          <w:i/>
          <w:color w:val="2F5496" w:themeColor="accent1" w:themeShade="BF"/>
        </w:rPr>
        <w:t xml:space="preserve">Table </w:t>
      </w:r>
      <w:r w:rsidR="00403DC6" w:rsidRPr="00F57DAA">
        <w:rPr>
          <w:i/>
          <w:noProof/>
          <w:color w:val="2F5496" w:themeColor="accent1" w:themeShade="BF"/>
        </w:rPr>
        <w:t>5</w:t>
      </w:r>
      <w:r w:rsidR="00403DC6" w:rsidRPr="00F57DAA">
        <w:rPr>
          <w:i/>
          <w:color w:val="2F5496" w:themeColor="accent1" w:themeShade="BF"/>
        </w:rPr>
        <w:fldChar w:fldCharType="end"/>
      </w:r>
      <w:r w:rsidR="00FB275A" w:rsidRPr="004F0FE2">
        <w:t>)</w:t>
      </w:r>
      <w:r w:rsidR="00317825" w:rsidRPr="004F0FE2">
        <w:t xml:space="preserve">. </w:t>
      </w:r>
      <w:r w:rsidR="004F54FB" w:rsidRPr="004F0FE2">
        <w:rPr>
          <w:color w:val="000000"/>
          <w:lang w:eastAsia="es-ES"/>
        </w:rPr>
        <w:t>At the final analysis cut-off, 72 patients (29</w:t>
      </w:r>
      <w:r w:rsidR="00FB275A" w:rsidRPr="004F0FE2">
        <w:rPr>
          <w:color w:val="000000"/>
          <w:lang w:eastAsia="es-ES"/>
        </w:rPr>
        <w:t>.</w:t>
      </w:r>
      <w:r w:rsidR="004F54FB" w:rsidRPr="004F0FE2">
        <w:rPr>
          <w:color w:val="000000"/>
          <w:lang w:eastAsia="es-ES"/>
        </w:rPr>
        <w:t>6%) in the</w:t>
      </w:r>
      <w:r w:rsidR="004F54FB" w:rsidRPr="004F0FE2">
        <w:rPr>
          <w:color w:val="000000"/>
          <w:shd w:val="clear" w:color="auto" w:fill="FFFFFF"/>
        </w:rPr>
        <w:t xml:space="preserve"> </w:t>
      </w:r>
      <w:proofErr w:type="spellStart"/>
      <w:r w:rsidR="004F54FB" w:rsidRPr="004F0FE2">
        <w:rPr>
          <w:color w:val="000000"/>
          <w:shd w:val="clear" w:color="auto" w:fill="FFFFFF"/>
        </w:rPr>
        <w:t>fulvestrant</w:t>
      </w:r>
      <w:proofErr w:type="spellEnd"/>
      <w:r w:rsidR="004F54FB" w:rsidRPr="004F0FE2">
        <w:rPr>
          <w:color w:val="000000"/>
          <w:shd w:val="clear" w:color="auto" w:fill="FFFFFF"/>
        </w:rPr>
        <w:t>–</w:t>
      </w:r>
      <w:proofErr w:type="spellStart"/>
      <w:r w:rsidR="004F54FB" w:rsidRPr="004F0FE2">
        <w:rPr>
          <w:color w:val="000000"/>
          <w:shd w:val="clear" w:color="auto" w:fill="FFFFFF"/>
        </w:rPr>
        <w:t>palbociclib</w:t>
      </w:r>
      <w:proofErr w:type="spellEnd"/>
      <w:r w:rsidR="004F54FB" w:rsidRPr="004F0FE2">
        <w:rPr>
          <w:color w:val="000000"/>
          <w:lang w:eastAsia="es-ES"/>
        </w:rPr>
        <w:t xml:space="preserve"> arm and 88 patients (36.2%) in the</w:t>
      </w:r>
      <w:r w:rsidR="004F54FB" w:rsidRPr="004F0FE2">
        <w:rPr>
          <w:color w:val="000000"/>
          <w:shd w:val="clear" w:color="auto" w:fill="FFFFFF"/>
        </w:rPr>
        <w:t xml:space="preserve"> letrozole–</w:t>
      </w:r>
      <w:proofErr w:type="spellStart"/>
      <w:r w:rsidR="004F54FB" w:rsidRPr="004F0FE2">
        <w:rPr>
          <w:color w:val="000000"/>
          <w:shd w:val="clear" w:color="auto" w:fill="FFFFFF"/>
        </w:rPr>
        <w:t>palbociclib</w:t>
      </w:r>
      <w:proofErr w:type="spellEnd"/>
      <w:r w:rsidR="004F54FB" w:rsidRPr="004F0FE2">
        <w:rPr>
          <w:color w:val="000000"/>
          <w:lang w:eastAsia="es-ES"/>
        </w:rPr>
        <w:t xml:space="preserve"> were </w:t>
      </w:r>
      <w:r w:rsidR="00FB275A" w:rsidRPr="004F0FE2">
        <w:rPr>
          <w:color w:val="000000"/>
          <w:lang w:eastAsia="es-ES"/>
        </w:rPr>
        <w:t>still receiving the study treatment.</w:t>
      </w:r>
      <w:r w:rsidR="003448C4">
        <w:rPr>
          <w:color w:val="000000"/>
          <w:lang w:eastAsia="es-ES"/>
        </w:rPr>
        <w:t xml:space="preserve"> </w:t>
      </w:r>
      <w:r w:rsidR="004F54FB" w:rsidRPr="004F0FE2">
        <w:rPr>
          <w:color w:val="000000"/>
          <w:shd w:val="clear" w:color="auto" w:fill="FFFFFF"/>
        </w:rPr>
        <w:t>The main reason for treatment discontinuation was disease progression, which occurred in 122 (</w:t>
      </w:r>
      <w:r w:rsidR="00740E33" w:rsidRPr="004F0FE2">
        <w:rPr>
          <w:color w:val="000000"/>
          <w:shd w:val="clear" w:color="auto" w:fill="FFFFFF"/>
        </w:rPr>
        <w:t xml:space="preserve">of the 243; </w:t>
      </w:r>
      <w:r w:rsidR="004F54FB" w:rsidRPr="004F0FE2">
        <w:rPr>
          <w:color w:val="000000"/>
          <w:shd w:val="clear" w:color="auto" w:fill="FFFFFF"/>
        </w:rPr>
        <w:t xml:space="preserve">50.2%) </w:t>
      </w:r>
      <w:r w:rsidR="00740E33" w:rsidRPr="004F0FE2">
        <w:rPr>
          <w:color w:val="000000"/>
          <w:shd w:val="clear" w:color="auto" w:fill="FFFFFF"/>
        </w:rPr>
        <w:t xml:space="preserve">patients </w:t>
      </w:r>
      <w:r w:rsidR="004F54FB" w:rsidRPr="004F0FE2">
        <w:rPr>
          <w:color w:val="000000"/>
          <w:shd w:val="clear" w:color="auto" w:fill="FFFFFF"/>
        </w:rPr>
        <w:t xml:space="preserve">in the </w:t>
      </w:r>
      <w:proofErr w:type="spellStart"/>
      <w:r w:rsidR="004F54FB" w:rsidRPr="004F0FE2">
        <w:rPr>
          <w:color w:val="000000"/>
          <w:shd w:val="clear" w:color="auto" w:fill="FFFFFF"/>
        </w:rPr>
        <w:t>fulvestrant</w:t>
      </w:r>
      <w:proofErr w:type="spellEnd"/>
      <w:r w:rsidR="004F54FB" w:rsidRPr="004F0FE2">
        <w:rPr>
          <w:color w:val="000000"/>
          <w:shd w:val="clear" w:color="auto" w:fill="FFFFFF"/>
        </w:rPr>
        <w:t>–</w:t>
      </w:r>
      <w:proofErr w:type="spellStart"/>
      <w:r w:rsidR="004F54FB" w:rsidRPr="004F0FE2">
        <w:rPr>
          <w:color w:val="000000"/>
          <w:shd w:val="clear" w:color="auto" w:fill="FFFFFF"/>
        </w:rPr>
        <w:t>palbociclib</w:t>
      </w:r>
      <w:proofErr w:type="spellEnd"/>
      <w:r w:rsidR="004F54FB" w:rsidRPr="004F0FE2">
        <w:rPr>
          <w:color w:val="000000"/>
          <w:shd w:val="clear" w:color="auto" w:fill="FFFFFF"/>
        </w:rPr>
        <w:t xml:space="preserve"> arm and in 122 (</w:t>
      </w:r>
      <w:r w:rsidR="00740E33" w:rsidRPr="004F0FE2">
        <w:rPr>
          <w:color w:val="000000"/>
          <w:shd w:val="clear" w:color="auto" w:fill="FFFFFF"/>
        </w:rPr>
        <w:t xml:space="preserve">of the 243; </w:t>
      </w:r>
      <w:r w:rsidR="004F54FB" w:rsidRPr="004F0FE2">
        <w:rPr>
          <w:color w:val="000000"/>
          <w:shd w:val="clear" w:color="auto" w:fill="FFFFFF"/>
        </w:rPr>
        <w:t xml:space="preserve">50.2%) </w:t>
      </w:r>
      <w:r w:rsidR="00740E33" w:rsidRPr="004F0FE2">
        <w:rPr>
          <w:color w:val="000000"/>
          <w:shd w:val="clear" w:color="auto" w:fill="FFFFFF"/>
        </w:rPr>
        <w:t xml:space="preserve">patients </w:t>
      </w:r>
      <w:r w:rsidR="004F54FB" w:rsidRPr="004F0FE2">
        <w:rPr>
          <w:color w:val="000000"/>
          <w:shd w:val="clear" w:color="auto" w:fill="FFFFFF"/>
        </w:rPr>
        <w:t>in the letrozole–</w:t>
      </w:r>
      <w:proofErr w:type="spellStart"/>
      <w:r w:rsidR="004F54FB" w:rsidRPr="004F0FE2">
        <w:rPr>
          <w:color w:val="000000"/>
          <w:shd w:val="clear" w:color="auto" w:fill="FFFFFF"/>
        </w:rPr>
        <w:t>palbociclib</w:t>
      </w:r>
      <w:proofErr w:type="spellEnd"/>
      <w:r w:rsidR="004F54FB" w:rsidRPr="004F0FE2">
        <w:rPr>
          <w:color w:val="000000"/>
          <w:shd w:val="clear" w:color="auto" w:fill="FFFFFF"/>
        </w:rPr>
        <w:t xml:space="preserve"> arm. </w:t>
      </w:r>
      <w:r w:rsidR="004F54FB" w:rsidRPr="004F0FE2">
        <w:rPr>
          <w:iCs/>
        </w:rPr>
        <w:t>Other</w:t>
      </w:r>
      <w:r w:rsidR="00E651B3" w:rsidRPr="004F0FE2">
        <w:rPr>
          <w:iCs/>
        </w:rPr>
        <w:t xml:space="preserve"> commonly reported reasons for </w:t>
      </w:r>
      <w:r w:rsidR="009E722F" w:rsidRPr="004F0FE2">
        <w:rPr>
          <w:iCs/>
        </w:rPr>
        <w:t>study drugs discontinuation</w:t>
      </w:r>
      <w:r w:rsidR="00FB275A" w:rsidRPr="004F0FE2">
        <w:rPr>
          <w:iCs/>
        </w:rPr>
        <w:t>,</w:t>
      </w:r>
      <w:r w:rsidR="00E651B3" w:rsidRPr="004F0FE2">
        <w:rPr>
          <w:iCs/>
        </w:rPr>
        <w:t xml:space="preserve"> as reported by the investigator</w:t>
      </w:r>
      <w:r w:rsidR="00FB275A" w:rsidRPr="004F0FE2">
        <w:rPr>
          <w:iCs/>
        </w:rPr>
        <w:t>,</w:t>
      </w:r>
      <w:r w:rsidR="00E651B3" w:rsidRPr="004F0FE2">
        <w:rPr>
          <w:iCs/>
        </w:rPr>
        <w:t xml:space="preserve"> w</w:t>
      </w:r>
      <w:r w:rsidR="004F54FB" w:rsidRPr="004F0FE2">
        <w:rPr>
          <w:iCs/>
        </w:rPr>
        <w:t xml:space="preserve">ere </w:t>
      </w:r>
      <w:r w:rsidR="00E651B3" w:rsidRPr="004F0FE2">
        <w:rPr>
          <w:iCs/>
        </w:rPr>
        <w:t>consent withdrawal (</w:t>
      </w:r>
      <w:r w:rsidR="004F54FB" w:rsidRPr="004F0FE2">
        <w:rPr>
          <w:iCs/>
        </w:rPr>
        <w:t>4.1%) and adverse events (</w:t>
      </w:r>
      <w:r w:rsidR="00E651B3" w:rsidRPr="004F0FE2">
        <w:rPr>
          <w:iCs/>
        </w:rPr>
        <w:t>3.7%).</w:t>
      </w:r>
      <w:r w:rsidR="003448C4">
        <w:rPr>
          <w:iCs/>
        </w:rPr>
        <w:t xml:space="preserve"> </w:t>
      </w:r>
      <w:r w:rsidR="00E651B3" w:rsidRPr="004F0FE2">
        <w:rPr>
          <w:iCs/>
        </w:rPr>
        <w:t>Death was reported as the primary reason for withdrawal in 10 (</w:t>
      </w:r>
      <w:r w:rsidR="00740E33" w:rsidRPr="004F0FE2">
        <w:rPr>
          <w:iCs/>
        </w:rPr>
        <w:t xml:space="preserve">of the 486; </w:t>
      </w:r>
      <w:r w:rsidR="00E651B3" w:rsidRPr="004F0FE2">
        <w:rPr>
          <w:iCs/>
        </w:rPr>
        <w:t>2.1%</w:t>
      </w:r>
      <w:r w:rsidR="00740E33" w:rsidRPr="004F0FE2">
        <w:rPr>
          <w:iCs/>
        </w:rPr>
        <w:t xml:space="preserve">) patients, </w:t>
      </w:r>
      <w:r w:rsidR="00FB275A" w:rsidRPr="004F0FE2">
        <w:rPr>
          <w:iCs/>
        </w:rPr>
        <w:t xml:space="preserve">8 of them in the </w:t>
      </w:r>
      <w:proofErr w:type="spellStart"/>
      <w:r w:rsidR="00FB275A" w:rsidRPr="004F0FE2">
        <w:rPr>
          <w:iCs/>
        </w:rPr>
        <w:t>palbociclib-</w:t>
      </w:r>
      <w:r w:rsidR="00E651B3" w:rsidRPr="004F0FE2">
        <w:rPr>
          <w:iCs/>
        </w:rPr>
        <w:t>fulvestrant</w:t>
      </w:r>
      <w:proofErr w:type="spellEnd"/>
      <w:r w:rsidR="00E651B3" w:rsidRPr="004F0FE2">
        <w:rPr>
          <w:iCs/>
        </w:rPr>
        <w:t xml:space="preserve"> group and 2 in the control group. </w:t>
      </w:r>
      <w:r w:rsidR="009F5AF7">
        <w:rPr>
          <w:color w:val="000000"/>
        </w:rPr>
        <w:t xml:space="preserve">A total of 24 patients were excluded from the PP population, 14 (of 243; 5.8%) in the </w:t>
      </w:r>
      <w:proofErr w:type="spellStart"/>
      <w:r w:rsidR="009F5AF7">
        <w:rPr>
          <w:color w:val="000000"/>
        </w:rPr>
        <w:t>palbociclib-fulvestrant</w:t>
      </w:r>
      <w:proofErr w:type="spellEnd"/>
      <w:r w:rsidR="009F5AF7">
        <w:rPr>
          <w:color w:val="000000"/>
        </w:rPr>
        <w:t xml:space="preserve"> arm and 10 (of 243; 4.1%) in the </w:t>
      </w:r>
      <w:proofErr w:type="spellStart"/>
      <w:r w:rsidR="009F5AF7">
        <w:rPr>
          <w:color w:val="000000"/>
        </w:rPr>
        <w:t>palbociclib</w:t>
      </w:r>
      <w:proofErr w:type="spellEnd"/>
      <w:r w:rsidR="009F5AF7">
        <w:rPr>
          <w:color w:val="000000"/>
        </w:rPr>
        <w:t>-letrozole group (</w:t>
      </w:r>
      <w:r w:rsidR="00403DC6" w:rsidRPr="00F57DAA">
        <w:rPr>
          <w:i/>
          <w:color w:val="2F5496" w:themeColor="accent1" w:themeShade="BF"/>
        </w:rPr>
        <w:fldChar w:fldCharType="begin"/>
      </w:r>
      <w:r w:rsidR="00403DC6" w:rsidRPr="00F57DAA">
        <w:rPr>
          <w:i/>
          <w:color w:val="2F5496" w:themeColor="accent1" w:themeShade="BF"/>
        </w:rPr>
        <w:instrText xml:space="preserve"> REF _Ref52424830 \h </w:instrText>
      </w:r>
      <w:r w:rsidR="00F57DAA" w:rsidRPr="00F57DAA">
        <w:rPr>
          <w:i/>
          <w:color w:val="2F5496" w:themeColor="accent1" w:themeShade="BF"/>
        </w:rPr>
        <w:instrText xml:space="preserve"> \* MERGEFORMAT </w:instrText>
      </w:r>
      <w:r w:rsidR="00403DC6" w:rsidRPr="00F57DAA">
        <w:rPr>
          <w:i/>
          <w:color w:val="2F5496" w:themeColor="accent1" w:themeShade="BF"/>
        </w:rPr>
      </w:r>
      <w:r w:rsidR="00403DC6" w:rsidRPr="00F57DAA">
        <w:rPr>
          <w:i/>
          <w:color w:val="2F5496" w:themeColor="accent1" w:themeShade="BF"/>
        </w:rPr>
        <w:fldChar w:fldCharType="separate"/>
      </w:r>
      <w:r w:rsidR="00403DC6" w:rsidRPr="00F57DAA">
        <w:rPr>
          <w:i/>
          <w:color w:val="2F5496" w:themeColor="accent1" w:themeShade="BF"/>
        </w:rPr>
        <w:t xml:space="preserve">Table </w:t>
      </w:r>
      <w:r w:rsidR="00403DC6" w:rsidRPr="00F57DAA">
        <w:rPr>
          <w:i/>
          <w:noProof/>
          <w:color w:val="2F5496" w:themeColor="accent1" w:themeShade="BF"/>
        </w:rPr>
        <w:t>5</w:t>
      </w:r>
      <w:r w:rsidR="00403DC6" w:rsidRPr="00F57DAA">
        <w:rPr>
          <w:i/>
          <w:color w:val="2F5496" w:themeColor="accent1" w:themeShade="BF"/>
        </w:rPr>
        <w:fldChar w:fldCharType="end"/>
      </w:r>
      <w:r w:rsidR="009F5AF7">
        <w:rPr>
          <w:color w:val="000000"/>
        </w:rPr>
        <w:t>). The most frequent protocol deviation was the lack of post-baseline tumor assessment, with 4 cases in each study group (8 of 486; 1.6%). Other common causes exclusion from the PP population were IMP underdose (6 of 486; 1.2%), disease-free interval to previous endocrine therapy lower than 12 months (5 of 486; 1.0%) and IMP administration dosing schedule 5 of 486; 1.0%).</w:t>
      </w:r>
      <w:r w:rsidR="009F5AF7" w:rsidRPr="009F5AF7">
        <w:t xml:space="preserve"> </w:t>
      </w:r>
      <w:r w:rsidR="009F5AF7" w:rsidRPr="004F0FE2">
        <w:t xml:space="preserve">One of the 243 patients randomized to the </w:t>
      </w:r>
      <w:proofErr w:type="spellStart"/>
      <w:r w:rsidR="009F5AF7" w:rsidRPr="004F0FE2">
        <w:t>palbociclib-fulvestrant</w:t>
      </w:r>
      <w:proofErr w:type="spellEnd"/>
      <w:r w:rsidR="009F5AF7" w:rsidRPr="004F0FE2">
        <w:t xml:space="preserve"> group was mistakenly treated with </w:t>
      </w:r>
      <w:proofErr w:type="spellStart"/>
      <w:r w:rsidR="009F5AF7" w:rsidRPr="004F0FE2">
        <w:t>palbociclib</w:t>
      </w:r>
      <w:proofErr w:type="spellEnd"/>
      <w:r w:rsidR="009F5AF7" w:rsidRPr="004F0FE2">
        <w:t>-letrozole (0.4%).</w:t>
      </w:r>
    </w:p>
    <w:p w14:paraId="314B30D4" w14:textId="77777777" w:rsidR="00824BCB" w:rsidRPr="004F0FE2" w:rsidRDefault="00BE1D72" w:rsidP="00673269">
      <w:pPr>
        <w:pStyle w:val="Ttulo2"/>
        <w:ind w:right="567"/>
      </w:pPr>
      <w:bookmarkStart w:id="299" w:name="_Ref48405076"/>
      <w:bookmarkStart w:id="300" w:name="_Toc52468123"/>
      <w:r w:rsidRPr="004F0FE2">
        <w:t>Definition of data sets</w:t>
      </w:r>
      <w:bookmarkEnd w:id="299"/>
      <w:bookmarkEnd w:id="300"/>
    </w:p>
    <w:p w14:paraId="2C9D12C1" w14:textId="26BF6F93" w:rsidR="00824BCB" w:rsidRPr="004F0FE2" w:rsidRDefault="00C802D5" w:rsidP="00673269">
      <w:pPr>
        <w:ind w:right="567"/>
      </w:pPr>
      <w:r w:rsidRPr="004F0FE2">
        <w:rPr>
          <w:iCs/>
        </w:rPr>
        <w:t xml:space="preserve">The ITT set comprises the 486 patients randomized to receive </w:t>
      </w:r>
      <w:proofErr w:type="spellStart"/>
      <w:r w:rsidRPr="004F0FE2">
        <w:t>palbociclib</w:t>
      </w:r>
      <w:proofErr w:type="spellEnd"/>
      <w:r w:rsidRPr="004F0FE2">
        <w:t xml:space="preserve"> plus either </w:t>
      </w:r>
      <w:proofErr w:type="spellStart"/>
      <w:r w:rsidRPr="004F0FE2">
        <w:t>fulvestrant</w:t>
      </w:r>
      <w:proofErr w:type="spellEnd"/>
      <w:r w:rsidRPr="004F0FE2">
        <w:t xml:space="preserve"> (243 patients) or letrozole (243 patients). Safety analyses were performed on the 483 patients receiving at least a first dose of the study drugs</w:t>
      </w:r>
      <w:r w:rsidR="00BE1D72" w:rsidRPr="004F0FE2">
        <w:t xml:space="preserve"> (24</w:t>
      </w:r>
      <w:r w:rsidR="00F6166C" w:rsidRPr="004F0FE2">
        <w:t>1</w:t>
      </w:r>
      <w:r w:rsidR="00BE1D72" w:rsidRPr="004F0FE2">
        <w:t xml:space="preserve"> in the </w:t>
      </w:r>
      <w:proofErr w:type="spellStart"/>
      <w:r w:rsidR="00BE1D72" w:rsidRPr="004F0FE2">
        <w:t>palbociclib-fulvestrant</w:t>
      </w:r>
      <w:proofErr w:type="spellEnd"/>
      <w:r w:rsidR="00BE1D72" w:rsidRPr="004F0FE2">
        <w:t xml:space="preserve"> group and 24</w:t>
      </w:r>
      <w:r w:rsidR="00F6166C" w:rsidRPr="004F0FE2">
        <w:t>2</w:t>
      </w:r>
      <w:r w:rsidR="00BE1D72" w:rsidRPr="004F0FE2">
        <w:t xml:space="preserve"> in the </w:t>
      </w:r>
      <w:proofErr w:type="spellStart"/>
      <w:r w:rsidR="00BE1D72" w:rsidRPr="004F0FE2">
        <w:t>palbociclib</w:t>
      </w:r>
      <w:proofErr w:type="spellEnd"/>
      <w:r w:rsidR="00BE1D72" w:rsidRPr="004F0FE2">
        <w:t>-letrozole arm)</w:t>
      </w:r>
      <w:r w:rsidRPr="004F0FE2">
        <w:t xml:space="preserve">. </w:t>
      </w:r>
      <w:r w:rsidR="00646E1B" w:rsidRPr="004F0FE2">
        <w:t>The PP population comprised a total of 229 (</w:t>
      </w:r>
      <w:r w:rsidR="005C250B" w:rsidRPr="004F0FE2">
        <w:t xml:space="preserve">of the 243; </w:t>
      </w:r>
      <w:r w:rsidR="00646E1B" w:rsidRPr="004F0FE2">
        <w:t>94.2%) patients in the intervention group and 233 (</w:t>
      </w:r>
      <w:r w:rsidR="005C250B" w:rsidRPr="004F0FE2">
        <w:t xml:space="preserve">of the 243; </w:t>
      </w:r>
      <w:r w:rsidR="00646E1B" w:rsidRPr="004F0FE2">
        <w:t>95.9%) patients in the control arm</w:t>
      </w:r>
      <w:r w:rsidR="00482279" w:rsidRPr="004F0FE2">
        <w:t xml:space="preserve"> (</w:t>
      </w:r>
      <w:r w:rsidR="00403DC6" w:rsidRPr="002B7615">
        <w:rPr>
          <w:i/>
          <w:color w:val="2F5496" w:themeColor="accent1" w:themeShade="BF"/>
        </w:rPr>
        <w:fldChar w:fldCharType="begin"/>
      </w:r>
      <w:r w:rsidR="00403DC6" w:rsidRPr="002B7615">
        <w:rPr>
          <w:i/>
          <w:color w:val="2F5496" w:themeColor="accent1" w:themeShade="BF"/>
        </w:rPr>
        <w:instrText xml:space="preserve"> REF _Ref52424830 \h </w:instrText>
      </w:r>
      <w:r w:rsidR="002B7615" w:rsidRPr="002B7615">
        <w:rPr>
          <w:i/>
          <w:color w:val="2F5496" w:themeColor="accent1" w:themeShade="BF"/>
        </w:rPr>
        <w:instrText xml:space="preserve"> \* MERGEFORMAT </w:instrText>
      </w:r>
      <w:r w:rsidR="00403DC6" w:rsidRPr="002B7615">
        <w:rPr>
          <w:i/>
          <w:color w:val="2F5496" w:themeColor="accent1" w:themeShade="BF"/>
        </w:rPr>
      </w:r>
      <w:r w:rsidR="00403DC6" w:rsidRPr="002B7615">
        <w:rPr>
          <w:i/>
          <w:color w:val="2F5496" w:themeColor="accent1" w:themeShade="BF"/>
        </w:rPr>
        <w:fldChar w:fldCharType="separate"/>
      </w:r>
      <w:r w:rsidR="00403DC6" w:rsidRPr="002B7615">
        <w:rPr>
          <w:i/>
          <w:color w:val="2F5496" w:themeColor="accent1" w:themeShade="BF"/>
        </w:rPr>
        <w:t xml:space="preserve">Table </w:t>
      </w:r>
      <w:r w:rsidR="00403DC6" w:rsidRPr="002B7615">
        <w:rPr>
          <w:i/>
          <w:noProof/>
          <w:color w:val="2F5496" w:themeColor="accent1" w:themeShade="BF"/>
        </w:rPr>
        <w:t>5</w:t>
      </w:r>
      <w:r w:rsidR="00403DC6" w:rsidRPr="002B7615">
        <w:rPr>
          <w:i/>
          <w:color w:val="2F5496" w:themeColor="accent1" w:themeShade="BF"/>
        </w:rPr>
        <w:fldChar w:fldCharType="end"/>
      </w:r>
      <w:r w:rsidR="00482279" w:rsidRPr="004F0FE2">
        <w:t>)</w:t>
      </w:r>
      <w:r w:rsidR="00646E1B" w:rsidRPr="004F0FE2">
        <w:t xml:space="preserve">. </w:t>
      </w:r>
    </w:p>
    <w:p w14:paraId="1F6D22DC" w14:textId="77777777" w:rsidR="005406F7" w:rsidRPr="004F0FE2" w:rsidRDefault="005406F7" w:rsidP="00673269">
      <w:pPr>
        <w:pStyle w:val="Ttulo2"/>
        <w:ind w:right="567"/>
        <w:rPr>
          <w:rFonts w:eastAsia="OTNEJMQuadraat"/>
          <w:lang w:eastAsia="es-ES"/>
        </w:rPr>
      </w:pPr>
      <w:bookmarkStart w:id="301" w:name="_Toc52468124"/>
      <w:r w:rsidRPr="004F0FE2">
        <w:rPr>
          <w:rFonts w:eastAsia="OTNEJMQuadraat"/>
          <w:lang w:eastAsia="es-ES"/>
        </w:rPr>
        <w:lastRenderedPageBreak/>
        <w:t>Patients baseline characteristics.</w:t>
      </w:r>
      <w:bookmarkEnd w:id="301"/>
    </w:p>
    <w:p w14:paraId="65FC79C9" w14:textId="648D9702" w:rsidR="005406F7" w:rsidRPr="00673269" w:rsidRDefault="005406F7" w:rsidP="00673269">
      <w:pPr>
        <w:ind w:right="567"/>
        <w:rPr>
          <w:rFonts w:eastAsia="OTNEJMQuadraat"/>
          <w:lang w:eastAsia="es-ES"/>
        </w:rPr>
      </w:pPr>
      <w:r w:rsidRPr="004F0FE2">
        <w:rPr>
          <w:rFonts w:eastAsia="OTNEJMQuadraat"/>
          <w:lang w:eastAsia="es-ES"/>
        </w:rPr>
        <w:t xml:space="preserve">The baseline characteristics were well balanced among study groups in the ITT as well as in the PP populations. </w:t>
      </w:r>
      <w:r w:rsidRPr="004F0FE2">
        <w:t xml:space="preserve">A summary of baseline variables for the ITT set is presented in </w:t>
      </w:r>
      <w:r w:rsidRPr="002B7615">
        <w:rPr>
          <w:i/>
          <w:color w:val="2F5496" w:themeColor="accent1" w:themeShade="BF"/>
        </w:rPr>
        <w:fldChar w:fldCharType="begin"/>
      </w:r>
      <w:r w:rsidRPr="002B7615">
        <w:rPr>
          <w:i/>
          <w:color w:val="2F5496" w:themeColor="accent1" w:themeShade="BF"/>
        </w:rPr>
        <w:instrText xml:space="preserve"> REF _Ref52426530 \h  \* MERGEFORMAT </w:instrText>
      </w:r>
      <w:r w:rsidRPr="002B7615">
        <w:rPr>
          <w:i/>
          <w:color w:val="2F5496" w:themeColor="accent1" w:themeShade="BF"/>
        </w:rPr>
      </w:r>
      <w:r w:rsidRPr="002B7615">
        <w:rPr>
          <w:i/>
          <w:color w:val="2F5496" w:themeColor="accent1" w:themeShade="BF"/>
        </w:rPr>
        <w:fldChar w:fldCharType="separate"/>
      </w:r>
      <w:r w:rsidRPr="002B7615">
        <w:rPr>
          <w:i/>
          <w:color w:val="2F5496" w:themeColor="accent1" w:themeShade="BF"/>
        </w:rPr>
        <w:t xml:space="preserve">Table </w:t>
      </w:r>
      <w:r w:rsidRPr="002B7615">
        <w:rPr>
          <w:i/>
          <w:noProof/>
          <w:color w:val="2F5496" w:themeColor="accent1" w:themeShade="BF"/>
        </w:rPr>
        <w:t>6</w:t>
      </w:r>
      <w:r w:rsidRPr="002B7615">
        <w:rPr>
          <w:i/>
          <w:color w:val="2F5496" w:themeColor="accent1" w:themeShade="BF"/>
        </w:rPr>
        <w:fldChar w:fldCharType="end"/>
      </w:r>
      <w:r w:rsidRPr="004F0FE2">
        <w:t xml:space="preserve">. </w:t>
      </w:r>
      <w:r w:rsidRPr="004F0FE2">
        <w:rPr>
          <w:rFonts w:eastAsia="OTNEJMQuadraat"/>
          <w:lang w:eastAsia="es-ES"/>
        </w:rPr>
        <w:t xml:space="preserve">Mean age in the ITT set was 62.3 (range 25.0–88.0) years in the </w:t>
      </w:r>
      <w:proofErr w:type="spellStart"/>
      <w:r w:rsidRPr="004F0FE2">
        <w:rPr>
          <w:rFonts w:eastAsia="OTNEJMQuadraat"/>
          <w:lang w:eastAsia="es-ES"/>
        </w:rPr>
        <w:t>palbociclib</w:t>
      </w:r>
      <w:proofErr w:type="spellEnd"/>
      <w:r w:rsidRPr="004F0FE2">
        <w:rPr>
          <w:rFonts w:eastAsia="OTNEJMQuadraat"/>
          <w:lang w:eastAsia="es-ES"/>
        </w:rPr>
        <w:t>–</w:t>
      </w:r>
      <w:proofErr w:type="spellStart"/>
      <w:r w:rsidRPr="004F0FE2">
        <w:rPr>
          <w:rFonts w:eastAsia="OTNEJMQuadraat"/>
          <w:lang w:eastAsia="es-ES"/>
        </w:rPr>
        <w:t>fulvestrant</w:t>
      </w:r>
      <w:proofErr w:type="spellEnd"/>
      <w:r w:rsidRPr="004F0FE2">
        <w:rPr>
          <w:rFonts w:eastAsia="OTNEJMQuadraat"/>
          <w:lang w:eastAsia="es-ES"/>
        </w:rPr>
        <w:t xml:space="preserve"> group and 61.9 (range 35.0, 90.0) years in the </w:t>
      </w:r>
      <w:proofErr w:type="spellStart"/>
      <w:r w:rsidRPr="004F0FE2">
        <w:rPr>
          <w:rFonts w:eastAsia="OTNEJMQuadraat"/>
          <w:lang w:eastAsia="es-ES"/>
        </w:rPr>
        <w:t>palbociclib</w:t>
      </w:r>
      <w:proofErr w:type="spellEnd"/>
      <w:r w:rsidRPr="004F0FE2">
        <w:rPr>
          <w:rFonts w:eastAsia="OTNEJMQuadraat"/>
          <w:lang w:eastAsia="es-ES"/>
        </w:rPr>
        <w:t xml:space="preserve">–letrozole group. The Caucasian race represented 98.5% of the population sample, with a total of </w:t>
      </w:r>
      <w:r w:rsidRPr="004F0FE2">
        <w:rPr>
          <w:color w:val="000000"/>
        </w:rPr>
        <w:t xml:space="preserve">255 (52.5%) of the 486 patients recruited in Spanish sites. </w:t>
      </w:r>
      <w:r w:rsidRPr="004F0FE2">
        <w:rPr>
          <w:rFonts w:eastAsia="OTNEJMQuadraat"/>
          <w:lang w:eastAsia="es-ES"/>
        </w:rPr>
        <w:t>Among the 486 patients within the ITT set, 92.4% were postmenopausal women, with ECOG scores 0 (56.6%) and 1 (</w:t>
      </w:r>
      <w:r w:rsidRPr="004F0FE2">
        <w:rPr>
          <w:color w:val="000000"/>
        </w:rPr>
        <w:t xml:space="preserve">38.5%). </w:t>
      </w:r>
      <w:r w:rsidRPr="004F0FE2">
        <w:t xml:space="preserve">Over half of the patients presented </w:t>
      </w:r>
      <w:r w:rsidRPr="004F0FE2">
        <w:rPr>
          <w:color w:val="000000"/>
        </w:rPr>
        <w:t xml:space="preserve">recurrent </w:t>
      </w:r>
      <w:r w:rsidRPr="004F0FE2">
        <w:t xml:space="preserve">ER+/HER2- </w:t>
      </w:r>
      <w:r w:rsidRPr="004F0FE2">
        <w:rPr>
          <w:bCs/>
          <w:color w:val="000000"/>
        </w:rPr>
        <w:t>metastatic BC (</w:t>
      </w:r>
      <w:r w:rsidRPr="004F0FE2">
        <w:rPr>
          <w:color w:val="000000"/>
        </w:rPr>
        <w:t>59.3%)</w:t>
      </w:r>
      <w:r w:rsidRPr="004F0FE2">
        <w:rPr>
          <w:bCs/>
          <w:color w:val="000000"/>
        </w:rPr>
        <w:t xml:space="preserve"> with </w:t>
      </w:r>
      <w:r w:rsidRPr="004F0FE2">
        <w:rPr>
          <w:rFonts w:eastAsia="OTNEJMQuadraat"/>
          <w:lang w:eastAsia="es-ES"/>
        </w:rPr>
        <w:t xml:space="preserve">presented visceral disease (52.1%). The disease was measurable in </w:t>
      </w:r>
      <w:r w:rsidRPr="004F0FE2">
        <w:rPr>
          <w:color w:val="000000"/>
        </w:rPr>
        <w:t xml:space="preserve">77.4% of all 486 patients and reported mean disease-free interval was 6.1 years (range 0.0, 30.7). </w:t>
      </w:r>
      <w:r w:rsidRPr="004F0FE2">
        <w:rPr>
          <w:iCs/>
        </w:rPr>
        <w:t>The most commonly reported sites of disease were bone (73.9%), lymph nodes (42.2%), lung (29.0%), breast (23.0%), liver (16.9%) and pleura (12.1%), with 1 to 2 sites recorded in the majority of patients (</w:t>
      </w:r>
      <w:r w:rsidRPr="004F0FE2">
        <w:rPr>
          <w:color w:val="000000"/>
        </w:rPr>
        <w:t xml:space="preserve">56.4%). </w:t>
      </w:r>
      <w:r w:rsidRPr="004F0FE2">
        <w:rPr>
          <w:rFonts w:eastAsia="OTNEJMQuadraat"/>
          <w:lang w:eastAsia="es-ES"/>
        </w:rPr>
        <w:t xml:space="preserve">Regarding previous therapies for breast cancer, only </w:t>
      </w:r>
      <w:r w:rsidRPr="004F0FE2">
        <w:rPr>
          <w:color w:val="000000"/>
        </w:rPr>
        <w:t>37.4% of all patients had received prior chemotherapy, as an adjuvant (29.6%) or neoadjuvant (9.5%) treatment, and 48.9% had received prior endocrine therapy, with tamoxifen (36.4%), letrozole (12.6%) and anastrozole (7.8%) as most frequent specific agents.</w:t>
      </w:r>
    </w:p>
    <w:p w14:paraId="16DAE86D" w14:textId="77777777" w:rsidR="008D5B33" w:rsidRPr="004F0FE2" w:rsidRDefault="008D5B33" w:rsidP="00673269">
      <w:pPr>
        <w:pStyle w:val="Ttulo2"/>
        <w:ind w:right="567"/>
      </w:pPr>
      <w:bookmarkStart w:id="302" w:name="_Toc52468125"/>
      <w:r w:rsidRPr="004F0FE2">
        <w:t>Drug delays, reductions and interruptions.</w:t>
      </w:r>
      <w:bookmarkEnd w:id="302"/>
    </w:p>
    <w:p w14:paraId="67134BAD" w14:textId="3C5495AE" w:rsidR="00CC7797" w:rsidRPr="004F0FE2" w:rsidRDefault="004F54FB" w:rsidP="00673269">
      <w:pPr>
        <w:ind w:right="567"/>
      </w:pPr>
      <w:r w:rsidRPr="004F0FE2">
        <w:t xml:space="preserve">The dose of </w:t>
      </w:r>
      <w:proofErr w:type="spellStart"/>
      <w:r w:rsidRPr="004F0FE2">
        <w:t>palbociclib</w:t>
      </w:r>
      <w:proofErr w:type="spellEnd"/>
      <w:r w:rsidRPr="004F0FE2">
        <w:t xml:space="preserve"> was reduced according to protocol in 85 of the 241 patients (35</w:t>
      </w:r>
      <w:r w:rsidR="008D5B33" w:rsidRPr="004F0FE2">
        <w:t>.</w:t>
      </w:r>
      <w:r w:rsidRPr="004F0FE2">
        <w:t xml:space="preserve">3%) in the </w:t>
      </w:r>
      <w:proofErr w:type="spellStart"/>
      <w:r w:rsidRPr="004F0FE2">
        <w:t>palbociclib</w:t>
      </w:r>
      <w:r w:rsidR="004D1027" w:rsidRPr="004F0FE2">
        <w:t>-fulvestrant</w:t>
      </w:r>
      <w:proofErr w:type="spellEnd"/>
      <w:r w:rsidRPr="004F0FE2">
        <w:t xml:space="preserve"> arm and in 108 of the 242 patients (44</w:t>
      </w:r>
      <w:r w:rsidR="008D5B33" w:rsidRPr="004F0FE2">
        <w:t>.</w:t>
      </w:r>
      <w:r w:rsidRPr="004F0FE2">
        <w:t xml:space="preserve">6%) in the </w:t>
      </w:r>
      <w:proofErr w:type="spellStart"/>
      <w:r w:rsidRPr="004F0FE2">
        <w:t>palbociclib</w:t>
      </w:r>
      <w:proofErr w:type="spellEnd"/>
      <w:r w:rsidR="004D1027" w:rsidRPr="004F0FE2">
        <w:t>-letrozole</w:t>
      </w:r>
      <w:r w:rsidRPr="004F0FE2">
        <w:t xml:space="preserve"> arm</w:t>
      </w:r>
      <w:r w:rsidR="005F2C4B" w:rsidRPr="004F0FE2">
        <w:t xml:space="preserve"> (</w:t>
      </w:r>
      <w:r w:rsidR="00773549" w:rsidRPr="002B7615">
        <w:rPr>
          <w:i/>
          <w:color w:val="2F5496" w:themeColor="accent1" w:themeShade="BF"/>
        </w:rPr>
        <w:fldChar w:fldCharType="begin"/>
      </w:r>
      <w:r w:rsidR="00773549" w:rsidRPr="002B7615">
        <w:rPr>
          <w:i/>
          <w:color w:val="2F5496" w:themeColor="accent1" w:themeShade="BF"/>
        </w:rPr>
        <w:instrText xml:space="preserve"> REF _Ref52426493 \h </w:instrText>
      </w:r>
      <w:r w:rsidR="002B7615" w:rsidRPr="002B7615">
        <w:rPr>
          <w:i/>
          <w:color w:val="2F5496" w:themeColor="accent1" w:themeShade="BF"/>
        </w:rPr>
        <w:instrText xml:space="preserve"> \* MERGEFORMAT </w:instrText>
      </w:r>
      <w:r w:rsidR="00773549" w:rsidRPr="002B7615">
        <w:rPr>
          <w:i/>
          <w:color w:val="2F5496" w:themeColor="accent1" w:themeShade="BF"/>
        </w:rPr>
      </w:r>
      <w:r w:rsidR="00773549" w:rsidRPr="002B7615">
        <w:rPr>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7</w:t>
      </w:r>
      <w:r w:rsidR="00773549" w:rsidRPr="002B7615">
        <w:rPr>
          <w:i/>
          <w:color w:val="2F5496" w:themeColor="accent1" w:themeShade="BF"/>
        </w:rPr>
        <w:fldChar w:fldCharType="end"/>
      </w:r>
      <w:r w:rsidR="005F2C4B" w:rsidRPr="004F0FE2">
        <w:t>)</w:t>
      </w:r>
      <w:r w:rsidRPr="004F0FE2">
        <w:t>.</w:t>
      </w:r>
      <w:r w:rsidR="00867E13" w:rsidRPr="004F0FE2">
        <w:t xml:space="preserve"> </w:t>
      </w:r>
      <w:r w:rsidR="00CC7797" w:rsidRPr="004F0FE2">
        <w:t xml:space="preserve">Mean duration of </w:t>
      </w:r>
      <w:proofErr w:type="spellStart"/>
      <w:r w:rsidR="00CC7797" w:rsidRPr="004F0FE2">
        <w:t>palbociclib</w:t>
      </w:r>
      <w:proofErr w:type="spellEnd"/>
      <w:r w:rsidR="00CC7797" w:rsidRPr="004F0FE2">
        <w:t xml:space="preserve"> d</w:t>
      </w:r>
      <w:r w:rsidR="008D5B33" w:rsidRPr="004F0FE2">
        <w:t>os</w:t>
      </w:r>
      <w:r w:rsidR="00CC7797" w:rsidRPr="004F0FE2">
        <w:t>e reductions was 6.1 (</w:t>
      </w:r>
      <w:r w:rsidR="00D24AFB" w:rsidRPr="004F0FE2">
        <w:t>range 0.0 -42.0)</w:t>
      </w:r>
      <w:r w:rsidR="00CC7797" w:rsidRPr="004F0FE2">
        <w:t xml:space="preserve"> days in the intervention group and 7.8 </w:t>
      </w:r>
      <w:r w:rsidR="00D24AFB" w:rsidRPr="004F0FE2">
        <w:t>(</w:t>
      </w:r>
      <w:r w:rsidR="001B17C9" w:rsidRPr="004F0FE2">
        <w:t xml:space="preserve">range </w:t>
      </w:r>
      <w:r w:rsidR="00D24AFB" w:rsidRPr="004F0FE2">
        <w:t>0.0 - 56.0)</w:t>
      </w:r>
      <w:r w:rsidR="00CC7797" w:rsidRPr="004F0FE2">
        <w:t xml:space="preserve"> days in the control group.</w:t>
      </w:r>
      <w:r w:rsidR="005F2C4B" w:rsidRPr="004F0FE2">
        <w:t xml:space="preserve"> Treatment with letrozole was not reduced in any of the patients treated</w:t>
      </w:r>
      <w:r w:rsidR="00482279" w:rsidRPr="004F0FE2">
        <w:t xml:space="preserve">, and </w:t>
      </w:r>
      <w:proofErr w:type="spellStart"/>
      <w:r w:rsidR="00482279" w:rsidRPr="004F0FE2">
        <w:t>f</w:t>
      </w:r>
      <w:r w:rsidR="005F2C4B" w:rsidRPr="004F0FE2">
        <w:t>ulvestrant</w:t>
      </w:r>
      <w:proofErr w:type="spellEnd"/>
      <w:r w:rsidR="005F2C4B" w:rsidRPr="004F0FE2">
        <w:t xml:space="preserve"> dosing was reduced for a maximum period of one day. </w:t>
      </w:r>
      <w:r w:rsidR="00867E13" w:rsidRPr="004F0FE2">
        <w:t xml:space="preserve">At least one cycle </w:t>
      </w:r>
      <w:r w:rsidR="00482279" w:rsidRPr="004F0FE2">
        <w:t>of the study drug was delayed in</w:t>
      </w:r>
      <w:r w:rsidR="00867E13" w:rsidRPr="004F0FE2">
        <w:t xml:space="preserve"> 118 (</w:t>
      </w:r>
      <w:r w:rsidR="00482279" w:rsidRPr="004F0FE2">
        <w:t xml:space="preserve">of the 241; </w:t>
      </w:r>
      <w:r w:rsidR="00867E13" w:rsidRPr="004F0FE2">
        <w:t>49</w:t>
      </w:r>
      <w:r w:rsidR="008D5B33" w:rsidRPr="004F0FE2">
        <w:t>.0</w:t>
      </w:r>
      <w:r w:rsidR="00867E13" w:rsidRPr="004F0FE2">
        <w:t xml:space="preserve">%) </w:t>
      </w:r>
      <w:r w:rsidR="004D1027" w:rsidRPr="004F0FE2">
        <w:t xml:space="preserve">patients in the </w:t>
      </w:r>
      <w:proofErr w:type="spellStart"/>
      <w:r w:rsidR="004D1027" w:rsidRPr="004F0FE2">
        <w:t>palbociclib-fulvestrant</w:t>
      </w:r>
      <w:proofErr w:type="spellEnd"/>
      <w:r w:rsidR="004D1027" w:rsidRPr="004F0FE2">
        <w:t xml:space="preserve"> group, </w:t>
      </w:r>
      <w:r w:rsidR="00867E13" w:rsidRPr="004F0FE2">
        <w:t>and 123 (</w:t>
      </w:r>
      <w:r w:rsidR="00482279" w:rsidRPr="004F0FE2">
        <w:t xml:space="preserve">of 242; </w:t>
      </w:r>
      <w:r w:rsidR="00867E13" w:rsidRPr="004F0FE2">
        <w:t xml:space="preserve">50.8%) patients in the </w:t>
      </w:r>
      <w:r w:rsidR="00482279" w:rsidRPr="004F0FE2">
        <w:t xml:space="preserve">control arm </w:t>
      </w:r>
      <w:r w:rsidR="00867E13" w:rsidRPr="004F0FE2">
        <w:t>(</w:t>
      </w:r>
      <w:r w:rsidR="00773549" w:rsidRPr="002B7615">
        <w:rPr>
          <w:i/>
          <w:color w:val="2F5496" w:themeColor="accent1" w:themeShade="BF"/>
        </w:rPr>
        <w:fldChar w:fldCharType="begin"/>
      </w:r>
      <w:r w:rsidR="00773549" w:rsidRPr="002B7615">
        <w:rPr>
          <w:i/>
          <w:color w:val="2F5496" w:themeColor="accent1" w:themeShade="BF"/>
        </w:rPr>
        <w:instrText xml:space="preserve"> REF _Ref52426493 \h </w:instrText>
      </w:r>
      <w:r w:rsidR="002B7615" w:rsidRPr="002B7615">
        <w:rPr>
          <w:i/>
          <w:color w:val="2F5496" w:themeColor="accent1" w:themeShade="BF"/>
        </w:rPr>
        <w:instrText xml:space="preserve"> \* MERGEFORMAT </w:instrText>
      </w:r>
      <w:r w:rsidR="00773549" w:rsidRPr="002B7615">
        <w:rPr>
          <w:i/>
          <w:color w:val="2F5496" w:themeColor="accent1" w:themeShade="BF"/>
        </w:rPr>
      </w:r>
      <w:r w:rsidR="00773549" w:rsidRPr="002B7615">
        <w:rPr>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7</w:t>
      </w:r>
      <w:r w:rsidR="00773549" w:rsidRPr="002B7615">
        <w:rPr>
          <w:i/>
          <w:color w:val="2F5496" w:themeColor="accent1" w:themeShade="BF"/>
        </w:rPr>
        <w:fldChar w:fldCharType="end"/>
      </w:r>
      <w:r w:rsidR="00867E13" w:rsidRPr="004F0FE2">
        <w:t>).</w:t>
      </w:r>
      <w:r w:rsidR="000E0032" w:rsidRPr="004F0FE2">
        <w:t xml:space="preserve"> </w:t>
      </w:r>
      <w:r w:rsidR="008D5B33" w:rsidRPr="004F0FE2">
        <w:t xml:space="preserve">Treatment with </w:t>
      </w:r>
      <w:proofErr w:type="spellStart"/>
      <w:r w:rsidR="008D5B33" w:rsidRPr="004F0FE2">
        <w:t>palbociclib</w:t>
      </w:r>
      <w:proofErr w:type="spellEnd"/>
      <w:r w:rsidR="008D5B33" w:rsidRPr="004F0FE2">
        <w:t xml:space="preserve"> was </w:t>
      </w:r>
      <w:r w:rsidR="00CC7797" w:rsidRPr="004F0FE2">
        <w:t>interrupted for a mean of 45.5 (</w:t>
      </w:r>
      <w:r w:rsidR="00482279" w:rsidRPr="004F0FE2">
        <w:t>range, 0.0 - 900.0</w:t>
      </w:r>
      <w:r w:rsidR="00CC7797" w:rsidRPr="004F0FE2">
        <w:t xml:space="preserve">) days in the </w:t>
      </w:r>
      <w:proofErr w:type="spellStart"/>
      <w:r w:rsidR="00CC7797" w:rsidRPr="004F0FE2">
        <w:t>palbociclib-fulvestrant</w:t>
      </w:r>
      <w:proofErr w:type="spellEnd"/>
      <w:r w:rsidR="00CC7797" w:rsidRPr="004F0FE2">
        <w:t xml:space="preserve"> arm and 34.1 (</w:t>
      </w:r>
      <w:r w:rsidR="00482279" w:rsidRPr="004F0FE2">
        <w:t>0.0 - 254.0</w:t>
      </w:r>
      <w:r w:rsidR="00CC7797" w:rsidRPr="004F0FE2">
        <w:t xml:space="preserve">) days in the control group. Mean duration of </w:t>
      </w:r>
      <w:proofErr w:type="spellStart"/>
      <w:r w:rsidR="00CC7797" w:rsidRPr="004F0FE2">
        <w:t>fulvestrant</w:t>
      </w:r>
      <w:proofErr w:type="spellEnd"/>
      <w:r w:rsidR="00CC7797" w:rsidRPr="004F0FE2">
        <w:t xml:space="preserve"> and letrozole interruptions was 0.1 (</w:t>
      </w:r>
      <w:r w:rsidR="00482279" w:rsidRPr="004F0FE2">
        <w:t>range 0.0 – 0.1</w:t>
      </w:r>
      <w:r w:rsidR="00CC7797" w:rsidRPr="004F0FE2">
        <w:t>) and 5.8 (</w:t>
      </w:r>
      <w:r w:rsidR="00482279" w:rsidRPr="004F0FE2">
        <w:t>r</w:t>
      </w:r>
      <w:r w:rsidR="001B17C9" w:rsidRPr="004F0FE2">
        <w:t>ange</w:t>
      </w:r>
      <w:r w:rsidR="00482279" w:rsidRPr="004F0FE2">
        <w:t xml:space="preserve"> 0.0 – 61.0</w:t>
      </w:r>
      <w:r w:rsidR="00CC7797" w:rsidRPr="004F0FE2">
        <w:t>) days respectively.</w:t>
      </w:r>
      <w:r w:rsidR="003448C4">
        <w:t xml:space="preserve"> </w:t>
      </w:r>
    </w:p>
    <w:p w14:paraId="6A4B20E2" w14:textId="77777777" w:rsidR="0063721E" w:rsidRPr="004F0FE2" w:rsidRDefault="0063721E" w:rsidP="00673269">
      <w:pPr>
        <w:pStyle w:val="Ttulo2"/>
        <w:ind w:right="567"/>
      </w:pPr>
      <w:bookmarkStart w:id="303" w:name="_Toc52468126"/>
      <w:r w:rsidRPr="004F0FE2">
        <w:t>Treatment compliance.</w:t>
      </w:r>
      <w:bookmarkEnd w:id="303"/>
    </w:p>
    <w:p w14:paraId="5F3973AA" w14:textId="6927E32F" w:rsidR="00A218B1" w:rsidRPr="004F0FE2" w:rsidRDefault="00A218B1" w:rsidP="00673269">
      <w:pPr>
        <w:ind w:right="567"/>
      </w:pPr>
      <w:r w:rsidRPr="004F0FE2">
        <w:rPr>
          <w:iCs/>
        </w:rPr>
        <w:t xml:space="preserve">Reported </w:t>
      </w:r>
      <w:proofErr w:type="spellStart"/>
      <w:r w:rsidRPr="004F0FE2">
        <w:rPr>
          <w:iCs/>
        </w:rPr>
        <w:t>palbociclib</w:t>
      </w:r>
      <w:proofErr w:type="spellEnd"/>
      <w:r w:rsidRPr="004F0FE2">
        <w:rPr>
          <w:iCs/>
        </w:rPr>
        <w:t xml:space="preserve"> compliance in the safety population was </w:t>
      </w:r>
      <w:r w:rsidRPr="004F0FE2">
        <w:rPr>
          <w:rFonts w:eastAsia="OTNEJMQuadraat"/>
          <w:lang w:eastAsia="es-ES"/>
        </w:rPr>
        <w:t>well bala</w:t>
      </w:r>
      <w:r w:rsidR="00D04282" w:rsidRPr="004F0FE2">
        <w:rPr>
          <w:rFonts w:eastAsia="OTNEJMQuadraat"/>
          <w:lang w:eastAsia="es-ES"/>
        </w:rPr>
        <w:t xml:space="preserve">nced among study groups, with a </w:t>
      </w:r>
      <w:r w:rsidRPr="004F0FE2">
        <w:rPr>
          <w:rFonts w:eastAsia="OTNEJMQuadraat"/>
          <w:lang w:eastAsia="es-ES"/>
        </w:rPr>
        <w:t xml:space="preserve">mean RDI of </w:t>
      </w:r>
      <w:r w:rsidR="00D04282" w:rsidRPr="004F0FE2">
        <w:t>8</w:t>
      </w:r>
      <w:r w:rsidR="0063721E" w:rsidRPr="004F0FE2">
        <w:t>4</w:t>
      </w:r>
      <w:r w:rsidR="00D04282" w:rsidRPr="004F0FE2">
        <w:t>.</w:t>
      </w:r>
      <w:r w:rsidR="0063721E" w:rsidRPr="004F0FE2">
        <w:t>5</w:t>
      </w:r>
      <w:r w:rsidR="00D04282" w:rsidRPr="004F0FE2">
        <w:t xml:space="preserve"> % </w:t>
      </w:r>
      <w:r w:rsidR="00482279" w:rsidRPr="004F0FE2">
        <w:t>(</w:t>
      </w:r>
      <w:r w:rsidR="001B17C9" w:rsidRPr="004F0FE2">
        <w:t xml:space="preserve">range </w:t>
      </w:r>
      <w:r w:rsidR="00482279" w:rsidRPr="004F0FE2">
        <w:t xml:space="preserve">2.5 </w:t>
      </w:r>
      <w:r w:rsidR="001B17C9" w:rsidRPr="004F0FE2">
        <w:t xml:space="preserve">- </w:t>
      </w:r>
      <w:r w:rsidR="00482279" w:rsidRPr="004F0FE2">
        <w:t>108.5)</w:t>
      </w:r>
      <w:r w:rsidR="0063721E" w:rsidRPr="004F0FE2">
        <w:t xml:space="preserve"> in the </w:t>
      </w:r>
      <w:proofErr w:type="spellStart"/>
      <w:r w:rsidR="0063721E" w:rsidRPr="004F0FE2">
        <w:t>palbociclib-fulvestrant</w:t>
      </w:r>
      <w:proofErr w:type="spellEnd"/>
      <w:r w:rsidR="0063721E" w:rsidRPr="004F0FE2">
        <w:t xml:space="preserve"> group and 85.9% </w:t>
      </w:r>
      <w:r w:rsidR="00482279" w:rsidRPr="004F0FE2">
        <w:t>(</w:t>
      </w:r>
      <w:r w:rsidR="001B17C9" w:rsidRPr="004F0FE2">
        <w:t xml:space="preserve">range </w:t>
      </w:r>
      <w:r w:rsidR="00482279" w:rsidRPr="004F0FE2">
        <w:t xml:space="preserve">12.3 </w:t>
      </w:r>
      <w:r w:rsidR="001B17C9" w:rsidRPr="004F0FE2">
        <w:t>-</w:t>
      </w:r>
      <w:r w:rsidR="00482279" w:rsidRPr="004F0FE2">
        <w:t xml:space="preserve"> 117.2)</w:t>
      </w:r>
      <w:r w:rsidR="0063721E" w:rsidRPr="004F0FE2">
        <w:t xml:space="preserve"> in the control group</w:t>
      </w:r>
      <w:r w:rsidR="00D04282" w:rsidRPr="004F0FE2">
        <w:t>.</w:t>
      </w:r>
      <w:r w:rsidRPr="004F0FE2">
        <w:t xml:space="preserve"> </w:t>
      </w:r>
      <w:r w:rsidR="004F54FB" w:rsidRPr="004F0FE2">
        <w:t>RDI</w:t>
      </w:r>
      <w:r w:rsidRPr="004F0FE2">
        <w:t xml:space="preserve"> for </w:t>
      </w:r>
      <w:proofErr w:type="spellStart"/>
      <w:r w:rsidRPr="004F0FE2">
        <w:t>fulvestrant</w:t>
      </w:r>
      <w:proofErr w:type="spellEnd"/>
      <w:r w:rsidRPr="004F0FE2">
        <w:t xml:space="preserve"> and letrozole was 97.7% </w:t>
      </w:r>
      <w:r w:rsidR="001B17C9" w:rsidRPr="004F0FE2">
        <w:t>(range 78.8 - 105.6)</w:t>
      </w:r>
      <w:r w:rsidRPr="004F0FE2">
        <w:t xml:space="preserve"> and 96.8</w:t>
      </w:r>
      <w:r w:rsidR="004F54FB" w:rsidRPr="004F0FE2">
        <w:t>%</w:t>
      </w:r>
      <w:r w:rsidR="001B17C9" w:rsidRPr="004F0FE2">
        <w:t xml:space="preserve"> (range 40.0 - 146.6) </w:t>
      </w:r>
      <w:r w:rsidR="00D321F5" w:rsidRPr="004F0FE2">
        <w:t>respectively (</w:t>
      </w:r>
      <w:r w:rsidR="00773549" w:rsidRPr="002B7615">
        <w:rPr>
          <w:i/>
          <w:color w:val="2F5496" w:themeColor="accent1" w:themeShade="BF"/>
        </w:rPr>
        <w:fldChar w:fldCharType="begin"/>
      </w:r>
      <w:r w:rsidR="00773549" w:rsidRPr="002B7615">
        <w:rPr>
          <w:i/>
          <w:color w:val="2F5496" w:themeColor="accent1" w:themeShade="BF"/>
        </w:rPr>
        <w:instrText xml:space="preserve"> REF _Ref52426493 \h </w:instrText>
      </w:r>
      <w:r w:rsidR="002B7615" w:rsidRPr="002B7615">
        <w:rPr>
          <w:i/>
          <w:color w:val="2F5496" w:themeColor="accent1" w:themeShade="BF"/>
        </w:rPr>
        <w:instrText xml:space="preserve"> \* MERGEFORMAT </w:instrText>
      </w:r>
      <w:r w:rsidR="00773549" w:rsidRPr="002B7615">
        <w:rPr>
          <w:i/>
          <w:color w:val="2F5496" w:themeColor="accent1" w:themeShade="BF"/>
        </w:rPr>
      </w:r>
      <w:r w:rsidR="00773549" w:rsidRPr="002B7615">
        <w:rPr>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7</w:t>
      </w:r>
      <w:r w:rsidR="00773549" w:rsidRPr="002B7615">
        <w:rPr>
          <w:i/>
          <w:color w:val="2F5496" w:themeColor="accent1" w:themeShade="BF"/>
        </w:rPr>
        <w:fldChar w:fldCharType="end"/>
      </w:r>
      <w:r w:rsidR="00DB3A51" w:rsidRPr="004F0FE2">
        <w:t>)</w:t>
      </w:r>
      <w:r w:rsidRPr="004F0FE2">
        <w:t>.</w:t>
      </w:r>
      <w:r w:rsidR="003448C4">
        <w:t xml:space="preserve"> </w:t>
      </w:r>
    </w:p>
    <w:p w14:paraId="3A171A5F" w14:textId="4227DC9B" w:rsidR="00A218B1" w:rsidRPr="004F0FE2" w:rsidRDefault="005406F7" w:rsidP="00673269">
      <w:pPr>
        <w:pStyle w:val="Ttulo2"/>
        <w:ind w:right="567"/>
        <w:rPr>
          <w:rFonts w:eastAsia="OTNEJMQuadraat"/>
          <w:lang w:eastAsia="es-ES"/>
        </w:rPr>
      </w:pPr>
      <w:bookmarkStart w:id="304" w:name="_Toc52468127"/>
      <w:r>
        <w:rPr>
          <w:rFonts w:eastAsia="OTNEJMQuadraat"/>
          <w:lang w:eastAsia="es-ES"/>
        </w:rPr>
        <w:t>Drug exposure</w:t>
      </w:r>
      <w:r w:rsidR="00270B0E" w:rsidRPr="004F0FE2">
        <w:rPr>
          <w:rFonts w:eastAsia="OTNEJMQuadraat"/>
          <w:lang w:eastAsia="es-ES"/>
        </w:rPr>
        <w:t>.</w:t>
      </w:r>
      <w:bookmarkEnd w:id="304"/>
    </w:p>
    <w:p w14:paraId="48D96E95" w14:textId="77777777" w:rsidR="005406F7" w:rsidRPr="004F0FE2" w:rsidRDefault="005406F7" w:rsidP="00673269">
      <w:pPr>
        <w:ind w:right="567"/>
      </w:pPr>
      <w:r w:rsidRPr="004F0FE2">
        <w:t>The extent of drug exposure was comparable among both study groups in all study sets.</w:t>
      </w:r>
      <w:r>
        <w:t xml:space="preserve"> </w:t>
      </w:r>
      <w:r w:rsidRPr="004F0FE2">
        <w:t xml:space="preserve">Reported median RDI in the safety set was 94.2% in the </w:t>
      </w:r>
      <w:proofErr w:type="spellStart"/>
      <w:r w:rsidRPr="004F0FE2">
        <w:t>palbociclib-fulvestrant</w:t>
      </w:r>
      <w:proofErr w:type="spellEnd"/>
      <w:r w:rsidRPr="004F0FE2">
        <w:t xml:space="preserve"> group versus 92.7% in the control group (</w:t>
      </w:r>
      <w:r w:rsidRPr="002B7615">
        <w:rPr>
          <w:i/>
          <w:color w:val="2F5496" w:themeColor="accent1" w:themeShade="BF"/>
        </w:rPr>
        <w:fldChar w:fldCharType="begin"/>
      </w:r>
      <w:r w:rsidRPr="002B7615">
        <w:rPr>
          <w:i/>
          <w:color w:val="2F5496" w:themeColor="accent1" w:themeShade="BF"/>
        </w:rPr>
        <w:instrText xml:space="preserve"> REF _Ref52426493 \h  \* MERGEFORMAT </w:instrText>
      </w:r>
      <w:r w:rsidRPr="002B7615">
        <w:rPr>
          <w:i/>
          <w:color w:val="2F5496" w:themeColor="accent1" w:themeShade="BF"/>
        </w:rPr>
      </w:r>
      <w:r w:rsidRPr="002B7615">
        <w:rPr>
          <w:i/>
          <w:color w:val="2F5496" w:themeColor="accent1" w:themeShade="BF"/>
        </w:rPr>
        <w:fldChar w:fldCharType="separate"/>
      </w:r>
      <w:r w:rsidRPr="002B7615">
        <w:rPr>
          <w:i/>
          <w:color w:val="2F5496" w:themeColor="accent1" w:themeShade="BF"/>
        </w:rPr>
        <w:t xml:space="preserve">Table </w:t>
      </w:r>
      <w:r w:rsidRPr="002B7615">
        <w:rPr>
          <w:i/>
          <w:noProof/>
          <w:color w:val="2F5496" w:themeColor="accent1" w:themeShade="BF"/>
        </w:rPr>
        <w:t>7</w:t>
      </w:r>
      <w:r w:rsidRPr="002B7615">
        <w:rPr>
          <w:i/>
          <w:color w:val="2F5496" w:themeColor="accent1" w:themeShade="BF"/>
        </w:rPr>
        <w:fldChar w:fldCharType="end"/>
      </w:r>
      <w:r w:rsidRPr="004F0FE2">
        <w:t xml:space="preserve">), which may indicate an acceptable tolerability of the both study combinations. Patients in the experimental group completed a median of 26 cycles of treatment, with median RDIs of 91.7% and 99.2% for </w:t>
      </w:r>
      <w:proofErr w:type="spellStart"/>
      <w:r w:rsidRPr="004F0FE2">
        <w:t>palbociclib</w:t>
      </w:r>
      <w:proofErr w:type="spellEnd"/>
      <w:r w:rsidRPr="004F0FE2">
        <w:t xml:space="preserve"> and </w:t>
      </w:r>
      <w:proofErr w:type="spellStart"/>
      <w:r w:rsidRPr="004F0FE2">
        <w:t>fulvestrant</w:t>
      </w:r>
      <w:proofErr w:type="spellEnd"/>
      <w:r w:rsidRPr="004F0FE2">
        <w:t xml:space="preserve"> respectively. A similar extent of drug exposure was observed in the control group, with a median of 28 cycles of treatment and RDIs of 90.0% and 98.8% for </w:t>
      </w:r>
      <w:proofErr w:type="spellStart"/>
      <w:r w:rsidRPr="004F0FE2">
        <w:t>palbociclib</w:t>
      </w:r>
      <w:proofErr w:type="spellEnd"/>
      <w:r w:rsidRPr="004F0FE2">
        <w:t xml:space="preserve"> and letrozole respectively. The median duration of treatment was 738.0 days in the </w:t>
      </w:r>
      <w:proofErr w:type="spellStart"/>
      <w:r w:rsidRPr="004F0FE2">
        <w:t>palbociclib-fulvestrant</w:t>
      </w:r>
      <w:proofErr w:type="spellEnd"/>
      <w:r w:rsidRPr="004F0FE2">
        <w:t xml:space="preserve"> arm, and 788.0 days in the control intervention. </w:t>
      </w:r>
    </w:p>
    <w:p w14:paraId="0AEF2656" w14:textId="77777777" w:rsidR="00A218B1" w:rsidRPr="004F0FE2" w:rsidRDefault="00646E1B" w:rsidP="00673269">
      <w:pPr>
        <w:pStyle w:val="Ttulo2"/>
        <w:ind w:right="567"/>
      </w:pPr>
      <w:bookmarkStart w:id="305" w:name="_Toc52468128"/>
      <w:r w:rsidRPr="004F0FE2">
        <w:t>Concomitant treatments</w:t>
      </w:r>
      <w:r w:rsidR="00270B0E" w:rsidRPr="004F0FE2">
        <w:t>.</w:t>
      </w:r>
      <w:bookmarkEnd w:id="305"/>
    </w:p>
    <w:p w14:paraId="17B59B1B" w14:textId="14653471" w:rsidR="00E71F7C" w:rsidRDefault="00A218B1" w:rsidP="00673269">
      <w:pPr>
        <w:ind w:right="567"/>
      </w:pPr>
      <w:r w:rsidRPr="004F0FE2">
        <w:t xml:space="preserve">A summary of concomitant medication </w:t>
      </w:r>
      <w:r w:rsidR="00BE0281" w:rsidRPr="004F0FE2">
        <w:t xml:space="preserve">used by ≥ 10 patients </w:t>
      </w:r>
      <w:r w:rsidRPr="004F0FE2">
        <w:t xml:space="preserve">in the safety </w:t>
      </w:r>
      <w:r w:rsidR="00BE0281" w:rsidRPr="004F0FE2">
        <w:t>set</w:t>
      </w:r>
      <w:r w:rsidRPr="004F0FE2">
        <w:t xml:space="preserve"> is presented in </w:t>
      </w:r>
      <w:r w:rsidR="00773549" w:rsidRPr="002B7615">
        <w:rPr>
          <w:i/>
          <w:color w:val="2F5496" w:themeColor="accent1" w:themeShade="BF"/>
        </w:rPr>
        <w:fldChar w:fldCharType="begin"/>
      </w:r>
      <w:r w:rsidR="00773549" w:rsidRPr="002B7615">
        <w:rPr>
          <w:i/>
          <w:color w:val="2F5496" w:themeColor="accent1" w:themeShade="BF"/>
        </w:rPr>
        <w:instrText xml:space="preserve"> REF _Ref52426559 \h </w:instrText>
      </w:r>
      <w:r w:rsidR="002B7615" w:rsidRPr="002B7615">
        <w:rPr>
          <w:i/>
          <w:color w:val="2F5496" w:themeColor="accent1" w:themeShade="BF"/>
        </w:rPr>
        <w:instrText xml:space="preserve"> \* MERGEFORMAT </w:instrText>
      </w:r>
      <w:r w:rsidR="00773549" w:rsidRPr="002B7615">
        <w:rPr>
          <w:i/>
          <w:color w:val="2F5496" w:themeColor="accent1" w:themeShade="BF"/>
        </w:rPr>
      </w:r>
      <w:r w:rsidR="00773549" w:rsidRPr="002B7615">
        <w:rPr>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8</w:t>
      </w:r>
      <w:r w:rsidR="00773549" w:rsidRPr="002B7615">
        <w:rPr>
          <w:i/>
          <w:color w:val="2F5496" w:themeColor="accent1" w:themeShade="BF"/>
        </w:rPr>
        <w:fldChar w:fldCharType="end"/>
      </w:r>
      <w:r w:rsidRPr="004F0FE2">
        <w:t xml:space="preserve">. In total </w:t>
      </w:r>
      <w:r w:rsidR="0002246E" w:rsidRPr="004F0FE2">
        <w:t xml:space="preserve">463 (95.9%) </w:t>
      </w:r>
      <w:r w:rsidR="00BA6D2D" w:rsidRPr="004F0FE2">
        <w:t xml:space="preserve">of the 483 </w:t>
      </w:r>
      <w:r w:rsidR="0002246E" w:rsidRPr="004F0FE2">
        <w:t xml:space="preserve">patients </w:t>
      </w:r>
      <w:r w:rsidR="00BA6D2D" w:rsidRPr="004F0FE2">
        <w:t xml:space="preserve">in the safety set </w:t>
      </w:r>
      <w:r w:rsidR="0002246E" w:rsidRPr="004F0FE2">
        <w:t xml:space="preserve">took concomitant medication during the study, with comparable numbers among both study groups (95.9% in the </w:t>
      </w:r>
      <w:proofErr w:type="spellStart"/>
      <w:r w:rsidR="0002246E" w:rsidRPr="004F0FE2">
        <w:t>palbociclib-fulvestrant</w:t>
      </w:r>
      <w:proofErr w:type="spellEnd"/>
      <w:r w:rsidR="0002246E" w:rsidRPr="004F0FE2">
        <w:t xml:space="preserve"> group </w:t>
      </w:r>
      <w:r w:rsidR="00A6496D" w:rsidRPr="004F0FE2">
        <w:t>v</w:t>
      </w:r>
      <w:r w:rsidR="00BE0281" w:rsidRPr="004F0FE2">
        <w:t>ersus</w:t>
      </w:r>
      <w:r w:rsidR="00A6496D" w:rsidRPr="004F0FE2">
        <w:t xml:space="preserve"> 95.9%</w:t>
      </w:r>
      <w:r w:rsidR="0002246E" w:rsidRPr="004F0FE2">
        <w:t xml:space="preserve"> in the control group</w:t>
      </w:r>
      <w:r w:rsidR="00A6496D" w:rsidRPr="004F0FE2">
        <w:t>)</w:t>
      </w:r>
      <w:r w:rsidR="0002246E" w:rsidRPr="004F0FE2">
        <w:t xml:space="preserve">. The most frequently </w:t>
      </w:r>
      <w:r w:rsidR="00BE0281" w:rsidRPr="004F0FE2">
        <w:t>used</w:t>
      </w:r>
      <w:r w:rsidR="0002246E" w:rsidRPr="004F0FE2">
        <w:t xml:space="preserve"> concomitant drug were </w:t>
      </w:r>
      <w:r w:rsidR="00B5580C" w:rsidRPr="004F0FE2">
        <w:t>analgesics (</w:t>
      </w:r>
      <w:r w:rsidR="0002246E" w:rsidRPr="004F0FE2">
        <w:t>paracetamol</w:t>
      </w:r>
      <w:r w:rsidR="00501CD8" w:rsidRPr="004F0FE2">
        <w:t xml:space="preserve"> [</w:t>
      </w:r>
      <w:r w:rsidR="00A6496D" w:rsidRPr="004F0FE2">
        <w:t>43.9%</w:t>
      </w:r>
      <w:r w:rsidR="00501CD8" w:rsidRPr="004F0FE2">
        <w:t>]</w:t>
      </w:r>
      <w:r w:rsidR="0002246E" w:rsidRPr="004F0FE2">
        <w:t xml:space="preserve">, </w:t>
      </w:r>
      <w:r w:rsidR="00B5580C" w:rsidRPr="004F0FE2">
        <w:t xml:space="preserve">ibuprofen </w:t>
      </w:r>
      <w:r w:rsidR="00501CD8" w:rsidRPr="004F0FE2">
        <w:t>[</w:t>
      </w:r>
      <w:r w:rsidR="00B5580C" w:rsidRPr="004F0FE2">
        <w:t>22.2%</w:t>
      </w:r>
      <w:r w:rsidR="00501CD8" w:rsidRPr="004F0FE2">
        <w:t>]</w:t>
      </w:r>
      <w:r w:rsidR="00B5580C" w:rsidRPr="004F0FE2">
        <w:t xml:space="preserve">, metamizole </w:t>
      </w:r>
      <w:r w:rsidR="00501CD8" w:rsidRPr="004F0FE2">
        <w:t>[</w:t>
      </w:r>
      <w:r w:rsidR="00B5580C" w:rsidRPr="004F0FE2">
        <w:rPr>
          <w:color w:val="000000"/>
        </w:rPr>
        <w:t>14.9%</w:t>
      </w:r>
      <w:r w:rsidR="00501CD8" w:rsidRPr="004F0FE2">
        <w:rPr>
          <w:color w:val="000000"/>
        </w:rPr>
        <w:t>]</w:t>
      </w:r>
      <w:r w:rsidR="00B5580C" w:rsidRPr="004F0FE2">
        <w:rPr>
          <w:color w:val="000000"/>
        </w:rPr>
        <w:t xml:space="preserve">), </w:t>
      </w:r>
      <w:r w:rsidR="00501CD8" w:rsidRPr="004F0FE2">
        <w:rPr>
          <w:color w:val="000000"/>
        </w:rPr>
        <w:t>agents</w:t>
      </w:r>
      <w:r w:rsidR="00B5580C" w:rsidRPr="004F0FE2">
        <w:rPr>
          <w:color w:val="000000"/>
        </w:rPr>
        <w:t xml:space="preserve"> for </w:t>
      </w:r>
      <w:r w:rsidR="00B5580C" w:rsidRPr="004F0FE2">
        <w:rPr>
          <w:rStyle w:val="st"/>
        </w:rPr>
        <w:t>gastroesophageal reflux disease (</w:t>
      </w:r>
      <w:r w:rsidR="00A6496D" w:rsidRPr="004F0FE2">
        <w:t xml:space="preserve">omeprazole </w:t>
      </w:r>
      <w:r w:rsidR="00501CD8" w:rsidRPr="004F0FE2">
        <w:t>[</w:t>
      </w:r>
      <w:r w:rsidR="00A6496D" w:rsidRPr="004F0FE2">
        <w:t>23.0%</w:t>
      </w:r>
      <w:r w:rsidR="00501CD8" w:rsidRPr="004F0FE2">
        <w:t>]</w:t>
      </w:r>
      <w:r w:rsidR="00A6496D" w:rsidRPr="004F0FE2">
        <w:t xml:space="preserve">, </w:t>
      </w:r>
      <w:r w:rsidR="00B5580C" w:rsidRPr="004F0FE2">
        <w:t xml:space="preserve">ranitidine </w:t>
      </w:r>
      <w:r w:rsidR="00501CD8" w:rsidRPr="004F0FE2">
        <w:t>[</w:t>
      </w:r>
      <w:r w:rsidR="00B5580C" w:rsidRPr="004F0FE2">
        <w:rPr>
          <w:color w:val="000000"/>
        </w:rPr>
        <w:t>16.1%</w:t>
      </w:r>
      <w:r w:rsidR="00501CD8" w:rsidRPr="004F0FE2">
        <w:rPr>
          <w:color w:val="000000"/>
        </w:rPr>
        <w:t>]</w:t>
      </w:r>
      <w:r w:rsidR="00B5580C" w:rsidRPr="004F0FE2">
        <w:rPr>
          <w:color w:val="000000"/>
        </w:rPr>
        <w:t>)</w:t>
      </w:r>
      <w:r w:rsidR="00501CD8" w:rsidRPr="004F0FE2">
        <w:rPr>
          <w:color w:val="000000"/>
        </w:rPr>
        <w:t>, medications</w:t>
      </w:r>
      <w:r w:rsidR="00B5580C" w:rsidRPr="004F0FE2">
        <w:rPr>
          <w:color w:val="000000"/>
        </w:rPr>
        <w:t xml:space="preserve"> to treat osteoporosis (</w:t>
      </w:r>
      <w:r w:rsidR="00B5580C" w:rsidRPr="004F0FE2">
        <w:t xml:space="preserve">denosumab </w:t>
      </w:r>
      <w:r w:rsidR="00501CD8" w:rsidRPr="004F0FE2">
        <w:t>[22.6%], calcium/vitamin D drugs [</w:t>
      </w:r>
      <w:r w:rsidR="00501CD8" w:rsidRPr="004F0FE2">
        <w:rPr>
          <w:color w:val="000000"/>
        </w:rPr>
        <w:t xml:space="preserve">15.9%]) and systemic </w:t>
      </w:r>
      <w:r w:rsidR="00223999" w:rsidRPr="004F0FE2">
        <w:t>antibacterial</w:t>
      </w:r>
      <w:r w:rsidR="00501CD8" w:rsidRPr="004F0FE2">
        <w:t xml:space="preserve"> </w:t>
      </w:r>
      <w:r w:rsidR="00A5705E">
        <w:lastRenderedPageBreak/>
        <w:t xml:space="preserve">drugs </w:t>
      </w:r>
      <w:r w:rsidR="00501CD8" w:rsidRPr="004F0FE2">
        <w:t xml:space="preserve">(Amoxicillin </w:t>
      </w:r>
      <w:r w:rsidR="00501CD8" w:rsidRPr="004F0FE2">
        <w:rPr>
          <w:color w:val="000000"/>
        </w:rPr>
        <w:t xml:space="preserve">[16.4%]). </w:t>
      </w:r>
      <w:r w:rsidR="0002246E" w:rsidRPr="004F0FE2">
        <w:t>The use of these concomitant medications was not unusual for a study population that comprised patients with</w:t>
      </w:r>
      <w:r w:rsidR="00B5580C" w:rsidRPr="004F0FE2">
        <w:t xml:space="preserve"> </w:t>
      </w:r>
      <w:proofErr w:type="spellStart"/>
      <w:r w:rsidR="00B5580C" w:rsidRPr="004F0FE2">
        <w:t>mBC</w:t>
      </w:r>
      <w:proofErr w:type="spellEnd"/>
      <w:r w:rsidR="00B5580C" w:rsidRPr="004F0FE2">
        <w:t>.</w:t>
      </w:r>
    </w:p>
    <w:p w14:paraId="139E57FC" w14:textId="4F32E4EC" w:rsidR="00977932" w:rsidRPr="00367B80" w:rsidRDefault="00177A65" w:rsidP="00673269">
      <w:pPr>
        <w:ind w:right="567"/>
        <w:rPr>
          <w:iCs/>
        </w:rPr>
      </w:pPr>
      <w:proofErr w:type="spellStart"/>
      <w:r w:rsidRPr="00E237BD">
        <w:t>Sertaconazole</w:t>
      </w:r>
      <w:proofErr w:type="spellEnd"/>
      <w:r w:rsidR="00977932" w:rsidRPr="00E237BD">
        <w:t xml:space="preserve"> was taken by </w:t>
      </w:r>
      <w:r w:rsidRPr="00E237BD">
        <w:t>1</w:t>
      </w:r>
      <w:r w:rsidR="00977932" w:rsidRPr="00E237BD">
        <w:t> (</w:t>
      </w:r>
      <w:r w:rsidRPr="00E237BD">
        <w:t>0</w:t>
      </w:r>
      <w:r w:rsidR="00977932" w:rsidRPr="00367B80">
        <w:t>.</w:t>
      </w:r>
      <w:r w:rsidRPr="00367B80">
        <w:t>4</w:t>
      </w:r>
      <w:r w:rsidR="00977932" w:rsidRPr="00367B80">
        <w:t xml:space="preserve">%) of </w:t>
      </w:r>
      <w:r w:rsidRPr="00367B80">
        <w:t xml:space="preserve">241 patients in the </w:t>
      </w:r>
      <w:proofErr w:type="spellStart"/>
      <w:r w:rsidRPr="00367B80">
        <w:t>palbociclib-fulvestrant</w:t>
      </w:r>
      <w:proofErr w:type="spellEnd"/>
      <w:r w:rsidRPr="00367B80">
        <w:t xml:space="preserve"> group</w:t>
      </w:r>
      <w:r w:rsidR="007B704A" w:rsidRPr="00367B80">
        <w:t xml:space="preserve"> for 11 days (topical use)</w:t>
      </w:r>
      <w:r w:rsidRPr="00367B80">
        <w:t>.</w:t>
      </w:r>
      <w:r w:rsidRPr="00367B80">
        <w:rPr>
          <w:i/>
        </w:rPr>
        <w:t xml:space="preserve"> </w:t>
      </w:r>
      <w:r w:rsidR="007B704A" w:rsidRPr="00367B80">
        <w:rPr>
          <w:iCs/>
        </w:rPr>
        <w:t>This concomitant treatment was considered not to interfere with the study treatment or affect efficacy.</w:t>
      </w:r>
    </w:p>
    <w:p w14:paraId="3CA20E80" w14:textId="77777777" w:rsidR="005B3E95" w:rsidRPr="004F0FE2" w:rsidRDefault="00111663" w:rsidP="00673269">
      <w:pPr>
        <w:pStyle w:val="Ttulo1"/>
        <w:ind w:left="709" w:right="567" w:hanging="283"/>
      </w:pPr>
      <w:r w:rsidRPr="004F0FE2">
        <w:br w:type="page"/>
      </w:r>
      <w:bookmarkStart w:id="306" w:name="_Toc349040039"/>
      <w:bookmarkStart w:id="307" w:name="_Toc349040230"/>
      <w:bookmarkStart w:id="308" w:name="_Toc349040696"/>
      <w:bookmarkStart w:id="309" w:name="_Toc350240073"/>
      <w:bookmarkStart w:id="310" w:name="_Toc350241382"/>
      <w:bookmarkStart w:id="311" w:name="_Toc350241457"/>
      <w:bookmarkStart w:id="312" w:name="_Toc350580006"/>
      <w:bookmarkStart w:id="313" w:name="_Toc350583817"/>
      <w:bookmarkStart w:id="314" w:name="_Toc350583936"/>
      <w:bookmarkStart w:id="315" w:name="_Toc351358078"/>
      <w:bookmarkStart w:id="316" w:name="_Toc351358668"/>
      <w:bookmarkStart w:id="317" w:name="_Toc352037297"/>
      <w:bookmarkStart w:id="318" w:name="_Toc352038933"/>
      <w:bookmarkStart w:id="319" w:name="_Toc352039666"/>
      <w:bookmarkStart w:id="320" w:name="_Toc352039765"/>
      <w:bookmarkStart w:id="321" w:name="_Toc377434715"/>
      <w:bookmarkStart w:id="322" w:name="_Toc377434881"/>
      <w:bookmarkStart w:id="323" w:name="_Toc377435039"/>
      <w:bookmarkStart w:id="324" w:name="_Toc377435177"/>
      <w:bookmarkStart w:id="325" w:name="_Toc377438580"/>
      <w:bookmarkStart w:id="326" w:name="_Toc392499810"/>
      <w:bookmarkStart w:id="327" w:name="_Toc392500442"/>
      <w:bookmarkStart w:id="328" w:name="_Toc46085717"/>
      <w:bookmarkStart w:id="329" w:name="_Toc48334781"/>
      <w:bookmarkStart w:id="330" w:name="_Toc52468129"/>
      <w:r w:rsidR="005B3E95" w:rsidRPr="004F0FE2">
        <w:lastRenderedPageBreak/>
        <w:t>EFFICACY RESULTS</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301327EE" w14:textId="77777777" w:rsidR="005B3E95" w:rsidRPr="004F0FE2" w:rsidRDefault="005B3E95" w:rsidP="00673269">
      <w:pPr>
        <w:pStyle w:val="Ttulo2"/>
        <w:ind w:right="567"/>
      </w:pPr>
      <w:bookmarkStart w:id="331" w:name="_Toc46085718"/>
      <w:bookmarkStart w:id="332" w:name="_Toc52468130"/>
      <w:r w:rsidRPr="004F0FE2">
        <w:t xml:space="preserve">Planned </w:t>
      </w:r>
      <w:r w:rsidR="004941E7" w:rsidRPr="004F0FE2">
        <w:t>e</w:t>
      </w:r>
      <w:r w:rsidRPr="004F0FE2">
        <w:t xml:space="preserve">fficacy </w:t>
      </w:r>
      <w:r w:rsidR="004941E7" w:rsidRPr="004F0FE2">
        <w:t>a</w:t>
      </w:r>
      <w:r w:rsidRPr="004F0FE2">
        <w:t>nalyses</w:t>
      </w:r>
      <w:bookmarkEnd w:id="331"/>
      <w:bookmarkEnd w:id="332"/>
    </w:p>
    <w:p w14:paraId="69EFB0B9" w14:textId="7D3153C0" w:rsidR="005345DB" w:rsidRPr="004F0FE2" w:rsidRDefault="005B3E95" w:rsidP="00673269">
      <w:pPr>
        <w:ind w:right="567"/>
      </w:pPr>
      <w:r w:rsidRPr="004F0FE2">
        <w:t xml:space="preserve">All efficacy </w:t>
      </w:r>
      <w:r w:rsidR="005345DB" w:rsidRPr="004F0FE2">
        <w:t xml:space="preserve">analyses were based on the ITT set, as defined in </w:t>
      </w:r>
      <w:r w:rsidR="005345DB" w:rsidRPr="004F0FE2">
        <w:rPr>
          <w:i/>
          <w:color w:val="2F5496"/>
        </w:rPr>
        <w:t xml:space="preserve">section </w:t>
      </w:r>
      <w:r w:rsidR="00BE0281" w:rsidRPr="004F0FE2">
        <w:rPr>
          <w:i/>
          <w:color w:val="2F5496"/>
        </w:rPr>
        <w:fldChar w:fldCharType="begin"/>
      </w:r>
      <w:r w:rsidR="00BE0281" w:rsidRPr="004F0FE2">
        <w:rPr>
          <w:i/>
          <w:color w:val="2F5496"/>
        </w:rPr>
        <w:instrText xml:space="preserve"> REF _Ref48405076 \r \h  \* MERGEFORMAT </w:instrText>
      </w:r>
      <w:r w:rsidR="00BE0281" w:rsidRPr="004F0FE2">
        <w:rPr>
          <w:i/>
          <w:color w:val="2F5496"/>
        </w:rPr>
      </w:r>
      <w:r w:rsidR="00BE0281" w:rsidRPr="004F0FE2">
        <w:rPr>
          <w:i/>
          <w:color w:val="2F5496"/>
        </w:rPr>
        <w:fldChar w:fldCharType="separate"/>
      </w:r>
      <w:r w:rsidR="00A11AB0">
        <w:rPr>
          <w:i/>
          <w:color w:val="2F5496"/>
        </w:rPr>
        <w:t>2.3</w:t>
      </w:r>
      <w:r w:rsidR="00BE0281" w:rsidRPr="004F0FE2">
        <w:rPr>
          <w:i/>
          <w:color w:val="2F5496"/>
        </w:rPr>
        <w:fldChar w:fldCharType="end"/>
      </w:r>
      <w:r w:rsidR="00BE0281" w:rsidRPr="004F0FE2">
        <w:t xml:space="preserve"> </w:t>
      </w:r>
      <w:r w:rsidR="005345DB" w:rsidRPr="004F0FE2">
        <w:t>of this report</w:t>
      </w:r>
      <w:r w:rsidRPr="004F0FE2">
        <w:t xml:space="preserve">. A total of </w:t>
      </w:r>
      <w:r w:rsidR="005345DB" w:rsidRPr="004F0FE2">
        <w:t>486</w:t>
      </w:r>
      <w:r w:rsidRPr="004F0FE2">
        <w:t xml:space="preserve"> patients were included in the </w:t>
      </w:r>
      <w:r w:rsidR="005345DB" w:rsidRPr="004F0FE2">
        <w:t>ITT population, 243 in each study group.</w:t>
      </w:r>
      <w:r w:rsidR="006E3100" w:rsidRPr="004F0FE2">
        <w:t xml:space="preserve"> </w:t>
      </w:r>
      <w:r w:rsidR="00B116EA" w:rsidRPr="004F0FE2">
        <w:t>Efficacy analyses were</w:t>
      </w:r>
      <w:r w:rsidR="002C5C08" w:rsidRPr="004F0FE2">
        <w:t xml:space="preserve"> </w:t>
      </w:r>
      <w:r w:rsidR="00BE0281" w:rsidRPr="004F0FE2">
        <w:t>also</w:t>
      </w:r>
      <w:r w:rsidR="00B116EA" w:rsidRPr="004F0FE2">
        <w:t xml:space="preserve"> conducted in the PP set, as a sensitivity test</w:t>
      </w:r>
      <w:r w:rsidR="006E3100" w:rsidRPr="004F0FE2">
        <w:t xml:space="preserve"> to assess general consistency of the findings. The PP set was comprised of</w:t>
      </w:r>
      <w:r w:rsidR="00B116EA" w:rsidRPr="004F0FE2">
        <w:t xml:space="preserve"> al total of</w:t>
      </w:r>
      <w:r w:rsidR="006E3100" w:rsidRPr="004F0FE2">
        <w:t xml:space="preserve"> 462 subjects, 229 in the </w:t>
      </w:r>
      <w:proofErr w:type="spellStart"/>
      <w:r w:rsidR="006E3100" w:rsidRPr="004F0FE2">
        <w:t>palbociclib-</w:t>
      </w:r>
      <w:r w:rsidR="00223999" w:rsidRPr="004F0FE2">
        <w:t>fulvestrant</w:t>
      </w:r>
      <w:proofErr w:type="spellEnd"/>
      <w:r w:rsidR="006E3100" w:rsidRPr="004F0FE2">
        <w:t xml:space="preserve"> group and 233 in the </w:t>
      </w:r>
      <w:proofErr w:type="spellStart"/>
      <w:r w:rsidR="006E3100" w:rsidRPr="004F0FE2">
        <w:t>palbociclib</w:t>
      </w:r>
      <w:proofErr w:type="spellEnd"/>
      <w:r w:rsidR="006E3100" w:rsidRPr="004F0FE2">
        <w:t>-letrozole group.</w:t>
      </w:r>
    </w:p>
    <w:p w14:paraId="2B5B8C30" w14:textId="06D084E6" w:rsidR="00BD4590" w:rsidRPr="004F0FE2" w:rsidRDefault="00B116EA" w:rsidP="00673269">
      <w:pPr>
        <w:ind w:right="567"/>
      </w:pPr>
      <w:r w:rsidRPr="004F0FE2">
        <w:t>The final analysis occurred after 256 progression-free survival events</w:t>
      </w:r>
      <w:r w:rsidR="00BE0281" w:rsidRPr="004F0FE2">
        <w:t xml:space="preserve">: </w:t>
      </w:r>
      <w:r w:rsidRPr="004F0FE2">
        <w:t xml:space="preserve">131 [53.9%] in the </w:t>
      </w:r>
      <w:proofErr w:type="spellStart"/>
      <w:r w:rsidRPr="004F0FE2">
        <w:t>fulvestrant</w:t>
      </w:r>
      <w:proofErr w:type="spellEnd"/>
      <w:r w:rsidRPr="004F0FE2">
        <w:t>–</w:t>
      </w:r>
      <w:proofErr w:type="spellStart"/>
      <w:r w:rsidRPr="004F0FE2">
        <w:t>palbociclib</w:t>
      </w:r>
      <w:proofErr w:type="spellEnd"/>
      <w:r w:rsidRPr="004F0FE2">
        <w:t xml:space="preserve"> arm and 125 [51.4%] in the letrozole–</w:t>
      </w:r>
      <w:proofErr w:type="spellStart"/>
      <w:r w:rsidRPr="004F0FE2">
        <w:t>palbociclib</w:t>
      </w:r>
      <w:proofErr w:type="spellEnd"/>
      <w:r w:rsidRPr="004F0FE2">
        <w:t xml:space="preserve"> arm. The median follow-up was </w:t>
      </w:r>
      <w:r w:rsidR="000564FC" w:rsidRPr="004F0FE2">
        <w:t>30.5 months (</w:t>
      </w:r>
      <w:r w:rsidR="00BE0281" w:rsidRPr="004F0FE2">
        <w:t>range 29.4 - 31.6</w:t>
      </w:r>
      <w:r w:rsidR="000564FC" w:rsidRPr="004F0FE2">
        <w:t>), 30.6 months (</w:t>
      </w:r>
      <w:r w:rsidR="00BE0281" w:rsidRPr="004F0FE2">
        <w:t>range 29.0 - 32.1</w:t>
      </w:r>
      <w:r w:rsidR="000564FC" w:rsidRPr="004F0FE2">
        <w:t xml:space="preserve">) in the </w:t>
      </w:r>
      <w:proofErr w:type="spellStart"/>
      <w:r w:rsidR="000564FC" w:rsidRPr="004F0FE2">
        <w:t>palbociclib-</w:t>
      </w:r>
      <w:r w:rsidR="00223999" w:rsidRPr="004F0FE2">
        <w:t>fulvestrant</w:t>
      </w:r>
      <w:proofErr w:type="spellEnd"/>
      <w:r w:rsidR="000564FC" w:rsidRPr="004F0FE2">
        <w:t xml:space="preserve"> group and 30.4 months (</w:t>
      </w:r>
      <w:r w:rsidR="00BE0281" w:rsidRPr="004F0FE2">
        <w:t>range 28.9 - 31.9</w:t>
      </w:r>
      <w:r w:rsidR="000564FC" w:rsidRPr="004F0FE2">
        <w:t>) in the control group</w:t>
      </w:r>
      <w:r w:rsidR="00BE0281" w:rsidRPr="004F0FE2">
        <w:t xml:space="preserve"> (</w:t>
      </w:r>
      <w:r w:rsidR="00773549" w:rsidRPr="002B7615">
        <w:rPr>
          <w:i/>
          <w:color w:val="2F5496" w:themeColor="accent1" w:themeShade="BF"/>
        </w:rPr>
        <w:fldChar w:fldCharType="begin"/>
      </w:r>
      <w:r w:rsidR="00773549" w:rsidRPr="002B7615">
        <w:rPr>
          <w:i/>
          <w:color w:val="2F5496" w:themeColor="accent1" w:themeShade="BF"/>
        </w:rPr>
        <w:instrText xml:space="preserve"> REF _Ref52424830 \h </w:instrText>
      </w:r>
      <w:r w:rsidR="002B7615" w:rsidRPr="002B7615">
        <w:rPr>
          <w:i/>
          <w:color w:val="2F5496" w:themeColor="accent1" w:themeShade="BF"/>
        </w:rPr>
        <w:instrText xml:space="preserve"> \* MERGEFORMAT </w:instrText>
      </w:r>
      <w:r w:rsidR="00773549" w:rsidRPr="002B7615">
        <w:rPr>
          <w:i/>
          <w:color w:val="2F5496" w:themeColor="accent1" w:themeShade="BF"/>
        </w:rPr>
      </w:r>
      <w:r w:rsidR="00773549" w:rsidRPr="002B7615">
        <w:rPr>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5</w:t>
      </w:r>
      <w:r w:rsidR="00773549" w:rsidRPr="002B7615">
        <w:rPr>
          <w:i/>
          <w:color w:val="2F5496" w:themeColor="accent1" w:themeShade="BF"/>
        </w:rPr>
        <w:fldChar w:fldCharType="end"/>
      </w:r>
      <w:r w:rsidR="00BE0281" w:rsidRPr="004F0FE2">
        <w:t>)</w:t>
      </w:r>
      <w:r w:rsidRPr="004F0FE2">
        <w:t xml:space="preserve">. </w:t>
      </w:r>
    </w:p>
    <w:p w14:paraId="721DE540" w14:textId="77777777" w:rsidR="00947731" w:rsidRPr="004F0FE2" w:rsidRDefault="00947731" w:rsidP="00673269">
      <w:pPr>
        <w:pStyle w:val="Ttulo2"/>
        <w:ind w:right="567"/>
      </w:pPr>
      <w:bookmarkStart w:id="333" w:name="_Toc52468131"/>
      <w:r w:rsidRPr="004F0FE2">
        <w:t xml:space="preserve">Primary </w:t>
      </w:r>
      <w:r w:rsidR="00646E1B" w:rsidRPr="004F0FE2">
        <w:t>efficacy results</w:t>
      </w:r>
      <w:bookmarkEnd w:id="333"/>
    </w:p>
    <w:p w14:paraId="7FF0C3F4" w14:textId="3D8B3496" w:rsidR="00646E1B" w:rsidRPr="004F0FE2" w:rsidRDefault="000564FC" w:rsidP="00673269">
      <w:pPr>
        <w:ind w:right="567"/>
        <w:rPr>
          <w:rFonts w:eastAsia="ArialMT"/>
          <w:lang w:eastAsia="es-ES"/>
        </w:rPr>
      </w:pPr>
      <w:r w:rsidRPr="004F0FE2">
        <w:t xml:space="preserve">At a median follow-up of 30.5 </w:t>
      </w:r>
      <w:r w:rsidR="0013397F" w:rsidRPr="004F0FE2">
        <w:t>months</w:t>
      </w:r>
      <w:r w:rsidRPr="004F0FE2">
        <w:t>, m</w:t>
      </w:r>
      <w:r w:rsidR="00BD4590" w:rsidRPr="004F0FE2">
        <w:t xml:space="preserve">edian investigator-assessed </w:t>
      </w:r>
      <w:r w:rsidR="00BE0281" w:rsidRPr="004F0FE2">
        <w:t>PFS</w:t>
      </w:r>
      <w:r w:rsidR="00BD4590" w:rsidRPr="004F0FE2">
        <w:t xml:space="preserve"> was 27.9 months (95% CI 24.2</w:t>
      </w:r>
      <w:r w:rsidR="00BE0281" w:rsidRPr="004F0FE2">
        <w:t xml:space="preserve"> - </w:t>
      </w:r>
      <w:r w:rsidR="00BD4590" w:rsidRPr="004F0FE2">
        <w:t xml:space="preserve">33.1) in the </w:t>
      </w:r>
      <w:proofErr w:type="spellStart"/>
      <w:r w:rsidRPr="004F0FE2">
        <w:t>palbociclib</w:t>
      </w:r>
      <w:proofErr w:type="spellEnd"/>
      <w:r w:rsidRPr="004F0FE2">
        <w:t>–</w:t>
      </w:r>
      <w:proofErr w:type="spellStart"/>
      <w:r w:rsidRPr="004F0FE2">
        <w:t>fulvestrant</w:t>
      </w:r>
      <w:proofErr w:type="spellEnd"/>
      <w:r w:rsidRPr="004F0FE2">
        <w:t xml:space="preserve"> </w:t>
      </w:r>
      <w:r w:rsidR="00BD4590" w:rsidRPr="004F0FE2">
        <w:t>arm versus 32.8 months (95% CI 25.8</w:t>
      </w:r>
      <w:r w:rsidR="00BE0281" w:rsidRPr="004F0FE2">
        <w:t xml:space="preserve"> - </w:t>
      </w:r>
      <w:r w:rsidR="00BD4590" w:rsidRPr="004F0FE2">
        <w:t xml:space="preserve">35.9) in the </w:t>
      </w:r>
      <w:proofErr w:type="spellStart"/>
      <w:r w:rsidR="00BD4590" w:rsidRPr="004F0FE2">
        <w:t>palbociclib</w:t>
      </w:r>
      <w:proofErr w:type="spellEnd"/>
      <w:r w:rsidR="0013397F" w:rsidRPr="004F0FE2">
        <w:t xml:space="preserve">-letrozole </w:t>
      </w:r>
      <w:r w:rsidR="00BD4590" w:rsidRPr="004F0FE2">
        <w:t>arm (</w:t>
      </w:r>
      <w:r w:rsidR="00BE0281" w:rsidRPr="004F0FE2">
        <w:t>HR=</w:t>
      </w:r>
      <w:r w:rsidR="00BD4590" w:rsidRPr="004F0FE2">
        <w:t>1.13, 95% CI 0.89</w:t>
      </w:r>
      <w:r w:rsidR="00BE0281" w:rsidRPr="004F0FE2">
        <w:t xml:space="preserve"> - </w:t>
      </w:r>
      <w:r w:rsidR="00BD4590" w:rsidRPr="004F0FE2">
        <w:t>1.45, p=0.321</w:t>
      </w:r>
      <w:r w:rsidR="00BD4590" w:rsidRPr="00A93FA7">
        <w:t xml:space="preserve">; </w:t>
      </w:r>
      <w:r w:rsidR="00A93FA7" w:rsidRPr="00A93FA7">
        <w:rPr>
          <w:i/>
          <w:color w:val="2F5496" w:themeColor="accent1" w:themeShade="BF"/>
          <w:shd w:val="clear" w:color="auto" w:fill="FFFFFF"/>
        </w:rPr>
        <w:fldChar w:fldCharType="begin"/>
      </w:r>
      <w:r w:rsidR="00A93FA7" w:rsidRPr="00A93FA7">
        <w:rPr>
          <w:i/>
          <w:color w:val="2F5496" w:themeColor="accent1" w:themeShade="BF"/>
          <w:shd w:val="clear" w:color="auto" w:fill="FFFFFF"/>
        </w:rPr>
        <w:instrText xml:space="preserve"> REF _Ref52440966 \h  \* MERGEFORMAT </w:instrText>
      </w:r>
      <w:r w:rsidR="00A93FA7" w:rsidRPr="00A93FA7">
        <w:rPr>
          <w:i/>
          <w:color w:val="2F5496" w:themeColor="accent1" w:themeShade="BF"/>
          <w:shd w:val="clear" w:color="auto" w:fill="FFFFFF"/>
        </w:rPr>
      </w:r>
      <w:r w:rsidR="00A93FA7" w:rsidRPr="00A93FA7">
        <w:rPr>
          <w:i/>
          <w:color w:val="2F5496" w:themeColor="accent1" w:themeShade="BF"/>
          <w:shd w:val="clear" w:color="auto" w:fill="FFFFFF"/>
        </w:rPr>
        <w:fldChar w:fldCharType="separate"/>
      </w:r>
      <w:r w:rsidR="00A93FA7" w:rsidRPr="00A93FA7">
        <w:rPr>
          <w:i/>
          <w:color w:val="2F5496" w:themeColor="accent1" w:themeShade="BF"/>
        </w:rPr>
        <w:t xml:space="preserve">Figure </w:t>
      </w:r>
      <w:r w:rsidR="00A93FA7" w:rsidRPr="00A93FA7">
        <w:rPr>
          <w:i/>
          <w:noProof/>
          <w:color w:val="2F5496" w:themeColor="accent1" w:themeShade="BF"/>
        </w:rPr>
        <w:t>3</w:t>
      </w:r>
      <w:r w:rsidR="00A93FA7" w:rsidRPr="00A93FA7">
        <w:rPr>
          <w:i/>
          <w:color w:val="2F5496" w:themeColor="accent1" w:themeShade="BF"/>
          <w:shd w:val="clear" w:color="auto" w:fill="FFFFFF"/>
        </w:rPr>
        <w:fldChar w:fldCharType="end"/>
      </w:r>
      <w:r w:rsidR="00A93FA7" w:rsidRPr="00A93FA7">
        <w:rPr>
          <w:i/>
          <w:color w:val="000000" w:themeColor="text1"/>
          <w:shd w:val="clear" w:color="auto" w:fill="FFFFFF"/>
        </w:rPr>
        <w:t>)</w:t>
      </w:r>
      <w:r w:rsidR="00A93FA7" w:rsidRPr="00A93FA7">
        <w:rPr>
          <w:i/>
          <w:color w:val="2F5496" w:themeColor="accent1" w:themeShade="BF"/>
          <w:shd w:val="clear" w:color="auto" w:fill="FFFFFF"/>
        </w:rPr>
        <w:t>.</w:t>
      </w:r>
      <w:r w:rsidR="00A93FA7" w:rsidRPr="00A93FA7">
        <w:rPr>
          <w:color w:val="2F5496" w:themeColor="accent1" w:themeShade="BF"/>
          <w:sz w:val="18"/>
          <w:szCs w:val="18"/>
          <w:shd w:val="clear" w:color="auto" w:fill="FFFFFF"/>
        </w:rPr>
        <w:t xml:space="preserve"> </w:t>
      </w:r>
      <w:r w:rsidR="00DE6509" w:rsidRPr="004F0FE2">
        <w:rPr>
          <w:rFonts w:eastAsia="ArialMT"/>
          <w:lang w:eastAsia="es-ES"/>
        </w:rPr>
        <w:t>No differences were observed for patients with or without visceral involvement (HR</w:t>
      </w:r>
      <w:r w:rsidR="00BE0281" w:rsidRPr="004F0FE2">
        <w:rPr>
          <w:rFonts w:eastAsia="ArialMT"/>
          <w:lang w:eastAsia="es-ES"/>
        </w:rPr>
        <w:t>=</w:t>
      </w:r>
      <w:r w:rsidR="00DE6509" w:rsidRPr="004F0FE2">
        <w:rPr>
          <w:rFonts w:eastAsia="ArialMT"/>
          <w:lang w:eastAsia="es-ES"/>
        </w:rPr>
        <w:t>1.3 and HR</w:t>
      </w:r>
      <w:r w:rsidR="00BE0281" w:rsidRPr="004F0FE2">
        <w:rPr>
          <w:rFonts w:eastAsia="ArialMT"/>
          <w:lang w:eastAsia="es-ES"/>
        </w:rPr>
        <w:t>=</w:t>
      </w:r>
      <w:r w:rsidR="00DE6509" w:rsidRPr="004F0FE2">
        <w:rPr>
          <w:rFonts w:eastAsia="ArialMT"/>
          <w:lang w:eastAsia="es-ES"/>
        </w:rPr>
        <w:t xml:space="preserve">0.97 respectively, interaction </w:t>
      </w:r>
      <w:r w:rsidR="00032216" w:rsidRPr="004F0FE2">
        <w:rPr>
          <w:rFonts w:eastAsia="ArialMT"/>
          <w:lang w:eastAsia="es-ES"/>
        </w:rPr>
        <w:t>p</w:t>
      </w:r>
      <w:r w:rsidR="00DE6509" w:rsidRPr="004F0FE2">
        <w:rPr>
          <w:rFonts w:eastAsia="ArialMT"/>
          <w:lang w:eastAsia="es-ES"/>
        </w:rPr>
        <w:t>=0.275), and for “de novo” or recurrent metastatic disease (HR</w:t>
      </w:r>
      <w:r w:rsidR="00BE0281" w:rsidRPr="004F0FE2">
        <w:rPr>
          <w:rFonts w:eastAsia="ArialMT"/>
          <w:lang w:eastAsia="es-ES"/>
        </w:rPr>
        <w:t>=</w:t>
      </w:r>
      <w:r w:rsidR="00DE6509" w:rsidRPr="004F0FE2">
        <w:rPr>
          <w:rFonts w:eastAsia="ArialMT"/>
          <w:lang w:eastAsia="es-ES"/>
        </w:rPr>
        <w:t>1.1 and HR</w:t>
      </w:r>
      <w:r w:rsidR="00BE0281" w:rsidRPr="004F0FE2">
        <w:rPr>
          <w:rFonts w:eastAsia="ArialMT"/>
          <w:lang w:eastAsia="es-ES"/>
        </w:rPr>
        <w:t>=</w:t>
      </w:r>
      <w:r w:rsidR="00DE6509" w:rsidRPr="004F0FE2">
        <w:rPr>
          <w:rFonts w:eastAsia="ArialMT"/>
          <w:lang w:eastAsia="es-ES"/>
        </w:rPr>
        <w:t xml:space="preserve">1.1 respectively, </w:t>
      </w:r>
      <w:r w:rsidR="00032216" w:rsidRPr="004F0FE2">
        <w:rPr>
          <w:rFonts w:eastAsia="ArialMT"/>
          <w:lang w:eastAsia="es-ES"/>
        </w:rPr>
        <w:t>p</w:t>
      </w:r>
      <w:r w:rsidR="00DE6509" w:rsidRPr="004F0FE2">
        <w:rPr>
          <w:rFonts w:eastAsia="ArialMT"/>
          <w:lang w:eastAsia="es-ES"/>
        </w:rPr>
        <w:t>=0.979)</w:t>
      </w:r>
      <w:r w:rsidR="009A3AB6" w:rsidRPr="004F0FE2">
        <w:rPr>
          <w:rFonts w:eastAsia="ArialMT"/>
          <w:lang w:eastAsia="es-ES"/>
        </w:rPr>
        <w:t xml:space="preserve"> (</w:t>
      </w:r>
      <w:r w:rsidR="00E87941" w:rsidRPr="008E3E15">
        <w:rPr>
          <w:rFonts w:eastAsia="ArialMT"/>
          <w:i/>
          <w:color w:val="2F5496" w:themeColor="accent1" w:themeShade="BF"/>
          <w:lang w:eastAsia="es-ES"/>
        </w:rPr>
        <w:fldChar w:fldCharType="begin"/>
      </w:r>
      <w:r w:rsidR="00E87941" w:rsidRPr="008E3E15">
        <w:rPr>
          <w:rFonts w:eastAsia="ArialMT"/>
          <w:i/>
          <w:color w:val="2F5496" w:themeColor="accent1" w:themeShade="BF"/>
          <w:lang w:eastAsia="es-ES"/>
        </w:rPr>
        <w:instrText xml:space="preserve"> REF _Ref52439695 \h </w:instrText>
      </w:r>
      <w:r w:rsidR="008E3E15" w:rsidRPr="008E3E15">
        <w:rPr>
          <w:rFonts w:eastAsia="ArialMT"/>
          <w:i/>
          <w:color w:val="2F5496" w:themeColor="accent1" w:themeShade="BF"/>
          <w:lang w:eastAsia="es-ES"/>
        </w:rPr>
        <w:instrText xml:space="preserve"> \* MERGEFORMAT </w:instrText>
      </w:r>
      <w:r w:rsidR="00E87941" w:rsidRPr="008E3E15">
        <w:rPr>
          <w:rFonts w:eastAsia="ArialMT"/>
          <w:i/>
          <w:color w:val="2F5496" w:themeColor="accent1" w:themeShade="BF"/>
          <w:lang w:eastAsia="es-ES"/>
        </w:rPr>
      </w:r>
      <w:r w:rsidR="00E87941" w:rsidRPr="008E3E15">
        <w:rPr>
          <w:rFonts w:eastAsia="ArialMT"/>
          <w:i/>
          <w:color w:val="2F5496" w:themeColor="accent1" w:themeShade="BF"/>
          <w:lang w:eastAsia="es-ES"/>
        </w:rPr>
        <w:fldChar w:fldCharType="separate"/>
      </w:r>
      <w:r w:rsidR="00E87941" w:rsidRPr="008E3E15">
        <w:rPr>
          <w:i/>
          <w:color w:val="2F5496" w:themeColor="accent1" w:themeShade="BF"/>
        </w:rPr>
        <w:t>Figure 4</w:t>
      </w:r>
      <w:r w:rsidR="00E87941" w:rsidRPr="008E3E15">
        <w:rPr>
          <w:rFonts w:eastAsia="ArialMT"/>
          <w:i/>
          <w:color w:val="2F5496" w:themeColor="accent1" w:themeShade="BF"/>
          <w:lang w:eastAsia="es-ES"/>
        </w:rPr>
        <w:fldChar w:fldCharType="end"/>
      </w:r>
      <w:r w:rsidR="001F20DC">
        <w:rPr>
          <w:rFonts w:eastAsia="ArialMT"/>
          <w:i/>
          <w:lang w:eastAsia="es-ES"/>
        </w:rPr>
        <w:t xml:space="preserve"> and </w:t>
      </w:r>
      <w:r w:rsidR="001F20DC" w:rsidRPr="008E3E15">
        <w:rPr>
          <w:rFonts w:eastAsia="ArialMT"/>
          <w:i/>
          <w:color w:val="2F5496" w:themeColor="accent1" w:themeShade="BF"/>
          <w:lang w:eastAsia="es-ES"/>
        </w:rPr>
        <w:fldChar w:fldCharType="begin"/>
      </w:r>
      <w:r w:rsidR="001F20DC" w:rsidRPr="008E3E15">
        <w:rPr>
          <w:rFonts w:eastAsia="ArialMT"/>
          <w:i/>
          <w:color w:val="2F5496" w:themeColor="accent1" w:themeShade="BF"/>
          <w:lang w:eastAsia="es-ES"/>
        </w:rPr>
        <w:instrText xml:space="preserve"> REF _Ref52441508 \h </w:instrText>
      </w:r>
      <w:r w:rsidR="008E3E15" w:rsidRPr="008E3E15">
        <w:rPr>
          <w:rFonts w:eastAsia="ArialMT"/>
          <w:i/>
          <w:color w:val="2F5496" w:themeColor="accent1" w:themeShade="BF"/>
          <w:lang w:eastAsia="es-ES"/>
        </w:rPr>
        <w:instrText xml:space="preserve"> \* MERGEFORMAT </w:instrText>
      </w:r>
      <w:r w:rsidR="001F20DC" w:rsidRPr="008E3E15">
        <w:rPr>
          <w:rFonts w:eastAsia="ArialMT"/>
          <w:i/>
          <w:color w:val="2F5496" w:themeColor="accent1" w:themeShade="BF"/>
          <w:lang w:eastAsia="es-ES"/>
        </w:rPr>
      </w:r>
      <w:r w:rsidR="001F20DC" w:rsidRPr="008E3E15">
        <w:rPr>
          <w:rFonts w:eastAsia="ArialMT"/>
          <w:i/>
          <w:color w:val="2F5496" w:themeColor="accent1" w:themeShade="BF"/>
          <w:lang w:eastAsia="es-ES"/>
        </w:rPr>
        <w:fldChar w:fldCharType="separate"/>
      </w:r>
      <w:r w:rsidR="001F20DC" w:rsidRPr="008E3E15">
        <w:rPr>
          <w:i/>
          <w:color w:val="2F5496" w:themeColor="accent1" w:themeShade="BF"/>
        </w:rPr>
        <w:t xml:space="preserve">Figure </w:t>
      </w:r>
      <w:r w:rsidR="001F20DC" w:rsidRPr="008E3E15">
        <w:rPr>
          <w:i/>
          <w:noProof/>
          <w:color w:val="2F5496" w:themeColor="accent1" w:themeShade="BF"/>
        </w:rPr>
        <w:t>5</w:t>
      </w:r>
      <w:r w:rsidR="001F20DC" w:rsidRPr="008E3E15">
        <w:rPr>
          <w:rFonts w:eastAsia="ArialMT"/>
          <w:i/>
          <w:color w:val="2F5496" w:themeColor="accent1" w:themeShade="BF"/>
          <w:lang w:eastAsia="es-ES"/>
        </w:rPr>
        <w:fldChar w:fldCharType="end"/>
      </w:r>
      <w:r w:rsidR="00E87941" w:rsidRPr="00367B80">
        <w:rPr>
          <w:rFonts w:eastAsia="ArialMT"/>
          <w:i/>
          <w:lang w:eastAsia="es-ES"/>
        </w:rPr>
        <w:t>)</w:t>
      </w:r>
      <w:r w:rsidR="00DE6509" w:rsidRPr="00C5225B">
        <w:rPr>
          <w:rFonts w:eastAsia="ArialMT"/>
          <w:lang w:eastAsia="es-ES"/>
        </w:rPr>
        <w:t xml:space="preserve">. </w:t>
      </w:r>
      <w:r w:rsidR="0003569F" w:rsidRPr="004F0FE2">
        <w:t>The non-inferiority margin (1.21) was included in the 95% CI.</w:t>
      </w:r>
      <w:r w:rsidR="00C81136" w:rsidRPr="004F0FE2">
        <w:t xml:space="preserve"> </w:t>
      </w:r>
      <w:r w:rsidR="0003569F" w:rsidRPr="004F0FE2">
        <w:rPr>
          <w:rFonts w:eastAsia="ArialMT"/>
          <w:lang w:eastAsia="es-ES"/>
        </w:rPr>
        <w:t xml:space="preserve">No significant differences were found among study groups in any of the </w:t>
      </w:r>
      <w:r w:rsidR="0013397F" w:rsidRPr="004F0FE2">
        <w:rPr>
          <w:rFonts w:eastAsia="ArialMT"/>
          <w:lang w:eastAsia="es-ES"/>
        </w:rPr>
        <w:t xml:space="preserve">PFS </w:t>
      </w:r>
      <w:r w:rsidR="00C81136" w:rsidRPr="004F0FE2">
        <w:rPr>
          <w:rFonts w:eastAsia="ArialMT"/>
          <w:lang w:eastAsia="es-ES"/>
        </w:rPr>
        <w:t xml:space="preserve">additional </w:t>
      </w:r>
      <w:r w:rsidR="0003569F" w:rsidRPr="004F0FE2">
        <w:rPr>
          <w:rFonts w:eastAsia="ArialMT"/>
          <w:lang w:eastAsia="es-ES"/>
        </w:rPr>
        <w:t xml:space="preserve">analyses performed using a combination of both stratifying variables, </w:t>
      </w:r>
      <w:r w:rsidR="00BE0281" w:rsidRPr="004F0FE2">
        <w:rPr>
          <w:rFonts w:eastAsia="ArialMT"/>
          <w:lang w:eastAsia="es-ES"/>
        </w:rPr>
        <w:t xml:space="preserve">year 2017 </w:t>
      </w:r>
      <w:r w:rsidR="00C81136" w:rsidRPr="004F0FE2">
        <w:rPr>
          <w:rFonts w:eastAsia="ArialMT"/>
          <w:lang w:eastAsia="es-ES"/>
        </w:rPr>
        <w:t xml:space="preserve">as </w:t>
      </w:r>
      <w:r w:rsidR="0003569F" w:rsidRPr="004F0FE2">
        <w:rPr>
          <w:rFonts w:eastAsia="ArialMT"/>
          <w:lang w:eastAsia="es-ES"/>
        </w:rPr>
        <w:t>randomization cut-off point</w:t>
      </w:r>
      <w:r w:rsidR="00C81136" w:rsidRPr="004F0FE2">
        <w:rPr>
          <w:rFonts w:eastAsia="ArialMT"/>
          <w:lang w:eastAsia="es-ES"/>
        </w:rPr>
        <w:t xml:space="preserve">, </w:t>
      </w:r>
      <w:r w:rsidR="0003569F" w:rsidRPr="004F0FE2">
        <w:rPr>
          <w:rFonts w:eastAsia="ArialMT"/>
          <w:lang w:eastAsia="es-ES"/>
        </w:rPr>
        <w:t xml:space="preserve">or </w:t>
      </w:r>
      <w:r w:rsidR="0013397F" w:rsidRPr="004F0FE2">
        <w:rPr>
          <w:rFonts w:eastAsia="ArialMT"/>
          <w:lang w:eastAsia="es-ES"/>
        </w:rPr>
        <w:t>the assessment</w:t>
      </w:r>
      <w:r w:rsidR="00C81136" w:rsidRPr="004F0FE2">
        <w:rPr>
          <w:rFonts w:eastAsia="ArialMT"/>
          <w:lang w:eastAsia="es-ES"/>
        </w:rPr>
        <w:t xml:space="preserve"> per </w:t>
      </w:r>
      <w:r w:rsidR="0003569F" w:rsidRPr="004F0FE2">
        <w:rPr>
          <w:rFonts w:eastAsia="ArialMT"/>
          <w:lang w:eastAsia="es-ES"/>
        </w:rPr>
        <w:t>RECIST version 1.1 criteria (</w:t>
      </w:r>
      <w:r w:rsidR="00773549" w:rsidRPr="002B7615">
        <w:rPr>
          <w:rFonts w:eastAsia="ArialMT"/>
          <w:i/>
          <w:color w:val="2F5496" w:themeColor="accent1" w:themeShade="BF"/>
          <w:lang w:eastAsia="es-ES"/>
        </w:rPr>
        <w:fldChar w:fldCharType="begin"/>
      </w:r>
      <w:r w:rsidR="00773549" w:rsidRPr="002B7615">
        <w:rPr>
          <w:rFonts w:eastAsia="ArialMT"/>
          <w:i/>
          <w:color w:val="2F5496" w:themeColor="accent1" w:themeShade="BF"/>
          <w:lang w:eastAsia="es-ES"/>
        </w:rPr>
        <w:instrText xml:space="preserve"> REF _Ref52426604 \h </w:instrText>
      </w:r>
      <w:r w:rsidR="002B7615" w:rsidRPr="002B7615">
        <w:rPr>
          <w:rFonts w:eastAsia="ArialMT"/>
          <w:i/>
          <w:color w:val="2F5496" w:themeColor="accent1" w:themeShade="BF"/>
          <w:lang w:eastAsia="es-ES"/>
        </w:rPr>
        <w:instrText xml:space="preserve"> \* MERGEFORMAT </w:instrText>
      </w:r>
      <w:r w:rsidR="00773549" w:rsidRPr="002B7615">
        <w:rPr>
          <w:rFonts w:eastAsia="ArialMT"/>
          <w:i/>
          <w:color w:val="2F5496" w:themeColor="accent1" w:themeShade="BF"/>
          <w:lang w:eastAsia="es-ES"/>
        </w:rPr>
      </w:r>
      <w:r w:rsidR="00773549" w:rsidRPr="002B7615">
        <w:rPr>
          <w:rFonts w:eastAsia="ArialMT"/>
          <w:i/>
          <w:color w:val="2F5496" w:themeColor="accent1" w:themeShade="BF"/>
          <w:lang w:eastAsia="es-ES"/>
        </w:rPr>
        <w:fldChar w:fldCharType="separate"/>
      </w:r>
      <w:r w:rsidR="00773549" w:rsidRPr="002B7615">
        <w:rPr>
          <w:i/>
          <w:color w:val="2F5496" w:themeColor="accent1" w:themeShade="BF"/>
        </w:rPr>
        <w:t xml:space="preserve">Table </w:t>
      </w:r>
      <w:r w:rsidR="00773549" w:rsidRPr="002B7615">
        <w:rPr>
          <w:i/>
          <w:noProof/>
          <w:color w:val="2F5496" w:themeColor="accent1" w:themeShade="BF"/>
        </w:rPr>
        <w:t>9</w:t>
      </w:r>
      <w:r w:rsidR="00773549" w:rsidRPr="002B7615">
        <w:rPr>
          <w:rFonts w:eastAsia="ArialMT"/>
          <w:i/>
          <w:color w:val="2F5496" w:themeColor="accent1" w:themeShade="BF"/>
          <w:lang w:eastAsia="es-ES"/>
        </w:rPr>
        <w:fldChar w:fldCharType="end"/>
      </w:r>
      <w:r w:rsidR="0003569F" w:rsidRPr="004F0FE2">
        <w:rPr>
          <w:rFonts w:eastAsia="ArialMT"/>
          <w:lang w:eastAsia="es-ES"/>
        </w:rPr>
        <w:t xml:space="preserve">). </w:t>
      </w:r>
      <w:r w:rsidR="00BE0281" w:rsidRPr="004F0FE2">
        <w:rPr>
          <w:rFonts w:eastAsia="ArialMT"/>
          <w:lang w:eastAsia="es-ES"/>
        </w:rPr>
        <w:t>PP analysis of the p</w:t>
      </w:r>
      <w:r w:rsidR="0013397F" w:rsidRPr="004F0FE2">
        <w:rPr>
          <w:rFonts w:eastAsia="ArialMT"/>
          <w:lang w:eastAsia="es-ES"/>
        </w:rPr>
        <w:t xml:space="preserve">rimary efficacy </w:t>
      </w:r>
      <w:r w:rsidR="00C2519E" w:rsidRPr="004F0FE2">
        <w:rPr>
          <w:rFonts w:eastAsia="ArialMT"/>
          <w:lang w:eastAsia="es-ES"/>
        </w:rPr>
        <w:t xml:space="preserve">variable provided comparable non conclusive </w:t>
      </w:r>
      <w:r w:rsidR="0013397F" w:rsidRPr="004F0FE2">
        <w:rPr>
          <w:rStyle w:val="nfasis"/>
          <w:i w:val="0"/>
        </w:rPr>
        <w:t>results</w:t>
      </w:r>
      <w:r w:rsidR="00C2519E" w:rsidRPr="004F0FE2">
        <w:rPr>
          <w:rStyle w:val="st"/>
          <w:i/>
        </w:rPr>
        <w:t xml:space="preserve">. </w:t>
      </w:r>
    </w:p>
    <w:p w14:paraId="529A63A5" w14:textId="77777777" w:rsidR="00867E13" w:rsidRPr="004F0FE2" w:rsidRDefault="00947731" w:rsidP="00673269">
      <w:pPr>
        <w:pStyle w:val="Ttulo3"/>
        <w:ind w:right="567"/>
      </w:pPr>
      <w:bookmarkStart w:id="334" w:name="_Toc52468132"/>
      <w:r w:rsidRPr="004F0FE2">
        <w:t xml:space="preserve">Tumor response and </w:t>
      </w:r>
      <w:r w:rsidR="004941E7" w:rsidRPr="004F0FE2">
        <w:t>c</w:t>
      </w:r>
      <w:r w:rsidRPr="004F0FE2">
        <w:t xml:space="preserve">linical </w:t>
      </w:r>
      <w:r w:rsidR="004941E7" w:rsidRPr="004F0FE2">
        <w:t>b</w:t>
      </w:r>
      <w:r w:rsidRPr="004F0FE2">
        <w:t>enefit</w:t>
      </w:r>
      <w:bookmarkEnd w:id="334"/>
      <w:r w:rsidRPr="004F0FE2">
        <w:t xml:space="preserve"> </w:t>
      </w:r>
    </w:p>
    <w:p w14:paraId="07EDA276" w14:textId="706124A1" w:rsidR="00884DAB" w:rsidRPr="004F0FE2" w:rsidRDefault="000E3997" w:rsidP="00673269">
      <w:pPr>
        <w:ind w:right="567"/>
      </w:pPr>
      <w:r w:rsidRPr="004F0FE2">
        <w:t xml:space="preserve">A summary of tumor response and clinical benefit findings is presented in </w:t>
      </w:r>
      <w:r w:rsidR="00A93FA7" w:rsidRPr="00A93FA7">
        <w:rPr>
          <w:rStyle w:val="st"/>
          <w:i/>
          <w:color w:val="2F5496" w:themeColor="accent1" w:themeShade="BF"/>
        </w:rPr>
        <w:fldChar w:fldCharType="begin"/>
      </w:r>
      <w:r w:rsidR="00A93FA7" w:rsidRPr="00A93FA7">
        <w:rPr>
          <w:rStyle w:val="st"/>
          <w:i/>
          <w:color w:val="2F5496" w:themeColor="accent1" w:themeShade="BF"/>
        </w:rPr>
        <w:instrText xml:space="preserve"> REF _Ref52469411 \h  \* MERGEFORMAT </w:instrText>
      </w:r>
      <w:r w:rsidR="00A93FA7" w:rsidRPr="00A93FA7">
        <w:rPr>
          <w:rStyle w:val="st"/>
          <w:i/>
          <w:color w:val="2F5496" w:themeColor="accent1" w:themeShade="BF"/>
        </w:rPr>
      </w:r>
      <w:r w:rsidR="00A93FA7" w:rsidRPr="00A93FA7">
        <w:rPr>
          <w:rStyle w:val="st"/>
          <w:i/>
          <w:color w:val="2F5496" w:themeColor="accent1" w:themeShade="BF"/>
        </w:rPr>
        <w:fldChar w:fldCharType="separate"/>
      </w:r>
      <w:r w:rsidR="00A93FA7" w:rsidRPr="00A93FA7">
        <w:rPr>
          <w:i/>
          <w:color w:val="2F5496" w:themeColor="accent1" w:themeShade="BF"/>
        </w:rPr>
        <w:t xml:space="preserve">Table </w:t>
      </w:r>
      <w:r w:rsidR="00A93FA7" w:rsidRPr="00A93FA7">
        <w:rPr>
          <w:i/>
          <w:noProof/>
          <w:color w:val="2F5496" w:themeColor="accent1" w:themeShade="BF"/>
        </w:rPr>
        <w:t>10</w:t>
      </w:r>
      <w:r w:rsidR="00A93FA7" w:rsidRPr="00A93FA7">
        <w:rPr>
          <w:rStyle w:val="st"/>
          <w:i/>
          <w:color w:val="2F5496" w:themeColor="accent1" w:themeShade="BF"/>
        </w:rPr>
        <w:fldChar w:fldCharType="end"/>
      </w:r>
      <w:r w:rsidR="00A93FA7" w:rsidRPr="00A93FA7">
        <w:rPr>
          <w:rStyle w:val="st"/>
          <w:i/>
          <w:color w:val="2F5496" w:themeColor="accent1" w:themeShade="BF"/>
        </w:rPr>
        <w:t>.</w:t>
      </w:r>
      <w:r w:rsidR="00A93FA7" w:rsidRPr="00A93FA7">
        <w:rPr>
          <w:rStyle w:val="st"/>
          <w:color w:val="2F5496" w:themeColor="accent1" w:themeShade="BF"/>
        </w:rPr>
        <w:t xml:space="preserve"> </w:t>
      </w:r>
      <w:r w:rsidR="00391AA9" w:rsidRPr="004F0FE2">
        <w:t xml:space="preserve">Of the 486 patients assessed, 11 (4.5%) had a complete response, 102 (42.0%) had partial response and 59 (24.3%) presented stable disease for more than 24 weeks in the </w:t>
      </w:r>
      <w:proofErr w:type="spellStart"/>
      <w:r w:rsidR="00391AA9" w:rsidRPr="004F0FE2">
        <w:t>palbociclib-fulvestrant</w:t>
      </w:r>
      <w:proofErr w:type="spellEnd"/>
      <w:r w:rsidR="00391AA9" w:rsidRPr="004F0FE2">
        <w:t xml:space="preserve"> group, versus 10 (4.1%), 112 (46.1%) and 46 (18.9%) in the </w:t>
      </w:r>
      <w:proofErr w:type="spellStart"/>
      <w:r w:rsidR="00391AA9" w:rsidRPr="004F0FE2">
        <w:t>palbociclib</w:t>
      </w:r>
      <w:proofErr w:type="spellEnd"/>
      <w:r w:rsidR="00391AA9" w:rsidRPr="004F0FE2">
        <w:t xml:space="preserve">-letrozole group respectively. </w:t>
      </w:r>
      <w:r w:rsidR="003961FA" w:rsidRPr="004F0FE2">
        <w:t xml:space="preserve">The median time to first response was </w:t>
      </w:r>
      <w:r w:rsidR="003961FA" w:rsidRPr="004F0FE2">
        <w:rPr>
          <w:rFonts w:eastAsia="Helvetica Neue"/>
          <w:color w:val="000000"/>
          <w:kern w:val="24"/>
        </w:rPr>
        <w:t>18.8 months (</w:t>
      </w:r>
      <w:r w:rsidR="003961FA" w:rsidRPr="004F0FE2">
        <w:t>95%CI,</w:t>
      </w:r>
      <w:r w:rsidR="003961FA" w:rsidRPr="004F0FE2">
        <w:rPr>
          <w:rFonts w:eastAsia="Helvetica Neue"/>
          <w:color w:val="000000"/>
          <w:kern w:val="24"/>
        </w:rPr>
        <w:t xml:space="preserve"> 8.3</w:t>
      </w:r>
      <w:r w:rsidR="00C2519E" w:rsidRPr="004F0FE2">
        <w:rPr>
          <w:rFonts w:eastAsia="Helvetica Neue"/>
          <w:color w:val="000000"/>
          <w:kern w:val="24"/>
        </w:rPr>
        <w:t xml:space="preserve"> </w:t>
      </w:r>
      <w:r w:rsidR="003961FA" w:rsidRPr="004F0FE2">
        <w:rPr>
          <w:rFonts w:eastAsia="Helvetica Neue"/>
          <w:color w:val="000000"/>
          <w:kern w:val="24"/>
        </w:rPr>
        <w:t>-</w:t>
      </w:r>
      <w:r w:rsidR="003961FA" w:rsidRPr="004F0FE2">
        <w:t xml:space="preserve"> not estimable</w:t>
      </w:r>
      <w:r w:rsidR="003961FA" w:rsidRPr="004F0FE2">
        <w:rPr>
          <w:rFonts w:eastAsia="Helvetica Neue"/>
          <w:color w:val="000000"/>
          <w:kern w:val="24"/>
        </w:rPr>
        <w:t>)</w:t>
      </w:r>
      <w:r w:rsidR="003961FA" w:rsidRPr="004F0FE2">
        <w:t xml:space="preserve"> in the </w:t>
      </w:r>
      <w:proofErr w:type="spellStart"/>
      <w:r w:rsidR="003961FA" w:rsidRPr="004F0FE2">
        <w:t>palbociclib-fulvestrant</w:t>
      </w:r>
      <w:proofErr w:type="spellEnd"/>
      <w:r w:rsidR="003961FA" w:rsidRPr="004F0FE2">
        <w:t xml:space="preserve"> arm versus </w:t>
      </w:r>
      <w:r w:rsidR="003961FA" w:rsidRPr="004F0FE2">
        <w:rPr>
          <w:rFonts w:eastAsia="Helvetica Neue"/>
          <w:color w:val="000000"/>
          <w:kern w:val="24"/>
        </w:rPr>
        <w:t>11.0 months (95%CI, 8.2</w:t>
      </w:r>
      <w:r w:rsidR="00C2519E" w:rsidRPr="004F0FE2">
        <w:rPr>
          <w:rFonts w:eastAsia="Helvetica Neue"/>
          <w:color w:val="000000"/>
          <w:kern w:val="24"/>
        </w:rPr>
        <w:t xml:space="preserve"> </w:t>
      </w:r>
      <w:r w:rsidR="003961FA" w:rsidRPr="004F0FE2">
        <w:rPr>
          <w:rFonts w:eastAsia="Helvetica Neue"/>
          <w:color w:val="000000"/>
          <w:kern w:val="24"/>
        </w:rPr>
        <w:t>-</w:t>
      </w:r>
      <w:r w:rsidR="00C2519E" w:rsidRPr="004F0FE2">
        <w:rPr>
          <w:rFonts w:eastAsia="Helvetica Neue"/>
          <w:color w:val="000000"/>
          <w:kern w:val="24"/>
        </w:rPr>
        <w:t xml:space="preserve"> </w:t>
      </w:r>
      <w:r w:rsidR="003961FA" w:rsidRPr="004F0FE2">
        <w:rPr>
          <w:rFonts w:eastAsia="Helvetica Neue"/>
          <w:color w:val="000000"/>
          <w:kern w:val="24"/>
        </w:rPr>
        <w:t>24.8)</w:t>
      </w:r>
      <w:r w:rsidR="003961FA" w:rsidRPr="004F0FE2">
        <w:t xml:space="preserve"> in the control group (p=</w:t>
      </w:r>
      <w:r w:rsidR="003961FA" w:rsidRPr="004F0FE2">
        <w:rPr>
          <w:rFonts w:eastAsia="Helvetica Neue"/>
          <w:kern w:val="24"/>
        </w:rPr>
        <w:t>0.476)</w:t>
      </w:r>
      <w:r w:rsidR="003961FA" w:rsidRPr="004F0FE2">
        <w:t xml:space="preserve">. </w:t>
      </w:r>
      <w:r w:rsidRPr="004F0FE2">
        <w:t xml:space="preserve">No statistically significant differences between arms were found in the rate of objective response achieved by the patients: </w:t>
      </w:r>
      <w:r w:rsidR="00BD4590" w:rsidRPr="004F0FE2">
        <w:t>46</w:t>
      </w:r>
      <w:r w:rsidR="006B67A6" w:rsidRPr="004F0FE2">
        <w:t>.</w:t>
      </w:r>
      <w:r w:rsidR="00BD4590" w:rsidRPr="004F0FE2">
        <w:t>5% (95% CI 40</w:t>
      </w:r>
      <w:r w:rsidR="00B53853" w:rsidRPr="004F0FE2">
        <w:t>.</w:t>
      </w:r>
      <w:r w:rsidR="00BD4590" w:rsidRPr="004F0FE2">
        <w:t>1–53</w:t>
      </w:r>
      <w:r w:rsidR="00B53853" w:rsidRPr="004F0FE2">
        <w:t>.</w:t>
      </w:r>
      <w:r w:rsidR="00BD4590" w:rsidRPr="004F0FE2">
        <w:t>0%) in the</w:t>
      </w:r>
      <w:r w:rsidR="00B53853" w:rsidRPr="004F0FE2">
        <w:t xml:space="preserve"> </w:t>
      </w:r>
      <w:proofErr w:type="spellStart"/>
      <w:r w:rsidR="00BD4590" w:rsidRPr="004F0FE2">
        <w:t>palbociclib</w:t>
      </w:r>
      <w:r w:rsidR="00B53853" w:rsidRPr="004F0FE2">
        <w:t>-fulvestrant</w:t>
      </w:r>
      <w:proofErr w:type="spellEnd"/>
      <w:r w:rsidR="00BD4590" w:rsidRPr="004F0FE2">
        <w:t xml:space="preserve"> arm </w:t>
      </w:r>
      <w:r w:rsidRPr="004F0FE2">
        <w:t>versus</w:t>
      </w:r>
      <w:r w:rsidR="00BD4590" w:rsidRPr="004F0FE2">
        <w:t xml:space="preserve"> 50</w:t>
      </w:r>
      <w:r w:rsidR="00B53853" w:rsidRPr="004F0FE2">
        <w:t>.</w:t>
      </w:r>
      <w:r w:rsidR="00BD4590" w:rsidRPr="004F0FE2">
        <w:t>2% (95%CI 43</w:t>
      </w:r>
      <w:r w:rsidR="00B53853" w:rsidRPr="004F0FE2">
        <w:t>.</w:t>
      </w:r>
      <w:r w:rsidR="00BD4590" w:rsidRPr="004F0FE2">
        <w:t>7–56</w:t>
      </w:r>
      <w:r w:rsidR="00B53853" w:rsidRPr="004F0FE2">
        <w:t>.</w:t>
      </w:r>
      <w:r w:rsidR="00BD4590" w:rsidRPr="004F0FE2">
        <w:t xml:space="preserve">7%) in the </w:t>
      </w:r>
      <w:proofErr w:type="spellStart"/>
      <w:r w:rsidR="00BD4590" w:rsidRPr="004F0FE2">
        <w:t>palbociclib</w:t>
      </w:r>
      <w:proofErr w:type="spellEnd"/>
      <w:r w:rsidR="00B53853" w:rsidRPr="004F0FE2">
        <w:t>-letrozole</w:t>
      </w:r>
      <w:r w:rsidR="00BD4590" w:rsidRPr="004F0FE2">
        <w:t xml:space="preserve"> arm (p=0</w:t>
      </w:r>
      <w:r w:rsidR="00B53853" w:rsidRPr="004F0FE2">
        <w:t>.</w:t>
      </w:r>
      <w:r w:rsidRPr="004F0FE2">
        <w:t>414</w:t>
      </w:r>
      <w:r w:rsidR="00BD4590" w:rsidRPr="004F0FE2">
        <w:t xml:space="preserve">). In patients with </w:t>
      </w:r>
      <w:r w:rsidR="00B53853" w:rsidRPr="004F0FE2">
        <w:t>measurable disease (n = 376; 77.</w:t>
      </w:r>
      <w:r w:rsidR="00BD4590" w:rsidRPr="004F0FE2">
        <w:t>4%), the objective response rate was 56</w:t>
      </w:r>
      <w:r w:rsidR="00B53853" w:rsidRPr="004F0FE2">
        <w:t>.</w:t>
      </w:r>
      <w:r w:rsidR="00BD4590" w:rsidRPr="004F0FE2">
        <w:t>4% (95%CI 49</w:t>
      </w:r>
      <w:r w:rsidR="00B53853" w:rsidRPr="004F0FE2">
        <w:t>.</w:t>
      </w:r>
      <w:r w:rsidR="00BD4590" w:rsidRPr="004F0FE2">
        <w:t>1–63</w:t>
      </w:r>
      <w:r w:rsidR="00B53853" w:rsidRPr="004F0FE2">
        <w:t>.</w:t>
      </w:r>
      <w:r w:rsidR="00BD4590" w:rsidRPr="004F0FE2">
        <w:t xml:space="preserve">5%) in the </w:t>
      </w:r>
      <w:proofErr w:type="spellStart"/>
      <w:r w:rsidR="00742251" w:rsidRPr="004F0FE2">
        <w:t>palbociclib-fulvestrant</w:t>
      </w:r>
      <w:proofErr w:type="spellEnd"/>
      <w:r w:rsidR="00742251" w:rsidRPr="004F0FE2">
        <w:t xml:space="preserve"> </w:t>
      </w:r>
      <w:r w:rsidR="00BD4590" w:rsidRPr="004F0FE2">
        <w:t>arm and 65</w:t>
      </w:r>
      <w:r w:rsidR="00B53853" w:rsidRPr="004F0FE2">
        <w:t>.</w:t>
      </w:r>
      <w:r w:rsidR="00BD4590" w:rsidRPr="004F0FE2">
        <w:t>7% (95%CI 59</w:t>
      </w:r>
      <w:r w:rsidR="00B53853" w:rsidRPr="004F0FE2">
        <w:t>.</w:t>
      </w:r>
      <w:r w:rsidR="00BD4590" w:rsidRPr="004F0FE2">
        <w:t>3–72</w:t>
      </w:r>
      <w:r w:rsidR="00B53853" w:rsidRPr="004F0FE2">
        <w:t>.</w:t>
      </w:r>
      <w:r w:rsidR="00BD4590" w:rsidRPr="004F0FE2">
        <w:t xml:space="preserve">6%) in the </w:t>
      </w:r>
      <w:proofErr w:type="spellStart"/>
      <w:r w:rsidR="00742251" w:rsidRPr="004F0FE2">
        <w:t>palbociclib</w:t>
      </w:r>
      <w:proofErr w:type="spellEnd"/>
      <w:r w:rsidR="00742251" w:rsidRPr="004F0FE2">
        <w:t xml:space="preserve">-letrozole </w:t>
      </w:r>
      <w:r w:rsidR="005A4062" w:rsidRPr="004F0FE2">
        <w:t>arm</w:t>
      </w:r>
      <w:r w:rsidR="00BD4590" w:rsidRPr="004F0FE2">
        <w:t xml:space="preserve">. Median duration of </w:t>
      </w:r>
      <w:r w:rsidR="00780BD2" w:rsidRPr="004F0FE2">
        <w:t xml:space="preserve">tumor </w:t>
      </w:r>
      <w:r w:rsidR="00BD4590" w:rsidRPr="004F0FE2">
        <w:t>response was 34</w:t>
      </w:r>
      <w:r w:rsidR="00B53853" w:rsidRPr="004F0FE2">
        <w:t>.0 months (95%</w:t>
      </w:r>
      <w:r w:rsidR="00BD4590" w:rsidRPr="004F0FE2">
        <w:t>CI 23</w:t>
      </w:r>
      <w:r w:rsidRPr="004F0FE2">
        <w:t>.</w:t>
      </w:r>
      <w:r w:rsidR="00BD4590" w:rsidRPr="004F0FE2">
        <w:t>3</w:t>
      </w:r>
      <w:r w:rsidRPr="004F0FE2">
        <w:t xml:space="preserve"> - </w:t>
      </w:r>
      <w:r w:rsidR="00BD4590" w:rsidRPr="004F0FE2">
        <w:t xml:space="preserve">not estimable) in the </w:t>
      </w:r>
      <w:proofErr w:type="spellStart"/>
      <w:r w:rsidR="00742251" w:rsidRPr="004F0FE2">
        <w:t>palbociclib-fulvestrant</w:t>
      </w:r>
      <w:proofErr w:type="spellEnd"/>
      <w:r w:rsidR="00742251" w:rsidRPr="004F0FE2">
        <w:t xml:space="preserve"> </w:t>
      </w:r>
      <w:r w:rsidR="00BD4590" w:rsidRPr="004F0FE2">
        <w:t>arm and 30</w:t>
      </w:r>
      <w:r w:rsidR="00884DAB" w:rsidRPr="004F0FE2">
        <w:t>.</w:t>
      </w:r>
      <w:r w:rsidR="00BD4590" w:rsidRPr="004F0FE2">
        <w:t>2 months (95%CI 26</w:t>
      </w:r>
      <w:r w:rsidR="00742251" w:rsidRPr="004F0FE2">
        <w:t>.</w:t>
      </w:r>
      <w:r w:rsidR="00BD4590" w:rsidRPr="004F0FE2">
        <w:t>7</w:t>
      </w:r>
      <w:r w:rsidRPr="004F0FE2">
        <w:t xml:space="preserve"> - </w:t>
      </w:r>
      <w:r w:rsidR="00BD4590" w:rsidRPr="004F0FE2">
        <w:t xml:space="preserve">not estimable) in the </w:t>
      </w:r>
      <w:proofErr w:type="spellStart"/>
      <w:r w:rsidR="00742251" w:rsidRPr="004F0FE2">
        <w:t>palbociclib</w:t>
      </w:r>
      <w:proofErr w:type="spellEnd"/>
      <w:r w:rsidR="00742251" w:rsidRPr="004F0FE2">
        <w:t xml:space="preserve">-letrozole </w:t>
      </w:r>
      <w:r w:rsidR="00BD4590" w:rsidRPr="004F0FE2">
        <w:t>arm</w:t>
      </w:r>
      <w:r w:rsidR="00884DAB" w:rsidRPr="004F0FE2">
        <w:t>, however the difference was not significant (p=0.861)</w:t>
      </w:r>
      <w:r w:rsidR="00BD4590" w:rsidRPr="004F0FE2">
        <w:t>.</w:t>
      </w:r>
      <w:r w:rsidR="00884DAB" w:rsidRPr="004F0FE2">
        <w:t xml:space="preserve"> No statistically significant differences were observed in the median time to p</w:t>
      </w:r>
      <w:r w:rsidR="00646E1B" w:rsidRPr="004F0FE2">
        <w:t>rogression among study groups (</w:t>
      </w:r>
      <w:r w:rsidR="00884DAB" w:rsidRPr="004F0FE2">
        <w:t>p=0.638).</w:t>
      </w:r>
      <w:r w:rsidR="003961FA" w:rsidRPr="004F0FE2">
        <w:t xml:space="preserve"> </w:t>
      </w:r>
      <w:r w:rsidR="00BD4590" w:rsidRPr="004F0FE2">
        <w:t xml:space="preserve">In the </w:t>
      </w:r>
      <w:r w:rsidR="003961FA" w:rsidRPr="004F0FE2">
        <w:t>ITT</w:t>
      </w:r>
      <w:r w:rsidR="00BD4590" w:rsidRPr="004F0FE2">
        <w:t xml:space="preserve"> population, clinical benefit was achieved by 70</w:t>
      </w:r>
      <w:r w:rsidR="00742251" w:rsidRPr="004F0FE2">
        <w:t>.</w:t>
      </w:r>
      <w:r w:rsidR="00BD4590" w:rsidRPr="004F0FE2">
        <w:t>8% (95% CI 64</w:t>
      </w:r>
      <w:r w:rsidRPr="004F0FE2">
        <w:t>.</w:t>
      </w:r>
      <w:r w:rsidR="00BD4590" w:rsidRPr="004F0FE2">
        <w:t>6</w:t>
      </w:r>
      <w:r w:rsidRPr="004F0FE2">
        <w:t xml:space="preserve"> - </w:t>
      </w:r>
      <w:r w:rsidR="00BD4590" w:rsidRPr="004F0FE2">
        <w:t>76</w:t>
      </w:r>
      <w:r w:rsidRPr="004F0FE2">
        <w:t>.</w:t>
      </w:r>
      <w:r w:rsidR="00BD4590" w:rsidRPr="004F0FE2">
        <w:t xml:space="preserve">4%) </w:t>
      </w:r>
      <w:r w:rsidRPr="004F0FE2">
        <w:t xml:space="preserve">and 69.1% (95% CI 62.9 - 74.9%) of the patients </w:t>
      </w:r>
      <w:r w:rsidR="00BD4590" w:rsidRPr="004F0FE2">
        <w:t xml:space="preserve">in the </w:t>
      </w:r>
      <w:r w:rsidR="00A67B0D" w:rsidRPr="004F0FE2">
        <w:t>interventional</w:t>
      </w:r>
      <w:r w:rsidR="00742251" w:rsidRPr="004F0FE2">
        <w:t xml:space="preserve"> </w:t>
      </w:r>
      <w:r w:rsidR="00BD4590" w:rsidRPr="004F0FE2">
        <w:t xml:space="preserve">and </w:t>
      </w:r>
      <w:r w:rsidR="00A67B0D" w:rsidRPr="004F0FE2">
        <w:t>control</w:t>
      </w:r>
      <w:r w:rsidR="00BD4590" w:rsidRPr="004F0FE2">
        <w:t xml:space="preserve"> </w:t>
      </w:r>
      <w:r w:rsidR="00A67B0D" w:rsidRPr="004F0FE2">
        <w:t>groups respectively</w:t>
      </w:r>
      <w:r w:rsidR="00BD4590" w:rsidRPr="004F0FE2">
        <w:t xml:space="preserve"> (p=0</w:t>
      </w:r>
      <w:r w:rsidR="00742251" w:rsidRPr="004F0FE2">
        <w:t>.</w:t>
      </w:r>
      <w:r w:rsidR="00BD4590" w:rsidRPr="004F0FE2">
        <w:t>692).</w:t>
      </w:r>
      <w:r w:rsidR="00884DAB" w:rsidRPr="004F0FE2">
        <w:t xml:space="preserve"> </w:t>
      </w:r>
      <w:r w:rsidR="00A67B0D" w:rsidRPr="004F0FE2">
        <w:t xml:space="preserve">The differences observed between study groups in terms of duration of clinical benefit were non-significant either </w:t>
      </w:r>
      <w:r w:rsidR="00884DAB" w:rsidRPr="004F0FE2">
        <w:t xml:space="preserve">(p=0.928). Similar results were observed </w:t>
      </w:r>
      <w:r w:rsidR="00391AA9" w:rsidRPr="004F0FE2">
        <w:t>concerning</w:t>
      </w:r>
      <w:r w:rsidR="00884DAB" w:rsidRPr="004F0FE2">
        <w:t xml:space="preserve"> tumor response </w:t>
      </w:r>
      <w:r w:rsidR="00C0724D" w:rsidRPr="004F0FE2">
        <w:t xml:space="preserve">and clinical benefit when </w:t>
      </w:r>
      <w:r w:rsidR="00A67B0D" w:rsidRPr="004F0FE2">
        <w:t>the analysis was performed in t</w:t>
      </w:r>
      <w:r w:rsidR="00884DAB" w:rsidRPr="004F0FE2">
        <w:t xml:space="preserve">he PP population. </w:t>
      </w:r>
    </w:p>
    <w:p w14:paraId="427E4376" w14:textId="77777777" w:rsidR="002C5C08" w:rsidRPr="004F0FE2" w:rsidRDefault="002C5C08" w:rsidP="00673269">
      <w:pPr>
        <w:pStyle w:val="Ttulo3"/>
        <w:ind w:right="567"/>
      </w:pPr>
      <w:bookmarkStart w:id="335" w:name="_Toc52468133"/>
      <w:r w:rsidRPr="004F0FE2">
        <w:t xml:space="preserve">Overall </w:t>
      </w:r>
      <w:r w:rsidR="004941E7" w:rsidRPr="004F0FE2">
        <w:t>s</w:t>
      </w:r>
      <w:r w:rsidRPr="004F0FE2">
        <w:t>urvival (ITT population)</w:t>
      </w:r>
      <w:bookmarkEnd w:id="335"/>
    </w:p>
    <w:p w14:paraId="192F6627" w14:textId="26E70C0F" w:rsidR="00536D1D" w:rsidRPr="004F0FE2" w:rsidRDefault="002C5C08" w:rsidP="00673269">
      <w:pPr>
        <w:ind w:right="567"/>
        <w:rPr>
          <w:rFonts w:eastAsia="ArialMT"/>
          <w:lang w:eastAsia="es-ES"/>
        </w:rPr>
      </w:pPr>
      <w:r w:rsidRPr="004F0FE2">
        <w:t xml:space="preserve">Overall survival data were immature at data cut-off, with a total of 102 deaths: 51 patients (21.0%) in the </w:t>
      </w:r>
      <w:proofErr w:type="spellStart"/>
      <w:r w:rsidR="00C0724D" w:rsidRPr="004F0FE2">
        <w:t>palbociclib-fulvestrant</w:t>
      </w:r>
      <w:proofErr w:type="spellEnd"/>
      <w:r w:rsidR="00C0724D" w:rsidRPr="004F0FE2">
        <w:t xml:space="preserve"> </w:t>
      </w:r>
      <w:r w:rsidRPr="004F0FE2">
        <w:t xml:space="preserve">arm and 51 (21.0%) in the </w:t>
      </w:r>
      <w:proofErr w:type="spellStart"/>
      <w:r w:rsidR="00C0724D" w:rsidRPr="004F0FE2">
        <w:t>palbociclib</w:t>
      </w:r>
      <w:proofErr w:type="spellEnd"/>
      <w:r w:rsidR="00C0724D" w:rsidRPr="004F0FE2">
        <w:t xml:space="preserve">-letrozole </w:t>
      </w:r>
      <w:r w:rsidRPr="004F0FE2">
        <w:t xml:space="preserve">arm. Estimated 3-year overall </w:t>
      </w:r>
      <w:r w:rsidR="00121F39" w:rsidRPr="004F0FE2">
        <w:t>survival was 79.4% (95%</w:t>
      </w:r>
      <w:r w:rsidRPr="004F0FE2">
        <w:t>CI 73</w:t>
      </w:r>
      <w:r w:rsidR="00C0724D" w:rsidRPr="004F0FE2">
        <w:t>.</w:t>
      </w:r>
      <w:r w:rsidRPr="004F0FE2">
        <w:t>1–84</w:t>
      </w:r>
      <w:r w:rsidR="00C0724D" w:rsidRPr="004F0FE2">
        <w:t>.</w:t>
      </w:r>
      <w:r w:rsidRPr="004F0FE2">
        <w:t xml:space="preserve">4) in the </w:t>
      </w:r>
      <w:proofErr w:type="spellStart"/>
      <w:r w:rsidR="00C0724D" w:rsidRPr="004F0FE2">
        <w:t>palbociclib-fulvestrant</w:t>
      </w:r>
      <w:proofErr w:type="spellEnd"/>
      <w:r w:rsidRPr="004F0FE2">
        <w:t xml:space="preserve"> arm versus 77</w:t>
      </w:r>
      <w:r w:rsidR="00C0724D" w:rsidRPr="004F0FE2">
        <w:t>.</w:t>
      </w:r>
      <w:r w:rsidRPr="004F0FE2">
        <w:t>1% (95% CI 70</w:t>
      </w:r>
      <w:r w:rsidR="00391AA9" w:rsidRPr="004F0FE2">
        <w:t>.</w:t>
      </w:r>
      <w:r w:rsidRPr="004F0FE2">
        <w:t>2–82</w:t>
      </w:r>
      <w:r w:rsidR="00391AA9" w:rsidRPr="004F0FE2">
        <w:t>.</w:t>
      </w:r>
      <w:r w:rsidRPr="004F0FE2">
        <w:t xml:space="preserve">5) in the </w:t>
      </w:r>
      <w:proofErr w:type="spellStart"/>
      <w:r w:rsidR="00C0724D" w:rsidRPr="004F0FE2">
        <w:t>palbociclib</w:t>
      </w:r>
      <w:proofErr w:type="spellEnd"/>
      <w:r w:rsidR="00C0724D" w:rsidRPr="004F0FE2">
        <w:t xml:space="preserve">-letrozole </w:t>
      </w:r>
      <w:r w:rsidRPr="004F0FE2">
        <w:t>arm (</w:t>
      </w:r>
      <w:r w:rsidR="00C0724D" w:rsidRPr="004F0FE2">
        <w:t>HR</w:t>
      </w:r>
      <w:r w:rsidR="0094371A" w:rsidRPr="004F0FE2">
        <w:t>=</w:t>
      </w:r>
      <w:r w:rsidRPr="004F0FE2">
        <w:t>1</w:t>
      </w:r>
      <w:r w:rsidR="00C0724D" w:rsidRPr="004F0FE2">
        <w:t>.</w:t>
      </w:r>
      <w:r w:rsidRPr="004F0FE2">
        <w:t>00, 95% CI 0</w:t>
      </w:r>
      <w:r w:rsidR="00C0724D" w:rsidRPr="004F0FE2">
        <w:t>.</w:t>
      </w:r>
      <w:r w:rsidRPr="004F0FE2">
        <w:t>68–1</w:t>
      </w:r>
      <w:r w:rsidR="00C0724D" w:rsidRPr="004F0FE2">
        <w:t>.</w:t>
      </w:r>
      <w:r w:rsidRPr="004F0FE2">
        <w:t>48, p=0</w:t>
      </w:r>
      <w:r w:rsidR="00C0724D" w:rsidRPr="004F0FE2">
        <w:t>.</w:t>
      </w:r>
      <w:r w:rsidRPr="004F0FE2">
        <w:t>986</w:t>
      </w:r>
      <w:r w:rsidR="00C0724D" w:rsidRPr="004F0FE2">
        <w:t xml:space="preserve">, </w:t>
      </w:r>
      <w:r w:rsidR="001F20DC" w:rsidRPr="008E3E15">
        <w:rPr>
          <w:i/>
          <w:color w:val="2F5496" w:themeColor="accent1" w:themeShade="BF"/>
        </w:rPr>
        <w:fldChar w:fldCharType="begin"/>
      </w:r>
      <w:r w:rsidR="001F20DC" w:rsidRPr="008E3E15">
        <w:rPr>
          <w:i/>
          <w:color w:val="2F5496" w:themeColor="accent1" w:themeShade="BF"/>
        </w:rPr>
        <w:instrText xml:space="preserve"> REF _Ref52441130 \h </w:instrText>
      </w:r>
      <w:r w:rsidR="008E3E15" w:rsidRPr="008E3E15">
        <w:rPr>
          <w:i/>
          <w:color w:val="2F5496" w:themeColor="accent1" w:themeShade="BF"/>
        </w:rPr>
        <w:instrText xml:space="preserve"> \* MERGEFORMAT </w:instrText>
      </w:r>
      <w:r w:rsidR="001F20DC" w:rsidRPr="008E3E15">
        <w:rPr>
          <w:i/>
          <w:color w:val="2F5496" w:themeColor="accent1" w:themeShade="BF"/>
        </w:rPr>
      </w:r>
      <w:r w:rsidR="001F20DC" w:rsidRPr="008E3E15">
        <w:rPr>
          <w:i/>
          <w:color w:val="2F5496" w:themeColor="accent1" w:themeShade="BF"/>
        </w:rPr>
        <w:fldChar w:fldCharType="separate"/>
      </w:r>
      <w:r w:rsidR="001F20DC" w:rsidRPr="008E3E15">
        <w:rPr>
          <w:i/>
          <w:color w:val="2F5496" w:themeColor="accent1" w:themeShade="BF"/>
        </w:rPr>
        <w:t>Figure 6</w:t>
      </w:r>
      <w:r w:rsidR="001F20DC" w:rsidRPr="008E3E15">
        <w:rPr>
          <w:i/>
          <w:color w:val="2F5496" w:themeColor="accent1" w:themeShade="BF"/>
        </w:rPr>
        <w:fldChar w:fldCharType="end"/>
      </w:r>
      <w:r w:rsidRPr="004F0FE2">
        <w:t>).</w:t>
      </w:r>
      <w:r w:rsidR="008464F2" w:rsidRPr="004F0FE2">
        <w:t xml:space="preserve"> </w:t>
      </w:r>
      <w:r w:rsidR="00121F39" w:rsidRPr="004F0FE2">
        <w:rPr>
          <w:rFonts w:eastAsia="ArialMT"/>
          <w:lang w:eastAsia="es-ES"/>
        </w:rPr>
        <w:t>No</w:t>
      </w:r>
      <w:r w:rsidR="0094371A" w:rsidRPr="004F0FE2">
        <w:rPr>
          <w:rFonts w:eastAsia="ArialMT"/>
          <w:lang w:eastAsia="es-ES"/>
        </w:rPr>
        <w:t xml:space="preserve"> statistically significant</w:t>
      </w:r>
      <w:r w:rsidR="00121F39" w:rsidRPr="004F0FE2">
        <w:rPr>
          <w:rFonts w:eastAsia="ArialMT"/>
          <w:lang w:eastAsia="es-ES"/>
        </w:rPr>
        <w:t xml:space="preserve"> differences were observed for patients with or without visceral involvement (HR</w:t>
      </w:r>
      <w:r w:rsidR="0094371A" w:rsidRPr="004F0FE2">
        <w:rPr>
          <w:rFonts w:eastAsia="ArialMT"/>
          <w:lang w:eastAsia="es-ES"/>
        </w:rPr>
        <w:t>=</w:t>
      </w:r>
      <w:r w:rsidR="00121F39" w:rsidRPr="004F0FE2">
        <w:rPr>
          <w:rFonts w:eastAsia="ArialMT"/>
          <w:lang w:eastAsia="es-ES"/>
        </w:rPr>
        <w:t>1.2 and 0.8 respectively, interaction p=</w:t>
      </w:r>
      <w:r w:rsidR="003F76F5" w:rsidRPr="004F0FE2">
        <w:rPr>
          <w:rFonts w:eastAsia="ArialMT"/>
          <w:lang w:eastAsia="es-ES"/>
        </w:rPr>
        <w:t>0.351</w:t>
      </w:r>
      <w:r w:rsidR="00121F39" w:rsidRPr="004F0FE2">
        <w:rPr>
          <w:rFonts w:eastAsia="ArialMT"/>
          <w:lang w:eastAsia="es-ES"/>
        </w:rPr>
        <w:t xml:space="preserve">), </w:t>
      </w:r>
      <w:r w:rsidR="0094371A" w:rsidRPr="004F0FE2">
        <w:rPr>
          <w:rFonts w:eastAsia="ArialMT"/>
          <w:lang w:eastAsia="es-ES"/>
        </w:rPr>
        <w:t>nor</w:t>
      </w:r>
      <w:r w:rsidR="00121F39" w:rsidRPr="004F0FE2">
        <w:rPr>
          <w:rFonts w:eastAsia="ArialMT"/>
          <w:lang w:eastAsia="es-ES"/>
        </w:rPr>
        <w:t xml:space="preserve"> for “de novo” or recurrent metastatic </w:t>
      </w:r>
      <w:r w:rsidR="00121F39" w:rsidRPr="004F0FE2">
        <w:rPr>
          <w:rFonts w:eastAsia="ArialMT"/>
          <w:lang w:eastAsia="es-ES"/>
        </w:rPr>
        <w:lastRenderedPageBreak/>
        <w:t>disease (HR</w:t>
      </w:r>
      <w:r w:rsidR="0094371A" w:rsidRPr="004F0FE2">
        <w:rPr>
          <w:rFonts w:eastAsia="ArialMT"/>
          <w:lang w:eastAsia="es-ES"/>
        </w:rPr>
        <w:t>=</w:t>
      </w:r>
      <w:r w:rsidR="003F76F5" w:rsidRPr="004F0FE2">
        <w:rPr>
          <w:rFonts w:eastAsia="ArialMT"/>
          <w:lang w:eastAsia="es-ES"/>
        </w:rPr>
        <w:t>1</w:t>
      </w:r>
      <w:r w:rsidR="00121F39" w:rsidRPr="004F0FE2">
        <w:rPr>
          <w:rFonts w:eastAsia="ArialMT"/>
          <w:lang w:eastAsia="es-ES"/>
        </w:rPr>
        <w:t>.</w:t>
      </w:r>
      <w:r w:rsidR="003F76F5" w:rsidRPr="004F0FE2">
        <w:rPr>
          <w:rFonts w:eastAsia="ArialMT"/>
          <w:lang w:eastAsia="es-ES"/>
        </w:rPr>
        <w:t>0</w:t>
      </w:r>
      <w:r w:rsidR="00121F39" w:rsidRPr="004F0FE2">
        <w:rPr>
          <w:rFonts w:eastAsia="ArialMT"/>
          <w:lang w:eastAsia="es-ES"/>
        </w:rPr>
        <w:t xml:space="preserve"> </w:t>
      </w:r>
      <w:r w:rsidR="0094371A" w:rsidRPr="004F0FE2">
        <w:rPr>
          <w:rFonts w:eastAsia="ArialMT"/>
          <w:lang w:eastAsia="es-ES"/>
        </w:rPr>
        <w:t xml:space="preserve">and </w:t>
      </w:r>
      <w:r w:rsidR="00121F39" w:rsidRPr="004F0FE2">
        <w:rPr>
          <w:rFonts w:eastAsia="ArialMT"/>
          <w:lang w:eastAsia="es-ES"/>
        </w:rPr>
        <w:t>1.</w:t>
      </w:r>
      <w:r w:rsidR="008464F2" w:rsidRPr="004F0FE2">
        <w:rPr>
          <w:rFonts w:eastAsia="ArialMT"/>
          <w:lang w:eastAsia="es-ES"/>
        </w:rPr>
        <w:t>0</w:t>
      </w:r>
      <w:r w:rsidR="00121F39" w:rsidRPr="004F0FE2">
        <w:rPr>
          <w:rFonts w:eastAsia="ArialMT"/>
          <w:lang w:eastAsia="es-ES"/>
        </w:rPr>
        <w:t xml:space="preserve"> respectively, p=0.</w:t>
      </w:r>
      <w:r w:rsidR="003F76F5" w:rsidRPr="004F0FE2">
        <w:rPr>
          <w:rFonts w:eastAsia="ArialMT"/>
          <w:lang w:eastAsia="es-ES"/>
        </w:rPr>
        <w:t>828</w:t>
      </w:r>
      <w:r w:rsidR="009A3AB6" w:rsidRPr="004F0FE2">
        <w:rPr>
          <w:rFonts w:eastAsia="ArialMT"/>
          <w:lang w:eastAsia="es-ES"/>
        </w:rPr>
        <w:t xml:space="preserve"> (</w:t>
      </w:r>
      <w:r w:rsidR="00F45E60" w:rsidRPr="00F45E60">
        <w:rPr>
          <w:rFonts w:eastAsia="ArialMT"/>
          <w:i/>
          <w:color w:val="2F5496" w:themeColor="accent1" w:themeShade="BF"/>
          <w:lang w:eastAsia="es-ES"/>
        </w:rPr>
        <w:fldChar w:fldCharType="begin"/>
      </w:r>
      <w:r w:rsidR="00F45E60" w:rsidRPr="00F45E60">
        <w:rPr>
          <w:rFonts w:eastAsia="ArialMT"/>
          <w:i/>
          <w:color w:val="2F5496" w:themeColor="accent1" w:themeShade="BF"/>
          <w:lang w:eastAsia="es-ES"/>
        </w:rPr>
        <w:instrText xml:space="preserve"> REF _Ref52469629 \h  \* MERGEFORMAT </w:instrText>
      </w:r>
      <w:r w:rsidR="00F45E60" w:rsidRPr="00F45E60">
        <w:rPr>
          <w:rFonts w:eastAsia="ArialMT"/>
          <w:i/>
          <w:color w:val="2F5496" w:themeColor="accent1" w:themeShade="BF"/>
          <w:lang w:eastAsia="es-ES"/>
        </w:rPr>
      </w:r>
      <w:r w:rsidR="00F45E60" w:rsidRPr="00F45E60">
        <w:rPr>
          <w:rFonts w:eastAsia="ArialMT"/>
          <w:i/>
          <w:color w:val="2F5496" w:themeColor="accent1" w:themeShade="BF"/>
          <w:lang w:eastAsia="es-ES"/>
        </w:rPr>
        <w:fldChar w:fldCharType="separate"/>
      </w:r>
      <w:r w:rsidR="00F45E60" w:rsidRPr="00F45E60">
        <w:rPr>
          <w:i/>
          <w:color w:val="2F5496" w:themeColor="accent1" w:themeShade="BF"/>
        </w:rPr>
        <w:t>Figure 7</w:t>
      </w:r>
      <w:r w:rsidR="00F45E60" w:rsidRPr="00F45E60">
        <w:rPr>
          <w:rFonts w:eastAsia="ArialMT"/>
          <w:i/>
          <w:color w:val="2F5496" w:themeColor="accent1" w:themeShade="BF"/>
          <w:lang w:eastAsia="es-ES"/>
        </w:rPr>
        <w:fldChar w:fldCharType="end"/>
      </w:r>
      <w:r w:rsidR="001F20DC" w:rsidRPr="00F45E60">
        <w:rPr>
          <w:rFonts w:eastAsia="ArialMT"/>
          <w:i/>
          <w:color w:val="2F5496" w:themeColor="accent1" w:themeShade="BF"/>
          <w:lang w:eastAsia="es-ES"/>
        </w:rPr>
        <w:t xml:space="preserve"> </w:t>
      </w:r>
      <w:r w:rsidR="001F20DC" w:rsidRPr="008E3E15">
        <w:rPr>
          <w:rFonts w:eastAsia="ArialMT"/>
          <w:lang w:eastAsia="es-ES"/>
        </w:rPr>
        <w:t>and</w:t>
      </w:r>
      <w:r w:rsidR="001F20DC">
        <w:rPr>
          <w:rFonts w:eastAsia="ArialMT"/>
          <w:i/>
          <w:color w:val="2F5496"/>
          <w:lang w:eastAsia="es-ES"/>
        </w:rPr>
        <w:t xml:space="preserve"> </w:t>
      </w:r>
      <w:r w:rsidR="001F20DC" w:rsidRPr="008E3E15">
        <w:rPr>
          <w:rFonts w:eastAsia="ArialMT"/>
          <w:i/>
          <w:color w:val="2F5496" w:themeColor="accent1" w:themeShade="BF"/>
          <w:lang w:eastAsia="es-ES"/>
        </w:rPr>
        <w:fldChar w:fldCharType="begin"/>
      </w:r>
      <w:r w:rsidR="001F20DC" w:rsidRPr="008E3E15">
        <w:rPr>
          <w:rFonts w:eastAsia="ArialMT"/>
          <w:i/>
          <w:color w:val="2F5496" w:themeColor="accent1" w:themeShade="BF"/>
          <w:lang w:eastAsia="es-ES"/>
        </w:rPr>
        <w:instrText xml:space="preserve"> REF _Ref52441525 \h </w:instrText>
      </w:r>
      <w:r w:rsidR="008E3E15" w:rsidRPr="008E3E15">
        <w:rPr>
          <w:rFonts w:eastAsia="ArialMT"/>
          <w:i/>
          <w:color w:val="2F5496" w:themeColor="accent1" w:themeShade="BF"/>
          <w:lang w:eastAsia="es-ES"/>
        </w:rPr>
        <w:instrText xml:space="preserve"> \* MERGEFORMAT </w:instrText>
      </w:r>
      <w:r w:rsidR="001F20DC" w:rsidRPr="008E3E15">
        <w:rPr>
          <w:rFonts w:eastAsia="ArialMT"/>
          <w:i/>
          <w:color w:val="2F5496" w:themeColor="accent1" w:themeShade="BF"/>
          <w:lang w:eastAsia="es-ES"/>
        </w:rPr>
      </w:r>
      <w:r w:rsidR="001F20DC" w:rsidRPr="008E3E15">
        <w:rPr>
          <w:rFonts w:eastAsia="ArialMT"/>
          <w:i/>
          <w:color w:val="2F5496" w:themeColor="accent1" w:themeShade="BF"/>
          <w:lang w:eastAsia="es-ES"/>
        </w:rPr>
        <w:fldChar w:fldCharType="separate"/>
      </w:r>
      <w:r w:rsidR="001F20DC" w:rsidRPr="008E3E15">
        <w:rPr>
          <w:i/>
          <w:color w:val="2F5496" w:themeColor="accent1" w:themeShade="BF"/>
        </w:rPr>
        <w:t>Figure 8</w:t>
      </w:r>
      <w:r w:rsidR="001F20DC" w:rsidRPr="008E3E15">
        <w:rPr>
          <w:rFonts w:eastAsia="ArialMT"/>
          <w:i/>
          <w:color w:val="2F5496" w:themeColor="accent1" w:themeShade="BF"/>
          <w:lang w:eastAsia="es-ES"/>
        </w:rPr>
        <w:fldChar w:fldCharType="end"/>
      </w:r>
      <w:r w:rsidR="009A3AB6" w:rsidRPr="004F0FE2">
        <w:rPr>
          <w:rFonts w:eastAsia="ArialMT"/>
          <w:lang w:eastAsia="es-ES"/>
        </w:rPr>
        <w:t>)</w:t>
      </w:r>
      <w:r w:rsidR="00121F39" w:rsidRPr="004F0FE2">
        <w:rPr>
          <w:rFonts w:eastAsia="ArialMT"/>
          <w:lang w:eastAsia="es-ES"/>
        </w:rPr>
        <w:t>.</w:t>
      </w:r>
      <w:r w:rsidR="008464F2" w:rsidRPr="004F0FE2">
        <w:rPr>
          <w:rFonts w:eastAsia="ArialMT"/>
          <w:lang w:eastAsia="es-ES"/>
        </w:rPr>
        <w:t xml:space="preserve"> Sensitivity OS analysis using the PP set provided </w:t>
      </w:r>
      <w:r w:rsidR="009A3AB6" w:rsidRPr="004F0FE2">
        <w:rPr>
          <w:rFonts w:eastAsia="ArialMT"/>
          <w:lang w:eastAsia="es-ES"/>
        </w:rPr>
        <w:t>comparable</w:t>
      </w:r>
      <w:r w:rsidR="008464F2" w:rsidRPr="004F0FE2">
        <w:rPr>
          <w:rFonts w:eastAsia="ArialMT"/>
          <w:lang w:eastAsia="es-ES"/>
        </w:rPr>
        <w:t xml:space="preserve"> </w:t>
      </w:r>
      <w:r w:rsidR="009A3AB6" w:rsidRPr="004F0FE2">
        <w:rPr>
          <w:rFonts w:eastAsia="ArialMT"/>
          <w:lang w:eastAsia="es-ES"/>
        </w:rPr>
        <w:t xml:space="preserve">non-conclusive </w:t>
      </w:r>
      <w:r w:rsidR="008464F2" w:rsidRPr="004F0FE2">
        <w:rPr>
          <w:rFonts w:eastAsia="ArialMT"/>
          <w:lang w:eastAsia="es-ES"/>
        </w:rPr>
        <w:t xml:space="preserve">results. </w:t>
      </w:r>
    </w:p>
    <w:p w14:paraId="67483194" w14:textId="77777777" w:rsidR="00C0724D" w:rsidRPr="004F0FE2" w:rsidRDefault="00C0724D" w:rsidP="00673269">
      <w:pPr>
        <w:pStyle w:val="Ttulo3"/>
        <w:ind w:right="567"/>
      </w:pPr>
      <w:bookmarkStart w:id="336" w:name="_Toc52468134"/>
      <w:r w:rsidRPr="004F0FE2">
        <w:t>Pre-</w:t>
      </w:r>
      <w:r w:rsidR="00391AA9" w:rsidRPr="004F0FE2">
        <w:t>specified Subgroup Analyses</w:t>
      </w:r>
      <w:bookmarkEnd w:id="336"/>
      <w:r w:rsidR="00391AA9" w:rsidRPr="004F0FE2">
        <w:t xml:space="preserve"> </w:t>
      </w:r>
    </w:p>
    <w:p w14:paraId="57A2EC95" w14:textId="0CDCE749" w:rsidR="0085259F" w:rsidRPr="004F0FE2" w:rsidRDefault="00C0724D" w:rsidP="00673269">
      <w:pPr>
        <w:ind w:right="567"/>
        <w:rPr>
          <w:color w:val="FF0000"/>
        </w:rPr>
      </w:pPr>
      <w:r w:rsidRPr="004F0FE2">
        <w:t xml:space="preserve">To better understand whether the PFS treatment effect may be influenced by </w:t>
      </w:r>
      <w:r w:rsidR="008464F2" w:rsidRPr="004F0FE2">
        <w:t xml:space="preserve">stratification factors or </w:t>
      </w:r>
      <w:r w:rsidRPr="004F0FE2">
        <w:t>baseline characteristics, pre-specified subgroup analys</w:t>
      </w:r>
      <w:r w:rsidR="0094371A" w:rsidRPr="004F0FE2">
        <w:t>e</w:t>
      </w:r>
      <w:r w:rsidRPr="004F0FE2">
        <w:t>s w</w:t>
      </w:r>
      <w:r w:rsidR="0094371A" w:rsidRPr="004F0FE2">
        <w:t>ere</w:t>
      </w:r>
      <w:r w:rsidRPr="004F0FE2">
        <w:t xml:space="preserve"> performed in the ITT and PP populations. Subgroup heterogeneity was low, meaning that the analysis may be able to consistently identify any subgroup effects. No statistically significant benefit in PFS was observed</w:t>
      </w:r>
      <w:r w:rsidR="00CE403F" w:rsidRPr="004F0FE2">
        <w:t xml:space="preserve"> </w:t>
      </w:r>
      <w:r w:rsidRPr="004F0FE2">
        <w:t xml:space="preserve">for any of the </w:t>
      </w:r>
      <w:r w:rsidR="00CE403F" w:rsidRPr="004F0FE2">
        <w:t>sub</w:t>
      </w:r>
      <w:r w:rsidRPr="004F0FE2">
        <w:t xml:space="preserve">groups </w:t>
      </w:r>
      <w:r w:rsidR="00CE403F" w:rsidRPr="004F0FE2">
        <w:t>assessed</w:t>
      </w:r>
      <w:r w:rsidR="0094371A" w:rsidRPr="004F0FE2">
        <w:t xml:space="preserve"> in the ITT population</w:t>
      </w:r>
      <w:r w:rsidRPr="004F0FE2">
        <w:t xml:space="preserve"> (</w:t>
      </w:r>
      <w:r w:rsidR="00C5225B" w:rsidRPr="008E3E15">
        <w:rPr>
          <w:i/>
          <w:color w:val="2F5496" w:themeColor="accent1" w:themeShade="BF"/>
        </w:rPr>
        <w:fldChar w:fldCharType="begin"/>
      </w:r>
      <w:r w:rsidR="00C5225B" w:rsidRPr="008E3E15">
        <w:rPr>
          <w:i/>
          <w:color w:val="2F5496" w:themeColor="accent1" w:themeShade="BF"/>
        </w:rPr>
        <w:instrText xml:space="preserve"> REF _Ref52439695 \h </w:instrText>
      </w:r>
      <w:r w:rsidR="008E3E15" w:rsidRPr="008E3E15">
        <w:rPr>
          <w:i/>
          <w:color w:val="2F5496" w:themeColor="accent1" w:themeShade="BF"/>
        </w:rPr>
        <w:instrText xml:space="preserve"> \* MERGEFORMAT </w:instrText>
      </w:r>
      <w:r w:rsidR="00C5225B" w:rsidRPr="008E3E15">
        <w:rPr>
          <w:i/>
          <w:color w:val="2F5496" w:themeColor="accent1" w:themeShade="BF"/>
        </w:rPr>
      </w:r>
      <w:r w:rsidR="00C5225B" w:rsidRPr="008E3E15">
        <w:rPr>
          <w:i/>
          <w:color w:val="2F5496" w:themeColor="accent1" w:themeShade="BF"/>
        </w:rPr>
        <w:fldChar w:fldCharType="separate"/>
      </w:r>
      <w:r w:rsidR="00C5225B" w:rsidRPr="008E3E15">
        <w:rPr>
          <w:i/>
          <w:color w:val="2F5496" w:themeColor="accent1" w:themeShade="BF"/>
        </w:rPr>
        <w:t>Figure 4</w:t>
      </w:r>
      <w:r w:rsidR="00C5225B" w:rsidRPr="008E3E15">
        <w:rPr>
          <w:i/>
          <w:color w:val="2F5496" w:themeColor="accent1" w:themeShade="BF"/>
        </w:rPr>
        <w:fldChar w:fldCharType="end"/>
      </w:r>
      <w:r w:rsidRPr="004F0FE2">
        <w:t xml:space="preserve">), suggesting that none of </w:t>
      </w:r>
      <w:r w:rsidR="00CE403F" w:rsidRPr="004F0FE2">
        <w:t>these factors was</w:t>
      </w:r>
      <w:r w:rsidRPr="004F0FE2">
        <w:t xml:space="preserve"> able to modify the effect of </w:t>
      </w:r>
      <w:proofErr w:type="spellStart"/>
      <w:r w:rsidRPr="004F0FE2">
        <w:t>palbociclib-fulvestrant</w:t>
      </w:r>
      <w:proofErr w:type="spellEnd"/>
      <w:r w:rsidRPr="004F0FE2">
        <w:t xml:space="preserve"> treatment in comparison with the control intervention</w:t>
      </w:r>
      <w:r w:rsidR="003F76F5" w:rsidRPr="004F0FE2">
        <w:t>.</w:t>
      </w:r>
      <w:r w:rsidRPr="004F0FE2">
        <w:t xml:space="preserve"> </w:t>
      </w:r>
      <w:r w:rsidR="00CE1F17" w:rsidRPr="004F0FE2">
        <w:rPr>
          <w:shd w:val="clear" w:color="auto" w:fill="FFFFFF"/>
        </w:rPr>
        <w:t xml:space="preserve">However, a non-significant trend was observed toward improved PFS </w:t>
      </w:r>
      <w:r w:rsidR="00CE1F17" w:rsidRPr="004F0FE2">
        <w:t>in patients with visceral involvement who received letrozole</w:t>
      </w:r>
      <w:r w:rsidR="00CE1F17" w:rsidRPr="004F0FE2">
        <w:rPr>
          <w:shd w:val="clear" w:color="auto" w:fill="FFFFFF"/>
        </w:rPr>
        <w:t>–</w:t>
      </w:r>
      <w:proofErr w:type="spellStart"/>
      <w:r w:rsidR="00CE1F17" w:rsidRPr="004F0FE2">
        <w:t>palbociclib</w:t>
      </w:r>
      <w:proofErr w:type="spellEnd"/>
      <w:r w:rsidR="00CE1F17" w:rsidRPr="004F0FE2">
        <w:t xml:space="preserve"> (HR=1.28; 95%CI 0.92-1.78; p=0.275). </w:t>
      </w:r>
      <w:r w:rsidR="00AC695F" w:rsidRPr="004F0FE2">
        <w:t xml:space="preserve">Stratified analysis included comparisons according to baseline </w:t>
      </w:r>
      <w:r w:rsidR="00AC695F" w:rsidRPr="004F0FE2">
        <w:rPr>
          <w:shd w:val="clear" w:color="auto" w:fill="FFFFFF"/>
        </w:rPr>
        <w:t xml:space="preserve">characteristics, such as age (&lt;65 years versus ≥65 years, p=0.948), ECOG status (0 versus 1-2, p=0.881), disease free interval (de novo versus non-de novo disease, p=0.979), visceral disease (non-visceral versus visceral, p=0.275) or number of disease sites (1-2 versus ≥3, p=0.687). </w:t>
      </w:r>
      <w:r w:rsidR="0085259F" w:rsidRPr="004F0FE2">
        <w:t>Similar results were obtained when the analysis used the PP population.</w:t>
      </w:r>
      <w:r w:rsidR="0085259F" w:rsidRPr="004F0FE2">
        <w:rPr>
          <w:color w:val="FF0000"/>
        </w:rPr>
        <w:t xml:space="preserve"> </w:t>
      </w:r>
    </w:p>
    <w:p w14:paraId="205AF210" w14:textId="2B9B04C1" w:rsidR="00B05952" w:rsidRPr="004F0FE2" w:rsidRDefault="005A08D2" w:rsidP="00673269">
      <w:pPr>
        <w:ind w:right="567"/>
        <w:rPr>
          <w:shd w:val="clear" w:color="auto" w:fill="FFFFFF"/>
        </w:rPr>
      </w:pPr>
      <w:r w:rsidRPr="004F0FE2">
        <w:rPr>
          <w:shd w:val="clear" w:color="auto" w:fill="FFFFFF"/>
        </w:rPr>
        <w:t>S</w:t>
      </w:r>
      <w:r w:rsidR="00A85F87" w:rsidRPr="004F0FE2">
        <w:rPr>
          <w:shd w:val="clear" w:color="auto" w:fill="FFFFFF"/>
        </w:rPr>
        <w:t xml:space="preserve">ubgroup analyses </w:t>
      </w:r>
      <w:r w:rsidRPr="004F0FE2">
        <w:rPr>
          <w:shd w:val="clear" w:color="auto" w:fill="FFFFFF"/>
        </w:rPr>
        <w:t xml:space="preserve">were </w:t>
      </w:r>
      <w:r w:rsidR="002C3226" w:rsidRPr="004F0FE2">
        <w:rPr>
          <w:shd w:val="clear" w:color="auto" w:fill="FFFFFF"/>
        </w:rPr>
        <w:t xml:space="preserve">also </w:t>
      </w:r>
      <w:r w:rsidRPr="004F0FE2">
        <w:rPr>
          <w:shd w:val="clear" w:color="auto" w:fill="FFFFFF"/>
        </w:rPr>
        <w:t xml:space="preserve">performed using </w:t>
      </w:r>
      <w:r w:rsidR="002C3226" w:rsidRPr="004F0FE2">
        <w:rPr>
          <w:shd w:val="clear" w:color="auto" w:fill="FFFFFF"/>
        </w:rPr>
        <w:t>the secondary efficacy variables (</w:t>
      </w:r>
      <w:r w:rsidR="0085259F" w:rsidRPr="004F0FE2">
        <w:rPr>
          <w:shd w:val="clear" w:color="auto" w:fill="FFFFFF"/>
        </w:rPr>
        <w:t xml:space="preserve">OS, ORR, CBR, </w:t>
      </w:r>
      <w:proofErr w:type="spellStart"/>
      <w:r w:rsidR="0085259F" w:rsidRPr="004F0FE2">
        <w:rPr>
          <w:shd w:val="clear" w:color="auto" w:fill="FFFFFF"/>
        </w:rPr>
        <w:t>DoR</w:t>
      </w:r>
      <w:proofErr w:type="spellEnd"/>
      <w:r w:rsidR="0085259F" w:rsidRPr="004F0FE2">
        <w:rPr>
          <w:shd w:val="clear" w:color="auto" w:fill="FFFFFF"/>
        </w:rPr>
        <w:t xml:space="preserve">, </w:t>
      </w:r>
      <w:proofErr w:type="spellStart"/>
      <w:r w:rsidR="0085259F" w:rsidRPr="004F0FE2">
        <w:rPr>
          <w:shd w:val="clear" w:color="auto" w:fill="FFFFFF"/>
        </w:rPr>
        <w:t>DoCB</w:t>
      </w:r>
      <w:proofErr w:type="spellEnd"/>
      <w:r w:rsidR="0085259F" w:rsidRPr="004F0FE2">
        <w:rPr>
          <w:shd w:val="clear" w:color="auto" w:fill="FFFFFF"/>
        </w:rPr>
        <w:t>, TTP and TTR)</w:t>
      </w:r>
      <w:r w:rsidRPr="004F0FE2">
        <w:rPr>
          <w:shd w:val="clear" w:color="auto" w:fill="FFFFFF"/>
        </w:rPr>
        <w:t xml:space="preserve"> with </w:t>
      </w:r>
      <w:r w:rsidR="0085259F" w:rsidRPr="004F0FE2">
        <w:rPr>
          <w:shd w:val="clear" w:color="auto" w:fill="FFFFFF"/>
        </w:rPr>
        <w:t>comparable findings</w:t>
      </w:r>
      <w:r w:rsidRPr="004F0FE2">
        <w:rPr>
          <w:shd w:val="clear" w:color="auto" w:fill="FFFFFF"/>
        </w:rPr>
        <w:t xml:space="preserve"> across </w:t>
      </w:r>
      <w:r w:rsidR="002C3226" w:rsidRPr="004F0FE2">
        <w:rPr>
          <w:shd w:val="clear" w:color="auto" w:fill="FFFFFF"/>
        </w:rPr>
        <w:t>all pre</w:t>
      </w:r>
      <w:r w:rsidR="0085259F" w:rsidRPr="004F0FE2">
        <w:rPr>
          <w:shd w:val="clear" w:color="auto" w:fill="FFFFFF"/>
        </w:rPr>
        <w:t>-</w:t>
      </w:r>
      <w:r w:rsidR="002C3226" w:rsidRPr="004F0FE2">
        <w:rPr>
          <w:shd w:val="clear" w:color="auto" w:fill="FFFFFF"/>
        </w:rPr>
        <w:t>specified subgroups</w:t>
      </w:r>
      <w:r w:rsidR="009A3AB6" w:rsidRPr="004F0FE2">
        <w:rPr>
          <w:shd w:val="clear" w:color="auto" w:fill="FFFFFF"/>
        </w:rPr>
        <w:t xml:space="preserve"> (</w:t>
      </w:r>
      <w:r w:rsidR="00F45E60" w:rsidRPr="00F45E60">
        <w:rPr>
          <w:rFonts w:eastAsia="ArialMT"/>
          <w:i/>
          <w:color w:val="2F5496" w:themeColor="accent1" w:themeShade="BF"/>
          <w:lang w:eastAsia="es-ES"/>
        </w:rPr>
        <w:fldChar w:fldCharType="begin"/>
      </w:r>
      <w:r w:rsidR="00F45E60" w:rsidRPr="00F45E60">
        <w:rPr>
          <w:rFonts w:eastAsia="ArialMT"/>
          <w:i/>
          <w:color w:val="2F5496" w:themeColor="accent1" w:themeShade="BF"/>
          <w:lang w:eastAsia="es-ES"/>
        </w:rPr>
        <w:instrText xml:space="preserve"> REF _Ref52469629 \h  \* MERGEFORMAT </w:instrText>
      </w:r>
      <w:r w:rsidR="00F45E60" w:rsidRPr="00F45E60">
        <w:rPr>
          <w:rFonts w:eastAsia="ArialMT"/>
          <w:i/>
          <w:color w:val="2F5496" w:themeColor="accent1" w:themeShade="BF"/>
          <w:lang w:eastAsia="es-ES"/>
        </w:rPr>
      </w:r>
      <w:r w:rsidR="00F45E60" w:rsidRPr="00F45E60">
        <w:rPr>
          <w:rFonts w:eastAsia="ArialMT"/>
          <w:i/>
          <w:color w:val="2F5496" w:themeColor="accent1" w:themeShade="BF"/>
          <w:lang w:eastAsia="es-ES"/>
        </w:rPr>
        <w:fldChar w:fldCharType="separate"/>
      </w:r>
      <w:r w:rsidR="00F45E60" w:rsidRPr="00F45E60">
        <w:rPr>
          <w:i/>
          <w:color w:val="2F5496" w:themeColor="accent1" w:themeShade="BF"/>
        </w:rPr>
        <w:t>Figure 7</w:t>
      </w:r>
      <w:r w:rsidR="00F45E60" w:rsidRPr="00F45E60">
        <w:rPr>
          <w:rFonts w:eastAsia="ArialMT"/>
          <w:i/>
          <w:color w:val="2F5496" w:themeColor="accent1" w:themeShade="BF"/>
          <w:lang w:eastAsia="es-ES"/>
        </w:rPr>
        <w:fldChar w:fldCharType="end"/>
      </w:r>
      <w:r w:rsidR="009A3AB6" w:rsidRPr="004F0FE2">
        <w:rPr>
          <w:shd w:val="clear" w:color="auto" w:fill="FFFFFF"/>
        </w:rPr>
        <w:t>)</w:t>
      </w:r>
      <w:r w:rsidR="002C3226" w:rsidRPr="004F0FE2">
        <w:rPr>
          <w:shd w:val="clear" w:color="auto" w:fill="FFFFFF"/>
        </w:rPr>
        <w:t xml:space="preserve">. </w:t>
      </w:r>
      <w:r w:rsidR="001E5EF0" w:rsidRPr="004F0FE2">
        <w:rPr>
          <w:shd w:val="clear" w:color="auto" w:fill="FFFFFF"/>
        </w:rPr>
        <w:t>A single</w:t>
      </w:r>
      <w:r w:rsidR="002C3226" w:rsidRPr="004F0FE2">
        <w:rPr>
          <w:shd w:val="clear" w:color="auto" w:fill="FFFFFF"/>
        </w:rPr>
        <w:t xml:space="preserve"> exceptional</w:t>
      </w:r>
      <w:r w:rsidR="001E5EF0" w:rsidRPr="004F0FE2">
        <w:rPr>
          <w:shd w:val="clear" w:color="auto" w:fill="FFFFFF"/>
        </w:rPr>
        <w:t xml:space="preserve"> subgroup effect was observed </w:t>
      </w:r>
      <w:r w:rsidR="002C3226" w:rsidRPr="004F0FE2">
        <w:rPr>
          <w:shd w:val="clear" w:color="auto" w:fill="FFFFFF"/>
        </w:rPr>
        <w:t>for</w:t>
      </w:r>
      <w:r w:rsidR="001E5EF0" w:rsidRPr="004F0FE2">
        <w:rPr>
          <w:shd w:val="clear" w:color="auto" w:fill="FFFFFF"/>
        </w:rPr>
        <w:t xml:space="preserve"> </w:t>
      </w:r>
      <w:r w:rsidR="006B4DD6" w:rsidRPr="004F0FE2">
        <w:rPr>
          <w:shd w:val="clear" w:color="auto" w:fill="FFFFFF"/>
        </w:rPr>
        <w:t xml:space="preserve">CBR, </w:t>
      </w:r>
      <w:r w:rsidR="001E5EF0" w:rsidRPr="004F0FE2">
        <w:rPr>
          <w:shd w:val="clear" w:color="auto" w:fill="FFFFFF"/>
        </w:rPr>
        <w:t xml:space="preserve">ORR </w:t>
      </w:r>
      <w:r w:rsidR="002C3226" w:rsidRPr="004F0FE2">
        <w:rPr>
          <w:shd w:val="clear" w:color="auto" w:fill="FFFFFF"/>
        </w:rPr>
        <w:t xml:space="preserve">and TTR </w:t>
      </w:r>
      <w:r w:rsidR="0085259F" w:rsidRPr="004F0FE2">
        <w:rPr>
          <w:shd w:val="clear" w:color="auto" w:fill="FFFFFF"/>
        </w:rPr>
        <w:t xml:space="preserve">analyses </w:t>
      </w:r>
      <w:r w:rsidR="001E5EF0" w:rsidRPr="004F0FE2">
        <w:rPr>
          <w:shd w:val="clear" w:color="auto" w:fill="FFFFFF"/>
        </w:rPr>
        <w:t>concerning the ECOG performance status</w:t>
      </w:r>
      <w:r w:rsidR="002C3226" w:rsidRPr="004F0FE2">
        <w:rPr>
          <w:shd w:val="clear" w:color="auto" w:fill="FFFFFF"/>
        </w:rPr>
        <w:t>. P</w:t>
      </w:r>
      <w:r w:rsidR="0001300E" w:rsidRPr="004F0FE2">
        <w:rPr>
          <w:shd w:val="clear" w:color="auto" w:fill="FFFFFF"/>
        </w:rPr>
        <w:t>atients with ECOG</w:t>
      </w:r>
      <w:r w:rsidR="00AD4D5D" w:rsidRPr="004F0FE2">
        <w:rPr>
          <w:shd w:val="clear" w:color="auto" w:fill="FFFFFF"/>
        </w:rPr>
        <w:t xml:space="preserve"> </w:t>
      </w:r>
      <w:r w:rsidR="0001300E" w:rsidRPr="004F0FE2">
        <w:rPr>
          <w:shd w:val="clear" w:color="auto" w:fill="FFFFFF"/>
        </w:rPr>
        <w:t>0 (</w:t>
      </w:r>
      <w:r w:rsidR="001E5EF0" w:rsidRPr="004F0FE2">
        <w:rPr>
          <w:shd w:val="clear" w:color="auto" w:fill="FFFFFF"/>
        </w:rPr>
        <w:t>62.1%</w:t>
      </w:r>
      <w:r w:rsidR="0001300E" w:rsidRPr="004F0FE2">
        <w:rPr>
          <w:shd w:val="clear" w:color="auto" w:fill="FFFFFF"/>
        </w:rPr>
        <w:t xml:space="preserve"> in the </w:t>
      </w:r>
      <w:proofErr w:type="spellStart"/>
      <w:r w:rsidR="0001300E" w:rsidRPr="004F0FE2">
        <w:rPr>
          <w:shd w:val="clear" w:color="auto" w:fill="FFFFFF"/>
        </w:rPr>
        <w:t>palbociclib-fulvestrant</w:t>
      </w:r>
      <w:proofErr w:type="spellEnd"/>
      <w:r w:rsidR="0001300E" w:rsidRPr="004F0FE2">
        <w:rPr>
          <w:shd w:val="clear" w:color="auto" w:fill="FFFFFF"/>
        </w:rPr>
        <w:t xml:space="preserve"> arm and 51.0% in the control arm) </w:t>
      </w:r>
      <w:r w:rsidR="004B3B97" w:rsidRPr="004F0FE2">
        <w:rPr>
          <w:shd w:val="clear" w:color="auto" w:fill="FFFFFF"/>
        </w:rPr>
        <w:t xml:space="preserve">showed significant differences in terms of CBR </w:t>
      </w:r>
      <w:proofErr w:type="spellStart"/>
      <w:r w:rsidR="0078084D" w:rsidRPr="004F0FE2">
        <w:rPr>
          <w:shd w:val="clear" w:color="auto" w:fill="FFFFFF"/>
        </w:rPr>
        <w:t>favouring</w:t>
      </w:r>
      <w:proofErr w:type="spellEnd"/>
      <w:r w:rsidR="0078084D" w:rsidRPr="004F0FE2">
        <w:rPr>
          <w:shd w:val="clear" w:color="auto" w:fill="FFFFFF"/>
        </w:rPr>
        <w:t xml:space="preserve"> the </w:t>
      </w:r>
      <w:proofErr w:type="spellStart"/>
      <w:r w:rsidR="0078084D" w:rsidRPr="004F0FE2">
        <w:rPr>
          <w:shd w:val="clear" w:color="auto" w:fill="FFFFFF"/>
        </w:rPr>
        <w:t>palbociclib</w:t>
      </w:r>
      <w:proofErr w:type="spellEnd"/>
      <w:r w:rsidR="0078084D" w:rsidRPr="004F0FE2">
        <w:rPr>
          <w:shd w:val="clear" w:color="auto" w:fill="FFFFFF"/>
        </w:rPr>
        <w:t xml:space="preserve">-letrozole arm </w:t>
      </w:r>
      <w:r w:rsidR="004B3B97" w:rsidRPr="004F0FE2">
        <w:rPr>
          <w:shd w:val="clear" w:color="auto" w:fill="FFFFFF"/>
        </w:rPr>
        <w:t>(OR=1.74 ,95%CI 1.02-2.98, p=0.0061)</w:t>
      </w:r>
      <w:r w:rsidR="0078084D" w:rsidRPr="004F0FE2">
        <w:rPr>
          <w:shd w:val="clear" w:color="auto" w:fill="FFFFFF"/>
        </w:rPr>
        <w:t xml:space="preserve">. </w:t>
      </w:r>
      <w:r w:rsidR="002525A2" w:rsidRPr="004F0FE2">
        <w:rPr>
          <w:shd w:val="clear" w:color="auto" w:fill="FFFFFF"/>
        </w:rPr>
        <w:t>Conversely</w:t>
      </w:r>
      <w:r w:rsidR="004B3B97" w:rsidRPr="004F0FE2">
        <w:rPr>
          <w:shd w:val="clear" w:color="auto" w:fill="FFFFFF"/>
        </w:rPr>
        <w:t xml:space="preserve">, </w:t>
      </w:r>
      <w:r w:rsidR="006B4DD6" w:rsidRPr="004F0FE2">
        <w:rPr>
          <w:shd w:val="clear" w:color="auto" w:fill="FFFFFF"/>
        </w:rPr>
        <w:t>p</w:t>
      </w:r>
      <w:r w:rsidR="00AD4D5D" w:rsidRPr="004F0FE2">
        <w:rPr>
          <w:shd w:val="clear" w:color="auto" w:fill="FFFFFF"/>
        </w:rPr>
        <w:t xml:space="preserve">atients with ECOG 1-2 (37.9% in the </w:t>
      </w:r>
      <w:proofErr w:type="spellStart"/>
      <w:r w:rsidR="00AD4D5D" w:rsidRPr="004F0FE2">
        <w:rPr>
          <w:shd w:val="clear" w:color="auto" w:fill="FFFFFF"/>
        </w:rPr>
        <w:t>palbociclib-fulvestrant</w:t>
      </w:r>
      <w:proofErr w:type="spellEnd"/>
      <w:r w:rsidR="00AD4D5D" w:rsidRPr="004F0FE2">
        <w:rPr>
          <w:shd w:val="clear" w:color="auto" w:fill="FFFFFF"/>
        </w:rPr>
        <w:t xml:space="preserve"> group and 49.0% in the </w:t>
      </w:r>
      <w:proofErr w:type="spellStart"/>
      <w:r w:rsidR="00AD4D5D" w:rsidRPr="004F0FE2">
        <w:rPr>
          <w:shd w:val="clear" w:color="auto" w:fill="FFFFFF"/>
        </w:rPr>
        <w:t>palboci</w:t>
      </w:r>
      <w:r w:rsidR="0078084D" w:rsidRPr="004F0FE2">
        <w:rPr>
          <w:shd w:val="clear" w:color="auto" w:fill="FFFFFF"/>
        </w:rPr>
        <w:t>clib</w:t>
      </w:r>
      <w:proofErr w:type="spellEnd"/>
      <w:r w:rsidR="0078084D" w:rsidRPr="004F0FE2">
        <w:rPr>
          <w:shd w:val="clear" w:color="auto" w:fill="FFFFFF"/>
        </w:rPr>
        <w:t>-letrozole arm) also presented statistically significant differences in terms of ORR (OR=0.41, 95%CI 0.23-0.74, p=0.0031) and TTR (OR=</w:t>
      </w:r>
      <w:r w:rsidR="006B4DD6" w:rsidRPr="004F0FE2">
        <w:rPr>
          <w:shd w:val="clear" w:color="auto" w:fill="FFFFFF"/>
        </w:rPr>
        <w:t>0.59</w:t>
      </w:r>
      <w:r w:rsidR="0078084D" w:rsidRPr="004F0FE2">
        <w:rPr>
          <w:shd w:val="clear" w:color="auto" w:fill="FFFFFF"/>
        </w:rPr>
        <w:t xml:space="preserve">, </w:t>
      </w:r>
      <w:r w:rsidR="006B4DD6" w:rsidRPr="004F0FE2">
        <w:rPr>
          <w:shd w:val="clear" w:color="auto" w:fill="FFFFFF"/>
        </w:rPr>
        <w:t>95%CI 0.38-0.92</w:t>
      </w:r>
      <w:r w:rsidR="0078084D" w:rsidRPr="004F0FE2">
        <w:rPr>
          <w:shd w:val="clear" w:color="auto" w:fill="FFFFFF"/>
        </w:rPr>
        <w:t>,</w:t>
      </w:r>
      <w:r w:rsidR="006B4DD6" w:rsidRPr="004F0FE2">
        <w:rPr>
          <w:shd w:val="clear" w:color="auto" w:fill="FFFFFF"/>
        </w:rPr>
        <w:t xml:space="preserve"> p=0.0184)</w:t>
      </w:r>
      <w:r w:rsidR="002C3226" w:rsidRPr="004F0FE2">
        <w:rPr>
          <w:shd w:val="clear" w:color="auto" w:fill="FFFFFF"/>
        </w:rPr>
        <w:t xml:space="preserve">, </w:t>
      </w:r>
      <w:r w:rsidR="00CA389E" w:rsidRPr="004F0FE2">
        <w:rPr>
          <w:shd w:val="clear" w:color="auto" w:fill="FFFFFF"/>
        </w:rPr>
        <w:t>favoring</w:t>
      </w:r>
      <w:r w:rsidR="002C3226" w:rsidRPr="004F0FE2">
        <w:rPr>
          <w:shd w:val="clear" w:color="auto" w:fill="FFFFFF"/>
        </w:rPr>
        <w:t xml:space="preserve"> the </w:t>
      </w:r>
      <w:proofErr w:type="spellStart"/>
      <w:r w:rsidR="002C3226" w:rsidRPr="004F0FE2">
        <w:rPr>
          <w:shd w:val="clear" w:color="auto" w:fill="FFFFFF"/>
        </w:rPr>
        <w:t>palbociclib-fulvestrant</w:t>
      </w:r>
      <w:proofErr w:type="spellEnd"/>
      <w:r w:rsidR="002C3226" w:rsidRPr="004F0FE2">
        <w:rPr>
          <w:shd w:val="clear" w:color="auto" w:fill="FFFFFF"/>
        </w:rPr>
        <w:t xml:space="preserve"> group in this case</w:t>
      </w:r>
      <w:r w:rsidR="00AD4D5D" w:rsidRPr="004F0FE2">
        <w:rPr>
          <w:shd w:val="clear" w:color="auto" w:fill="FFFFFF"/>
        </w:rPr>
        <w:t xml:space="preserve">. </w:t>
      </w:r>
      <w:r w:rsidR="0078084D" w:rsidRPr="004F0FE2">
        <w:rPr>
          <w:shd w:val="clear" w:color="auto" w:fill="FFFFFF"/>
        </w:rPr>
        <w:t>Similar e</w:t>
      </w:r>
      <w:r w:rsidR="00272014" w:rsidRPr="004F0FE2">
        <w:rPr>
          <w:shd w:val="clear" w:color="auto" w:fill="FFFFFF"/>
        </w:rPr>
        <w:t xml:space="preserve">ffects were also observed in the PP set analyses. </w:t>
      </w:r>
      <w:r w:rsidR="006B4DD6" w:rsidRPr="004F0FE2">
        <w:rPr>
          <w:shd w:val="clear" w:color="auto" w:fill="FFFFFF"/>
        </w:rPr>
        <w:t>These findings suggest that patients with a worse performance status might</w:t>
      </w:r>
      <w:r w:rsidR="00B05952" w:rsidRPr="004F0FE2">
        <w:rPr>
          <w:shd w:val="clear" w:color="auto" w:fill="FFFFFF"/>
        </w:rPr>
        <w:t xml:space="preserve"> benefit from a </w:t>
      </w:r>
      <w:r w:rsidR="00735280" w:rsidRPr="004F0FE2">
        <w:rPr>
          <w:shd w:val="clear" w:color="auto" w:fill="FFFFFF"/>
        </w:rPr>
        <w:t xml:space="preserve">better </w:t>
      </w:r>
      <w:r w:rsidR="00B05952" w:rsidRPr="004F0FE2">
        <w:rPr>
          <w:shd w:val="clear" w:color="auto" w:fill="FFFFFF"/>
        </w:rPr>
        <w:t xml:space="preserve">response to treatment with </w:t>
      </w:r>
      <w:proofErr w:type="spellStart"/>
      <w:r w:rsidR="00B05952" w:rsidRPr="004F0FE2">
        <w:rPr>
          <w:shd w:val="clear" w:color="auto" w:fill="FFFFFF"/>
        </w:rPr>
        <w:t>palbociclib</w:t>
      </w:r>
      <w:proofErr w:type="spellEnd"/>
      <w:r w:rsidR="00B05952" w:rsidRPr="004F0FE2">
        <w:rPr>
          <w:shd w:val="clear" w:color="auto" w:fill="FFFFFF"/>
        </w:rPr>
        <w:t xml:space="preserve"> plus </w:t>
      </w:r>
      <w:proofErr w:type="spellStart"/>
      <w:r w:rsidR="00B05952" w:rsidRPr="004F0FE2">
        <w:rPr>
          <w:shd w:val="clear" w:color="auto" w:fill="FFFFFF"/>
        </w:rPr>
        <w:t>fulvestrant</w:t>
      </w:r>
      <w:proofErr w:type="spellEnd"/>
      <w:r w:rsidR="00B05952" w:rsidRPr="004F0FE2">
        <w:rPr>
          <w:shd w:val="clear" w:color="auto" w:fill="FFFFFF"/>
        </w:rPr>
        <w:t xml:space="preserve">. </w:t>
      </w:r>
      <w:r w:rsidR="00B05952" w:rsidRPr="004F0FE2">
        <w:rPr>
          <w:rStyle w:val="nfasis"/>
          <w:i w:val="0"/>
        </w:rPr>
        <w:t>However,</w:t>
      </w:r>
      <w:r w:rsidR="00B05952" w:rsidRPr="004F0FE2">
        <w:rPr>
          <w:rStyle w:val="st"/>
          <w:i/>
        </w:rPr>
        <w:t xml:space="preserve"> </w:t>
      </w:r>
      <w:r w:rsidR="00B05952" w:rsidRPr="004F0FE2">
        <w:rPr>
          <w:rStyle w:val="st"/>
        </w:rPr>
        <w:t xml:space="preserve">caution is </w:t>
      </w:r>
      <w:r w:rsidR="00B05952" w:rsidRPr="004F0FE2">
        <w:rPr>
          <w:rStyle w:val="nfasis"/>
          <w:i w:val="0"/>
        </w:rPr>
        <w:t>required</w:t>
      </w:r>
      <w:r w:rsidR="00B05952" w:rsidRPr="004F0FE2">
        <w:rPr>
          <w:rStyle w:val="st"/>
          <w:i/>
        </w:rPr>
        <w:t xml:space="preserve"> </w:t>
      </w:r>
      <w:r w:rsidR="00B05952" w:rsidRPr="004F0FE2">
        <w:rPr>
          <w:rStyle w:val="st"/>
        </w:rPr>
        <w:t>in the interpretation of these findings as they lack support from direct evidence of the primary outcome</w:t>
      </w:r>
      <w:r w:rsidR="00B05952" w:rsidRPr="004F0FE2">
        <w:rPr>
          <w:shd w:val="clear" w:color="auto" w:fill="FFFFFF"/>
        </w:rPr>
        <w:t>.</w:t>
      </w:r>
    </w:p>
    <w:p w14:paraId="5C0512CC" w14:textId="77777777" w:rsidR="00AD4D5D" w:rsidRPr="004F0FE2" w:rsidRDefault="008E7F6B" w:rsidP="00673269">
      <w:pPr>
        <w:pStyle w:val="Ttulo2"/>
        <w:ind w:right="567"/>
        <w:rPr>
          <w:lang w:eastAsia="es-ES"/>
        </w:rPr>
      </w:pPr>
      <w:bookmarkStart w:id="337" w:name="_Toc52468135"/>
      <w:r w:rsidRPr="004F0FE2">
        <w:rPr>
          <w:lang w:eastAsia="es-ES"/>
        </w:rPr>
        <w:t xml:space="preserve">Drug </w:t>
      </w:r>
      <w:r w:rsidR="005F2C4B" w:rsidRPr="004F0FE2">
        <w:rPr>
          <w:lang w:eastAsia="es-ES"/>
        </w:rPr>
        <w:t>intensity</w:t>
      </w:r>
      <w:r w:rsidRPr="004F0FE2">
        <w:rPr>
          <w:lang w:eastAsia="es-ES"/>
        </w:rPr>
        <w:t xml:space="preserve"> and </w:t>
      </w:r>
      <w:r w:rsidR="005F2C4B" w:rsidRPr="004F0FE2">
        <w:rPr>
          <w:lang w:eastAsia="es-ES"/>
        </w:rPr>
        <w:t>correlation with r</w:t>
      </w:r>
      <w:r w:rsidRPr="004F0FE2">
        <w:rPr>
          <w:lang w:eastAsia="es-ES"/>
        </w:rPr>
        <w:t>esponse</w:t>
      </w:r>
      <w:r w:rsidR="005F2C4B" w:rsidRPr="004F0FE2">
        <w:rPr>
          <w:lang w:eastAsia="es-ES"/>
        </w:rPr>
        <w:t>.</w:t>
      </w:r>
      <w:bookmarkEnd w:id="337"/>
    </w:p>
    <w:p w14:paraId="49AF04C9" w14:textId="59C328B7" w:rsidR="00CD4643" w:rsidRPr="004F0FE2" w:rsidRDefault="00EB7061" w:rsidP="00673269">
      <w:pPr>
        <w:ind w:right="567"/>
      </w:pPr>
      <w:r w:rsidRPr="004F0FE2">
        <w:t xml:space="preserve">We examined the correlation between RDI and clinical response in terms of </w:t>
      </w:r>
      <w:r w:rsidR="0078084D" w:rsidRPr="004F0FE2">
        <w:t>b</w:t>
      </w:r>
      <w:r w:rsidRPr="004F0FE2">
        <w:t>est Overall Response, PFS and OS</w:t>
      </w:r>
      <w:r w:rsidR="005A4062" w:rsidRPr="004F0FE2">
        <w:t xml:space="preserve"> (</w:t>
      </w:r>
      <w:r w:rsidR="00773549" w:rsidRPr="002B7615">
        <w:rPr>
          <w:i/>
          <w:color w:val="2F5496" w:themeColor="accent1" w:themeShade="BF"/>
        </w:rPr>
        <w:fldChar w:fldCharType="begin"/>
      </w:r>
      <w:r w:rsidR="00773549" w:rsidRPr="002B7615">
        <w:rPr>
          <w:i/>
          <w:color w:val="2F5496" w:themeColor="accent1" w:themeShade="BF"/>
        </w:rPr>
        <w:instrText xml:space="preserve"> REF _Ref52426641 \h </w:instrText>
      </w:r>
      <w:r w:rsidR="002B7615" w:rsidRPr="002B7615">
        <w:rPr>
          <w:i/>
          <w:color w:val="2F5496" w:themeColor="accent1" w:themeShade="BF"/>
        </w:rPr>
        <w:instrText xml:space="preserve"> \* MERGEFORMAT </w:instrText>
      </w:r>
      <w:r w:rsidR="00773549" w:rsidRPr="002B7615">
        <w:rPr>
          <w:i/>
          <w:color w:val="2F5496" w:themeColor="accent1" w:themeShade="BF"/>
        </w:rPr>
      </w:r>
      <w:r w:rsidR="00773549" w:rsidRPr="002B7615">
        <w:rPr>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11</w:t>
      </w:r>
      <w:r w:rsidR="00773549" w:rsidRPr="002B7615">
        <w:rPr>
          <w:i/>
          <w:color w:val="2F5496" w:themeColor="accent1" w:themeShade="BF"/>
        </w:rPr>
        <w:fldChar w:fldCharType="end"/>
      </w:r>
      <w:r w:rsidR="005A4062" w:rsidRPr="004F0FE2">
        <w:t>)</w:t>
      </w:r>
      <w:r w:rsidRPr="004F0FE2">
        <w:t xml:space="preserve">. </w:t>
      </w:r>
      <w:r w:rsidR="005148BE" w:rsidRPr="004F0FE2">
        <w:t xml:space="preserve">No significant differences were observed among RDIs values to predict overall </w:t>
      </w:r>
      <w:r w:rsidR="00CA389E" w:rsidRPr="004F0FE2">
        <w:t>tumor</w:t>
      </w:r>
      <w:r w:rsidR="005148BE" w:rsidRPr="004F0FE2">
        <w:t xml:space="preserve"> response (CR, PR, SD or PD). Moreover, t</w:t>
      </w:r>
      <w:r w:rsidR="00816F74" w:rsidRPr="004F0FE2">
        <w:t xml:space="preserve">here </w:t>
      </w:r>
      <w:r w:rsidR="005148BE" w:rsidRPr="004F0FE2">
        <w:t xml:space="preserve">were no significant differences in </w:t>
      </w:r>
      <w:r w:rsidR="00816F74" w:rsidRPr="004F0FE2">
        <w:t xml:space="preserve">PFS and OS </w:t>
      </w:r>
      <w:r w:rsidR="00CD4643" w:rsidRPr="004F0FE2">
        <w:t xml:space="preserve">times </w:t>
      </w:r>
      <w:r w:rsidR="00816F74" w:rsidRPr="004F0FE2">
        <w:t xml:space="preserve">when </w:t>
      </w:r>
      <w:r w:rsidR="00CD4643" w:rsidRPr="004F0FE2">
        <w:t xml:space="preserve">the </w:t>
      </w:r>
      <w:r w:rsidR="00816F74" w:rsidRPr="004F0FE2">
        <w:t xml:space="preserve">RDI cut-off values were </w:t>
      </w:r>
      <w:r w:rsidR="00395A12" w:rsidRPr="004F0FE2">
        <w:t>ranged from</w:t>
      </w:r>
      <w:r w:rsidR="00CD4643" w:rsidRPr="004F0FE2">
        <w:t xml:space="preserve"> ≤80% to 100% (</w:t>
      </w:r>
      <w:r w:rsidR="008808AF" w:rsidRPr="008808AF">
        <w:rPr>
          <w:i/>
          <w:color w:val="2F5496" w:themeColor="accent1" w:themeShade="BF"/>
        </w:rPr>
        <w:fldChar w:fldCharType="begin"/>
      </w:r>
      <w:r w:rsidR="008808AF" w:rsidRPr="008808AF">
        <w:rPr>
          <w:i/>
          <w:color w:val="2F5496" w:themeColor="accent1" w:themeShade="BF"/>
        </w:rPr>
        <w:instrText xml:space="preserve"> REF _Ref52470671 \h  \* MERGEFORMAT </w:instrText>
      </w:r>
      <w:r w:rsidR="008808AF" w:rsidRPr="008808AF">
        <w:rPr>
          <w:i/>
          <w:color w:val="2F5496" w:themeColor="accent1" w:themeShade="BF"/>
        </w:rPr>
      </w:r>
      <w:r w:rsidR="008808AF" w:rsidRPr="008808AF">
        <w:rPr>
          <w:i/>
          <w:color w:val="2F5496" w:themeColor="accent1" w:themeShade="BF"/>
        </w:rPr>
        <w:fldChar w:fldCharType="separate"/>
      </w:r>
      <w:r w:rsidR="008808AF" w:rsidRPr="008808AF">
        <w:rPr>
          <w:i/>
          <w:color w:val="2F5496" w:themeColor="accent1" w:themeShade="BF"/>
        </w:rPr>
        <w:t xml:space="preserve">Figure </w:t>
      </w:r>
      <w:r w:rsidR="008808AF" w:rsidRPr="008808AF">
        <w:rPr>
          <w:i/>
          <w:noProof/>
          <w:color w:val="2F5496" w:themeColor="accent1" w:themeShade="BF"/>
        </w:rPr>
        <w:t>9</w:t>
      </w:r>
      <w:r w:rsidR="008808AF" w:rsidRPr="008808AF">
        <w:rPr>
          <w:i/>
          <w:color w:val="2F5496" w:themeColor="accent1" w:themeShade="BF"/>
        </w:rPr>
        <w:fldChar w:fldCharType="end"/>
      </w:r>
      <w:r w:rsidR="00CD4643" w:rsidRPr="004F0FE2">
        <w:t xml:space="preserve">). </w:t>
      </w:r>
    </w:p>
    <w:p w14:paraId="5A576357" w14:textId="77777777" w:rsidR="0001300E" w:rsidRPr="007501F4" w:rsidRDefault="001C71E7" w:rsidP="00673269">
      <w:pPr>
        <w:pStyle w:val="Ttulo2"/>
        <w:ind w:right="567"/>
      </w:pPr>
      <w:bookmarkStart w:id="338" w:name="_Toc52468136"/>
      <w:r w:rsidRPr="007501F4">
        <w:t xml:space="preserve">Efficacy </w:t>
      </w:r>
      <w:r w:rsidR="005D17D7" w:rsidRPr="007501F4">
        <w:t xml:space="preserve">summary and </w:t>
      </w:r>
      <w:r w:rsidRPr="007501F4">
        <w:t>conclusions.</w:t>
      </w:r>
      <w:bookmarkEnd w:id="338"/>
    </w:p>
    <w:p w14:paraId="1F0CE97F" w14:textId="743B5E74" w:rsidR="004941E7" w:rsidRPr="004F0FE2" w:rsidRDefault="004941E7" w:rsidP="00673269">
      <w:pPr>
        <w:ind w:right="567"/>
        <w:rPr>
          <w:shd w:val="clear" w:color="auto" w:fill="FFFFFF"/>
        </w:rPr>
      </w:pPr>
      <w:r w:rsidRPr="004F0FE2">
        <w:rPr>
          <w:lang w:eastAsia="es-ES"/>
        </w:rPr>
        <w:t xml:space="preserve">The final efficacy analysis was performed after 256 </w:t>
      </w:r>
      <w:r w:rsidR="005148BE" w:rsidRPr="004F0FE2">
        <w:rPr>
          <w:lang w:eastAsia="es-ES"/>
        </w:rPr>
        <w:t>PFS</w:t>
      </w:r>
      <w:r w:rsidRPr="004F0FE2">
        <w:rPr>
          <w:lang w:eastAsia="es-ES"/>
        </w:rPr>
        <w:t xml:space="preserve"> events</w:t>
      </w:r>
      <w:r w:rsidR="005148BE" w:rsidRPr="004F0FE2">
        <w:rPr>
          <w:lang w:eastAsia="es-ES"/>
        </w:rPr>
        <w:t>:</w:t>
      </w:r>
      <w:r w:rsidRPr="004F0FE2">
        <w:rPr>
          <w:lang w:eastAsia="es-ES"/>
        </w:rPr>
        <w:t xml:space="preserve"> 131 (53.9%) in the </w:t>
      </w:r>
      <w:proofErr w:type="spellStart"/>
      <w:r w:rsidRPr="004F0FE2">
        <w:rPr>
          <w:shd w:val="clear" w:color="auto" w:fill="FFFFFF"/>
        </w:rPr>
        <w:t>palbociclib-fulvestrant</w:t>
      </w:r>
      <w:proofErr w:type="spellEnd"/>
      <w:r w:rsidRPr="004F0FE2">
        <w:rPr>
          <w:shd w:val="clear" w:color="auto" w:fill="FFFFFF"/>
        </w:rPr>
        <w:t xml:space="preserve"> </w:t>
      </w:r>
      <w:r w:rsidRPr="004F0FE2">
        <w:rPr>
          <w:lang w:eastAsia="es-ES"/>
        </w:rPr>
        <w:t xml:space="preserve">arm and 125 (51.4%) in the </w:t>
      </w:r>
      <w:proofErr w:type="spellStart"/>
      <w:r w:rsidRPr="004F0FE2">
        <w:rPr>
          <w:shd w:val="clear" w:color="auto" w:fill="FFFFFF"/>
        </w:rPr>
        <w:t>palbociclib</w:t>
      </w:r>
      <w:proofErr w:type="spellEnd"/>
      <w:r w:rsidRPr="004F0FE2">
        <w:rPr>
          <w:shd w:val="clear" w:color="auto" w:fill="FFFFFF"/>
        </w:rPr>
        <w:t>-letrozole arm</w:t>
      </w:r>
      <w:r w:rsidRPr="004F0FE2">
        <w:rPr>
          <w:lang w:eastAsia="es-ES"/>
        </w:rPr>
        <w:t>. Overall the median follow-up of the ITT set was 3</w:t>
      </w:r>
      <w:r w:rsidR="005148BE" w:rsidRPr="004F0FE2">
        <w:rPr>
          <w:lang w:eastAsia="es-ES"/>
        </w:rPr>
        <w:t>0.5</w:t>
      </w:r>
      <w:r w:rsidRPr="004F0FE2">
        <w:rPr>
          <w:lang w:eastAsia="es-ES"/>
        </w:rPr>
        <w:t xml:space="preserve"> months. The m</w:t>
      </w:r>
      <w:r w:rsidRPr="004F0FE2">
        <w:rPr>
          <w:shd w:val="clear" w:color="auto" w:fill="FFFFFF"/>
        </w:rPr>
        <w:t xml:space="preserve">edian investigator-assessed PFS was 27.9 months (95% CI 24.2–33.1) in the </w:t>
      </w:r>
      <w:proofErr w:type="spellStart"/>
      <w:r w:rsidRPr="004F0FE2">
        <w:rPr>
          <w:shd w:val="clear" w:color="auto" w:fill="FFFFFF"/>
        </w:rPr>
        <w:t>palbociclib-fulvestrant</w:t>
      </w:r>
      <w:proofErr w:type="spellEnd"/>
      <w:r w:rsidRPr="004F0FE2">
        <w:rPr>
          <w:shd w:val="clear" w:color="auto" w:fill="FFFFFF"/>
        </w:rPr>
        <w:t xml:space="preserve"> arm versus 32.8 months (95% CI 25.8–35.9) in the </w:t>
      </w:r>
      <w:proofErr w:type="spellStart"/>
      <w:r w:rsidRPr="004F0FE2">
        <w:rPr>
          <w:shd w:val="clear" w:color="auto" w:fill="FFFFFF"/>
        </w:rPr>
        <w:t>palbociclib</w:t>
      </w:r>
      <w:proofErr w:type="spellEnd"/>
      <w:r w:rsidRPr="004F0FE2">
        <w:rPr>
          <w:shd w:val="clear" w:color="auto" w:fill="FFFFFF"/>
        </w:rPr>
        <w:t>-letrozole arm (</w:t>
      </w:r>
      <w:r w:rsidR="005148BE" w:rsidRPr="004F0FE2">
        <w:rPr>
          <w:shd w:val="clear" w:color="auto" w:fill="FFFFFF"/>
        </w:rPr>
        <w:t>HR=</w:t>
      </w:r>
      <w:r w:rsidRPr="004F0FE2">
        <w:rPr>
          <w:shd w:val="clear" w:color="auto" w:fill="FFFFFF"/>
        </w:rPr>
        <w:t>1.13, 95% CI 0.89–1.45, p=0</w:t>
      </w:r>
      <w:r w:rsidR="001F20DC">
        <w:rPr>
          <w:shd w:val="clear" w:color="auto" w:fill="FFFFFF"/>
        </w:rPr>
        <w:t>.</w:t>
      </w:r>
      <w:r w:rsidRPr="004F0FE2">
        <w:rPr>
          <w:shd w:val="clear" w:color="auto" w:fill="FFFFFF"/>
        </w:rPr>
        <w:t xml:space="preserve">321; </w:t>
      </w:r>
      <w:r w:rsidR="00C5225B" w:rsidRPr="008E3E15">
        <w:rPr>
          <w:i/>
          <w:color w:val="2F5496" w:themeColor="accent1" w:themeShade="BF"/>
          <w:shd w:val="clear" w:color="auto" w:fill="FFFFFF"/>
        </w:rPr>
        <w:fldChar w:fldCharType="begin"/>
      </w:r>
      <w:r w:rsidR="00C5225B" w:rsidRPr="008E3E15">
        <w:rPr>
          <w:i/>
          <w:color w:val="2F5496" w:themeColor="accent1" w:themeShade="BF"/>
          <w:shd w:val="clear" w:color="auto" w:fill="FFFFFF"/>
        </w:rPr>
        <w:instrText xml:space="preserve"> REF _Ref52440966 \h </w:instrText>
      </w:r>
      <w:r w:rsidR="008E3E15" w:rsidRPr="008E3E15">
        <w:rPr>
          <w:i/>
          <w:color w:val="2F5496" w:themeColor="accent1" w:themeShade="BF"/>
          <w:shd w:val="clear" w:color="auto" w:fill="FFFFFF"/>
        </w:rPr>
        <w:instrText xml:space="preserve"> \* MERGEFORMAT </w:instrText>
      </w:r>
      <w:r w:rsidR="00C5225B" w:rsidRPr="008E3E15">
        <w:rPr>
          <w:i/>
          <w:color w:val="2F5496" w:themeColor="accent1" w:themeShade="BF"/>
          <w:shd w:val="clear" w:color="auto" w:fill="FFFFFF"/>
        </w:rPr>
      </w:r>
      <w:r w:rsidR="00C5225B" w:rsidRPr="008E3E15">
        <w:rPr>
          <w:i/>
          <w:color w:val="2F5496" w:themeColor="accent1" w:themeShade="BF"/>
          <w:shd w:val="clear" w:color="auto" w:fill="FFFFFF"/>
        </w:rPr>
        <w:fldChar w:fldCharType="separate"/>
      </w:r>
      <w:r w:rsidR="00C5225B" w:rsidRPr="008E3E15">
        <w:rPr>
          <w:i/>
          <w:color w:val="2F5496" w:themeColor="accent1" w:themeShade="BF"/>
        </w:rPr>
        <w:t xml:space="preserve">Figure </w:t>
      </w:r>
      <w:r w:rsidR="00C5225B" w:rsidRPr="008E3E15">
        <w:rPr>
          <w:i/>
          <w:noProof/>
          <w:color w:val="2F5496" w:themeColor="accent1" w:themeShade="BF"/>
        </w:rPr>
        <w:t>3</w:t>
      </w:r>
      <w:r w:rsidR="00C5225B" w:rsidRPr="008E3E15">
        <w:rPr>
          <w:i/>
          <w:color w:val="2F5496" w:themeColor="accent1" w:themeShade="BF"/>
          <w:shd w:val="clear" w:color="auto" w:fill="FFFFFF"/>
        </w:rPr>
        <w:fldChar w:fldCharType="end"/>
      </w:r>
      <w:r w:rsidRPr="004F0FE2">
        <w:rPr>
          <w:shd w:val="clear" w:color="auto" w:fill="FFFFFF"/>
        </w:rPr>
        <w:t xml:space="preserve">). </w:t>
      </w:r>
      <w:r w:rsidR="006649A3" w:rsidRPr="004F0FE2">
        <w:rPr>
          <w:shd w:val="clear" w:color="auto" w:fill="FFFFFF"/>
        </w:rPr>
        <w:t xml:space="preserve">The combination of </w:t>
      </w:r>
      <w:proofErr w:type="spellStart"/>
      <w:r w:rsidR="006649A3" w:rsidRPr="004F0FE2">
        <w:rPr>
          <w:shd w:val="clear" w:color="auto" w:fill="FFFFFF"/>
        </w:rPr>
        <w:t>palbociclib-fulvestrant</w:t>
      </w:r>
      <w:proofErr w:type="spellEnd"/>
      <w:r w:rsidR="006649A3" w:rsidRPr="004F0FE2">
        <w:rPr>
          <w:shd w:val="clear" w:color="auto" w:fill="FFFFFF"/>
        </w:rPr>
        <w:t xml:space="preserve"> </w:t>
      </w:r>
      <w:r w:rsidR="003449F2">
        <w:t>did not show</w:t>
      </w:r>
      <w:r w:rsidR="006649A3" w:rsidRPr="004F0FE2">
        <w:t xml:space="preserve"> an improvement in </w:t>
      </w:r>
      <w:r w:rsidR="005148BE" w:rsidRPr="004F0FE2">
        <w:t>PFS</w:t>
      </w:r>
      <w:r w:rsidR="006649A3" w:rsidRPr="004F0FE2">
        <w:t xml:space="preserve"> over </w:t>
      </w:r>
      <w:proofErr w:type="spellStart"/>
      <w:r w:rsidR="006649A3" w:rsidRPr="004F0FE2">
        <w:rPr>
          <w:shd w:val="clear" w:color="auto" w:fill="FFFFFF"/>
        </w:rPr>
        <w:t>palbociclib</w:t>
      </w:r>
      <w:proofErr w:type="spellEnd"/>
      <w:r w:rsidR="006649A3" w:rsidRPr="004F0FE2">
        <w:rPr>
          <w:shd w:val="clear" w:color="auto" w:fill="FFFFFF"/>
        </w:rPr>
        <w:t xml:space="preserve">-letrozole </w:t>
      </w:r>
      <w:r w:rsidR="006649A3" w:rsidRPr="004F0FE2">
        <w:t>among patients receiving initial systemic treatment for endocrine-sensitive, ER</w:t>
      </w:r>
      <w:r w:rsidR="005148BE" w:rsidRPr="004F0FE2">
        <w:t>+</w:t>
      </w:r>
      <w:r w:rsidR="006649A3" w:rsidRPr="004F0FE2">
        <w:t xml:space="preserve">/HER2- </w:t>
      </w:r>
      <w:proofErr w:type="spellStart"/>
      <w:r w:rsidR="005148BE" w:rsidRPr="004F0FE2">
        <w:t>mBC</w:t>
      </w:r>
      <w:proofErr w:type="spellEnd"/>
      <w:r w:rsidR="006649A3" w:rsidRPr="004F0FE2">
        <w:t xml:space="preserve">. </w:t>
      </w:r>
      <w:r w:rsidRPr="004F0FE2">
        <w:rPr>
          <w:shd w:val="clear" w:color="auto" w:fill="FFFFFF"/>
        </w:rPr>
        <w:t>The </w:t>
      </w:r>
      <w:r w:rsidRPr="004F0FE2">
        <w:rPr>
          <w:rStyle w:val="nfasis"/>
          <w:bCs/>
          <w:i w:val="0"/>
          <w:iCs w:val="0"/>
          <w:color w:val="000000"/>
          <w:shd w:val="clear" w:color="auto" w:fill="FFFFFF"/>
        </w:rPr>
        <w:t>non-inferiority margin (1.21) was included in the 95% CI, therefore</w:t>
      </w:r>
      <w:r w:rsidR="006649A3" w:rsidRPr="004F0FE2">
        <w:rPr>
          <w:rStyle w:val="nfasis"/>
          <w:bCs/>
          <w:i w:val="0"/>
          <w:iCs w:val="0"/>
          <w:color w:val="000000"/>
          <w:shd w:val="clear" w:color="auto" w:fill="FFFFFF"/>
        </w:rPr>
        <w:t xml:space="preserve"> PARSIFAL </w:t>
      </w:r>
      <w:r w:rsidR="009764D9">
        <w:rPr>
          <w:rStyle w:val="nfasis"/>
          <w:bCs/>
          <w:i w:val="0"/>
          <w:iCs w:val="0"/>
          <w:color w:val="000000"/>
          <w:shd w:val="clear" w:color="auto" w:fill="FFFFFF"/>
        </w:rPr>
        <w:t>did not</w:t>
      </w:r>
      <w:r w:rsidR="006649A3" w:rsidRPr="004F0FE2">
        <w:rPr>
          <w:rStyle w:val="nfasis"/>
          <w:bCs/>
          <w:i w:val="0"/>
          <w:iCs w:val="0"/>
          <w:color w:val="000000"/>
          <w:shd w:val="clear" w:color="auto" w:fill="FFFFFF"/>
        </w:rPr>
        <w:t xml:space="preserve"> </w:t>
      </w:r>
      <w:r w:rsidR="006649A3" w:rsidRPr="004F0FE2">
        <w:t xml:space="preserve">prove non-inferiority of </w:t>
      </w:r>
      <w:proofErr w:type="spellStart"/>
      <w:r w:rsidR="006649A3" w:rsidRPr="004F0FE2">
        <w:rPr>
          <w:shd w:val="clear" w:color="auto" w:fill="FFFFFF"/>
        </w:rPr>
        <w:t>palbociclib-fulvestrant</w:t>
      </w:r>
      <w:proofErr w:type="spellEnd"/>
      <w:r w:rsidR="006649A3" w:rsidRPr="004F0FE2">
        <w:rPr>
          <w:shd w:val="clear" w:color="auto" w:fill="FFFFFF"/>
        </w:rPr>
        <w:t xml:space="preserve"> </w:t>
      </w:r>
      <w:r w:rsidR="006649A3" w:rsidRPr="004F0FE2">
        <w:t xml:space="preserve">over </w:t>
      </w:r>
      <w:proofErr w:type="spellStart"/>
      <w:r w:rsidR="006649A3" w:rsidRPr="004F0FE2">
        <w:rPr>
          <w:shd w:val="clear" w:color="auto" w:fill="FFFFFF"/>
        </w:rPr>
        <w:t>palbociclib</w:t>
      </w:r>
      <w:proofErr w:type="spellEnd"/>
      <w:r w:rsidR="006649A3" w:rsidRPr="004F0FE2">
        <w:rPr>
          <w:shd w:val="clear" w:color="auto" w:fill="FFFFFF"/>
        </w:rPr>
        <w:t>-letrozole.</w:t>
      </w:r>
      <w:r w:rsidR="00961836" w:rsidRPr="004F0FE2">
        <w:t xml:space="preserve"> </w:t>
      </w:r>
      <w:r w:rsidRPr="004F0FE2">
        <w:rPr>
          <w:shd w:val="clear" w:color="auto" w:fill="FFFFFF"/>
        </w:rPr>
        <w:t>Overall survival data were immature at data cut-off</w:t>
      </w:r>
      <w:r w:rsidRPr="004F0FE2">
        <w:t xml:space="preserve">, </w:t>
      </w:r>
      <w:r w:rsidR="00B34205" w:rsidRPr="00B34205">
        <w:rPr>
          <w:lang w:val="en-GB"/>
        </w:rPr>
        <w:t>with a total of 102 deaths: 51 patients (21</w:t>
      </w:r>
      <w:r w:rsidR="00B34205">
        <w:rPr>
          <w:lang w:val="en-GB"/>
        </w:rPr>
        <w:t>.</w:t>
      </w:r>
      <w:r w:rsidR="00B34205" w:rsidRPr="00B34205">
        <w:rPr>
          <w:lang w:val="en-GB"/>
        </w:rPr>
        <w:t xml:space="preserve">0%) in the </w:t>
      </w:r>
      <w:proofErr w:type="spellStart"/>
      <w:r w:rsidR="00B34205" w:rsidRPr="00B34205">
        <w:rPr>
          <w:lang w:val="en-GB"/>
        </w:rPr>
        <w:t>fulvestrant</w:t>
      </w:r>
      <w:proofErr w:type="spellEnd"/>
      <w:r w:rsidR="00B34205" w:rsidRPr="00B34205">
        <w:rPr>
          <w:lang w:val="en-GB"/>
        </w:rPr>
        <w:t>–</w:t>
      </w:r>
      <w:proofErr w:type="spellStart"/>
      <w:r w:rsidR="00B34205" w:rsidRPr="00B34205">
        <w:rPr>
          <w:lang w:val="en-GB"/>
        </w:rPr>
        <w:t>palbociclib</w:t>
      </w:r>
      <w:proofErr w:type="spellEnd"/>
      <w:r w:rsidR="00B34205" w:rsidRPr="00B34205">
        <w:rPr>
          <w:lang w:val="en-GB"/>
        </w:rPr>
        <w:t xml:space="preserve"> arm and 51 (21</w:t>
      </w:r>
      <w:r w:rsidR="00B34205">
        <w:rPr>
          <w:lang w:val="en-GB"/>
        </w:rPr>
        <w:t>.</w:t>
      </w:r>
      <w:r w:rsidR="00B34205" w:rsidRPr="00B34205">
        <w:rPr>
          <w:lang w:val="en-GB"/>
        </w:rPr>
        <w:t>0%) in the letrozole–</w:t>
      </w:r>
      <w:proofErr w:type="spellStart"/>
      <w:r w:rsidR="00B34205" w:rsidRPr="00B34205">
        <w:rPr>
          <w:lang w:val="en-GB"/>
        </w:rPr>
        <w:t>palbociclib</w:t>
      </w:r>
      <w:proofErr w:type="spellEnd"/>
      <w:r w:rsidR="00B34205" w:rsidRPr="00B34205">
        <w:rPr>
          <w:lang w:val="en-GB"/>
        </w:rPr>
        <w:t xml:space="preserve"> arm. Estimated </w:t>
      </w:r>
      <w:r w:rsidRPr="004F0FE2">
        <w:rPr>
          <w:lang w:eastAsia="es-ES"/>
        </w:rPr>
        <w:t xml:space="preserve">3-year </w:t>
      </w:r>
      <w:r w:rsidR="00FD5490" w:rsidRPr="004F0FE2">
        <w:rPr>
          <w:lang w:eastAsia="es-ES"/>
        </w:rPr>
        <w:t>OS</w:t>
      </w:r>
      <w:r w:rsidRPr="004F0FE2">
        <w:rPr>
          <w:lang w:eastAsia="es-ES"/>
        </w:rPr>
        <w:t xml:space="preserve"> </w:t>
      </w:r>
      <w:r w:rsidR="00FD5490" w:rsidRPr="004F0FE2">
        <w:rPr>
          <w:lang w:eastAsia="es-ES"/>
        </w:rPr>
        <w:t>of</w:t>
      </w:r>
      <w:r w:rsidRPr="004F0FE2">
        <w:rPr>
          <w:lang w:eastAsia="es-ES"/>
        </w:rPr>
        <w:t xml:space="preserve"> </w:t>
      </w:r>
      <w:r w:rsidRPr="004F0FE2">
        <w:rPr>
          <w:shd w:val="clear" w:color="auto" w:fill="FFFFFF"/>
        </w:rPr>
        <w:t>79</w:t>
      </w:r>
      <w:r w:rsidR="00961836" w:rsidRPr="004F0FE2">
        <w:rPr>
          <w:shd w:val="clear" w:color="auto" w:fill="FFFFFF"/>
        </w:rPr>
        <w:t>.</w:t>
      </w:r>
      <w:r w:rsidRPr="004F0FE2">
        <w:rPr>
          <w:shd w:val="clear" w:color="auto" w:fill="FFFFFF"/>
        </w:rPr>
        <w:t>4% (95% CI 73</w:t>
      </w:r>
      <w:r w:rsidR="00961836" w:rsidRPr="004F0FE2">
        <w:rPr>
          <w:shd w:val="clear" w:color="auto" w:fill="FFFFFF"/>
        </w:rPr>
        <w:t>.</w:t>
      </w:r>
      <w:r w:rsidRPr="004F0FE2">
        <w:rPr>
          <w:shd w:val="clear" w:color="auto" w:fill="FFFFFF"/>
        </w:rPr>
        <w:t>1–84</w:t>
      </w:r>
      <w:r w:rsidR="00961836" w:rsidRPr="004F0FE2">
        <w:rPr>
          <w:shd w:val="clear" w:color="auto" w:fill="FFFFFF"/>
        </w:rPr>
        <w:t>.</w:t>
      </w:r>
      <w:r w:rsidRPr="004F0FE2">
        <w:rPr>
          <w:shd w:val="clear" w:color="auto" w:fill="FFFFFF"/>
        </w:rPr>
        <w:t xml:space="preserve">4%) in the </w:t>
      </w:r>
      <w:proofErr w:type="spellStart"/>
      <w:r w:rsidR="00961836" w:rsidRPr="004F0FE2">
        <w:rPr>
          <w:shd w:val="clear" w:color="auto" w:fill="FFFFFF"/>
        </w:rPr>
        <w:t>palbociclib-fulvestrant</w:t>
      </w:r>
      <w:proofErr w:type="spellEnd"/>
      <w:r w:rsidR="00961836" w:rsidRPr="004F0FE2">
        <w:rPr>
          <w:shd w:val="clear" w:color="auto" w:fill="FFFFFF"/>
        </w:rPr>
        <w:t xml:space="preserve"> </w:t>
      </w:r>
      <w:r w:rsidRPr="004F0FE2">
        <w:rPr>
          <w:shd w:val="clear" w:color="auto" w:fill="FFFFFF"/>
        </w:rPr>
        <w:t>arm versus 77</w:t>
      </w:r>
      <w:r w:rsidR="00961836" w:rsidRPr="004F0FE2">
        <w:rPr>
          <w:shd w:val="clear" w:color="auto" w:fill="FFFFFF"/>
        </w:rPr>
        <w:t>.</w:t>
      </w:r>
      <w:r w:rsidRPr="004F0FE2">
        <w:rPr>
          <w:shd w:val="clear" w:color="auto" w:fill="FFFFFF"/>
        </w:rPr>
        <w:t>1% (95% CI 70</w:t>
      </w:r>
      <w:r w:rsidR="00961836" w:rsidRPr="004F0FE2">
        <w:rPr>
          <w:shd w:val="clear" w:color="auto" w:fill="FFFFFF"/>
        </w:rPr>
        <w:t>.</w:t>
      </w:r>
      <w:r w:rsidRPr="004F0FE2">
        <w:rPr>
          <w:shd w:val="clear" w:color="auto" w:fill="FFFFFF"/>
        </w:rPr>
        <w:t>2–82</w:t>
      </w:r>
      <w:r w:rsidR="00961836" w:rsidRPr="004F0FE2">
        <w:rPr>
          <w:shd w:val="clear" w:color="auto" w:fill="FFFFFF"/>
        </w:rPr>
        <w:t>.</w:t>
      </w:r>
      <w:r w:rsidRPr="004F0FE2">
        <w:rPr>
          <w:shd w:val="clear" w:color="auto" w:fill="FFFFFF"/>
        </w:rPr>
        <w:t xml:space="preserve">5%) in the </w:t>
      </w:r>
      <w:proofErr w:type="spellStart"/>
      <w:r w:rsidR="00961836" w:rsidRPr="004F0FE2">
        <w:rPr>
          <w:shd w:val="clear" w:color="auto" w:fill="FFFFFF"/>
        </w:rPr>
        <w:t>palbociclib</w:t>
      </w:r>
      <w:proofErr w:type="spellEnd"/>
      <w:r w:rsidR="00961836" w:rsidRPr="004F0FE2">
        <w:rPr>
          <w:shd w:val="clear" w:color="auto" w:fill="FFFFFF"/>
        </w:rPr>
        <w:t xml:space="preserve">-letrozole </w:t>
      </w:r>
      <w:r w:rsidRPr="004F0FE2">
        <w:rPr>
          <w:shd w:val="clear" w:color="auto" w:fill="FFFFFF"/>
        </w:rPr>
        <w:t>arm.</w:t>
      </w:r>
      <w:r w:rsidR="003448C4">
        <w:rPr>
          <w:shd w:val="clear" w:color="auto" w:fill="FFFFFF"/>
        </w:rPr>
        <w:t xml:space="preserve"> </w:t>
      </w:r>
      <w:r w:rsidR="00FD5490" w:rsidRPr="004F0FE2">
        <w:rPr>
          <w:rStyle w:val="st"/>
        </w:rPr>
        <w:t xml:space="preserve">Kaplan-Meier curves in the ITT set show no </w:t>
      </w:r>
      <w:r w:rsidR="00FD5490" w:rsidRPr="004F0FE2">
        <w:rPr>
          <w:rStyle w:val="nfasis"/>
          <w:i w:val="0"/>
        </w:rPr>
        <w:t>significant differences</w:t>
      </w:r>
      <w:r w:rsidR="00FD5490" w:rsidRPr="004F0FE2">
        <w:rPr>
          <w:rStyle w:val="st"/>
        </w:rPr>
        <w:t xml:space="preserve"> in the OS between study groups </w:t>
      </w:r>
      <w:r w:rsidR="00FD5490" w:rsidRPr="004F0FE2">
        <w:rPr>
          <w:shd w:val="clear" w:color="auto" w:fill="FFFFFF"/>
        </w:rPr>
        <w:t>(</w:t>
      </w:r>
      <w:r w:rsidR="005148BE" w:rsidRPr="004F0FE2">
        <w:rPr>
          <w:iCs/>
          <w:shd w:val="clear" w:color="auto" w:fill="FFFFFF"/>
        </w:rPr>
        <w:t>HR=</w:t>
      </w:r>
      <w:r w:rsidR="00FD5490" w:rsidRPr="004F0FE2">
        <w:rPr>
          <w:shd w:val="clear" w:color="auto" w:fill="FFFFFF"/>
        </w:rPr>
        <w:t>1.00, 95% CI 0.68–1.48, p=0.986</w:t>
      </w:r>
      <w:r w:rsidR="005148BE" w:rsidRPr="004F0FE2">
        <w:rPr>
          <w:shd w:val="clear" w:color="auto" w:fill="FFFFFF"/>
        </w:rPr>
        <w:t xml:space="preserve">; </w:t>
      </w:r>
      <w:r w:rsidR="001F20DC">
        <w:rPr>
          <w:shd w:val="clear" w:color="auto" w:fill="FFFFFF"/>
        </w:rPr>
        <w:t>(</w:t>
      </w:r>
      <w:r w:rsidR="001F20DC" w:rsidRPr="008E3E15">
        <w:rPr>
          <w:i/>
          <w:color w:val="2F5496" w:themeColor="accent1" w:themeShade="BF"/>
          <w:shd w:val="clear" w:color="auto" w:fill="FFFFFF"/>
        </w:rPr>
        <w:fldChar w:fldCharType="begin"/>
      </w:r>
      <w:r w:rsidR="001F20DC" w:rsidRPr="008E3E15">
        <w:rPr>
          <w:i/>
          <w:color w:val="2F5496" w:themeColor="accent1" w:themeShade="BF"/>
          <w:shd w:val="clear" w:color="auto" w:fill="FFFFFF"/>
        </w:rPr>
        <w:instrText xml:space="preserve"> REF _Ref52441130 \h </w:instrText>
      </w:r>
      <w:r w:rsidR="008E3E15" w:rsidRPr="008E3E15">
        <w:rPr>
          <w:i/>
          <w:color w:val="2F5496" w:themeColor="accent1" w:themeShade="BF"/>
          <w:shd w:val="clear" w:color="auto" w:fill="FFFFFF"/>
        </w:rPr>
        <w:instrText xml:space="preserve"> \* MERGEFORMAT </w:instrText>
      </w:r>
      <w:r w:rsidR="001F20DC" w:rsidRPr="008E3E15">
        <w:rPr>
          <w:i/>
          <w:color w:val="2F5496" w:themeColor="accent1" w:themeShade="BF"/>
          <w:shd w:val="clear" w:color="auto" w:fill="FFFFFF"/>
        </w:rPr>
      </w:r>
      <w:r w:rsidR="001F20DC" w:rsidRPr="008E3E15">
        <w:rPr>
          <w:i/>
          <w:color w:val="2F5496" w:themeColor="accent1" w:themeShade="BF"/>
          <w:shd w:val="clear" w:color="auto" w:fill="FFFFFF"/>
        </w:rPr>
        <w:fldChar w:fldCharType="separate"/>
      </w:r>
      <w:r w:rsidR="001F20DC" w:rsidRPr="008E3E15">
        <w:rPr>
          <w:i/>
          <w:color w:val="2F5496" w:themeColor="accent1" w:themeShade="BF"/>
        </w:rPr>
        <w:t>Figure 6</w:t>
      </w:r>
      <w:r w:rsidR="001F20DC" w:rsidRPr="008E3E15">
        <w:rPr>
          <w:i/>
          <w:color w:val="2F5496" w:themeColor="accent1" w:themeShade="BF"/>
          <w:shd w:val="clear" w:color="auto" w:fill="FFFFFF"/>
        </w:rPr>
        <w:fldChar w:fldCharType="end"/>
      </w:r>
      <w:r w:rsidR="001F20DC">
        <w:rPr>
          <w:shd w:val="clear" w:color="auto" w:fill="FFFFFF"/>
        </w:rPr>
        <w:t>)</w:t>
      </w:r>
      <w:r w:rsidR="00FD5490" w:rsidRPr="004F0FE2">
        <w:rPr>
          <w:rStyle w:val="st"/>
        </w:rPr>
        <w:t xml:space="preserve">. The differences in </w:t>
      </w:r>
      <w:r w:rsidR="00AD43AE" w:rsidRPr="004F0FE2">
        <w:rPr>
          <w:rStyle w:val="st"/>
        </w:rPr>
        <w:t xml:space="preserve">the </w:t>
      </w:r>
      <w:r w:rsidR="00FD5490" w:rsidRPr="004F0FE2">
        <w:rPr>
          <w:rStyle w:val="st"/>
        </w:rPr>
        <w:t xml:space="preserve">objective response rate </w:t>
      </w:r>
      <w:r w:rsidR="00AD43AE" w:rsidRPr="004F0FE2">
        <w:rPr>
          <w:rStyle w:val="st"/>
        </w:rPr>
        <w:t xml:space="preserve">achieved by the patients (either all or with measurable disease) </w:t>
      </w:r>
      <w:r w:rsidR="00FD5490" w:rsidRPr="004F0FE2">
        <w:rPr>
          <w:rStyle w:val="st"/>
        </w:rPr>
        <w:t xml:space="preserve">were </w:t>
      </w:r>
      <w:r w:rsidR="00AD43AE" w:rsidRPr="004F0FE2">
        <w:rPr>
          <w:rStyle w:val="st"/>
        </w:rPr>
        <w:t>also statistically non</w:t>
      </w:r>
      <w:r w:rsidR="002760D5" w:rsidRPr="004F0FE2">
        <w:rPr>
          <w:rStyle w:val="st"/>
        </w:rPr>
        <w:t>-</w:t>
      </w:r>
      <w:r w:rsidR="00FD5490" w:rsidRPr="004F0FE2">
        <w:rPr>
          <w:rStyle w:val="st"/>
        </w:rPr>
        <w:t>significant</w:t>
      </w:r>
      <w:r w:rsidR="00AD43AE" w:rsidRPr="004F0FE2">
        <w:rPr>
          <w:rStyle w:val="st"/>
        </w:rPr>
        <w:t xml:space="preserve"> between groups </w:t>
      </w:r>
      <w:r w:rsidR="00AD43AE" w:rsidRPr="00A93FA7">
        <w:rPr>
          <w:rStyle w:val="st"/>
        </w:rPr>
        <w:t>(</w:t>
      </w:r>
      <w:r w:rsidR="00A93FA7" w:rsidRPr="00A93FA7">
        <w:rPr>
          <w:rStyle w:val="st"/>
          <w:i/>
          <w:color w:val="2F5496" w:themeColor="accent1" w:themeShade="BF"/>
        </w:rPr>
        <w:fldChar w:fldCharType="begin"/>
      </w:r>
      <w:r w:rsidR="00A93FA7" w:rsidRPr="00A93FA7">
        <w:rPr>
          <w:rStyle w:val="st"/>
          <w:i/>
          <w:color w:val="2F5496" w:themeColor="accent1" w:themeShade="BF"/>
        </w:rPr>
        <w:instrText xml:space="preserve"> REF _Ref52469411 \h  \* MERGEFORMAT </w:instrText>
      </w:r>
      <w:r w:rsidR="00A93FA7" w:rsidRPr="00A93FA7">
        <w:rPr>
          <w:rStyle w:val="st"/>
          <w:i/>
          <w:color w:val="2F5496" w:themeColor="accent1" w:themeShade="BF"/>
        </w:rPr>
      </w:r>
      <w:r w:rsidR="00A93FA7" w:rsidRPr="00A93FA7">
        <w:rPr>
          <w:rStyle w:val="st"/>
          <w:i/>
          <w:color w:val="2F5496" w:themeColor="accent1" w:themeShade="BF"/>
        </w:rPr>
        <w:fldChar w:fldCharType="separate"/>
      </w:r>
      <w:r w:rsidR="00A93FA7" w:rsidRPr="00A93FA7">
        <w:rPr>
          <w:i/>
          <w:color w:val="2F5496" w:themeColor="accent1" w:themeShade="BF"/>
        </w:rPr>
        <w:t xml:space="preserve">Table </w:t>
      </w:r>
      <w:r w:rsidR="00A93FA7" w:rsidRPr="00A93FA7">
        <w:rPr>
          <w:i/>
          <w:noProof/>
          <w:color w:val="2F5496" w:themeColor="accent1" w:themeShade="BF"/>
        </w:rPr>
        <w:t>10</w:t>
      </w:r>
      <w:r w:rsidR="00A93FA7" w:rsidRPr="00A93FA7">
        <w:rPr>
          <w:rStyle w:val="st"/>
          <w:i/>
          <w:color w:val="2F5496" w:themeColor="accent1" w:themeShade="BF"/>
        </w:rPr>
        <w:fldChar w:fldCharType="end"/>
      </w:r>
      <w:r w:rsidR="00AD43AE" w:rsidRPr="00A93FA7">
        <w:rPr>
          <w:rStyle w:val="st"/>
          <w:i/>
          <w:color w:val="2F5496" w:themeColor="accent1" w:themeShade="BF"/>
        </w:rPr>
        <w:t>).</w:t>
      </w:r>
      <w:r w:rsidR="00AD43AE" w:rsidRPr="00A93FA7">
        <w:rPr>
          <w:rStyle w:val="st"/>
          <w:color w:val="2F5496" w:themeColor="accent1" w:themeShade="BF"/>
        </w:rPr>
        <w:t xml:space="preserve"> </w:t>
      </w:r>
      <w:r w:rsidRPr="004F0FE2">
        <w:rPr>
          <w:lang w:eastAsia="es-ES"/>
        </w:rPr>
        <w:t>Median duration of response was 34</w:t>
      </w:r>
      <w:r w:rsidR="005148BE" w:rsidRPr="004F0FE2">
        <w:rPr>
          <w:lang w:eastAsia="es-ES"/>
        </w:rPr>
        <w:t>.0</w:t>
      </w:r>
      <w:r w:rsidRPr="004F0FE2">
        <w:rPr>
          <w:lang w:eastAsia="es-ES"/>
        </w:rPr>
        <w:t xml:space="preserve"> months </w:t>
      </w:r>
      <w:r w:rsidRPr="004F0FE2">
        <w:rPr>
          <w:shd w:val="clear" w:color="auto" w:fill="FFFFFF"/>
        </w:rPr>
        <w:t>(95% CI 23</w:t>
      </w:r>
      <w:r w:rsidR="00AD43AE" w:rsidRPr="004F0FE2">
        <w:rPr>
          <w:shd w:val="clear" w:color="auto" w:fill="FFFFFF"/>
        </w:rPr>
        <w:t>.</w:t>
      </w:r>
      <w:r w:rsidRPr="004F0FE2">
        <w:rPr>
          <w:shd w:val="clear" w:color="auto" w:fill="FFFFFF"/>
        </w:rPr>
        <w:t>3–not estimable)</w:t>
      </w:r>
      <w:r w:rsidRPr="004F0FE2">
        <w:rPr>
          <w:lang w:eastAsia="es-ES"/>
        </w:rPr>
        <w:t xml:space="preserve"> in the</w:t>
      </w:r>
      <w:r w:rsidRPr="004F0FE2">
        <w:rPr>
          <w:shd w:val="clear" w:color="auto" w:fill="FFFFFF"/>
        </w:rPr>
        <w:t xml:space="preserve"> </w:t>
      </w:r>
      <w:proofErr w:type="spellStart"/>
      <w:r w:rsidR="00961836" w:rsidRPr="004F0FE2">
        <w:rPr>
          <w:shd w:val="clear" w:color="auto" w:fill="FFFFFF"/>
        </w:rPr>
        <w:t>palbociclib-fulvestrant</w:t>
      </w:r>
      <w:proofErr w:type="spellEnd"/>
      <w:r w:rsidR="00961836" w:rsidRPr="004F0FE2">
        <w:rPr>
          <w:shd w:val="clear" w:color="auto" w:fill="FFFFFF"/>
        </w:rPr>
        <w:t xml:space="preserve"> </w:t>
      </w:r>
      <w:r w:rsidRPr="004F0FE2">
        <w:rPr>
          <w:lang w:eastAsia="es-ES"/>
        </w:rPr>
        <w:t>arm and 30</w:t>
      </w:r>
      <w:r w:rsidR="00AD43AE" w:rsidRPr="004F0FE2">
        <w:rPr>
          <w:lang w:eastAsia="es-ES"/>
        </w:rPr>
        <w:t>.</w:t>
      </w:r>
      <w:r w:rsidRPr="004F0FE2">
        <w:rPr>
          <w:lang w:eastAsia="es-ES"/>
        </w:rPr>
        <w:t xml:space="preserve">2 months </w:t>
      </w:r>
      <w:r w:rsidRPr="004F0FE2">
        <w:rPr>
          <w:shd w:val="clear" w:color="auto" w:fill="FFFFFF"/>
        </w:rPr>
        <w:t>(95% CI 26</w:t>
      </w:r>
      <w:r w:rsidR="00AD43AE" w:rsidRPr="004F0FE2">
        <w:rPr>
          <w:shd w:val="clear" w:color="auto" w:fill="FFFFFF"/>
        </w:rPr>
        <w:t>.</w:t>
      </w:r>
      <w:r w:rsidRPr="004F0FE2">
        <w:rPr>
          <w:shd w:val="clear" w:color="auto" w:fill="FFFFFF"/>
        </w:rPr>
        <w:t xml:space="preserve">7–not </w:t>
      </w:r>
      <w:r w:rsidRPr="004F0FE2">
        <w:rPr>
          <w:shd w:val="clear" w:color="auto" w:fill="FFFFFF"/>
        </w:rPr>
        <w:lastRenderedPageBreak/>
        <w:t>estimable)</w:t>
      </w:r>
      <w:r w:rsidRPr="004F0FE2">
        <w:rPr>
          <w:lang w:eastAsia="es-ES"/>
        </w:rPr>
        <w:t xml:space="preserve"> in the </w:t>
      </w:r>
      <w:proofErr w:type="spellStart"/>
      <w:r w:rsidR="00961836" w:rsidRPr="004F0FE2">
        <w:rPr>
          <w:shd w:val="clear" w:color="auto" w:fill="FFFFFF"/>
        </w:rPr>
        <w:t>palbociclib</w:t>
      </w:r>
      <w:proofErr w:type="spellEnd"/>
      <w:r w:rsidR="00961836" w:rsidRPr="004F0FE2">
        <w:rPr>
          <w:shd w:val="clear" w:color="auto" w:fill="FFFFFF"/>
        </w:rPr>
        <w:t>-letrozole</w:t>
      </w:r>
      <w:r w:rsidR="00961836" w:rsidRPr="004F0FE2">
        <w:rPr>
          <w:lang w:eastAsia="es-ES"/>
        </w:rPr>
        <w:t xml:space="preserve"> </w:t>
      </w:r>
      <w:r w:rsidR="00AD43AE" w:rsidRPr="004F0FE2">
        <w:rPr>
          <w:lang w:eastAsia="es-ES"/>
        </w:rPr>
        <w:t>arm</w:t>
      </w:r>
      <w:r w:rsidR="005148BE" w:rsidRPr="004F0FE2">
        <w:rPr>
          <w:lang w:eastAsia="es-ES"/>
        </w:rPr>
        <w:t xml:space="preserve"> (p=0.861)</w:t>
      </w:r>
      <w:r w:rsidRPr="004F0FE2">
        <w:rPr>
          <w:lang w:eastAsia="es-ES"/>
        </w:rPr>
        <w:t>.</w:t>
      </w:r>
      <w:r w:rsidR="00281A0A" w:rsidRPr="004F0FE2">
        <w:rPr>
          <w:lang w:eastAsia="es-ES"/>
        </w:rPr>
        <w:t xml:space="preserve"> </w:t>
      </w:r>
      <w:r w:rsidR="002760D5" w:rsidRPr="004F0FE2">
        <w:rPr>
          <w:lang w:eastAsia="es-ES"/>
        </w:rPr>
        <w:t xml:space="preserve">The </w:t>
      </w:r>
      <w:r w:rsidR="005148BE" w:rsidRPr="004F0FE2">
        <w:rPr>
          <w:lang w:eastAsia="es-ES"/>
        </w:rPr>
        <w:t xml:space="preserve">PARSIFAL </w:t>
      </w:r>
      <w:r w:rsidR="002760D5" w:rsidRPr="004F0FE2">
        <w:rPr>
          <w:lang w:eastAsia="es-ES"/>
        </w:rPr>
        <w:t xml:space="preserve">trial </w:t>
      </w:r>
      <w:r w:rsidR="003449F2">
        <w:rPr>
          <w:lang w:eastAsia="es-ES"/>
        </w:rPr>
        <w:t>did not prove</w:t>
      </w:r>
      <w:r w:rsidR="002760D5" w:rsidRPr="004F0FE2">
        <w:rPr>
          <w:lang w:eastAsia="es-ES"/>
        </w:rPr>
        <w:t xml:space="preserve"> significant differences between </w:t>
      </w:r>
      <w:r w:rsidR="005148BE" w:rsidRPr="004F0FE2">
        <w:rPr>
          <w:lang w:eastAsia="es-ES"/>
        </w:rPr>
        <w:t>study groups</w:t>
      </w:r>
      <w:r w:rsidR="002760D5" w:rsidRPr="004F0FE2">
        <w:rPr>
          <w:lang w:eastAsia="es-ES"/>
        </w:rPr>
        <w:t xml:space="preserve"> in terms of </w:t>
      </w:r>
      <w:r w:rsidR="009F4950" w:rsidRPr="004F0FE2">
        <w:rPr>
          <w:lang w:eastAsia="es-ES"/>
        </w:rPr>
        <w:t>CBR</w:t>
      </w:r>
      <w:r w:rsidR="002760D5" w:rsidRPr="004F0FE2">
        <w:rPr>
          <w:lang w:eastAsia="es-ES"/>
        </w:rPr>
        <w:t xml:space="preserve"> (</w:t>
      </w:r>
      <w:r w:rsidRPr="004F0FE2">
        <w:rPr>
          <w:lang w:eastAsia="es-ES"/>
        </w:rPr>
        <w:t>70</w:t>
      </w:r>
      <w:r w:rsidR="002760D5" w:rsidRPr="004F0FE2">
        <w:rPr>
          <w:lang w:eastAsia="es-ES"/>
        </w:rPr>
        <w:t>.</w:t>
      </w:r>
      <w:r w:rsidRPr="004F0FE2">
        <w:rPr>
          <w:lang w:eastAsia="es-ES"/>
        </w:rPr>
        <w:t xml:space="preserve">8% </w:t>
      </w:r>
      <w:r w:rsidR="002760D5" w:rsidRPr="004F0FE2">
        <w:rPr>
          <w:lang w:eastAsia="es-ES"/>
        </w:rPr>
        <w:t>[</w:t>
      </w:r>
      <w:r w:rsidRPr="004F0FE2">
        <w:rPr>
          <w:lang w:eastAsia="es-ES"/>
        </w:rPr>
        <w:t>95% CI 64</w:t>
      </w:r>
      <w:r w:rsidR="002760D5" w:rsidRPr="004F0FE2">
        <w:rPr>
          <w:lang w:eastAsia="es-ES"/>
        </w:rPr>
        <w:t>.</w:t>
      </w:r>
      <w:r w:rsidRPr="004F0FE2">
        <w:rPr>
          <w:lang w:eastAsia="es-ES"/>
        </w:rPr>
        <w:t>6</w:t>
      </w:r>
      <w:r w:rsidRPr="004F0FE2">
        <w:rPr>
          <w:shd w:val="clear" w:color="auto" w:fill="FFFFFF"/>
        </w:rPr>
        <w:t>–</w:t>
      </w:r>
      <w:r w:rsidRPr="004F0FE2">
        <w:rPr>
          <w:lang w:eastAsia="es-ES"/>
        </w:rPr>
        <w:t>76</w:t>
      </w:r>
      <w:r w:rsidR="002760D5" w:rsidRPr="004F0FE2">
        <w:rPr>
          <w:lang w:eastAsia="es-ES"/>
        </w:rPr>
        <w:t>.</w:t>
      </w:r>
      <w:r w:rsidRPr="004F0FE2">
        <w:rPr>
          <w:lang w:eastAsia="es-ES"/>
        </w:rPr>
        <w:t>4%</w:t>
      </w:r>
      <w:r w:rsidR="002760D5" w:rsidRPr="004F0FE2">
        <w:rPr>
          <w:lang w:eastAsia="es-ES"/>
        </w:rPr>
        <w:t xml:space="preserve">] versus </w:t>
      </w:r>
      <w:r w:rsidRPr="004F0FE2">
        <w:rPr>
          <w:lang w:eastAsia="es-ES"/>
        </w:rPr>
        <w:t>69</w:t>
      </w:r>
      <w:r w:rsidR="002760D5" w:rsidRPr="004F0FE2">
        <w:rPr>
          <w:lang w:eastAsia="es-ES"/>
        </w:rPr>
        <w:t>.</w:t>
      </w:r>
      <w:r w:rsidRPr="004F0FE2">
        <w:rPr>
          <w:lang w:eastAsia="es-ES"/>
        </w:rPr>
        <w:t xml:space="preserve">1% </w:t>
      </w:r>
      <w:r w:rsidR="002760D5" w:rsidRPr="004F0FE2">
        <w:rPr>
          <w:lang w:eastAsia="es-ES"/>
        </w:rPr>
        <w:t>[</w:t>
      </w:r>
      <w:r w:rsidRPr="004F0FE2">
        <w:rPr>
          <w:lang w:eastAsia="es-ES"/>
        </w:rPr>
        <w:t>95% CI 62</w:t>
      </w:r>
      <w:r w:rsidR="002760D5" w:rsidRPr="004F0FE2">
        <w:rPr>
          <w:lang w:eastAsia="es-ES"/>
        </w:rPr>
        <w:t>.</w:t>
      </w:r>
      <w:r w:rsidRPr="004F0FE2">
        <w:rPr>
          <w:lang w:eastAsia="es-ES"/>
        </w:rPr>
        <w:t>9</w:t>
      </w:r>
      <w:r w:rsidRPr="004F0FE2">
        <w:rPr>
          <w:shd w:val="clear" w:color="auto" w:fill="FFFFFF"/>
        </w:rPr>
        <w:t>–</w:t>
      </w:r>
      <w:r w:rsidRPr="004F0FE2">
        <w:rPr>
          <w:lang w:eastAsia="es-ES"/>
        </w:rPr>
        <w:t>74</w:t>
      </w:r>
      <w:r w:rsidR="002760D5" w:rsidRPr="004F0FE2">
        <w:rPr>
          <w:lang w:eastAsia="es-ES"/>
        </w:rPr>
        <w:t>.</w:t>
      </w:r>
      <w:r w:rsidRPr="004F0FE2">
        <w:rPr>
          <w:lang w:eastAsia="es-ES"/>
        </w:rPr>
        <w:t>9%</w:t>
      </w:r>
      <w:r w:rsidR="002760D5" w:rsidRPr="004F0FE2">
        <w:rPr>
          <w:lang w:eastAsia="es-ES"/>
        </w:rPr>
        <w:t xml:space="preserve">] </w:t>
      </w:r>
      <w:r w:rsidRPr="004F0FE2">
        <w:rPr>
          <w:lang w:eastAsia="es-ES"/>
        </w:rPr>
        <w:t xml:space="preserve">in the </w:t>
      </w:r>
      <w:r w:rsidR="002760D5" w:rsidRPr="004F0FE2">
        <w:rPr>
          <w:shd w:val="clear" w:color="auto" w:fill="FFFFFF"/>
        </w:rPr>
        <w:t xml:space="preserve">experimental and control arms respectively; </w:t>
      </w:r>
      <w:r w:rsidRPr="004F0FE2">
        <w:rPr>
          <w:lang w:eastAsia="es-ES"/>
        </w:rPr>
        <w:t>p=0</w:t>
      </w:r>
      <w:r w:rsidR="002760D5" w:rsidRPr="004F0FE2">
        <w:rPr>
          <w:lang w:eastAsia="es-ES"/>
        </w:rPr>
        <w:t>.692</w:t>
      </w:r>
      <w:r w:rsidR="00281A0A" w:rsidRPr="004F0FE2">
        <w:rPr>
          <w:lang w:eastAsia="es-ES"/>
        </w:rPr>
        <w:t xml:space="preserve">). </w:t>
      </w:r>
      <w:r w:rsidR="002760D5" w:rsidRPr="004F0FE2">
        <w:rPr>
          <w:shd w:val="clear" w:color="auto" w:fill="FFFFFF"/>
        </w:rPr>
        <w:t xml:space="preserve">Subgroup analyses of PFS according to stratification factors and other baseline characteristics did not </w:t>
      </w:r>
      <w:r w:rsidR="009F4950" w:rsidRPr="004F0FE2">
        <w:rPr>
          <w:shd w:val="clear" w:color="auto" w:fill="FFFFFF"/>
        </w:rPr>
        <w:t>show</w:t>
      </w:r>
      <w:r w:rsidR="002760D5" w:rsidRPr="004F0FE2">
        <w:rPr>
          <w:shd w:val="clear" w:color="auto" w:fill="FFFFFF"/>
        </w:rPr>
        <w:t xml:space="preserve"> significant differences between both arms across all pre-specified subgroups (</w:t>
      </w:r>
      <w:r w:rsidR="00B34205" w:rsidRPr="008E3E15">
        <w:rPr>
          <w:i/>
          <w:color w:val="2F5496" w:themeColor="accent1" w:themeShade="BF"/>
          <w:shd w:val="clear" w:color="auto" w:fill="FFFFFF"/>
        </w:rPr>
        <w:fldChar w:fldCharType="begin"/>
      </w:r>
      <w:r w:rsidR="00B34205" w:rsidRPr="008E3E15">
        <w:rPr>
          <w:i/>
          <w:color w:val="2F5496" w:themeColor="accent1" w:themeShade="BF"/>
          <w:shd w:val="clear" w:color="auto" w:fill="FFFFFF"/>
        </w:rPr>
        <w:instrText xml:space="preserve"> REF _Ref52439695 \h </w:instrText>
      </w:r>
      <w:r w:rsidR="008E3E15" w:rsidRPr="008E3E15">
        <w:rPr>
          <w:i/>
          <w:color w:val="2F5496" w:themeColor="accent1" w:themeShade="BF"/>
          <w:shd w:val="clear" w:color="auto" w:fill="FFFFFF"/>
        </w:rPr>
        <w:instrText xml:space="preserve"> \* MERGEFORMAT </w:instrText>
      </w:r>
      <w:r w:rsidR="00B34205" w:rsidRPr="008E3E15">
        <w:rPr>
          <w:i/>
          <w:color w:val="2F5496" w:themeColor="accent1" w:themeShade="BF"/>
          <w:shd w:val="clear" w:color="auto" w:fill="FFFFFF"/>
        </w:rPr>
      </w:r>
      <w:r w:rsidR="00B34205" w:rsidRPr="008E3E15">
        <w:rPr>
          <w:i/>
          <w:color w:val="2F5496" w:themeColor="accent1" w:themeShade="BF"/>
          <w:shd w:val="clear" w:color="auto" w:fill="FFFFFF"/>
        </w:rPr>
        <w:fldChar w:fldCharType="separate"/>
      </w:r>
      <w:r w:rsidR="00B34205" w:rsidRPr="008E3E15">
        <w:rPr>
          <w:i/>
          <w:color w:val="2F5496" w:themeColor="accent1" w:themeShade="BF"/>
        </w:rPr>
        <w:t>Figure 4</w:t>
      </w:r>
      <w:r w:rsidR="00B34205" w:rsidRPr="008E3E15">
        <w:rPr>
          <w:i/>
          <w:color w:val="2F5496" w:themeColor="accent1" w:themeShade="BF"/>
          <w:shd w:val="clear" w:color="auto" w:fill="FFFFFF"/>
        </w:rPr>
        <w:fldChar w:fldCharType="end"/>
      </w:r>
      <w:r w:rsidR="002760D5" w:rsidRPr="004F0FE2">
        <w:rPr>
          <w:shd w:val="clear" w:color="auto" w:fill="FFFFFF"/>
        </w:rPr>
        <w:t>).</w:t>
      </w:r>
    </w:p>
    <w:p w14:paraId="4D667225" w14:textId="49BCFA69" w:rsidR="00EC1E13" w:rsidRPr="004F0FE2" w:rsidRDefault="00EC1E13" w:rsidP="00673269">
      <w:pPr>
        <w:ind w:right="567"/>
      </w:pPr>
      <w:r w:rsidRPr="004F0FE2">
        <w:t xml:space="preserve">In conclusion, this international, </w:t>
      </w:r>
      <w:r w:rsidR="00CA389E" w:rsidRPr="004F0FE2">
        <w:t>randomized</w:t>
      </w:r>
      <w:r w:rsidRPr="004F0FE2">
        <w:t xml:space="preserve">, open-label trial </w:t>
      </w:r>
      <w:r w:rsidR="003449F2">
        <w:t xml:space="preserve">did not show </w:t>
      </w:r>
      <w:r w:rsidRPr="004F0FE2">
        <w:t xml:space="preserve">an improvement in </w:t>
      </w:r>
      <w:r w:rsidR="009F4950" w:rsidRPr="004F0FE2">
        <w:t>PFS</w:t>
      </w:r>
      <w:r w:rsidRPr="004F0FE2">
        <w:t xml:space="preserve"> of </w:t>
      </w:r>
      <w:proofErr w:type="spellStart"/>
      <w:r w:rsidRPr="004F0FE2">
        <w:rPr>
          <w:shd w:val="clear" w:color="auto" w:fill="FFFFFF"/>
        </w:rPr>
        <w:t>palbociclib-fulvestrant</w:t>
      </w:r>
      <w:proofErr w:type="spellEnd"/>
      <w:r w:rsidRPr="004F0FE2">
        <w:t xml:space="preserve"> over </w:t>
      </w:r>
      <w:proofErr w:type="spellStart"/>
      <w:r w:rsidRPr="004F0FE2">
        <w:t>palbociclib</w:t>
      </w:r>
      <w:proofErr w:type="spellEnd"/>
      <w:r w:rsidRPr="004F0FE2">
        <w:t>-letrozole among patients receiving initial systemic treatment for endocrine-sensitive, ER</w:t>
      </w:r>
      <w:r w:rsidR="009F4950" w:rsidRPr="004F0FE2">
        <w:t>+</w:t>
      </w:r>
      <w:r w:rsidRPr="004F0FE2">
        <w:t xml:space="preserve">/HER2- metastatic breast cancer. These findings confirm </w:t>
      </w:r>
      <w:r w:rsidRPr="004F0FE2">
        <w:rPr>
          <w:color w:val="000000"/>
        </w:rPr>
        <w:t>non-steroidal aromatase inhibitors</w:t>
      </w:r>
      <w:r w:rsidR="009F4950" w:rsidRPr="004F0FE2">
        <w:rPr>
          <w:color w:val="000000"/>
        </w:rPr>
        <w:t xml:space="preserve"> (NSAI)</w:t>
      </w:r>
      <w:r w:rsidRPr="004F0FE2">
        <w:t xml:space="preserve"> as the preferred </w:t>
      </w:r>
      <w:proofErr w:type="spellStart"/>
      <w:r w:rsidRPr="004F0FE2">
        <w:t>palbociclib</w:t>
      </w:r>
      <w:proofErr w:type="spellEnd"/>
      <w:r w:rsidRPr="004F0FE2">
        <w:t xml:space="preserve"> </w:t>
      </w:r>
      <w:r w:rsidRPr="004F0FE2">
        <w:rPr>
          <w:shd w:val="clear" w:color="auto" w:fill="FFFFFF"/>
        </w:rPr>
        <w:t>as initial therapy for this patient population.</w:t>
      </w:r>
      <w:r w:rsidRPr="004F0FE2">
        <w:t xml:space="preserve"> F</w:t>
      </w:r>
      <w:r w:rsidRPr="004F0FE2">
        <w:rPr>
          <w:shd w:val="clear" w:color="auto" w:fill="FFFFFF"/>
        </w:rPr>
        <w:t>indings from PARSIFAL study</w:t>
      </w:r>
      <w:r w:rsidRPr="004F0FE2">
        <w:t xml:space="preserve"> mainly </w:t>
      </w:r>
      <w:r w:rsidR="00CA389E" w:rsidRPr="004F0FE2">
        <w:t>places</w:t>
      </w:r>
      <w:r w:rsidRPr="004F0FE2">
        <w:t xml:space="preserve"> </w:t>
      </w:r>
      <w:proofErr w:type="spellStart"/>
      <w:r w:rsidRPr="004F0FE2">
        <w:t>fulvestrant</w:t>
      </w:r>
      <w:proofErr w:type="spellEnd"/>
      <w:r w:rsidRPr="004F0FE2">
        <w:t xml:space="preserve">-based therapy as the standard of care for patients </w:t>
      </w:r>
      <w:r w:rsidRPr="004F0FE2">
        <w:rPr>
          <w:lang w:eastAsia="es-ES"/>
        </w:rPr>
        <w:t>who progress on initial endocrine therapy with NSAI and CDK4/6 inhibitors.</w:t>
      </w:r>
    </w:p>
    <w:p w14:paraId="6E35DA71" w14:textId="77777777" w:rsidR="00EC1E13" w:rsidRPr="004F0FE2" w:rsidRDefault="00EC1E13" w:rsidP="00673269">
      <w:pPr>
        <w:ind w:right="567"/>
        <w:rPr>
          <w:lang w:eastAsia="es-ES"/>
        </w:rPr>
      </w:pPr>
    </w:p>
    <w:p w14:paraId="55D01630" w14:textId="1B34E6E4" w:rsidR="003F21F1" w:rsidRPr="00673269" w:rsidRDefault="00980646" w:rsidP="00673269">
      <w:pPr>
        <w:pStyle w:val="Ttulo1"/>
        <w:ind w:left="709" w:right="567" w:hanging="283"/>
      </w:pPr>
      <w:r w:rsidRPr="004F0FE2">
        <w:rPr>
          <w:i/>
          <w:iCs/>
          <w:color w:val="00B050"/>
          <w:sz w:val="20"/>
        </w:rPr>
        <w:br w:type="page"/>
      </w:r>
      <w:bookmarkStart w:id="339" w:name="_Toc349040045"/>
      <w:bookmarkStart w:id="340" w:name="_Toc349040236"/>
      <w:bookmarkStart w:id="341" w:name="_Toc349040702"/>
      <w:bookmarkStart w:id="342" w:name="_Toc350240079"/>
      <w:bookmarkStart w:id="343" w:name="_Toc350241388"/>
      <w:bookmarkStart w:id="344" w:name="_Toc350241463"/>
      <w:bookmarkStart w:id="345" w:name="_Toc350580012"/>
      <w:bookmarkStart w:id="346" w:name="_Toc350583823"/>
      <w:bookmarkStart w:id="347" w:name="_Toc350583942"/>
      <w:bookmarkStart w:id="348" w:name="_Toc351358084"/>
      <w:bookmarkStart w:id="349" w:name="_Toc351358674"/>
      <w:bookmarkStart w:id="350" w:name="_Toc352037303"/>
      <w:bookmarkStart w:id="351" w:name="_Toc352038939"/>
      <w:bookmarkStart w:id="352" w:name="_Toc352039672"/>
      <w:bookmarkStart w:id="353" w:name="_Toc352039771"/>
      <w:bookmarkStart w:id="354" w:name="_Toc377434721"/>
      <w:bookmarkStart w:id="355" w:name="_Toc377434887"/>
      <w:bookmarkStart w:id="356" w:name="_Toc377435045"/>
      <w:bookmarkStart w:id="357" w:name="_Toc377435183"/>
      <w:bookmarkStart w:id="358" w:name="_Toc377438586"/>
      <w:bookmarkStart w:id="359" w:name="_Toc392499816"/>
      <w:bookmarkStart w:id="360" w:name="_Toc392500448"/>
      <w:bookmarkStart w:id="361" w:name="_Toc46085720"/>
      <w:bookmarkStart w:id="362" w:name="_Toc48334782"/>
      <w:bookmarkStart w:id="363" w:name="_Toc52468137"/>
      <w:r w:rsidR="00977932" w:rsidRPr="004F0FE2">
        <w:lastRenderedPageBreak/>
        <w:t>SAFETY RESULTS</w:t>
      </w:r>
      <w:bookmarkStart w:id="364" w:name="_Toc46085721"/>
      <w:bookmarkStart w:id="365" w:name="_Toc349040046"/>
      <w:bookmarkStart w:id="366" w:name="_Toc349040237"/>
      <w:bookmarkStart w:id="367" w:name="_Toc349040703"/>
      <w:bookmarkStart w:id="368" w:name="_Toc350240080"/>
      <w:bookmarkStart w:id="369" w:name="_Toc350241389"/>
      <w:bookmarkStart w:id="370" w:name="_Toc350241464"/>
      <w:bookmarkStart w:id="371" w:name="_Toc350580013"/>
      <w:bookmarkStart w:id="372" w:name="_Toc350583824"/>
      <w:bookmarkStart w:id="373" w:name="_Toc350583943"/>
      <w:bookmarkStart w:id="374" w:name="_Toc351358085"/>
      <w:bookmarkStart w:id="375" w:name="_Toc351358675"/>
      <w:bookmarkStart w:id="376" w:name="_Toc352037304"/>
      <w:bookmarkStart w:id="377" w:name="_Toc352038940"/>
      <w:bookmarkStart w:id="378" w:name="_Toc352039673"/>
      <w:bookmarkStart w:id="379" w:name="_Toc352039772"/>
      <w:bookmarkStart w:id="380" w:name="_Toc377434722"/>
      <w:bookmarkStart w:id="381" w:name="_Toc377434888"/>
      <w:bookmarkStart w:id="382" w:name="_Toc377435046"/>
      <w:bookmarkStart w:id="383" w:name="_Toc377435184"/>
      <w:bookmarkStart w:id="384" w:name="_Toc377438587"/>
      <w:bookmarkStart w:id="385" w:name="_Toc392499817"/>
      <w:bookmarkStart w:id="386" w:name="_Toc392500449"/>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2AF01617" w14:textId="77777777" w:rsidR="005A2E32" w:rsidRPr="004F0FE2" w:rsidRDefault="005A2E32" w:rsidP="00673269">
      <w:pPr>
        <w:pStyle w:val="Ttulo2"/>
        <w:ind w:right="567"/>
      </w:pPr>
      <w:bookmarkStart w:id="387" w:name="_Toc52468138"/>
      <w:bookmarkStart w:id="388" w:name="_Toc46085722"/>
      <w:bookmarkEnd w:id="364"/>
      <w:r w:rsidRPr="004F0FE2">
        <w:t xml:space="preserve">Planned </w:t>
      </w:r>
      <w:r w:rsidR="004941E7" w:rsidRPr="004F0FE2">
        <w:t>s</w:t>
      </w:r>
      <w:r w:rsidRPr="004F0FE2">
        <w:t>afety analyses.</w:t>
      </w:r>
      <w:bookmarkEnd w:id="387"/>
    </w:p>
    <w:p w14:paraId="578C4459" w14:textId="3D624FAD" w:rsidR="0016404E" w:rsidRPr="004F0FE2" w:rsidRDefault="005A2E32" w:rsidP="00673269">
      <w:pPr>
        <w:ind w:right="567"/>
        <w:rPr>
          <w:i/>
          <w:iCs/>
          <w:lang w:eastAsia="es-ES"/>
        </w:rPr>
      </w:pPr>
      <w:r w:rsidRPr="004F0FE2">
        <w:t xml:space="preserve">All safety analyses were based on the safety set, as defined in </w:t>
      </w:r>
      <w:r w:rsidR="009A3AB6" w:rsidRPr="004F0FE2">
        <w:rPr>
          <w:i/>
          <w:color w:val="2F5496"/>
        </w:rPr>
        <w:t xml:space="preserve">Section </w:t>
      </w:r>
      <w:r w:rsidR="00083511" w:rsidRPr="004F0FE2">
        <w:rPr>
          <w:i/>
          <w:color w:val="2F5496"/>
        </w:rPr>
        <w:fldChar w:fldCharType="begin"/>
      </w:r>
      <w:r w:rsidR="00083511" w:rsidRPr="004F0FE2">
        <w:rPr>
          <w:i/>
          <w:color w:val="2F5496"/>
        </w:rPr>
        <w:instrText xml:space="preserve"> REF _Ref48405076 \r \h </w:instrText>
      </w:r>
      <w:r w:rsidR="00083511" w:rsidRPr="004F0FE2">
        <w:rPr>
          <w:i/>
          <w:color w:val="2F5496"/>
        </w:rPr>
      </w:r>
      <w:r w:rsidR="00083511" w:rsidRPr="004F0FE2">
        <w:rPr>
          <w:i/>
          <w:color w:val="2F5496"/>
        </w:rPr>
        <w:fldChar w:fldCharType="separate"/>
      </w:r>
      <w:r w:rsidR="00A11AB0">
        <w:rPr>
          <w:i/>
          <w:color w:val="2F5496"/>
        </w:rPr>
        <w:t>2.3</w:t>
      </w:r>
      <w:r w:rsidR="00083511" w:rsidRPr="004F0FE2">
        <w:rPr>
          <w:i/>
          <w:color w:val="2F5496"/>
        </w:rPr>
        <w:fldChar w:fldCharType="end"/>
      </w:r>
      <w:r w:rsidR="00083511" w:rsidRPr="004F0FE2">
        <w:rPr>
          <w:i/>
          <w:color w:val="2F5496"/>
        </w:rPr>
        <w:t xml:space="preserve"> </w:t>
      </w:r>
      <w:r w:rsidRPr="004F0FE2">
        <w:t xml:space="preserve">of this report. Of the 486 randomized patients, 483 (99.4%) were included in </w:t>
      </w:r>
      <w:r w:rsidR="00B03CCE" w:rsidRPr="004F0FE2">
        <w:t>this population</w:t>
      </w:r>
      <w:r w:rsidR="003F21F1" w:rsidRPr="004F0FE2">
        <w:t>, 24</w:t>
      </w:r>
      <w:r w:rsidR="00F6166C" w:rsidRPr="004F0FE2">
        <w:t>1</w:t>
      </w:r>
      <w:r w:rsidR="003F21F1" w:rsidRPr="004F0FE2">
        <w:t xml:space="preserve"> in the </w:t>
      </w:r>
      <w:proofErr w:type="spellStart"/>
      <w:r w:rsidR="003F21F1" w:rsidRPr="004F0FE2">
        <w:t>palbociclib-fulvestrant</w:t>
      </w:r>
      <w:proofErr w:type="spellEnd"/>
      <w:r w:rsidR="003F21F1" w:rsidRPr="004F0FE2">
        <w:t xml:space="preserve"> group and 24</w:t>
      </w:r>
      <w:r w:rsidR="00F6166C" w:rsidRPr="004F0FE2">
        <w:t>2</w:t>
      </w:r>
      <w:r w:rsidR="003F21F1" w:rsidRPr="004F0FE2">
        <w:t xml:space="preserve"> patients in the </w:t>
      </w:r>
      <w:proofErr w:type="spellStart"/>
      <w:r w:rsidR="003F21F1" w:rsidRPr="004F0FE2">
        <w:t>palbociclib</w:t>
      </w:r>
      <w:proofErr w:type="spellEnd"/>
      <w:r w:rsidR="003F21F1" w:rsidRPr="004F0FE2">
        <w:t>-letrozole group</w:t>
      </w:r>
      <w:r w:rsidRPr="004F0FE2">
        <w:t>. Three patients were excluded because they did not receive the study drug</w:t>
      </w:r>
      <w:r w:rsidR="003F21F1" w:rsidRPr="004F0FE2">
        <w:t xml:space="preserve">. </w:t>
      </w:r>
      <w:r w:rsidR="00B03CCE" w:rsidRPr="004F0FE2">
        <w:t xml:space="preserve">One patient in the </w:t>
      </w:r>
      <w:proofErr w:type="spellStart"/>
      <w:r w:rsidR="00B03CCE" w:rsidRPr="004F0FE2">
        <w:t>palbociclib-fulvestrant</w:t>
      </w:r>
      <w:proofErr w:type="spellEnd"/>
      <w:r w:rsidR="00B03CCE" w:rsidRPr="004F0FE2">
        <w:t xml:space="preserve"> group did not receive the study treatment because of consent withdrawal.</w:t>
      </w:r>
      <w:r w:rsidR="00B03CCE" w:rsidRPr="004F0FE2">
        <w:rPr>
          <w:vertAlign w:val="superscript"/>
        </w:rPr>
        <w:t xml:space="preserve"> </w:t>
      </w:r>
      <w:r w:rsidR="00B03CCE" w:rsidRPr="004F0FE2">
        <w:t xml:space="preserve">Out of 2 patients who did not receive study treatment in the </w:t>
      </w:r>
      <w:proofErr w:type="spellStart"/>
      <w:r w:rsidR="00B03CCE" w:rsidRPr="004F0FE2">
        <w:t>palbociclib</w:t>
      </w:r>
      <w:proofErr w:type="spellEnd"/>
      <w:r w:rsidR="00B03CCE" w:rsidRPr="004F0FE2">
        <w:t>-letrozole arm, 1 patient was mistakenly included because she did not meet selection criteria (uncontrolled brain metastases) and one patient was discontinued due to investigator’s decision (</w:t>
      </w:r>
      <w:r w:rsidR="00DF3FBD" w:rsidRPr="00D534DC">
        <w:rPr>
          <w:i/>
          <w:color w:val="2F5496" w:themeColor="accent1" w:themeShade="BF"/>
        </w:rPr>
        <w:fldChar w:fldCharType="begin"/>
      </w:r>
      <w:r w:rsidR="00DF3FBD" w:rsidRPr="00D534DC">
        <w:rPr>
          <w:i/>
          <w:color w:val="2F5496" w:themeColor="accent1" w:themeShade="BF"/>
        </w:rPr>
        <w:instrText xml:space="preserve"> REF _Ref52427053 \h  \* MERGEFORMAT </w:instrText>
      </w:r>
      <w:r w:rsidR="00DF3FBD" w:rsidRPr="00D534DC">
        <w:rPr>
          <w:i/>
          <w:color w:val="2F5496" w:themeColor="accent1" w:themeShade="BF"/>
        </w:rPr>
      </w:r>
      <w:r w:rsidR="00DF3FBD" w:rsidRPr="00D534DC">
        <w:rPr>
          <w:i/>
          <w:color w:val="2F5496" w:themeColor="accent1" w:themeShade="BF"/>
        </w:rPr>
        <w:fldChar w:fldCharType="separate"/>
      </w:r>
      <w:r w:rsidR="00DF3FBD" w:rsidRPr="00D534DC">
        <w:rPr>
          <w:i/>
          <w:color w:val="2F5496" w:themeColor="accent1" w:themeShade="BF"/>
        </w:rPr>
        <w:fldChar w:fldCharType="begin"/>
      </w:r>
      <w:r w:rsidR="00DF3FBD" w:rsidRPr="00D534DC">
        <w:rPr>
          <w:i/>
          <w:color w:val="2F5496" w:themeColor="accent1" w:themeShade="BF"/>
        </w:rPr>
        <w:instrText xml:space="preserve"> REF _Ref52458104 \h  \* MERGEFORMAT </w:instrText>
      </w:r>
      <w:r w:rsidR="00DF3FBD" w:rsidRPr="00D534DC">
        <w:rPr>
          <w:i/>
          <w:color w:val="2F5496" w:themeColor="accent1" w:themeShade="BF"/>
        </w:rPr>
      </w:r>
      <w:r w:rsidR="00DF3FBD" w:rsidRPr="00D534DC">
        <w:rPr>
          <w:i/>
          <w:color w:val="2F5496" w:themeColor="accent1" w:themeShade="BF"/>
        </w:rPr>
        <w:fldChar w:fldCharType="separate"/>
      </w:r>
      <w:r w:rsidR="00DF3FBD" w:rsidRPr="00D534DC">
        <w:rPr>
          <w:i/>
          <w:color w:val="2F5496" w:themeColor="accent1" w:themeShade="BF"/>
        </w:rPr>
        <w:t>Figure 2</w:t>
      </w:r>
      <w:r w:rsidR="00DF3FBD" w:rsidRPr="00D534DC">
        <w:rPr>
          <w:i/>
          <w:color w:val="2F5496" w:themeColor="accent1" w:themeShade="BF"/>
        </w:rPr>
        <w:fldChar w:fldCharType="end"/>
      </w:r>
      <w:r w:rsidR="00DF3FBD" w:rsidRPr="00D534DC">
        <w:rPr>
          <w:i/>
          <w:color w:val="2F5496" w:themeColor="accent1" w:themeShade="BF"/>
        </w:rPr>
        <w:fldChar w:fldCharType="end"/>
      </w:r>
      <w:r w:rsidR="00DF3FBD">
        <w:rPr>
          <w:i/>
          <w:color w:val="2F5496" w:themeColor="accent1" w:themeShade="BF"/>
        </w:rPr>
        <w:t xml:space="preserve">). </w:t>
      </w:r>
      <w:r w:rsidR="0016404E" w:rsidRPr="004F0FE2">
        <w:rPr>
          <w:lang w:eastAsia="es-ES"/>
        </w:rPr>
        <w:t xml:space="preserve">Safety was assessed through </w:t>
      </w:r>
      <w:r w:rsidR="00B03CCE" w:rsidRPr="004F0FE2">
        <w:rPr>
          <w:lang w:eastAsia="es-ES"/>
        </w:rPr>
        <w:t xml:space="preserve">tabulated </w:t>
      </w:r>
      <w:r w:rsidR="0016404E" w:rsidRPr="004F0FE2">
        <w:rPr>
          <w:lang w:eastAsia="es-ES"/>
        </w:rPr>
        <w:t xml:space="preserve">summaries </w:t>
      </w:r>
      <w:r w:rsidR="00B03CCE" w:rsidRPr="004F0FE2">
        <w:rPr>
          <w:lang w:eastAsia="es-ES"/>
        </w:rPr>
        <w:t xml:space="preserve">by treatment arm </w:t>
      </w:r>
      <w:r w:rsidR="0016404E" w:rsidRPr="004F0FE2">
        <w:rPr>
          <w:lang w:eastAsia="es-ES"/>
        </w:rPr>
        <w:t>of adverse events, laboratory test results (</w:t>
      </w:r>
      <w:r w:rsidR="00CA389E" w:rsidRPr="004F0FE2">
        <w:rPr>
          <w:lang w:eastAsia="es-ES"/>
        </w:rPr>
        <w:t>hematology</w:t>
      </w:r>
      <w:r w:rsidR="0016404E" w:rsidRPr="004F0FE2">
        <w:rPr>
          <w:lang w:eastAsia="es-ES"/>
        </w:rPr>
        <w:t xml:space="preserve">, biochemistry), ECOG, </w:t>
      </w:r>
      <w:r w:rsidR="00A0071D" w:rsidRPr="004F0FE2">
        <w:rPr>
          <w:lang w:eastAsia="es-ES"/>
        </w:rPr>
        <w:t xml:space="preserve">electrocardiogram results, </w:t>
      </w:r>
      <w:r w:rsidR="0016404E" w:rsidRPr="004F0FE2">
        <w:rPr>
          <w:lang w:eastAsia="es-ES"/>
        </w:rPr>
        <w:t>physical examination and changes in vital signs</w:t>
      </w:r>
      <w:r w:rsidR="00A0071D" w:rsidRPr="004F0FE2">
        <w:rPr>
          <w:lang w:eastAsia="es-ES"/>
        </w:rPr>
        <w:t xml:space="preserve">. </w:t>
      </w:r>
      <w:r w:rsidR="0016404E" w:rsidRPr="004F0FE2">
        <w:rPr>
          <w:i/>
          <w:iCs/>
          <w:lang w:eastAsia="es-ES"/>
        </w:rPr>
        <w:t xml:space="preserve">  </w:t>
      </w:r>
    </w:p>
    <w:p w14:paraId="619B74A8" w14:textId="3D234AFE" w:rsidR="0016404E" w:rsidRPr="00367B80" w:rsidRDefault="0016404E" w:rsidP="00673269">
      <w:pPr>
        <w:autoSpaceDE w:val="0"/>
        <w:autoSpaceDN w:val="0"/>
        <w:adjustRightInd w:val="0"/>
        <w:spacing w:after="0" w:line="240" w:lineRule="auto"/>
        <w:ind w:right="567"/>
        <w:rPr>
          <w:color w:val="000000" w:themeColor="text1"/>
          <w:lang w:eastAsia="es-ES"/>
        </w:rPr>
      </w:pPr>
      <w:r w:rsidRPr="004F0FE2">
        <w:rPr>
          <w:lang w:eastAsia="es-ES"/>
        </w:rPr>
        <w:t xml:space="preserve">The data cut-off date for all safety analyses was </w:t>
      </w:r>
      <w:r w:rsidR="003448C4" w:rsidRPr="00367B80">
        <w:rPr>
          <w:color w:val="000000" w:themeColor="text1"/>
          <w:lang w:eastAsia="es-ES"/>
        </w:rPr>
        <w:t>31</w:t>
      </w:r>
      <w:r w:rsidR="003448C4" w:rsidRPr="00367B80">
        <w:rPr>
          <w:color w:val="000000" w:themeColor="text1"/>
          <w:vertAlign w:val="superscript"/>
          <w:lang w:eastAsia="es-ES"/>
        </w:rPr>
        <w:t>st</w:t>
      </w:r>
      <w:r w:rsidR="003448C4" w:rsidRPr="00367B80">
        <w:rPr>
          <w:color w:val="000000" w:themeColor="text1"/>
          <w:lang w:eastAsia="es-ES"/>
        </w:rPr>
        <w:t xml:space="preserve"> </w:t>
      </w:r>
      <w:r w:rsidR="000E3CB3" w:rsidRPr="00367B80">
        <w:rPr>
          <w:color w:val="000000" w:themeColor="text1"/>
          <w:lang w:eastAsia="es-ES"/>
        </w:rPr>
        <w:t xml:space="preserve">of </w:t>
      </w:r>
      <w:r w:rsidR="003448C4" w:rsidRPr="00367B80">
        <w:rPr>
          <w:color w:val="000000" w:themeColor="text1"/>
          <w:lang w:eastAsia="es-ES"/>
        </w:rPr>
        <w:t>January 2020</w:t>
      </w:r>
      <w:r w:rsidRPr="00367B80">
        <w:rPr>
          <w:color w:val="000000" w:themeColor="text1"/>
          <w:lang w:eastAsia="es-ES"/>
        </w:rPr>
        <w:t xml:space="preserve">. </w:t>
      </w:r>
    </w:p>
    <w:p w14:paraId="23D74EC3" w14:textId="77777777" w:rsidR="0016404E" w:rsidRPr="004F0FE2" w:rsidRDefault="0016404E" w:rsidP="00673269">
      <w:pPr>
        <w:autoSpaceDE w:val="0"/>
        <w:autoSpaceDN w:val="0"/>
        <w:adjustRightInd w:val="0"/>
        <w:spacing w:after="0" w:line="240" w:lineRule="auto"/>
        <w:ind w:right="567"/>
        <w:jc w:val="left"/>
        <w:rPr>
          <w:sz w:val="22"/>
          <w:szCs w:val="22"/>
          <w:lang w:eastAsia="es-ES"/>
        </w:rPr>
      </w:pPr>
    </w:p>
    <w:p w14:paraId="15F560BD" w14:textId="77777777" w:rsidR="00977932" w:rsidRPr="004F0FE2" w:rsidRDefault="00977932" w:rsidP="00673269">
      <w:pPr>
        <w:pStyle w:val="Ttulo2"/>
        <w:ind w:right="567"/>
      </w:pPr>
      <w:bookmarkStart w:id="389" w:name="_Toc349040049"/>
      <w:bookmarkStart w:id="390" w:name="_Toc349040240"/>
      <w:bookmarkStart w:id="391" w:name="_Toc349040706"/>
      <w:bookmarkStart w:id="392" w:name="_Toc350240083"/>
      <w:bookmarkStart w:id="393" w:name="_Toc350241392"/>
      <w:bookmarkStart w:id="394" w:name="_Toc350241467"/>
      <w:bookmarkStart w:id="395" w:name="_Toc350580016"/>
      <w:bookmarkStart w:id="396" w:name="_Toc350583827"/>
      <w:bookmarkStart w:id="397" w:name="_Toc350583946"/>
      <w:bookmarkStart w:id="398" w:name="_Toc351358088"/>
      <w:bookmarkStart w:id="399" w:name="_Toc351358678"/>
      <w:bookmarkStart w:id="400" w:name="_Toc352037307"/>
      <w:bookmarkStart w:id="401" w:name="_Toc352038943"/>
      <w:bookmarkStart w:id="402" w:name="_Toc352039676"/>
      <w:bookmarkStart w:id="403" w:name="_Toc352039775"/>
      <w:bookmarkStart w:id="404" w:name="_Toc377434725"/>
      <w:bookmarkStart w:id="405" w:name="_Toc377434891"/>
      <w:bookmarkStart w:id="406" w:name="_Toc377435049"/>
      <w:bookmarkStart w:id="407" w:name="_Toc377435187"/>
      <w:bookmarkStart w:id="408" w:name="_Toc377438590"/>
      <w:bookmarkStart w:id="409" w:name="_Toc392499820"/>
      <w:bookmarkStart w:id="410" w:name="_Toc392500452"/>
      <w:bookmarkStart w:id="411" w:name="_Toc46085723"/>
      <w:bookmarkStart w:id="412" w:name="_Toc52468139"/>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8"/>
      <w:r w:rsidRPr="004F0FE2">
        <w:t xml:space="preserve">Adverse </w:t>
      </w:r>
      <w:r w:rsidR="004941E7" w:rsidRPr="004F0FE2">
        <w:t>e</w:t>
      </w:r>
      <w:r w:rsidRPr="004F0FE2">
        <w:t>vents</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18765B15" w14:textId="48416618" w:rsidR="00C90529" w:rsidRPr="00673269" w:rsidRDefault="004941E7" w:rsidP="00673269">
      <w:pPr>
        <w:pStyle w:val="Ttulo3"/>
        <w:ind w:right="567"/>
      </w:pPr>
      <w:bookmarkStart w:id="413" w:name="_Toc349040050"/>
      <w:bookmarkStart w:id="414" w:name="_Toc349040241"/>
      <w:bookmarkStart w:id="415" w:name="_Toc349040707"/>
      <w:bookmarkStart w:id="416" w:name="_Toc350240084"/>
      <w:bookmarkStart w:id="417" w:name="_Toc350241393"/>
      <w:bookmarkStart w:id="418" w:name="_Toc350241468"/>
      <w:bookmarkStart w:id="419" w:name="_Toc350580017"/>
      <w:bookmarkStart w:id="420" w:name="_Toc350583828"/>
      <w:bookmarkStart w:id="421" w:name="_Toc350583947"/>
      <w:bookmarkStart w:id="422" w:name="_Toc351358089"/>
      <w:bookmarkStart w:id="423" w:name="_Toc351358679"/>
      <w:bookmarkStart w:id="424" w:name="_Toc352037308"/>
      <w:bookmarkStart w:id="425" w:name="_Toc352038944"/>
      <w:bookmarkStart w:id="426" w:name="_Toc352039677"/>
      <w:bookmarkStart w:id="427" w:name="_Toc352039776"/>
      <w:bookmarkStart w:id="428" w:name="_Toc377434726"/>
      <w:bookmarkStart w:id="429" w:name="_Toc377434892"/>
      <w:bookmarkStart w:id="430" w:name="_Toc377435050"/>
      <w:bookmarkStart w:id="431" w:name="_Toc377435188"/>
      <w:bookmarkStart w:id="432" w:name="_Toc377438591"/>
      <w:bookmarkStart w:id="433" w:name="_Toc392499821"/>
      <w:bookmarkStart w:id="434" w:name="_Toc392500453"/>
      <w:bookmarkStart w:id="435" w:name="_Toc52468140"/>
      <w:r w:rsidRPr="004F0FE2">
        <w:t>Summary of a</w:t>
      </w:r>
      <w:r w:rsidR="00977932" w:rsidRPr="004F0FE2">
        <w:t xml:space="preserve">dverse </w:t>
      </w:r>
      <w:r w:rsidRPr="004F0FE2">
        <w:t>e</w:t>
      </w:r>
      <w:r w:rsidR="00977932" w:rsidRPr="004F0FE2">
        <w:t>vents</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0F910183" w14:textId="748078C0" w:rsidR="00C665E8" w:rsidRPr="004F0FE2" w:rsidRDefault="00C90529" w:rsidP="00673269">
      <w:pPr>
        <w:ind w:right="567"/>
        <w:rPr>
          <w:iCs/>
        </w:rPr>
      </w:pPr>
      <w:r w:rsidRPr="004F0FE2">
        <w:t>A</w:t>
      </w:r>
      <w:r w:rsidR="00C665E8" w:rsidRPr="004F0FE2">
        <w:t>n overall</w:t>
      </w:r>
      <w:r w:rsidRPr="004F0FE2">
        <w:t xml:space="preserve"> summary of </w:t>
      </w:r>
      <w:r w:rsidR="00B03CCE" w:rsidRPr="004F0FE2">
        <w:t>adverse events</w:t>
      </w:r>
      <w:r w:rsidRPr="004F0FE2">
        <w:t xml:space="preserve"> for the safety analysis set is presented in </w:t>
      </w:r>
      <w:r w:rsidR="00773549" w:rsidRPr="002B7615">
        <w:rPr>
          <w:i/>
          <w:color w:val="2F5496" w:themeColor="accent1" w:themeShade="BF"/>
        </w:rPr>
        <w:fldChar w:fldCharType="begin"/>
      </w:r>
      <w:r w:rsidR="00773549" w:rsidRPr="002B7615">
        <w:rPr>
          <w:i/>
          <w:color w:val="2F5496" w:themeColor="accent1" w:themeShade="BF"/>
        </w:rPr>
        <w:instrText xml:space="preserve"> REF _Ref52426665 \h </w:instrText>
      </w:r>
      <w:r w:rsidR="002B7615" w:rsidRPr="002B7615">
        <w:rPr>
          <w:i/>
          <w:color w:val="2F5496" w:themeColor="accent1" w:themeShade="BF"/>
        </w:rPr>
        <w:instrText xml:space="preserve"> \* MERGEFORMAT </w:instrText>
      </w:r>
      <w:r w:rsidR="00773549" w:rsidRPr="002B7615">
        <w:rPr>
          <w:i/>
          <w:color w:val="2F5496" w:themeColor="accent1" w:themeShade="BF"/>
        </w:rPr>
      </w:r>
      <w:r w:rsidR="00773549" w:rsidRPr="002B7615">
        <w:rPr>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12</w:t>
      </w:r>
      <w:r w:rsidR="00773549" w:rsidRPr="002B7615">
        <w:rPr>
          <w:i/>
          <w:color w:val="2F5496" w:themeColor="accent1" w:themeShade="BF"/>
        </w:rPr>
        <w:fldChar w:fldCharType="end"/>
      </w:r>
      <w:r w:rsidR="00367B80">
        <w:rPr>
          <w:i/>
          <w:color w:val="2F5496"/>
        </w:rPr>
        <w:t xml:space="preserve"> </w:t>
      </w:r>
      <w:r w:rsidR="00104791" w:rsidRPr="004F0FE2">
        <w:t xml:space="preserve">and </w:t>
      </w:r>
      <w:r w:rsidR="00C511A6" w:rsidRPr="00C511A6">
        <w:rPr>
          <w:i/>
          <w:color w:val="2F5496" w:themeColor="accent1" w:themeShade="BF"/>
        </w:rPr>
        <w:fldChar w:fldCharType="begin"/>
      </w:r>
      <w:r w:rsidR="00C511A6" w:rsidRPr="00C511A6">
        <w:rPr>
          <w:i/>
          <w:color w:val="2F5496" w:themeColor="accent1" w:themeShade="BF"/>
        </w:rPr>
        <w:instrText xml:space="preserve"> REF _Ref52470864 \h  \* MERGEFORMAT </w:instrText>
      </w:r>
      <w:r w:rsidR="00C511A6" w:rsidRPr="00C511A6">
        <w:rPr>
          <w:i/>
          <w:color w:val="2F5496" w:themeColor="accent1" w:themeShade="BF"/>
        </w:rPr>
      </w:r>
      <w:r w:rsidR="00C511A6" w:rsidRPr="00C511A6">
        <w:rPr>
          <w:i/>
          <w:color w:val="2F5496" w:themeColor="accent1" w:themeShade="BF"/>
        </w:rPr>
        <w:fldChar w:fldCharType="separate"/>
      </w:r>
      <w:r w:rsidR="00C511A6" w:rsidRPr="00C511A6">
        <w:rPr>
          <w:i/>
          <w:color w:val="2F5496" w:themeColor="accent1" w:themeShade="BF"/>
        </w:rPr>
        <w:t xml:space="preserve">Figure </w:t>
      </w:r>
      <w:r w:rsidR="00C511A6" w:rsidRPr="00C511A6">
        <w:rPr>
          <w:i/>
          <w:noProof/>
          <w:color w:val="2F5496" w:themeColor="accent1" w:themeShade="BF"/>
        </w:rPr>
        <w:t>10</w:t>
      </w:r>
      <w:r w:rsidR="00C511A6" w:rsidRPr="00C511A6">
        <w:rPr>
          <w:i/>
          <w:color w:val="2F5496" w:themeColor="accent1" w:themeShade="BF"/>
        </w:rPr>
        <w:fldChar w:fldCharType="end"/>
      </w:r>
      <w:r w:rsidRPr="004F0FE2">
        <w:t>.</w:t>
      </w:r>
      <w:r w:rsidR="00C665E8" w:rsidRPr="004F0FE2">
        <w:rPr>
          <w:iCs/>
        </w:rPr>
        <w:t xml:space="preserve"> All </w:t>
      </w:r>
      <w:r w:rsidR="00B03CCE" w:rsidRPr="004F0FE2">
        <w:rPr>
          <w:iCs/>
        </w:rPr>
        <w:t>treatment emergent adverse events (</w:t>
      </w:r>
      <w:r w:rsidR="00C665E8" w:rsidRPr="004F0FE2">
        <w:rPr>
          <w:iCs/>
        </w:rPr>
        <w:t>TEAEs</w:t>
      </w:r>
      <w:r w:rsidR="00B03CCE" w:rsidRPr="004F0FE2">
        <w:rPr>
          <w:iCs/>
        </w:rPr>
        <w:t>)</w:t>
      </w:r>
      <w:r w:rsidR="00C665E8" w:rsidRPr="004F0FE2">
        <w:rPr>
          <w:iCs/>
        </w:rPr>
        <w:t xml:space="preserve"> from any cause reported in &gt;5% patients </w:t>
      </w:r>
      <w:r w:rsidR="00B03CCE" w:rsidRPr="004F0FE2">
        <w:rPr>
          <w:iCs/>
        </w:rPr>
        <w:t>of the</w:t>
      </w:r>
      <w:r w:rsidR="00C665E8" w:rsidRPr="004F0FE2">
        <w:rPr>
          <w:iCs/>
        </w:rPr>
        <w:t xml:space="preserve"> safety set are summarized </w:t>
      </w:r>
      <w:r w:rsidR="00104791" w:rsidRPr="004F0FE2">
        <w:rPr>
          <w:iCs/>
        </w:rPr>
        <w:t xml:space="preserve">by MedDRA SOC/PT </w:t>
      </w:r>
      <w:r w:rsidR="00C665E8" w:rsidRPr="004F0FE2">
        <w:rPr>
          <w:iCs/>
        </w:rPr>
        <w:t xml:space="preserve">in </w:t>
      </w:r>
      <w:r w:rsidR="00773549" w:rsidRPr="002B7615">
        <w:rPr>
          <w:i/>
          <w:iCs/>
          <w:color w:val="2F5496" w:themeColor="accent1" w:themeShade="BF"/>
        </w:rPr>
        <w:fldChar w:fldCharType="begin"/>
      </w:r>
      <w:r w:rsidR="00773549" w:rsidRPr="002B7615">
        <w:rPr>
          <w:i/>
          <w:iCs/>
          <w:color w:val="2F5496" w:themeColor="accent1" w:themeShade="BF"/>
        </w:rPr>
        <w:instrText xml:space="preserve"> REF _Ref52424928 \h </w:instrText>
      </w:r>
      <w:r w:rsidR="002B7615" w:rsidRPr="002B7615">
        <w:rPr>
          <w:i/>
          <w:iCs/>
          <w:color w:val="2F5496" w:themeColor="accent1" w:themeShade="BF"/>
        </w:rPr>
        <w:instrText xml:space="preserve"> \* MERGEFORMAT </w:instrText>
      </w:r>
      <w:r w:rsidR="00773549" w:rsidRPr="002B7615">
        <w:rPr>
          <w:i/>
          <w:iCs/>
          <w:color w:val="2F5496" w:themeColor="accent1" w:themeShade="BF"/>
        </w:rPr>
      </w:r>
      <w:r w:rsidR="00773549" w:rsidRPr="002B7615">
        <w:rPr>
          <w:i/>
          <w:iCs/>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13</w:t>
      </w:r>
      <w:r w:rsidR="00773549" w:rsidRPr="002B7615">
        <w:rPr>
          <w:i/>
          <w:iCs/>
          <w:color w:val="2F5496" w:themeColor="accent1" w:themeShade="BF"/>
        </w:rPr>
        <w:fldChar w:fldCharType="end"/>
      </w:r>
      <w:r w:rsidR="00C665E8" w:rsidRPr="004F0FE2">
        <w:rPr>
          <w:iCs/>
        </w:rPr>
        <w:t>.</w:t>
      </w:r>
    </w:p>
    <w:p w14:paraId="48F3A524" w14:textId="47EC9CA4" w:rsidR="00EA08A9" w:rsidRPr="004F0FE2" w:rsidRDefault="00A0071D" w:rsidP="00673269">
      <w:pPr>
        <w:ind w:right="567"/>
        <w:rPr>
          <w:lang w:eastAsia="es-ES"/>
        </w:rPr>
      </w:pPr>
      <w:r w:rsidRPr="004F0FE2">
        <w:rPr>
          <w:lang w:eastAsia="es-ES"/>
        </w:rPr>
        <w:t xml:space="preserve">As of </w:t>
      </w:r>
      <w:r w:rsidR="00754C9C" w:rsidRPr="00C250F3">
        <w:rPr>
          <w:color w:val="000000" w:themeColor="text1"/>
          <w:lang w:eastAsia="es-ES"/>
        </w:rPr>
        <w:t>31/</w:t>
      </w:r>
      <w:r w:rsidR="004F7977">
        <w:rPr>
          <w:color w:val="000000" w:themeColor="text1"/>
          <w:lang w:eastAsia="es-ES"/>
        </w:rPr>
        <w:t>JAN</w:t>
      </w:r>
      <w:r w:rsidR="00754C9C" w:rsidRPr="00C250F3">
        <w:rPr>
          <w:color w:val="000000" w:themeColor="text1"/>
          <w:lang w:eastAsia="es-ES"/>
        </w:rPr>
        <w:t>/2020</w:t>
      </w:r>
      <w:r w:rsidRPr="00C250F3">
        <w:rPr>
          <w:color w:val="000000" w:themeColor="text1"/>
          <w:lang w:eastAsia="es-ES"/>
        </w:rPr>
        <w:t xml:space="preserve">, </w:t>
      </w:r>
      <w:r w:rsidRPr="004F0FE2">
        <w:rPr>
          <w:lang w:eastAsia="es-ES"/>
        </w:rPr>
        <w:t xml:space="preserve">482 patients </w:t>
      </w:r>
      <w:r w:rsidR="00270B0E" w:rsidRPr="004F0FE2">
        <w:rPr>
          <w:lang w:eastAsia="es-ES"/>
        </w:rPr>
        <w:t xml:space="preserve">(99.8%) </w:t>
      </w:r>
      <w:r w:rsidRPr="004F0FE2">
        <w:rPr>
          <w:lang w:eastAsia="es-ES"/>
        </w:rPr>
        <w:t>experienced at least one adverse event</w:t>
      </w:r>
      <w:r w:rsidR="00B03CCE" w:rsidRPr="004F0FE2">
        <w:rPr>
          <w:lang w:eastAsia="es-ES"/>
        </w:rPr>
        <w:t xml:space="preserve"> (AE)</w:t>
      </w:r>
      <w:r w:rsidRPr="004F0FE2">
        <w:rPr>
          <w:lang w:eastAsia="es-ES"/>
        </w:rPr>
        <w:t>, and 480 (</w:t>
      </w:r>
      <w:r w:rsidR="00B03CCE" w:rsidRPr="004F0FE2">
        <w:rPr>
          <w:lang w:eastAsia="es-ES"/>
        </w:rPr>
        <w:t xml:space="preserve">of the 483; </w:t>
      </w:r>
      <w:r w:rsidRPr="004F0FE2">
        <w:rPr>
          <w:lang w:eastAsia="es-ES"/>
        </w:rPr>
        <w:t xml:space="preserve">99.4%) patients registered adverse events </w:t>
      </w:r>
      <w:r w:rsidR="00351A18" w:rsidRPr="004F0FE2">
        <w:rPr>
          <w:lang w:eastAsia="es-ES"/>
        </w:rPr>
        <w:t>that</w:t>
      </w:r>
      <w:r w:rsidRPr="004F0FE2">
        <w:rPr>
          <w:lang w:eastAsia="es-ES"/>
        </w:rPr>
        <w:t xml:space="preserve"> were not present at baseline or worsened in severity after the start of study treatment</w:t>
      </w:r>
      <w:r w:rsidR="00351A18" w:rsidRPr="004F0FE2">
        <w:rPr>
          <w:lang w:eastAsia="es-ES"/>
        </w:rPr>
        <w:t xml:space="preserve"> (also known as TEAE</w:t>
      </w:r>
      <w:r w:rsidR="00B03CCE" w:rsidRPr="004F0FE2">
        <w:rPr>
          <w:lang w:eastAsia="es-ES"/>
        </w:rPr>
        <w:t>s</w:t>
      </w:r>
      <w:r w:rsidR="00351A18" w:rsidRPr="004F0FE2">
        <w:rPr>
          <w:lang w:eastAsia="es-ES"/>
        </w:rPr>
        <w:t>)</w:t>
      </w:r>
      <w:r w:rsidRPr="004F0FE2">
        <w:rPr>
          <w:lang w:eastAsia="es-ES"/>
        </w:rPr>
        <w:t xml:space="preserve">. </w:t>
      </w:r>
      <w:r w:rsidR="00E72C09" w:rsidRPr="004F0FE2">
        <w:rPr>
          <w:lang w:eastAsia="es-ES"/>
        </w:rPr>
        <w:t>The rates and classes of the observed TEAEs were generally similar between study arms (</w:t>
      </w:r>
      <w:r w:rsidR="00773549" w:rsidRPr="002B7615">
        <w:rPr>
          <w:i/>
          <w:color w:val="2F5496" w:themeColor="accent1" w:themeShade="BF"/>
          <w:lang w:eastAsia="es-ES"/>
        </w:rPr>
        <w:fldChar w:fldCharType="begin"/>
      </w:r>
      <w:r w:rsidR="00773549" w:rsidRPr="002B7615">
        <w:rPr>
          <w:i/>
          <w:color w:val="2F5496" w:themeColor="accent1" w:themeShade="BF"/>
          <w:lang w:eastAsia="es-ES"/>
        </w:rPr>
        <w:instrText xml:space="preserve"> REF _Ref52424928 \h </w:instrText>
      </w:r>
      <w:r w:rsidR="002B7615" w:rsidRPr="002B7615">
        <w:rPr>
          <w:i/>
          <w:color w:val="2F5496" w:themeColor="accent1" w:themeShade="BF"/>
          <w:lang w:eastAsia="es-ES"/>
        </w:rPr>
        <w:instrText xml:space="preserve"> \* MERGEFORMAT </w:instrText>
      </w:r>
      <w:r w:rsidR="00773549" w:rsidRPr="002B7615">
        <w:rPr>
          <w:i/>
          <w:color w:val="2F5496" w:themeColor="accent1" w:themeShade="BF"/>
          <w:lang w:eastAsia="es-ES"/>
        </w:rPr>
      </w:r>
      <w:r w:rsidR="00773549" w:rsidRPr="002B7615">
        <w:rPr>
          <w:i/>
          <w:color w:val="2F5496" w:themeColor="accent1" w:themeShade="BF"/>
          <w:lang w:eastAsia="es-ES"/>
        </w:rPr>
        <w:fldChar w:fldCharType="separate"/>
      </w:r>
      <w:r w:rsidR="00773549" w:rsidRPr="002B7615">
        <w:rPr>
          <w:i/>
          <w:color w:val="2F5496" w:themeColor="accent1" w:themeShade="BF"/>
        </w:rPr>
        <w:t xml:space="preserve">Table </w:t>
      </w:r>
      <w:r w:rsidR="00773549" w:rsidRPr="002B7615">
        <w:rPr>
          <w:i/>
          <w:noProof/>
          <w:color w:val="2F5496" w:themeColor="accent1" w:themeShade="BF"/>
        </w:rPr>
        <w:t>13</w:t>
      </w:r>
      <w:r w:rsidR="00773549" w:rsidRPr="002B7615">
        <w:rPr>
          <w:i/>
          <w:color w:val="2F5496" w:themeColor="accent1" w:themeShade="BF"/>
          <w:lang w:eastAsia="es-ES"/>
        </w:rPr>
        <w:fldChar w:fldCharType="end"/>
      </w:r>
      <w:r w:rsidR="00E72C09" w:rsidRPr="004F0FE2">
        <w:rPr>
          <w:lang w:eastAsia="es-ES"/>
        </w:rPr>
        <w:t xml:space="preserve">). </w:t>
      </w:r>
      <w:r w:rsidR="00B25200" w:rsidRPr="004F0FE2">
        <w:rPr>
          <w:lang w:eastAsia="es-ES"/>
        </w:rPr>
        <w:t>Overall, the SOC groups pooling more than 50% of TEAEs were “blood and lymphatic system disorders” (87.2%), “general disorders and administration site conditions” (68.5%), “gastrointestinal disorders” (67.5%), “musculoskeletal and connective tissue disorders” (60.7%), and “infections and infestations” (57.6%) (</w:t>
      </w:r>
      <w:r w:rsidR="00C511A6" w:rsidRPr="00C511A6">
        <w:rPr>
          <w:i/>
          <w:color w:val="2F5496" w:themeColor="accent1" w:themeShade="BF"/>
          <w:lang w:eastAsia="es-ES"/>
        </w:rPr>
        <w:fldChar w:fldCharType="begin"/>
      </w:r>
      <w:r w:rsidR="00C511A6" w:rsidRPr="00C511A6">
        <w:rPr>
          <w:i/>
          <w:color w:val="2F5496" w:themeColor="accent1" w:themeShade="BF"/>
          <w:lang w:eastAsia="es-ES"/>
        </w:rPr>
        <w:instrText xml:space="preserve"> REF _Ref52470942 \h  \* MERGEFORMAT </w:instrText>
      </w:r>
      <w:r w:rsidR="00C511A6" w:rsidRPr="00C511A6">
        <w:rPr>
          <w:i/>
          <w:color w:val="2F5496" w:themeColor="accent1" w:themeShade="BF"/>
          <w:lang w:eastAsia="es-ES"/>
        </w:rPr>
      </w:r>
      <w:r w:rsidR="00C511A6" w:rsidRPr="00C511A6">
        <w:rPr>
          <w:i/>
          <w:color w:val="2F5496" w:themeColor="accent1" w:themeShade="BF"/>
          <w:lang w:eastAsia="es-ES"/>
        </w:rPr>
        <w:fldChar w:fldCharType="separate"/>
      </w:r>
      <w:r w:rsidR="00C511A6" w:rsidRPr="00C511A6">
        <w:rPr>
          <w:i/>
          <w:color w:val="2F5496" w:themeColor="accent1" w:themeShade="BF"/>
        </w:rPr>
        <w:t>Figure 11</w:t>
      </w:r>
      <w:r w:rsidR="00C511A6" w:rsidRPr="00C511A6">
        <w:rPr>
          <w:i/>
          <w:color w:val="2F5496" w:themeColor="accent1" w:themeShade="BF"/>
          <w:lang w:eastAsia="es-ES"/>
        </w:rPr>
        <w:fldChar w:fldCharType="end"/>
      </w:r>
      <w:r w:rsidR="00B25200" w:rsidRPr="004F0FE2">
        <w:rPr>
          <w:lang w:eastAsia="es-ES"/>
        </w:rPr>
        <w:t>). Within these SOC classes (by preferred term), the</w:t>
      </w:r>
      <w:r w:rsidR="009C235A" w:rsidRPr="004F0FE2">
        <w:rPr>
          <w:lang w:eastAsia="es-ES"/>
        </w:rPr>
        <w:t xml:space="preserve"> most frequently reported (≥20%) </w:t>
      </w:r>
      <w:r w:rsidR="00B57C67" w:rsidRPr="004F0FE2">
        <w:rPr>
          <w:lang w:eastAsia="es-ES"/>
        </w:rPr>
        <w:t xml:space="preserve">TEAEs </w:t>
      </w:r>
      <w:r w:rsidR="00B57C67" w:rsidRPr="004F0FE2">
        <w:rPr>
          <w:bCs/>
        </w:rPr>
        <w:t xml:space="preserve">of any grade occurring in </w:t>
      </w:r>
      <w:r w:rsidR="00D973CA" w:rsidRPr="004F0FE2">
        <w:rPr>
          <w:bCs/>
        </w:rPr>
        <w:t xml:space="preserve">the </w:t>
      </w:r>
      <w:proofErr w:type="spellStart"/>
      <w:r w:rsidR="00D973CA" w:rsidRPr="004F0FE2">
        <w:rPr>
          <w:bCs/>
        </w:rPr>
        <w:t>palbociclib-fulvestrant</w:t>
      </w:r>
      <w:proofErr w:type="spellEnd"/>
      <w:r w:rsidR="00D973CA" w:rsidRPr="004F0FE2">
        <w:rPr>
          <w:bCs/>
        </w:rPr>
        <w:t xml:space="preserve"> group </w:t>
      </w:r>
      <w:r w:rsidR="00B57C67" w:rsidRPr="004F0FE2">
        <w:rPr>
          <w:bCs/>
        </w:rPr>
        <w:t xml:space="preserve">were </w:t>
      </w:r>
      <w:r w:rsidR="009A3AB6" w:rsidRPr="004F0FE2">
        <w:rPr>
          <w:lang w:eastAsia="es-ES"/>
        </w:rPr>
        <w:t>neutropenia</w:t>
      </w:r>
      <w:r w:rsidR="00B57C67" w:rsidRPr="004F0FE2">
        <w:rPr>
          <w:lang w:eastAsia="es-ES"/>
        </w:rPr>
        <w:t xml:space="preserve"> (</w:t>
      </w:r>
      <w:r w:rsidR="000026A9" w:rsidRPr="004F0FE2">
        <w:t>82.2</w:t>
      </w:r>
      <w:r w:rsidR="00B57C67" w:rsidRPr="004F0FE2">
        <w:t>%</w:t>
      </w:r>
      <w:r w:rsidR="00B57C67" w:rsidRPr="004F0FE2">
        <w:rPr>
          <w:lang w:eastAsia="es-ES"/>
        </w:rPr>
        <w:t>), asthenia (</w:t>
      </w:r>
      <w:r w:rsidR="000026A9" w:rsidRPr="004F0FE2">
        <w:t>37.3</w:t>
      </w:r>
      <w:r w:rsidR="00B57C67" w:rsidRPr="004F0FE2">
        <w:t>%</w:t>
      </w:r>
      <w:r w:rsidR="00B57C67" w:rsidRPr="004F0FE2">
        <w:rPr>
          <w:lang w:eastAsia="es-ES"/>
        </w:rPr>
        <w:t xml:space="preserve">), </w:t>
      </w:r>
      <w:r w:rsidR="00CA389E" w:rsidRPr="004F0FE2">
        <w:rPr>
          <w:lang w:eastAsia="es-ES"/>
        </w:rPr>
        <w:t>diarrhea</w:t>
      </w:r>
      <w:r w:rsidR="005C0618" w:rsidRPr="004F0FE2">
        <w:rPr>
          <w:lang w:eastAsia="es-ES"/>
        </w:rPr>
        <w:t xml:space="preserve"> (</w:t>
      </w:r>
      <w:r w:rsidR="005C0618" w:rsidRPr="004F0FE2">
        <w:t>27.0%</w:t>
      </w:r>
      <w:r w:rsidR="005C0618" w:rsidRPr="004F0FE2">
        <w:rPr>
          <w:lang w:eastAsia="es-ES"/>
        </w:rPr>
        <w:t xml:space="preserve">), </w:t>
      </w:r>
      <w:r w:rsidR="00B57C67" w:rsidRPr="004F0FE2">
        <w:rPr>
          <w:lang w:eastAsia="es-ES"/>
        </w:rPr>
        <w:t>arthralgia (</w:t>
      </w:r>
      <w:r w:rsidR="000026A9" w:rsidRPr="004F0FE2">
        <w:t>25.7</w:t>
      </w:r>
      <w:r w:rsidR="00B57C67" w:rsidRPr="004F0FE2">
        <w:t>%</w:t>
      </w:r>
      <w:r w:rsidR="00B57C67" w:rsidRPr="004F0FE2">
        <w:rPr>
          <w:lang w:eastAsia="es-ES"/>
        </w:rPr>
        <w:t>), fatigue (</w:t>
      </w:r>
      <w:r w:rsidR="000026A9" w:rsidRPr="004F0FE2">
        <w:t>25.7</w:t>
      </w:r>
      <w:r w:rsidR="00B57C67" w:rsidRPr="004F0FE2">
        <w:t>%</w:t>
      </w:r>
      <w:r w:rsidR="00B57C67" w:rsidRPr="004F0FE2">
        <w:rPr>
          <w:lang w:eastAsia="es-ES"/>
        </w:rPr>
        <w:t xml:space="preserve">), </w:t>
      </w:r>
      <w:r w:rsidR="005C0618" w:rsidRPr="004F0FE2">
        <w:rPr>
          <w:lang w:eastAsia="es-ES"/>
        </w:rPr>
        <w:t>leukopenia (</w:t>
      </w:r>
      <w:r w:rsidR="005C0618" w:rsidRPr="004F0FE2">
        <w:t>24.9%</w:t>
      </w:r>
      <w:r w:rsidR="005C0618" w:rsidRPr="004F0FE2">
        <w:rPr>
          <w:lang w:eastAsia="es-ES"/>
        </w:rPr>
        <w:t>), back pain (</w:t>
      </w:r>
      <w:r w:rsidR="005C0618" w:rsidRPr="004F0FE2">
        <w:t>23.7%</w:t>
      </w:r>
      <w:r w:rsidR="005C0618" w:rsidRPr="004F0FE2">
        <w:rPr>
          <w:lang w:eastAsia="es-ES"/>
        </w:rPr>
        <w:t>), nausea (</w:t>
      </w:r>
      <w:r w:rsidR="005C0618" w:rsidRPr="004F0FE2">
        <w:t>23.7%</w:t>
      </w:r>
      <w:r w:rsidR="005C0618" w:rsidRPr="004F0FE2">
        <w:rPr>
          <w:lang w:eastAsia="es-ES"/>
        </w:rPr>
        <w:t>), alopecia (</w:t>
      </w:r>
      <w:r w:rsidR="005C0618" w:rsidRPr="004F0FE2">
        <w:t>23.2%</w:t>
      </w:r>
      <w:r w:rsidR="005C0618" w:rsidRPr="004F0FE2">
        <w:rPr>
          <w:lang w:eastAsia="es-ES"/>
        </w:rPr>
        <w:t xml:space="preserve">), </w:t>
      </w:r>
      <w:r w:rsidR="00CA389E" w:rsidRPr="004F0FE2">
        <w:rPr>
          <w:lang w:eastAsia="es-ES"/>
        </w:rPr>
        <w:t>anemia</w:t>
      </w:r>
      <w:r w:rsidR="00B57C67" w:rsidRPr="004F0FE2">
        <w:rPr>
          <w:lang w:eastAsia="es-ES"/>
        </w:rPr>
        <w:t xml:space="preserve"> (</w:t>
      </w:r>
      <w:r w:rsidR="000026A9" w:rsidRPr="004F0FE2">
        <w:t>22.8</w:t>
      </w:r>
      <w:r w:rsidR="00B57C67" w:rsidRPr="004F0FE2">
        <w:t>%</w:t>
      </w:r>
      <w:r w:rsidR="00B57C67" w:rsidRPr="004F0FE2">
        <w:rPr>
          <w:lang w:eastAsia="es-ES"/>
        </w:rPr>
        <w:t xml:space="preserve">), </w:t>
      </w:r>
      <w:r w:rsidR="000026A9" w:rsidRPr="004F0FE2">
        <w:rPr>
          <w:lang w:eastAsia="es-ES"/>
        </w:rPr>
        <w:t>cough (</w:t>
      </w:r>
      <w:r w:rsidR="000026A9" w:rsidRPr="004F0FE2">
        <w:t>22.4%) and thrombocytopenia (20.3%)</w:t>
      </w:r>
      <w:r w:rsidR="00B57C67" w:rsidRPr="004F0FE2">
        <w:rPr>
          <w:lang w:eastAsia="es-ES"/>
        </w:rPr>
        <w:t xml:space="preserve">. </w:t>
      </w:r>
      <w:r w:rsidR="00D973CA" w:rsidRPr="004F0FE2">
        <w:rPr>
          <w:lang w:eastAsia="es-ES"/>
        </w:rPr>
        <w:t xml:space="preserve">In the </w:t>
      </w:r>
      <w:proofErr w:type="spellStart"/>
      <w:r w:rsidR="000026A9" w:rsidRPr="004F0FE2">
        <w:rPr>
          <w:lang w:eastAsia="es-ES"/>
        </w:rPr>
        <w:t>palbociclib</w:t>
      </w:r>
      <w:proofErr w:type="spellEnd"/>
      <w:r w:rsidR="000026A9" w:rsidRPr="004F0FE2">
        <w:rPr>
          <w:lang w:eastAsia="es-ES"/>
        </w:rPr>
        <w:t xml:space="preserve">-letrozole group the </w:t>
      </w:r>
      <w:r w:rsidR="009C235A" w:rsidRPr="004F0FE2">
        <w:t>most frequent</w:t>
      </w:r>
      <w:r w:rsidR="000026A9" w:rsidRPr="004F0FE2">
        <w:t xml:space="preserve"> TEAEs were </w:t>
      </w:r>
      <w:r w:rsidR="009A3AB6" w:rsidRPr="004F0FE2">
        <w:rPr>
          <w:lang w:eastAsia="es-ES"/>
        </w:rPr>
        <w:t>neutropenia</w:t>
      </w:r>
      <w:r w:rsidR="000026A9" w:rsidRPr="004F0FE2">
        <w:rPr>
          <w:lang w:eastAsia="es-ES"/>
        </w:rPr>
        <w:t xml:space="preserve"> (</w:t>
      </w:r>
      <w:r w:rsidR="000026A9" w:rsidRPr="004F0FE2">
        <w:t>85.5%</w:t>
      </w:r>
      <w:r w:rsidR="000026A9" w:rsidRPr="004F0FE2">
        <w:rPr>
          <w:lang w:eastAsia="es-ES"/>
        </w:rPr>
        <w:t>), asthenia (</w:t>
      </w:r>
      <w:r w:rsidR="000026A9" w:rsidRPr="004F0FE2">
        <w:t>36.0%</w:t>
      </w:r>
      <w:r w:rsidR="000026A9" w:rsidRPr="004F0FE2">
        <w:rPr>
          <w:lang w:eastAsia="es-ES"/>
        </w:rPr>
        <w:t>), arthralgia (</w:t>
      </w:r>
      <w:r w:rsidR="000026A9" w:rsidRPr="004F0FE2">
        <w:t>33.1%</w:t>
      </w:r>
      <w:r w:rsidR="000026A9" w:rsidRPr="004F0FE2">
        <w:rPr>
          <w:lang w:eastAsia="es-ES"/>
        </w:rPr>
        <w:t xml:space="preserve">), </w:t>
      </w:r>
      <w:r w:rsidR="00CA389E" w:rsidRPr="004F0FE2">
        <w:rPr>
          <w:lang w:eastAsia="es-ES"/>
        </w:rPr>
        <w:t>anemia</w:t>
      </w:r>
      <w:r w:rsidR="005C0618" w:rsidRPr="004F0FE2">
        <w:rPr>
          <w:lang w:eastAsia="es-ES"/>
        </w:rPr>
        <w:t xml:space="preserve"> (</w:t>
      </w:r>
      <w:r w:rsidR="005C0618" w:rsidRPr="004F0FE2">
        <w:t>28.1%</w:t>
      </w:r>
      <w:r w:rsidR="005C0618" w:rsidRPr="004F0FE2">
        <w:rPr>
          <w:lang w:eastAsia="es-ES"/>
        </w:rPr>
        <w:t xml:space="preserve">), </w:t>
      </w:r>
      <w:r w:rsidR="000026A9" w:rsidRPr="004F0FE2">
        <w:rPr>
          <w:lang w:eastAsia="es-ES"/>
        </w:rPr>
        <w:t>fatigue (</w:t>
      </w:r>
      <w:r w:rsidR="000026A9" w:rsidRPr="004F0FE2">
        <w:t>26.0%</w:t>
      </w:r>
      <w:r w:rsidR="000026A9" w:rsidRPr="004F0FE2">
        <w:rPr>
          <w:lang w:eastAsia="es-ES"/>
        </w:rPr>
        <w:t xml:space="preserve">), </w:t>
      </w:r>
      <w:r w:rsidR="005C0618" w:rsidRPr="004F0FE2">
        <w:rPr>
          <w:lang w:eastAsia="es-ES"/>
        </w:rPr>
        <w:t>leukopenia (</w:t>
      </w:r>
      <w:r w:rsidR="005C0618" w:rsidRPr="004F0FE2">
        <w:t>25.2%</w:t>
      </w:r>
      <w:r w:rsidR="005C0618" w:rsidRPr="004F0FE2">
        <w:rPr>
          <w:lang w:eastAsia="es-ES"/>
        </w:rPr>
        <w:t>), alopecia (</w:t>
      </w:r>
      <w:r w:rsidR="005C0618" w:rsidRPr="004F0FE2">
        <w:t>25.2%</w:t>
      </w:r>
      <w:r w:rsidR="005C0618" w:rsidRPr="004F0FE2">
        <w:rPr>
          <w:lang w:eastAsia="es-ES"/>
        </w:rPr>
        <w:t xml:space="preserve">), </w:t>
      </w:r>
      <w:r w:rsidR="00CA389E" w:rsidRPr="004F0FE2">
        <w:rPr>
          <w:lang w:eastAsia="es-ES"/>
        </w:rPr>
        <w:t>diarrhea</w:t>
      </w:r>
      <w:r w:rsidR="000026A9" w:rsidRPr="004F0FE2">
        <w:rPr>
          <w:lang w:eastAsia="es-ES"/>
        </w:rPr>
        <w:t xml:space="preserve"> (</w:t>
      </w:r>
      <w:r w:rsidR="000026A9" w:rsidRPr="004F0FE2">
        <w:t>24.8%</w:t>
      </w:r>
      <w:r w:rsidR="000026A9" w:rsidRPr="004F0FE2">
        <w:rPr>
          <w:lang w:eastAsia="es-ES"/>
        </w:rPr>
        <w:t xml:space="preserve">), </w:t>
      </w:r>
      <w:r w:rsidR="0074579C" w:rsidRPr="004F0FE2">
        <w:rPr>
          <w:lang w:eastAsia="es-ES"/>
        </w:rPr>
        <w:t>and</w:t>
      </w:r>
      <w:r w:rsidR="000026A9" w:rsidRPr="004F0FE2">
        <w:rPr>
          <w:lang w:eastAsia="es-ES"/>
        </w:rPr>
        <w:t xml:space="preserve"> back pain (</w:t>
      </w:r>
      <w:r w:rsidR="000026A9" w:rsidRPr="004F0FE2">
        <w:t>20.2%</w:t>
      </w:r>
      <w:r w:rsidR="000026A9" w:rsidRPr="004F0FE2">
        <w:rPr>
          <w:lang w:eastAsia="es-ES"/>
        </w:rPr>
        <w:t>)</w:t>
      </w:r>
      <w:r w:rsidR="0074579C" w:rsidRPr="004F0FE2">
        <w:rPr>
          <w:lang w:eastAsia="es-ES"/>
        </w:rPr>
        <w:t xml:space="preserve"> (</w:t>
      </w:r>
      <w:r w:rsidR="00C511A6" w:rsidRPr="00C511A6">
        <w:rPr>
          <w:i/>
          <w:color w:val="2F5496" w:themeColor="accent1" w:themeShade="BF"/>
          <w:lang w:eastAsia="es-ES"/>
        </w:rPr>
        <w:fldChar w:fldCharType="begin"/>
      </w:r>
      <w:r w:rsidR="00C511A6" w:rsidRPr="00C511A6">
        <w:rPr>
          <w:i/>
          <w:color w:val="2F5496" w:themeColor="accent1" w:themeShade="BF"/>
          <w:lang w:eastAsia="es-ES"/>
        </w:rPr>
        <w:instrText xml:space="preserve"> REF _Ref52470994 \h  \* MERGEFORMAT </w:instrText>
      </w:r>
      <w:r w:rsidR="00C511A6" w:rsidRPr="00C511A6">
        <w:rPr>
          <w:i/>
          <w:color w:val="2F5496" w:themeColor="accent1" w:themeShade="BF"/>
          <w:lang w:eastAsia="es-ES"/>
        </w:rPr>
      </w:r>
      <w:r w:rsidR="00C511A6" w:rsidRPr="00C511A6">
        <w:rPr>
          <w:i/>
          <w:color w:val="2F5496" w:themeColor="accent1" w:themeShade="BF"/>
          <w:lang w:eastAsia="es-ES"/>
        </w:rPr>
        <w:fldChar w:fldCharType="separate"/>
      </w:r>
      <w:r w:rsidR="00C511A6" w:rsidRPr="00C511A6">
        <w:rPr>
          <w:i/>
          <w:color w:val="2F5496" w:themeColor="accent1" w:themeShade="BF"/>
        </w:rPr>
        <w:t>Figure 12</w:t>
      </w:r>
      <w:r w:rsidR="00C511A6" w:rsidRPr="00C511A6">
        <w:rPr>
          <w:i/>
          <w:color w:val="2F5496" w:themeColor="accent1" w:themeShade="BF"/>
          <w:lang w:eastAsia="es-ES"/>
        </w:rPr>
        <w:fldChar w:fldCharType="end"/>
      </w:r>
      <w:r w:rsidR="0074579C" w:rsidRPr="00C511A6">
        <w:rPr>
          <w:i/>
          <w:color w:val="2F5496" w:themeColor="accent1" w:themeShade="BF"/>
          <w:lang w:eastAsia="es-ES"/>
        </w:rPr>
        <w:t>).</w:t>
      </w:r>
      <w:r w:rsidR="0074579C" w:rsidRPr="00C511A6">
        <w:rPr>
          <w:color w:val="2F5496" w:themeColor="accent1" w:themeShade="BF"/>
          <w:lang w:eastAsia="es-ES"/>
        </w:rPr>
        <w:t xml:space="preserve"> </w:t>
      </w:r>
    </w:p>
    <w:p w14:paraId="46132E28" w14:textId="77777777" w:rsidR="00065F9A" w:rsidRPr="004F0FE2" w:rsidRDefault="00065F9A" w:rsidP="00673269">
      <w:pPr>
        <w:pStyle w:val="Ttulo3"/>
        <w:ind w:right="567"/>
        <w:rPr>
          <w:lang w:eastAsia="es-ES"/>
        </w:rPr>
      </w:pPr>
      <w:bookmarkStart w:id="436" w:name="_Toc52468141"/>
      <w:r w:rsidRPr="004F0FE2">
        <w:rPr>
          <w:lang w:eastAsia="es-ES"/>
        </w:rPr>
        <w:t>Adverse drug reactions.</w:t>
      </w:r>
      <w:bookmarkEnd w:id="436"/>
    </w:p>
    <w:p w14:paraId="68DE8F0B" w14:textId="1DFD6ACE" w:rsidR="00C665E8" w:rsidRPr="004F0FE2" w:rsidRDefault="00C665E8" w:rsidP="00673269">
      <w:pPr>
        <w:ind w:right="567"/>
        <w:rPr>
          <w:lang w:eastAsia="es-ES"/>
        </w:rPr>
      </w:pPr>
      <w:r w:rsidRPr="004F0FE2">
        <w:rPr>
          <w:lang w:eastAsia="es-ES"/>
        </w:rPr>
        <w:t xml:space="preserve">A summary of all IMP-related TEAEs reported in </w:t>
      </w:r>
      <w:r w:rsidRPr="004F0FE2">
        <w:t xml:space="preserve">&gt;2% patients </w:t>
      </w:r>
      <w:r w:rsidR="00E72C09" w:rsidRPr="004F0FE2">
        <w:t>of</w:t>
      </w:r>
      <w:r w:rsidRPr="004F0FE2">
        <w:t xml:space="preserve"> the safety population is presented in </w:t>
      </w:r>
      <w:r w:rsidR="00773549" w:rsidRPr="002B7615">
        <w:rPr>
          <w:i/>
          <w:color w:val="2F5496" w:themeColor="accent1" w:themeShade="BF"/>
        </w:rPr>
        <w:fldChar w:fldCharType="begin"/>
      </w:r>
      <w:r w:rsidR="00773549" w:rsidRPr="002B7615">
        <w:rPr>
          <w:i/>
          <w:color w:val="2F5496" w:themeColor="accent1" w:themeShade="BF"/>
        </w:rPr>
        <w:instrText xml:space="preserve"> REF _Ref52424973 \h </w:instrText>
      </w:r>
      <w:r w:rsidR="002B7615" w:rsidRPr="002B7615">
        <w:rPr>
          <w:i/>
          <w:color w:val="2F5496" w:themeColor="accent1" w:themeShade="BF"/>
        </w:rPr>
        <w:instrText xml:space="preserve"> \* MERGEFORMAT </w:instrText>
      </w:r>
      <w:r w:rsidR="00773549" w:rsidRPr="002B7615">
        <w:rPr>
          <w:i/>
          <w:color w:val="2F5496" w:themeColor="accent1" w:themeShade="BF"/>
        </w:rPr>
      </w:r>
      <w:r w:rsidR="00773549" w:rsidRPr="002B7615">
        <w:rPr>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14</w:t>
      </w:r>
      <w:r w:rsidR="00773549" w:rsidRPr="002B7615">
        <w:rPr>
          <w:i/>
          <w:color w:val="2F5496" w:themeColor="accent1" w:themeShade="BF"/>
        </w:rPr>
        <w:fldChar w:fldCharType="end"/>
      </w:r>
      <w:r w:rsidRPr="004F0FE2">
        <w:t xml:space="preserve">. </w:t>
      </w:r>
    </w:p>
    <w:p w14:paraId="3D228305" w14:textId="4F3C71E8" w:rsidR="00EA08A9" w:rsidRPr="004F0FE2" w:rsidRDefault="00E72C09" w:rsidP="00673269">
      <w:pPr>
        <w:ind w:right="567"/>
        <w:rPr>
          <w:lang w:eastAsia="es-ES"/>
        </w:rPr>
      </w:pPr>
      <w:r w:rsidRPr="004F0FE2">
        <w:rPr>
          <w:lang w:eastAsia="es-ES"/>
        </w:rPr>
        <w:t xml:space="preserve">No significant differences </w:t>
      </w:r>
      <w:r w:rsidR="002E1F47" w:rsidRPr="004F0FE2">
        <w:rPr>
          <w:lang w:eastAsia="es-ES"/>
        </w:rPr>
        <w:t xml:space="preserve">between study groups </w:t>
      </w:r>
      <w:r w:rsidRPr="004F0FE2">
        <w:rPr>
          <w:lang w:eastAsia="es-ES"/>
        </w:rPr>
        <w:t xml:space="preserve">were observed in the frequency of </w:t>
      </w:r>
      <w:r w:rsidR="002E1F47" w:rsidRPr="004F0FE2">
        <w:rPr>
          <w:lang w:eastAsia="es-ES"/>
        </w:rPr>
        <w:t xml:space="preserve">TEAEs </w:t>
      </w:r>
      <w:r w:rsidR="00BC3A30" w:rsidRPr="004F0FE2">
        <w:rPr>
          <w:lang w:eastAsia="es-ES"/>
        </w:rPr>
        <w:t xml:space="preserve">causally related </w:t>
      </w:r>
      <w:r w:rsidR="002E1F47" w:rsidRPr="004F0FE2">
        <w:rPr>
          <w:lang w:eastAsia="es-ES"/>
        </w:rPr>
        <w:t>with the IMP</w:t>
      </w:r>
      <w:r w:rsidRPr="004F0FE2">
        <w:rPr>
          <w:lang w:eastAsia="es-ES"/>
        </w:rPr>
        <w:t xml:space="preserve">: </w:t>
      </w:r>
      <w:r w:rsidR="00351A18" w:rsidRPr="004F0FE2">
        <w:rPr>
          <w:lang w:eastAsia="es-ES"/>
        </w:rPr>
        <w:t>225</w:t>
      </w:r>
      <w:r w:rsidRPr="004F0FE2">
        <w:rPr>
          <w:lang w:eastAsia="es-ES"/>
        </w:rPr>
        <w:t xml:space="preserve"> </w:t>
      </w:r>
      <w:r w:rsidR="002E1F47" w:rsidRPr="004F0FE2">
        <w:rPr>
          <w:lang w:eastAsia="es-ES"/>
        </w:rPr>
        <w:t xml:space="preserve">(93.4%, 95% CI 89.4 - 96.2) </w:t>
      </w:r>
      <w:r w:rsidRPr="004F0FE2">
        <w:rPr>
          <w:lang w:eastAsia="es-ES"/>
        </w:rPr>
        <w:t>of the 24</w:t>
      </w:r>
      <w:r w:rsidR="002E1F47" w:rsidRPr="004F0FE2">
        <w:rPr>
          <w:lang w:eastAsia="es-ES"/>
        </w:rPr>
        <w:t>1 patients</w:t>
      </w:r>
      <w:r w:rsidR="00270B0E" w:rsidRPr="004F0FE2">
        <w:rPr>
          <w:lang w:eastAsia="es-ES"/>
        </w:rPr>
        <w:t xml:space="preserve"> </w:t>
      </w:r>
      <w:r w:rsidR="00351A18" w:rsidRPr="004F0FE2">
        <w:rPr>
          <w:lang w:eastAsia="es-ES"/>
        </w:rPr>
        <w:t xml:space="preserve">in the </w:t>
      </w:r>
      <w:proofErr w:type="spellStart"/>
      <w:r w:rsidR="00351A18" w:rsidRPr="004F0FE2">
        <w:rPr>
          <w:lang w:eastAsia="es-ES"/>
        </w:rPr>
        <w:t>palbociclib-fulvestrant</w:t>
      </w:r>
      <w:proofErr w:type="spellEnd"/>
      <w:r w:rsidR="00351A18" w:rsidRPr="004F0FE2">
        <w:rPr>
          <w:lang w:eastAsia="es-ES"/>
        </w:rPr>
        <w:t xml:space="preserve"> group </w:t>
      </w:r>
      <w:r w:rsidR="002E1F47" w:rsidRPr="004F0FE2">
        <w:rPr>
          <w:lang w:eastAsia="es-ES"/>
        </w:rPr>
        <w:t xml:space="preserve">versus </w:t>
      </w:r>
      <w:r w:rsidR="00351A18" w:rsidRPr="004F0FE2">
        <w:rPr>
          <w:lang w:eastAsia="es-ES"/>
        </w:rPr>
        <w:t>230 (95.0%</w:t>
      </w:r>
      <w:r w:rsidR="002E1F47" w:rsidRPr="004F0FE2">
        <w:rPr>
          <w:lang w:eastAsia="es-ES"/>
        </w:rPr>
        <w:t>, 95% CI 91.5 - 97.4</w:t>
      </w:r>
      <w:r w:rsidR="00351A18" w:rsidRPr="004F0FE2">
        <w:rPr>
          <w:lang w:eastAsia="es-ES"/>
        </w:rPr>
        <w:t xml:space="preserve">) </w:t>
      </w:r>
      <w:r w:rsidR="009C235A" w:rsidRPr="004F0FE2">
        <w:rPr>
          <w:lang w:eastAsia="es-ES"/>
        </w:rPr>
        <w:t>of the 242</w:t>
      </w:r>
      <w:r w:rsidR="002E1F47" w:rsidRPr="004F0FE2">
        <w:rPr>
          <w:lang w:eastAsia="es-ES"/>
        </w:rPr>
        <w:t xml:space="preserve"> patients</w:t>
      </w:r>
      <w:r w:rsidR="009C235A" w:rsidRPr="004F0FE2">
        <w:rPr>
          <w:lang w:eastAsia="es-ES"/>
        </w:rPr>
        <w:t xml:space="preserve"> </w:t>
      </w:r>
      <w:r w:rsidR="00351A18" w:rsidRPr="004F0FE2">
        <w:rPr>
          <w:lang w:eastAsia="es-ES"/>
        </w:rPr>
        <w:t xml:space="preserve">in the </w:t>
      </w:r>
      <w:proofErr w:type="spellStart"/>
      <w:r w:rsidR="00351A18" w:rsidRPr="004F0FE2">
        <w:rPr>
          <w:lang w:eastAsia="es-ES"/>
        </w:rPr>
        <w:t>palbociclib</w:t>
      </w:r>
      <w:proofErr w:type="spellEnd"/>
      <w:r w:rsidR="00351A18" w:rsidRPr="004F0FE2">
        <w:rPr>
          <w:lang w:eastAsia="es-ES"/>
        </w:rPr>
        <w:t xml:space="preserve">-letrozole treatment arm. </w:t>
      </w:r>
      <w:r w:rsidR="0074579C" w:rsidRPr="004F0FE2">
        <w:rPr>
          <w:lang w:eastAsia="es-ES"/>
        </w:rPr>
        <w:t xml:space="preserve">The adverse events most commonly </w:t>
      </w:r>
      <w:r w:rsidR="005C0618" w:rsidRPr="004F0FE2">
        <w:t xml:space="preserve">(≥20%) </w:t>
      </w:r>
      <w:r w:rsidR="0074579C" w:rsidRPr="004F0FE2">
        <w:rPr>
          <w:lang w:eastAsia="es-ES"/>
        </w:rPr>
        <w:t xml:space="preserve">attributed to treatment with </w:t>
      </w:r>
      <w:proofErr w:type="spellStart"/>
      <w:r w:rsidR="0074579C" w:rsidRPr="004F0FE2">
        <w:rPr>
          <w:lang w:eastAsia="es-ES"/>
        </w:rPr>
        <w:t>palbociclib-fulvestrant</w:t>
      </w:r>
      <w:proofErr w:type="spellEnd"/>
      <w:r w:rsidR="0074579C" w:rsidRPr="004F0FE2">
        <w:rPr>
          <w:lang w:eastAsia="es-ES"/>
        </w:rPr>
        <w:t xml:space="preserve"> were neutropenia (80.9%), asthenia (27.4%), leukopenia (21.6%) and fatigue (20.7%). </w:t>
      </w:r>
      <w:r w:rsidR="005C0618" w:rsidRPr="004F0FE2">
        <w:rPr>
          <w:lang w:eastAsia="es-ES"/>
        </w:rPr>
        <w:t xml:space="preserve">The most frequent </w:t>
      </w:r>
      <w:r w:rsidR="0074579C" w:rsidRPr="004F0FE2">
        <w:rPr>
          <w:lang w:eastAsia="es-ES"/>
        </w:rPr>
        <w:t>TEAE</w:t>
      </w:r>
      <w:r w:rsidR="00EF40A4" w:rsidRPr="004F0FE2">
        <w:rPr>
          <w:lang w:eastAsia="es-ES"/>
        </w:rPr>
        <w:t>s</w:t>
      </w:r>
      <w:r w:rsidR="005C0618" w:rsidRPr="004F0FE2">
        <w:rPr>
          <w:lang w:eastAsia="es-ES"/>
        </w:rPr>
        <w:t xml:space="preserve"> related with the </w:t>
      </w:r>
      <w:proofErr w:type="spellStart"/>
      <w:r w:rsidR="005C0618" w:rsidRPr="004F0FE2">
        <w:rPr>
          <w:lang w:eastAsia="es-ES"/>
        </w:rPr>
        <w:t>palbociclib</w:t>
      </w:r>
      <w:proofErr w:type="spellEnd"/>
      <w:r w:rsidR="005C0618" w:rsidRPr="004F0FE2">
        <w:rPr>
          <w:lang w:eastAsia="es-ES"/>
        </w:rPr>
        <w:t xml:space="preserve">-letrozole arm were </w:t>
      </w:r>
      <w:r w:rsidR="00EF40A4" w:rsidRPr="004F0FE2">
        <w:rPr>
          <w:lang w:eastAsia="es-ES"/>
        </w:rPr>
        <w:t>also</w:t>
      </w:r>
      <w:r w:rsidR="005C0618" w:rsidRPr="004F0FE2">
        <w:rPr>
          <w:lang w:eastAsia="es-ES"/>
        </w:rPr>
        <w:t xml:space="preserve"> neutropenia (83.9%), asthenia (26.9%), fatigue (22.7%) and leukopenia (21.9%)</w:t>
      </w:r>
      <w:r w:rsidR="00EF40A4" w:rsidRPr="004F0FE2">
        <w:rPr>
          <w:lang w:eastAsia="es-ES"/>
        </w:rPr>
        <w:t xml:space="preserve">, as well as </w:t>
      </w:r>
      <w:r w:rsidR="005C0618" w:rsidRPr="004F0FE2">
        <w:rPr>
          <w:lang w:eastAsia="es-ES"/>
        </w:rPr>
        <w:t>alopecia (24.0%)</w:t>
      </w:r>
      <w:r w:rsidR="00EF40A4" w:rsidRPr="004F0FE2">
        <w:rPr>
          <w:lang w:eastAsia="es-ES"/>
        </w:rPr>
        <w:t xml:space="preserve"> and </w:t>
      </w:r>
      <w:r w:rsidR="00CA389E" w:rsidRPr="004F0FE2">
        <w:rPr>
          <w:lang w:eastAsia="es-ES"/>
        </w:rPr>
        <w:t>anemia</w:t>
      </w:r>
      <w:r w:rsidR="005C0618" w:rsidRPr="004F0FE2">
        <w:rPr>
          <w:lang w:eastAsia="es-ES"/>
        </w:rPr>
        <w:t xml:space="preserve"> (21.5%)</w:t>
      </w:r>
      <w:r w:rsidR="00EF40A4" w:rsidRPr="004F0FE2">
        <w:rPr>
          <w:lang w:eastAsia="es-ES"/>
        </w:rPr>
        <w:t>.</w:t>
      </w:r>
      <w:r w:rsidR="00AC2701" w:rsidRPr="004F0FE2">
        <w:rPr>
          <w:lang w:eastAsia="es-ES"/>
        </w:rPr>
        <w:t xml:space="preserve"> </w:t>
      </w:r>
    </w:p>
    <w:p w14:paraId="7009317A" w14:textId="77777777" w:rsidR="00065F9A" w:rsidRPr="004F0FE2" w:rsidRDefault="00065F9A" w:rsidP="00673269">
      <w:pPr>
        <w:pStyle w:val="Ttulo3"/>
        <w:ind w:right="567"/>
        <w:rPr>
          <w:lang w:eastAsia="es-ES"/>
        </w:rPr>
      </w:pPr>
      <w:bookmarkStart w:id="437" w:name="_Toc52468142"/>
      <w:r w:rsidRPr="004F0FE2">
        <w:rPr>
          <w:lang w:eastAsia="es-ES"/>
        </w:rPr>
        <w:t>Toxicity of adverse events.</w:t>
      </w:r>
      <w:bookmarkEnd w:id="437"/>
    </w:p>
    <w:p w14:paraId="2BBC0D48" w14:textId="7ACCD0EB" w:rsidR="00C665E8" w:rsidRPr="004F0FE2" w:rsidRDefault="00C665E8" w:rsidP="00673269">
      <w:pPr>
        <w:ind w:right="567"/>
        <w:rPr>
          <w:color w:val="000000"/>
        </w:rPr>
      </w:pPr>
      <w:r w:rsidRPr="004F0FE2">
        <w:rPr>
          <w:color w:val="000000"/>
        </w:rPr>
        <w:t>Tabular summaries of</w:t>
      </w:r>
      <w:r w:rsidR="00E72C09" w:rsidRPr="004F0FE2">
        <w:rPr>
          <w:color w:val="000000"/>
        </w:rPr>
        <w:t xml:space="preserve"> CTCAE</w:t>
      </w:r>
      <w:r w:rsidRPr="004F0FE2">
        <w:rPr>
          <w:color w:val="000000"/>
        </w:rPr>
        <w:t xml:space="preserve"> ≥3 grade</w:t>
      </w:r>
      <w:r w:rsidR="00E72C09" w:rsidRPr="004F0FE2">
        <w:rPr>
          <w:color w:val="000000"/>
        </w:rPr>
        <w:t xml:space="preserve"> severity</w:t>
      </w:r>
      <w:r w:rsidRPr="004F0FE2">
        <w:rPr>
          <w:color w:val="000000"/>
        </w:rPr>
        <w:t xml:space="preserve"> TEAEs </w:t>
      </w:r>
      <w:r w:rsidR="00E72C09" w:rsidRPr="004F0FE2">
        <w:rPr>
          <w:color w:val="000000"/>
        </w:rPr>
        <w:t xml:space="preserve">(any and </w:t>
      </w:r>
      <w:r w:rsidRPr="004F0FE2">
        <w:rPr>
          <w:color w:val="000000"/>
        </w:rPr>
        <w:t>IMP-related</w:t>
      </w:r>
      <w:r w:rsidR="00E72C09" w:rsidRPr="004F0FE2">
        <w:rPr>
          <w:color w:val="000000"/>
        </w:rPr>
        <w:t>)</w:t>
      </w:r>
      <w:r w:rsidRPr="004F0FE2">
        <w:rPr>
          <w:color w:val="000000"/>
        </w:rPr>
        <w:t xml:space="preserve"> occurring in </w:t>
      </w:r>
      <w:r w:rsidRPr="004F0FE2">
        <w:t>&gt;1% of patients</w:t>
      </w:r>
      <w:r w:rsidRPr="004F0FE2">
        <w:rPr>
          <w:color w:val="000000"/>
        </w:rPr>
        <w:t xml:space="preserve"> </w:t>
      </w:r>
      <w:r w:rsidR="00E72C09" w:rsidRPr="004F0FE2">
        <w:rPr>
          <w:color w:val="000000"/>
        </w:rPr>
        <w:t xml:space="preserve">in </w:t>
      </w:r>
      <w:r w:rsidRPr="004F0FE2">
        <w:rPr>
          <w:color w:val="000000"/>
        </w:rPr>
        <w:t>the safety set are presented in</w:t>
      </w:r>
      <w:r w:rsidRPr="002B7615">
        <w:rPr>
          <w:i/>
          <w:color w:val="2F5496" w:themeColor="accent1" w:themeShade="BF"/>
        </w:rPr>
        <w:t xml:space="preserve"> </w:t>
      </w:r>
      <w:r w:rsidR="00773549" w:rsidRPr="002B7615">
        <w:rPr>
          <w:i/>
          <w:color w:val="2F5496" w:themeColor="accent1" w:themeShade="BF"/>
        </w:rPr>
        <w:fldChar w:fldCharType="begin"/>
      </w:r>
      <w:r w:rsidR="00773549" w:rsidRPr="002B7615">
        <w:rPr>
          <w:i/>
          <w:color w:val="2F5496" w:themeColor="accent1" w:themeShade="BF"/>
        </w:rPr>
        <w:instrText xml:space="preserve"> REF _Ref52424981 \h </w:instrText>
      </w:r>
      <w:r w:rsidR="002B7615">
        <w:rPr>
          <w:i/>
          <w:color w:val="2F5496" w:themeColor="accent1" w:themeShade="BF"/>
        </w:rPr>
        <w:instrText xml:space="preserve"> \* MERGEFORMAT </w:instrText>
      </w:r>
      <w:r w:rsidR="00773549" w:rsidRPr="002B7615">
        <w:rPr>
          <w:i/>
          <w:color w:val="2F5496" w:themeColor="accent1" w:themeShade="BF"/>
        </w:rPr>
      </w:r>
      <w:r w:rsidR="00773549" w:rsidRPr="002B7615">
        <w:rPr>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15</w:t>
      </w:r>
      <w:r w:rsidR="00773549" w:rsidRPr="002B7615">
        <w:rPr>
          <w:i/>
          <w:color w:val="2F5496" w:themeColor="accent1" w:themeShade="BF"/>
        </w:rPr>
        <w:fldChar w:fldCharType="end"/>
      </w:r>
      <w:r w:rsidRPr="004F0FE2">
        <w:rPr>
          <w:color w:val="000000"/>
        </w:rPr>
        <w:t xml:space="preserve"> and </w:t>
      </w:r>
      <w:r w:rsidR="00773549" w:rsidRPr="002B7615">
        <w:rPr>
          <w:i/>
          <w:color w:val="2F5496" w:themeColor="accent1" w:themeShade="BF"/>
        </w:rPr>
        <w:fldChar w:fldCharType="begin"/>
      </w:r>
      <w:r w:rsidR="00773549" w:rsidRPr="002B7615">
        <w:rPr>
          <w:i/>
          <w:color w:val="2F5496" w:themeColor="accent1" w:themeShade="BF"/>
        </w:rPr>
        <w:instrText xml:space="preserve"> REF _Ref52424987 \h </w:instrText>
      </w:r>
      <w:r w:rsidR="002B7615" w:rsidRPr="002B7615">
        <w:rPr>
          <w:i/>
          <w:color w:val="2F5496" w:themeColor="accent1" w:themeShade="BF"/>
        </w:rPr>
        <w:instrText xml:space="preserve"> \* MERGEFORMAT </w:instrText>
      </w:r>
      <w:r w:rsidR="00773549" w:rsidRPr="002B7615">
        <w:rPr>
          <w:i/>
          <w:color w:val="2F5496" w:themeColor="accent1" w:themeShade="BF"/>
        </w:rPr>
      </w:r>
      <w:r w:rsidR="00773549" w:rsidRPr="002B7615">
        <w:rPr>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16</w:t>
      </w:r>
      <w:r w:rsidR="00773549" w:rsidRPr="002B7615">
        <w:rPr>
          <w:i/>
          <w:color w:val="2F5496" w:themeColor="accent1" w:themeShade="BF"/>
        </w:rPr>
        <w:fldChar w:fldCharType="end"/>
      </w:r>
      <w:r w:rsidR="002B7615" w:rsidRPr="002B7615">
        <w:rPr>
          <w:i/>
          <w:color w:val="2F5496" w:themeColor="accent1" w:themeShade="BF"/>
        </w:rPr>
        <w:t xml:space="preserve"> </w:t>
      </w:r>
      <w:r w:rsidR="00E72C09" w:rsidRPr="004F0FE2">
        <w:rPr>
          <w:color w:val="000000"/>
        </w:rPr>
        <w:t xml:space="preserve">respectively. </w:t>
      </w:r>
      <w:r w:rsidRPr="004F0FE2">
        <w:rPr>
          <w:color w:val="000000"/>
        </w:rPr>
        <w:t xml:space="preserve"> </w:t>
      </w:r>
    </w:p>
    <w:p w14:paraId="685655A6" w14:textId="5B75DD7A" w:rsidR="00C778F9" w:rsidRPr="004F0FE2" w:rsidRDefault="00D973CA" w:rsidP="00673269">
      <w:pPr>
        <w:ind w:right="567"/>
        <w:rPr>
          <w:lang w:eastAsia="es-ES"/>
        </w:rPr>
      </w:pPr>
      <w:r w:rsidRPr="004F0FE2">
        <w:t xml:space="preserve">A similar proportion of </w:t>
      </w:r>
      <w:r w:rsidR="009C235A" w:rsidRPr="004F0FE2">
        <w:t xml:space="preserve">patients with at least one </w:t>
      </w:r>
      <w:r w:rsidR="008D7D7C">
        <w:t>g</w:t>
      </w:r>
      <w:r w:rsidR="00EF40A4" w:rsidRPr="004F0FE2">
        <w:t xml:space="preserve">rade ≥3 </w:t>
      </w:r>
      <w:r w:rsidRPr="004F0FE2">
        <w:t>TEAE</w:t>
      </w:r>
      <w:r w:rsidR="00EF40A4" w:rsidRPr="004F0FE2">
        <w:t xml:space="preserve"> </w:t>
      </w:r>
      <w:r w:rsidRPr="004F0FE2">
        <w:t xml:space="preserve">were reported in the experimental arm compared to the control </w:t>
      </w:r>
      <w:r w:rsidR="002E1F47" w:rsidRPr="004F0FE2">
        <w:t>group</w:t>
      </w:r>
      <w:r w:rsidRPr="004F0FE2">
        <w:t xml:space="preserve">: </w:t>
      </w:r>
      <w:r w:rsidR="00883B89" w:rsidRPr="004F0FE2">
        <w:rPr>
          <w:lang w:eastAsia="es-ES"/>
        </w:rPr>
        <w:t xml:space="preserve">199 </w:t>
      </w:r>
      <w:r w:rsidR="002E1F47" w:rsidRPr="004F0FE2">
        <w:rPr>
          <w:lang w:eastAsia="es-ES"/>
        </w:rPr>
        <w:t xml:space="preserve">(82.6%, </w:t>
      </w:r>
      <w:r w:rsidR="00883B89" w:rsidRPr="004F0FE2">
        <w:rPr>
          <w:lang w:eastAsia="es-ES"/>
        </w:rPr>
        <w:t>95%CI 77.2 – 87.1</w:t>
      </w:r>
      <w:r w:rsidR="002E1F47" w:rsidRPr="004F0FE2">
        <w:rPr>
          <w:lang w:eastAsia="es-ES"/>
        </w:rPr>
        <w:t>)</w:t>
      </w:r>
      <w:r w:rsidR="009C235A" w:rsidRPr="004F0FE2">
        <w:rPr>
          <w:lang w:eastAsia="es-ES"/>
        </w:rPr>
        <w:t xml:space="preserve"> of the 241</w:t>
      </w:r>
      <w:r w:rsidR="002E1F47" w:rsidRPr="004F0FE2">
        <w:rPr>
          <w:lang w:eastAsia="es-ES"/>
        </w:rPr>
        <w:t xml:space="preserve"> patients</w:t>
      </w:r>
      <w:r w:rsidR="00883B89" w:rsidRPr="004F0FE2">
        <w:rPr>
          <w:lang w:eastAsia="es-ES"/>
        </w:rPr>
        <w:t xml:space="preserve"> in the </w:t>
      </w:r>
      <w:proofErr w:type="spellStart"/>
      <w:r w:rsidR="00883B89" w:rsidRPr="004F0FE2">
        <w:rPr>
          <w:lang w:eastAsia="es-ES"/>
        </w:rPr>
        <w:lastRenderedPageBreak/>
        <w:t>palbociclib-fulvestrant</w:t>
      </w:r>
      <w:proofErr w:type="spellEnd"/>
      <w:r w:rsidR="00883B89" w:rsidRPr="004F0FE2">
        <w:rPr>
          <w:lang w:eastAsia="es-ES"/>
        </w:rPr>
        <w:t xml:space="preserve"> arm </w:t>
      </w:r>
      <w:r w:rsidR="002E1F47" w:rsidRPr="004F0FE2">
        <w:rPr>
          <w:lang w:eastAsia="es-ES"/>
        </w:rPr>
        <w:t>versus</w:t>
      </w:r>
      <w:r w:rsidR="00883B89" w:rsidRPr="004F0FE2">
        <w:rPr>
          <w:lang w:eastAsia="es-ES"/>
        </w:rPr>
        <w:t xml:space="preserve"> 192 </w:t>
      </w:r>
      <w:r w:rsidR="002E1F47" w:rsidRPr="004F0FE2">
        <w:rPr>
          <w:lang w:eastAsia="es-ES"/>
        </w:rPr>
        <w:t xml:space="preserve">(79.7%, </w:t>
      </w:r>
      <w:r w:rsidR="00883B89" w:rsidRPr="004F0FE2">
        <w:rPr>
          <w:lang w:eastAsia="es-ES"/>
        </w:rPr>
        <w:t>95%CI, 74.0 – 84.6</w:t>
      </w:r>
      <w:r w:rsidR="002E1F47" w:rsidRPr="004F0FE2">
        <w:rPr>
          <w:lang w:eastAsia="es-ES"/>
        </w:rPr>
        <w:t>)</w:t>
      </w:r>
      <w:r w:rsidR="00883B89" w:rsidRPr="004F0FE2">
        <w:rPr>
          <w:lang w:eastAsia="es-ES"/>
        </w:rPr>
        <w:t xml:space="preserve"> </w:t>
      </w:r>
      <w:r w:rsidR="009C235A" w:rsidRPr="004F0FE2">
        <w:rPr>
          <w:lang w:eastAsia="es-ES"/>
        </w:rPr>
        <w:t xml:space="preserve">of the 242 </w:t>
      </w:r>
      <w:r w:rsidR="002E1F47" w:rsidRPr="004F0FE2">
        <w:rPr>
          <w:lang w:eastAsia="es-ES"/>
        </w:rPr>
        <w:t xml:space="preserve">patients </w:t>
      </w:r>
      <w:r w:rsidR="009C235A" w:rsidRPr="004F0FE2">
        <w:rPr>
          <w:lang w:eastAsia="es-ES"/>
        </w:rPr>
        <w:t>treated with</w:t>
      </w:r>
      <w:r w:rsidR="00883B89" w:rsidRPr="004F0FE2">
        <w:rPr>
          <w:lang w:eastAsia="es-ES"/>
        </w:rPr>
        <w:t xml:space="preserve"> </w:t>
      </w:r>
      <w:proofErr w:type="spellStart"/>
      <w:r w:rsidR="00883B89" w:rsidRPr="004F0FE2">
        <w:rPr>
          <w:lang w:eastAsia="es-ES"/>
        </w:rPr>
        <w:t>palbociclib</w:t>
      </w:r>
      <w:proofErr w:type="spellEnd"/>
      <w:r w:rsidR="00883B89" w:rsidRPr="004F0FE2">
        <w:rPr>
          <w:lang w:eastAsia="es-ES"/>
        </w:rPr>
        <w:t xml:space="preserve">-letrozole. </w:t>
      </w:r>
      <w:r w:rsidR="00CA6251" w:rsidRPr="004F0FE2">
        <w:rPr>
          <w:lang w:eastAsia="es-ES"/>
        </w:rPr>
        <w:t xml:space="preserve">Among them, </w:t>
      </w:r>
      <w:r w:rsidR="009C235A" w:rsidRPr="004F0FE2">
        <w:rPr>
          <w:lang w:eastAsia="es-ES"/>
        </w:rPr>
        <w:t xml:space="preserve">in </w:t>
      </w:r>
      <w:r w:rsidR="00CA6251" w:rsidRPr="004F0FE2">
        <w:rPr>
          <w:lang w:eastAsia="es-ES"/>
        </w:rPr>
        <w:t>170</w:t>
      </w:r>
      <w:r w:rsidR="00270B0E" w:rsidRPr="004F0FE2">
        <w:rPr>
          <w:lang w:eastAsia="es-ES"/>
        </w:rPr>
        <w:t xml:space="preserve"> patients</w:t>
      </w:r>
      <w:r w:rsidR="00CA6251" w:rsidRPr="004F0FE2">
        <w:rPr>
          <w:lang w:eastAsia="es-ES"/>
        </w:rPr>
        <w:t xml:space="preserve"> (70.5%) in the </w:t>
      </w:r>
      <w:proofErr w:type="spellStart"/>
      <w:r w:rsidR="00CA6251" w:rsidRPr="004F0FE2">
        <w:rPr>
          <w:lang w:eastAsia="es-ES"/>
        </w:rPr>
        <w:t>palbociclib-fulvestrant</w:t>
      </w:r>
      <w:proofErr w:type="spellEnd"/>
      <w:r w:rsidR="00CA6251" w:rsidRPr="004F0FE2">
        <w:rPr>
          <w:lang w:eastAsia="es-ES"/>
        </w:rPr>
        <w:t xml:space="preserve"> arm and 169 </w:t>
      </w:r>
      <w:r w:rsidR="00270B0E" w:rsidRPr="004F0FE2">
        <w:rPr>
          <w:lang w:eastAsia="es-ES"/>
        </w:rPr>
        <w:t xml:space="preserve">patients </w:t>
      </w:r>
      <w:r w:rsidR="00CA6251" w:rsidRPr="004F0FE2">
        <w:rPr>
          <w:lang w:eastAsia="es-ES"/>
        </w:rPr>
        <w:t>(70.1%) in the control group,</w:t>
      </w:r>
      <w:r w:rsidR="00E064AD" w:rsidRPr="004F0FE2">
        <w:rPr>
          <w:lang w:eastAsia="es-ES"/>
        </w:rPr>
        <w:t xml:space="preserve"> the events were causally attributed</w:t>
      </w:r>
      <w:r w:rsidR="00CA6251" w:rsidRPr="004F0FE2">
        <w:rPr>
          <w:lang w:eastAsia="es-ES"/>
        </w:rPr>
        <w:t xml:space="preserve"> </w:t>
      </w:r>
      <w:r w:rsidR="00E064AD" w:rsidRPr="004F0FE2">
        <w:rPr>
          <w:lang w:eastAsia="es-ES"/>
        </w:rPr>
        <w:t>to</w:t>
      </w:r>
      <w:r w:rsidR="00CA6251" w:rsidRPr="004F0FE2">
        <w:rPr>
          <w:lang w:eastAsia="es-ES"/>
        </w:rPr>
        <w:t xml:space="preserve"> the study drug. </w:t>
      </w:r>
      <w:r w:rsidR="006B00F7" w:rsidRPr="004F0FE2">
        <w:rPr>
          <w:lang w:eastAsia="es-ES"/>
        </w:rPr>
        <w:t xml:space="preserve">Overall, the most frequently (≥2%) reported </w:t>
      </w:r>
      <w:r w:rsidR="006B00F7" w:rsidRPr="004F0FE2">
        <w:t>Grade ≥3 TEAE</w:t>
      </w:r>
      <w:r w:rsidR="002E1F47" w:rsidRPr="004F0FE2">
        <w:t>s</w:t>
      </w:r>
      <w:r w:rsidR="006B00F7" w:rsidRPr="004F0FE2">
        <w:t xml:space="preserve"> were neutropenia (67.1%), leukopenia (6.4%)</w:t>
      </w:r>
      <w:r w:rsidR="00C778F9" w:rsidRPr="004F0FE2">
        <w:t>,</w:t>
      </w:r>
      <w:r w:rsidR="006B00F7" w:rsidRPr="004F0FE2">
        <w:t xml:space="preserve"> lymphopenia (3.1%), </w:t>
      </w:r>
      <w:r w:rsidR="00C778F9" w:rsidRPr="004F0FE2">
        <w:t>pulmonary embolism (3.7%), anemia (2.5%), asthenia (2.5%)</w:t>
      </w:r>
      <w:r w:rsidR="006B00F7" w:rsidRPr="004F0FE2">
        <w:t xml:space="preserve"> </w:t>
      </w:r>
      <w:r w:rsidR="00C778F9" w:rsidRPr="004F0FE2">
        <w:t xml:space="preserve">and </w:t>
      </w:r>
      <w:r w:rsidR="006B00F7" w:rsidRPr="004F0FE2">
        <w:t xml:space="preserve">ALT increased (2.5%). </w:t>
      </w:r>
      <w:r w:rsidR="008A627B" w:rsidRPr="004F0FE2">
        <w:rPr>
          <w:lang w:eastAsia="es-ES"/>
        </w:rPr>
        <w:t xml:space="preserve">Grade </w:t>
      </w:r>
      <w:r w:rsidR="002E1F47" w:rsidRPr="004F0FE2">
        <w:rPr>
          <w:rFonts w:eastAsia="ArialMT"/>
          <w:lang w:eastAsia="es-ES"/>
        </w:rPr>
        <w:t>≥</w:t>
      </w:r>
      <w:r w:rsidR="002E1F47" w:rsidRPr="004F0FE2">
        <w:rPr>
          <w:lang w:eastAsia="es-ES"/>
        </w:rPr>
        <w:t xml:space="preserve">3 </w:t>
      </w:r>
      <w:r w:rsidR="008A627B" w:rsidRPr="004F0FE2">
        <w:rPr>
          <w:lang w:eastAsia="es-ES"/>
        </w:rPr>
        <w:t xml:space="preserve">adverse events </w:t>
      </w:r>
      <w:r w:rsidR="00737CAC" w:rsidRPr="004F0FE2">
        <w:rPr>
          <w:lang w:eastAsia="es-ES"/>
        </w:rPr>
        <w:t>most commonly (≥2%)</w:t>
      </w:r>
      <w:r w:rsidR="008A627B" w:rsidRPr="004F0FE2">
        <w:rPr>
          <w:lang w:eastAsia="es-ES"/>
        </w:rPr>
        <w:t xml:space="preserve"> attributed to </w:t>
      </w:r>
      <w:proofErr w:type="spellStart"/>
      <w:r w:rsidR="008A627B" w:rsidRPr="004F0FE2">
        <w:rPr>
          <w:lang w:eastAsia="es-ES"/>
        </w:rPr>
        <w:t>palbociclib-fulvestrant</w:t>
      </w:r>
      <w:proofErr w:type="spellEnd"/>
      <w:r w:rsidR="00737CAC" w:rsidRPr="004F0FE2">
        <w:rPr>
          <w:lang w:eastAsia="es-ES"/>
        </w:rPr>
        <w:t xml:space="preserve"> included neutro</w:t>
      </w:r>
      <w:r w:rsidR="001673D0" w:rsidRPr="004F0FE2">
        <w:rPr>
          <w:lang w:eastAsia="es-ES"/>
        </w:rPr>
        <w:t>penia (</w:t>
      </w:r>
      <w:r w:rsidR="00737CAC" w:rsidRPr="004F0FE2">
        <w:rPr>
          <w:lang w:eastAsia="es-ES"/>
        </w:rPr>
        <w:t>64.7%</w:t>
      </w:r>
      <w:r w:rsidR="001673D0" w:rsidRPr="004F0FE2">
        <w:rPr>
          <w:lang w:eastAsia="es-ES"/>
        </w:rPr>
        <w:t>),</w:t>
      </w:r>
      <w:r w:rsidR="00737CAC" w:rsidRPr="004F0FE2">
        <w:rPr>
          <w:lang w:eastAsia="es-ES"/>
        </w:rPr>
        <w:t xml:space="preserve"> leukopenia (7.1%), ALT increased (3.3%), lymphopenia (2.9%), anemia (2.1%), asthenia (2.1%) and AST increased (2.1%).</w:t>
      </w:r>
      <w:r w:rsidR="001673D0" w:rsidRPr="004F0FE2">
        <w:rPr>
          <w:lang w:eastAsia="es-ES"/>
        </w:rPr>
        <w:t xml:space="preserve"> </w:t>
      </w:r>
      <w:r w:rsidR="002E1F47" w:rsidRPr="004F0FE2">
        <w:rPr>
          <w:lang w:eastAsia="es-ES"/>
        </w:rPr>
        <w:t>The most frequent g</w:t>
      </w:r>
      <w:r w:rsidR="00270B0E" w:rsidRPr="004F0FE2">
        <w:rPr>
          <w:lang w:eastAsia="es-ES"/>
        </w:rPr>
        <w:t xml:space="preserve">rade </w:t>
      </w:r>
      <w:r w:rsidR="00270B0E" w:rsidRPr="004F0FE2">
        <w:rPr>
          <w:rFonts w:eastAsia="ArialMT"/>
          <w:lang w:eastAsia="es-ES"/>
        </w:rPr>
        <w:t>≥</w:t>
      </w:r>
      <w:r w:rsidR="00270B0E" w:rsidRPr="004F0FE2">
        <w:rPr>
          <w:lang w:eastAsia="es-ES"/>
        </w:rPr>
        <w:t xml:space="preserve">3 </w:t>
      </w:r>
      <w:r w:rsidR="002E1F47" w:rsidRPr="004F0FE2">
        <w:rPr>
          <w:lang w:eastAsia="es-ES"/>
        </w:rPr>
        <w:t>toxicities</w:t>
      </w:r>
      <w:r w:rsidR="00270B0E" w:rsidRPr="004F0FE2">
        <w:rPr>
          <w:lang w:eastAsia="es-ES"/>
        </w:rPr>
        <w:t xml:space="preserve"> causally associated to the administration of </w:t>
      </w:r>
      <w:proofErr w:type="spellStart"/>
      <w:r w:rsidR="00270B0E" w:rsidRPr="004F0FE2">
        <w:rPr>
          <w:lang w:eastAsia="es-ES"/>
        </w:rPr>
        <w:t>palbociclib</w:t>
      </w:r>
      <w:proofErr w:type="spellEnd"/>
      <w:r w:rsidR="00270B0E" w:rsidRPr="004F0FE2">
        <w:rPr>
          <w:lang w:eastAsia="es-ES"/>
        </w:rPr>
        <w:t xml:space="preserve">-letrozole included </w:t>
      </w:r>
      <w:r w:rsidR="00737CAC" w:rsidRPr="004F0FE2">
        <w:rPr>
          <w:lang w:eastAsia="es-ES"/>
        </w:rPr>
        <w:t xml:space="preserve">also neutropenia (67.8%) and leukopenia (5.8%). </w:t>
      </w:r>
    </w:p>
    <w:p w14:paraId="5320C0FB" w14:textId="0751377A" w:rsidR="00EC5E36" w:rsidRPr="004F0FE2" w:rsidRDefault="00C21363" w:rsidP="00673269">
      <w:pPr>
        <w:ind w:right="567"/>
        <w:rPr>
          <w:color w:val="000000"/>
        </w:rPr>
      </w:pPr>
      <w:r w:rsidRPr="004F0FE2">
        <w:t>Although the rate of ≥Grade 3 TEAEs was high in both study groups, the</w:t>
      </w:r>
      <w:r w:rsidR="00E27537" w:rsidRPr="004F0FE2">
        <w:t xml:space="preserve"> overall</w:t>
      </w:r>
      <w:r w:rsidRPr="004F0FE2">
        <w:t xml:space="preserve"> incidence of particular </w:t>
      </w:r>
      <w:r w:rsidR="002E1F47" w:rsidRPr="004F0FE2">
        <w:t>g</w:t>
      </w:r>
      <w:r w:rsidRPr="004F0FE2">
        <w:t>rade</w:t>
      </w:r>
      <w:r w:rsidR="002E1F47" w:rsidRPr="004F0FE2">
        <w:t xml:space="preserve"> ≥3</w:t>
      </w:r>
      <w:r w:rsidRPr="004F0FE2">
        <w:t xml:space="preserve"> TEAEs was relatively low, with only neutropenia occurring at an incidence higher than 10% (324 of 483 patients; 67.1%). The </w:t>
      </w:r>
      <w:r w:rsidR="00E27537" w:rsidRPr="004F0FE2">
        <w:t>rate</w:t>
      </w:r>
      <w:r w:rsidRPr="004F0FE2">
        <w:t xml:space="preserve"> of grade 3 </w:t>
      </w:r>
      <w:r w:rsidR="00E27537" w:rsidRPr="004F0FE2">
        <w:t>toxicities</w:t>
      </w:r>
      <w:r w:rsidRPr="004F0FE2">
        <w:t xml:space="preserve"> was high in both study groups (69.3% </w:t>
      </w:r>
      <w:r w:rsidR="00E27537" w:rsidRPr="004F0FE2">
        <w:t xml:space="preserve">and 69.4% </w:t>
      </w:r>
      <w:r w:rsidRPr="004F0FE2">
        <w:t xml:space="preserve">in the </w:t>
      </w:r>
      <w:proofErr w:type="spellStart"/>
      <w:r w:rsidRPr="004F0FE2">
        <w:t>palbociclib-fulvestrant</w:t>
      </w:r>
      <w:proofErr w:type="spellEnd"/>
      <w:r w:rsidRPr="004F0FE2">
        <w:t xml:space="preserve"> </w:t>
      </w:r>
      <w:r w:rsidR="00E27537" w:rsidRPr="004F0FE2">
        <w:t>and</w:t>
      </w:r>
      <w:r w:rsidRPr="004F0FE2">
        <w:t xml:space="preserve"> </w:t>
      </w:r>
      <w:proofErr w:type="spellStart"/>
      <w:r w:rsidR="00E27537" w:rsidRPr="004F0FE2">
        <w:t>palbociclib</w:t>
      </w:r>
      <w:proofErr w:type="spellEnd"/>
      <w:r w:rsidR="00E27537" w:rsidRPr="004F0FE2">
        <w:t>-letrozole groups respectively</w:t>
      </w:r>
      <w:r w:rsidRPr="004F0FE2">
        <w:t xml:space="preserve">), with grade 3 neutropenia pooling most of the reported events (58.5% and 63.2% in the intervention and control groups respectively). The </w:t>
      </w:r>
      <w:r w:rsidR="0036428E" w:rsidRPr="004F0FE2">
        <w:t>frequency</w:t>
      </w:r>
      <w:r w:rsidRPr="004F0FE2">
        <w:t xml:space="preserve"> of Grade 4 TEAEs was relatively low in both </w:t>
      </w:r>
      <w:r w:rsidR="00E27537" w:rsidRPr="004F0FE2">
        <w:t>treatment arms (</w:t>
      </w:r>
      <w:r w:rsidRPr="004F0FE2">
        <w:t>11.6%</w:t>
      </w:r>
      <w:r w:rsidR="00E27537" w:rsidRPr="004F0FE2">
        <w:t xml:space="preserve"> and 9.1% in the intervention and control groups respectively).</w:t>
      </w:r>
      <w:r w:rsidRPr="004F0FE2">
        <w:t xml:space="preserve"> The most frequently reported Grade 4 TEAE was also neutropenia: 18 of 241 patients (7.5%) in the </w:t>
      </w:r>
      <w:proofErr w:type="spellStart"/>
      <w:r w:rsidRPr="004F0FE2">
        <w:t>palbociclib-fulvestrant</w:t>
      </w:r>
      <w:proofErr w:type="spellEnd"/>
      <w:r w:rsidRPr="004F0FE2">
        <w:t xml:space="preserve"> group and 12 of 242 patients (5.0%) in the </w:t>
      </w:r>
      <w:proofErr w:type="spellStart"/>
      <w:r w:rsidRPr="004F0FE2">
        <w:t>palbociclib</w:t>
      </w:r>
      <w:proofErr w:type="spellEnd"/>
      <w:r w:rsidRPr="004F0FE2">
        <w:t>-letrozole arm.</w:t>
      </w:r>
      <w:r w:rsidRPr="004F0FE2">
        <w:rPr>
          <w:color w:val="538135"/>
        </w:rPr>
        <w:t xml:space="preserve"> </w:t>
      </w:r>
      <w:r w:rsidR="00E27537" w:rsidRPr="004F0FE2">
        <w:rPr>
          <w:color w:val="000000"/>
        </w:rPr>
        <w:t xml:space="preserve">Overall </w:t>
      </w:r>
      <w:r w:rsidR="00EC5E36" w:rsidRPr="004F0FE2">
        <w:rPr>
          <w:color w:val="000000"/>
        </w:rPr>
        <w:t>5 toxicity grade 5 TEAEs were recorded</w:t>
      </w:r>
      <w:r w:rsidR="00E27537" w:rsidRPr="004F0FE2">
        <w:rPr>
          <w:color w:val="000000"/>
        </w:rPr>
        <w:t xml:space="preserve"> in total</w:t>
      </w:r>
      <w:r w:rsidR="00EC5E36" w:rsidRPr="004F0FE2">
        <w:rPr>
          <w:color w:val="000000"/>
        </w:rPr>
        <w:t>: 3 events occurr</w:t>
      </w:r>
      <w:r w:rsidR="00E27537" w:rsidRPr="004F0FE2">
        <w:rPr>
          <w:color w:val="000000"/>
        </w:rPr>
        <w:t>ing</w:t>
      </w:r>
      <w:r w:rsidR="00EC5E36" w:rsidRPr="004F0FE2">
        <w:rPr>
          <w:color w:val="000000"/>
        </w:rPr>
        <w:t xml:space="preserve"> in the </w:t>
      </w:r>
      <w:proofErr w:type="spellStart"/>
      <w:r w:rsidR="00EC5E36" w:rsidRPr="004F0FE2">
        <w:rPr>
          <w:color w:val="000000"/>
        </w:rPr>
        <w:t>palbociclib-fulvestrant</w:t>
      </w:r>
      <w:proofErr w:type="spellEnd"/>
      <w:r w:rsidR="00EC5E36" w:rsidRPr="004F0FE2">
        <w:rPr>
          <w:color w:val="000000"/>
        </w:rPr>
        <w:t xml:space="preserve"> group (a fall, a case of pneumomediastinum and pneumoperitoneum and a pulmonary embolism), and 2 cases in patients treated with </w:t>
      </w:r>
      <w:proofErr w:type="spellStart"/>
      <w:r w:rsidR="00EC5E36" w:rsidRPr="004F0FE2">
        <w:rPr>
          <w:color w:val="000000"/>
        </w:rPr>
        <w:t>palbociclib</w:t>
      </w:r>
      <w:proofErr w:type="spellEnd"/>
      <w:r w:rsidR="00EC5E36" w:rsidRPr="004F0FE2">
        <w:rPr>
          <w:color w:val="000000"/>
        </w:rPr>
        <w:t>-</w:t>
      </w:r>
      <w:r w:rsidR="00CA389E" w:rsidRPr="004F0FE2">
        <w:rPr>
          <w:color w:val="000000"/>
        </w:rPr>
        <w:t>letrozole</w:t>
      </w:r>
      <w:r w:rsidR="00EC5E36" w:rsidRPr="004F0FE2">
        <w:rPr>
          <w:color w:val="000000"/>
        </w:rPr>
        <w:t xml:space="preserve"> (a case of cardiac failure and an event of jaundice). All grade 5 TEAEs</w:t>
      </w:r>
      <w:r w:rsidR="00E27537" w:rsidRPr="004F0FE2">
        <w:rPr>
          <w:color w:val="000000"/>
        </w:rPr>
        <w:t xml:space="preserve"> reported</w:t>
      </w:r>
      <w:r w:rsidR="00EC5E36" w:rsidRPr="004F0FE2">
        <w:rPr>
          <w:color w:val="000000"/>
        </w:rPr>
        <w:t xml:space="preserve"> were non-IMP related. </w:t>
      </w:r>
    </w:p>
    <w:p w14:paraId="2A984ACE" w14:textId="77777777" w:rsidR="00C21363" w:rsidRPr="004F0FE2" w:rsidRDefault="00C21363" w:rsidP="00673269">
      <w:pPr>
        <w:pStyle w:val="Ttulo3"/>
        <w:ind w:right="567"/>
      </w:pPr>
      <w:bookmarkStart w:id="438" w:name="_Toc52468143"/>
      <w:r w:rsidRPr="004F0FE2">
        <w:t>Serious adverse events.</w:t>
      </w:r>
      <w:bookmarkEnd w:id="438"/>
    </w:p>
    <w:p w14:paraId="2F7A90B6" w14:textId="04477CFC" w:rsidR="00104791" w:rsidRPr="004F0FE2" w:rsidRDefault="00104791" w:rsidP="00673269">
      <w:pPr>
        <w:ind w:right="567"/>
      </w:pPr>
      <w:r w:rsidRPr="004F0FE2">
        <w:t>Tabular summaries of serious TEAEs</w:t>
      </w:r>
      <w:r w:rsidR="00E27537" w:rsidRPr="004F0FE2">
        <w:t xml:space="preserve"> </w:t>
      </w:r>
      <w:r w:rsidR="00E27537" w:rsidRPr="004F0FE2">
        <w:rPr>
          <w:color w:val="000000"/>
        </w:rPr>
        <w:t xml:space="preserve">(any and IMP-related) </w:t>
      </w:r>
      <w:r w:rsidRPr="004F0FE2">
        <w:t xml:space="preserve">reported for &gt;3 patients </w:t>
      </w:r>
      <w:r w:rsidR="00E27537" w:rsidRPr="004F0FE2">
        <w:t>in</w:t>
      </w:r>
      <w:r w:rsidRPr="004F0FE2">
        <w:t xml:space="preserve"> safety set are presented in</w:t>
      </w:r>
      <w:r w:rsidRPr="002B7615">
        <w:rPr>
          <w:i/>
          <w:color w:val="2F5496" w:themeColor="accent1" w:themeShade="BF"/>
        </w:rPr>
        <w:t xml:space="preserve"> </w:t>
      </w:r>
      <w:r w:rsidR="00773549" w:rsidRPr="002B7615">
        <w:rPr>
          <w:i/>
          <w:color w:val="2F5496" w:themeColor="accent1" w:themeShade="BF"/>
        </w:rPr>
        <w:fldChar w:fldCharType="begin"/>
      </w:r>
      <w:r w:rsidR="00773549" w:rsidRPr="002B7615">
        <w:rPr>
          <w:i/>
          <w:color w:val="2F5496" w:themeColor="accent1" w:themeShade="BF"/>
        </w:rPr>
        <w:instrText xml:space="preserve"> REF _Ref52424944 \h </w:instrText>
      </w:r>
      <w:r w:rsidR="002B7615">
        <w:rPr>
          <w:i/>
          <w:color w:val="2F5496" w:themeColor="accent1" w:themeShade="BF"/>
        </w:rPr>
        <w:instrText xml:space="preserve"> \* MERGEFORMAT </w:instrText>
      </w:r>
      <w:r w:rsidR="00773549" w:rsidRPr="002B7615">
        <w:rPr>
          <w:i/>
          <w:color w:val="2F5496" w:themeColor="accent1" w:themeShade="BF"/>
        </w:rPr>
      </w:r>
      <w:r w:rsidR="00773549" w:rsidRPr="002B7615">
        <w:rPr>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17</w:t>
      </w:r>
      <w:r w:rsidR="00773549" w:rsidRPr="002B7615">
        <w:rPr>
          <w:i/>
          <w:color w:val="2F5496" w:themeColor="accent1" w:themeShade="BF"/>
        </w:rPr>
        <w:fldChar w:fldCharType="end"/>
      </w:r>
      <w:r w:rsidRPr="004F0FE2">
        <w:t xml:space="preserve"> and</w:t>
      </w:r>
      <w:r w:rsidRPr="002B7615">
        <w:rPr>
          <w:i/>
          <w:color w:val="2F5496" w:themeColor="accent1" w:themeShade="BF"/>
        </w:rPr>
        <w:t xml:space="preserve"> </w:t>
      </w:r>
      <w:r w:rsidR="00773549" w:rsidRPr="002B7615">
        <w:rPr>
          <w:i/>
          <w:color w:val="2F5496" w:themeColor="accent1" w:themeShade="BF"/>
        </w:rPr>
        <w:fldChar w:fldCharType="begin"/>
      </w:r>
      <w:r w:rsidR="00773549" w:rsidRPr="002B7615">
        <w:rPr>
          <w:i/>
          <w:color w:val="2F5496" w:themeColor="accent1" w:themeShade="BF"/>
        </w:rPr>
        <w:instrText xml:space="preserve"> REF _Ref52426761 \h </w:instrText>
      </w:r>
      <w:r w:rsidR="002B7615" w:rsidRPr="002B7615">
        <w:rPr>
          <w:i/>
          <w:color w:val="2F5496" w:themeColor="accent1" w:themeShade="BF"/>
        </w:rPr>
        <w:instrText xml:space="preserve"> \* MERGEFORMAT </w:instrText>
      </w:r>
      <w:r w:rsidR="00773549" w:rsidRPr="002B7615">
        <w:rPr>
          <w:i/>
          <w:color w:val="2F5496" w:themeColor="accent1" w:themeShade="BF"/>
        </w:rPr>
      </w:r>
      <w:r w:rsidR="00773549" w:rsidRPr="002B7615">
        <w:rPr>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18</w:t>
      </w:r>
      <w:r w:rsidR="00773549" w:rsidRPr="002B7615">
        <w:rPr>
          <w:i/>
          <w:color w:val="2F5496" w:themeColor="accent1" w:themeShade="BF"/>
        </w:rPr>
        <w:fldChar w:fldCharType="end"/>
      </w:r>
      <w:r w:rsidR="002B7615">
        <w:rPr>
          <w:i/>
          <w:color w:val="2F5496"/>
        </w:rPr>
        <w:t xml:space="preserve"> </w:t>
      </w:r>
      <w:r w:rsidR="00E27537" w:rsidRPr="004F0FE2">
        <w:t>respectively.</w:t>
      </w:r>
    </w:p>
    <w:p w14:paraId="0C0E61B9" w14:textId="1D870820" w:rsidR="006D6B0F" w:rsidRPr="004F0FE2" w:rsidRDefault="00CA6251" w:rsidP="00673269">
      <w:pPr>
        <w:ind w:right="567"/>
      </w:pPr>
      <w:r w:rsidRPr="004F0FE2">
        <w:rPr>
          <w:lang w:eastAsia="es-ES"/>
        </w:rPr>
        <w:t>Serious TEAEs</w:t>
      </w:r>
      <w:r w:rsidR="00270B0E" w:rsidRPr="004F0FE2">
        <w:rPr>
          <w:lang w:eastAsia="es-ES"/>
        </w:rPr>
        <w:t>,</w:t>
      </w:r>
      <w:r w:rsidRPr="004F0FE2">
        <w:rPr>
          <w:lang w:eastAsia="es-ES"/>
        </w:rPr>
        <w:t xml:space="preserve"> regardless of attribution to study drug, were reported for </w:t>
      </w:r>
      <w:r w:rsidR="00270B0E" w:rsidRPr="004F0FE2">
        <w:rPr>
          <w:lang w:eastAsia="es-ES"/>
        </w:rPr>
        <w:t>72</w:t>
      </w:r>
      <w:r w:rsidR="007F7975" w:rsidRPr="004F0FE2">
        <w:rPr>
          <w:lang w:eastAsia="es-ES"/>
        </w:rPr>
        <w:t xml:space="preserve"> patients </w:t>
      </w:r>
      <w:r w:rsidR="00270B0E" w:rsidRPr="004F0FE2">
        <w:rPr>
          <w:lang w:eastAsia="es-ES"/>
        </w:rPr>
        <w:t>(29.9%</w:t>
      </w:r>
      <w:r w:rsidR="00070779" w:rsidRPr="004F0FE2">
        <w:rPr>
          <w:lang w:eastAsia="es-ES"/>
        </w:rPr>
        <w:t>, 95% CI 24.2 - 36.1</w:t>
      </w:r>
      <w:r w:rsidR="00270B0E" w:rsidRPr="004F0FE2">
        <w:rPr>
          <w:lang w:eastAsia="es-ES"/>
        </w:rPr>
        <w:t xml:space="preserve">) </w:t>
      </w:r>
      <w:r w:rsidR="00203FBE" w:rsidRPr="004F0FE2">
        <w:rPr>
          <w:lang w:eastAsia="es-ES"/>
        </w:rPr>
        <w:t>of the 241 patients in</w:t>
      </w:r>
      <w:r w:rsidR="007F7975" w:rsidRPr="004F0FE2">
        <w:rPr>
          <w:lang w:eastAsia="es-ES"/>
        </w:rPr>
        <w:t xml:space="preserve"> the </w:t>
      </w:r>
      <w:proofErr w:type="spellStart"/>
      <w:r w:rsidR="007F7975" w:rsidRPr="004F0FE2">
        <w:rPr>
          <w:lang w:eastAsia="es-ES"/>
        </w:rPr>
        <w:t>palbociclib-fulvestrant</w:t>
      </w:r>
      <w:proofErr w:type="spellEnd"/>
      <w:r w:rsidR="007F7975" w:rsidRPr="004F0FE2">
        <w:rPr>
          <w:lang w:eastAsia="es-ES"/>
        </w:rPr>
        <w:t xml:space="preserve"> group, and for 51 patients</w:t>
      </w:r>
      <w:r w:rsidR="00270B0E" w:rsidRPr="004F0FE2">
        <w:rPr>
          <w:lang w:eastAsia="es-ES"/>
        </w:rPr>
        <w:t xml:space="preserve"> (21.1%</w:t>
      </w:r>
      <w:r w:rsidR="00070779" w:rsidRPr="004F0FE2">
        <w:rPr>
          <w:lang w:eastAsia="es-ES"/>
        </w:rPr>
        <w:t>, 95% CI 16.1 - 26.8</w:t>
      </w:r>
      <w:r w:rsidR="00270B0E" w:rsidRPr="004F0FE2">
        <w:rPr>
          <w:lang w:eastAsia="es-ES"/>
        </w:rPr>
        <w:t xml:space="preserve">) </w:t>
      </w:r>
      <w:r w:rsidR="00203FBE" w:rsidRPr="004F0FE2">
        <w:rPr>
          <w:lang w:eastAsia="es-ES"/>
        </w:rPr>
        <w:t xml:space="preserve">of the 242 patients treated with </w:t>
      </w:r>
      <w:proofErr w:type="spellStart"/>
      <w:r w:rsidR="00203FBE" w:rsidRPr="004F0FE2">
        <w:rPr>
          <w:lang w:eastAsia="es-ES"/>
        </w:rPr>
        <w:t>palbociclib</w:t>
      </w:r>
      <w:proofErr w:type="spellEnd"/>
      <w:r w:rsidR="00203FBE" w:rsidRPr="004F0FE2">
        <w:rPr>
          <w:lang w:eastAsia="es-ES"/>
        </w:rPr>
        <w:t>-letrozole</w:t>
      </w:r>
      <w:r w:rsidR="007F7975" w:rsidRPr="004F0FE2">
        <w:rPr>
          <w:lang w:eastAsia="es-ES"/>
        </w:rPr>
        <w:t xml:space="preserve">. </w:t>
      </w:r>
      <w:r w:rsidR="00070779" w:rsidRPr="004F0FE2">
        <w:rPr>
          <w:lang w:eastAsia="es-ES"/>
        </w:rPr>
        <w:t xml:space="preserve">However, the differences observed in the rate of serious TEAEs were not significant. </w:t>
      </w:r>
      <w:r w:rsidR="006D6B0F" w:rsidRPr="004F0FE2">
        <w:rPr>
          <w:lang w:eastAsia="es-ES"/>
        </w:rPr>
        <w:t xml:space="preserve">The most frequently reported serious TEAEs were within the system organ </w:t>
      </w:r>
      <w:r w:rsidR="00CB1326" w:rsidRPr="004F0FE2">
        <w:rPr>
          <w:lang w:eastAsia="es-ES"/>
        </w:rPr>
        <w:t>classes</w:t>
      </w:r>
      <w:r w:rsidR="006D6B0F" w:rsidRPr="004F0FE2">
        <w:rPr>
          <w:lang w:eastAsia="es-ES"/>
        </w:rPr>
        <w:t xml:space="preserve"> “infections and </w:t>
      </w:r>
      <w:proofErr w:type="spellStart"/>
      <w:r w:rsidR="006D6B0F" w:rsidRPr="004F0FE2">
        <w:rPr>
          <w:lang w:eastAsia="es-ES"/>
        </w:rPr>
        <w:t>infectations</w:t>
      </w:r>
      <w:proofErr w:type="spellEnd"/>
      <w:r w:rsidR="006D6B0F" w:rsidRPr="004F0FE2">
        <w:rPr>
          <w:lang w:eastAsia="es-ES"/>
        </w:rPr>
        <w:t>” (32 of 483 patients</w:t>
      </w:r>
      <w:r w:rsidR="00070779" w:rsidRPr="004F0FE2">
        <w:rPr>
          <w:lang w:eastAsia="es-ES"/>
        </w:rPr>
        <w:t>; 6.6%</w:t>
      </w:r>
      <w:r w:rsidR="006D6B0F" w:rsidRPr="004F0FE2">
        <w:rPr>
          <w:lang w:eastAsia="es-ES"/>
        </w:rPr>
        <w:t>) and “Respiratory, thoracic and mediastinal disorders” (22 of 483 patients</w:t>
      </w:r>
      <w:r w:rsidR="00070779" w:rsidRPr="004F0FE2">
        <w:rPr>
          <w:lang w:eastAsia="es-ES"/>
        </w:rPr>
        <w:t>; 4.6%</w:t>
      </w:r>
      <w:r w:rsidR="006D6B0F" w:rsidRPr="004F0FE2">
        <w:rPr>
          <w:lang w:eastAsia="es-ES"/>
        </w:rPr>
        <w:t xml:space="preserve">). </w:t>
      </w:r>
      <w:r w:rsidR="00361781" w:rsidRPr="004F0FE2">
        <w:rPr>
          <w:lang w:eastAsia="es-ES"/>
        </w:rPr>
        <w:t>By preferred term</w:t>
      </w:r>
      <w:r w:rsidR="006D6B0F" w:rsidRPr="004F0FE2">
        <w:rPr>
          <w:lang w:eastAsia="es-ES"/>
        </w:rPr>
        <w:t>, p</w:t>
      </w:r>
      <w:r w:rsidR="001071CD" w:rsidRPr="004F0FE2">
        <w:rPr>
          <w:lang w:eastAsia="es-ES"/>
        </w:rPr>
        <w:t>ulmonary embolism (2.5%)</w:t>
      </w:r>
      <w:r w:rsidR="00361781" w:rsidRPr="004F0FE2">
        <w:rPr>
          <w:lang w:eastAsia="es-ES"/>
        </w:rPr>
        <w:t xml:space="preserve"> and ALT increased (2.1%) </w:t>
      </w:r>
      <w:r w:rsidR="001071CD" w:rsidRPr="004F0FE2">
        <w:rPr>
          <w:lang w:eastAsia="es-ES"/>
        </w:rPr>
        <w:t xml:space="preserve">were the most frequent serious TEAEs reported in patients treated with </w:t>
      </w:r>
      <w:proofErr w:type="spellStart"/>
      <w:r w:rsidR="00CA389E" w:rsidRPr="004F0FE2">
        <w:rPr>
          <w:lang w:eastAsia="es-ES"/>
        </w:rPr>
        <w:t>palbociclib</w:t>
      </w:r>
      <w:r w:rsidR="001071CD" w:rsidRPr="004F0FE2">
        <w:rPr>
          <w:lang w:eastAsia="es-ES"/>
        </w:rPr>
        <w:t>-fulvestrant</w:t>
      </w:r>
      <w:proofErr w:type="spellEnd"/>
      <w:r w:rsidR="001071CD" w:rsidRPr="004F0FE2">
        <w:rPr>
          <w:lang w:eastAsia="es-ES"/>
        </w:rPr>
        <w:t xml:space="preserve">. </w:t>
      </w:r>
      <w:r w:rsidR="000E0965" w:rsidRPr="004F0FE2">
        <w:rPr>
          <w:lang w:eastAsia="es-ES"/>
        </w:rPr>
        <w:t>Other reported serious adverse events in the experimental group were pleural effusi</w:t>
      </w:r>
      <w:r w:rsidR="00070779" w:rsidRPr="004F0FE2">
        <w:rPr>
          <w:lang w:eastAsia="es-ES"/>
        </w:rPr>
        <w:t xml:space="preserve">on (1.2%), AST increased (1.2%), </w:t>
      </w:r>
      <w:r w:rsidR="000E0965" w:rsidRPr="004F0FE2">
        <w:rPr>
          <w:lang w:eastAsia="es-ES"/>
        </w:rPr>
        <w:t xml:space="preserve">back pain (1.2%), </w:t>
      </w:r>
      <w:r w:rsidR="00CA389E" w:rsidRPr="004F0FE2">
        <w:rPr>
          <w:lang w:eastAsia="es-ES"/>
        </w:rPr>
        <w:t>anemia</w:t>
      </w:r>
      <w:r w:rsidR="000E0965" w:rsidRPr="004F0FE2">
        <w:rPr>
          <w:lang w:eastAsia="es-ES"/>
        </w:rPr>
        <w:t xml:space="preserve"> (1.2%)</w:t>
      </w:r>
      <w:r w:rsidR="00070779" w:rsidRPr="004F0FE2">
        <w:rPr>
          <w:lang w:eastAsia="es-ES"/>
        </w:rPr>
        <w:t xml:space="preserve"> and</w:t>
      </w:r>
      <w:r w:rsidR="000E0965" w:rsidRPr="004F0FE2">
        <w:rPr>
          <w:lang w:eastAsia="es-ES"/>
        </w:rPr>
        <w:t xml:space="preserve"> pyrexia (1.2%). </w:t>
      </w:r>
      <w:r w:rsidR="001071CD" w:rsidRPr="004F0FE2">
        <w:rPr>
          <w:lang w:eastAsia="es-ES"/>
        </w:rPr>
        <w:t xml:space="preserve">In the </w:t>
      </w:r>
      <w:proofErr w:type="spellStart"/>
      <w:r w:rsidR="001071CD" w:rsidRPr="004F0FE2">
        <w:rPr>
          <w:lang w:eastAsia="es-ES"/>
        </w:rPr>
        <w:t>palbociclib</w:t>
      </w:r>
      <w:proofErr w:type="spellEnd"/>
      <w:r w:rsidR="001071CD" w:rsidRPr="004F0FE2">
        <w:rPr>
          <w:lang w:eastAsia="es-ES"/>
        </w:rPr>
        <w:t xml:space="preserve">-letrozole group the rate of </w:t>
      </w:r>
      <w:r w:rsidR="000E0965" w:rsidRPr="004F0FE2">
        <w:rPr>
          <w:lang w:eastAsia="es-ES"/>
        </w:rPr>
        <w:t>TEAEs</w:t>
      </w:r>
      <w:r w:rsidR="001071CD" w:rsidRPr="004F0FE2">
        <w:rPr>
          <w:lang w:eastAsia="es-ES"/>
        </w:rPr>
        <w:t xml:space="preserve"> was</w:t>
      </w:r>
      <w:r w:rsidR="000E0965" w:rsidRPr="004F0FE2">
        <w:rPr>
          <w:lang w:eastAsia="es-ES"/>
        </w:rPr>
        <w:t xml:space="preserve"> generally lower, including </w:t>
      </w:r>
      <w:r w:rsidR="006D6B0F" w:rsidRPr="004F0FE2">
        <w:rPr>
          <w:lang w:eastAsia="es-ES"/>
        </w:rPr>
        <w:t>(by preferred term)</w:t>
      </w:r>
      <w:r w:rsidR="001071CD" w:rsidRPr="004F0FE2">
        <w:rPr>
          <w:lang w:eastAsia="es-ES"/>
        </w:rPr>
        <w:t>: pneumonia (1.2%), urinary tract infection (1.2%)</w:t>
      </w:r>
      <w:r w:rsidR="000E0965" w:rsidRPr="004F0FE2">
        <w:rPr>
          <w:lang w:eastAsia="es-ES"/>
        </w:rPr>
        <w:t>,</w:t>
      </w:r>
      <w:r w:rsidR="001071CD" w:rsidRPr="004F0FE2">
        <w:rPr>
          <w:lang w:eastAsia="es-ES"/>
        </w:rPr>
        <w:t xml:space="preserve"> lower respiratory tract infection (1.2%)</w:t>
      </w:r>
      <w:r w:rsidR="000E0965" w:rsidRPr="004F0FE2">
        <w:rPr>
          <w:lang w:eastAsia="es-ES"/>
        </w:rPr>
        <w:t xml:space="preserve"> and hip fracture (1.2%)</w:t>
      </w:r>
      <w:r w:rsidR="001071CD" w:rsidRPr="004F0FE2">
        <w:rPr>
          <w:lang w:eastAsia="es-ES"/>
        </w:rPr>
        <w:t>.</w:t>
      </w:r>
      <w:r w:rsidR="006D6B0F" w:rsidRPr="004F0FE2">
        <w:rPr>
          <w:lang w:eastAsia="es-ES"/>
        </w:rPr>
        <w:t xml:space="preserve"> </w:t>
      </w:r>
      <w:r w:rsidR="000E0965" w:rsidRPr="004F0FE2">
        <w:t>Overall t</w:t>
      </w:r>
      <w:r w:rsidR="006D6B0F" w:rsidRPr="004F0FE2">
        <w:t>he most frequently reported serious TEAE (by preferred t</w:t>
      </w:r>
      <w:r w:rsidR="00070779" w:rsidRPr="004F0FE2">
        <w:t>erm) was pulmonary embolism (8</w:t>
      </w:r>
      <w:r w:rsidR="006D6B0F" w:rsidRPr="004F0FE2">
        <w:t> of 483 patients</w:t>
      </w:r>
      <w:r w:rsidR="00070779" w:rsidRPr="004F0FE2">
        <w:t>; 1.7%</w:t>
      </w:r>
      <w:r w:rsidR="006D6B0F" w:rsidRPr="004F0FE2">
        <w:t xml:space="preserve">), with a total of 6 (2.5%) of </w:t>
      </w:r>
      <w:r w:rsidR="00070779" w:rsidRPr="004F0FE2">
        <w:t xml:space="preserve">the </w:t>
      </w:r>
      <w:r w:rsidR="006D6B0F" w:rsidRPr="004F0FE2">
        <w:t xml:space="preserve">241 </w:t>
      </w:r>
      <w:r w:rsidR="00070779" w:rsidRPr="004F0FE2">
        <w:t xml:space="preserve">patients </w:t>
      </w:r>
      <w:r w:rsidR="006D6B0F" w:rsidRPr="004F0FE2">
        <w:t xml:space="preserve">in the </w:t>
      </w:r>
      <w:proofErr w:type="spellStart"/>
      <w:r w:rsidR="006D6B0F" w:rsidRPr="004F0FE2">
        <w:t>palbociclib-fulvestrant</w:t>
      </w:r>
      <w:proofErr w:type="spellEnd"/>
      <w:r w:rsidR="006D6B0F" w:rsidRPr="004F0FE2">
        <w:t xml:space="preserve"> group and 2 (0.8%) </w:t>
      </w:r>
      <w:r w:rsidR="00070779" w:rsidRPr="004F0FE2">
        <w:t xml:space="preserve">of the </w:t>
      </w:r>
      <w:r w:rsidR="006D6B0F" w:rsidRPr="004F0FE2">
        <w:t xml:space="preserve">242 patients treated with </w:t>
      </w:r>
      <w:proofErr w:type="spellStart"/>
      <w:r w:rsidR="006D6B0F" w:rsidRPr="004F0FE2">
        <w:t>palbociclib</w:t>
      </w:r>
      <w:proofErr w:type="spellEnd"/>
      <w:r w:rsidR="006D6B0F" w:rsidRPr="004F0FE2">
        <w:t>-letrozole.</w:t>
      </w:r>
    </w:p>
    <w:p w14:paraId="1EC7B440" w14:textId="580A9BE6" w:rsidR="00805DD7" w:rsidRPr="004F0FE2" w:rsidRDefault="00AA5FDA" w:rsidP="00673269">
      <w:pPr>
        <w:ind w:right="567"/>
        <w:rPr>
          <w:lang w:eastAsia="es-ES"/>
        </w:rPr>
      </w:pPr>
      <w:r w:rsidRPr="004F0FE2">
        <w:rPr>
          <w:rStyle w:val="st"/>
        </w:rPr>
        <w:t xml:space="preserve">Although </w:t>
      </w:r>
      <w:r w:rsidRPr="004F0FE2">
        <w:rPr>
          <w:rStyle w:val="nfasis"/>
          <w:i w:val="0"/>
        </w:rPr>
        <w:t>not</w:t>
      </w:r>
      <w:r w:rsidRPr="004F0FE2">
        <w:rPr>
          <w:rStyle w:val="st"/>
          <w:i/>
        </w:rPr>
        <w:t xml:space="preserve"> </w:t>
      </w:r>
      <w:r w:rsidRPr="004F0FE2">
        <w:rPr>
          <w:rStyle w:val="st"/>
        </w:rPr>
        <w:t xml:space="preserve">significant, </w:t>
      </w:r>
      <w:r w:rsidRPr="004F0FE2">
        <w:rPr>
          <w:rStyle w:val="nfasis"/>
          <w:i w:val="0"/>
        </w:rPr>
        <w:t>differences</w:t>
      </w:r>
      <w:r w:rsidR="0048549D" w:rsidRPr="004F0FE2">
        <w:rPr>
          <w:rStyle w:val="nfasis"/>
          <w:i w:val="0"/>
        </w:rPr>
        <w:t xml:space="preserve"> among groups</w:t>
      </w:r>
      <w:r w:rsidRPr="004F0FE2">
        <w:rPr>
          <w:rStyle w:val="nfasis"/>
          <w:i w:val="0"/>
        </w:rPr>
        <w:t xml:space="preserve"> were observed</w:t>
      </w:r>
      <w:r w:rsidRPr="004F0FE2">
        <w:rPr>
          <w:rStyle w:val="st"/>
          <w:i/>
        </w:rPr>
        <w:t xml:space="preserve"> </w:t>
      </w:r>
      <w:r w:rsidR="008A627B" w:rsidRPr="004F0FE2">
        <w:rPr>
          <w:lang w:eastAsia="es-ES"/>
        </w:rPr>
        <w:t>in the</w:t>
      </w:r>
      <w:r w:rsidR="007F7975" w:rsidRPr="004F0FE2">
        <w:rPr>
          <w:lang w:eastAsia="es-ES"/>
        </w:rPr>
        <w:t xml:space="preserve"> frequenc</w:t>
      </w:r>
      <w:r w:rsidRPr="004F0FE2">
        <w:rPr>
          <w:lang w:eastAsia="es-ES"/>
        </w:rPr>
        <w:t>ies</w:t>
      </w:r>
      <w:r w:rsidR="007F7975" w:rsidRPr="004F0FE2">
        <w:rPr>
          <w:lang w:eastAsia="es-ES"/>
        </w:rPr>
        <w:t xml:space="preserve"> </w:t>
      </w:r>
      <w:r w:rsidR="00270B0E" w:rsidRPr="004F0FE2">
        <w:rPr>
          <w:lang w:eastAsia="es-ES"/>
        </w:rPr>
        <w:t xml:space="preserve">of </w:t>
      </w:r>
      <w:r w:rsidR="008A627B" w:rsidRPr="004F0FE2">
        <w:rPr>
          <w:lang w:eastAsia="es-ES"/>
        </w:rPr>
        <w:t xml:space="preserve">related </w:t>
      </w:r>
      <w:r w:rsidR="007F7975" w:rsidRPr="004F0FE2">
        <w:rPr>
          <w:lang w:eastAsia="es-ES"/>
        </w:rPr>
        <w:t xml:space="preserve">serious </w:t>
      </w:r>
      <w:r w:rsidRPr="004F0FE2">
        <w:rPr>
          <w:lang w:eastAsia="es-ES"/>
        </w:rPr>
        <w:t>T</w:t>
      </w:r>
      <w:r w:rsidR="007F7975" w:rsidRPr="004F0FE2">
        <w:rPr>
          <w:lang w:eastAsia="es-ES"/>
        </w:rPr>
        <w:t>EAEs</w:t>
      </w:r>
      <w:r w:rsidR="00270B0E" w:rsidRPr="004F0FE2">
        <w:rPr>
          <w:lang w:eastAsia="es-ES"/>
        </w:rPr>
        <w:t xml:space="preserve">: </w:t>
      </w:r>
      <w:r w:rsidRPr="004F0FE2">
        <w:rPr>
          <w:lang w:eastAsia="es-ES"/>
        </w:rPr>
        <w:t xml:space="preserve">8.7% </w:t>
      </w:r>
      <w:r w:rsidR="00270B0E" w:rsidRPr="004F0FE2">
        <w:rPr>
          <w:lang w:eastAsia="es-ES"/>
        </w:rPr>
        <w:t>(</w:t>
      </w:r>
      <w:r w:rsidRPr="004F0FE2">
        <w:rPr>
          <w:lang w:eastAsia="es-ES"/>
        </w:rPr>
        <w:t>95%CI 5.5% - 13.0%</w:t>
      </w:r>
      <w:r w:rsidR="00270B0E" w:rsidRPr="004F0FE2">
        <w:rPr>
          <w:lang w:eastAsia="es-ES"/>
        </w:rPr>
        <w:t>)</w:t>
      </w:r>
      <w:r w:rsidRPr="004F0FE2">
        <w:rPr>
          <w:lang w:eastAsia="es-ES"/>
        </w:rPr>
        <w:t xml:space="preserve"> in the </w:t>
      </w:r>
      <w:proofErr w:type="spellStart"/>
      <w:r w:rsidRPr="004F0FE2">
        <w:rPr>
          <w:lang w:eastAsia="es-ES"/>
        </w:rPr>
        <w:t>palbociclib-fulvestrant</w:t>
      </w:r>
      <w:proofErr w:type="spellEnd"/>
      <w:r w:rsidRPr="004F0FE2">
        <w:rPr>
          <w:lang w:eastAsia="es-ES"/>
        </w:rPr>
        <w:t xml:space="preserve"> group versus 2.9% </w:t>
      </w:r>
      <w:r w:rsidR="00270B0E" w:rsidRPr="004F0FE2">
        <w:rPr>
          <w:lang w:eastAsia="es-ES"/>
        </w:rPr>
        <w:t>(</w:t>
      </w:r>
      <w:r w:rsidRPr="004F0FE2">
        <w:rPr>
          <w:lang w:eastAsia="es-ES"/>
        </w:rPr>
        <w:t>95%CI 1.2% - 5.9%</w:t>
      </w:r>
      <w:r w:rsidR="00270B0E" w:rsidRPr="004F0FE2">
        <w:rPr>
          <w:lang w:eastAsia="es-ES"/>
        </w:rPr>
        <w:t>)</w:t>
      </w:r>
      <w:r w:rsidRPr="004F0FE2">
        <w:rPr>
          <w:lang w:eastAsia="es-ES"/>
        </w:rPr>
        <w:t xml:space="preserve"> in the </w:t>
      </w:r>
      <w:proofErr w:type="spellStart"/>
      <w:r w:rsidRPr="004F0FE2">
        <w:rPr>
          <w:lang w:eastAsia="es-ES"/>
        </w:rPr>
        <w:t>palbociclib</w:t>
      </w:r>
      <w:proofErr w:type="spellEnd"/>
      <w:r w:rsidRPr="004F0FE2">
        <w:rPr>
          <w:lang w:eastAsia="es-ES"/>
        </w:rPr>
        <w:t xml:space="preserve">-letrozole arm. </w:t>
      </w:r>
      <w:r w:rsidR="008A627B" w:rsidRPr="004F0FE2">
        <w:rPr>
          <w:lang w:eastAsia="es-ES"/>
        </w:rPr>
        <w:t xml:space="preserve">Serious TEAEs assessed by the investigator as related to study treatment occurred in 21 </w:t>
      </w:r>
      <w:r w:rsidR="001071CD" w:rsidRPr="004F0FE2">
        <w:rPr>
          <w:lang w:eastAsia="es-ES"/>
        </w:rPr>
        <w:t xml:space="preserve">of the 241 patients treated with </w:t>
      </w:r>
      <w:proofErr w:type="spellStart"/>
      <w:r w:rsidR="001071CD" w:rsidRPr="004F0FE2">
        <w:rPr>
          <w:lang w:eastAsia="es-ES"/>
        </w:rPr>
        <w:t>palbociclib-fulvestrant</w:t>
      </w:r>
      <w:proofErr w:type="spellEnd"/>
      <w:r w:rsidR="001071CD" w:rsidRPr="004F0FE2">
        <w:rPr>
          <w:lang w:eastAsia="es-ES"/>
        </w:rPr>
        <w:t xml:space="preserve"> </w:t>
      </w:r>
      <w:r w:rsidR="008A627B" w:rsidRPr="004F0FE2">
        <w:rPr>
          <w:lang w:eastAsia="es-ES"/>
        </w:rPr>
        <w:t>and included</w:t>
      </w:r>
      <w:r w:rsidR="00FE6F0A" w:rsidRPr="004F0FE2">
        <w:rPr>
          <w:lang w:eastAsia="es-ES"/>
        </w:rPr>
        <w:t xml:space="preserve"> ALT increased (</w:t>
      </w:r>
      <w:r w:rsidR="00304D18" w:rsidRPr="004F0FE2">
        <w:rPr>
          <w:lang w:eastAsia="es-ES"/>
        </w:rPr>
        <w:t xml:space="preserve">4 patients; </w:t>
      </w:r>
      <w:r w:rsidR="00FE6F0A" w:rsidRPr="004F0FE2">
        <w:rPr>
          <w:lang w:eastAsia="es-ES"/>
        </w:rPr>
        <w:t xml:space="preserve">1.7%), </w:t>
      </w:r>
      <w:r w:rsidR="00CA389E" w:rsidRPr="004F0FE2">
        <w:rPr>
          <w:lang w:eastAsia="es-ES"/>
        </w:rPr>
        <w:t>anemia</w:t>
      </w:r>
      <w:r w:rsidR="00FE6F0A" w:rsidRPr="004F0FE2">
        <w:rPr>
          <w:lang w:eastAsia="es-ES"/>
        </w:rPr>
        <w:t xml:space="preserve"> (</w:t>
      </w:r>
      <w:r w:rsidR="00304D18" w:rsidRPr="004F0FE2">
        <w:rPr>
          <w:lang w:eastAsia="es-ES"/>
        </w:rPr>
        <w:t xml:space="preserve">3 patients; </w:t>
      </w:r>
      <w:r w:rsidR="00FE6F0A" w:rsidRPr="004F0FE2">
        <w:rPr>
          <w:lang w:eastAsia="es-ES"/>
        </w:rPr>
        <w:t>1.2%), neutropenia (</w:t>
      </w:r>
      <w:r w:rsidR="00304D18" w:rsidRPr="004F0FE2">
        <w:rPr>
          <w:lang w:eastAsia="es-ES"/>
        </w:rPr>
        <w:t xml:space="preserve">2 patients; </w:t>
      </w:r>
      <w:r w:rsidR="00FE6F0A" w:rsidRPr="004F0FE2">
        <w:rPr>
          <w:lang w:eastAsia="es-ES"/>
        </w:rPr>
        <w:t>0.8%), pneumonitis (</w:t>
      </w:r>
      <w:r w:rsidR="00304D18" w:rsidRPr="004F0FE2">
        <w:rPr>
          <w:lang w:eastAsia="es-ES"/>
        </w:rPr>
        <w:t xml:space="preserve">2 patients; </w:t>
      </w:r>
      <w:r w:rsidR="00FE6F0A" w:rsidRPr="004F0FE2">
        <w:rPr>
          <w:lang w:eastAsia="es-ES"/>
        </w:rPr>
        <w:t>0.8%), pulmonary embolism (</w:t>
      </w:r>
      <w:r w:rsidR="00304D18" w:rsidRPr="004F0FE2">
        <w:rPr>
          <w:lang w:eastAsia="es-ES"/>
        </w:rPr>
        <w:t xml:space="preserve">2 patients; </w:t>
      </w:r>
      <w:r w:rsidR="00FE6F0A" w:rsidRPr="004F0FE2">
        <w:rPr>
          <w:lang w:eastAsia="es-ES"/>
        </w:rPr>
        <w:t>0.8%) and AST increased (</w:t>
      </w:r>
      <w:r w:rsidR="00304D18" w:rsidRPr="004F0FE2">
        <w:rPr>
          <w:lang w:eastAsia="es-ES"/>
        </w:rPr>
        <w:t xml:space="preserve">2 patients; </w:t>
      </w:r>
      <w:r w:rsidR="00FE6F0A" w:rsidRPr="004F0FE2">
        <w:rPr>
          <w:lang w:eastAsia="es-ES"/>
        </w:rPr>
        <w:t xml:space="preserve">0.8%). </w:t>
      </w:r>
      <w:r w:rsidR="000A07D6" w:rsidRPr="004F0FE2">
        <w:rPr>
          <w:lang w:eastAsia="es-ES"/>
        </w:rPr>
        <w:t>Serious</w:t>
      </w:r>
      <w:r w:rsidR="008A627B" w:rsidRPr="004F0FE2">
        <w:rPr>
          <w:lang w:eastAsia="es-ES"/>
        </w:rPr>
        <w:t xml:space="preserve"> TEAEs attributed to </w:t>
      </w:r>
      <w:proofErr w:type="spellStart"/>
      <w:r w:rsidR="008A627B" w:rsidRPr="004F0FE2">
        <w:rPr>
          <w:lang w:eastAsia="es-ES"/>
        </w:rPr>
        <w:t>palbociclib</w:t>
      </w:r>
      <w:proofErr w:type="spellEnd"/>
      <w:r w:rsidR="008A627B" w:rsidRPr="004F0FE2">
        <w:rPr>
          <w:lang w:eastAsia="es-ES"/>
        </w:rPr>
        <w:t xml:space="preserve">-letrozole occurred </w:t>
      </w:r>
      <w:r w:rsidR="00FE6F0A" w:rsidRPr="004F0FE2">
        <w:rPr>
          <w:lang w:eastAsia="es-ES"/>
        </w:rPr>
        <w:t xml:space="preserve">only </w:t>
      </w:r>
      <w:r w:rsidR="008A627B" w:rsidRPr="004F0FE2">
        <w:rPr>
          <w:lang w:eastAsia="es-ES"/>
        </w:rPr>
        <w:t xml:space="preserve">in 7 </w:t>
      </w:r>
      <w:r w:rsidR="00FE6F0A" w:rsidRPr="004F0FE2">
        <w:rPr>
          <w:lang w:eastAsia="es-ES"/>
        </w:rPr>
        <w:t xml:space="preserve">of the 242 patients </w:t>
      </w:r>
      <w:r w:rsidR="008A627B" w:rsidRPr="004F0FE2">
        <w:rPr>
          <w:lang w:eastAsia="es-ES"/>
        </w:rPr>
        <w:t>a</w:t>
      </w:r>
      <w:r w:rsidR="00FE6F0A" w:rsidRPr="004F0FE2">
        <w:rPr>
          <w:lang w:eastAsia="es-ES"/>
        </w:rPr>
        <w:t xml:space="preserve">nd pneumonia was the most </w:t>
      </w:r>
      <w:r w:rsidR="00805DD7" w:rsidRPr="004F0FE2">
        <w:rPr>
          <w:lang w:eastAsia="es-ES"/>
        </w:rPr>
        <w:t>common</w:t>
      </w:r>
      <w:r w:rsidR="00304D18" w:rsidRPr="004F0FE2">
        <w:rPr>
          <w:lang w:eastAsia="es-ES"/>
        </w:rPr>
        <w:t xml:space="preserve"> (2 patients; </w:t>
      </w:r>
      <w:r w:rsidR="00FE6F0A" w:rsidRPr="004F0FE2">
        <w:rPr>
          <w:lang w:eastAsia="es-ES"/>
        </w:rPr>
        <w:t xml:space="preserve">0.8%). </w:t>
      </w:r>
    </w:p>
    <w:p w14:paraId="6E5ABE02" w14:textId="4F5E9E47" w:rsidR="0048549D" w:rsidRPr="004F0FE2" w:rsidRDefault="000A07D6" w:rsidP="00673269">
      <w:pPr>
        <w:ind w:right="567"/>
        <w:rPr>
          <w:lang w:eastAsia="es-ES"/>
        </w:rPr>
      </w:pPr>
      <w:r w:rsidRPr="004F0FE2">
        <w:rPr>
          <w:lang w:eastAsia="es-ES"/>
        </w:rPr>
        <w:t>T</w:t>
      </w:r>
      <w:r w:rsidR="00AA5FDA" w:rsidRPr="004F0FE2">
        <w:rPr>
          <w:lang w:eastAsia="es-ES"/>
        </w:rPr>
        <w:t>he number of patients with at least one non-</w:t>
      </w:r>
      <w:r w:rsidR="00CA389E" w:rsidRPr="004F0FE2">
        <w:rPr>
          <w:lang w:eastAsia="es-ES"/>
        </w:rPr>
        <w:t>series</w:t>
      </w:r>
      <w:r w:rsidR="00AA5FDA" w:rsidRPr="004F0FE2">
        <w:rPr>
          <w:lang w:eastAsia="es-ES"/>
        </w:rPr>
        <w:t xml:space="preserve"> TEAE was </w:t>
      </w:r>
      <w:r w:rsidR="0048549D" w:rsidRPr="004F0FE2">
        <w:rPr>
          <w:lang w:eastAsia="es-ES"/>
        </w:rPr>
        <w:t xml:space="preserve">comparable among study arms: 98.8% </w:t>
      </w:r>
      <w:r w:rsidRPr="004F0FE2">
        <w:rPr>
          <w:lang w:eastAsia="es-ES"/>
        </w:rPr>
        <w:t>(</w:t>
      </w:r>
      <w:r w:rsidR="0048549D" w:rsidRPr="004F0FE2">
        <w:rPr>
          <w:lang w:eastAsia="es-ES"/>
        </w:rPr>
        <w:t>95%CI 96.4 - 99.7</w:t>
      </w:r>
      <w:r w:rsidRPr="004F0FE2">
        <w:rPr>
          <w:lang w:eastAsia="es-ES"/>
        </w:rPr>
        <w:t>)</w:t>
      </w:r>
      <w:r w:rsidR="0048549D" w:rsidRPr="004F0FE2">
        <w:rPr>
          <w:lang w:eastAsia="es-ES"/>
        </w:rPr>
        <w:t xml:space="preserve"> in the </w:t>
      </w:r>
      <w:proofErr w:type="spellStart"/>
      <w:r w:rsidR="0048549D" w:rsidRPr="004F0FE2">
        <w:rPr>
          <w:lang w:eastAsia="es-ES"/>
        </w:rPr>
        <w:t>palbociclib-fulvestrant</w:t>
      </w:r>
      <w:proofErr w:type="spellEnd"/>
      <w:r w:rsidR="0048549D" w:rsidRPr="004F0FE2">
        <w:rPr>
          <w:lang w:eastAsia="es-ES"/>
        </w:rPr>
        <w:t xml:space="preserve"> group versus 98.8% </w:t>
      </w:r>
      <w:r w:rsidRPr="004F0FE2">
        <w:rPr>
          <w:lang w:eastAsia="es-ES"/>
        </w:rPr>
        <w:t>(</w:t>
      </w:r>
      <w:r w:rsidR="0048549D" w:rsidRPr="004F0FE2">
        <w:rPr>
          <w:lang w:eastAsia="es-ES"/>
        </w:rPr>
        <w:t xml:space="preserve">95%CI 96.4 </w:t>
      </w:r>
      <w:r w:rsidR="00805DD7" w:rsidRPr="004F0FE2">
        <w:rPr>
          <w:lang w:eastAsia="es-ES"/>
        </w:rPr>
        <w:t>-</w:t>
      </w:r>
      <w:r w:rsidR="0048549D" w:rsidRPr="004F0FE2">
        <w:rPr>
          <w:lang w:eastAsia="es-ES"/>
        </w:rPr>
        <w:t xml:space="preserve"> 99.7</w:t>
      </w:r>
      <w:r w:rsidRPr="004F0FE2">
        <w:rPr>
          <w:lang w:eastAsia="es-ES"/>
        </w:rPr>
        <w:t>)</w:t>
      </w:r>
      <w:r w:rsidR="0048549D" w:rsidRPr="004F0FE2">
        <w:rPr>
          <w:lang w:eastAsia="es-ES"/>
        </w:rPr>
        <w:t xml:space="preserve"> in the </w:t>
      </w:r>
      <w:proofErr w:type="spellStart"/>
      <w:r w:rsidR="0048549D" w:rsidRPr="004F0FE2">
        <w:rPr>
          <w:lang w:eastAsia="es-ES"/>
        </w:rPr>
        <w:t>palbociclib</w:t>
      </w:r>
      <w:proofErr w:type="spellEnd"/>
      <w:r w:rsidR="0048549D" w:rsidRPr="004F0FE2">
        <w:rPr>
          <w:lang w:eastAsia="es-ES"/>
        </w:rPr>
        <w:t xml:space="preserve">-letrozole arm. </w:t>
      </w:r>
    </w:p>
    <w:p w14:paraId="2A384CDD" w14:textId="77777777" w:rsidR="00C21363" w:rsidRPr="004F0FE2" w:rsidRDefault="0073722D" w:rsidP="00673269">
      <w:pPr>
        <w:pStyle w:val="Ttulo3"/>
        <w:ind w:right="567"/>
        <w:rPr>
          <w:lang w:eastAsia="es-ES"/>
        </w:rPr>
      </w:pPr>
      <w:bookmarkStart w:id="439" w:name="_Toc52468144"/>
      <w:r w:rsidRPr="004F0FE2">
        <w:rPr>
          <w:lang w:eastAsia="es-ES"/>
        </w:rPr>
        <w:lastRenderedPageBreak/>
        <w:t>Treatment discontinuation due to a</w:t>
      </w:r>
      <w:r w:rsidR="00C21363" w:rsidRPr="004F0FE2">
        <w:rPr>
          <w:lang w:eastAsia="es-ES"/>
        </w:rPr>
        <w:t>dverse events.</w:t>
      </w:r>
      <w:bookmarkEnd w:id="439"/>
    </w:p>
    <w:p w14:paraId="4CE970C2" w14:textId="14835844" w:rsidR="00065F9A" w:rsidRPr="004F0FE2" w:rsidRDefault="00CF6D0C" w:rsidP="00673269">
      <w:pPr>
        <w:ind w:right="567"/>
        <w:rPr>
          <w:color w:val="FF0000"/>
          <w:lang w:eastAsia="es-ES"/>
        </w:rPr>
      </w:pPr>
      <w:r w:rsidRPr="004F0FE2">
        <w:rPr>
          <w:lang w:eastAsia="es-ES"/>
        </w:rPr>
        <w:t>The overall rate of TEAEs leading to treatment discontinuation was low, so adverse events were not treatment-limiting in general. A total of</w:t>
      </w:r>
      <w:r w:rsidR="0048549D" w:rsidRPr="004F0FE2">
        <w:rPr>
          <w:lang w:eastAsia="es-ES"/>
        </w:rPr>
        <w:t xml:space="preserve"> 18 patients (</w:t>
      </w:r>
      <w:r w:rsidR="00805DD7" w:rsidRPr="004F0FE2">
        <w:rPr>
          <w:lang w:eastAsia="es-ES"/>
        </w:rPr>
        <w:t xml:space="preserve">of the 483; </w:t>
      </w:r>
      <w:r w:rsidR="0048549D" w:rsidRPr="004F0FE2">
        <w:rPr>
          <w:lang w:eastAsia="es-ES"/>
        </w:rPr>
        <w:t>3.7%) discontinued trea</w:t>
      </w:r>
      <w:r w:rsidR="000A07D6" w:rsidRPr="004F0FE2">
        <w:rPr>
          <w:lang w:eastAsia="es-ES"/>
        </w:rPr>
        <w:t xml:space="preserve">tment due to TEAEs, 13 </w:t>
      </w:r>
      <w:r w:rsidR="006D6B0F" w:rsidRPr="004F0FE2">
        <w:rPr>
          <w:lang w:eastAsia="es-ES"/>
        </w:rPr>
        <w:t xml:space="preserve">of the 241 </w:t>
      </w:r>
      <w:r w:rsidR="000A07D6" w:rsidRPr="004F0FE2">
        <w:rPr>
          <w:lang w:eastAsia="es-ES"/>
        </w:rPr>
        <w:t>patients</w:t>
      </w:r>
      <w:r w:rsidR="0048549D" w:rsidRPr="004F0FE2">
        <w:rPr>
          <w:lang w:eastAsia="es-ES"/>
        </w:rPr>
        <w:t xml:space="preserve"> in the </w:t>
      </w:r>
      <w:proofErr w:type="spellStart"/>
      <w:r w:rsidR="0048549D" w:rsidRPr="004F0FE2">
        <w:rPr>
          <w:lang w:eastAsia="es-ES"/>
        </w:rPr>
        <w:t>palbociclib-fulvestrant</w:t>
      </w:r>
      <w:proofErr w:type="spellEnd"/>
      <w:r w:rsidR="0048549D" w:rsidRPr="004F0FE2">
        <w:rPr>
          <w:lang w:eastAsia="es-ES"/>
        </w:rPr>
        <w:t xml:space="preserve"> group and 5 </w:t>
      </w:r>
      <w:r w:rsidR="006D6B0F" w:rsidRPr="004F0FE2">
        <w:rPr>
          <w:lang w:eastAsia="es-ES"/>
        </w:rPr>
        <w:t xml:space="preserve">of the 242 </w:t>
      </w:r>
      <w:r w:rsidR="0048549D" w:rsidRPr="004F0FE2">
        <w:rPr>
          <w:lang w:eastAsia="es-ES"/>
        </w:rPr>
        <w:t xml:space="preserve">patients </w:t>
      </w:r>
      <w:r w:rsidR="006D6B0F" w:rsidRPr="004F0FE2">
        <w:rPr>
          <w:lang w:eastAsia="es-ES"/>
        </w:rPr>
        <w:t xml:space="preserve">in the </w:t>
      </w:r>
      <w:proofErr w:type="spellStart"/>
      <w:r w:rsidR="0048549D" w:rsidRPr="004F0FE2">
        <w:rPr>
          <w:lang w:eastAsia="es-ES"/>
        </w:rPr>
        <w:t>palbociclib</w:t>
      </w:r>
      <w:proofErr w:type="spellEnd"/>
      <w:r w:rsidR="0048549D" w:rsidRPr="004F0FE2">
        <w:rPr>
          <w:lang w:eastAsia="es-ES"/>
        </w:rPr>
        <w:t xml:space="preserve">-letrozole arm. </w:t>
      </w:r>
      <w:r w:rsidR="000A07D6" w:rsidRPr="004F0FE2">
        <w:rPr>
          <w:lang w:eastAsia="es-ES"/>
        </w:rPr>
        <w:t xml:space="preserve">There were no statistically significant differences in the frequency of study treatment discontinuation due to adverse events: 5.4% (95%CI 2.9 - 9.0) in the </w:t>
      </w:r>
      <w:proofErr w:type="spellStart"/>
      <w:r w:rsidR="000A07D6" w:rsidRPr="004F0FE2">
        <w:rPr>
          <w:lang w:eastAsia="es-ES"/>
        </w:rPr>
        <w:t>palbociclib-fulvestrant</w:t>
      </w:r>
      <w:proofErr w:type="spellEnd"/>
      <w:r w:rsidR="000A07D6" w:rsidRPr="004F0FE2">
        <w:rPr>
          <w:lang w:eastAsia="es-ES"/>
        </w:rPr>
        <w:t xml:space="preserve"> group versus 2.1% (95%CI 0.7 </w:t>
      </w:r>
      <w:r w:rsidR="0091211E" w:rsidRPr="004F0FE2">
        <w:rPr>
          <w:lang w:eastAsia="es-ES"/>
        </w:rPr>
        <w:t>-</w:t>
      </w:r>
      <w:r w:rsidR="000A07D6" w:rsidRPr="004F0FE2">
        <w:rPr>
          <w:lang w:eastAsia="es-ES"/>
        </w:rPr>
        <w:t xml:space="preserve"> 4.8) in the </w:t>
      </w:r>
      <w:proofErr w:type="spellStart"/>
      <w:r w:rsidR="000A07D6" w:rsidRPr="004F0FE2">
        <w:rPr>
          <w:lang w:eastAsia="es-ES"/>
        </w:rPr>
        <w:t>palbociclib</w:t>
      </w:r>
      <w:proofErr w:type="spellEnd"/>
      <w:r w:rsidR="000A07D6" w:rsidRPr="004F0FE2">
        <w:rPr>
          <w:lang w:eastAsia="es-ES"/>
        </w:rPr>
        <w:t xml:space="preserve">-letrozole arm. </w:t>
      </w:r>
      <w:r w:rsidR="00065F9A" w:rsidRPr="00D73C99">
        <w:t xml:space="preserve">The most frequently reported TEAEs that resulted in study drug discontinuation were </w:t>
      </w:r>
      <w:r w:rsidR="00CB1326" w:rsidRPr="00D73C99">
        <w:t>within the system organ classes</w:t>
      </w:r>
      <w:r w:rsidR="00EE6484" w:rsidRPr="004F0FE2">
        <w:rPr>
          <w:lang w:eastAsia="es-ES"/>
        </w:rPr>
        <w:t xml:space="preserve"> respiratory, thoracic</w:t>
      </w:r>
      <w:r w:rsidR="00065F9A" w:rsidRPr="00D73C99">
        <w:t xml:space="preserve"> and </w:t>
      </w:r>
      <w:r w:rsidR="00EE6484" w:rsidRPr="004F0FE2">
        <w:rPr>
          <w:lang w:eastAsia="es-ES"/>
        </w:rPr>
        <w:t>mediastinal disorders (</w:t>
      </w:r>
      <w:r w:rsidR="002C6BE7">
        <w:rPr>
          <w:lang w:eastAsia="es-ES"/>
        </w:rPr>
        <w:t>6</w:t>
      </w:r>
      <w:r w:rsidR="00EE6484" w:rsidRPr="004F0FE2">
        <w:rPr>
          <w:lang w:eastAsia="es-ES"/>
        </w:rPr>
        <w:t xml:space="preserve"> of 483;1.</w:t>
      </w:r>
      <w:r w:rsidR="002C6BE7">
        <w:rPr>
          <w:lang w:eastAsia="es-ES"/>
        </w:rPr>
        <w:t>2</w:t>
      </w:r>
      <w:r w:rsidR="00EE6484" w:rsidRPr="004F0FE2">
        <w:rPr>
          <w:lang w:eastAsia="es-ES"/>
        </w:rPr>
        <w:t>%)</w:t>
      </w:r>
      <w:r w:rsidR="002C6BE7">
        <w:rPr>
          <w:lang w:eastAsia="es-ES"/>
        </w:rPr>
        <w:t xml:space="preserve">, </w:t>
      </w:r>
      <w:r w:rsidR="00EE6484" w:rsidRPr="004F0FE2">
        <w:rPr>
          <w:lang w:eastAsia="es-ES"/>
        </w:rPr>
        <w:t>investigations (</w:t>
      </w:r>
      <w:r w:rsidR="002C6BE7">
        <w:rPr>
          <w:lang w:eastAsia="es-ES"/>
        </w:rPr>
        <w:t>3</w:t>
      </w:r>
      <w:r w:rsidR="00EE6484" w:rsidRPr="004F0FE2">
        <w:rPr>
          <w:lang w:eastAsia="es-ES"/>
        </w:rPr>
        <w:t xml:space="preserve"> of 483; </w:t>
      </w:r>
      <w:r w:rsidR="002C6BE7">
        <w:rPr>
          <w:lang w:eastAsia="es-ES"/>
        </w:rPr>
        <w:t>0</w:t>
      </w:r>
      <w:r w:rsidR="00EE6484" w:rsidRPr="004F0FE2">
        <w:rPr>
          <w:lang w:eastAsia="es-ES"/>
        </w:rPr>
        <w:t>.</w:t>
      </w:r>
      <w:r w:rsidR="002C6BE7">
        <w:rPr>
          <w:lang w:eastAsia="es-ES"/>
        </w:rPr>
        <w:t>6</w:t>
      </w:r>
      <w:r w:rsidR="00EE6484" w:rsidRPr="004F0FE2">
        <w:rPr>
          <w:lang w:eastAsia="es-ES"/>
        </w:rPr>
        <w:t>%)</w:t>
      </w:r>
      <w:r w:rsidR="002C6BE7">
        <w:rPr>
          <w:lang w:eastAsia="es-ES"/>
        </w:rPr>
        <w:t xml:space="preserve"> and b</w:t>
      </w:r>
      <w:r w:rsidR="002C6BE7" w:rsidRPr="002C6BE7">
        <w:rPr>
          <w:lang w:eastAsia="es-ES"/>
        </w:rPr>
        <w:t>lood and lymphatic system disorders</w:t>
      </w:r>
      <w:r w:rsidR="002C6BE7">
        <w:rPr>
          <w:lang w:eastAsia="es-ES"/>
        </w:rPr>
        <w:t xml:space="preserve"> </w:t>
      </w:r>
      <w:r w:rsidR="002C6BE7" w:rsidRPr="004F0FE2">
        <w:rPr>
          <w:lang w:eastAsia="es-ES"/>
        </w:rPr>
        <w:t>(</w:t>
      </w:r>
      <w:r w:rsidR="002C6BE7">
        <w:rPr>
          <w:lang w:eastAsia="es-ES"/>
        </w:rPr>
        <w:t>3</w:t>
      </w:r>
      <w:r w:rsidR="002C6BE7" w:rsidRPr="004F0FE2">
        <w:rPr>
          <w:lang w:eastAsia="es-ES"/>
        </w:rPr>
        <w:t xml:space="preserve"> of 483; </w:t>
      </w:r>
      <w:r w:rsidR="002C6BE7">
        <w:rPr>
          <w:lang w:eastAsia="es-ES"/>
        </w:rPr>
        <w:t>0</w:t>
      </w:r>
      <w:r w:rsidR="002C6BE7" w:rsidRPr="004F0FE2">
        <w:rPr>
          <w:lang w:eastAsia="es-ES"/>
        </w:rPr>
        <w:t>.</w:t>
      </w:r>
      <w:r w:rsidR="002C6BE7">
        <w:rPr>
          <w:lang w:eastAsia="es-ES"/>
        </w:rPr>
        <w:t>6</w:t>
      </w:r>
      <w:r w:rsidR="002C6BE7" w:rsidRPr="004F0FE2">
        <w:rPr>
          <w:lang w:eastAsia="es-ES"/>
        </w:rPr>
        <w:t>%)</w:t>
      </w:r>
      <w:r w:rsidR="00EE6484" w:rsidRPr="004F0FE2">
        <w:rPr>
          <w:lang w:eastAsia="es-ES"/>
        </w:rPr>
        <w:t xml:space="preserve">. Dyspnea, pulmonary embolism and neutropenia were </w:t>
      </w:r>
      <w:r w:rsidR="00065F9A" w:rsidRPr="00D73C99">
        <w:t xml:space="preserve">the most frequently reported </w:t>
      </w:r>
      <w:r w:rsidR="00EE6484" w:rsidRPr="004F0FE2">
        <w:rPr>
          <w:lang w:eastAsia="es-ES"/>
        </w:rPr>
        <w:t xml:space="preserve">TEAEs leading to </w:t>
      </w:r>
      <w:r w:rsidR="00065F9A" w:rsidRPr="00D73C99">
        <w:t>study drug discontinuation</w:t>
      </w:r>
      <w:r w:rsidR="00EE6484" w:rsidRPr="004F0FE2">
        <w:rPr>
          <w:lang w:eastAsia="es-ES"/>
        </w:rPr>
        <w:t xml:space="preserve">, occurring in 2 of 483 patients (0.4%) </w:t>
      </w:r>
      <w:r w:rsidR="002C6BE7">
        <w:rPr>
          <w:lang w:eastAsia="es-ES"/>
        </w:rPr>
        <w:t xml:space="preserve">in all cases </w:t>
      </w:r>
      <w:r w:rsidR="00EE6484" w:rsidRPr="004F0FE2">
        <w:rPr>
          <w:lang w:eastAsia="es-ES"/>
        </w:rPr>
        <w:t>(</w:t>
      </w:r>
      <w:r w:rsidR="00773549" w:rsidRPr="002B7615">
        <w:rPr>
          <w:rFonts w:eastAsia="Calibri"/>
          <w:bCs/>
          <w:i/>
          <w:color w:val="2F5496" w:themeColor="accent1" w:themeShade="BF"/>
        </w:rPr>
        <w:fldChar w:fldCharType="begin"/>
      </w:r>
      <w:r w:rsidR="00773549" w:rsidRPr="002B7615">
        <w:rPr>
          <w:i/>
          <w:color w:val="2F5496" w:themeColor="accent1" w:themeShade="BF"/>
          <w:lang w:eastAsia="es-ES"/>
        </w:rPr>
        <w:instrText xml:space="preserve"> REF _Ref52424957 \h </w:instrText>
      </w:r>
      <w:r w:rsidR="002B7615" w:rsidRPr="002B7615">
        <w:rPr>
          <w:rFonts w:eastAsia="Calibri"/>
          <w:bCs/>
          <w:i/>
          <w:color w:val="2F5496" w:themeColor="accent1" w:themeShade="BF"/>
        </w:rPr>
        <w:instrText xml:space="preserve"> \* MERGEFORMAT </w:instrText>
      </w:r>
      <w:r w:rsidR="00773549" w:rsidRPr="002B7615">
        <w:rPr>
          <w:rFonts w:eastAsia="Calibri"/>
          <w:bCs/>
          <w:i/>
          <w:color w:val="2F5496" w:themeColor="accent1" w:themeShade="BF"/>
        </w:rPr>
      </w:r>
      <w:r w:rsidR="00773549" w:rsidRPr="002B7615">
        <w:rPr>
          <w:rFonts w:eastAsia="Calibri"/>
          <w:bCs/>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19</w:t>
      </w:r>
      <w:r w:rsidR="00773549" w:rsidRPr="002B7615">
        <w:rPr>
          <w:rFonts w:eastAsia="Calibri"/>
          <w:bCs/>
          <w:i/>
          <w:color w:val="2F5496" w:themeColor="accent1" w:themeShade="BF"/>
        </w:rPr>
        <w:fldChar w:fldCharType="end"/>
      </w:r>
      <w:r w:rsidR="00EE6484" w:rsidRPr="004F0FE2">
        <w:rPr>
          <w:lang w:eastAsia="es-ES"/>
        </w:rPr>
        <w:t>). The rate of</w:t>
      </w:r>
      <w:r w:rsidR="00CB1326" w:rsidRPr="00D73C99">
        <w:t xml:space="preserve"> TEAEs leading to </w:t>
      </w:r>
      <w:r w:rsidR="00EE6484" w:rsidRPr="004F0FE2">
        <w:rPr>
          <w:lang w:eastAsia="es-ES"/>
        </w:rPr>
        <w:t xml:space="preserve">permanent </w:t>
      </w:r>
      <w:r w:rsidR="00CB1326" w:rsidRPr="00D73C99">
        <w:t xml:space="preserve">treatment discontinuation </w:t>
      </w:r>
      <w:r w:rsidR="00EE6484" w:rsidRPr="004F0FE2">
        <w:rPr>
          <w:lang w:eastAsia="es-ES"/>
        </w:rPr>
        <w:t xml:space="preserve">was higher </w:t>
      </w:r>
      <w:r w:rsidR="00CB1326" w:rsidRPr="00D73C99">
        <w:t xml:space="preserve">in </w:t>
      </w:r>
      <w:r w:rsidR="00065F9A" w:rsidRPr="00D73C99">
        <w:t xml:space="preserve">patients </w:t>
      </w:r>
      <w:r w:rsidR="00EE6484" w:rsidRPr="004F0FE2">
        <w:rPr>
          <w:lang w:eastAsia="es-ES"/>
        </w:rPr>
        <w:t xml:space="preserve">treated with </w:t>
      </w:r>
      <w:proofErr w:type="spellStart"/>
      <w:r w:rsidR="00CA389E" w:rsidRPr="004F0FE2">
        <w:rPr>
          <w:lang w:eastAsia="es-ES"/>
        </w:rPr>
        <w:t>palbociclib</w:t>
      </w:r>
      <w:r w:rsidR="00EE6484" w:rsidRPr="004F0FE2">
        <w:rPr>
          <w:lang w:eastAsia="es-ES"/>
        </w:rPr>
        <w:t>-fulvestrant</w:t>
      </w:r>
      <w:proofErr w:type="spellEnd"/>
      <w:r w:rsidR="00EE6484" w:rsidRPr="004F0FE2">
        <w:rPr>
          <w:lang w:eastAsia="es-ES"/>
        </w:rPr>
        <w:t xml:space="preserve"> (8 of 241; 3.3%) compared with those treated with </w:t>
      </w:r>
      <w:proofErr w:type="spellStart"/>
      <w:r w:rsidR="00EE6484" w:rsidRPr="004F0FE2">
        <w:rPr>
          <w:lang w:eastAsia="es-ES"/>
        </w:rPr>
        <w:t>palbociclib</w:t>
      </w:r>
      <w:proofErr w:type="spellEnd"/>
      <w:r w:rsidR="00EE6484" w:rsidRPr="004F0FE2">
        <w:rPr>
          <w:lang w:eastAsia="es-ES"/>
        </w:rPr>
        <w:t>-letrozole (1 of 242; 0.4%), however th</w:t>
      </w:r>
      <w:r w:rsidR="002C6BE7">
        <w:rPr>
          <w:lang w:eastAsia="es-ES"/>
        </w:rPr>
        <w:t>is</w:t>
      </w:r>
      <w:r w:rsidR="00EE6484" w:rsidRPr="004F0FE2">
        <w:rPr>
          <w:lang w:eastAsia="es-ES"/>
        </w:rPr>
        <w:t xml:space="preserve"> difference was not statistically significant (</w:t>
      </w:r>
      <w:r w:rsidR="00773549" w:rsidRPr="002B7615">
        <w:rPr>
          <w:rFonts w:eastAsia="Calibri"/>
          <w:bCs/>
          <w:i/>
          <w:color w:val="2F5496" w:themeColor="accent1" w:themeShade="BF"/>
        </w:rPr>
        <w:fldChar w:fldCharType="begin"/>
      </w:r>
      <w:r w:rsidR="00773549" w:rsidRPr="002B7615">
        <w:rPr>
          <w:i/>
          <w:color w:val="2F5496" w:themeColor="accent1" w:themeShade="BF"/>
          <w:lang w:eastAsia="es-ES"/>
        </w:rPr>
        <w:instrText xml:space="preserve"> REF _Ref52426782 \h </w:instrText>
      </w:r>
      <w:r w:rsidR="002B7615" w:rsidRPr="002B7615">
        <w:rPr>
          <w:rFonts w:eastAsia="Calibri"/>
          <w:bCs/>
          <w:i/>
          <w:color w:val="2F5496" w:themeColor="accent1" w:themeShade="BF"/>
        </w:rPr>
        <w:instrText xml:space="preserve"> \* MERGEFORMAT </w:instrText>
      </w:r>
      <w:r w:rsidR="00773549" w:rsidRPr="002B7615">
        <w:rPr>
          <w:rFonts w:eastAsia="Calibri"/>
          <w:bCs/>
          <w:i/>
          <w:color w:val="2F5496" w:themeColor="accent1" w:themeShade="BF"/>
        </w:rPr>
      </w:r>
      <w:r w:rsidR="00773549" w:rsidRPr="002B7615">
        <w:rPr>
          <w:rFonts w:eastAsia="Calibri"/>
          <w:bCs/>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20</w:t>
      </w:r>
      <w:r w:rsidR="00773549" w:rsidRPr="002B7615">
        <w:rPr>
          <w:rFonts w:eastAsia="Calibri"/>
          <w:bCs/>
          <w:i/>
          <w:color w:val="2F5496" w:themeColor="accent1" w:themeShade="BF"/>
        </w:rPr>
        <w:fldChar w:fldCharType="end"/>
      </w:r>
      <w:r w:rsidR="00EE6484" w:rsidRPr="004F0FE2">
        <w:rPr>
          <w:lang w:eastAsia="es-ES"/>
        </w:rPr>
        <w:t>).</w:t>
      </w:r>
      <w:r w:rsidRPr="004F0FE2">
        <w:rPr>
          <w:lang w:eastAsia="es-ES"/>
        </w:rPr>
        <w:t xml:space="preserve"> </w:t>
      </w:r>
    </w:p>
    <w:p w14:paraId="7DA23D9A" w14:textId="5A3CE9C1" w:rsidR="00C21363" w:rsidRPr="00D73C99" w:rsidRDefault="00C21363" w:rsidP="00673269">
      <w:pPr>
        <w:pStyle w:val="Ttulo3"/>
        <w:ind w:right="567"/>
        <w:rPr>
          <w:sz w:val="22"/>
          <w:szCs w:val="22"/>
          <w:lang w:eastAsia="es-ES"/>
        </w:rPr>
      </w:pPr>
      <w:bookmarkStart w:id="440" w:name="_Toc52468145"/>
      <w:r w:rsidRPr="009356E8">
        <w:rPr>
          <w:lang w:eastAsia="es-ES"/>
        </w:rPr>
        <w:t>Deaths and</w:t>
      </w:r>
      <w:r w:rsidRPr="004F0FE2">
        <w:rPr>
          <w:lang w:eastAsia="es-ES"/>
        </w:rPr>
        <w:t xml:space="preserve"> other serious adverse events.</w:t>
      </w:r>
      <w:bookmarkEnd w:id="440"/>
      <w:r w:rsidRPr="004F0FE2">
        <w:rPr>
          <w:lang w:eastAsia="es-ES"/>
        </w:rPr>
        <w:t xml:space="preserve"> </w:t>
      </w:r>
    </w:p>
    <w:p w14:paraId="54224085" w14:textId="60AB01F3" w:rsidR="008078A1" w:rsidRDefault="00C90529" w:rsidP="00673269">
      <w:pPr>
        <w:ind w:right="567"/>
        <w:rPr>
          <w:rFonts w:ascii="Tahoma" w:hAnsi="Tahoma" w:cs="Tahoma"/>
          <w:color w:val="000000"/>
        </w:rPr>
      </w:pPr>
      <w:r w:rsidRPr="004F0FE2">
        <w:rPr>
          <w:lang w:eastAsia="es-ES"/>
        </w:rPr>
        <w:t xml:space="preserve">A total of 5 </w:t>
      </w:r>
      <w:r w:rsidR="00CB1326" w:rsidRPr="004F0FE2">
        <w:rPr>
          <w:lang w:eastAsia="es-ES"/>
        </w:rPr>
        <w:t xml:space="preserve">of 483 </w:t>
      </w:r>
      <w:r w:rsidRPr="004F0FE2">
        <w:rPr>
          <w:lang w:eastAsia="es-ES"/>
        </w:rPr>
        <w:t xml:space="preserve">patients (1.0%) </w:t>
      </w:r>
      <w:r w:rsidR="00805DD7" w:rsidRPr="004F0FE2">
        <w:rPr>
          <w:lang w:eastAsia="es-ES"/>
        </w:rPr>
        <w:t>reported TEAEs leading to death:</w:t>
      </w:r>
      <w:r w:rsidRPr="004F0FE2">
        <w:rPr>
          <w:lang w:eastAsia="es-ES"/>
        </w:rPr>
        <w:t xml:space="preserve"> 3 </w:t>
      </w:r>
      <w:r w:rsidR="00CB1326" w:rsidRPr="004F0FE2">
        <w:rPr>
          <w:lang w:eastAsia="es-ES"/>
        </w:rPr>
        <w:t xml:space="preserve">of the 241 </w:t>
      </w:r>
      <w:r w:rsidRPr="004F0FE2">
        <w:rPr>
          <w:lang w:eastAsia="es-ES"/>
        </w:rPr>
        <w:t xml:space="preserve">patients (1.2%) in the </w:t>
      </w:r>
      <w:proofErr w:type="spellStart"/>
      <w:r w:rsidRPr="004F0FE2">
        <w:rPr>
          <w:lang w:eastAsia="es-ES"/>
        </w:rPr>
        <w:t>palbociclib-fulvestrant</w:t>
      </w:r>
      <w:proofErr w:type="spellEnd"/>
      <w:r w:rsidRPr="004F0FE2">
        <w:rPr>
          <w:lang w:eastAsia="es-ES"/>
        </w:rPr>
        <w:t xml:space="preserve"> arm</w:t>
      </w:r>
      <w:r w:rsidR="00CB1326" w:rsidRPr="004F0FE2">
        <w:rPr>
          <w:lang w:eastAsia="es-ES"/>
        </w:rPr>
        <w:t xml:space="preserve"> and </w:t>
      </w:r>
      <w:r w:rsidRPr="004F0FE2">
        <w:rPr>
          <w:lang w:eastAsia="es-ES"/>
        </w:rPr>
        <w:t xml:space="preserve">2 </w:t>
      </w:r>
      <w:r w:rsidR="00CB1326" w:rsidRPr="004F0FE2">
        <w:rPr>
          <w:lang w:eastAsia="es-ES"/>
        </w:rPr>
        <w:t xml:space="preserve">of the 242 </w:t>
      </w:r>
      <w:r w:rsidRPr="004F0FE2">
        <w:rPr>
          <w:lang w:eastAsia="es-ES"/>
        </w:rPr>
        <w:t xml:space="preserve">patients (0.8%) in the </w:t>
      </w:r>
      <w:proofErr w:type="spellStart"/>
      <w:r w:rsidRPr="004F0FE2">
        <w:rPr>
          <w:lang w:eastAsia="es-ES"/>
        </w:rPr>
        <w:t>palbociclib</w:t>
      </w:r>
      <w:proofErr w:type="spellEnd"/>
      <w:r w:rsidRPr="004F0FE2">
        <w:rPr>
          <w:lang w:eastAsia="es-ES"/>
        </w:rPr>
        <w:t xml:space="preserve">-letrozole group. </w:t>
      </w:r>
      <w:r w:rsidR="008078A1" w:rsidRPr="004F0FE2">
        <w:rPr>
          <w:lang w:eastAsia="es-ES"/>
        </w:rPr>
        <w:t>The TEAEs resulting in death in the experimental group were (by preferred term)</w:t>
      </w:r>
      <w:r w:rsidR="00805DD7" w:rsidRPr="004F0FE2">
        <w:rPr>
          <w:lang w:eastAsia="es-ES"/>
        </w:rPr>
        <w:t>:</w:t>
      </w:r>
      <w:r w:rsidR="008078A1" w:rsidRPr="004F0FE2">
        <w:rPr>
          <w:lang w:eastAsia="es-ES"/>
        </w:rPr>
        <w:t xml:space="preserve"> fall</w:t>
      </w:r>
      <w:r w:rsidR="00805DD7" w:rsidRPr="004F0FE2">
        <w:rPr>
          <w:lang w:eastAsia="es-ES"/>
        </w:rPr>
        <w:t xml:space="preserve"> (1 of 241; 0.4%)</w:t>
      </w:r>
      <w:r w:rsidR="008078A1" w:rsidRPr="004F0FE2">
        <w:rPr>
          <w:lang w:eastAsia="es-ES"/>
        </w:rPr>
        <w:t xml:space="preserve">, pneumomediastinum and pneumoperitoneum </w:t>
      </w:r>
      <w:r w:rsidR="00805DD7" w:rsidRPr="004F0FE2">
        <w:rPr>
          <w:lang w:eastAsia="es-ES"/>
        </w:rPr>
        <w:t xml:space="preserve">(1 of 241; 0.4%) </w:t>
      </w:r>
      <w:r w:rsidR="008078A1" w:rsidRPr="004F0FE2">
        <w:rPr>
          <w:lang w:eastAsia="es-ES"/>
        </w:rPr>
        <w:t>and pulmonary embolism</w:t>
      </w:r>
      <w:r w:rsidR="00805DD7" w:rsidRPr="004F0FE2">
        <w:rPr>
          <w:lang w:eastAsia="es-ES"/>
        </w:rPr>
        <w:t xml:space="preserve"> (1 of 241; 0.4%)</w:t>
      </w:r>
      <w:r w:rsidR="008078A1" w:rsidRPr="004F0FE2">
        <w:rPr>
          <w:lang w:eastAsia="es-ES"/>
        </w:rPr>
        <w:t xml:space="preserve">. Deaths </w:t>
      </w:r>
      <w:r w:rsidR="00805DD7" w:rsidRPr="004F0FE2">
        <w:rPr>
          <w:lang w:eastAsia="es-ES"/>
        </w:rPr>
        <w:t>within</w:t>
      </w:r>
      <w:r w:rsidR="008078A1" w:rsidRPr="004F0FE2">
        <w:rPr>
          <w:lang w:eastAsia="es-ES"/>
        </w:rPr>
        <w:t xml:space="preserve"> the </w:t>
      </w:r>
      <w:proofErr w:type="spellStart"/>
      <w:r w:rsidR="008078A1" w:rsidRPr="004F0FE2">
        <w:rPr>
          <w:lang w:eastAsia="es-ES"/>
        </w:rPr>
        <w:t>palbociclib</w:t>
      </w:r>
      <w:proofErr w:type="spellEnd"/>
      <w:r w:rsidR="008078A1" w:rsidRPr="004F0FE2">
        <w:rPr>
          <w:lang w:eastAsia="es-ES"/>
        </w:rPr>
        <w:t>-letrozole group were caused by cardiac failure</w:t>
      </w:r>
      <w:r w:rsidR="00805DD7" w:rsidRPr="004F0FE2">
        <w:rPr>
          <w:lang w:eastAsia="es-ES"/>
        </w:rPr>
        <w:t xml:space="preserve"> (1 of 242; 0.4%)</w:t>
      </w:r>
      <w:r w:rsidR="008078A1" w:rsidRPr="004F0FE2">
        <w:rPr>
          <w:lang w:eastAsia="es-ES"/>
        </w:rPr>
        <w:t xml:space="preserve"> and jaundice</w:t>
      </w:r>
      <w:r w:rsidR="00805DD7" w:rsidRPr="004F0FE2">
        <w:rPr>
          <w:lang w:eastAsia="es-ES"/>
        </w:rPr>
        <w:t xml:space="preserve"> (1 of 242; 0.4%)</w:t>
      </w:r>
      <w:r w:rsidR="008078A1" w:rsidRPr="004F0FE2">
        <w:rPr>
          <w:lang w:eastAsia="es-ES"/>
        </w:rPr>
        <w:t xml:space="preserve">. </w:t>
      </w:r>
      <w:r w:rsidRPr="004F0FE2">
        <w:rPr>
          <w:rFonts w:ascii="Tahoma" w:hAnsi="Tahoma" w:cs="Tahoma"/>
          <w:color w:val="000000"/>
        </w:rPr>
        <w:t xml:space="preserve">All </w:t>
      </w:r>
      <w:r w:rsidR="00805DD7" w:rsidRPr="004F0FE2">
        <w:rPr>
          <w:rFonts w:ascii="Tahoma" w:hAnsi="Tahoma" w:cs="Tahoma"/>
          <w:color w:val="000000"/>
        </w:rPr>
        <w:t xml:space="preserve">severe TEAEs leading to patient death were </w:t>
      </w:r>
      <w:r w:rsidRPr="004F0FE2">
        <w:rPr>
          <w:rFonts w:ascii="Tahoma" w:hAnsi="Tahoma" w:cs="Tahoma"/>
          <w:color w:val="000000"/>
        </w:rPr>
        <w:t>non-IMP related.</w:t>
      </w:r>
    </w:p>
    <w:p w14:paraId="3815DF04" w14:textId="77777777" w:rsidR="00DC69A2" w:rsidRPr="00DC69A2" w:rsidRDefault="00DC69A2" w:rsidP="00673269">
      <w:pPr>
        <w:pStyle w:val="Ttulo3"/>
        <w:ind w:right="567"/>
        <w:rPr>
          <w:lang w:eastAsia="es-ES"/>
        </w:rPr>
      </w:pPr>
      <w:bookmarkStart w:id="441" w:name="_Toc52468146"/>
      <w:r w:rsidRPr="00DC69A2">
        <w:rPr>
          <w:lang w:eastAsia="es-ES"/>
        </w:rPr>
        <w:t>Drug-induced liver toxicity.</w:t>
      </w:r>
      <w:bookmarkEnd w:id="441"/>
    </w:p>
    <w:p w14:paraId="3A197FCF" w14:textId="169AA5B7" w:rsidR="00DC69A2" w:rsidRDefault="00DC69A2" w:rsidP="00673269">
      <w:pPr>
        <w:ind w:right="567"/>
        <w:rPr>
          <w:lang w:eastAsia="es-ES"/>
        </w:rPr>
      </w:pPr>
      <w:r w:rsidRPr="004F0FE2">
        <w:rPr>
          <w:lang w:eastAsia="es-ES"/>
        </w:rPr>
        <w:t>AST and ALT elevations</w:t>
      </w:r>
      <w:r>
        <w:rPr>
          <w:lang w:eastAsia="es-ES"/>
        </w:rPr>
        <w:t xml:space="preserve"> were the most frequent clinical laboratory TEAEs within the SOC investigations. </w:t>
      </w:r>
      <w:r w:rsidRPr="004F0FE2">
        <w:rPr>
          <w:lang w:eastAsia="es-ES"/>
        </w:rPr>
        <w:t xml:space="preserve">Clinically relevant increases in ALT were recorded in 13 of the 241 patients (5.4%) in the </w:t>
      </w:r>
      <w:proofErr w:type="spellStart"/>
      <w:r w:rsidRPr="004F0FE2">
        <w:rPr>
          <w:lang w:eastAsia="es-ES"/>
        </w:rPr>
        <w:t>palbociclib-fulvestrant</w:t>
      </w:r>
      <w:proofErr w:type="spellEnd"/>
      <w:r w:rsidRPr="004F0FE2">
        <w:rPr>
          <w:lang w:eastAsia="es-ES"/>
        </w:rPr>
        <w:t xml:space="preserve"> arm, and 16 of the 242 patients (6.6%) treated with </w:t>
      </w:r>
      <w:proofErr w:type="spellStart"/>
      <w:r w:rsidRPr="004F0FE2">
        <w:rPr>
          <w:lang w:eastAsia="es-ES"/>
        </w:rPr>
        <w:t>palbociclib</w:t>
      </w:r>
      <w:proofErr w:type="spellEnd"/>
      <w:r w:rsidRPr="004F0FE2">
        <w:rPr>
          <w:lang w:eastAsia="es-ES"/>
        </w:rPr>
        <w:t xml:space="preserve">-letrozole. Similar rates of AST increased events were observed in both study groups: 5.4% (13 of the 241 patients) in the </w:t>
      </w:r>
      <w:proofErr w:type="spellStart"/>
      <w:r w:rsidRPr="004F0FE2">
        <w:rPr>
          <w:lang w:eastAsia="es-ES"/>
        </w:rPr>
        <w:t>palbociclib-fulvestrant</w:t>
      </w:r>
      <w:proofErr w:type="spellEnd"/>
      <w:r w:rsidRPr="004F0FE2">
        <w:rPr>
          <w:lang w:eastAsia="es-ES"/>
        </w:rPr>
        <w:t xml:space="preserve"> arm and 6.2% (15 of the 242 patients) in the </w:t>
      </w:r>
      <w:proofErr w:type="spellStart"/>
      <w:r w:rsidRPr="004F0FE2">
        <w:rPr>
          <w:lang w:eastAsia="es-ES"/>
        </w:rPr>
        <w:t>palbociclib</w:t>
      </w:r>
      <w:proofErr w:type="spellEnd"/>
      <w:r w:rsidRPr="004F0FE2">
        <w:rPr>
          <w:lang w:eastAsia="es-ES"/>
        </w:rPr>
        <w:t xml:space="preserve">-letrozole group. The causality of these TEAEs was attributed to the IMP in the majority of the patients in both the experimental and control groups (3.7% and 4.5% respectively for ALT increased events; 4.6% and 3.7% respectively for AST increased TEAEs), however serious events were only reported in patients treated with </w:t>
      </w:r>
      <w:proofErr w:type="spellStart"/>
      <w:r w:rsidRPr="004F0FE2">
        <w:rPr>
          <w:lang w:eastAsia="es-ES"/>
        </w:rPr>
        <w:t>palbociclib-fulvestrant</w:t>
      </w:r>
      <w:proofErr w:type="spellEnd"/>
      <w:r w:rsidRPr="004F0FE2">
        <w:rPr>
          <w:lang w:eastAsia="es-ES"/>
        </w:rPr>
        <w:t xml:space="preserve"> (2.1% for ALT increased and 1.2% for AST increased). Furthermore, o</w:t>
      </w:r>
      <w:r w:rsidRPr="004F0FE2">
        <w:t xml:space="preserve">ne patient in the </w:t>
      </w:r>
      <w:proofErr w:type="spellStart"/>
      <w:r w:rsidRPr="004F0FE2">
        <w:t>palbociclib-fulvestrant</w:t>
      </w:r>
      <w:proofErr w:type="spellEnd"/>
      <w:r w:rsidRPr="004F0FE2">
        <w:t xml:space="preserve"> group reported a ≥3 grade drug-induced liver injury </w:t>
      </w:r>
      <w:r w:rsidRPr="004F0FE2">
        <w:rPr>
          <w:lang w:eastAsia="es-ES"/>
        </w:rPr>
        <w:t xml:space="preserve">assessed by the investigator as related to study treatment. </w:t>
      </w:r>
      <w:r w:rsidR="001458CB">
        <w:rPr>
          <w:lang w:eastAsia="es-ES"/>
        </w:rPr>
        <w:t xml:space="preserve">No cases meeting the criteria for Hy’s Law were observed. </w:t>
      </w:r>
      <w:r w:rsidRPr="004F0FE2">
        <w:rPr>
          <w:lang w:eastAsia="es-ES"/>
        </w:rPr>
        <w:t xml:space="preserve">AST and ALT elevations are previously reported </w:t>
      </w:r>
      <w:r w:rsidR="00FB4C52">
        <w:rPr>
          <w:lang w:eastAsia="es-ES"/>
        </w:rPr>
        <w:t>though</w:t>
      </w:r>
      <w:r w:rsidRPr="004F0FE2">
        <w:rPr>
          <w:lang w:eastAsia="es-ES"/>
        </w:rPr>
        <w:t xml:space="preserve"> rare</w:t>
      </w:r>
      <w:r w:rsidR="00FB4C52">
        <w:rPr>
          <w:lang w:eastAsia="es-ES"/>
        </w:rPr>
        <w:t xml:space="preserve"> grade 3-4 AST/ALT increased</w:t>
      </w:r>
      <w:r w:rsidRPr="004F0FE2">
        <w:rPr>
          <w:lang w:eastAsia="es-ES"/>
        </w:rPr>
        <w:t xml:space="preserve"> events occurring in 3.3% and 2.3% of </w:t>
      </w:r>
      <w:proofErr w:type="spellStart"/>
      <w:r w:rsidRPr="004F0FE2">
        <w:rPr>
          <w:lang w:eastAsia="es-ES"/>
        </w:rPr>
        <w:t>palbociclib</w:t>
      </w:r>
      <w:proofErr w:type="spellEnd"/>
      <w:r w:rsidRPr="004F0FE2">
        <w:rPr>
          <w:lang w:eastAsia="es-ES"/>
        </w:rPr>
        <w:t xml:space="preserve">-treated patients </w:t>
      </w:r>
      <w:r w:rsidRPr="004F0FE2">
        <w:rPr>
          <w:lang w:eastAsia="es-ES"/>
        </w:rPr>
        <w:fldChar w:fldCharType="begin" w:fldLock="1"/>
      </w:r>
      <w:r w:rsidRPr="004F0FE2">
        <w:rPr>
          <w:lang w:eastAsia="es-ES"/>
        </w:rPr>
        <w:instrText>ADDIN CSL_CITATION {"citationItems":[{"id":"ITEM-1","itemData":{"DOI":"10.1093/jnci/djy109","ISSN":"14602105","PMID":"30032196","abstract":"Background: Palbociclib administered with endocrine therapy was tolerable when the overall incidence of toxicities was assessed separately for three PALOMA studies. This study analyzed pooled, longer-term PALOMA safety data longitudinally. Methods: Data were pooled from three randomized phase II and III studies (ClinicalTrials.gov: NCT00721409, NCT01740427, NCT01942135) of hormone receptor-positive/human epidermal growth factor receptor 2-negative advanced breast cancer patients. Front-line patients were randomly assigned to receive letrozole with/without palbociclib (PALOMA-1) or letrozole plus palbociclib/placebo (PALOMA-2). In PALOMA-3, patients with prior endocrine resistance received fulvestrant plus palbociclib/placebo. The cumulative event rates of adverse events (AEs), reporting up to 50 months of treatment, were assessed over time. Results: Patients who received endocrine therapy (n ¼ 1343) were included in this pooled analysis (872 were also treated with palbociclib, and 471 were not). The most common AEs with palbociclib plus endocrine therapy were neutropenia and infections (any grade, 80.6% and 54.7%, respectively), which were higher than in the endocrine monotherapy arm (any grade, 5.3% and 36.9%). The most common hematologic AEs (15.0% in the palbociclib arm) were more likely to be reported in the initial months of the study, after which time the cumulative event rate did not substantially increase. With palbociclib plus endocrine therapy, any grade AEs leading to permanent discontinuation over three years occurred in only 8.3% of patients. Conclusions: Based on these long-term safety analyses, there is no evidence of specific cumulative or delayed toxicities with palbociclib plus endocrine therapy, supporting the ongoing investigation of palbociclib plus endocrine therapy in early breast cancer (NCT02513394).","author":[{"dropping-particle":"","family":"Diéras","given":"Véronique","non-dropping-particle":"","parse-names":false,"suffix":""},{"dropping-particle":"","family":"Rugo","given":"Hope S.","non-dropping-particle":"","parse-names":false,"suffix":""},{"dropping-particle":"","family":"Schnell","given":"Patrick","non-dropping-particle":"","parse-names":false,"suffix":""},{"dropping-particle":"","family":"Gelmon","given":"Karen","non-dropping-particle":"","parse-names":false,"suffix":""},{"dropping-particle":"","family":"Cristofanilli","given":"Massimo","non-dropping-particle":"","parse-names":false,"suffix":""},{"dropping-particle":"","family":"Loi","given":"Sherene","non-dropping-particle":"","parse-names":false,"suffix":""},{"dropping-particle":"","family":"Colleoni","given":"Marco","non-dropping-particle":"","parse-names":false,"suffix":""},{"dropping-particle":"","family":"Lu","given":"Dongrui R.","non-dropping-particle":"","parse-names":false,"suffix":""},{"dropping-particle":"","family":"Mori","given":"Ave","non-dropping-particle":"","parse-names":false,"suffix":""},{"dropping-particle":"","family":"Gauthier","given":"Eric","non-dropping-particle":"","parse-names":false,"suffix":""},{"dropping-particle":"","family":"Bartlett","given":"Cynthia Huang","non-dropping-particle":"","parse-names":false,"suffix":""},{"dropping-particle":"","family":"Slamon","given":"Dennis J.","non-dropping-particle":"","parse-names":false,"suffix":""},{"dropping-particle":"","family":"Turner","given":"Nicholas C.","non-dropping-particle":"","parse-names":false,"suffix":""},{"dropping-particle":"","family":"Finn","given":"Richard S.","non-dropping-particle":"","parse-names":false,"suffix":""}],"container-title":"Journal of the National Cancer Institute","id":"ITEM-1","issue":"4","issued":{"date-parts":[["2019"]]},"publisher":"Oxford University Press","title":"Long-term pooled safety analysis of palbociclib in combination with endocrine therapy for HR1/HER2- Advanced breast cancer","type":"article-journal","volume":"111"},"uris":["http://www.mendeley.com/documents/?uuid=f41855b1-671c-39f9-8921-4a77b6fcba67"]}],"mendeley":{"formattedCitation":"[3]","plainTextFormattedCitation":"[3]","previouslyFormattedCitation":"[3]"},"properties":{"noteIndex":0},"schema":"https://github.com/citation-style-language/schema/raw/master/csl-citation.json"}</w:instrText>
      </w:r>
      <w:r w:rsidRPr="004F0FE2">
        <w:rPr>
          <w:lang w:eastAsia="es-ES"/>
        </w:rPr>
        <w:fldChar w:fldCharType="separate"/>
      </w:r>
      <w:r w:rsidRPr="004F0FE2">
        <w:rPr>
          <w:lang w:eastAsia="es-ES"/>
        </w:rPr>
        <w:t>[3]</w:t>
      </w:r>
      <w:r w:rsidRPr="004F0FE2">
        <w:rPr>
          <w:lang w:eastAsia="es-ES"/>
        </w:rPr>
        <w:fldChar w:fldCharType="end"/>
      </w:r>
      <w:r w:rsidRPr="004F0FE2">
        <w:rPr>
          <w:lang w:eastAsia="es-ES"/>
        </w:rPr>
        <w:t xml:space="preserve">. These findings provide further evidence suggesting that </w:t>
      </w:r>
      <w:proofErr w:type="spellStart"/>
      <w:r w:rsidRPr="004F0FE2">
        <w:rPr>
          <w:lang w:eastAsia="es-ES"/>
        </w:rPr>
        <w:t>palbociclib</w:t>
      </w:r>
      <w:proofErr w:type="spellEnd"/>
      <w:r w:rsidRPr="004F0FE2">
        <w:rPr>
          <w:lang w:eastAsia="es-ES"/>
        </w:rPr>
        <w:t xml:space="preserve"> may interfere with liver function causing enzyme elevations or liver injury. </w:t>
      </w:r>
    </w:p>
    <w:p w14:paraId="411206A8" w14:textId="5358FB1F" w:rsidR="00977932" w:rsidRDefault="00977932" w:rsidP="00673269">
      <w:pPr>
        <w:pStyle w:val="Ttulo3"/>
        <w:ind w:right="567"/>
      </w:pPr>
      <w:bookmarkStart w:id="442" w:name="_Toc349040054"/>
      <w:bookmarkStart w:id="443" w:name="_Toc349040245"/>
      <w:bookmarkStart w:id="444" w:name="_Toc349040711"/>
      <w:bookmarkStart w:id="445" w:name="_Toc350240088"/>
      <w:bookmarkStart w:id="446" w:name="_Toc350241397"/>
      <w:bookmarkStart w:id="447" w:name="_Toc350241472"/>
      <w:bookmarkStart w:id="448" w:name="_Toc350580021"/>
      <w:bookmarkStart w:id="449" w:name="_Toc350583832"/>
      <w:bookmarkStart w:id="450" w:name="_Toc350583951"/>
      <w:bookmarkStart w:id="451" w:name="_Toc351358093"/>
      <w:bookmarkStart w:id="452" w:name="_Toc351358683"/>
      <w:bookmarkStart w:id="453" w:name="_Toc352037312"/>
      <w:bookmarkStart w:id="454" w:name="_Toc352038948"/>
      <w:bookmarkStart w:id="455" w:name="_Toc352039681"/>
      <w:bookmarkStart w:id="456" w:name="_Toc352039780"/>
      <w:bookmarkStart w:id="457" w:name="_Toc377434730"/>
      <w:bookmarkStart w:id="458" w:name="_Toc377434896"/>
      <w:bookmarkStart w:id="459" w:name="_Toc377435054"/>
      <w:bookmarkStart w:id="460" w:name="_Toc377435192"/>
      <w:bookmarkStart w:id="461" w:name="_Toc377438595"/>
      <w:bookmarkStart w:id="462" w:name="_Toc392499825"/>
      <w:bookmarkStart w:id="463" w:name="_Toc392500457"/>
      <w:bookmarkStart w:id="464" w:name="_Ref173562254"/>
      <w:bookmarkStart w:id="465" w:name="_Ref48127349"/>
      <w:bookmarkStart w:id="466" w:name="_Ref48634823"/>
      <w:bookmarkStart w:id="467" w:name="_Toc52468147"/>
      <w:r w:rsidRPr="004F0FE2">
        <w:t xml:space="preserve">Other </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r w:rsidR="00E14D4C">
        <w:t xml:space="preserve">adverse </w:t>
      </w:r>
      <w:r w:rsidR="00DC69A2">
        <w:t>events of special interest</w:t>
      </w:r>
      <w:bookmarkEnd w:id="467"/>
    </w:p>
    <w:p w14:paraId="37E5CB39" w14:textId="506D55C1" w:rsidR="00C17982" w:rsidRPr="00BB71A2" w:rsidRDefault="0027227E" w:rsidP="00673269">
      <w:pPr>
        <w:autoSpaceDE w:val="0"/>
        <w:autoSpaceDN w:val="0"/>
        <w:adjustRightInd w:val="0"/>
        <w:spacing w:line="276" w:lineRule="auto"/>
        <w:ind w:right="567"/>
      </w:pPr>
      <w:r w:rsidRPr="00BB71A2">
        <w:rPr>
          <w:bCs/>
        </w:rPr>
        <w:t xml:space="preserve">The </w:t>
      </w:r>
      <w:r w:rsidRPr="00BB71A2">
        <w:t xml:space="preserve">rate of </w:t>
      </w:r>
      <w:r w:rsidR="008E04F8" w:rsidRPr="00BB71A2">
        <w:t xml:space="preserve">TEAEs within the </w:t>
      </w:r>
      <w:r w:rsidR="0094653A" w:rsidRPr="00BB71A2">
        <w:t>respiratory</w:t>
      </w:r>
      <w:r w:rsidR="008E04F8" w:rsidRPr="00BB71A2">
        <w:t>, thoracic or mediastinal</w:t>
      </w:r>
      <w:r w:rsidR="0094653A" w:rsidRPr="00BB71A2">
        <w:t xml:space="preserve"> disorders </w:t>
      </w:r>
      <w:r w:rsidR="009356E8" w:rsidRPr="00BB71A2">
        <w:t>group</w:t>
      </w:r>
      <w:r w:rsidR="008E04F8" w:rsidRPr="00BB71A2">
        <w:t xml:space="preserve"> was </w:t>
      </w:r>
      <w:r w:rsidR="0094653A" w:rsidRPr="00BB71A2">
        <w:t>44.</w:t>
      </w:r>
      <w:r w:rsidR="00A3058C" w:rsidRPr="00BB71A2">
        <w:t>4</w:t>
      </w:r>
      <w:r w:rsidR="0094653A" w:rsidRPr="00BB71A2">
        <w:t>%</w:t>
      </w:r>
      <w:r w:rsidRPr="00BB71A2">
        <w:rPr>
          <w:rFonts w:eastAsia="Calibri"/>
        </w:rPr>
        <w:t xml:space="preserve"> (</w:t>
      </w:r>
      <w:r w:rsidR="0094653A" w:rsidRPr="00BB71A2">
        <w:rPr>
          <w:rFonts w:eastAsia="Calibri"/>
        </w:rPr>
        <w:t>10</w:t>
      </w:r>
      <w:r w:rsidR="00A3058C" w:rsidRPr="00BB71A2">
        <w:rPr>
          <w:rFonts w:eastAsia="Calibri"/>
        </w:rPr>
        <w:t>7</w:t>
      </w:r>
      <w:r w:rsidR="0094653A" w:rsidRPr="00BB71A2">
        <w:rPr>
          <w:rFonts w:eastAsia="Calibri"/>
        </w:rPr>
        <w:t xml:space="preserve"> of 241 patients</w:t>
      </w:r>
      <w:r w:rsidRPr="00BB71A2">
        <w:rPr>
          <w:rFonts w:eastAsia="Calibri"/>
        </w:rPr>
        <w:t xml:space="preserve">) in the </w:t>
      </w:r>
      <w:proofErr w:type="spellStart"/>
      <w:r w:rsidR="0094653A" w:rsidRPr="00BB71A2">
        <w:rPr>
          <w:rFonts w:eastAsia="Calibri"/>
        </w:rPr>
        <w:t>palbociclib-fulvestrant</w:t>
      </w:r>
      <w:proofErr w:type="spellEnd"/>
      <w:r w:rsidR="0094653A" w:rsidRPr="00BB71A2">
        <w:rPr>
          <w:rFonts w:eastAsia="Calibri"/>
        </w:rPr>
        <w:t xml:space="preserve"> </w:t>
      </w:r>
      <w:r w:rsidRPr="00BB71A2">
        <w:rPr>
          <w:rFonts w:eastAsia="Calibri"/>
        </w:rPr>
        <w:t xml:space="preserve">arm and </w:t>
      </w:r>
      <w:r w:rsidR="0094653A" w:rsidRPr="00BB71A2">
        <w:t xml:space="preserve">38.0% </w:t>
      </w:r>
      <w:r w:rsidRPr="00BB71A2">
        <w:rPr>
          <w:rFonts w:eastAsia="Calibri"/>
        </w:rPr>
        <w:t>(</w:t>
      </w:r>
      <w:r w:rsidR="0094653A" w:rsidRPr="00BB71A2">
        <w:rPr>
          <w:rFonts w:eastAsia="Calibri"/>
        </w:rPr>
        <w:t>92 of 242 patients</w:t>
      </w:r>
      <w:r w:rsidRPr="00BB71A2">
        <w:rPr>
          <w:rFonts w:eastAsia="Calibri"/>
        </w:rPr>
        <w:t xml:space="preserve">) in the </w:t>
      </w:r>
      <w:proofErr w:type="spellStart"/>
      <w:r w:rsidR="0094653A" w:rsidRPr="00BB71A2">
        <w:rPr>
          <w:rFonts w:eastAsia="Calibri"/>
        </w:rPr>
        <w:t>palbociclib</w:t>
      </w:r>
      <w:proofErr w:type="spellEnd"/>
      <w:r w:rsidR="0094653A" w:rsidRPr="00BB71A2">
        <w:rPr>
          <w:rFonts w:eastAsia="Calibri"/>
        </w:rPr>
        <w:t xml:space="preserve">-letrozole group. The most </w:t>
      </w:r>
      <w:r w:rsidR="00177450" w:rsidRPr="00BB71A2">
        <w:rPr>
          <w:rFonts w:eastAsia="Calibri"/>
        </w:rPr>
        <w:t>common any-grade AEs</w:t>
      </w:r>
      <w:r w:rsidR="002A0A0A" w:rsidRPr="00BB71A2">
        <w:rPr>
          <w:rFonts w:eastAsia="Calibri"/>
        </w:rPr>
        <w:t xml:space="preserve"> in this class</w:t>
      </w:r>
      <w:r w:rsidR="00177450" w:rsidRPr="00BB71A2">
        <w:rPr>
          <w:rFonts w:eastAsia="Calibri"/>
        </w:rPr>
        <w:t xml:space="preserve"> </w:t>
      </w:r>
      <w:r w:rsidR="0094653A" w:rsidRPr="00BB71A2">
        <w:rPr>
          <w:rFonts w:eastAsia="Calibri"/>
        </w:rPr>
        <w:t>were cough</w:t>
      </w:r>
      <w:r w:rsidR="0094653A" w:rsidRPr="00BB71A2">
        <w:rPr>
          <w:rFonts w:eastAsia="Calibri"/>
          <w:bCs/>
        </w:rPr>
        <w:t xml:space="preserve"> and dyspnea, </w:t>
      </w:r>
      <w:r w:rsidR="00B05476" w:rsidRPr="00BB71A2">
        <w:rPr>
          <w:rFonts w:eastAsia="Calibri"/>
          <w:bCs/>
        </w:rPr>
        <w:t>respectively reported in</w:t>
      </w:r>
      <w:r w:rsidR="0094653A" w:rsidRPr="00BB71A2">
        <w:rPr>
          <w:rFonts w:eastAsia="Calibri"/>
          <w:bCs/>
        </w:rPr>
        <w:t xml:space="preserve"> </w:t>
      </w:r>
      <w:r w:rsidR="00B05476" w:rsidRPr="00BB71A2">
        <w:rPr>
          <w:rFonts w:eastAsia="Calibri"/>
          <w:bCs/>
        </w:rPr>
        <w:t xml:space="preserve">54 and 33 of the 241 patients (22.4% and 13.7%) in the </w:t>
      </w:r>
      <w:proofErr w:type="spellStart"/>
      <w:r w:rsidR="00B05476" w:rsidRPr="00BB71A2">
        <w:rPr>
          <w:rFonts w:eastAsia="Calibri"/>
          <w:bCs/>
        </w:rPr>
        <w:t>palbociclib-fulvestrant</w:t>
      </w:r>
      <w:proofErr w:type="spellEnd"/>
      <w:r w:rsidR="00B05476" w:rsidRPr="00BB71A2">
        <w:rPr>
          <w:rFonts w:eastAsia="Calibri"/>
          <w:bCs/>
        </w:rPr>
        <w:t xml:space="preserve"> group, and 42 and 29 of the 242 (17.4% and 12.0%) patients treated with </w:t>
      </w:r>
      <w:proofErr w:type="spellStart"/>
      <w:r w:rsidR="00B05476" w:rsidRPr="00BB71A2">
        <w:rPr>
          <w:rFonts w:eastAsia="Calibri"/>
          <w:bCs/>
        </w:rPr>
        <w:t>palbociclib</w:t>
      </w:r>
      <w:proofErr w:type="spellEnd"/>
      <w:r w:rsidR="00B05476" w:rsidRPr="00BB71A2">
        <w:rPr>
          <w:rFonts w:eastAsia="Calibri"/>
          <w:bCs/>
        </w:rPr>
        <w:t>-letrozole</w:t>
      </w:r>
      <w:r w:rsidR="00E14D4C" w:rsidRPr="00BB71A2">
        <w:rPr>
          <w:rFonts w:eastAsia="Calibri"/>
          <w:bCs/>
        </w:rPr>
        <w:t xml:space="preserve"> (</w:t>
      </w:r>
      <w:r w:rsidR="00773549" w:rsidRPr="002B7615">
        <w:rPr>
          <w:rFonts w:eastAsia="Calibri"/>
          <w:bCs/>
          <w:i/>
          <w:color w:val="2F5496" w:themeColor="accent1" w:themeShade="BF"/>
        </w:rPr>
        <w:fldChar w:fldCharType="begin"/>
      </w:r>
      <w:r w:rsidR="00773549" w:rsidRPr="002B7615">
        <w:rPr>
          <w:rFonts w:eastAsia="Calibri"/>
          <w:bCs/>
          <w:i/>
          <w:color w:val="2F5496" w:themeColor="accent1" w:themeShade="BF"/>
        </w:rPr>
        <w:instrText xml:space="preserve"> REF _Ref52424928 \h </w:instrText>
      </w:r>
      <w:r w:rsidR="002B7615" w:rsidRPr="002B7615">
        <w:rPr>
          <w:rFonts w:eastAsia="Calibri"/>
          <w:bCs/>
          <w:i/>
          <w:color w:val="2F5496" w:themeColor="accent1" w:themeShade="BF"/>
        </w:rPr>
        <w:instrText xml:space="preserve"> \* MERGEFORMAT </w:instrText>
      </w:r>
      <w:r w:rsidR="00773549" w:rsidRPr="002B7615">
        <w:rPr>
          <w:rFonts w:eastAsia="Calibri"/>
          <w:bCs/>
          <w:i/>
          <w:color w:val="2F5496" w:themeColor="accent1" w:themeShade="BF"/>
        </w:rPr>
      </w:r>
      <w:r w:rsidR="00773549" w:rsidRPr="002B7615">
        <w:rPr>
          <w:rFonts w:eastAsia="Calibri"/>
          <w:bCs/>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13</w:t>
      </w:r>
      <w:r w:rsidR="00773549" w:rsidRPr="002B7615">
        <w:rPr>
          <w:rFonts w:eastAsia="Calibri"/>
          <w:bCs/>
          <w:i/>
          <w:color w:val="2F5496" w:themeColor="accent1" w:themeShade="BF"/>
        </w:rPr>
        <w:fldChar w:fldCharType="end"/>
      </w:r>
      <w:r w:rsidR="00E14D4C" w:rsidRPr="00BB71A2">
        <w:rPr>
          <w:rFonts w:eastAsia="Calibri"/>
          <w:bCs/>
        </w:rPr>
        <w:t>)</w:t>
      </w:r>
      <w:r w:rsidR="00B05476" w:rsidRPr="00BB71A2">
        <w:rPr>
          <w:rFonts w:eastAsia="Calibri"/>
          <w:bCs/>
        </w:rPr>
        <w:t xml:space="preserve">. </w:t>
      </w:r>
      <w:r w:rsidR="002A0A0A" w:rsidRPr="00BB71A2">
        <w:rPr>
          <w:rFonts w:eastAsia="Calibri"/>
          <w:bCs/>
        </w:rPr>
        <w:t xml:space="preserve">Conversely, pulmonary embolism was the most frequent severe (grade ≥ 3) and serious TEAE reported </w:t>
      </w:r>
      <w:r w:rsidR="00A3058C" w:rsidRPr="00BB71A2">
        <w:rPr>
          <w:rFonts w:eastAsia="Calibri"/>
          <w:bCs/>
        </w:rPr>
        <w:t>in this SOC class: a</w:t>
      </w:r>
      <w:r w:rsidRPr="00BB71A2">
        <w:rPr>
          <w:bCs/>
        </w:rPr>
        <w:t xml:space="preserve">mong </w:t>
      </w:r>
      <w:r w:rsidR="00CB0362" w:rsidRPr="00BB71A2">
        <w:rPr>
          <w:bCs/>
        </w:rPr>
        <w:t xml:space="preserve">the </w:t>
      </w:r>
      <w:r w:rsidRPr="00BB71A2">
        <w:rPr>
          <w:bCs/>
        </w:rPr>
        <w:t>1</w:t>
      </w:r>
      <w:r w:rsidR="001A11EB" w:rsidRPr="00BB71A2">
        <w:rPr>
          <w:bCs/>
        </w:rPr>
        <w:t>8</w:t>
      </w:r>
      <w:r w:rsidRPr="00BB71A2">
        <w:rPr>
          <w:bCs/>
        </w:rPr>
        <w:t xml:space="preserve"> </w:t>
      </w:r>
      <w:r w:rsidR="00663287" w:rsidRPr="00BB71A2">
        <w:rPr>
          <w:bCs/>
        </w:rPr>
        <w:t>patients</w:t>
      </w:r>
      <w:r w:rsidR="00CB0362" w:rsidRPr="00BB71A2">
        <w:rPr>
          <w:bCs/>
        </w:rPr>
        <w:t xml:space="preserve"> (of the 483</w:t>
      </w:r>
      <w:r w:rsidR="001A11EB" w:rsidRPr="00BB71A2">
        <w:rPr>
          <w:bCs/>
        </w:rPr>
        <w:t>; 3.7%</w:t>
      </w:r>
      <w:r w:rsidR="00CB0362" w:rsidRPr="00BB71A2">
        <w:rPr>
          <w:bCs/>
        </w:rPr>
        <w:t>)</w:t>
      </w:r>
      <w:r w:rsidRPr="00BB71A2">
        <w:rPr>
          <w:bCs/>
        </w:rPr>
        <w:t xml:space="preserve"> who had grade ≥ 3 pulmonary embolism, the incidence</w:t>
      </w:r>
      <w:r w:rsidR="00CB0362" w:rsidRPr="00BB71A2">
        <w:rPr>
          <w:bCs/>
        </w:rPr>
        <w:t>s</w:t>
      </w:r>
      <w:r w:rsidRPr="00BB71A2">
        <w:rPr>
          <w:bCs/>
        </w:rPr>
        <w:t xml:space="preserve"> reported </w:t>
      </w:r>
      <w:r w:rsidRPr="00BB71A2">
        <w:rPr>
          <w:rFonts w:eastAsia="Calibri"/>
          <w:bCs/>
        </w:rPr>
        <w:t xml:space="preserve">in the </w:t>
      </w:r>
      <w:proofErr w:type="spellStart"/>
      <w:r w:rsidR="00B05476" w:rsidRPr="00BB71A2">
        <w:rPr>
          <w:rFonts w:eastAsia="Calibri"/>
          <w:bCs/>
        </w:rPr>
        <w:t>palbociclib-fulvestrant</w:t>
      </w:r>
      <w:proofErr w:type="spellEnd"/>
      <w:r w:rsidR="00B05476" w:rsidRPr="00BB71A2">
        <w:rPr>
          <w:rFonts w:eastAsia="Calibri"/>
          <w:bCs/>
        </w:rPr>
        <w:t xml:space="preserve"> </w:t>
      </w:r>
      <w:r w:rsidRPr="00BB71A2">
        <w:rPr>
          <w:rFonts w:eastAsia="Calibri"/>
          <w:bCs/>
        </w:rPr>
        <w:t xml:space="preserve">and </w:t>
      </w:r>
      <w:proofErr w:type="spellStart"/>
      <w:r w:rsidR="00B05476" w:rsidRPr="00BB71A2">
        <w:rPr>
          <w:rFonts w:eastAsia="Calibri"/>
          <w:bCs/>
        </w:rPr>
        <w:t>palbociclib</w:t>
      </w:r>
      <w:proofErr w:type="spellEnd"/>
      <w:r w:rsidR="00B05476" w:rsidRPr="00BB71A2">
        <w:rPr>
          <w:rFonts w:eastAsia="Calibri"/>
          <w:bCs/>
        </w:rPr>
        <w:t>-letrozole</w:t>
      </w:r>
      <w:r w:rsidRPr="00BB71A2">
        <w:rPr>
          <w:rFonts w:eastAsia="Calibri"/>
          <w:bCs/>
        </w:rPr>
        <w:t xml:space="preserve"> arms w</w:t>
      </w:r>
      <w:r w:rsidR="00CB0362" w:rsidRPr="00BB71A2">
        <w:rPr>
          <w:rFonts w:eastAsia="Calibri"/>
          <w:bCs/>
        </w:rPr>
        <w:t>ere</w:t>
      </w:r>
      <w:r w:rsidRPr="00BB71A2">
        <w:rPr>
          <w:rFonts w:eastAsia="Calibri"/>
          <w:bCs/>
        </w:rPr>
        <w:t xml:space="preserve"> </w:t>
      </w:r>
      <w:r w:rsidR="001E4040" w:rsidRPr="00BB71A2">
        <w:rPr>
          <w:rFonts w:eastAsia="Calibri"/>
          <w:bCs/>
        </w:rPr>
        <w:t>5</w:t>
      </w:r>
      <w:r w:rsidR="00B05476" w:rsidRPr="00BB71A2">
        <w:rPr>
          <w:rFonts w:eastAsia="Calibri"/>
          <w:bCs/>
        </w:rPr>
        <w:t>.</w:t>
      </w:r>
      <w:r w:rsidR="001E4040" w:rsidRPr="00BB71A2">
        <w:rPr>
          <w:rFonts w:eastAsia="Calibri"/>
          <w:bCs/>
        </w:rPr>
        <w:t>0</w:t>
      </w:r>
      <w:r w:rsidR="00B05476" w:rsidRPr="00BB71A2">
        <w:rPr>
          <w:rFonts w:eastAsia="Calibri"/>
          <w:bCs/>
        </w:rPr>
        <w:t>% (</w:t>
      </w:r>
      <w:r w:rsidR="001E4040" w:rsidRPr="00BB71A2">
        <w:rPr>
          <w:rFonts w:eastAsia="Calibri"/>
          <w:bCs/>
        </w:rPr>
        <w:t>12</w:t>
      </w:r>
      <w:r w:rsidR="00B05476" w:rsidRPr="00BB71A2">
        <w:rPr>
          <w:rFonts w:eastAsia="Calibri"/>
          <w:bCs/>
        </w:rPr>
        <w:t xml:space="preserve"> of the 241patients</w:t>
      </w:r>
      <w:r w:rsidRPr="00BB71A2">
        <w:rPr>
          <w:rFonts w:eastAsia="Calibri"/>
          <w:bCs/>
        </w:rPr>
        <w:t>) v</w:t>
      </w:r>
      <w:r w:rsidR="00B05476" w:rsidRPr="00BB71A2">
        <w:rPr>
          <w:rFonts w:eastAsia="Calibri"/>
          <w:bCs/>
        </w:rPr>
        <w:t>ersus</w:t>
      </w:r>
      <w:r w:rsidRPr="00BB71A2">
        <w:rPr>
          <w:rFonts w:eastAsia="Calibri"/>
          <w:bCs/>
        </w:rPr>
        <w:t xml:space="preserve"> </w:t>
      </w:r>
      <w:r w:rsidR="001E4040" w:rsidRPr="00BB71A2">
        <w:rPr>
          <w:rFonts w:eastAsia="Calibri"/>
          <w:bCs/>
        </w:rPr>
        <w:t>2</w:t>
      </w:r>
      <w:r w:rsidR="00B05476" w:rsidRPr="00BB71A2">
        <w:rPr>
          <w:rFonts w:eastAsia="Calibri"/>
          <w:bCs/>
        </w:rPr>
        <w:t>.</w:t>
      </w:r>
      <w:r w:rsidR="001E4040" w:rsidRPr="00BB71A2">
        <w:rPr>
          <w:rFonts w:eastAsia="Calibri"/>
          <w:bCs/>
        </w:rPr>
        <w:t>5</w:t>
      </w:r>
      <w:r w:rsidRPr="00BB71A2">
        <w:rPr>
          <w:rFonts w:eastAsia="Calibri"/>
          <w:bCs/>
        </w:rPr>
        <w:t>% (</w:t>
      </w:r>
      <w:r w:rsidR="001E4040" w:rsidRPr="00BB71A2">
        <w:rPr>
          <w:rFonts w:eastAsia="Calibri"/>
          <w:bCs/>
        </w:rPr>
        <w:t>6</w:t>
      </w:r>
      <w:r w:rsidRPr="00BB71A2">
        <w:rPr>
          <w:rFonts w:eastAsia="Calibri"/>
          <w:bCs/>
        </w:rPr>
        <w:t xml:space="preserve"> </w:t>
      </w:r>
      <w:r w:rsidR="00B05476" w:rsidRPr="00BB71A2">
        <w:rPr>
          <w:rFonts w:eastAsia="Calibri"/>
          <w:bCs/>
        </w:rPr>
        <w:t>of the 242 patients</w:t>
      </w:r>
      <w:r w:rsidRPr="00BB71A2">
        <w:rPr>
          <w:rFonts w:eastAsia="Calibri"/>
          <w:bCs/>
        </w:rPr>
        <w:t>)</w:t>
      </w:r>
      <w:r w:rsidR="00CB0362" w:rsidRPr="00BB71A2">
        <w:rPr>
          <w:rFonts w:eastAsia="Calibri"/>
          <w:bCs/>
        </w:rPr>
        <w:t xml:space="preserve"> </w:t>
      </w:r>
      <w:r w:rsidRPr="00BB71A2">
        <w:rPr>
          <w:rFonts w:eastAsia="Calibri"/>
          <w:bCs/>
        </w:rPr>
        <w:t>respectively</w:t>
      </w:r>
      <w:r w:rsidR="00BB71A2" w:rsidRPr="00BB71A2">
        <w:rPr>
          <w:rFonts w:eastAsia="Calibri"/>
          <w:bCs/>
        </w:rPr>
        <w:t xml:space="preserve"> (</w:t>
      </w:r>
      <w:r w:rsidR="00773549" w:rsidRPr="002B7615">
        <w:rPr>
          <w:rFonts w:eastAsia="Calibri"/>
          <w:bCs/>
          <w:i/>
          <w:color w:val="2F5496" w:themeColor="accent1" w:themeShade="BF"/>
        </w:rPr>
        <w:fldChar w:fldCharType="begin"/>
      </w:r>
      <w:r w:rsidR="00773549" w:rsidRPr="002B7615">
        <w:rPr>
          <w:rFonts w:eastAsia="Calibri"/>
          <w:bCs/>
          <w:i/>
          <w:color w:val="2F5496" w:themeColor="accent1" w:themeShade="BF"/>
        </w:rPr>
        <w:instrText xml:space="preserve"> REF _Ref52424981 \h </w:instrText>
      </w:r>
      <w:r w:rsidR="002B7615" w:rsidRPr="002B7615">
        <w:rPr>
          <w:rFonts w:eastAsia="Calibri"/>
          <w:bCs/>
          <w:i/>
          <w:color w:val="2F5496" w:themeColor="accent1" w:themeShade="BF"/>
        </w:rPr>
        <w:instrText xml:space="preserve"> \* MERGEFORMAT </w:instrText>
      </w:r>
      <w:r w:rsidR="00773549" w:rsidRPr="002B7615">
        <w:rPr>
          <w:rFonts w:eastAsia="Calibri"/>
          <w:bCs/>
          <w:i/>
          <w:color w:val="2F5496" w:themeColor="accent1" w:themeShade="BF"/>
        </w:rPr>
      </w:r>
      <w:r w:rsidR="00773549" w:rsidRPr="002B7615">
        <w:rPr>
          <w:rFonts w:eastAsia="Calibri"/>
          <w:bCs/>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15</w:t>
      </w:r>
      <w:r w:rsidR="00773549" w:rsidRPr="002B7615">
        <w:rPr>
          <w:rFonts w:eastAsia="Calibri"/>
          <w:bCs/>
          <w:i/>
          <w:color w:val="2F5496" w:themeColor="accent1" w:themeShade="BF"/>
        </w:rPr>
        <w:fldChar w:fldCharType="end"/>
      </w:r>
      <w:r w:rsidR="00BB71A2" w:rsidRPr="00BB71A2">
        <w:rPr>
          <w:rFonts w:eastAsia="Calibri"/>
          <w:bCs/>
        </w:rPr>
        <w:t>)</w:t>
      </w:r>
      <w:r w:rsidRPr="00BB71A2">
        <w:rPr>
          <w:rFonts w:eastAsia="Calibri"/>
          <w:bCs/>
        </w:rPr>
        <w:t xml:space="preserve">, </w:t>
      </w:r>
      <w:r w:rsidR="00CB0362" w:rsidRPr="00BB71A2">
        <w:rPr>
          <w:rFonts w:eastAsia="Calibri"/>
          <w:bCs/>
        </w:rPr>
        <w:t>but</w:t>
      </w:r>
      <w:r w:rsidR="00060802" w:rsidRPr="00BB71A2">
        <w:rPr>
          <w:rFonts w:eastAsia="Calibri"/>
          <w:bCs/>
        </w:rPr>
        <w:t xml:space="preserve"> only 2 of them (0.8%) were causally attributed to treatment with </w:t>
      </w:r>
      <w:proofErr w:type="spellStart"/>
      <w:r w:rsidR="00060802" w:rsidRPr="00BB71A2">
        <w:rPr>
          <w:rFonts w:eastAsia="Calibri"/>
          <w:bCs/>
        </w:rPr>
        <w:t>fulvestrant</w:t>
      </w:r>
      <w:proofErr w:type="spellEnd"/>
      <w:r w:rsidR="00BB71A2" w:rsidRPr="00BB71A2">
        <w:rPr>
          <w:rFonts w:eastAsia="Calibri"/>
          <w:bCs/>
        </w:rPr>
        <w:t xml:space="preserve"> (</w:t>
      </w:r>
      <w:r w:rsidR="00773549" w:rsidRPr="002B7615">
        <w:rPr>
          <w:rFonts w:eastAsia="Calibri"/>
          <w:bCs/>
          <w:i/>
          <w:color w:val="2F5496" w:themeColor="accent1" w:themeShade="BF"/>
        </w:rPr>
        <w:fldChar w:fldCharType="begin"/>
      </w:r>
      <w:r w:rsidR="00773549" w:rsidRPr="002B7615">
        <w:rPr>
          <w:rFonts w:eastAsia="Calibri"/>
          <w:bCs/>
          <w:i/>
          <w:color w:val="2F5496" w:themeColor="accent1" w:themeShade="BF"/>
        </w:rPr>
        <w:instrText xml:space="preserve"> REF _Ref52424987 \h </w:instrText>
      </w:r>
      <w:r w:rsidR="002B7615" w:rsidRPr="002B7615">
        <w:rPr>
          <w:rFonts w:eastAsia="Calibri"/>
          <w:bCs/>
          <w:i/>
          <w:color w:val="2F5496" w:themeColor="accent1" w:themeShade="BF"/>
        </w:rPr>
        <w:instrText xml:space="preserve"> \* MERGEFORMAT </w:instrText>
      </w:r>
      <w:r w:rsidR="00773549" w:rsidRPr="002B7615">
        <w:rPr>
          <w:rFonts w:eastAsia="Calibri"/>
          <w:bCs/>
          <w:i/>
          <w:color w:val="2F5496" w:themeColor="accent1" w:themeShade="BF"/>
        </w:rPr>
      </w:r>
      <w:r w:rsidR="00773549" w:rsidRPr="002B7615">
        <w:rPr>
          <w:rFonts w:eastAsia="Calibri"/>
          <w:bCs/>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16</w:t>
      </w:r>
      <w:r w:rsidR="00773549" w:rsidRPr="002B7615">
        <w:rPr>
          <w:rFonts w:eastAsia="Calibri"/>
          <w:bCs/>
          <w:i/>
          <w:color w:val="2F5496" w:themeColor="accent1" w:themeShade="BF"/>
        </w:rPr>
        <w:fldChar w:fldCharType="end"/>
      </w:r>
      <w:r w:rsidR="00BB71A2" w:rsidRPr="00BB71A2">
        <w:rPr>
          <w:rFonts w:eastAsia="Calibri"/>
          <w:bCs/>
        </w:rPr>
        <w:t>)</w:t>
      </w:r>
      <w:r w:rsidR="00060802" w:rsidRPr="00BB71A2">
        <w:rPr>
          <w:rFonts w:eastAsia="Calibri"/>
          <w:bCs/>
        </w:rPr>
        <w:t>.</w:t>
      </w:r>
      <w:r w:rsidRPr="00BB71A2">
        <w:rPr>
          <w:rFonts w:eastAsia="Calibri"/>
          <w:bCs/>
        </w:rPr>
        <w:t xml:space="preserve"> </w:t>
      </w:r>
      <w:r w:rsidR="00CB0362" w:rsidRPr="00BB71A2">
        <w:rPr>
          <w:rFonts w:eastAsia="Calibri"/>
          <w:bCs/>
        </w:rPr>
        <w:t xml:space="preserve">Serious pulmonary embolism events were reported in 6 (of the 241; 2.5%) patients in the </w:t>
      </w:r>
      <w:proofErr w:type="spellStart"/>
      <w:r w:rsidR="00CB0362" w:rsidRPr="00BB71A2">
        <w:rPr>
          <w:rFonts w:eastAsia="Calibri"/>
          <w:bCs/>
        </w:rPr>
        <w:t>palbociclib-fulvestrant</w:t>
      </w:r>
      <w:proofErr w:type="spellEnd"/>
      <w:r w:rsidR="00CB0362" w:rsidRPr="00BB71A2">
        <w:rPr>
          <w:rFonts w:eastAsia="Calibri"/>
          <w:bCs/>
        </w:rPr>
        <w:t xml:space="preserve"> arm and 2 (of the 242; 0.8%) patients in the </w:t>
      </w:r>
      <w:proofErr w:type="spellStart"/>
      <w:r w:rsidR="00CB0362" w:rsidRPr="00BB71A2">
        <w:rPr>
          <w:rFonts w:eastAsia="Calibri"/>
          <w:bCs/>
        </w:rPr>
        <w:t>palbociclib</w:t>
      </w:r>
      <w:proofErr w:type="spellEnd"/>
      <w:r w:rsidR="00CB0362" w:rsidRPr="00BB71A2">
        <w:rPr>
          <w:rFonts w:eastAsia="Calibri"/>
          <w:bCs/>
        </w:rPr>
        <w:t>-</w:t>
      </w:r>
      <w:r w:rsidR="00CB0362" w:rsidRPr="00BB71A2">
        <w:rPr>
          <w:rFonts w:eastAsia="Calibri"/>
          <w:bCs/>
        </w:rPr>
        <w:lastRenderedPageBreak/>
        <w:t>letrozole arm</w:t>
      </w:r>
      <w:r w:rsidR="00BB71A2" w:rsidRPr="00BB71A2">
        <w:rPr>
          <w:rFonts w:eastAsia="Calibri"/>
          <w:bCs/>
        </w:rPr>
        <w:t xml:space="preserve"> (</w:t>
      </w:r>
      <w:r w:rsidR="00773549" w:rsidRPr="002B7615">
        <w:rPr>
          <w:rFonts w:eastAsia="Calibri"/>
          <w:bCs/>
          <w:i/>
          <w:color w:val="2F5496" w:themeColor="accent1" w:themeShade="BF"/>
        </w:rPr>
        <w:fldChar w:fldCharType="begin"/>
      </w:r>
      <w:r w:rsidR="00773549" w:rsidRPr="002B7615">
        <w:rPr>
          <w:rFonts w:eastAsia="Calibri"/>
          <w:bCs/>
          <w:i/>
          <w:color w:val="2F5496" w:themeColor="accent1" w:themeShade="BF"/>
        </w:rPr>
        <w:instrText xml:space="preserve"> REF _Ref52424944 \h </w:instrText>
      </w:r>
      <w:r w:rsidR="002B7615" w:rsidRPr="002B7615">
        <w:rPr>
          <w:rFonts w:eastAsia="Calibri"/>
          <w:bCs/>
          <w:i/>
          <w:color w:val="2F5496" w:themeColor="accent1" w:themeShade="BF"/>
        </w:rPr>
        <w:instrText xml:space="preserve"> \* MERGEFORMAT </w:instrText>
      </w:r>
      <w:r w:rsidR="00773549" w:rsidRPr="002B7615">
        <w:rPr>
          <w:rFonts w:eastAsia="Calibri"/>
          <w:bCs/>
          <w:i/>
          <w:color w:val="2F5496" w:themeColor="accent1" w:themeShade="BF"/>
        </w:rPr>
      </w:r>
      <w:r w:rsidR="00773549" w:rsidRPr="002B7615">
        <w:rPr>
          <w:rFonts w:eastAsia="Calibri"/>
          <w:bCs/>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17</w:t>
      </w:r>
      <w:r w:rsidR="00773549" w:rsidRPr="002B7615">
        <w:rPr>
          <w:rFonts w:eastAsia="Calibri"/>
          <w:bCs/>
          <w:i/>
          <w:color w:val="2F5496" w:themeColor="accent1" w:themeShade="BF"/>
        </w:rPr>
        <w:fldChar w:fldCharType="end"/>
      </w:r>
      <w:r w:rsidR="00BB71A2" w:rsidRPr="00BB71A2">
        <w:rPr>
          <w:rFonts w:eastAsia="Calibri"/>
          <w:bCs/>
        </w:rPr>
        <w:t>)</w:t>
      </w:r>
      <w:r w:rsidR="00CB0362" w:rsidRPr="00BB71A2">
        <w:rPr>
          <w:rFonts w:eastAsia="Calibri"/>
          <w:bCs/>
        </w:rPr>
        <w:t xml:space="preserve">, however only 2 of these events </w:t>
      </w:r>
      <w:r w:rsidR="009B36E8" w:rsidRPr="00BB71A2">
        <w:rPr>
          <w:rFonts w:eastAsia="Calibri"/>
          <w:bCs/>
        </w:rPr>
        <w:t xml:space="preserve">(of the 241; 0.8%) </w:t>
      </w:r>
      <w:r w:rsidR="00CB0362" w:rsidRPr="00BB71A2">
        <w:rPr>
          <w:rFonts w:eastAsia="Calibri"/>
          <w:bCs/>
        </w:rPr>
        <w:t xml:space="preserve">were </w:t>
      </w:r>
      <w:r w:rsidR="009B36E8" w:rsidRPr="00BB71A2">
        <w:rPr>
          <w:rFonts w:eastAsia="Calibri"/>
          <w:bCs/>
        </w:rPr>
        <w:t xml:space="preserve">causally </w:t>
      </w:r>
      <w:r w:rsidR="00CB0362" w:rsidRPr="00BB71A2">
        <w:rPr>
          <w:rFonts w:eastAsia="Calibri"/>
          <w:bCs/>
        </w:rPr>
        <w:t xml:space="preserve">attributed to </w:t>
      </w:r>
      <w:r w:rsidR="009B36E8" w:rsidRPr="00BB71A2">
        <w:rPr>
          <w:rFonts w:eastAsia="Calibri"/>
          <w:bCs/>
        </w:rPr>
        <w:t xml:space="preserve">the administration of </w:t>
      </w:r>
      <w:proofErr w:type="spellStart"/>
      <w:r w:rsidR="009B36E8" w:rsidRPr="00BB71A2">
        <w:rPr>
          <w:rFonts w:eastAsia="Calibri"/>
          <w:bCs/>
        </w:rPr>
        <w:t>palbociclib-fulvestrant</w:t>
      </w:r>
      <w:proofErr w:type="spellEnd"/>
      <w:r w:rsidR="00BB71A2" w:rsidRPr="00BB71A2">
        <w:rPr>
          <w:rFonts w:eastAsia="Calibri"/>
          <w:bCs/>
        </w:rPr>
        <w:t xml:space="preserve"> (</w:t>
      </w:r>
      <w:r w:rsidR="00773549" w:rsidRPr="002B7615">
        <w:rPr>
          <w:rFonts w:eastAsia="Calibri"/>
          <w:bCs/>
          <w:i/>
          <w:color w:val="2F5496" w:themeColor="accent1" w:themeShade="BF"/>
        </w:rPr>
        <w:fldChar w:fldCharType="begin"/>
      </w:r>
      <w:r w:rsidR="00773549" w:rsidRPr="002B7615">
        <w:rPr>
          <w:rFonts w:eastAsia="Calibri"/>
          <w:bCs/>
          <w:i/>
          <w:color w:val="2F5496" w:themeColor="accent1" w:themeShade="BF"/>
        </w:rPr>
        <w:instrText xml:space="preserve"> REF _Ref52426761 \h </w:instrText>
      </w:r>
      <w:r w:rsidR="002B7615" w:rsidRPr="002B7615">
        <w:rPr>
          <w:rFonts w:eastAsia="Calibri"/>
          <w:bCs/>
          <w:i/>
          <w:color w:val="2F5496" w:themeColor="accent1" w:themeShade="BF"/>
        </w:rPr>
        <w:instrText xml:space="preserve"> \* MERGEFORMAT </w:instrText>
      </w:r>
      <w:r w:rsidR="00773549" w:rsidRPr="002B7615">
        <w:rPr>
          <w:rFonts w:eastAsia="Calibri"/>
          <w:bCs/>
          <w:i/>
          <w:color w:val="2F5496" w:themeColor="accent1" w:themeShade="BF"/>
        </w:rPr>
      </w:r>
      <w:r w:rsidR="00773549" w:rsidRPr="002B7615">
        <w:rPr>
          <w:rFonts w:eastAsia="Calibri"/>
          <w:bCs/>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18</w:t>
      </w:r>
      <w:r w:rsidR="00773549" w:rsidRPr="002B7615">
        <w:rPr>
          <w:rFonts w:eastAsia="Calibri"/>
          <w:bCs/>
          <w:i/>
          <w:color w:val="2F5496" w:themeColor="accent1" w:themeShade="BF"/>
        </w:rPr>
        <w:fldChar w:fldCharType="end"/>
      </w:r>
      <w:r w:rsidR="00BB71A2" w:rsidRPr="00BB71A2">
        <w:rPr>
          <w:rFonts w:eastAsia="Calibri"/>
          <w:bCs/>
        </w:rPr>
        <w:t>)</w:t>
      </w:r>
      <w:r w:rsidR="009B36E8" w:rsidRPr="00BB71A2">
        <w:rPr>
          <w:rFonts w:eastAsia="Calibri"/>
          <w:bCs/>
        </w:rPr>
        <w:t xml:space="preserve">. </w:t>
      </w:r>
      <w:r w:rsidR="00D37349" w:rsidRPr="00BB71A2">
        <w:rPr>
          <w:rFonts w:eastAsia="Calibri"/>
          <w:bCs/>
        </w:rPr>
        <w:t>All p</w:t>
      </w:r>
      <w:r w:rsidR="00D37349" w:rsidRPr="00BB71A2">
        <w:rPr>
          <w:rFonts w:eastAsiaTheme="minorHAnsi"/>
          <w:bCs/>
        </w:rPr>
        <w:t>ulmonary embolism events in the control group were unrelated with study drugs.</w:t>
      </w:r>
      <w:r w:rsidR="00C17982" w:rsidRPr="00BB71A2">
        <w:rPr>
          <w:rFonts w:eastAsiaTheme="minorHAnsi"/>
          <w:bCs/>
        </w:rPr>
        <w:t xml:space="preserve"> </w:t>
      </w:r>
      <w:r w:rsidR="00060802" w:rsidRPr="00BB71A2">
        <w:rPr>
          <w:rFonts w:eastAsia="Calibri"/>
          <w:bCs/>
        </w:rPr>
        <w:t>Overall, 10</w:t>
      </w:r>
      <w:r w:rsidR="00291725" w:rsidRPr="00BB71A2">
        <w:rPr>
          <w:rFonts w:eastAsia="Calibri"/>
          <w:bCs/>
        </w:rPr>
        <w:t xml:space="preserve"> </w:t>
      </w:r>
      <w:r w:rsidR="00663287" w:rsidRPr="00BB71A2">
        <w:rPr>
          <w:rFonts w:eastAsia="Calibri"/>
        </w:rPr>
        <w:t>a</w:t>
      </w:r>
      <w:r w:rsidRPr="00BB71A2">
        <w:rPr>
          <w:rFonts w:eastAsia="Calibri"/>
        </w:rPr>
        <w:t xml:space="preserve">symptomatic grade 3 </w:t>
      </w:r>
      <w:r w:rsidR="00060802" w:rsidRPr="00BB71A2">
        <w:rPr>
          <w:rFonts w:eastAsia="Calibri"/>
        </w:rPr>
        <w:t>pulmonary embolism</w:t>
      </w:r>
      <w:r w:rsidR="00663287" w:rsidRPr="00BB71A2">
        <w:rPr>
          <w:rFonts w:eastAsia="Calibri"/>
        </w:rPr>
        <w:t xml:space="preserve"> events were reported</w:t>
      </w:r>
      <w:r w:rsidR="00060802" w:rsidRPr="00BB71A2">
        <w:rPr>
          <w:rFonts w:eastAsia="Calibri"/>
        </w:rPr>
        <w:t xml:space="preserve"> following </w:t>
      </w:r>
      <w:r w:rsidR="00214000" w:rsidRPr="00BB71A2">
        <w:rPr>
          <w:rFonts w:eastAsia="Calibri"/>
        </w:rPr>
        <w:t>quarterly</w:t>
      </w:r>
      <w:r w:rsidRPr="00BB71A2">
        <w:rPr>
          <w:rFonts w:eastAsia="Calibri"/>
        </w:rPr>
        <w:t xml:space="preserve"> CT scan</w:t>
      </w:r>
      <w:r w:rsidR="00060802" w:rsidRPr="00BB71A2">
        <w:rPr>
          <w:rFonts w:eastAsia="Calibri"/>
        </w:rPr>
        <w:t>s</w:t>
      </w:r>
      <w:r w:rsidRPr="00BB71A2">
        <w:rPr>
          <w:rFonts w:eastAsia="Calibri"/>
        </w:rPr>
        <w:t>. Further</w:t>
      </w:r>
      <w:r w:rsidR="00060802" w:rsidRPr="00BB71A2">
        <w:rPr>
          <w:rFonts w:eastAsia="Calibri"/>
        </w:rPr>
        <w:t>more</w:t>
      </w:r>
      <w:r w:rsidRPr="00BB71A2">
        <w:rPr>
          <w:rFonts w:eastAsia="Calibri"/>
        </w:rPr>
        <w:t xml:space="preserve">, in 5 </w:t>
      </w:r>
      <w:r w:rsidR="00663287" w:rsidRPr="00BB71A2">
        <w:rPr>
          <w:rFonts w:eastAsia="Calibri"/>
        </w:rPr>
        <w:t>pulmonary embolism</w:t>
      </w:r>
      <w:r w:rsidRPr="00BB71A2">
        <w:rPr>
          <w:rFonts w:eastAsia="Calibri"/>
        </w:rPr>
        <w:t xml:space="preserve"> </w:t>
      </w:r>
      <w:r w:rsidR="00663287" w:rsidRPr="00BB71A2">
        <w:rPr>
          <w:rFonts w:eastAsia="Calibri"/>
        </w:rPr>
        <w:t>events were</w:t>
      </w:r>
      <w:r w:rsidRPr="00BB71A2">
        <w:rPr>
          <w:rFonts w:eastAsia="Calibri"/>
        </w:rPr>
        <w:t xml:space="preserve"> d</w:t>
      </w:r>
      <w:r w:rsidR="00663287" w:rsidRPr="00BB71A2">
        <w:rPr>
          <w:rFonts w:eastAsia="Calibri"/>
        </w:rPr>
        <w:t>iagnosed</w:t>
      </w:r>
      <w:r w:rsidRPr="00BB71A2">
        <w:rPr>
          <w:rFonts w:eastAsia="Calibri"/>
        </w:rPr>
        <w:t xml:space="preserve"> in the context of progressive disease.</w:t>
      </w:r>
      <w:r w:rsidRPr="00BB71A2">
        <w:rPr>
          <w:rFonts w:eastAsia="Calibri"/>
          <w:bCs/>
        </w:rPr>
        <w:t xml:space="preserve"> </w:t>
      </w:r>
      <w:r w:rsidRPr="00BB71A2">
        <w:rPr>
          <w:bCs/>
        </w:rPr>
        <w:t xml:space="preserve">Median time from the first dose of study drugs to occurrence of </w:t>
      </w:r>
      <w:r w:rsidR="00663287" w:rsidRPr="00BB71A2">
        <w:rPr>
          <w:bCs/>
        </w:rPr>
        <w:t>pulmonary embolism</w:t>
      </w:r>
      <w:r w:rsidRPr="00BB71A2">
        <w:rPr>
          <w:bCs/>
        </w:rPr>
        <w:t xml:space="preserve"> was 4.1 mo</w:t>
      </w:r>
      <w:r w:rsidR="00663287" w:rsidRPr="00BB71A2">
        <w:rPr>
          <w:bCs/>
        </w:rPr>
        <w:t>nths</w:t>
      </w:r>
      <w:r w:rsidRPr="00BB71A2">
        <w:rPr>
          <w:bCs/>
        </w:rPr>
        <w:t xml:space="preserve"> (range,1.4</w:t>
      </w:r>
      <w:r w:rsidRPr="00BB71A2">
        <w:rPr>
          <w:rFonts w:eastAsia="Calibri"/>
          <w:bCs/>
        </w:rPr>
        <w:t>–32.0 mo</w:t>
      </w:r>
      <w:r w:rsidR="00663287" w:rsidRPr="00BB71A2">
        <w:rPr>
          <w:rFonts w:eastAsia="Calibri"/>
          <w:bCs/>
        </w:rPr>
        <w:t>nths</w:t>
      </w:r>
      <w:r w:rsidRPr="00BB71A2">
        <w:rPr>
          <w:rFonts w:eastAsia="Calibri"/>
          <w:bCs/>
        </w:rPr>
        <w:t>)</w:t>
      </w:r>
      <w:r w:rsidRPr="00BB71A2">
        <w:rPr>
          <w:bCs/>
        </w:rPr>
        <w:t xml:space="preserve"> in the </w:t>
      </w:r>
      <w:proofErr w:type="spellStart"/>
      <w:r w:rsidR="00663287" w:rsidRPr="00BB71A2">
        <w:rPr>
          <w:bCs/>
        </w:rPr>
        <w:t>palbociclib-fulvestrant</w:t>
      </w:r>
      <w:proofErr w:type="spellEnd"/>
      <w:r w:rsidRPr="00BB71A2">
        <w:rPr>
          <w:bCs/>
        </w:rPr>
        <w:t xml:space="preserve"> arm and 7 mo</w:t>
      </w:r>
      <w:r w:rsidR="00663287" w:rsidRPr="00BB71A2">
        <w:rPr>
          <w:bCs/>
        </w:rPr>
        <w:t>nths</w:t>
      </w:r>
      <w:r w:rsidRPr="00BB71A2">
        <w:rPr>
          <w:bCs/>
        </w:rPr>
        <w:t xml:space="preserve"> (range, 1.8</w:t>
      </w:r>
      <w:r w:rsidRPr="00BB71A2">
        <w:rPr>
          <w:rFonts w:eastAsia="Calibri"/>
          <w:bCs/>
        </w:rPr>
        <w:t>–19.3 mo</w:t>
      </w:r>
      <w:r w:rsidR="00663287" w:rsidRPr="00BB71A2">
        <w:rPr>
          <w:rFonts w:eastAsia="Calibri"/>
          <w:bCs/>
        </w:rPr>
        <w:t>nths</w:t>
      </w:r>
      <w:r w:rsidRPr="00BB71A2">
        <w:rPr>
          <w:bCs/>
        </w:rPr>
        <w:t xml:space="preserve">) in the </w:t>
      </w:r>
      <w:proofErr w:type="spellStart"/>
      <w:r w:rsidR="00663287" w:rsidRPr="00BB71A2">
        <w:rPr>
          <w:bCs/>
        </w:rPr>
        <w:t>palbociclib</w:t>
      </w:r>
      <w:proofErr w:type="spellEnd"/>
      <w:r w:rsidR="00663287" w:rsidRPr="00BB71A2">
        <w:rPr>
          <w:bCs/>
        </w:rPr>
        <w:t>-letrozole</w:t>
      </w:r>
      <w:r w:rsidRPr="00BB71A2">
        <w:rPr>
          <w:bCs/>
        </w:rPr>
        <w:t xml:space="preserve"> arm</w:t>
      </w:r>
      <w:r w:rsidR="00D37349" w:rsidRPr="00BB71A2">
        <w:rPr>
          <w:bCs/>
        </w:rPr>
        <w:t xml:space="preserve"> (</w:t>
      </w:r>
      <w:r w:rsidR="00C511A6" w:rsidRPr="00C511A6">
        <w:rPr>
          <w:rFonts w:eastAsia="Calibri"/>
          <w:bCs/>
          <w:i/>
          <w:color w:val="2F5496" w:themeColor="accent1" w:themeShade="BF"/>
        </w:rPr>
        <w:fldChar w:fldCharType="begin"/>
      </w:r>
      <w:r w:rsidR="00C511A6" w:rsidRPr="00C511A6">
        <w:rPr>
          <w:bCs/>
          <w:i/>
          <w:color w:val="2F5496" w:themeColor="accent1" w:themeShade="BF"/>
        </w:rPr>
        <w:instrText xml:space="preserve"> REF _Ref52471063 \h </w:instrText>
      </w:r>
      <w:r w:rsidR="00C511A6" w:rsidRPr="00C511A6">
        <w:rPr>
          <w:rFonts w:eastAsia="Calibri"/>
          <w:bCs/>
          <w:i/>
          <w:color w:val="2F5496" w:themeColor="accent1" w:themeShade="BF"/>
        </w:rPr>
        <w:instrText xml:space="preserve"> \* MERGEFORMAT </w:instrText>
      </w:r>
      <w:r w:rsidR="00C511A6" w:rsidRPr="00C511A6">
        <w:rPr>
          <w:rFonts w:eastAsia="Calibri"/>
          <w:bCs/>
          <w:i/>
          <w:color w:val="2F5496" w:themeColor="accent1" w:themeShade="BF"/>
        </w:rPr>
      </w:r>
      <w:r w:rsidR="00C511A6" w:rsidRPr="00C511A6">
        <w:rPr>
          <w:rFonts w:eastAsia="Calibri"/>
          <w:bCs/>
          <w:i/>
          <w:color w:val="2F5496" w:themeColor="accent1" w:themeShade="BF"/>
        </w:rPr>
        <w:fldChar w:fldCharType="separate"/>
      </w:r>
      <w:r w:rsidR="00C511A6" w:rsidRPr="00C511A6">
        <w:rPr>
          <w:i/>
          <w:color w:val="2F5496" w:themeColor="accent1" w:themeShade="BF"/>
        </w:rPr>
        <w:t>Figure 13</w:t>
      </w:r>
      <w:r w:rsidR="00C511A6" w:rsidRPr="00C511A6">
        <w:rPr>
          <w:rFonts w:eastAsia="Calibri"/>
          <w:bCs/>
          <w:i/>
          <w:color w:val="2F5496" w:themeColor="accent1" w:themeShade="BF"/>
        </w:rPr>
        <w:fldChar w:fldCharType="end"/>
      </w:r>
      <w:r w:rsidR="00C511A6">
        <w:rPr>
          <w:rFonts w:eastAsia="Calibri"/>
          <w:bCs/>
          <w:i/>
          <w:color w:val="2F5496" w:themeColor="accent1" w:themeShade="BF"/>
        </w:rPr>
        <w:t xml:space="preserve">). </w:t>
      </w:r>
      <w:r w:rsidRPr="00BB71A2">
        <w:rPr>
          <w:rFonts w:eastAsia="Calibri"/>
          <w:bCs/>
        </w:rPr>
        <w:t>Analysis of baseline characteristics in the whole population revealed that older p</w:t>
      </w:r>
      <w:r w:rsidR="003340B9" w:rsidRPr="00BB71A2">
        <w:rPr>
          <w:rFonts w:eastAsia="Calibri"/>
          <w:bCs/>
        </w:rPr>
        <w:t>atients</w:t>
      </w:r>
      <w:r w:rsidRPr="00BB71A2">
        <w:rPr>
          <w:rFonts w:eastAsia="Calibri"/>
          <w:bCs/>
        </w:rPr>
        <w:t xml:space="preserve"> had a significantly increased risk for developing </w:t>
      </w:r>
      <w:r w:rsidR="003340B9" w:rsidRPr="00BB71A2">
        <w:rPr>
          <w:rFonts w:eastAsia="Calibri"/>
          <w:bCs/>
        </w:rPr>
        <w:t>pulmonary embolism</w:t>
      </w:r>
      <w:r w:rsidRPr="00BB71A2">
        <w:rPr>
          <w:rFonts w:eastAsia="Calibri"/>
          <w:bCs/>
        </w:rPr>
        <w:t xml:space="preserve"> (69.5 years [range, 47</w:t>
      </w:r>
      <w:r w:rsidR="003340B9" w:rsidRPr="00BB71A2">
        <w:rPr>
          <w:rFonts w:eastAsia="Calibri"/>
          <w:bCs/>
        </w:rPr>
        <w:t xml:space="preserve"> - </w:t>
      </w:r>
      <w:r w:rsidRPr="00BB71A2">
        <w:rPr>
          <w:rFonts w:eastAsia="Calibri"/>
          <w:bCs/>
        </w:rPr>
        <w:t>84 years]; p &lt; 0.01)</w:t>
      </w:r>
      <w:r w:rsidR="0091211E" w:rsidRPr="00BB71A2">
        <w:rPr>
          <w:rFonts w:eastAsia="Calibri"/>
          <w:bCs/>
        </w:rPr>
        <w:t xml:space="preserve"> (</w:t>
      </w:r>
      <w:r w:rsidR="00773549" w:rsidRPr="002B7615">
        <w:rPr>
          <w:rFonts w:eastAsia="Calibri"/>
          <w:bCs/>
          <w:i/>
          <w:color w:val="2F5496" w:themeColor="accent1" w:themeShade="BF"/>
        </w:rPr>
        <w:fldChar w:fldCharType="begin"/>
      </w:r>
      <w:r w:rsidR="00773549" w:rsidRPr="002B7615">
        <w:rPr>
          <w:rFonts w:eastAsia="Calibri"/>
          <w:bCs/>
          <w:i/>
          <w:color w:val="2F5496" w:themeColor="accent1" w:themeShade="BF"/>
        </w:rPr>
        <w:instrText xml:space="preserve"> REF _Ref52426834 \h </w:instrText>
      </w:r>
      <w:r w:rsidR="002B7615" w:rsidRPr="002B7615">
        <w:rPr>
          <w:rFonts w:eastAsia="Calibri"/>
          <w:bCs/>
          <w:i/>
          <w:color w:val="2F5496" w:themeColor="accent1" w:themeShade="BF"/>
        </w:rPr>
        <w:instrText xml:space="preserve"> \* MERGEFORMAT </w:instrText>
      </w:r>
      <w:r w:rsidR="00773549" w:rsidRPr="002B7615">
        <w:rPr>
          <w:rFonts w:eastAsia="Calibri"/>
          <w:bCs/>
          <w:i/>
          <w:color w:val="2F5496" w:themeColor="accent1" w:themeShade="BF"/>
        </w:rPr>
      </w:r>
      <w:r w:rsidR="00773549" w:rsidRPr="002B7615">
        <w:rPr>
          <w:rFonts w:eastAsia="Calibri"/>
          <w:bCs/>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21</w:t>
      </w:r>
      <w:r w:rsidR="00773549" w:rsidRPr="002B7615">
        <w:rPr>
          <w:rFonts w:eastAsia="Calibri"/>
          <w:bCs/>
          <w:i/>
          <w:color w:val="2F5496" w:themeColor="accent1" w:themeShade="BF"/>
        </w:rPr>
        <w:fldChar w:fldCharType="end"/>
      </w:r>
      <w:r w:rsidR="0091211E" w:rsidRPr="00BB71A2">
        <w:rPr>
          <w:rFonts w:eastAsia="Calibri"/>
          <w:bCs/>
        </w:rPr>
        <w:t>)</w:t>
      </w:r>
      <w:r w:rsidRPr="00BB71A2">
        <w:rPr>
          <w:rFonts w:eastAsia="Calibri"/>
          <w:bCs/>
        </w:rPr>
        <w:t xml:space="preserve">. ECOG performance status, menopausal status, metastatic disease, visceral involvement, number of disease sites, and prior therapies including antithrombotic agents did not significantly increase the risk for developing </w:t>
      </w:r>
      <w:r w:rsidR="003340B9" w:rsidRPr="00BB71A2">
        <w:rPr>
          <w:rFonts w:eastAsia="Calibri"/>
          <w:bCs/>
        </w:rPr>
        <w:t>pulmonary embolism</w:t>
      </w:r>
      <w:r w:rsidRPr="00BB71A2">
        <w:rPr>
          <w:rFonts w:eastAsia="Calibri"/>
          <w:bCs/>
        </w:rPr>
        <w:t>.</w:t>
      </w:r>
      <w:r w:rsidR="00D37349" w:rsidRPr="00BB71A2">
        <w:t xml:space="preserve"> Grade 3 </w:t>
      </w:r>
      <w:r w:rsidR="00C17982" w:rsidRPr="00BB71A2">
        <w:t>interstitial lung disease</w:t>
      </w:r>
      <w:r w:rsidR="00D37349" w:rsidRPr="00BB71A2">
        <w:t xml:space="preserve">/pneumonitis was rarely observed in the </w:t>
      </w:r>
      <w:proofErr w:type="spellStart"/>
      <w:r w:rsidR="00D37349" w:rsidRPr="00BB71A2">
        <w:rPr>
          <w:bCs/>
        </w:rPr>
        <w:t>palbociclib-fulvestrant</w:t>
      </w:r>
      <w:proofErr w:type="spellEnd"/>
      <w:r w:rsidR="00D37349" w:rsidRPr="00BB71A2">
        <w:t xml:space="preserve"> and </w:t>
      </w:r>
      <w:proofErr w:type="spellStart"/>
      <w:r w:rsidR="00D37349" w:rsidRPr="00BB71A2">
        <w:rPr>
          <w:bCs/>
        </w:rPr>
        <w:t>palbociclib</w:t>
      </w:r>
      <w:proofErr w:type="spellEnd"/>
      <w:r w:rsidR="00D37349" w:rsidRPr="00BB71A2">
        <w:rPr>
          <w:bCs/>
        </w:rPr>
        <w:t>-letrozole</w:t>
      </w:r>
      <w:r w:rsidR="00D37349" w:rsidRPr="00BB71A2">
        <w:t xml:space="preserve"> arms (0.8% v</w:t>
      </w:r>
      <w:r w:rsidR="00E33E5F">
        <w:t>ersus</w:t>
      </w:r>
      <w:r w:rsidR="00D37349" w:rsidRPr="00BB71A2">
        <w:t xml:space="preserve"> 1.2%, respectively) with no grade 4 events</w:t>
      </w:r>
      <w:r w:rsidR="00BB71A2" w:rsidRPr="00BB71A2">
        <w:t xml:space="preserve"> </w:t>
      </w:r>
      <w:r w:rsidR="00BB71A2" w:rsidRPr="00E33E5F">
        <w:t>(</w:t>
      </w:r>
      <w:r w:rsidR="00773549" w:rsidRPr="002B7615">
        <w:rPr>
          <w:rFonts w:eastAsia="Calibri"/>
          <w:bCs/>
          <w:i/>
          <w:color w:val="2F5496" w:themeColor="accent1" w:themeShade="BF"/>
        </w:rPr>
        <w:fldChar w:fldCharType="begin"/>
      </w:r>
      <w:r w:rsidR="00773549" w:rsidRPr="002B7615">
        <w:rPr>
          <w:i/>
          <w:color w:val="2F5496" w:themeColor="accent1" w:themeShade="BF"/>
        </w:rPr>
        <w:instrText xml:space="preserve"> REF _Ref52426850 \h </w:instrText>
      </w:r>
      <w:r w:rsidR="002B7615" w:rsidRPr="002B7615">
        <w:rPr>
          <w:rFonts w:eastAsia="Calibri"/>
          <w:bCs/>
          <w:i/>
          <w:color w:val="2F5496" w:themeColor="accent1" w:themeShade="BF"/>
        </w:rPr>
        <w:instrText xml:space="preserve"> \* MERGEFORMAT </w:instrText>
      </w:r>
      <w:r w:rsidR="00773549" w:rsidRPr="002B7615">
        <w:rPr>
          <w:rFonts w:eastAsia="Calibri"/>
          <w:bCs/>
          <w:i/>
          <w:color w:val="2F5496" w:themeColor="accent1" w:themeShade="BF"/>
        </w:rPr>
      </w:r>
      <w:r w:rsidR="00773549" w:rsidRPr="002B7615">
        <w:rPr>
          <w:rFonts w:eastAsia="Calibri"/>
          <w:bCs/>
          <w:i/>
          <w:color w:val="2F5496" w:themeColor="accent1" w:themeShade="BF"/>
        </w:rPr>
        <w:fldChar w:fldCharType="separate"/>
      </w:r>
      <w:r w:rsidR="00773549" w:rsidRPr="002B7615">
        <w:rPr>
          <w:i/>
          <w:color w:val="2F5496" w:themeColor="accent1" w:themeShade="BF"/>
        </w:rPr>
        <w:t xml:space="preserve">Table </w:t>
      </w:r>
      <w:r w:rsidR="00773549" w:rsidRPr="002B7615">
        <w:rPr>
          <w:i/>
          <w:noProof/>
          <w:color w:val="2F5496" w:themeColor="accent1" w:themeShade="BF"/>
        </w:rPr>
        <w:t>22</w:t>
      </w:r>
      <w:r w:rsidR="00773549" w:rsidRPr="002B7615">
        <w:rPr>
          <w:rFonts w:eastAsia="Calibri"/>
          <w:bCs/>
          <w:i/>
          <w:color w:val="2F5496" w:themeColor="accent1" w:themeShade="BF"/>
        </w:rPr>
        <w:fldChar w:fldCharType="end"/>
      </w:r>
      <w:r w:rsidR="00BB71A2" w:rsidRPr="00BB71A2">
        <w:t>)</w:t>
      </w:r>
      <w:r w:rsidR="00D37349" w:rsidRPr="00BB71A2">
        <w:t xml:space="preserve">. </w:t>
      </w:r>
      <w:r w:rsidR="00C17982" w:rsidRPr="00BB71A2">
        <w:rPr>
          <w:shd w:val="clear" w:color="auto" w:fill="FFFFFF"/>
        </w:rPr>
        <w:t xml:space="preserve">Although rare, </w:t>
      </w:r>
      <w:r w:rsidR="00C17982" w:rsidRPr="00BB71A2">
        <w:t>3 interstitial lung disease/pneumonitis</w:t>
      </w:r>
      <w:r w:rsidR="00C17982" w:rsidRPr="00BB71A2">
        <w:rPr>
          <w:shd w:val="clear" w:color="auto" w:fill="FFFFFF"/>
        </w:rPr>
        <w:t xml:space="preserve"> can be a side effect of </w:t>
      </w:r>
      <w:proofErr w:type="spellStart"/>
      <w:r w:rsidR="00C17982" w:rsidRPr="00BB71A2">
        <w:rPr>
          <w:shd w:val="clear" w:color="auto" w:fill="FFFFFF"/>
        </w:rPr>
        <w:t>palbociclib</w:t>
      </w:r>
      <w:proofErr w:type="spellEnd"/>
      <w:r w:rsidR="00C17982" w:rsidRPr="00BB71A2">
        <w:rPr>
          <w:shd w:val="clear" w:color="auto" w:fill="FFFFFF"/>
        </w:rPr>
        <w:t>-based regimens. </w:t>
      </w:r>
      <w:r w:rsidR="00C17982" w:rsidRPr="00BB71A2">
        <w:rPr>
          <w:bCs/>
        </w:rPr>
        <w:t xml:space="preserve">The rate of venous thromboembolism of any grade was </w:t>
      </w:r>
      <w:r w:rsidR="00C17982" w:rsidRPr="00BB71A2">
        <w:rPr>
          <w:rFonts w:eastAsiaTheme="minorHAnsi"/>
          <w:bCs/>
        </w:rPr>
        <w:t xml:space="preserve">5.8% (14 of 241 patients) in the </w:t>
      </w:r>
      <w:proofErr w:type="spellStart"/>
      <w:r w:rsidR="00C17982" w:rsidRPr="00BB71A2">
        <w:rPr>
          <w:bCs/>
        </w:rPr>
        <w:t>palbociclib-fulvestrant</w:t>
      </w:r>
      <w:proofErr w:type="spellEnd"/>
      <w:r w:rsidR="00C17982" w:rsidRPr="00BB71A2">
        <w:rPr>
          <w:rFonts w:eastAsiaTheme="minorHAnsi"/>
          <w:bCs/>
        </w:rPr>
        <w:t xml:space="preserve"> arm and 4.5% (11 of 242 patients) in the </w:t>
      </w:r>
      <w:proofErr w:type="spellStart"/>
      <w:r w:rsidR="00C17982" w:rsidRPr="00BB71A2">
        <w:rPr>
          <w:bCs/>
        </w:rPr>
        <w:t>palbociclib</w:t>
      </w:r>
      <w:proofErr w:type="spellEnd"/>
      <w:r w:rsidR="00C17982" w:rsidRPr="00BB71A2">
        <w:rPr>
          <w:bCs/>
        </w:rPr>
        <w:t>-letrozole</w:t>
      </w:r>
      <w:r w:rsidR="00CB47A9">
        <w:rPr>
          <w:rFonts w:eastAsiaTheme="minorHAnsi"/>
          <w:bCs/>
        </w:rPr>
        <w:t xml:space="preserve"> arm (p, </w:t>
      </w:r>
      <w:r w:rsidR="00C17982" w:rsidRPr="00BB71A2">
        <w:rPr>
          <w:rFonts w:eastAsiaTheme="minorHAnsi"/>
          <w:bCs/>
        </w:rPr>
        <w:t>0.531)</w:t>
      </w:r>
      <w:r w:rsidR="00C17982" w:rsidRPr="00BB71A2">
        <w:rPr>
          <w:bCs/>
        </w:rPr>
        <w:t>. Overall, venous thromboembolism</w:t>
      </w:r>
      <w:r w:rsidR="00C17982" w:rsidRPr="00BB71A2">
        <w:t xml:space="preserve"> and </w:t>
      </w:r>
      <w:r w:rsidR="00C17982" w:rsidRPr="00BB71A2">
        <w:rPr>
          <w:rFonts w:eastAsia="Calibri"/>
          <w:bCs/>
        </w:rPr>
        <w:t>pulmonary embolism</w:t>
      </w:r>
      <w:r w:rsidR="00C17982" w:rsidRPr="00BB71A2">
        <w:t xml:space="preserve"> incidence rates were low and consistent with age-specific analyses from the PALOMA trials and breast cancer population [23-26]. Early detection of these adverse events may assist in optimizing their management.</w:t>
      </w:r>
    </w:p>
    <w:p w14:paraId="5286F1AB" w14:textId="77777777" w:rsidR="00977932" w:rsidRPr="004F0FE2" w:rsidRDefault="00977932" w:rsidP="00673269">
      <w:pPr>
        <w:pStyle w:val="Ttulo2"/>
        <w:ind w:right="567"/>
      </w:pPr>
      <w:bookmarkStart w:id="468" w:name="_Toc349040056"/>
      <w:bookmarkStart w:id="469" w:name="_Toc349040247"/>
      <w:bookmarkStart w:id="470" w:name="_Toc349040713"/>
      <w:bookmarkStart w:id="471" w:name="_Toc350240090"/>
      <w:bookmarkStart w:id="472" w:name="_Toc350241399"/>
      <w:bookmarkStart w:id="473" w:name="_Toc350241474"/>
      <w:bookmarkStart w:id="474" w:name="_Toc350580023"/>
      <w:bookmarkStart w:id="475" w:name="_Toc350583834"/>
      <w:bookmarkStart w:id="476" w:name="_Toc350583953"/>
      <w:bookmarkStart w:id="477" w:name="_Toc351358095"/>
      <w:bookmarkStart w:id="478" w:name="_Toc351358685"/>
      <w:bookmarkStart w:id="479" w:name="_Toc352037314"/>
      <w:bookmarkStart w:id="480" w:name="_Toc352038950"/>
      <w:bookmarkStart w:id="481" w:name="_Toc352039683"/>
      <w:bookmarkStart w:id="482" w:name="_Toc352039782"/>
      <w:bookmarkStart w:id="483" w:name="_Toc377434732"/>
      <w:bookmarkStart w:id="484" w:name="_Toc377434898"/>
      <w:bookmarkStart w:id="485" w:name="_Toc377435056"/>
      <w:bookmarkStart w:id="486" w:name="_Toc377435194"/>
      <w:bookmarkStart w:id="487" w:name="_Toc377438597"/>
      <w:bookmarkStart w:id="488" w:name="_Toc392499827"/>
      <w:bookmarkStart w:id="489" w:name="_Toc392500459"/>
      <w:bookmarkStart w:id="490" w:name="_Toc46085724"/>
      <w:bookmarkStart w:id="491" w:name="_Toc52468148"/>
      <w:r w:rsidRPr="004F0FE2">
        <w:t xml:space="preserve">Clinical </w:t>
      </w:r>
      <w:r w:rsidR="004941E7" w:rsidRPr="004F0FE2">
        <w:t>l</w:t>
      </w:r>
      <w:r w:rsidRPr="004F0FE2">
        <w:t>aboratory</w:t>
      </w:r>
      <w:bookmarkEnd w:id="468"/>
      <w:bookmarkEnd w:id="469"/>
      <w:bookmarkEnd w:id="470"/>
      <w:bookmarkEnd w:id="471"/>
      <w:bookmarkEnd w:id="472"/>
      <w:bookmarkEnd w:id="473"/>
      <w:bookmarkEnd w:id="474"/>
      <w:bookmarkEnd w:id="475"/>
      <w:bookmarkEnd w:id="476"/>
      <w:bookmarkEnd w:id="477"/>
      <w:bookmarkEnd w:id="478"/>
      <w:r w:rsidRPr="004F0FE2">
        <w:t xml:space="preserve"> </w:t>
      </w:r>
      <w:r w:rsidR="004941E7" w:rsidRPr="004F0FE2">
        <w:t>e</w:t>
      </w:r>
      <w:r w:rsidRPr="004F0FE2">
        <w:t>valuation</w:t>
      </w:r>
      <w:bookmarkEnd w:id="479"/>
      <w:bookmarkEnd w:id="480"/>
      <w:bookmarkEnd w:id="481"/>
      <w:bookmarkEnd w:id="482"/>
      <w:bookmarkEnd w:id="483"/>
      <w:bookmarkEnd w:id="484"/>
      <w:bookmarkEnd w:id="485"/>
      <w:bookmarkEnd w:id="486"/>
      <w:bookmarkEnd w:id="487"/>
      <w:bookmarkEnd w:id="488"/>
      <w:bookmarkEnd w:id="489"/>
      <w:bookmarkEnd w:id="490"/>
      <w:bookmarkEnd w:id="491"/>
    </w:p>
    <w:p w14:paraId="1DF20B29" w14:textId="77777777" w:rsidR="00291725" w:rsidRPr="004F0FE2" w:rsidRDefault="00291725" w:rsidP="00673269">
      <w:pPr>
        <w:ind w:right="567"/>
      </w:pPr>
      <w:bookmarkStart w:id="492" w:name="_Toc349040060"/>
      <w:bookmarkStart w:id="493" w:name="_Toc349040251"/>
      <w:bookmarkStart w:id="494" w:name="_Toc349040717"/>
      <w:bookmarkStart w:id="495" w:name="_Toc350240094"/>
      <w:bookmarkStart w:id="496" w:name="_Toc350241403"/>
      <w:bookmarkStart w:id="497" w:name="_Toc350241478"/>
      <w:bookmarkStart w:id="498" w:name="_Toc350580027"/>
      <w:bookmarkStart w:id="499" w:name="_Toc350583838"/>
      <w:bookmarkStart w:id="500" w:name="_Toc350583957"/>
      <w:bookmarkStart w:id="501" w:name="_Toc351358099"/>
      <w:bookmarkStart w:id="502" w:name="_Toc351358689"/>
      <w:bookmarkStart w:id="503" w:name="_Toc352037318"/>
      <w:bookmarkStart w:id="504" w:name="_Toc352038954"/>
      <w:bookmarkStart w:id="505" w:name="_Toc352039687"/>
      <w:bookmarkStart w:id="506" w:name="_Toc352039786"/>
      <w:bookmarkStart w:id="507" w:name="_Toc377434736"/>
      <w:bookmarkStart w:id="508" w:name="_Toc377434902"/>
      <w:bookmarkStart w:id="509" w:name="_Toc377435060"/>
      <w:bookmarkStart w:id="510" w:name="_Toc377435198"/>
      <w:bookmarkStart w:id="511" w:name="_Toc377438601"/>
      <w:bookmarkStart w:id="512" w:name="_Toc392499831"/>
      <w:bookmarkStart w:id="513" w:name="_Toc392500463"/>
      <w:r w:rsidRPr="004F0FE2">
        <w:t xml:space="preserve">Local laboratory assessments (hematology and biochemistry) were scheduled on </w:t>
      </w:r>
      <w:r w:rsidR="00AE2DF5" w:rsidRPr="004F0FE2">
        <w:t>d</w:t>
      </w:r>
      <w:r w:rsidRPr="004F0FE2">
        <w:t xml:space="preserve">ay 1 of all cycles (with additional hemograms on </w:t>
      </w:r>
      <w:r w:rsidR="00AE2DF5" w:rsidRPr="004F0FE2">
        <w:t xml:space="preserve">day </w:t>
      </w:r>
      <w:r w:rsidRPr="004F0FE2">
        <w:t xml:space="preserve">14 of </w:t>
      </w:r>
      <w:r w:rsidR="00AE2DF5" w:rsidRPr="004F0FE2">
        <w:t>c</w:t>
      </w:r>
      <w:r w:rsidRPr="004F0FE2">
        <w:t xml:space="preserve">ycle 1 and 2) prior to study treatment administration. Results of local laboratory assessments were reviewed and any clinically relevant </w:t>
      </w:r>
      <w:r w:rsidR="00AE2DF5" w:rsidRPr="004F0FE2">
        <w:t xml:space="preserve">abnormal </w:t>
      </w:r>
      <w:r w:rsidRPr="004F0FE2">
        <w:t>changes in clinical laboratory values were recorded as AEs.</w:t>
      </w:r>
    </w:p>
    <w:p w14:paraId="69A2D5CB" w14:textId="77777777" w:rsidR="007A1581" w:rsidRPr="004F0FE2" w:rsidRDefault="007A1581" w:rsidP="00673269">
      <w:pPr>
        <w:pStyle w:val="BodyText12"/>
        <w:ind w:left="0" w:right="567"/>
        <w:rPr>
          <w:rFonts w:ascii="Arial" w:hAnsi="Arial" w:cs="Arial"/>
          <w:sz w:val="20"/>
          <w:u w:val="single"/>
        </w:rPr>
      </w:pPr>
      <w:r w:rsidRPr="004F0FE2">
        <w:rPr>
          <w:rFonts w:ascii="Arial" w:hAnsi="Arial" w:cs="Arial"/>
          <w:sz w:val="20"/>
          <w:u w:val="single"/>
        </w:rPr>
        <w:t>Hematology</w:t>
      </w:r>
    </w:p>
    <w:p w14:paraId="26F0CBE7" w14:textId="0865DF7B" w:rsidR="005A03FD" w:rsidRPr="004F0FE2" w:rsidRDefault="00535D30" w:rsidP="00673269">
      <w:pPr>
        <w:ind w:right="567"/>
      </w:pPr>
      <w:r w:rsidRPr="004F0FE2">
        <w:t>“</w:t>
      </w:r>
      <w:r w:rsidR="00AE2DF5" w:rsidRPr="004F0FE2">
        <w:t>Blood and lymphatic system disorders</w:t>
      </w:r>
      <w:r w:rsidRPr="004F0FE2">
        <w:t>”</w:t>
      </w:r>
      <w:r w:rsidR="00AE2DF5" w:rsidRPr="004F0FE2">
        <w:t xml:space="preserve"> </w:t>
      </w:r>
      <w:r w:rsidRPr="004F0FE2">
        <w:t>SOC</w:t>
      </w:r>
      <w:r w:rsidR="00AE2DF5" w:rsidRPr="004F0FE2">
        <w:t xml:space="preserve"> pooled the majority of </w:t>
      </w:r>
      <w:r w:rsidR="009B36E8" w:rsidRPr="004F0FE2">
        <w:t xml:space="preserve">all reported </w:t>
      </w:r>
      <w:r w:rsidR="00AE2DF5" w:rsidRPr="004F0FE2">
        <w:t xml:space="preserve">TEAEs: </w:t>
      </w:r>
      <w:r w:rsidR="009B36E8" w:rsidRPr="004F0FE2">
        <w:t xml:space="preserve">in </w:t>
      </w:r>
      <w:r w:rsidR="00AE2DF5" w:rsidRPr="004F0FE2">
        <w:t xml:space="preserve">209 of the 241 (86.7%) patients in the experimental arm and 212 of the 242 patients (87.6%) in the control group. Most of these events were causally attributed to the treatment with </w:t>
      </w:r>
      <w:proofErr w:type="spellStart"/>
      <w:r w:rsidR="00AE2DF5" w:rsidRPr="004F0FE2">
        <w:t>palbociclib-fulvestrant</w:t>
      </w:r>
      <w:proofErr w:type="spellEnd"/>
      <w:r w:rsidR="00AE2DF5" w:rsidRPr="004F0FE2">
        <w:t xml:space="preserve"> (84.6%) or </w:t>
      </w:r>
      <w:proofErr w:type="spellStart"/>
      <w:r w:rsidR="00AE2DF5" w:rsidRPr="004F0FE2">
        <w:t>palbociclib</w:t>
      </w:r>
      <w:proofErr w:type="spellEnd"/>
      <w:r w:rsidR="00AE2DF5" w:rsidRPr="004F0FE2">
        <w:t xml:space="preserve">-letrozole (86.0%). </w:t>
      </w:r>
      <w:r w:rsidR="000C10F2" w:rsidRPr="004F0FE2">
        <w:t>Overall t</w:t>
      </w:r>
      <w:r w:rsidR="0005194D" w:rsidRPr="004F0FE2">
        <w:t>he most common</w:t>
      </w:r>
      <w:r w:rsidR="000C10F2" w:rsidRPr="004F0FE2">
        <w:t>ly (≥10%) reported</w:t>
      </w:r>
      <w:r w:rsidR="0005194D" w:rsidRPr="004F0FE2">
        <w:t xml:space="preserve"> hematologic TEAEs </w:t>
      </w:r>
      <w:r w:rsidR="000C10F2" w:rsidRPr="004F0FE2">
        <w:t xml:space="preserve">attributed to any of the study drugs </w:t>
      </w:r>
      <w:r w:rsidR="0005194D" w:rsidRPr="004F0FE2">
        <w:t>were neutropenia (</w:t>
      </w:r>
      <w:r w:rsidR="000C10F2" w:rsidRPr="004F0FE2">
        <w:t xml:space="preserve">82.4%), leukopenia (21.7%), </w:t>
      </w:r>
      <w:r w:rsidR="00214000" w:rsidRPr="004F0FE2">
        <w:t>anemia</w:t>
      </w:r>
      <w:r w:rsidR="000C10F2" w:rsidRPr="004F0FE2">
        <w:t xml:space="preserve"> (19.5%) and thrombocytopenia (15.3%), with comparable rates among study groups. A total of 156 </w:t>
      </w:r>
      <w:r w:rsidR="009B36E8" w:rsidRPr="004F0FE2">
        <w:t xml:space="preserve">(of the 241; </w:t>
      </w:r>
      <w:r w:rsidR="000C10F2" w:rsidRPr="004F0FE2">
        <w:t xml:space="preserve">64.7%) </w:t>
      </w:r>
      <w:r w:rsidR="009B36E8" w:rsidRPr="004F0FE2">
        <w:t xml:space="preserve">patients </w:t>
      </w:r>
      <w:r w:rsidR="000C10F2" w:rsidRPr="004F0FE2">
        <w:t xml:space="preserve">in the </w:t>
      </w:r>
      <w:proofErr w:type="spellStart"/>
      <w:r w:rsidR="000C10F2" w:rsidRPr="004F0FE2">
        <w:t>palbociclib-fulvestrant</w:t>
      </w:r>
      <w:proofErr w:type="spellEnd"/>
      <w:r w:rsidR="000C10F2" w:rsidRPr="004F0FE2">
        <w:t xml:space="preserve"> group and </w:t>
      </w:r>
      <w:r w:rsidR="00951D58" w:rsidRPr="004F0FE2">
        <w:t xml:space="preserve">164 </w:t>
      </w:r>
      <w:r w:rsidR="009B36E8" w:rsidRPr="004F0FE2">
        <w:t xml:space="preserve">(of the 242; </w:t>
      </w:r>
      <w:r w:rsidR="00951D58" w:rsidRPr="004F0FE2">
        <w:t xml:space="preserve">67.8%) </w:t>
      </w:r>
      <w:r w:rsidR="009B36E8" w:rsidRPr="004F0FE2">
        <w:t xml:space="preserve">patients </w:t>
      </w:r>
      <w:r w:rsidR="00951D58" w:rsidRPr="004F0FE2">
        <w:t xml:space="preserve">treated with </w:t>
      </w:r>
      <w:proofErr w:type="spellStart"/>
      <w:r w:rsidR="00951D58" w:rsidRPr="004F0FE2">
        <w:t>palbociclib</w:t>
      </w:r>
      <w:proofErr w:type="spellEnd"/>
      <w:r w:rsidR="00951D58" w:rsidRPr="004F0FE2">
        <w:t xml:space="preserve">-letrozole reported </w:t>
      </w:r>
      <w:r w:rsidR="009B36E8" w:rsidRPr="004F0FE2">
        <w:t>g</w:t>
      </w:r>
      <w:r w:rsidR="000C10F2" w:rsidRPr="004F0FE2">
        <w:t xml:space="preserve">rade ≥ 3 </w:t>
      </w:r>
      <w:r w:rsidR="00951D58" w:rsidRPr="004F0FE2">
        <w:t xml:space="preserve">IMP-related </w:t>
      </w:r>
      <w:r w:rsidR="000C10F2" w:rsidRPr="004F0FE2">
        <w:t>neutropenia events</w:t>
      </w:r>
      <w:r w:rsidR="00951D58" w:rsidRPr="004F0FE2">
        <w:t xml:space="preserve">. </w:t>
      </w:r>
      <w:r w:rsidR="005A03FD" w:rsidRPr="004F0FE2">
        <w:t xml:space="preserve">Lower frequencies were observed for other severe IMP-related hematologic TEAEs </w:t>
      </w:r>
      <w:r w:rsidR="009B36E8" w:rsidRPr="004F0FE2">
        <w:t xml:space="preserve">such </w:t>
      </w:r>
      <w:r w:rsidR="005A03FD" w:rsidRPr="004F0FE2">
        <w:t>as leukopenia (7.1% and 5.8%), lymphopenia (</w:t>
      </w:r>
      <w:r w:rsidR="005E7192" w:rsidRPr="004F0FE2">
        <w:t>2</w:t>
      </w:r>
      <w:r w:rsidR="005A03FD" w:rsidRPr="004F0FE2">
        <w:t>.</w:t>
      </w:r>
      <w:r w:rsidR="005E7192" w:rsidRPr="004F0FE2">
        <w:t>9</w:t>
      </w:r>
      <w:r w:rsidR="005A03FD" w:rsidRPr="004F0FE2">
        <w:t xml:space="preserve">% and </w:t>
      </w:r>
      <w:r w:rsidR="005E7192" w:rsidRPr="004F0FE2">
        <w:t>0</w:t>
      </w:r>
      <w:r w:rsidR="005A03FD" w:rsidRPr="004F0FE2">
        <w:t>.</w:t>
      </w:r>
      <w:r w:rsidR="005E7192" w:rsidRPr="004F0FE2">
        <w:t>8</w:t>
      </w:r>
      <w:r w:rsidR="005A03FD" w:rsidRPr="004F0FE2">
        <w:t>%)</w:t>
      </w:r>
      <w:r w:rsidR="005E7192" w:rsidRPr="004F0FE2">
        <w:t xml:space="preserve"> and</w:t>
      </w:r>
      <w:r w:rsidR="005A03FD" w:rsidRPr="004F0FE2">
        <w:t xml:space="preserve"> </w:t>
      </w:r>
      <w:r w:rsidR="00214000" w:rsidRPr="004F0FE2">
        <w:t>anemia</w:t>
      </w:r>
      <w:r w:rsidR="005A03FD" w:rsidRPr="004F0FE2">
        <w:t xml:space="preserve"> (2.</w:t>
      </w:r>
      <w:r w:rsidR="005E7192" w:rsidRPr="004F0FE2">
        <w:t>1</w:t>
      </w:r>
      <w:r w:rsidR="005A03FD" w:rsidRPr="004F0FE2">
        <w:t xml:space="preserve">% </w:t>
      </w:r>
      <w:r w:rsidR="005E7192" w:rsidRPr="004F0FE2">
        <w:t>and 1.2%</w:t>
      </w:r>
      <w:r w:rsidR="009B36E8" w:rsidRPr="004F0FE2">
        <w:t>)</w:t>
      </w:r>
      <w:r w:rsidR="005A03FD" w:rsidRPr="004F0FE2">
        <w:t xml:space="preserve"> </w:t>
      </w:r>
      <w:r w:rsidR="005E7192" w:rsidRPr="004F0FE2">
        <w:t xml:space="preserve">in the experimental and control arms respectively. The most </w:t>
      </w:r>
      <w:r w:rsidR="00EE5AE7" w:rsidRPr="004F0FE2">
        <w:t>common</w:t>
      </w:r>
      <w:r w:rsidR="005E7192" w:rsidRPr="004F0FE2">
        <w:t xml:space="preserve"> </w:t>
      </w:r>
      <w:r w:rsidR="00EE5AE7" w:rsidRPr="004F0FE2">
        <w:t xml:space="preserve">serious hematologic TEAE was anemia, reported in a total of 3 of 241 patients (1.2%) in the trial intervention group and 1 of 242 patients (0.4%) in the control arm. </w:t>
      </w:r>
      <w:r w:rsidR="00DE3549" w:rsidRPr="004F0FE2">
        <w:t xml:space="preserve">Serious neutropenia events were reported in 2 </w:t>
      </w:r>
      <w:r w:rsidR="009B36E8" w:rsidRPr="004F0FE2">
        <w:t>(</w:t>
      </w:r>
      <w:r w:rsidR="00DE3549" w:rsidRPr="004F0FE2">
        <w:t>of the 241</w:t>
      </w:r>
      <w:r w:rsidR="009B36E8" w:rsidRPr="004F0FE2">
        <w:t>;</w:t>
      </w:r>
      <w:r w:rsidR="00DE3549" w:rsidRPr="004F0FE2">
        <w:t xml:space="preserve">0.8%) </w:t>
      </w:r>
      <w:r w:rsidR="009B36E8" w:rsidRPr="004F0FE2">
        <w:t xml:space="preserve">patients </w:t>
      </w:r>
      <w:r w:rsidR="00DE3549" w:rsidRPr="004F0FE2">
        <w:t xml:space="preserve">treated with </w:t>
      </w:r>
      <w:proofErr w:type="spellStart"/>
      <w:r w:rsidR="00DE3549" w:rsidRPr="004F0FE2">
        <w:t>palbociclib-fulvestrant</w:t>
      </w:r>
      <w:proofErr w:type="spellEnd"/>
      <w:r w:rsidR="00DE3549" w:rsidRPr="004F0FE2">
        <w:t xml:space="preserve"> and 1 </w:t>
      </w:r>
      <w:r w:rsidR="009B36E8" w:rsidRPr="004F0FE2">
        <w:t xml:space="preserve">(of the 242; </w:t>
      </w:r>
      <w:r w:rsidR="00DE3549" w:rsidRPr="004F0FE2">
        <w:t xml:space="preserve">0.4%) </w:t>
      </w:r>
      <w:r w:rsidR="009B36E8" w:rsidRPr="004F0FE2">
        <w:t xml:space="preserve">patients </w:t>
      </w:r>
      <w:r w:rsidR="00DE3549" w:rsidRPr="004F0FE2">
        <w:t xml:space="preserve">included in the </w:t>
      </w:r>
      <w:proofErr w:type="spellStart"/>
      <w:r w:rsidR="00DE3549" w:rsidRPr="004F0FE2">
        <w:t>palbociclib</w:t>
      </w:r>
      <w:proofErr w:type="spellEnd"/>
      <w:r w:rsidR="00DE3549" w:rsidRPr="004F0FE2">
        <w:t xml:space="preserve">-letrozole arm. </w:t>
      </w:r>
      <w:r w:rsidR="00EE5AE7" w:rsidRPr="004F0FE2">
        <w:t xml:space="preserve">All severe </w:t>
      </w:r>
      <w:r w:rsidR="00214000">
        <w:t xml:space="preserve">cases of </w:t>
      </w:r>
      <w:r w:rsidR="00EE5AE7" w:rsidRPr="004F0FE2">
        <w:t>anemia</w:t>
      </w:r>
      <w:r w:rsidR="00DE3549" w:rsidRPr="004F0FE2">
        <w:t xml:space="preserve"> and </w:t>
      </w:r>
      <w:r w:rsidR="00214000" w:rsidRPr="004F0FE2">
        <w:t>neutropenia</w:t>
      </w:r>
      <w:r w:rsidR="00EE5AE7" w:rsidRPr="004F0FE2">
        <w:t xml:space="preserve"> reported in the trial were attributed to the </w:t>
      </w:r>
      <w:r w:rsidR="00AD1ADE" w:rsidRPr="004F0FE2">
        <w:t xml:space="preserve">study drugs. </w:t>
      </w:r>
    </w:p>
    <w:p w14:paraId="7ECB19C2" w14:textId="77777777" w:rsidR="00DE3549" w:rsidRPr="004F0FE2" w:rsidRDefault="00DE3549" w:rsidP="00673269">
      <w:pPr>
        <w:ind w:right="567"/>
        <w:rPr>
          <w:color w:val="000000"/>
          <w:u w:val="single"/>
          <w:lang w:eastAsia="es-ES"/>
        </w:rPr>
      </w:pPr>
      <w:r w:rsidRPr="004F0FE2">
        <w:rPr>
          <w:color w:val="000000"/>
          <w:u w:val="single"/>
          <w:lang w:eastAsia="es-ES"/>
        </w:rPr>
        <w:t xml:space="preserve">Clinical Chemistry </w:t>
      </w:r>
    </w:p>
    <w:p w14:paraId="50A81432" w14:textId="4ED92565" w:rsidR="000F53F4" w:rsidRPr="004F0FE2" w:rsidRDefault="00535D30" w:rsidP="00673269">
      <w:pPr>
        <w:ind w:right="567"/>
        <w:rPr>
          <w:color w:val="000000"/>
          <w:lang w:eastAsia="es-ES"/>
        </w:rPr>
      </w:pPr>
      <w:r w:rsidRPr="004F0FE2">
        <w:rPr>
          <w:color w:val="000000"/>
          <w:lang w:eastAsia="es-ES"/>
        </w:rPr>
        <w:t xml:space="preserve">A total of 128 </w:t>
      </w:r>
      <w:r w:rsidR="009B36E8" w:rsidRPr="004F0FE2">
        <w:rPr>
          <w:color w:val="000000"/>
          <w:lang w:eastAsia="es-ES"/>
        </w:rPr>
        <w:t>(</w:t>
      </w:r>
      <w:r w:rsidRPr="004F0FE2">
        <w:rPr>
          <w:color w:val="000000"/>
          <w:lang w:eastAsia="es-ES"/>
        </w:rPr>
        <w:t>of the 483</w:t>
      </w:r>
      <w:r w:rsidR="009B36E8" w:rsidRPr="004F0FE2">
        <w:rPr>
          <w:color w:val="000000"/>
          <w:lang w:eastAsia="es-ES"/>
        </w:rPr>
        <w:t xml:space="preserve">; </w:t>
      </w:r>
      <w:r w:rsidRPr="004F0FE2">
        <w:rPr>
          <w:color w:val="000000"/>
          <w:lang w:eastAsia="es-ES"/>
        </w:rPr>
        <w:t>26.5%)</w:t>
      </w:r>
      <w:r w:rsidR="009B36E8" w:rsidRPr="004F0FE2">
        <w:rPr>
          <w:color w:val="000000"/>
          <w:lang w:eastAsia="es-ES"/>
        </w:rPr>
        <w:t xml:space="preserve"> patients</w:t>
      </w:r>
      <w:r w:rsidRPr="004F0FE2">
        <w:rPr>
          <w:color w:val="000000"/>
          <w:lang w:eastAsia="es-ES"/>
        </w:rPr>
        <w:t xml:space="preserve"> </w:t>
      </w:r>
      <w:r w:rsidR="00AC2B33" w:rsidRPr="004F0FE2">
        <w:rPr>
          <w:color w:val="000000"/>
          <w:lang w:eastAsia="es-ES"/>
        </w:rPr>
        <w:t xml:space="preserve">treated </w:t>
      </w:r>
      <w:r w:rsidRPr="004F0FE2">
        <w:rPr>
          <w:color w:val="000000"/>
          <w:lang w:eastAsia="es-ES"/>
        </w:rPr>
        <w:t>recorded TEAEs included in the SOC “investigations”. The most frequently reported TEAE</w:t>
      </w:r>
      <w:r w:rsidR="009B36E8" w:rsidRPr="004F0FE2">
        <w:rPr>
          <w:color w:val="000000"/>
          <w:lang w:eastAsia="es-ES"/>
        </w:rPr>
        <w:t>s</w:t>
      </w:r>
      <w:r w:rsidRPr="004F0FE2">
        <w:rPr>
          <w:color w:val="000000"/>
          <w:lang w:eastAsia="es-ES"/>
        </w:rPr>
        <w:t xml:space="preserve"> in this class were alterations </w:t>
      </w:r>
      <w:r w:rsidR="00AC2B33" w:rsidRPr="004F0FE2">
        <w:rPr>
          <w:color w:val="000000"/>
          <w:lang w:eastAsia="es-ES"/>
        </w:rPr>
        <w:t xml:space="preserve">in </w:t>
      </w:r>
      <w:r w:rsidRPr="004F0FE2">
        <w:rPr>
          <w:color w:val="000000"/>
          <w:lang w:eastAsia="es-ES"/>
        </w:rPr>
        <w:t xml:space="preserve">transaminases serum level (ALT, AST and GGT), with equally distributed rates among study groups </w:t>
      </w:r>
      <w:r w:rsidR="00AC2B33" w:rsidRPr="004F0FE2">
        <w:rPr>
          <w:color w:val="000000"/>
          <w:lang w:eastAsia="es-ES"/>
        </w:rPr>
        <w:t>(</w:t>
      </w:r>
      <w:r w:rsidR="00986961" w:rsidRPr="004F0FE2">
        <w:rPr>
          <w:color w:val="000000"/>
          <w:lang w:eastAsia="es-ES"/>
        </w:rPr>
        <w:t xml:space="preserve">5.4%, 5.4% and 4.1% in the experimental group versus 6.6%, 6.2% and 3.7% in the control group respectively; </w:t>
      </w:r>
      <w:r w:rsidR="00773549" w:rsidRPr="002B7615">
        <w:rPr>
          <w:i/>
          <w:color w:val="2F5496" w:themeColor="accent1" w:themeShade="BF"/>
          <w:lang w:eastAsia="es-ES"/>
        </w:rPr>
        <w:fldChar w:fldCharType="begin"/>
      </w:r>
      <w:r w:rsidR="00773549" w:rsidRPr="002B7615">
        <w:rPr>
          <w:i/>
          <w:color w:val="2F5496" w:themeColor="accent1" w:themeShade="BF"/>
          <w:lang w:eastAsia="es-ES"/>
        </w:rPr>
        <w:instrText xml:space="preserve"> REF _Ref52426862 \h </w:instrText>
      </w:r>
      <w:r w:rsidR="002B7615" w:rsidRPr="002B7615">
        <w:rPr>
          <w:i/>
          <w:color w:val="2F5496" w:themeColor="accent1" w:themeShade="BF"/>
          <w:lang w:eastAsia="es-ES"/>
        </w:rPr>
        <w:instrText xml:space="preserve"> \* MERGEFORMAT </w:instrText>
      </w:r>
      <w:r w:rsidR="00773549" w:rsidRPr="002B7615">
        <w:rPr>
          <w:i/>
          <w:color w:val="2F5496" w:themeColor="accent1" w:themeShade="BF"/>
          <w:lang w:eastAsia="es-ES"/>
        </w:rPr>
      </w:r>
      <w:r w:rsidR="00773549" w:rsidRPr="002B7615">
        <w:rPr>
          <w:i/>
          <w:color w:val="2F5496" w:themeColor="accent1" w:themeShade="BF"/>
          <w:lang w:eastAsia="es-ES"/>
        </w:rPr>
        <w:fldChar w:fldCharType="separate"/>
      </w:r>
      <w:r w:rsidR="00773549" w:rsidRPr="002B7615">
        <w:rPr>
          <w:i/>
          <w:color w:val="2F5496" w:themeColor="accent1" w:themeShade="BF"/>
        </w:rPr>
        <w:t xml:space="preserve">Table </w:t>
      </w:r>
      <w:r w:rsidR="00773549" w:rsidRPr="002B7615">
        <w:rPr>
          <w:i/>
          <w:noProof/>
          <w:color w:val="2F5496" w:themeColor="accent1" w:themeShade="BF"/>
        </w:rPr>
        <w:t>23</w:t>
      </w:r>
      <w:r w:rsidR="00773549" w:rsidRPr="002B7615">
        <w:rPr>
          <w:i/>
          <w:color w:val="2F5496" w:themeColor="accent1" w:themeShade="BF"/>
          <w:lang w:eastAsia="es-ES"/>
        </w:rPr>
        <w:fldChar w:fldCharType="end"/>
      </w:r>
      <w:r w:rsidR="00AC2B33" w:rsidRPr="004F0FE2">
        <w:rPr>
          <w:color w:val="000000"/>
          <w:lang w:eastAsia="es-ES"/>
        </w:rPr>
        <w:t>)</w:t>
      </w:r>
      <w:r w:rsidR="00986961" w:rsidRPr="004F0FE2">
        <w:rPr>
          <w:color w:val="000000"/>
          <w:lang w:eastAsia="es-ES"/>
        </w:rPr>
        <w:t xml:space="preserve">. The most frequent clinically relevant laboratory findings causally related with the treatment with </w:t>
      </w:r>
      <w:proofErr w:type="spellStart"/>
      <w:r w:rsidR="00986961" w:rsidRPr="004F0FE2">
        <w:rPr>
          <w:color w:val="000000"/>
          <w:lang w:eastAsia="es-ES"/>
        </w:rPr>
        <w:t>palbociclib-fulvestrant</w:t>
      </w:r>
      <w:proofErr w:type="spellEnd"/>
      <w:r w:rsidR="00986961" w:rsidRPr="004F0FE2">
        <w:rPr>
          <w:color w:val="000000"/>
          <w:lang w:eastAsia="es-ES"/>
        </w:rPr>
        <w:t xml:space="preserve"> were elevations of AST (11 of 241 patients; 4.6%), ALT (9 of 241 patients; 3.7%) and GGT (3 of 241 patients; 1.2%)</w:t>
      </w:r>
      <w:r w:rsidR="00A616DB" w:rsidRPr="004F0FE2">
        <w:rPr>
          <w:color w:val="000000"/>
          <w:lang w:eastAsia="es-ES"/>
        </w:rPr>
        <w:t xml:space="preserve">, the majority of which were defined </w:t>
      </w:r>
      <w:r w:rsidR="00D26EFA" w:rsidRPr="004F0FE2">
        <w:rPr>
          <w:color w:val="000000"/>
          <w:lang w:eastAsia="es-ES"/>
        </w:rPr>
        <w:t>as severe (</w:t>
      </w:r>
      <w:r w:rsidR="00891D89" w:rsidRPr="004F0FE2">
        <w:rPr>
          <w:color w:val="000000"/>
          <w:lang w:eastAsia="es-ES"/>
        </w:rPr>
        <w:t xml:space="preserve">CTCAE </w:t>
      </w:r>
      <w:r w:rsidR="00D26EFA" w:rsidRPr="004F0FE2">
        <w:rPr>
          <w:color w:val="000000"/>
          <w:lang w:eastAsia="es-ES"/>
        </w:rPr>
        <w:t>grade ≥3</w:t>
      </w:r>
      <w:r w:rsidR="004E4942" w:rsidRPr="004F0FE2">
        <w:rPr>
          <w:color w:val="000000"/>
          <w:lang w:eastAsia="es-ES"/>
        </w:rPr>
        <w:t>)</w:t>
      </w:r>
      <w:r w:rsidR="00A616DB" w:rsidRPr="004F0FE2">
        <w:rPr>
          <w:color w:val="000000"/>
          <w:lang w:eastAsia="es-ES"/>
        </w:rPr>
        <w:t xml:space="preserve">. A total of 4 of the 241 </w:t>
      </w:r>
      <w:r w:rsidR="003B11F2" w:rsidRPr="004F0FE2">
        <w:rPr>
          <w:color w:val="000000"/>
          <w:lang w:eastAsia="es-ES"/>
        </w:rPr>
        <w:t>patients</w:t>
      </w:r>
      <w:r w:rsidR="00A616DB" w:rsidRPr="004F0FE2">
        <w:rPr>
          <w:color w:val="000000"/>
          <w:lang w:eastAsia="es-ES"/>
        </w:rPr>
        <w:t xml:space="preserve"> (1.7%) with ALT increased TEAEs </w:t>
      </w:r>
      <w:r w:rsidR="00A616DB" w:rsidRPr="004F0FE2">
        <w:rPr>
          <w:color w:val="000000"/>
          <w:lang w:eastAsia="es-ES"/>
        </w:rPr>
        <w:lastRenderedPageBreak/>
        <w:t xml:space="preserve">and 2 of the 241 patients (0.8%) with AST increased TEAEs were notified as serious </w:t>
      </w:r>
      <w:r w:rsidR="00F832A0" w:rsidRPr="004F0FE2">
        <w:rPr>
          <w:color w:val="000000"/>
          <w:lang w:eastAsia="es-ES"/>
        </w:rPr>
        <w:t xml:space="preserve">related </w:t>
      </w:r>
      <w:r w:rsidR="00A616DB" w:rsidRPr="004F0FE2">
        <w:rPr>
          <w:color w:val="000000"/>
          <w:lang w:eastAsia="es-ES"/>
        </w:rPr>
        <w:t>events</w:t>
      </w:r>
      <w:r w:rsidR="00D26EFA" w:rsidRPr="004F0FE2">
        <w:rPr>
          <w:color w:val="000000"/>
          <w:lang w:eastAsia="es-ES"/>
        </w:rPr>
        <w:t>.</w:t>
      </w:r>
      <w:r w:rsidR="00891D89" w:rsidRPr="004F0FE2">
        <w:rPr>
          <w:color w:val="000000"/>
          <w:lang w:eastAsia="es-ES"/>
        </w:rPr>
        <w:t xml:space="preserve"> </w:t>
      </w:r>
      <w:r w:rsidR="00A616DB" w:rsidRPr="004F0FE2">
        <w:rPr>
          <w:color w:val="000000"/>
          <w:lang w:eastAsia="es-ES"/>
        </w:rPr>
        <w:t xml:space="preserve">Treatment with </w:t>
      </w:r>
      <w:proofErr w:type="spellStart"/>
      <w:r w:rsidR="00A616DB" w:rsidRPr="004F0FE2">
        <w:rPr>
          <w:color w:val="000000"/>
          <w:lang w:eastAsia="es-ES"/>
        </w:rPr>
        <w:t>palbociclib</w:t>
      </w:r>
      <w:proofErr w:type="spellEnd"/>
      <w:r w:rsidR="00A616DB" w:rsidRPr="004F0FE2">
        <w:rPr>
          <w:color w:val="000000"/>
          <w:lang w:eastAsia="es-ES"/>
        </w:rPr>
        <w:t xml:space="preserve">-letrozole was most commonly associated with laboratory abnormal values of serum ALT (11 of 242 patients; 4.5%), AST (9 of 242 patients; 3.7%), GGT (3 of 242 </w:t>
      </w:r>
      <w:r w:rsidR="00891D89" w:rsidRPr="004F0FE2">
        <w:rPr>
          <w:color w:val="000000"/>
          <w:lang w:eastAsia="es-ES"/>
        </w:rPr>
        <w:t>patients</w:t>
      </w:r>
      <w:r w:rsidR="00A616DB" w:rsidRPr="004F0FE2">
        <w:rPr>
          <w:color w:val="000000"/>
          <w:lang w:eastAsia="es-ES"/>
        </w:rPr>
        <w:t>; 1.2%)</w:t>
      </w:r>
      <w:r w:rsidR="00891D89" w:rsidRPr="004F0FE2">
        <w:rPr>
          <w:color w:val="000000"/>
          <w:lang w:eastAsia="es-ES"/>
        </w:rPr>
        <w:t xml:space="preserve"> and</w:t>
      </w:r>
      <w:r w:rsidR="00A616DB" w:rsidRPr="004F0FE2">
        <w:rPr>
          <w:color w:val="000000"/>
          <w:lang w:eastAsia="es-ES"/>
        </w:rPr>
        <w:t xml:space="preserve"> cal</w:t>
      </w:r>
      <w:r w:rsidR="00891D89" w:rsidRPr="004F0FE2">
        <w:rPr>
          <w:color w:val="000000"/>
          <w:lang w:eastAsia="es-ES"/>
        </w:rPr>
        <w:t>cium (3 of 242 patients; 1.2%)</w:t>
      </w:r>
      <w:r w:rsidR="003B11F2" w:rsidRPr="004F0FE2">
        <w:rPr>
          <w:color w:val="000000"/>
          <w:lang w:eastAsia="es-ES"/>
        </w:rPr>
        <w:t xml:space="preserve">, with </w:t>
      </w:r>
      <w:r w:rsidR="00891D89" w:rsidRPr="004F0FE2">
        <w:rPr>
          <w:color w:val="000000"/>
          <w:lang w:eastAsia="es-ES"/>
        </w:rPr>
        <w:t xml:space="preserve">varying </w:t>
      </w:r>
      <w:r w:rsidR="003B11F2" w:rsidRPr="004F0FE2">
        <w:rPr>
          <w:color w:val="000000"/>
          <w:lang w:eastAsia="es-ES"/>
        </w:rPr>
        <w:t xml:space="preserve">levels of severity. None of these TEAEs were notified as </w:t>
      </w:r>
      <w:r w:rsidR="00F832A0" w:rsidRPr="004F0FE2">
        <w:rPr>
          <w:color w:val="000000"/>
          <w:lang w:eastAsia="es-ES"/>
        </w:rPr>
        <w:t xml:space="preserve">related </w:t>
      </w:r>
      <w:r w:rsidR="003B11F2" w:rsidRPr="004F0FE2">
        <w:rPr>
          <w:color w:val="000000"/>
          <w:lang w:eastAsia="es-ES"/>
        </w:rPr>
        <w:t>serious</w:t>
      </w:r>
      <w:r w:rsidR="00F832A0" w:rsidRPr="004F0FE2">
        <w:rPr>
          <w:color w:val="000000"/>
          <w:lang w:eastAsia="es-ES"/>
        </w:rPr>
        <w:t xml:space="preserve"> events</w:t>
      </w:r>
      <w:r w:rsidR="003B11F2" w:rsidRPr="004F0FE2">
        <w:rPr>
          <w:color w:val="000000"/>
          <w:lang w:eastAsia="es-ES"/>
        </w:rPr>
        <w:t xml:space="preserve">. </w:t>
      </w:r>
    </w:p>
    <w:p w14:paraId="5B1BB195" w14:textId="77777777" w:rsidR="00977932" w:rsidRPr="004F0FE2" w:rsidRDefault="00977932" w:rsidP="00673269">
      <w:pPr>
        <w:pStyle w:val="Ttulo2"/>
        <w:ind w:right="567"/>
      </w:pPr>
      <w:bookmarkStart w:id="514" w:name="_Toc349040061"/>
      <w:bookmarkStart w:id="515" w:name="_Toc349040252"/>
      <w:bookmarkStart w:id="516" w:name="_Toc349040718"/>
      <w:bookmarkStart w:id="517" w:name="_Toc350240095"/>
      <w:bookmarkStart w:id="518" w:name="_Toc350241404"/>
      <w:bookmarkStart w:id="519" w:name="_Toc350241479"/>
      <w:bookmarkStart w:id="520" w:name="_Toc350580028"/>
      <w:bookmarkStart w:id="521" w:name="_Toc350583839"/>
      <w:bookmarkStart w:id="522" w:name="_Toc350583958"/>
      <w:bookmarkStart w:id="523" w:name="_Toc351358100"/>
      <w:bookmarkStart w:id="524" w:name="_Toc351358690"/>
      <w:bookmarkStart w:id="525" w:name="_Toc352037319"/>
      <w:bookmarkStart w:id="526" w:name="_Toc352038955"/>
      <w:bookmarkStart w:id="527" w:name="_Toc352039688"/>
      <w:bookmarkStart w:id="528" w:name="_Toc352039787"/>
      <w:bookmarkStart w:id="529" w:name="_Toc377434737"/>
      <w:bookmarkStart w:id="530" w:name="_Toc377434903"/>
      <w:bookmarkStart w:id="531" w:name="_Toc377435061"/>
      <w:bookmarkStart w:id="532" w:name="_Toc377435199"/>
      <w:bookmarkStart w:id="533" w:name="_Toc377438602"/>
      <w:bookmarkStart w:id="534" w:name="_Toc392499832"/>
      <w:bookmarkStart w:id="535" w:name="_Toc392500464"/>
      <w:bookmarkStart w:id="536" w:name="_Toc52468149"/>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r w:rsidRPr="004F0FE2">
        <w:t xml:space="preserve">Vital </w:t>
      </w:r>
      <w:r w:rsidR="004941E7" w:rsidRPr="004F0FE2">
        <w:t>s</w:t>
      </w:r>
      <w:r w:rsidRPr="004F0FE2">
        <w:t>igns</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sidRPr="004F0FE2">
        <w:t xml:space="preserve"> and </w:t>
      </w:r>
      <w:r w:rsidR="004941E7" w:rsidRPr="004F0FE2">
        <w:t>p</w:t>
      </w:r>
      <w:r w:rsidRPr="004F0FE2">
        <w:t xml:space="preserve">hysical </w:t>
      </w:r>
      <w:r w:rsidR="004941E7" w:rsidRPr="004F0FE2">
        <w:t>f</w:t>
      </w:r>
      <w:r w:rsidRPr="004F0FE2">
        <w:t>indings</w:t>
      </w:r>
      <w:bookmarkEnd w:id="536"/>
    </w:p>
    <w:p w14:paraId="50787ECA" w14:textId="1C075932" w:rsidR="005B7D73" w:rsidRPr="004F0FE2" w:rsidRDefault="00CF1822" w:rsidP="00673269">
      <w:pPr>
        <w:spacing w:after="160"/>
        <w:ind w:right="567"/>
      </w:pPr>
      <w:r w:rsidRPr="004F0FE2">
        <w:t xml:space="preserve">Vital signs included measurements of height (at screening only), weight, respiratory rate, heart rate, blood pressure, and oral temperature. </w:t>
      </w:r>
      <w:r w:rsidR="00977932" w:rsidRPr="004F0FE2">
        <w:t xml:space="preserve">Any clinically relevant changes </w:t>
      </w:r>
      <w:r w:rsidR="00891D89" w:rsidRPr="004F0FE2">
        <w:t xml:space="preserve">from baseline </w:t>
      </w:r>
      <w:r w:rsidR="00977932" w:rsidRPr="004F0FE2">
        <w:t>in vital signs and physical findings were recorded as AEs.</w:t>
      </w:r>
      <w:r w:rsidR="00291725" w:rsidRPr="004F0FE2">
        <w:t xml:space="preserve"> </w:t>
      </w:r>
      <w:r w:rsidR="00A8047A" w:rsidRPr="004F0FE2">
        <w:t xml:space="preserve">Only 2 patients, </w:t>
      </w:r>
      <w:r w:rsidR="00891D89" w:rsidRPr="004F0FE2">
        <w:t>1</w:t>
      </w:r>
      <w:r w:rsidR="00A8047A" w:rsidRPr="004F0FE2">
        <w:t xml:space="preserve"> in each study group, recorded IMP-related weight loss</w:t>
      </w:r>
      <w:r w:rsidR="0098463A" w:rsidRPr="004F0FE2">
        <w:t xml:space="preserve"> events</w:t>
      </w:r>
      <w:r w:rsidR="00A8047A" w:rsidRPr="004F0FE2">
        <w:t xml:space="preserve">, however </w:t>
      </w:r>
      <w:r w:rsidR="00891D89" w:rsidRPr="004F0FE2">
        <w:t>these events</w:t>
      </w:r>
      <w:r w:rsidR="0098463A" w:rsidRPr="004F0FE2">
        <w:t xml:space="preserve"> were </w:t>
      </w:r>
      <w:r w:rsidR="00AE5B71" w:rsidRPr="004F0FE2">
        <w:t xml:space="preserve">typically </w:t>
      </w:r>
      <w:r w:rsidR="0098463A" w:rsidRPr="004F0FE2">
        <w:t>mild in severity (CTCAE grade ≤ 3) and no</w:t>
      </w:r>
      <w:r w:rsidR="00891D89" w:rsidRPr="004F0FE2">
        <w:t>n-</w:t>
      </w:r>
      <w:r w:rsidR="0098463A" w:rsidRPr="004F0FE2">
        <w:t xml:space="preserve">serious. Treatment with </w:t>
      </w:r>
      <w:proofErr w:type="spellStart"/>
      <w:r w:rsidR="0098463A" w:rsidRPr="004F0FE2">
        <w:t>palbociclib-fulvestrant</w:t>
      </w:r>
      <w:proofErr w:type="spellEnd"/>
      <w:r w:rsidR="0098463A" w:rsidRPr="004F0FE2">
        <w:t xml:space="preserve"> was associated with a mild increase in body temperature in 2 of the 241 patients </w:t>
      </w:r>
      <w:r w:rsidR="00891D89" w:rsidRPr="004F0FE2">
        <w:t xml:space="preserve">(0.8%) </w:t>
      </w:r>
      <w:r w:rsidR="0098463A" w:rsidRPr="004F0FE2">
        <w:t xml:space="preserve">in the </w:t>
      </w:r>
      <w:proofErr w:type="spellStart"/>
      <w:r w:rsidR="00891D89" w:rsidRPr="004F0FE2">
        <w:t>palbociclib-fulvestrant</w:t>
      </w:r>
      <w:proofErr w:type="spellEnd"/>
      <w:r w:rsidR="00891D89" w:rsidRPr="004F0FE2">
        <w:t xml:space="preserve"> </w:t>
      </w:r>
      <w:r w:rsidR="0098463A" w:rsidRPr="004F0FE2">
        <w:t xml:space="preserve">group. </w:t>
      </w:r>
      <w:r w:rsidR="00C02C4D" w:rsidRPr="004F0FE2">
        <w:t>Mild p</w:t>
      </w:r>
      <w:r w:rsidR="00E431DA" w:rsidRPr="004F0FE2">
        <w:t xml:space="preserve">alpitations and tachycardia </w:t>
      </w:r>
      <w:r w:rsidR="00C02C4D" w:rsidRPr="004F0FE2">
        <w:t xml:space="preserve">events were attributed to the </w:t>
      </w:r>
      <w:r w:rsidR="00891D89" w:rsidRPr="004F0FE2">
        <w:t xml:space="preserve">administration of </w:t>
      </w:r>
      <w:proofErr w:type="spellStart"/>
      <w:r w:rsidR="00891D89" w:rsidRPr="004F0FE2">
        <w:t>palbociclib</w:t>
      </w:r>
      <w:proofErr w:type="spellEnd"/>
      <w:r w:rsidR="00891D89" w:rsidRPr="004F0FE2">
        <w:t>-letrozole</w:t>
      </w:r>
      <w:r w:rsidR="00C02C4D" w:rsidRPr="004F0FE2">
        <w:t xml:space="preserve"> in</w:t>
      </w:r>
      <w:r w:rsidR="00E431DA" w:rsidRPr="004F0FE2">
        <w:t xml:space="preserve"> </w:t>
      </w:r>
      <w:r w:rsidR="00C02C4D" w:rsidRPr="004F0FE2">
        <w:t xml:space="preserve">1 </w:t>
      </w:r>
      <w:r w:rsidR="00891D89" w:rsidRPr="004F0FE2">
        <w:t>patient (</w:t>
      </w:r>
      <w:r w:rsidR="00C02C4D" w:rsidRPr="004F0FE2">
        <w:t>of the 242</w:t>
      </w:r>
      <w:r w:rsidR="00891D89" w:rsidRPr="004F0FE2">
        <w:t xml:space="preserve">; </w:t>
      </w:r>
      <w:r w:rsidR="00C02C4D" w:rsidRPr="004F0FE2">
        <w:t>0.4%)</w:t>
      </w:r>
      <w:r w:rsidR="00891D89" w:rsidRPr="004F0FE2">
        <w:t>. Overall, o</w:t>
      </w:r>
      <w:r w:rsidR="00C02C4D" w:rsidRPr="004F0FE2">
        <w:t xml:space="preserve">nly 3 </w:t>
      </w:r>
      <w:r w:rsidR="005B7D73" w:rsidRPr="004F0FE2">
        <w:t>events</w:t>
      </w:r>
      <w:r w:rsidR="00C02C4D" w:rsidRPr="004F0FE2">
        <w:t xml:space="preserve"> of </w:t>
      </w:r>
      <w:r w:rsidR="005B7D73" w:rsidRPr="004F0FE2">
        <w:t xml:space="preserve">increased </w:t>
      </w:r>
      <w:r w:rsidR="00C02C4D" w:rsidRPr="004F0FE2">
        <w:t>blood pressure were recorded in the 483 patients assessed (0.6%)</w:t>
      </w:r>
      <w:r w:rsidR="005B7D73" w:rsidRPr="004F0FE2">
        <w:t xml:space="preserve">, all had a mild severity and occurred in patients treated with </w:t>
      </w:r>
      <w:proofErr w:type="spellStart"/>
      <w:r w:rsidR="00214000" w:rsidRPr="004F0FE2">
        <w:t>palbociclib</w:t>
      </w:r>
      <w:proofErr w:type="spellEnd"/>
      <w:r w:rsidR="005B7D73" w:rsidRPr="004F0FE2">
        <w:t xml:space="preserve">-letrozole, however causal association with the study drug was not confirmed. </w:t>
      </w:r>
      <w:r w:rsidR="00291725" w:rsidRPr="004F0FE2">
        <w:t xml:space="preserve">Findings on adverse respiratory events are commented in </w:t>
      </w:r>
      <w:r w:rsidR="00291725" w:rsidRPr="004F0FE2">
        <w:rPr>
          <w:i/>
          <w:color w:val="2F5496"/>
        </w:rPr>
        <w:t xml:space="preserve">section </w:t>
      </w:r>
      <w:r w:rsidR="00891D89" w:rsidRPr="004F0FE2">
        <w:rPr>
          <w:i/>
          <w:color w:val="2F5496"/>
        </w:rPr>
        <w:fldChar w:fldCharType="begin"/>
      </w:r>
      <w:r w:rsidR="00891D89" w:rsidRPr="004F0FE2">
        <w:rPr>
          <w:i/>
          <w:color w:val="2F5496"/>
        </w:rPr>
        <w:instrText xml:space="preserve"> REF _Ref48634823 \r \h </w:instrText>
      </w:r>
      <w:r w:rsidR="00891D89" w:rsidRPr="004F0FE2">
        <w:rPr>
          <w:i/>
          <w:color w:val="2F5496"/>
        </w:rPr>
      </w:r>
      <w:r w:rsidR="00891D89" w:rsidRPr="004F0FE2">
        <w:rPr>
          <w:i/>
          <w:color w:val="2F5496"/>
        </w:rPr>
        <w:fldChar w:fldCharType="separate"/>
      </w:r>
      <w:r w:rsidR="00A11AB0">
        <w:rPr>
          <w:i/>
          <w:color w:val="2F5496"/>
        </w:rPr>
        <w:t>4.2.7</w:t>
      </w:r>
      <w:r w:rsidR="00891D89" w:rsidRPr="004F0FE2">
        <w:rPr>
          <w:i/>
          <w:color w:val="2F5496"/>
        </w:rPr>
        <w:fldChar w:fldCharType="end"/>
      </w:r>
      <w:r w:rsidR="00891D89" w:rsidRPr="004F0FE2">
        <w:rPr>
          <w:i/>
          <w:color w:val="2F5496"/>
        </w:rPr>
        <w:t xml:space="preserve"> </w:t>
      </w:r>
      <w:r w:rsidR="00291725" w:rsidRPr="004F0FE2">
        <w:t xml:space="preserve">of this report. </w:t>
      </w:r>
    </w:p>
    <w:p w14:paraId="39A4E72C" w14:textId="77777777" w:rsidR="00977932" w:rsidRPr="004F0FE2" w:rsidRDefault="00977932" w:rsidP="00673269">
      <w:pPr>
        <w:pStyle w:val="Ttulo2"/>
        <w:ind w:right="567"/>
      </w:pPr>
      <w:bookmarkStart w:id="537" w:name="_Toc52468150"/>
      <w:r w:rsidRPr="004F0FE2">
        <w:t xml:space="preserve">Physical </w:t>
      </w:r>
      <w:r w:rsidR="004941E7" w:rsidRPr="004F0FE2">
        <w:t>e</w:t>
      </w:r>
      <w:r w:rsidRPr="004F0FE2">
        <w:t>xamination</w:t>
      </w:r>
      <w:bookmarkEnd w:id="537"/>
    </w:p>
    <w:p w14:paraId="06454A05" w14:textId="77777777" w:rsidR="00AC7484" w:rsidRPr="004F0FE2" w:rsidRDefault="007956FE" w:rsidP="00673269">
      <w:pPr>
        <w:ind w:right="567"/>
      </w:pPr>
      <w:bookmarkStart w:id="538" w:name="_Toc349040066"/>
      <w:bookmarkStart w:id="539" w:name="_Toc349040257"/>
      <w:bookmarkStart w:id="540" w:name="_Toc349040723"/>
      <w:bookmarkStart w:id="541" w:name="_Toc350240100"/>
      <w:bookmarkStart w:id="542" w:name="_Toc350241409"/>
      <w:bookmarkStart w:id="543" w:name="_Toc350241484"/>
      <w:bookmarkStart w:id="544" w:name="_Toc350580033"/>
      <w:bookmarkStart w:id="545" w:name="_Toc350583844"/>
      <w:bookmarkStart w:id="546" w:name="_Toc350583963"/>
      <w:bookmarkStart w:id="547" w:name="_Toc351358105"/>
      <w:bookmarkStart w:id="548" w:name="_Toc351358695"/>
      <w:bookmarkStart w:id="549" w:name="_Toc352037324"/>
      <w:bookmarkStart w:id="550" w:name="_Toc352038960"/>
      <w:bookmarkStart w:id="551" w:name="_Toc352039693"/>
      <w:bookmarkStart w:id="552" w:name="_Toc352039792"/>
      <w:bookmarkStart w:id="553" w:name="_Toc377434742"/>
      <w:bookmarkStart w:id="554" w:name="_Toc377434908"/>
      <w:bookmarkStart w:id="555" w:name="_Toc377435066"/>
      <w:bookmarkStart w:id="556" w:name="_Toc377435204"/>
      <w:bookmarkStart w:id="557" w:name="_Toc377438607"/>
      <w:bookmarkStart w:id="558" w:name="_Toc392499837"/>
      <w:bookmarkStart w:id="559" w:name="_Toc392500469"/>
      <w:r w:rsidRPr="004F0FE2">
        <w:t>As part of the study procedures</w:t>
      </w:r>
      <w:r w:rsidR="00891D89" w:rsidRPr="004F0FE2">
        <w:t>,</w:t>
      </w:r>
      <w:r w:rsidRPr="004F0FE2">
        <w:t xml:space="preserve"> a physical examination was performed at base</w:t>
      </w:r>
      <w:r w:rsidR="003B43D1" w:rsidRPr="004F0FE2">
        <w:t xml:space="preserve">line and every treatment cycle and any clinically relevant changes from baseline were recorded as AEs. </w:t>
      </w:r>
      <w:r w:rsidR="00CF1822" w:rsidRPr="004F0FE2">
        <w:t xml:space="preserve">The rate of clinically significant abnormal findings in post-baseline physical examinations was comparable among study groups: 23.7% (57 of 241 patients) in the </w:t>
      </w:r>
      <w:proofErr w:type="spellStart"/>
      <w:r w:rsidR="00CF1822" w:rsidRPr="004F0FE2">
        <w:t>palbociclib-fulvestrant</w:t>
      </w:r>
      <w:proofErr w:type="spellEnd"/>
      <w:r w:rsidR="00CF1822" w:rsidRPr="004F0FE2">
        <w:t xml:space="preserve"> arm versus 24.8% (60 of the 242 patients) in the </w:t>
      </w:r>
      <w:proofErr w:type="spellStart"/>
      <w:r w:rsidR="00CF1822" w:rsidRPr="004F0FE2">
        <w:t>palbociclib</w:t>
      </w:r>
      <w:proofErr w:type="spellEnd"/>
      <w:r w:rsidR="00CF1822" w:rsidRPr="004F0FE2">
        <w:t xml:space="preserve">-letrozole group. </w:t>
      </w:r>
    </w:p>
    <w:p w14:paraId="2B355CC9" w14:textId="77777777" w:rsidR="007A1581" w:rsidRPr="004F0FE2" w:rsidRDefault="007A1581" w:rsidP="00673269">
      <w:pPr>
        <w:pStyle w:val="Ttulo2"/>
        <w:ind w:right="567"/>
      </w:pPr>
      <w:bookmarkStart w:id="560" w:name="_Toc52468151"/>
      <w:r w:rsidRPr="004F0FE2">
        <w:t>ECOG performance status</w:t>
      </w:r>
      <w:bookmarkEnd w:id="560"/>
    </w:p>
    <w:p w14:paraId="393562FC" w14:textId="77777777" w:rsidR="00F42BCD" w:rsidRPr="004F0FE2" w:rsidRDefault="000F3E00" w:rsidP="00673269">
      <w:pPr>
        <w:ind w:right="567"/>
      </w:pPr>
      <w:r w:rsidRPr="004F0FE2">
        <w:t xml:space="preserve">Performance status was measured using the ECOG performance status scale at baseline and every treatment cycle </w:t>
      </w:r>
      <w:r w:rsidRPr="004F0FE2">
        <w:fldChar w:fldCharType="begin" w:fldLock="1"/>
      </w:r>
      <w:r w:rsidR="00B868FB" w:rsidRPr="004F0FE2">
        <w:instrText>ADDIN CSL_CITATION {"citationItems":[{"id":"ITEM-1","itemData":{"URL":"https://ecog-acrin.org/resources/ecog-performance-status","accessed":{"date-parts":[["2020","8","6"]]},"id":"ITEM-1","issued":{"date-parts":[["0"]]},"title":"ECOG Performance Status - ECOG-ACRIN","type":"webpage"},"uris":["http://www.mendeley.com/documents/?uuid=3f62c335-65f7-353a-8a0b-45b71ab2a3d1"]}],"mendeley":{"formattedCitation":"[35]","plainTextFormattedCitation":"[35]","previouslyFormattedCitation":"[35]"},"properties":{"noteIndex":0},"schema":"https://github.com/citation-style-language/schema/raw/master/csl-citation.json"}</w:instrText>
      </w:r>
      <w:r w:rsidRPr="004F0FE2">
        <w:fldChar w:fldCharType="separate"/>
      </w:r>
      <w:r w:rsidR="00A531F3" w:rsidRPr="004F0FE2">
        <w:t>[35]</w:t>
      </w:r>
      <w:r w:rsidRPr="004F0FE2">
        <w:fldChar w:fldCharType="end"/>
      </w:r>
      <w:r w:rsidRPr="004F0FE2">
        <w:t>.</w:t>
      </w:r>
      <w:r w:rsidR="003B43D1" w:rsidRPr="004F0FE2">
        <w:t xml:space="preserve"> </w:t>
      </w:r>
      <w:r w:rsidR="00F42BCD" w:rsidRPr="004F0FE2">
        <w:t xml:space="preserve">The distribution of maximum post-baseline ECOG performance status score among study groups was comparable with a majority of patients at </w:t>
      </w:r>
      <w:r w:rsidR="00B24D87" w:rsidRPr="004F0FE2">
        <w:t xml:space="preserve">maximum </w:t>
      </w:r>
      <w:r w:rsidR="00F42BCD" w:rsidRPr="004F0FE2">
        <w:t>ECOG PS 1 (</w:t>
      </w:r>
      <w:r w:rsidR="00B24D87" w:rsidRPr="004F0FE2">
        <w:t>55.2% and 61.8% in the experimental and control groups respectively</w:t>
      </w:r>
      <w:r w:rsidR="00F42BCD" w:rsidRPr="004F0FE2">
        <w:t>) and ECOG PS 0 (</w:t>
      </w:r>
      <w:r w:rsidR="00B24D87" w:rsidRPr="004F0FE2">
        <w:t xml:space="preserve">23.4% and 18.3% in the </w:t>
      </w:r>
      <w:proofErr w:type="spellStart"/>
      <w:r w:rsidR="00B24D87" w:rsidRPr="004F0FE2">
        <w:t>palbociclib-fulvestrant</w:t>
      </w:r>
      <w:proofErr w:type="spellEnd"/>
      <w:r w:rsidR="00B24D87" w:rsidRPr="004F0FE2">
        <w:t xml:space="preserve"> and </w:t>
      </w:r>
      <w:proofErr w:type="spellStart"/>
      <w:r w:rsidR="00B24D87" w:rsidRPr="004F0FE2">
        <w:t>palbociclib</w:t>
      </w:r>
      <w:proofErr w:type="spellEnd"/>
      <w:r w:rsidR="00B24D87" w:rsidRPr="004F0FE2">
        <w:t xml:space="preserve">-letrozole arms respectively). The </w:t>
      </w:r>
      <w:r w:rsidR="00AC7484" w:rsidRPr="004F0FE2">
        <w:t xml:space="preserve">overall rate </w:t>
      </w:r>
      <w:r w:rsidR="00B24D87" w:rsidRPr="004F0FE2">
        <w:t>of patients with a maximum ECOG PS score of 4 or 5 was low</w:t>
      </w:r>
      <w:r w:rsidR="00AC7484" w:rsidRPr="004F0FE2">
        <w:t xml:space="preserve"> (0.8% and 1.5%),</w:t>
      </w:r>
      <w:r w:rsidR="00B24D87" w:rsidRPr="004F0FE2">
        <w:t xml:space="preserve"> and equally </w:t>
      </w:r>
      <w:r w:rsidR="00AC7484" w:rsidRPr="004F0FE2">
        <w:t>distributed</w:t>
      </w:r>
      <w:r w:rsidR="00B24D87" w:rsidRPr="004F0FE2">
        <w:t xml:space="preserve"> among treatment arms (</w:t>
      </w:r>
      <w:r w:rsidR="00AC7484" w:rsidRPr="004F0FE2">
        <w:t xml:space="preserve">0.8% and 1.7% in the experimental group versus 0.8% and 1.2% in the control arm respectively).  </w:t>
      </w:r>
    </w:p>
    <w:p w14:paraId="502340D4" w14:textId="77777777" w:rsidR="007A1581" w:rsidRPr="004F0FE2" w:rsidRDefault="007A1581" w:rsidP="00673269">
      <w:pPr>
        <w:pStyle w:val="Ttulo2"/>
        <w:ind w:right="567"/>
      </w:pPr>
      <w:bookmarkStart w:id="561" w:name="_Toc52468152"/>
      <w:r w:rsidRPr="004F0FE2">
        <w:t>Electrocardiogram</w:t>
      </w:r>
      <w:bookmarkEnd w:id="561"/>
    </w:p>
    <w:p w14:paraId="51143BF6" w14:textId="45D410A8" w:rsidR="00C17982" w:rsidRDefault="00044C04" w:rsidP="00673269">
      <w:pPr>
        <w:ind w:right="567"/>
      </w:pPr>
      <w:r w:rsidRPr="004F0FE2">
        <w:t xml:space="preserve">A 12-lead ECG was performed at baseline and every 3 cycles starting on cycle 3 up to </w:t>
      </w:r>
      <w:proofErr w:type="spellStart"/>
      <w:r w:rsidRPr="004F0FE2">
        <w:t>EoT</w:t>
      </w:r>
      <w:proofErr w:type="spellEnd"/>
      <w:r w:rsidRPr="004F0FE2">
        <w:t>. The QT interval, corrected QT values according to Fridericia’s formula (</w:t>
      </w:r>
      <w:proofErr w:type="spellStart"/>
      <w:r w:rsidRPr="004F0FE2">
        <w:t>QTcF</w:t>
      </w:r>
      <w:proofErr w:type="spellEnd"/>
      <w:r w:rsidRPr="004F0FE2">
        <w:t xml:space="preserve">) and the RR interval were recorded. Any clinically significant changes in the ECG </w:t>
      </w:r>
      <w:r w:rsidR="003B43D1" w:rsidRPr="004F0FE2">
        <w:t xml:space="preserve">from baseline </w:t>
      </w:r>
      <w:r w:rsidRPr="004F0FE2">
        <w:t>were recorded as AEs.</w:t>
      </w:r>
      <w:r w:rsidR="003B43D1" w:rsidRPr="004F0FE2">
        <w:t xml:space="preserve"> </w:t>
      </w:r>
      <w:r w:rsidR="00586696" w:rsidRPr="004F0FE2">
        <w:t>Overall, o</w:t>
      </w:r>
      <w:r w:rsidRPr="004F0FE2">
        <w:t xml:space="preserve">nly </w:t>
      </w:r>
      <w:r w:rsidR="00586696" w:rsidRPr="004F0FE2">
        <w:t xml:space="preserve">10 </w:t>
      </w:r>
      <w:r w:rsidR="003B43D1" w:rsidRPr="004F0FE2">
        <w:t xml:space="preserve">(of 483; </w:t>
      </w:r>
      <w:r w:rsidR="00586696" w:rsidRPr="004F0FE2">
        <w:t xml:space="preserve">2.1%) </w:t>
      </w:r>
      <w:r w:rsidR="003B43D1" w:rsidRPr="004F0FE2">
        <w:t xml:space="preserve">patients </w:t>
      </w:r>
      <w:r w:rsidR="00586696" w:rsidRPr="004F0FE2">
        <w:t xml:space="preserve">recorded clinically relevant </w:t>
      </w:r>
      <w:r w:rsidR="00CF1822" w:rsidRPr="004F0FE2">
        <w:t xml:space="preserve">abnormal </w:t>
      </w:r>
      <w:r w:rsidR="00586696" w:rsidRPr="004F0FE2">
        <w:t xml:space="preserve">post-baseline ECG findings, 3 </w:t>
      </w:r>
      <w:r w:rsidR="003B43D1" w:rsidRPr="004F0FE2">
        <w:t>(</w:t>
      </w:r>
      <w:r w:rsidR="00586696" w:rsidRPr="004F0FE2">
        <w:t>of the 241</w:t>
      </w:r>
      <w:r w:rsidR="003B43D1" w:rsidRPr="004F0FE2">
        <w:t xml:space="preserve">;1.3%) </w:t>
      </w:r>
      <w:r w:rsidR="00586696" w:rsidRPr="004F0FE2">
        <w:t xml:space="preserve">in the </w:t>
      </w:r>
      <w:proofErr w:type="spellStart"/>
      <w:r w:rsidR="00586696" w:rsidRPr="004F0FE2">
        <w:t>palbociclib-fulvestrant</w:t>
      </w:r>
      <w:proofErr w:type="spellEnd"/>
      <w:r w:rsidR="00586696" w:rsidRPr="004F0FE2">
        <w:t xml:space="preserve"> arm and 7 </w:t>
      </w:r>
      <w:r w:rsidR="003B43D1" w:rsidRPr="004F0FE2">
        <w:t xml:space="preserve">(of the 242; </w:t>
      </w:r>
      <w:r w:rsidR="00586696" w:rsidRPr="004F0FE2">
        <w:t xml:space="preserve">3.0%) </w:t>
      </w:r>
      <w:r w:rsidR="003B43D1" w:rsidRPr="004F0FE2">
        <w:t>in the</w:t>
      </w:r>
      <w:r w:rsidR="00586696" w:rsidRPr="004F0FE2">
        <w:t xml:space="preserve"> </w:t>
      </w:r>
      <w:proofErr w:type="spellStart"/>
      <w:r w:rsidR="00586696" w:rsidRPr="004F0FE2">
        <w:t>palbociclib</w:t>
      </w:r>
      <w:proofErr w:type="spellEnd"/>
      <w:r w:rsidR="00586696" w:rsidRPr="004F0FE2">
        <w:t xml:space="preserve">-letrozole. TEAEs within the SOC “cardiac disorders” represented 5.8% (28 of 483 patients) of all </w:t>
      </w:r>
      <w:r w:rsidR="003B43D1" w:rsidRPr="004F0FE2">
        <w:t>AEs</w:t>
      </w:r>
      <w:r w:rsidR="00586696" w:rsidRPr="004F0FE2">
        <w:t xml:space="preserve">, with a comparable </w:t>
      </w:r>
      <w:r w:rsidR="008C5310" w:rsidRPr="004F0FE2">
        <w:t>rate</w:t>
      </w:r>
      <w:r w:rsidR="00586696" w:rsidRPr="004F0FE2">
        <w:t xml:space="preserve"> in both study groups (</w:t>
      </w:r>
      <w:r w:rsidR="008C5310" w:rsidRPr="004F0FE2">
        <w:t xml:space="preserve">5.0% versus 6.6% in the experimental and control groups respectively). Overall the most frequent events </w:t>
      </w:r>
      <w:r w:rsidR="00321C42" w:rsidRPr="004F0FE2">
        <w:t xml:space="preserve">in this SOC </w:t>
      </w:r>
      <w:r w:rsidR="008C5310" w:rsidRPr="004F0FE2">
        <w:t>were (by PT term) tachycardia (1.0%), angina pectoris (0.8%) and palpitations (0</w:t>
      </w:r>
      <w:r w:rsidR="000919D2" w:rsidRPr="004F0FE2">
        <w:t xml:space="preserve">.8%). Angina unstable </w:t>
      </w:r>
      <w:r w:rsidR="000F3E00" w:rsidRPr="004F0FE2">
        <w:t>was the most common serious, grade ≥3 cardiac TEAE recorded</w:t>
      </w:r>
      <w:r w:rsidR="00C25247" w:rsidRPr="004F0FE2">
        <w:t xml:space="preserve"> (2 of the 24</w:t>
      </w:r>
      <w:r w:rsidR="00F6166C" w:rsidRPr="004F0FE2">
        <w:t>2</w:t>
      </w:r>
      <w:r w:rsidR="00C25247" w:rsidRPr="004F0FE2">
        <w:t xml:space="preserve"> patients in the </w:t>
      </w:r>
      <w:proofErr w:type="spellStart"/>
      <w:r w:rsidR="00C25247" w:rsidRPr="004F0FE2">
        <w:t>pal</w:t>
      </w:r>
      <w:r w:rsidR="000F3E00" w:rsidRPr="004F0FE2">
        <w:t>bociclib</w:t>
      </w:r>
      <w:proofErr w:type="spellEnd"/>
      <w:r w:rsidR="000F3E00" w:rsidRPr="004F0FE2">
        <w:t>-letrozole arm</w:t>
      </w:r>
      <w:r w:rsidR="00C25247" w:rsidRPr="004F0FE2">
        <w:t>)</w:t>
      </w:r>
      <w:r w:rsidR="000F3E00" w:rsidRPr="004F0FE2">
        <w:t xml:space="preserve">. </w:t>
      </w:r>
      <w:r w:rsidR="00E75B40" w:rsidRPr="004F0FE2">
        <w:t xml:space="preserve">Of the 8 </w:t>
      </w:r>
      <w:r w:rsidR="00C25247" w:rsidRPr="004F0FE2">
        <w:t>(</w:t>
      </w:r>
      <w:r w:rsidR="00E75B40" w:rsidRPr="004F0FE2">
        <w:t>of the 483</w:t>
      </w:r>
      <w:r w:rsidR="00C25247" w:rsidRPr="004F0FE2">
        <w:t xml:space="preserve">; </w:t>
      </w:r>
      <w:r w:rsidR="00E75B40" w:rsidRPr="004F0FE2">
        <w:t>1.7%)</w:t>
      </w:r>
      <w:r w:rsidR="00C25247" w:rsidRPr="004F0FE2">
        <w:t xml:space="preserve"> patients</w:t>
      </w:r>
      <w:r w:rsidR="00E75B40" w:rsidRPr="004F0FE2">
        <w:t xml:space="preserve"> </w:t>
      </w:r>
      <w:r w:rsidR="00C25247" w:rsidRPr="004F0FE2">
        <w:t>reporting</w:t>
      </w:r>
      <w:r w:rsidR="001E6ED6" w:rsidRPr="004F0FE2">
        <w:t xml:space="preserve"> abnormal or prolonged </w:t>
      </w:r>
      <w:r w:rsidR="00E75B40" w:rsidRPr="004F0FE2">
        <w:t>QT</w:t>
      </w:r>
      <w:r w:rsidR="00C25247" w:rsidRPr="004F0FE2">
        <w:t xml:space="preserve"> events</w:t>
      </w:r>
      <w:r w:rsidR="00E75B40" w:rsidRPr="004F0FE2">
        <w:t>,</w:t>
      </w:r>
      <w:r w:rsidR="00C25247" w:rsidRPr="004F0FE2">
        <w:t xml:space="preserve"> in</w:t>
      </w:r>
      <w:r w:rsidR="00E75B40" w:rsidRPr="004F0FE2">
        <w:t xml:space="preserve"> </w:t>
      </w:r>
      <w:r w:rsidR="001A4762" w:rsidRPr="004F0FE2">
        <w:t xml:space="preserve">3 </w:t>
      </w:r>
      <w:r w:rsidR="00E75B40" w:rsidRPr="004F0FE2">
        <w:t>(</w:t>
      </w:r>
      <w:r w:rsidR="001A4762" w:rsidRPr="004F0FE2">
        <w:t>1</w:t>
      </w:r>
      <w:r w:rsidR="00E75B40" w:rsidRPr="004F0FE2">
        <w:t>.</w:t>
      </w:r>
      <w:r w:rsidR="001A4762" w:rsidRPr="004F0FE2">
        <w:t>2</w:t>
      </w:r>
      <w:r w:rsidR="00E75B40" w:rsidRPr="004F0FE2">
        <w:t>%)</w:t>
      </w:r>
      <w:r w:rsidR="00C25247" w:rsidRPr="004F0FE2">
        <w:t xml:space="preserve"> of them the events were IMP-related. </w:t>
      </w:r>
      <w:r w:rsidR="00165318" w:rsidRPr="004F0FE2">
        <w:t xml:space="preserve">Palpitations and tachycardia events occurring in 2 </w:t>
      </w:r>
      <w:r w:rsidR="00C25247" w:rsidRPr="004F0FE2">
        <w:t xml:space="preserve">(of the 242; </w:t>
      </w:r>
      <w:r w:rsidR="00165318" w:rsidRPr="004F0FE2">
        <w:t xml:space="preserve">0.8%) </w:t>
      </w:r>
      <w:r w:rsidR="00C25247" w:rsidRPr="004F0FE2">
        <w:t xml:space="preserve">patients treated with </w:t>
      </w:r>
      <w:proofErr w:type="spellStart"/>
      <w:r w:rsidR="00C25247" w:rsidRPr="004F0FE2">
        <w:t>palbociclib</w:t>
      </w:r>
      <w:proofErr w:type="spellEnd"/>
      <w:r w:rsidR="00C25247" w:rsidRPr="004F0FE2">
        <w:t>-letrozole</w:t>
      </w:r>
      <w:r w:rsidR="00165318" w:rsidRPr="004F0FE2">
        <w:t xml:space="preserve"> were also causally attributed to </w:t>
      </w:r>
      <w:r w:rsidR="00C25247" w:rsidRPr="004F0FE2">
        <w:t>the study drug</w:t>
      </w:r>
      <w:r w:rsidR="00165318" w:rsidRPr="004F0FE2">
        <w:t xml:space="preserve">. </w:t>
      </w:r>
      <w:r w:rsidR="00321C42" w:rsidRPr="004F0FE2">
        <w:rPr>
          <w:rFonts w:ascii="Tahoma" w:hAnsi="Tahoma" w:cs="Tahoma"/>
          <w:color w:val="000000"/>
        </w:rPr>
        <w:t>Electrocardiogram QT prolonged</w:t>
      </w:r>
      <w:r w:rsidR="00321C42" w:rsidRPr="004F0FE2">
        <w:t xml:space="preserve"> was the single </w:t>
      </w:r>
      <w:r w:rsidR="000919D2" w:rsidRPr="004F0FE2">
        <w:t xml:space="preserve">serious related cardiac </w:t>
      </w:r>
      <w:r w:rsidR="000F3E00" w:rsidRPr="004F0FE2">
        <w:t xml:space="preserve">TEAEs </w:t>
      </w:r>
      <w:r w:rsidR="00321C42" w:rsidRPr="004F0FE2">
        <w:t xml:space="preserve">reported in the </w:t>
      </w:r>
      <w:proofErr w:type="spellStart"/>
      <w:r w:rsidR="00321C42" w:rsidRPr="004F0FE2">
        <w:t>palbociclib-fulvestrant</w:t>
      </w:r>
      <w:proofErr w:type="spellEnd"/>
      <w:r w:rsidR="00321C42" w:rsidRPr="004F0FE2">
        <w:t xml:space="preserve"> group</w:t>
      </w:r>
      <w:r w:rsidR="00165318" w:rsidRPr="004F0FE2">
        <w:t xml:space="preserve"> (1 of the 242 patients, 0.4%)</w:t>
      </w:r>
      <w:r w:rsidR="000F3E00" w:rsidRPr="004F0FE2">
        <w:t xml:space="preserve">. </w:t>
      </w:r>
    </w:p>
    <w:p w14:paraId="49E43ED4" w14:textId="77777777" w:rsidR="00977932" w:rsidRPr="004F0FE2" w:rsidRDefault="00977932" w:rsidP="00673269">
      <w:pPr>
        <w:pStyle w:val="Ttulo2"/>
        <w:ind w:right="567"/>
      </w:pPr>
      <w:bookmarkStart w:id="562" w:name="_Toc46085726"/>
      <w:bookmarkStart w:id="563" w:name="_Toc52468153"/>
      <w:r w:rsidRPr="004F0FE2">
        <w:lastRenderedPageBreak/>
        <w:t xml:space="preserve">Safety </w:t>
      </w:r>
      <w:r w:rsidR="005D17D7" w:rsidRPr="004F0FE2">
        <w:t xml:space="preserve">summary and </w:t>
      </w:r>
      <w:r w:rsidR="004941E7" w:rsidRPr="004F0FE2">
        <w:t>c</w:t>
      </w:r>
      <w:r w:rsidRPr="004F0FE2">
        <w:t>onclusions</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2"/>
      <w:r w:rsidR="005D17D7" w:rsidRPr="004F0FE2">
        <w:t>.</w:t>
      </w:r>
      <w:bookmarkEnd w:id="563"/>
    </w:p>
    <w:p w14:paraId="747E15F6" w14:textId="0E9C73B5" w:rsidR="00EF2964" w:rsidRPr="004F0FE2" w:rsidRDefault="00452290" w:rsidP="00673269">
      <w:pPr>
        <w:ind w:right="567"/>
        <w:rPr>
          <w:lang w:eastAsia="es-ES"/>
        </w:rPr>
      </w:pPr>
      <w:r w:rsidRPr="004F0FE2">
        <w:t>The overall incidence of TEAEs was 99.4%, which was not unexpected considering the study population and the therapeutic indication in this trial. Neutropenia (405 of 483 patients; 83.9%) was the most frequently</w:t>
      </w:r>
      <w:r w:rsidR="00361781" w:rsidRPr="004F0FE2">
        <w:t xml:space="preserve"> reported TEAE and pulmonary embolism (</w:t>
      </w:r>
      <w:r w:rsidR="000E0965" w:rsidRPr="004F0FE2">
        <w:t>8 of the 483 patients; 1.7%</w:t>
      </w:r>
      <w:r w:rsidR="00361781" w:rsidRPr="004F0FE2">
        <w:t>)</w:t>
      </w:r>
      <w:r w:rsidR="00106DFC" w:rsidRPr="004F0FE2">
        <w:t xml:space="preserve"> was</w:t>
      </w:r>
      <w:r w:rsidR="00361781" w:rsidRPr="004F0FE2">
        <w:t xml:space="preserve"> the most frequently reported serious TEAE</w:t>
      </w:r>
      <w:r w:rsidR="000E0965" w:rsidRPr="004F0FE2">
        <w:t xml:space="preserve">. </w:t>
      </w:r>
      <w:r w:rsidR="00106DFC" w:rsidRPr="004F0FE2">
        <w:t>Only</w:t>
      </w:r>
      <w:r w:rsidR="001D5232" w:rsidRPr="004F0FE2">
        <w:t xml:space="preserve"> </w:t>
      </w:r>
      <w:r w:rsidR="0073722D" w:rsidRPr="004F0FE2">
        <w:t xml:space="preserve">5 of 483 patients (1.0%) died due to non-IMP related TEAEs: 3 patients (1.2%) in the </w:t>
      </w:r>
      <w:proofErr w:type="spellStart"/>
      <w:r w:rsidR="0073722D" w:rsidRPr="004F0FE2">
        <w:t>palbociclib-fulvestrant</w:t>
      </w:r>
      <w:proofErr w:type="spellEnd"/>
      <w:r w:rsidR="0073722D" w:rsidRPr="004F0FE2">
        <w:t xml:space="preserve"> arm and 2 patients (0.8%) in the control group. </w:t>
      </w:r>
      <w:r w:rsidR="0049464D" w:rsidRPr="004F0FE2">
        <w:t xml:space="preserve">Other serious TEAEs included (by PT term) pleural effusion (5 of the 483 patients; 1.0%), pneumonia (5 of the 483 patients; 1.0%), urinary tract infection (5 of the 483 patients; 1.0%) and ALT increased (5 of the 483 patients; 1.0%). </w:t>
      </w:r>
      <w:r w:rsidR="00CD7844" w:rsidRPr="004F0FE2">
        <w:rPr>
          <w:lang w:eastAsia="es-ES"/>
        </w:rPr>
        <w:t xml:space="preserve">In total 324 of the 483 patients (67.1%) experienced a Grade 3, 4, or 5 adverse </w:t>
      </w:r>
      <w:r w:rsidR="00214000" w:rsidRPr="004F0FE2">
        <w:rPr>
          <w:lang w:eastAsia="es-ES"/>
        </w:rPr>
        <w:t>events</w:t>
      </w:r>
      <w:r w:rsidR="00CD7844" w:rsidRPr="004F0FE2">
        <w:rPr>
          <w:lang w:eastAsia="es-ES"/>
        </w:rPr>
        <w:t xml:space="preserve">, with comparable frequencies between interventional and control groups (66.0% versus 68.2% respectively). Frequent (≥ 1%) grade </w:t>
      </w:r>
      <w:r w:rsidR="00CD7844" w:rsidRPr="004F0FE2">
        <w:rPr>
          <w:rFonts w:eastAsia="ArialMT"/>
          <w:lang w:eastAsia="es-ES"/>
        </w:rPr>
        <w:t>≥</w:t>
      </w:r>
      <w:r w:rsidR="00CD7844" w:rsidRPr="004F0FE2">
        <w:rPr>
          <w:lang w:eastAsia="es-ES"/>
        </w:rPr>
        <w:t>3 adverse events that were attributed to the study treatments included, but were not limited to, neutropenia (66.3%), leukopenia (6.4%), ALT-increased (2.3%), lymphopenia (1.9%), anemia (1.7%), asthenia (1.7%), AST-increased (1.7%) and AST-increased (1.0%). Overall</w:t>
      </w:r>
      <w:r w:rsidR="00D92E20" w:rsidRPr="004F0FE2">
        <w:rPr>
          <w:lang w:eastAsia="es-ES"/>
        </w:rPr>
        <w:t xml:space="preserve"> 225 of the 241 patients (93.4%) in the </w:t>
      </w:r>
      <w:proofErr w:type="spellStart"/>
      <w:r w:rsidR="00D92E20" w:rsidRPr="004F0FE2">
        <w:rPr>
          <w:lang w:eastAsia="es-ES"/>
        </w:rPr>
        <w:t>palbociclib-fulvestrant</w:t>
      </w:r>
      <w:proofErr w:type="spellEnd"/>
      <w:r w:rsidR="00D92E20" w:rsidRPr="004F0FE2">
        <w:rPr>
          <w:lang w:eastAsia="es-ES"/>
        </w:rPr>
        <w:t xml:space="preserve"> group and 230 of the 242 patients (95.0%) in the </w:t>
      </w:r>
      <w:proofErr w:type="spellStart"/>
      <w:r w:rsidR="00214000" w:rsidRPr="004F0FE2">
        <w:rPr>
          <w:lang w:eastAsia="es-ES"/>
        </w:rPr>
        <w:t>palbociclib</w:t>
      </w:r>
      <w:proofErr w:type="spellEnd"/>
      <w:r w:rsidR="00D92E20" w:rsidRPr="004F0FE2">
        <w:rPr>
          <w:lang w:eastAsia="es-ES"/>
        </w:rPr>
        <w:t xml:space="preserve">-letrozole group had at least one TEAE considered to be related to the study drug. </w:t>
      </w:r>
      <w:r w:rsidR="00CD7844" w:rsidRPr="004F0FE2">
        <w:t>In</w:t>
      </w:r>
      <w:r w:rsidR="00AD3748" w:rsidRPr="004F0FE2">
        <w:t xml:space="preserve"> 170 (</w:t>
      </w:r>
      <w:r w:rsidR="00F6166C" w:rsidRPr="004F0FE2">
        <w:t xml:space="preserve">of 241; </w:t>
      </w:r>
      <w:r w:rsidR="00AD3748" w:rsidRPr="004F0FE2">
        <w:t xml:space="preserve">70.5%) </w:t>
      </w:r>
      <w:r w:rsidR="00CD7844" w:rsidRPr="004F0FE2">
        <w:t xml:space="preserve">and </w:t>
      </w:r>
      <w:r w:rsidR="00C00CCB" w:rsidRPr="004F0FE2">
        <w:t>169 (</w:t>
      </w:r>
      <w:r w:rsidR="00F6166C" w:rsidRPr="004F0FE2">
        <w:t xml:space="preserve">of 242; </w:t>
      </w:r>
      <w:r w:rsidR="00C00CCB" w:rsidRPr="004F0FE2">
        <w:t xml:space="preserve">70.1%) </w:t>
      </w:r>
      <w:r w:rsidR="00CD7844" w:rsidRPr="004F0FE2">
        <w:t xml:space="preserve">of these patients respectively the related events were </w:t>
      </w:r>
      <w:r w:rsidR="00C00CCB" w:rsidRPr="004F0FE2">
        <w:t xml:space="preserve">defined as grade ≥3 toxicities. </w:t>
      </w:r>
      <w:r w:rsidR="00D92E20" w:rsidRPr="004F0FE2">
        <w:t>These data need to be considered in the context of the severity of the illness of the patients involved.</w:t>
      </w:r>
      <w:r w:rsidR="006E7ED0" w:rsidRPr="004F0FE2">
        <w:t xml:space="preserve"> </w:t>
      </w:r>
      <w:r w:rsidR="0049464D" w:rsidRPr="004F0FE2">
        <w:rPr>
          <w:lang w:eastAsia="es-ES"/>
        </w:rPr>
        <w:t xml:space="preserve">Overall 18 patients (3.7%) discontinued treatment due to TEAEs, with no significant differences in the frequency between study groups: 5.4% (95%CI 2.9 - 9.0) in the </w:t>
      </w:r>
      <w:proofErr w:type="spellStart"/>
      <w:r w:rsidR="0049464D" w:rsidRPr="004F0FE2">
        <w:rPr>
          <w:lang w:eastAsia="es-ES"/>
        </w:rPr>
        <w:t>palbociclib-fulvestrant</w:t>
      </w:r>
      <w:proofErr w:type="spellEnd"/>
      <w:r w:rsidR="0049464D" w:rsidRPr="004F0FE2">
        <w:rPr>
          <w:lang w:eastAsia="es-ES"/>
        </w:rPr>
        <w:t xml:space="preserve"> group versus 2.1% (95%CI, 0.7 - 4.8) in the </w:t>
      </w:r>
      <w:proofErr w:type="spellStart"/>
      <w:r w:rsidR="0049464D" w:rsidRPr="004F0FE2">
        <w:rPr>
          <w:lang w:eastAsia="es-ES"/>
        </w:rPr>
        <w:t>palbociclib</w:t>
      </w:r>
      <w:proofErr w:type="spellEnd"/>
      <w:r w:rsidR="0049464D" w:rsidRPr="004F0FE2">
        <w:rPr>
          <w:lang w:eastAsia="es-ES"/>
        </w:rPr>
        <w:t xml:space="preserve">-letrozole arm. </w:t>
      </w:r>
    </w:p>
    <w:p w14:paraId="544B2228" w14:textId="4DBDCEAC" w:rsidR="0049464D" w:rsidRPr="004F0FE2" w:rsidRDefault="00EC7542" w:rsidP="00673269">
      <w:pPr>
        <w:ind w:right="567"/>
      </w:pPr>
      <w:r w:rsidRPr="004F0FE2">
        <w:rPr>
          <w:lang w:eastAsia="es-ES"/>
        </w:rPr>
        <w:t>The overall rate of TEAEs leading to treatment discontinuation</w:t>
      </w:r>
      <w:r w:rsidR="0049464D" w:rsidRPr="00D73C99">
        <w:t xml:space="preserve"> was </w:t>
      </w:r>
      <w:r w:rsidRPr="004F0FE2">
        <w:rPr>
          <w:lang w:eastAsia="es-ES"/>
        </w:rPr>
        <w:t>low (18 of 483 patients; 3.7%), so adverse events were not treatment-limiting in general</w:t>
      </w:r>
      <w:r w:rsidR="00FD61D0" w:rsidRPr="004F0FE2">
        <w:rPr>
          <w:lang w:eastAsia="es-ES"/>
        </w:rPr>
        <w:t xml:space="preserve"> (</w:t>
      </w:r>
      <w:r w:rsidR="00773549" w:rsidRPr="002B7615">
        <w:rPr>
          <w:i/>
          <w:color w:val="2F5496" w:themeColor="accent1" w:themeShade="BF"/>
          <w:lang w:eastAsia="es-ES"/>
        </w:rPr>
        <w:fldChar w:fldCharType="begin"/>
      </w:r>
      <w:r w:rsidR="00773549" w:rsidRPr="002B7615">
        <w:rPr>
          <w:i/>
          <w:color w:val="2F5496" w:themeColor="accent1" w:themeShade="BF"/>
          <w:lang w:eastAsia="es-ES"/>
        </w:rPr>
        <w:instrText xml:space="preserve"> REF _Ref52426665 \h </w:instrText>
      </w:r>
      <w:r w:rsidR="002B7615" w:rsidRPr="002B7615">
        <w:rPr>
          <w:i/>
          <w:color w:val="2F5496" w:themeColor="accent1" w:themeShade="BF"/>
          <w:lang w:eastAsia="es-ES"/>
        </w:rPr>
        <w:instrText xml:space="preserve"> \* MERGEFORMAT </w:instrText>
      </w:r>
      <w:r w:rsidR="00773549" w:rsidRPr="002B7615">
        <w:rPr>
          <w:i/>
          <w:color w:val="2F5496" w:themeColor="accent1" w:themeShade="BF"/>
          <w:lang w:eastAsia="es-ES"/>
        </w:rPr>
      </w:r>
      <w:r w:rsidR="00773549" w:rsidRPr="002B7615">
        <w:rPr>
          <w:i/>
          <w:color w:val="2F5496" w:themeColor="accent1" w:themeShade="BF"/>
          <w:lang w:eastAsia="es-ES"/>
        </w:rPr>
        <w:fldChar w:fldCharType="separate"/>
      </w:r>
      <w:r w:rsidR="00773549" w:rsidRPr="002B7615">
        <w:rPr>
          <w:i/>
          <w:color w:val="2F5496" w:themeColor="accent1" w:themeShade="BF"/>
        </w:rPr>
        <w:t xml:space="preserve">Table </w:t>
      </w:r>
      <w:r w:rsidR="00773549" w:rsidRPr="002B7615">
        <w:rPr>
          <w:i/>
          <w:noProof/>
          <w:color w:val="2F5496" w:themeColor="accent1" w:themeShade="BF"/>
        </w:rPr>
        <w:t>12</w:t>
      </w:r>
      <w:r w:rsidR="00773549" w:rsidRPr="002B7615">
        <w:rPr>
          <w:i/>
          <w:color w:val="2F5496" w:themeColor="accent1" w:themeShade="BF"/>
          <w:lang w:eastAsia="es-ES"/>
        </w:rPr>
        <w:fldChar w:fldCharType="end"/>
      </w:r>
      <w:r w:rsidR="00FD61D0" w:rsidRPr="004F0FE2">
        <w:rPr>
          <w:lang w:eastAsia="es-ES"/>
        </w:rPr>
        <w:t>)</w:t>
      </w:r>
      <w:r w:rsidRPr="004F0FE2">
        <w:rPr>
          <w:lang w:eastAsia="es-ES"/>
        </w:rPr>
        <w:t xml:space="preserve">. </w:t>
      </w:r>
      <w:r w:rsidR="00C32C68" w:rsidRPr="004F0FE2">
        <w:rPr>
          <w:lang w:eastAsia="es-ES"/>
        </w:rPr>
        <w:t xml:space="preserve">The </w:t>
      </w:r>
      <w:r w:rsidR="0049464D" w:rsidRPr="00D73C99">
        <w:t xml:space="preserve">most frequently reported </w:t>
      </w:r>
      <w:r w:rsidR="00C32C68" w:rsidRPr="004F0FE2">
        <w:rPr>
          <w:lang w:eastAsia="es-ES"/>
        </w:rPr>
        <w:t>TEAEs</w:t>
      </w:r>
      <w:r w:rsidR="0049464D" w:rsidRPr="00D73C99">
        <w:t xml:space="preserve"> that resulted in study drug discontinuation</w:t>
      </w:r>
      <w:r w:rsidR="00C32C68" w:rsidRPr="004F0FE2">
        <w:rPr>
          <w:lang w:eastAsia="es-ES"/>
        </w:rPr>
        <w:t xml:space="preserve"> were </w:t>
      </w:r>
      <w:r w:rsidRPr="004F0FE2">
        <w:rPr>
          <w:lang w:eastAsia="es-ES"/>
        </w:rPr>
        <w:t>(by PT term) dyspnea, pulmonary embolism</w:t>
      </w:r>
      <w:r w:rsidR="0049464D" w:rsidRPr="00D73C99">
        <w:t xml:space="preserve"> and </w:t>
      </w:r>
      <w:r w:rsidRPr="004F0FE2">
        <w:rPr>
          <w:lang w:eastAsia="es-ES"/>
        </w:rPr>
        <w:t xml:space="preserve">neutropenia (2 of 483; 0.4% </w:t>
      </w:r>
      <w:r w:rsidR="00964200" w:rsidRPr="004F0FE2">
        <w:rPr>
          <w:lang w:eastAsia="es-ES"/>
        </w:rPr>
        <w:t>in all three cases</w:t>
      </w:r>
      <w:r w:rsidRPr="004F0FE2">
        <w:rPr>
          <w:lang w:eastAsia="es-ES"/>
        </w:rPr>
        <w:t>)</w:t>
      </w:r>
      <w:r w:rsidR="000E08DB" w:rsidRPr="004F0FE2">
        <w:rPr>
          <w:lang w:eastAsia="es-ES"/>
        </w:rPr>
        <w:t xml:space="preserve"> </w:t>
      </w:r>
      <w:r w:rsidR="000E08DB" w:rsidRPr="002B7615">
        <w:rPr>
          <w:lang w:eastAsia="es-ES"/>
        </w:rPr>
        <w:t>(</w:t>
      </w:r>
      <w:r w:rsidR="00773549" w:rsidRPr="002B7615">
        <w:rPr>
          <w:i/>
          <w:color w:val="2F5496" w:themeColor="accent1" w:themeShade="BF"/>
          <w:lang w:eastAsia="es-ES"/>
        </w:rPr>
        <w:fldChar w:fldCharType="begin"/>
      </w:r>
      <w:r w:rsidR="00773549" w:rsidRPr="002B7615">
        <w:rPr>
          <w:i/>
          <w:color w:val="2F5496" w:themeColor="accent1" w:themeShade="BF"/>
          <w:lang w:eastAsia="es-ES"/>
        </w:rPr>
        <w:instrText xml:space="preserve"> REF _Ref52424957 \h </w:instrText>
      </w:r>
      <w:r w:rsidR="002B7615">
        <w:rPr>
          <w:i/>
          <w:color w:val="2F5496" w:themeColor="accent1" w:themeShade="BF"/>
          <w:lang w:eastAsia="es-ES"/>
        </w:rPr>
        <w:instrText xml:space="preserve"> \* MERGEFORMAT </w:instrText>
      </w:r>
      <w:r w:rsidR="00773549" w:rsidRPr="002B7615">
        <w:rPr>
          <w:i/>
          <w:color w:val="2F5496" w:themeColor="accent1" w:themeShade="BF"/>
          <w:lang w:eastAsia="es-ES"/>
        </w:rPr>
      </w:r>
      <w:r w:rsidR="00773549" w:rsidRPr="002B7615">
        <w:rPr>
          <w:i/>
          <w:color w:val="2F5496" w:themeColor="accent1" w:themeShade="BF"/>
          <w:lang w:eastAsia="es-ES"/>
        </w:rPr>
        <w:fldChar w:fldCharType="separate"/>
      </w:r>
      <w:r w:rsidR="00773549" w:rsidRPr="002B7615">
        <w:rPr>
          <w:i/>
          <w:color w:val="2F5496" w:themeColor="accent1" w:themeShade="BF"/>
        </w:rPr>
        <w:t xml:space="preserve">Table </w:t>
      </w:r>
      <w:r w:rsidR="00773549" w:rsidRPr="002B7615">
        <w:rPr>
          <w:i/>
          <w:noProof/>
          <w:color w:val="2F5496" w:themeColor="accent1" w:themeShade="BF"/>
        </w:rPr>
        <w:t>19</w:t>
      </w:r>
      <w:r w:rsidR="00773549" w:rsidRPr="002B7615">
        <w:rPr>
          <w:i/>
          <w:color w:val="2F5496" w:themeColor="accent1" w:themeShade="BF"/>
          <w:lang w:eastAsia="es-ES"/>
        </w:rPr>
        <w:fldChar w:fldCharType="end"/>
      </w:r>
      <w:r w:rsidR="000E08DB" w:rsidRPr="004F0FE2">
        <w:rPr>
          <w:lang w:eastAsia="es-ES"/>
        </w:rPr>
        <w:t>)</w:t>
      </w:r>
      <w:r w:rsidRPr="004F0FE2">
        <w:rPr>
          <w:lang w:eastAsia="es-ES"/>
        </w:rPr>
        <w:t xml:space="preserve">. </w:t>
      </w:r>
      <w:r w:rsidR="00964200" w:rsidRPr="004F0FE2">
        <w:rPr>
          <w:lang w:eastAsia="es-ES"/>
        </w:rPr>
        <w:t xml:space="preserve">The rate of TEAEs leading to permanent treatment discontinuation </w:t>
      </w:r>
      <w:r w:rsidR="0049464D" w:rsidRPr="00D73C99">
        <w:t xml:space="preserve">was </w:t>
      </w:r>
      <w:r w:rsidR="00964200" w:rsidRPr="004F0FE2">
        <w:rPr>
          <w:lang w:eastAsia="es-ES"/>
        </w:rPr>
        <w:t xml:space="preserve">higher in </w:t>
      </w:r>
      <w:r w:rsidR="0049464D" w:rsidRPr="00D73C99">
        <w:t xml:space="preserve">patients </w:t>
      </w:r>
      <w:r w:rsidR="00FD61D0" w:rsidRPr="004F0FE2">
        <w:rPr>
          <w:lang w:eastAsia="es-ES"/>
        </w:rPr>
        <w:t xml:space="preserve">treated </w:t>
      </w:r>
      <w:r w:rsidR="0049464D" w:rsidRPr="00D73C99">
        <w:t xml:space="preserve">with </w:t>
      </w:r>
      <w:proofErr w:type="spellStart"/>
      <w:r w:rsidR="00214000" w:rsidRPr="004F0FE2">
        <w:rPr>
          <w:lang w:eastAsia="es-ES"/>
        </w:rPr>
        <w:t>palbociclib</w:t>
      </w:r>
      <w:r w:rsidR="00FD61D0" w:rsidRPr="004F0FE2">
        <w:rPr>
          <w:lang w:eastAsia="es-ES"/>
        </w:rPr>
        <w:t>-fulvestrant</w:t>
      </w:r>
      <w:proofErr w:type="spellEnd"/>
      <w:r w:rsidR="00FD61D0" w:rsidRPr="004F0FE2">
        <w:rPr>
          <w:lang w:eastAsia="es-ES"/>
        </w:rPr>
        <w:t xml:space="preserve"> (8 of 241; 3.3%) compared with those treated with </w:t>
      </w:r>
      <w:proofErr w:type="spellStart"/>
      <w:r w:rsidR="00FD61D0" w:rsidRPr="004F0FE2">
        <w:rPr>
          <w:lang w:eastAsia="es-ES"/>
        </w:rPr>
        <w:t>palbociclib</w:t>
      </w:r>
      <w:proofErr w:type="spellEnd"/>
      <w:r w:rsidR="00FD61D0" w:rsidRPr="004F0FE2">
        <w:rPr>
          <w:lang w:eastAsia="es-ES"/>
        </w:rPr>
        <w:t>-letrozole (1 of 242; 0.4%), however th</w:t>
      </w:r>
      <w:r w:rsidR="002C6BE7">
        <w:rPr>
          <w:lang w:eastAsia="es-ES"/>
        </w:rPr>
        <w:t>is</w:t>
      </w:r>
      <w:r w:rsidR="00FD61D0" w:rsidRPr="004F0FE2">
        <w:rPr>
          <w:lang w:eastAsia="es-ES"/>
        </w:rPr>
        <w:t xml:space="preserve"> difference was not statistically significant</w:t>
      </w:r>
      <w:r w:rsidR="000E08DB" w:rsidRPr="004F0FE2">
        <w:rPr>
          <w:lang w:eastAsia="es-ES"/>
        </w:rPr>
        <w:t xml:space="preserve"> (</w:t>
      </w:r>
      <w:r w:rsidR="00773549" w:rsidRPr="002B7615">
        <w:rPr>
          <w:i/>
          <w:color w:val="2F5496" w:themeColor="accent1" w:themeShade="BF"/>
          <w:lang w:eastAsia="es-ES"/>
        </w:rPr>
        <w:fldChar w:fldCharType="begin"/>
      </w:r>
      <w:r w:rsidR="00773549" w:rsidRPr="002B7615">
        <w:rPr>
          <w:i/>
          <w:color w:val="2F5496" w:themeColor="accent1" w:themeShade="BF"/>
          <w:lang w:eastAsia="es-ES"/>
        </w:rPr>
        <w:instrText xml:space="preserve"> REF _Ref52426782 \h </w:instrText>
      </w:r>
      <w:r w:rsidR="002B7615" w:rsidRPr="002B7615">
        <w:rPr>
          <w:i/>
          <w:color w:val="2F5496" w:themeColor="accent1" w:themeShade="BF"/>
          <w:lang w:eastAsia="es-ES"/>
        </w:rPr>
        <w:instrText xml:space="preserve"> \* MERGEFORMAT </w:instrText>
      </w:r>
      <w:r w:rsidR="00773549" w:rsidRPr="002B7615">
        <w:rPr>
          <w:i/>
          <w:color w:val="2F5496" w:themeColor="accent1" w:themeShade="BF"/>
          <w:lang w:eastAsia="es-ES"/>
        </w:rPr>
      </w:r>
      <w:r w:rsidR="00773549" w:rsidRPr="002B7615">
        <w:rPr>
          <w:i/>
          <w:color w:val="2F5496" w:themeColor="accent1" w:themeShade="BF"/>
          <w:lang w:eastAsia="es-ES"/>
        </w:rPr>
        <w:fldChar w:fldCharType="separate"/>
      </w:r>
      <w:r w:rsidR="00773549" w:rsidRPr="002B7615">
        <w:rPr>
          <w:i/>
          <w:color w:val="2F5496" w:themeColor="accent1" w:themeShade="BF"/>
        </w:rPr>
        <w:t xml:space="preserve">Table </w:t>
      </w:r>
      <w:r w:rsidR="00773549" w:rsidRPr="002B7615">
        <w:rPr>
          <w:i/>
          <w:noProof/>
          <w:color w:val="2F5496" w:themeColor="accent1" w:themeShade="BF"/>
        </w:rPr>
        <w:t>20</w:t>
      </w:r>
      <w:r w:rsidR="00773549" w:rsidRPr="002B7615">
        <w:rPr>
          <w:i/>
          <w:color w:val="2F5496" w:themeColor="accent1" w:themeShade="BF"/>
          <w:lang w:eastAsia="es-ES"/>
        </w:rPr>
        <w:fldChar w:fldCharType="end"/>
      </w:r>
      <w:r w:rsidR="000E08DB" w:rsidRPr="004F0FE2">
        <w:rPr>
          <w:lang w:eastAsia="es-ES"/>
        </w:rPr>
        <w:t>)</w:t>
      </w:r>
      <w:r w:rsidR="00FD61D0" w:rsidRPr="004F0FE2">
        <w:rPr>
          <w:lang w:eastAsia="es-ES"/>
        </w:rPr>
        <w:t>.</w:t>
      </w:r>
      <w:r w:rsidR="0049464D" w:rsidRPr="00D73C99">
        <w:t xml:space="preserve"> </w:t>
      </w:r>
    </w:p>
    <w:p w14:paraId="616A3BE2" w14:textId="4D15EE8D" w:rsidR="00C62E2F" w:rsidRPr="004F0FE2" w:rsidRDefault="00AD3748" w:rsidP="00673269">
      <w:pPr>
        <w:ind w:right="567"/>
      </w:pPr>
      <w:r w:rsidRPr="004F0FE2">
        <w:t>Overall neutropenia was the most frequently reported event, with comparable rates in both treatment arms (8</w:t>
      </w:r>
      <w:r w:rsidR="004A2330" w:rsidRPr="004F0FE2">
        <w:t>2</w:t>
      </w:r>
      <w:r w:rsidRPr="004F0FE2">
        <w:t>.</w:t>
      </w:r>
      <w:r w:rsidR="004A2330" w:rsidRPr="004F0FE2">
        <w:t>2</w:t>
      </w:r>
      <w:r w:rsidRPr="004F0FE2">
        <w:t>%</w:t>
      </w:r>
      <w:r w:rsidR="004A2330" w:rsidRPr="004F0FE2">
        <w:t xml:space="preserve"> and 85.5% in the experimental and control arms respectively</w:t>
      </w:r>
      <w:r w:rsidRPr="004F0FE2">
        <w:t xml:space="preserve">). </w:t>
      </w:r>
      <w:r w:rsidR="004A2330" w:rsidRPr="004F0FE2">
        <w:t>In the majority</w:t>
      </w:r>
      <w:r w:rsidRPr="004F0FE2">
        <w:t xml:space="preserve"> of patients, the neutropenia was </w:t>
      </w:r>
      <w:r w:rsidR="00A055E9" w:rsidRPr="004F0FE2">
        <w:t>grade 3 (294 of 483 patients; 60.9%), grade 2 (69 of 483; 14.1%)</w:t>
      </w:r>
      <w:r w:rsidR="004A2330" w:rsidRPr="004F0FE2">
        <w:t xml:space="preserve"> </w:t>
      </w:r>
      <w:r w:rsidRPr="004F0FE2">
        <w:t>or grade 4 (</w:t>
      </w:r>
      <w:r w:rsidR="004A2330" w:rsidRPr="004F0FE2">
        <w:t>30 of 483; 6.2%</w:t>
      </w:r>
      <w:r w:rsidRPr="004F0FE2">
        <w:t xml:space="preserve">), and it was severe (≥3 grade) and IMP-related in 66.3% (320 of the 483) of the patients. </w:t>
      </w:r>
      <w:r w:rsidR="004A2330" w:rsidRPr="004F0FE2">
        <w:t xml:space="preserve">However, overall only 3 patients (of the 483; 0.6%) reported serious </w:t>
      </w:r>
      <w:r w:rsidR="00214000" w:rsidRPr="004F0FE2">
        <w:t>neutropenia</w:t>
      </w:r>
      <w:r w:rsidR="00C62E2F" w:rsidRPr="004F0FE2">
        <w:t xml:space="preserve">, all </w:t>
      </w:r>
      <w:r w:rsidR="002B1E14" w:rsidRPr="004F0FE2">
        <w:t xml:space="preserve">of </w:t>
      </w:r>
      <w:r w:rsidR="00C62E2F" w:rsidRPr="004F0FE2">
        <w:t xml:space="preserve">which were related to the study drugs, but did not result in death. This suggest that </w:t>
      </w:r>
      <w:r w:rsidR="003C5F66" w:rsidRPr="004F0FE2">
        <w:t>this TEAE</w:t>
      </w:r>
      <w:r w:rsidR="00C62E2F" w:rsidRPr="004F0FE2">
        <w:t xml:space="preserve">, although </w:t>
      </w:r>
      <w:r w:rsidR="003C5F66" w:rsidRPr="004F0FE2">
        <w:t xml:space="preserve">very frequent, </w:t>
      </w:r>
      <w:r w:rsidR="00C62E2F" w:rsidRPr="004F0FE2">
        <w:t xml:space="preserve">was </w:t>
      </w:r>
      <w:r w:rsidR="003C5F66" w:rsidRPr="004F0FE2">
        <w:t>sufficiently controlled to allow continued treatment in most patients.</w:t>
      </w:r>
    </w:p>
    <w:p w14:paraId="438847C2" w14:textId="401A095B" w:rsidR="003C5F66" w:rsidRPr="004F0FE2" w:rsidRDefault="003C5F66" w:rsidP="00673269">
      <w:pPr>
        <w:ind w:right="567"/>
      </w:pPr>
      <w:r w:rsidRPr="004F0FE2">
        <w:t xml:space="preserve">Other frequent TEAEs in the blood and lymphatic system </w:t>
      </w:r>
      <w:r w:rsidR="00A055E9" w:rsidRPr="004F0FE2">
        <w:t xml:space="preserve">class </w:t>
      </w:r>
      <w:r w:rsidRPr="004F0FE2">
        <w:t xml:space="preserve">include </w:t>
      </w:r>
      <w:r w:rsidR="00214000" w:rsidRPr="004F0FE2">
        <w:t>anemia</w:t>
      </w:r>
      <w:r w:rsidRPr="004F0FE2">
        <w:t xml:space="preserve"> (123 of the 483 patients; 25.5%), leu</w:t>
      </w:r>
      <w:r w:rsidR="00D73C99">
        <w:t>k</w:t>
      </w:r>
      <w:r w:rsidRPr="004F0FE2">
        <w:t>openia (121 of the 483 patients; 25.1%), thrombocytopenia</w:t>
      </w:r>
      <w:r w:rsidR="0037344C" w:rsidRPr="004F0FE2">
        <w:t xml:space="preserve"> (88 of the 483 patients; 18.2%)</w:t>
      </w:r>
      <w:r w:rsidRPr="004F0FE2">
        <w:t xml:space="preserve"> and lymphopenia</w:t>
      </w:r>
      <w:r w:rsidR="0037344C" w:rsidRPr="004F0FE2">
        <w:t xml:space="preserve"> (36 of the 483 patients; 7.5%)</w:t>
      </w:r>
      <w:r w:rsidRPr="004F0FE2">
        <w:t xml:space="preserve">. </w:t>
      </w:r>
      <w:r w:rsidR="0037344C" w:rsidRPr="004F0FE2">
        <w:t xml:space="preserve">The majority of these TEAEs were </w:t>
      </w:r>
      <w:r w:rsidR="009F2AB7" w:rsidRPr="004F0FE2">
        <w:t xml:space="preserve">attributed to the study drugs, however their severity was </w:t>
      </w:r>
      <w:r w:rsidR="00A055E9" w:rsidRPr="004F0FE2">
        <w:t xml:space="preserve">typically </w:t>
      </w:r>
      <w:r w:rsidR="0037344C" w:rsidRPr="004F0FE2">
        <w:t xml:space="preserve">mild </w:t>
      </w:r>
      <w:r w:rsidR="009F2AB7" w:rsidRPr="004F0FE2">
        <w:t xml:space="preserve">and only </w:t>
      </w:r>
      <w:r w:rsidR="00A055E9" w:rsidRPr="004F0FE2">
        <w:t xml:space="preserve">in </w:t>
      </w:r>
      <w:r w:rsidR="009F2AB7" w:rsidRPr="004F0FE2">
        <w:t xml:space="preserve">4 </w:t>
      </w:r>
      <w:r w:rsidR="00A055E9" w:rsidRPr="004F0FE2">
        <w:t>patients</w:t>
      </w:r>
      <w:r w:rsidR="009F2AB7" w:rsidRPr="004F0FE2">
        <w:t xml:space="preserve"> (of the 483; 0.8%) were</w:t>
      </w:r>
      <w:r w:rsidR="00A055E9" w:rsidRPr="004F0FE2">
        <w:t xml:space="preserve"> the events</w:t>
      </w:r>
      <w:r w:rsidR="009F2AB7" w:rsidRPr="004F0FE2">
        <w:t xml:space="preserve"> defined as serious and considered related with </w:t>
      </w:r>
      <w:r w:rsidR="00A055E9" w:rsidRPr="004F0FE2">
        <w:t xml:space="preserve">either </w:t>
      </w:r>
      <w:proofErr w:type="spellStart"/>
      <w:r w:rsidR="009F2AB7" w:rsidRPr="004F0FE2">
        <w:t>palbociclib-fulvestrant</w:t>
      </w:r>
      <w:proofErr w:type="spellEnd"/>
      <w:r w:rsidR="009F2AB7" w:rsidRPr="004F0FE2">
        <w:t xml:space="preserve"> (3 of the 241 </w:t>
      </w:r>
      <w:r w:rsidR="000729E9" w:rsidRPr="004F0FE2">
        <w:t>patients</w:t>
      </w:r>
      <w:r w:rsidR="009F2AB7" w:rsidRPr="004F0FE2">
        <w:t xml:space="preserve">; 1.2%) or </w:t>
      </w:r>
      <w:proofErr w:type="spellStart"/>
      <w:r w:rsidR="009F2AB7" w:rsidRPr="004F0FE2">
        <w:t>palbociclib</w:t>
      </w:r>
      <w:proofErr w:type="spellEnd"/>
      <w:r w:rsidR="009F2AB7" w:rsidRPr="004F0FE2">
        <w:t xml:space="preserve">-letrozole (1 of 242 </w:t>
      </w:r>
      <w:r w:rsidR="000729E9" w:rsidRPr="004F0FE2">
        <w:t>patients</w:t>
      </w:r>
      <w:r w:rsidR="009F2AB7" w:rsidRPr="004F0FE2">
        <w:t xml:space="preserve">; 0.4%). </w:t>
      </w:r>
    </w:p>
    <w:p w14:paraId="5E35C494" w14:textId="4216EDCD" w:rsidR="00E80664" w:rsidRPr="004F0FE2" w:rsidRDefault="00A938B7" w:rsidP="00673269">
      <w:pPr>
        <w:ind w:right="567"/>
      </w:pPr>
      <w:r w:rsidRPr="004F0FE2">
        <w:t>General disorders and administration site conditions</w:t>
      </w:r>
      <w:r w:rsidR="00760D03" w:rsidRPr="004F0FE2">
        <w:t>, g</w:t>
      </w:r>
      <w:r w:rsidR="00D92E20" w:rsidRPr="004F0FE2">
        <w:t xml:space="preserve">astrointestinal </w:t>
      </w:r>
      <w:r w:rsidRPr="004F0FE2">
        <w:t xml:space="preserve">disorders </w:t>
      </w:r>
      <w:r w:rsidR="00760D03" w:rsidRPr="004F0FE2">
        <w:t xml:space="preserve">and </w:t>
      </w:r>
      <w:r w:rsidRPr="004F0FE2">
        <w:t xml:space="preserve">musculoskeletal and connective tissue disorders </w:t>
      </w:r>
      <w:r w:rsidR="00760D03" w:rsidRPr="004F0FE2">
        <w:t>were also frequent classes of TEAEs</w:t>
      </w:r>
      <w:r w:rsidR="00A055E9" w:rsidRPr="004F0FE2">
        <w:t>. P</w:t>
      </w:r>
      <w:r w:rsidR="00760D03" w:rsidRPr="004F0FE2">
        <w:t>articularly asthenia (177 of the 483 patients; 36.6%),</w:t>
      </w:r>
      <w:r w:rsidRPr="004F0FE2">
        <w:t xml:space="preserve"> arthralgia (142 of the 483 patients; 29.4%),</w:t>
      </w:r>
      <w:r w:rsidR="00760D03" w:rsidRPr="004F0FE2">
        <w:t xml:space="preserve"> fatigue (125 of the 483 patients; 25.9%),</w:t>
      </w:r>
      <w:r w:rsidRPr="004F0FE2">
        <w:t xml:space="preserve"> diarrhea (125 of the 483 patients; 25.9%), back pain (106 of the 483 patients; 21.9%) and nausea (102 of the 483 patients; 21.1%) were the most common TEAEs in these system classes. </w:t>
      </w:r>
      <w:r w:rsidR="00E80664" w:rsidRPr="004F0FE2">
        <w:t xml:space="preserve">Alopecia, in the skin and subcutaneous tissue disorders class, was also a commonly reported TEAE (117 of the 483 patients; 24.2%). These events were predominantly grade 1 or 2 in </w:t>
      </w:r>
      <w:r w:rsidR="00E80664" w:rsidRPr="00D73C99">
        <w:t xml:space="preserve">severity and </w:t>
      </w:r>
      <w:r w:rsidR="00FD61D0" w:rsidRPr="004F0FE2">
        <w:t xml:space="preserve">did not </w:t>
      </w:r>
      <w:r w:rsidR="00E80664" w:rsidRPr="004F0FE2">
        <w:t>cause</w:t>
      </w:r>
      <w:r w:rsidR="00E80664" w:rsidRPr="00D73C99">
        <w:t xml:space="preserve"> discontinuation of the study treatment</w:t>
      </w:r>
      <w:r w:rsidR="00E80664" w:rsidRPr="004F0FE2">
        <w:t xml:space="preserve">. </w:t>
      </w:r>
      <w:r w:rsidR="0032454A" w:rsidRPr="004F0FE2">
        <w:t xml:space="preserve">The rate of these </w:t>
      </w:r>
      <w:r w:rsidR="00A055E9" w:rsidRPr="004F0FE2">
        <w:t>TEAEs</w:t>
      </w:r>
      <w:r w:rsidR="0032454A" w:rsidRPr="004F0FE2">
        <w:t xml:space="preserve"> was e</w:t>
      </w:r>
      <w:r w:rsidR="00A055E9" w:rsidRPr="004F0FE2">
        <w:t>qually</w:t>
      </w:r>
      <w:r w:rsidR="0032454A" w:rsidRPr="004F0FE2">
        <w:t xml:space="preserve"> distributed between both study arms.</w:t>
      </w:r>
    </w:p>
    <w:p w14:paraId="4FC33935" w14:textId="5D3FC08E" w:rsidR="006B64FC" w:rsidRPr="004F0FE2" w:rsidRDefault="0032454A" w:rsidP="00673269">
      <w:pPr>
        <w:ind w:right="567"/>
      </w:pPr>
      <w:r w:rsidRPr="004F0FE2">
        <w:t>The infections and infestations class of TEAEs (</w:t>
      </w:r>
      <w:r w:rsidR="006B64FC" w:rsidRPr="004F0FE2">
        <w:t xml:space="preserve">278 of the 483 patients; 57.6%) was accounted for </w:t>
      </w:r>
      <w:r w:rsidR="000943D0" w:rsidRPr="004F0FE2">
        <w:t xml:space="preserve">by the </w:t>
      </w:r>
      <w:r w:rsidR="00632195" w:rsidRPr="004F0FE2">
        <w:t xml:space="preserve">high </w:t>
      </w:r>
      <w:r w:rsidR="000943D0" w:rsidRPr="004F0FE2">
        <w:t xml:space="preserve">frequency of </w:t>
      </w:r>
      <w:r w:rsidR="00202F88" w:rsidRPr="004F0FE2">
        <w:t xml:space="preserve">viral upper respiratory tract (13.3%) and urinary tract infections (10.1%), </w:t>
      </w:r>
      <w:r w:rsidR="00202F88" w:rsidRPr="004F0FE2">
        <w:lastRenderedPageBreak/>
        <w:t>most commonly mild in severity</w:t>
      </w:r>
      <w:r w:rsidR="00975994" w:rsidRPr="004F0FE2">
        <w:t xml:space="preserve"> and non-IMP related. This SOC was also relevant </w:t>
      </w:r>
      <w:r w:rsidR="00632195" w:rsidRPr="004F0FE2">
        <w:t xml:space="preserve">for the incidence of serious TEAEs such as </w:t>
      </w:r>
      <w:r w:rsidR="00214000" w:rsidRPr="004F0FE2">
        <w:t>pneumonia</w:t>
      </w:r>
      <w:r w:rsidR="00632195" w:rsidRPr="004F0FE2">
        <w:t xml:space="preserve"> (5 of the 483 patients; 1%), urinary (5 of the 483 patients; 1%) an</w:t>
      </w:r>
      <w:r w:rsidR="003A6E13" w:rsidRPr="004F0FE2">
        <w:t xml:space="preserve">d respiratory tract infections (8 of the 483 patients; 1.6%), </w:t>
      </w:r>
      <w:r w:rsidR="00A40674" w:rsidRPr="004F0FE2">
        <w:t>a part</w:t>
      </w:r>
      <w:r w:rsidR="003A6E13" w:rsidRPr="004F0FE2">
        <w:t xml:space="preserve"> of which were considered as IMP-related (0.8%, 0.4% and 0.4% respectively). </w:t>
      </w:r>
    </w:p>
    <w:p w14:paraId="0F767F1F" w14:textId="099BEC82" w:rsidR="006B64FC" w:rsidRPr="004F0FE2" w:rsidRDefault="00D6443D" w:rsidP="00673269">
      <w:pPr>
        <w:ind w:right="567"/>
      </w:pPr>
      <w:r w:rsidRPr="004F0FE2">
        <w:t>Cough (96 of the 483 patients; 19.9%)</w:t>
      </w:r>
      <w:r w:rsidR="001C71E7" w:rsidRPr="004F0FE2">
        <w:t xml:space="preserve"> and dyspnea </w:t>
      </w:r>
      <w:r w:rsidRPr="004F0FE2">
        <w:t xml:space="preserve">(62 of the 483 patients; 12.8%) </w:t>
      </w:r>
      <w:r w:rsidR="001C71E7" w:rsidRPr="004F0FE2">
        <w:t>were the most frequent TEAEs in the respiratory, thoracic and mediastinal disorders class</w:t>
      </w:r>
      <w:r w:rsidR="00975994" w:rsidRPr="004F0FE2">
        <w:t>, showing comparable rates among study groups</w:t>
      </w:r>
      <w:r w:rsidR="001C71E7" w:rsidRPr="004F0FE2">
        <w:t xml:space="preserve">. </w:t>
      </w:r>
      <w:r w:rsidRPr="004F0FE2">
        <w:t xml:space="preserve">These events </w:t>
      </w:r>
      <w:r w:rsidR="00F952DC" w:rsidRPr="004F0FE2">
        <w:t>presented</w:t>
      </w:r>
      <w:r w:rsidRPr="004F0FE2">
        <w:t xml:space="preserve"> most commonly mild severity (grade ≤ 3) and only a limited number of them</w:t>
      </w:r>
      <w:r w:rsidR="001C71E7" w:rsidRPr="004F0FE2">
        <w:t xml:space="preserve"> were </w:t>
      </w:r>
      <w:r w:rsidRPr="004F0FE2">
        <w:t xml:space="preserve">attributed to the study drugs (6 and 8 of </w:t>
      </w:r>
      <w:r w:rsidR="00A40674" w:rsidRPr="004F0FE2">
        <w:t xml:space="preserve">the </w:t>
      </w:r>
      <w:r w:rsidRPr="004F0FE2">
        <w:t>483; 1.2% and 1.7% respectively). By PT term, pulmonary embolism</w:t>
      </w:r>
      <w:r w:rsidR="00A40674" w:rsidRPr="004F0FE2">
        <w:t xml:space="preserve"> (8 of the 483 patients; 1.7%)</w:t>
      </w:r>
      <w:r w:rsidRPr="004F0FE2">
        <w:t>, pleural effusion</w:t>
      </w:r>
      <w:r w:rsidR="00A40674" w:rsidRPr="004F0FE2">
        <w:t xml:space="preserve"> (5 of the 483 patients; 1.0%)</w:t>
      </w:r>
      <w:r w:rsidRPr="004F0FE2">
        <w:t xml:space="preserve"> and pneumonitis </w:t>
      </w:r>
      <w:r w:rsidR="00A40674" w:rsidRPr="004F0FE2">
        <w:t xml:space="preserve">(3 of the 483 patients; 0.6%) </w:t>
      </w:r>
      <w:r w:rsidRPr="004F0FE2">
        <w:t xml:space="preserve">were the most frequent serious adverse events in this class. </w:t>
      </w:r>
      <w:r w:rsidR="00A40674" w:rsidRPr="004F0FE2">
        <w:t xml:space="preserve">The </w:t>
      </w:r>
      <w:r w:rsidR="00A9157F" w:rsidRPr="004F0FE2">
        <w:t xml:space="preserve">overall </w:t>
      </w:r>
      <w:r w:rsidR="00A40674" w:rsidRPr="004F0FE2">
        <w:t xml:space="preserve">frequency of pulmonary embolism was higher in the </w:t>
      </w:r>
      <w:proofErr w:type="spellStart"/>
      <w:r w:rsidR="00A40674" w:rsidRPr="004F0FE2">
        <w:t>palbociclib-fulvestrant</w:t>
      </w:r>
      <w:proofErr w:type="spellEnd"/>
      <w:r w:rsidR="00A40674" w:rsidRPr="004F0FE2">
        <w:t xml:space="preserve"> group (5.</w:t>
      </w:r>
      <w:r w:rsidR="00A9157F" w:rsidRPr="004F0FE2">
        <w:t>0</w:t>
      </w:r>
      <w:r w:rsidR="00A40674" w:rsidRPr="004F0FE2">
        <w:t>%; 1</w:t>
      </w:r>
      <w:r w:rsidR="00A9157F" w:rsidRPr="004F0FE2">
        <w:t>2</w:t>
      </w:r>
      <w:r w:rsidR="00A40674" w:rsidRPr="004F0FE2">
        <w:t xml:space="preserve"> of the 241 patients) compared with the control arm (2.5%; 6 of the 242 patients), however only </w:t>
      </w:r>
      <w:r w:rsidR="00F952DC" w:rsidRPr="004F0FE2">
        <w:t xml:space="preserve">in </w:t>
      </w:r>
      <w:r w:rsidR="00A40674" w:rsidRPr="004F0FE2">
        <w:t xml:space="preserve">2 </w:t>
      </w:r>
      <w:r w:rsidR="000729E9" w:rsidRPr="004F0FE2">
        <w:t xml:space="preserve">patients </w:t>
      </w:r>
      <w:r w:rsidR="00F952DC" w:rsidRPr="004F0FE2">
        <w:t xml:space="preserve">of the 241 in the </w:t>
      </w:r>
      <w:proofErr w:type="spellStart"/>
      <w:r w:rsidR="00F952DC" w:rsidRPr="004F0FE2">
        <w:t>palbociclib-fulvestrant</w:t>
      </w:r>
      <w:proofErr w:type="spellEnd"/>
      <w:r w:rsidR="00F952DC" w:rsidRPr="004F0FE2">
        <w:t xml:space="preserve"> arm</w:t>
      </w:r>
      <w:r w:rsidR="000729E9" w:rsidRPr="004F0FE2">
        <w:t xml:space="preserve"> (</w:t>
      </w:r>
      <w:r w:rsidR="00F952DC" w:rsidRPr="004F0FE2">
        <w:t>0.8%) the events</w:t>
      </w:r>
      <w:r w:rsidR="00CB3479" w:rsidRPr="004F0FE2">
        <w:t xml:space="preserve"> </w:t>
      </w:r>
      <w:r w:rsidR="00A40674" w:rsidRPr="004F0FE2">
        <w:t xml:space="preserve">were </w:t>
      </w:r>
      <w:r w:rsidR="00F952DC" w:rsidRPr="004F0FE2">
        <w:t>attributed to</w:t>
      </w:r>
      <w:r w:rsidR="00A40674" w:rsidRPr="004F0FE2">
        <w:t xml:space="preserve"> the IMP</w:t>
      </w:r>
      <w:r w:rsidR="00CB3479" w:rsidRPr="004F0FE2">
        <w:t xml:space="preserve">. </w:t>
      </w:r>
      <w:r w:rsidR="000E1EB4" w:rsidRPr="004F0FE2">
        <w:rPr>
          <w:shd w:val="clear" w:color="auto" w:fill="FFFFFF"/>
        </w:rPr>
        <w:t xml:space="preserve">Although rare, pulmonary embolism </w:t>
      </w:r>
      <w:r w:rsidR="006E22CC" w:rsidRPr="004F0FE2">
        <w:rPr>
          <w:shd w:val="clear" w:color="auto" w:fill="FFFFFF"/>
        </w:rPr>
        <w:t>is a previously described</w:t>
      </w:r>
      <w:r w:rsidR="000E1EB4" w:rsidRPr="004F0FE2">
        <w:rPr>
          <w:shd w:val="clear" w:color="auto" w:fill="FFFFFF"/>
        </w:rPr>
        <w:t xml:space="preserve"> side effect of </w:t>
      </w:r>
      <w:proofErr w:type="spellStart"/>
      <w:r w:rsidR="000E1EB4" w:rsidRPr="004F0FE2">
        <w:rPr>
          <w:shd w:val="clear" w:color="auto" w:fill="FFFFFF"/>
        </w:rPr>
        <w:t>palbociclib</w:t>
      </w:r>
      <w:proofErr w:type="spellEnd"/>
      <w:r w:rsidR="00F952DC" w:rsidRPr="004F0FE2">
        <w:rPr>
          <w:shd w:val="clear" w:color="auto" w:fill="FFFFFF"/>
        </w:rPr>
        <w:t>-</w:t>
      </w:r>
      <w:r w:rsidR="000E1EB4" w:rsidRPr="004F0FE2">
        <w:rPr>
          <w:shd w:val="clear" w:color="auto" w:fill="FFFFFF"/>
        </w:rPr>
        <w:t xml:space="preserve">based regimens </w:t>
      </w:r>
      <w:r w:rsidR="000E1EB4" w:rsidRPr="004F0FE2">
        <w:rPr>
          <w:shd w:val="clear" w:color="auto" w:fill="FFFFFF"/>
        </w:rPr>
        <w:fldChar w:fldCharType="begin" w:fldLock="1"/>
      </w:r>
      <w:r w:rsidR="009B7569" w:rsidRPr="004F0FE2">
        <w:rPr>
          <w:shd w:val="clear" w:color="auto" w:fill="FFFFFF"/>
        </w:rPr>
        <w:instrText>ADDIN CSL_CITATION {"citationItems":[{"id":"ITEM-1","itemData":{"DOI":"10.1093/jnci/djy109","ISSN":"14602105","PMID":"30032196","abstract":"Background: Palbociclib administered with endocrine therapy was tolerable when the overall incidence of toxicities was assessed separately for three PALOMA studies. This study analyzed pooled, longer-term PALOMA safety data longitudinally. Methods: Data were pooled from three randomized phase II and III studies (ClinicalTrials.gov: NCT00721409, NCT01740427, NCT01942135) of hormone receptor-positive/human epidermal growth factor receptor 2-negative advanced breast cancer patients. Front-line patients were randomly assigned to receive letrozole with/without palbociclib (PALOMA-1) or letrozole plus palbociclib/placebo (PALOMA-2). In PALOMA-3, patients with prior endocrine resistance received fulvestrant plus palbociclib/placebo. The cumulative event rates of adverse events (AEs), reporting up to 50 months of treatment, were assessed over time. Results: Patients who received endocrine therapy (n ¼ 1343) were included in this pooled analysis (872 were also treated with palbociclib, and 471 were not). The most common AEs with palbociclib plus endocrine therapy were neutropenia and infections (any grade, 80.6% and 54.7%, respectively), which were higher than in the endocrine monotherapy arm (any grade, 5.3% and 36.9%). The most common hematologic AEs (15.0% in the palbociclib arm) were more likely to be reported in the initial months of the study, after which time the cumulative event rate did not substantially increase. With palbociclib plus endocrine therapy, any grade AEs leading to permanent discontinuation over three years occurred in only 8.3% of patients. Conclusions: Based on these long-term safety analyses, there is no evidence of specific cumulative or delayed toxicities with palbociclib plus endocrine therapy, supporting the ongoing investigation of palbociclib plus endocrine therapy in early breast cancer (NCT02513394).","author":[{"dropping-particle":"","family":"Diéras","given":"Véronique","non-dropping-particle":"","parse-names":false,"suffix":""},{"dropping-particle":"","family":"Rugo","given":"Hope S.","non-dropping-particle":"","parse-names":false,"suffix":""},{"dropping-particle":"","family":"Schnell","given":"Patrick","non-dropping-particle":"","parse-names":false,"suffix":""},{"dropping-particle":"","family":"Gelmon","given":"Karen","non-dropping-particle":"","parse-names":false,"suffix":""},{"dropping-particle":"","family":"Cristofanilli","given":"Massimo","non-dropping-particle":"","parse-names":false,"suffix":""},{"dropping-particle":"","family":"Loi","given":"Sherene","non-dropping-particle":"","parse-names":false,"suffix":""},{"dropping-particle":"","family":"Colleoni","given":"Marco","non-dropping-particle":"","parse-names":false,"suffix":""},{"dropping-particle":"","family":"Lu","given":"Dongrui R.","non-dropping-particle":"","parse-names":false,"suffix":""},{"dropping-particle":"","family":"Mori","given":"Ave","non-dropping-particle":"","parse-names":false,"suffix":""},{"dropping-particle":"","family":"Gauthier","given":"Eric","non-dropping-particle":"","parse-names":false,"suffix":""},{"dropping-particle":"","family":"Bartlett","given":"Cynthia Huang","non-dropping-particle":"","parse-names":false,"suffix":""},{"dropping-particle":"","family":"Slamon","given":"Dennis J.","non-dropping-particle":"","parse-names":false,"suffix":""},{"dropping-particle":"","family":"Turner","given":"Nicholas C.","non-dropping-particle":"","parse-names":false,"suffix":""},{"dropping-particle":"","family":"Finn","given":"Richard S.","non-dropping-particle":"","parse-names":false,"suffix":""}],"container-title":"Journal of the National Cancer Institute","id":"ITEM-1","issue":"4","issued":{"date-parts":[["2019"]]},"publisher":"Oxford University Press","title":"Long-term pooled safety analysis of palbociclib in combination with endocrine therapy for HR1/HER2- Advanced breast cancer","type":"article-journal","volume":"111"},"uris":["http://www.mendeley.com/documents/?uuid=f41855b1-671c-39f9-8921-4a77b6fcba67"]}],"mendeley":{"formattedCitation":"[3]","plainTextFormattedCitation":"[3]","previouslyFormattedCitation":"[3]"},"properties":{"noteIndex":0},"schema":"https://github.com/citation-style-language/schema/raw/master/csl-citation.json"}</w:instrText>
      </w:r>
      <w:r w:rsidR="000E1EB4" w:rsidRPr="004F0FE2">
        <w:rPr>
          <w:shd w:val="clear" w:color="auto" w:fill="FFFFFF"/>
        </w:rPr>
        <w:fldChar w:fldCharType="separate"/>
      </w:r>
      <w:r w:rsidR="009B7569" w:rsidRPr="004F0FE2">
        <w:rPr>
          <w:shd w:val="clear" w:color="auto" w:fill="FFFFFF"/>
        </w:rPr>
        <w:t>[3]</w:t>
      </w:r>
      <w:r w:rsidR="000E1EB4" w:rsidRPr="004F0FE2">
        <w:rPr>
          <w:shd w:val="clear" w:color="auto" w:fill="FFFFFF"/>
        </w:rPr>
        <w:fldChar w:fldCharType="end"/>
      </w:r>
      <w:r w:rsidR="000E1EB4" w:rsidRPr="004F0FE2">
        <w:rPr>
          <w:shd w:val="clear" w:color="auto" w:fill="FFFFFF"/>
        </w:rPr>
        <w:t>. </w:t>
      </w:r>
      <w:r w:rsidR="00CB3479" w:rsidRPr="004F0FE2">
        <w:t xml:space="preserve">The </w:t>
      </w:r>
      <w:r w:rsidR="00E16EF5" w:rsidRPr="004F0FE2">
        <w:t>rate of pleural effusion events was also higher in the experimental group compared with the control arm (1.7% versus 0.8%, respectively)</w:t>
      </w:r>
      <w:r w:rsidR="00F952DC" w:rsidRPr="004F0FE2">
        <w:t>. T</w:t>
      </w:r>
      <w:r w:rsidR="00E16EF5" w:rsidRPr="004F0FE2">
        <w:t>he majority of these TEAEs were defined as grade ≥ 3 toxicities (4 of the 483 patients; 0.8%) and notified as serious events</w:t>
      </w:r>
      <w:r w:rsidR="00AE5B71" w:rsidRPr="004F0FE2">
        <w:t xml:space="preserve"> </w:t>
      </w:r>
      <w:r w:rsidR="00F952DC" w:rsidRPr="004F0FE2">
        <w:t>(5 of the 483 patients; 1.0%), however</w:t>
      </w:r>
      <w:r w:rsidR="00AE5B71" w:rsidRPr="004F0FE2">
        <w:t xml:space="preserve"> all pleural effusion events were considered by the investigator as </w:t>
      </w:r>
      <w:r w:rsidR="00214000" w:rsidRPr="004F0FE2">
        <w:t>non-IMP</w:t>
      </w:r>
      <w:r w:rsidR="00AE5B71" w:rsidRPr="004F0FE2">
        <w:t xml:space="preserve">-related. </w:t>
      </w:r>
      <w:r w:rsidR="00CB3479" w:rsidRPr="004F0FE2">
        <w:t xml:space="preserve">The overall frequency of pneumonitis was low, however all </w:t>
      </w:r>
      <w:r w:rsidR="00F952DC" w:rsidRPr="004F0FE2">
        <w:t xml:space="preserve">of </w:t>
      </w:r>
      <w:r w:rsidR="00CB3479" w:rsidRPr="004F0FE2">
        <w:t xml:space="preserve">the events </w:t>
      </w:r>
      <w:r w:rsidR="00F952DC" w:rsidRPr="004F0FE2">
        <w:t xml:space="preserve">reported </w:t>
      </w:r>
      <w:r w:rsidR="00CB3479" w:rsidRPr="004F0FE2">
        <w:t xml:space="preserve">were </w:t>
      </w:r>
      <w:r w:rsidR="00E16EF5" w:rsidRPr="004F0FE2">
        <w:t>defined as grade 3-4 toxicities</w:t>
      </w:r>
      <w:r w:rsidR="00CB3479" w:rsidRPr="004F0FE2">
        <w:t xml:space="preserve"> and were causally attributed to treatment with </w:t>
      </w:r>
      <w:proofErr w:type="spellStart"/>
      <w:r w:rsidR="00CB3479" w:rsidRPr="004F0FE2">
        <w:t>palbociclib-fulvestrant</w:t>
      </w:r>
      <w:proofErr w:type="spellEnd"/>
      <w:r w:rsidR="00CB3479" w:rsidRPr="004F0FE2">
        <w:t xml:space="preserve"> (2 of 241 patients; 0.8%) or </w:t>
      </w:r>
      <w:proofErr w:type="spellStart"/>
      <w:r w:rsidR="00CB3479" w:rsidRPr="004F0FE2">
        <w:t>palbociclib</w:t>
      </w:r>
      <w:proofErr w:type="spellEnd"/>
      <w:r w:rsidR="00CB3479" w:rsidRPr="004F0FE2">
        <w:t xml:space="preserve">-letrozole (1 of 242 patients; 0.4%). </w:t>
      </w:r>
    </w:p>
    <w:p w14:paraId="4FF78C12" w14:textId="2DA06F07" w:rsidR="00A25684" w:rsidRPr="004F0FE2" w:rsidRDefault="00AE5B71" w:rsidP="00673269">
      <w:pPr>
        <w:ind w:right="567"/>
      </w:pPr>
      <w:r w:rsidRPr="004F0FE2">
        <w:rPr>
          <w:lang w:eastAsia="es-ES"/>
        </w:rPr>
        <w:t xml:space="preserve">The most frequently reported </w:t>
      </w:r>
      <w:r w:rsidR="00A25684" w:rsidRPr="004F0FE2">
        <w:rPr>
          <w:lang w:eastAsia="es-ES"/>
        </w:rPr>
        <w:t xml:space="preserve">clinically relevant laboratory </w:t>
      </w:r>
      <w:r w:rsidRPr="004F0FE2">
        <w:rPr>
          <w:lang w:eastAsia="es-ES"/>
        </w:rPr>
        <w:t xml:space="preserve">TEAE were </w:t>
      </w:r>
      <w:r w:rsidR="00F952DC" w:rsidRPr="004F0FE2">
        <w:rPr>
          <w:lang w:eastAsia="es-ES"/>
        </w:rPr>
        <w:t>elevations</w:t>
      </w:r>
      <w:r w:rsidRPr="004F0FE2">
        <w:rPr>
          <w:lang w:eastAsia="es-ES"/>
        </w:rPr>
        <w:t xml:space="preserve"> in </w:t>
      </w:r>
      <w:r w:rsidR="00F952DC" w:rsidRPr="004F0FE2">
        <w:rPr>
          <w:lang w:eastAsia="es-ES"/>
        </w:rPr>
        <w:t xml:space="preserve">serum </w:t>
      </w:r>
      <w:r w:rsidRPr="004F0FE2">
        <w:rPr>
          <w:lang w:eastAsia="es-ES"/>
        </w:rPr>
        <w:t>transaminases</w:t>
      </w:r>
      <w:r w:rsidR="00F952DC" w:rsidRPr="004F0FE2">
        <w:rPr>
          <w:lang w:eastAsia="es-ES"/>
        </w:rPr>
        <w:t xml:space="preserve"> (ALT, AST and GGT)</w:t>
      </w:r>
      <w:r w:rsidRPr="004F0FE2">
        <w:rPr>
          <w:lang w:eastAsia="es-ES"/>
        </w:rPr>
        <w:t xml:space="preserve"> level</w:t>
      </w:r>
      <w:r w:rsidR="00F952DC" w:rsidRPr="004F0FE2">
        <w:rPr>
          <w:lang w:eastAsia="es-ES"/>
        </w:rPr>
        <w:t>s</w:t>
      </w:r>
      <w:r w:rsidRPr="004F0FE2">
        <w:rPr>
          <w:lang w:eastAsia="es-ES"/>
        </w:rPr>
        <w:t xml:space="preserve">, with equally distributed rates among study groups (5.4%, 5.4% and 4.1% in the experimental group versus 6.6%, 6.2% and 3.7% in the control group respectively; </w:t>
      </w:r>
      <w:r w:rsidR="00773549" w:rsidRPr="002B7615">
        <w:rPr>
          <w:i/>
          <w:color w:val="2F5496" w:themeColor="accent1" w:themeShade="BF"/>
          <w:lang w:eastAsia="es-ES"/>
        </w:rPr>
        <w:fldChar w:fldCharType="begin"/>
      </w:r>
      <w:r w:rsidR="00773549" w:rsidRPr="002B7615">
        <w:rPr>
          <w:i/>
          <w:color w:val="2F5496" w:themeColor="accent1" w:themeShade="BF"/>
          <w:lang w:eastAsia="es-ES"/>
        </w:rPr>
        <w:instrText xml:space="preserve"> REF _Ref52426862 \h </w:instrText>
      </w:r>
      <w:r w:rsidR="002B7615" w:rsidRPr="002B7615">
        <w:rPr>
          <w:i/>
          <w:color w:val="2F5496" w:themeColor="accent1" w:themeShade="BF"/>
          <w:lang w:eastAsia="es-ES"/>
        </w:rPr>
        <w:instrText xml:space="preserve"> \* MERGEFORMAT </w:instrText>
      </w:r>
      <w:r w:rsidR="00773549" w:rsidRPr="002B7615">
        <w:rPr>
          <w:i/>
          <w:color w:val="2F5496" w:themeColor="accent1" w:themeShade="BF"/>
          <w:lang w:eastAsia="es-ES"/>
        </w:rPr>
      </w:r>
      <w:r w:rsidR="00773549" w:rsidRPr="002B7615">
        <w:rPr>
          <w:i/>
          <w:color w:val="2F5496" w:themeColor="accent1" w:themeShade="BF"/>
          <w:lang w:eastAsia="es-ES"/>
        </w:rPr>
        <w:fldChar w:fldCharType="separate"/>
      </w:r>
      <w:r w:rsidR="00773549" w:rsidRPr="002B7615">
        <w:rPr>
          <w:i/>
          <w:color w:val="2F5496" w:themeColor="accent1" w:themeShade="BF"/>
        </w:rPr>
        <w:t xml:space="preserve">Table </w:t>
      </w:r>
      <w:r w:rsidR="00773549" w:rsidRPr="002B7615">
        <w:rPr>
          <w:i/>
          <w:noProof/>
          <w:color w:val="2F5496" w:themeColor="accent1" w:themeShade="BF"/>
        </w:rPr>
        <w:t>23</w:t>
      </w:r>
      <w:r w:rsidR="00773549" w:rsidRPr="002B7615">
        <w:rPr>
          <w:i/>
          <w:color w:val="2F5496" w:themeColor="accent1" w:themeShade="BF"/>
          <w:lang w:eastAsia="es-ES"/>
        </w:rPr>
        <w:fldChar w:fldCharType="end"/>
      </w:r>
      <w:r w:rsidRPr="004F0FE2">
        <w:rPr>
          <w:lang w:eastAsia="es-ES"/>
        </w:rPr>
        <w:t>).</w:t>
      </w:r>
      <w:r w:rsidR="00A25684" w:rsidRPr="004F0FE2">
        <w:rPr>
          <w:lang w:eastAsia="es-ES"/>
        </w:rPr>
        <w:t xml:space="preserve"> </w:t>
      </w:r>
      <w:r w:rsidR="00F952DC" w:rsidRPr="004F0FE2">
        <w:rPr>
          <w:lang w:eastAsia="es-ES"/>
        </w:rPr>
        <w:t xml:space="preserve">The majority of these events were causally </w:t>
      </w:r>
      <w:r w:rsidR="00852335" w:rsidRPr="004F0FE2">
        <w:rPr>
          <w:lang w:eastAsia="es-ES"/>
        </w:rPr>
        <w:t>related with the IMPs: 29 patients (of the 483) with elevated ALT (</w:t>
      </w:r>
      <w:r w:rsidR="00A25684" w:rsidRPr="004F0FE2">
        <w:rPr>
          <w:lang w:eastAsia="es-ES"/>
        </w:rPr>
        <w:t>6.0%), 28 patients</w:t>
      </w:r>
      <w:r w:rsidR="00852335" w:rsidRPr="004F0FE2">
        <w:rPr>
          <w:lang w:eastAsia="es-ES"/>
        </w:rPr>
        <w:t xml:space="preserve"> (of the 483) with AST increased (</w:t>
      </w:r>
      <w:r w:rsidR="00A25684" w:rsidRPr="004F0FE2">
        <w:rPr>
          <w:lang w:eastAsia="es-ES"/>
        </w:rPr>
        <w:t>5.8%) and 19 patients</w:t>
      </w:r>
      <w:r w:rsidR="00852335" w:rsidRPr="004F0FE2">
        <w:rPr>
          <w:lang w:eastAsia="es-ES"/>
        </w:rPr>
        <w:t xml:space="preserve"> (of the 483) with GGT increased (</w:t>
      </w:r>
      <w:r w:rsidR="00A25684" w:rsidRPr="004F0FE2">
        <w:rPr>
          <w:lang w:eastAsia="es-ES"/>
        </w:rPr>
        <w:t xml:space="preserve">3.9%). </w:t>
      </w:r>
      <w:r w:rsidR="00BE181F" w:rsidRPr="004F0FE2">
        <w:rPr>
          <w:lang w:eastAsia="es-ES"/>
        </w:rPr>
        <w:t>These TEAEs were typically</w:t>
      </w:r>
      <w:r w:rsidR="00BE181F" w:rsidRPr="004F0FE2">
        <w:t xml:space="preserve"> </w:t>
      </w:r>
      <w:r w:rsidR="00BE181F" w:rsidRPr="004F0FE2">
        <w:rPr>
          <w:lang w:eastAsia="es-ES"/>
        </w:rPr>
        <w:t xml:space="preserve">grade 1-2 (3.5%, 3.9% and 2.7% respectively) </w:t>
      </w:r>
      <w:r w:rsidR="00F832A0" w:rsidRPr="004F0FE2">
        <w:rPr>
          <w:lang w:eastAsia="es-ES"/>
        </w:rPr>
        <w:t>and mostly</w:t>
      </w:r>
      <w:r w:rsidR="00BE181F" w:rsidRPr="004F0FE2">
        <w:rPr>
          <w:lang w:eastAsia="es-ES"/>
        </w:rPr>
        <w:t xml:space="preserve"> attributed to the treatment with the study drugs (4.1%, 4.1% and 1.2%, respectively)</w:t>
      </w:r>
      <w:r w:rsidR="00F832A0" w:rsidRPr="004F0FE2">
        <w:rPr>
          <w:lang w:eastAsia="es-ES"/>
        </w:rPr>
        <w:t xml:space="preserve">. All serious related ALT and AST elevations occurred in patients treated with </w:t>
      </w:r>
      <w:proofErr w:type="spellStart"/>
      <w:r w:rsidR="00F832A0" w:rsidRPr="004F0FE2">
        <w:rPr>
          <w:lang w:eastAsia="es-ES"/>
        </w:rPr>
        <w:t>palbociclib-fulvestrant</w:t>
      </w:r>
      <w:proofErr w:type="spellEnd"/>
      <w:r w:rsidR="00F832A0" w:rsidRPr="004F0FE2">
        <w:rPr>
          <w:lang w:eastAsia="es-ES"/>
        </w:rPr>
        <w:t xml:space="preserve"> (4 and 2 of the 241 patients; 1.7% and 0.8% respectively). </w:t>
      </w:r>
    </w:p>
    <w:p w14:paraId="66C57723" w14:textId="77777777" w:rsidR="00D92E20" w:rsidRPr="004F0FE2" w:rsidRDefault="003818DF" w:rsidP="00673269">
      <w:pPr>
        <w:ind w:right="567"/>
      </w:pPr>
      <w:r w:rsidRPr="004F0FE2">
        <w:t xml:space="preserve">The overall adverse event profile of </w:t>
      </w:r>
      <w:proofErr w:type="spellStart"/>
      <w:r w:rsidRPr="004F0FE2">
        <w:t>palbociclib</w:t>
      </w:r>
      <w:proofErr w:type="spellEnd"/>
      <w:r w:rsidRPr="004F0FE2">
        <w:t xml:space="preserve"> combined with either </w:t>
      </w:r>
      <w:proofErr w:type="spellStart"/>
      <w:r w:rsidRPr="004F0FE2">
        <w:t>fulvestrant</w:t>
      </w:r>
      <w:proofErr w:type="spellEnd"/>
      <w:r w:rsidRPr="004F0FE2">
        <w:t xml:space="preserve"> or letrozole was consistent with the previously established safety profile of these drugs in patients with </w:t>
      </w:r>
      <w:proofErr w:type="spellStart"/>
      <w:r w:rsidRPr="004F0FE2">
        <w:t>mBC</w:t>
      </w:r>
      <w:proofErr w:type="spellEnd"/>
      <w:r w:rsidRPr="004F0FE2">
        <w:t xml:space="preserve"> </w:t>
      </w:r>
      <w:r w:rsidRPr="004F0FE2">
        <w:fldChar w:fldCharType="begin" w:fldLock="1"/>
      </w:r>
      <w:r w:rsidR="009B7569" w:rsidRPr="004F0FE2">
        <w:instrText>ADDIN CSL_CITATION {"citationItems":[{"id":"ITEM-1","itemData":{"DOI":"10.1093/jnci/djy109","ISSN":"14602105","PMID":"30032196","abstract":"Background: Palbociclib administered with endocrine therapy was tolerable when the overall incidence of toxicities was assessed separately for three PALOMA studies. This study analyzed pooled, longer-term PALOMA safety data longitudinally. Methods: Data were pooled from three randomized phase II and III studies (ClinicalTrials.gov: NCT00721409, NCT01740427, NCT01942135) of hormone receptor-positive/human epidermal growth factor receptor 2-negative advanced breast cancer patients. Front-line patients were randomly assigned to receive letrozole with/without palbociclib (PALOMA-1) or letrozole plus palbociclib/placebo (PALOMA-2). In PALOMA-3, patients with prior endocrine resistance received fulvestrant plus palbociclib/placebo. The cumulative event rates of adverse events (AEs), reporting up to 50 months of treatment, were assessed over time. Results: Patients who received endocrine therapy (n ¼ 1343) were included in this pooled analysis (872 were also treated with palbociclib, and 471 were not). The most common AEs with palbociclib plus endocrine therapy were neutropenia and infections (any grade, 80.6% and 54.7%, respectively), which were higher than in the endocrine monotherapy arm (any grade, 5.3% and 36.9%). The most common hematologic AEs (15.0% in the palbociclib arm) were more likely to be reported in the initial months of the study, after which time the cumulative event rate did not substantially increase. With palbociclib plus endocrine therapy, any grade AEs leading to permanent discontinuation over three years occurred in only 8.3% of patients. Conclusions: Based on these long-term safety analyses, there is no evidence of specific cumulative or delayed toxicities with palbociclib plus endocrine therapy, supporting the ongoing investigation of palbociclib plus endocrine therapy in early breast cancer (NCT02513394).","author":[{"dropping-particle":"","family":"Diéras","given":"Véronique","non-dropping-particle":"","parse-names":false,"suffix":""},{"dropping-particle":"","family":"Rugo","given":"Hope S.","non-dropping-particle":"","parse-names":false,"suffix":""},{"dropping-particle":"","family":"Schnell","given":"Patrick","non-dropping-particle":"","parse-names":false,"suffix":""},{"dropping-particle":"","family":"Gelmon","given":"Karen","non-dropping-particle":"","parse-names":false,"suffix":""},{"dropping-particle":"","family":"Cristofanilli","given":"Massimo","non-dropping-particle":"","parse-names":false,"suffix":""},{"dropping-particle":"","family":"Loi","given":"Sherene","non-dropping-particle":"","parse-names":false,"suffix":""},{"dropping-particle":"","family":"Colleoni","given":"Marco","non-dropping-particle":"","parse-names":false,"suffix":""},{"dropping-particle":"","family":"Lu","given":"Dongrui R.","non-dropping-particle":"","parse-names":false,"suffix":""},{"dropping-particle":"","family":"Mori","given":"Ave","non-dropping-particle":"","parse-names":false,"suffix":""},{"dropping-particle":"","family":"Gauthier","given":"Eric","non-dropping-particle":"","parse-names":false,"suffix":""},{"dropping-particle":"","family":"Bartlett","given":"Cynthia Huang","non-dropping-particle":"","parse-names":false,"suffix":""},{"dropping-particle":"","family":"Slamon","given":"Dennis J.","non-dropping-particle":"","parse-names":false,"suffix":""},{"dropping-particle":"","family":"Turner","given":"Nicholas C.","non-dropping-particle":"","parse-names":false,"suffix":""},{"dropping-particle":"","family":"Finn","given":"Richard S.","non-dropping-particle":"","parse-names":false,"suffix":""}],"container-title":"Journal of the National Cancer Institute","id":"ITEM-1","issue":"4","issued":{"date-parts":[["2019"]]},"publisher":"Oxford University Press","title":"Long-term pooled safety analysis of palbociclib in combination with endocrine therapy for HR1/HER2- Advanced breast cancer","type":"article-journal","volume":"111"},"uris":["http://www.mendeley.com/documents/?uuid=f41855b1-671c-39f9-8921-4a77b6fcba67"]}],"mendeley":{"formattedCitation":"[3]","plainTextFormattedCitation":"[3]","previouslyFormattedCitation":"[3]"},"properties":{"noteIndex":0},"schema":"https://github.com/citation-style-language/schema/raw/master/csl-citation.json"}</w:instrText>
      </w:r>
      <w:r w:rsidRPr="004F0FE2">
        <w:fldChar w:fldCharType="separate"/>
      </w:r>
      <w:r w:rsidR="009B7569" w:rsidRPr="004F0FE2">
        <w:t>[3]</w:t>
      </w:r>
      <w:r w:rsidRPr="004F0FE2">
        <w:fldChar w:fldCharType="end"/>
      </w:r>
      <w:r w:rsidRPr="004F0FE2">
        <w:t xml:space="preserve">. The safety findings appeared comparable between both treatment arms in terms of the frequency and type of adverse events, grade ≥ 3 adverse </w:t>
      </w:r>
      <w:r w:rsidR="0049464D" w:rsidRPr="004F0FE2">
        <w:t>toxicities</w:t>
      </w:r>
      <w:r w:rsidRPr="004F0FE2">
        <w:t>, serious adverse event, adverse event leading to treatment discontinuation, or adverse event of special interest.</w:t>
      </w:r>
    </w:p>
    <w:p w14:paraId="4078696F" w14:textId="77777777" w:rsidR="00977932" w:rsidRPr="004F0FE2" w:rsidRDefault="00D92E20" w:rsidP="00673269">
      <w:pPr>
        <w:pStyle w:val="BodyText12"/>
        <w:ind w:left="0" w:right="567"/>
        <w:rPr>
          <w:rFonts w:ascii="Arial" w:hAnsi="Arial" w:cs="Arial"/>
          <w:color w:val="00B050"/>
          <w:sz w:val="20"/>
        </w:rPr>
      </w:pPr>
      <w:r w:rsidRPr="004F0FE2">
        <w:br w:type="page"/>
      </w:r>
    </w:p>
    <w:p w14:paraId="66719A7E" w14:textId="77777777" w:rsidR="00977932" w:rsidRPr="004F0FE2" w:rsidRDefault="00977932" w:rsidP="00673269">
      <w:pPr>
        <w:pStyle w:val="Ttulo1"/>
        <w:ind w:left="709" w:right="567" w:hanging="283"/>
      </w:pPr>
      <w:bookmarkStart w:id="564" w:name="_Toc349040068"/>
      <w:bookmarkStart w:id="565" w:name="_Toc349040259"/>
      <w:bookmarkStart w:id="566" w:name="_Toc349040725"/>
      <w:bookmarkStart w:id="567" w:name="_Toc350240102"/>
      <w:bookmarkStart w:id="568" w:name="_Toc350241411"/>
      <w:bookmarkStart w:id="569" w:name="_Toc350241486"/>
      <w:bookmarkStart w:id="570" w:name="_Toc350580035"/>
      <w:bookmarkStart w:id="571" w:name="_Toc350583846"/>
      <w:bookmarkStart w:id="572" w:name="_Toc350583965"/>
      <w:bookmarkStart w:id="573" w:name="_Toc351358107"/>
      <w:bookmarkStart w:id="574" w:name="_Toc351358697"/>
      <w:bookmarkStart w:id="575" w:name="_Toc352037326"/>
      <w:bookmarkStart w:id="576" w:name="_Toc352038962"/>
      <w:bookmarkStart w:id="577" w:name="_Toc352039695"/>
      <w:bookmarkStart w:id="578" w:name="_Toc352039794"/>
      <w:bookmarkStart w:id="579" w:name="_Toc377434744"/>
      <w:bookmarkStart w:id="580" w:name="_Toc377434910"/>
      <w:bookmarkStart w:id="581" w:name="_Toc377435068"/>
      <w:bookmarkStart w:id="582" w:name="_Toc377435206"/>
      <w:bookmarkStart w:id="583" w:name="_Toc377438609"/>
      <w:bookmarkStart w:id="584" w:name="_Toc392499839"/>
      <w:bookmarkStart w:id="585" w:name="_Toc392500471"/>
      <w:bookmarkStart w:id="586" w:name="_Toc46085727"/>
      <w:bookmarkStart w:id="587" w:name="_Toc48334783"/>
      <w:bookmarkStart w:id="588" w:name="_Toc52468154"/>
      <w:r w:rsidRPr="004F0FE2">
        <w:lastRenderedPageBreak/>
        <w:t xml:space="preserve">DISCUSSION AND </w:t>
      </w:r>
      <w:bookmarkStart w:id="589" w:name="_Toc349040069"/>
      <w:bookmarkStart w:id="590" w:name="_Toc349040260"/>
      <w:bookmarkStart w:id="591" w:name="_Toc349040726"/>
      <w:bookmarkStart w:id="592" w:name="_Toc350240103"/>
      <w:bookmarkStart w:id="593" w:name="_Toc350241412"/>
      <w:bookmarkStart w:id="594" w:name="_Toc350241487"/>
      <w:bookmarkStart w:id="595" w:name="_Toc350580036"/>
      <w:bookmarkStart w:id="596" w:name="_Toc350583847"/>
      <w:bookmarkStart w:id="597" w:name="_Toc350583966"/>
      <w:bookmarkStart w:id="598" w:name="_Toc351358108"/>
      <w:bookmarkStart w:id="599" w:name="_Toc351358698"/>
      <w:bookmarkStart w:id="600" w:name="_Toc352037327"/>
      <w:bookmarkStart w:id="601" w:name="_Toc352038963"/>
      <w:bookmarkStart w:id="602" w:name="_Toc352039696"/>
      <w:bookmarkStart w:id="603" w:name="_Toc352039795"/>
      <w:bookmarkStart w:id="604" w:name="_Toc377434745"/>
      <w:bookmarkStart w:id="605" w:name="_Toc377434911"/>
      <w:bookmarkStart w:id="606" w:name="_Toc377435069"/>
      <w:bookmarkStart w:id="607" w:name="_Toc377435207"/>
      <w:bookmarkStart w:id="608" w:name="_Toc377438610"/>
      <w:bookmarkStart w:id="609" w:name="_Toc392499840"/>
      <w:bookmarkStart w:id="610" w:name="_Toc392500472"/>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r w:rsidRPr="004F0FE2">
        <w:t>CONCLUSIONS</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 w14:paraId="2F40C571" w14:textId="007491E6" w:rsidR="00766C04" w:rsidRPr="004F0FE2" w:rsidRDefault="00766C04" w:rsidP="00673269">
      <w:pPr>
        <w:ind w:right="567"/>
      </w:pPr>
      <w:r w:rsidRPr="004F0FE2">
        <w:t xml:space="preserve">To our knowledge, </w:t>
      </w:r>
      <w:r w:rsidR="009764D9">
        <w:t>PARSIFAL</w:t>
      </w:r>
      <w:r w:rsidRPr="004F0FE2">
        <w:t xml:space="preserve"> is the first and only trial to provide a direct comparison of the therapeutic efficacy of </w:t>
      </w:r>
      <w:proofErr w:type="spellStart"/>
      <w:r w:rsidRPr="004F0FE2">
        <w:t>fulvestrant</w:t>
      </w:r>
      <w:proofErr w:type="spellEnd"/>
      <w:r w:rsidRPr="004F0FE2">
        <w:rPr>
          <w:shd w:val="clear" w:color="auto" w:fill="FFFFFF"/>
        </w:rPr>
        <w:t xml:space="preserve"> </w:t>
      </w:r>
      <w:r w:rsidRPr="004F0FE2">
        <w:t>with letrozole</w:t>
      </w:r>
      <w:r w:rsidRPr="004F0FE2">
        <w:rPr>
          <w:shd w:val="clear" w:color="auto" w:fill="FFFFFF"/>
        </w:rPr>
        <w:t xml:space="preserve"> in combination with a CDK4/6 inhibitor</w:t>
      </w:r>
      <w:r w:rsidRPr="004F0FE2">
        <w:t xml:space="preserve"> in patients with previously untreated, endocrine-sensitive </w:t>
      </w:r>
      <w:r w:rsidR="00291F27" w:rsidRPr="004F0FE2">
        <w:t>ER+</w:t>
      </w:r>
      <w:r w:rsidRPr="004F0FE2">
        <w:t xml:space="preserve">/HER2- metastatic </w:t>
      </w:r>
      <w:r w:rsidR="00291F27" w:rsidRPr="004F0FE2">
        <w:t>BC</w:t>
      </w:r>
      <w:r w:rsidRPr="004F0FE2">
        <w:t>.</w:t>
      </w:r>
    </w:p>
    <w:p w14:paraId="62E34894" w14:textId="77777777" w:rsidR="00FE0FC9" w:rsidRPr="004F0FE2" w:rsidRDefault="00FE0FC9" w:rsidP="00673269">
      <w:pPr>
        <w:pStyle w:val="Ttulo2"/>
        <w:ind w:right="567"/>
      </w:pPr>
      <w:bookmarkStart w:id="611" w:name="_Toc52468155"/>
      <w:r w:rsidRPr="004F0FE2">
        <w:t>Discussion of efficacy.</w:t>
      </w:r>
      <w:bookmarkEnd w:id="611"/>
    </w:p>
    <w:p w14:paraId="44644F60" w14:textId="594CBE69" w:rsidR="00766C04" w:rsidRPr="004F0FE2" w:rsidRDefault="00766C04" w:rsidP="00673269">
      <w:pPr>
        <w:ind w:right="567"/>
      </w:pPr>
      <w:r w:rsidRPr="004F0FE2">
        <w:t xml:space="preserve">Despite a significant antitumor activity of </w:t>
      </w:r>
      <w:proofErr w:type="spellStart"/>
      <w:r w:rsidR="00CA203F" w:rsidRPr="004F0FE2">
        <w:t>palbociclib-fulvestrant</w:t>
      </w:r>
      <w:proofErr w:type="spellEnd"/>
      <w:r w:rsidRPr="004F0FE2">
        <w:t xml:space="preserve">, this treatment did not show a superiority over </w:t>
      </w:r>
      <w:proofErr w:type="spellStart"/>
      <w:r w:rsidR="00291F27" w:rsidRPr="004F0FE2">
        <w:t>palbociclib</w:t>
      </w:r>
      <w:proofErr w:type="spellEnd"/>
      <w:r w:rsidR="00291F27" w:rsidRPr="004F0FE2">
        <w:t>-letrozole</w:t>
      </w:r>
      <w:r w:rsidRPr="004F0FE2">
        <w:t xml:space="preserve"> in terms of progression-free survival among this patient population. In addition, our study </w:t>
      </w:r>
      <w:r w:rsidR="003449F2">
        <w:t>did not</w:t>
      </w:r>
      <w:r w:rsidRPr="004F0FE2">
        <w:t xml:space="preserve"> prove non-inferiority of </w:t>
      </w:r>
      <w:proofErr w:type="spellStart"/>
      <w:r w:rsidR="00CA203F" w:rsidRPr="004F0FE2">
        <w:rPr>
          <w:shd w:val="clear" w:color="auto" w:fill="FFFFFF"/>
        </w:rPr>
        <w:t>palbociclib-fulvestrant</w:t>
      </w:r>
      <w:proofErr w:type="spellEnd"/>
      <w:r w:rsidR="00CA203F" w:rsidRPr="004F0FE2">
        <w:t xml:space="preserve"> </w:t>
      </w:r>
      <w:r w:rsidRPr="004F0FE2">
        <w:t xml:space="preserve">over </w:t>
      </w:r>
      <w:proofErr w:type="spellStart"/>
      <w:r w:rsidRPr="004F0FE2">
        <w:t>palbociclib</w:t>
      </w:r>
      <w:proofErr w:type="spellEnd"/>
      <w:r w:rsidR="00CA203F" w:rsidRPr="004F0FE2">
        <w:t>-letrozole</w:t>
      </w:r>
      <w:r w:rsidRPr="004F0FE2">
        <w:rPr>
          <w:shd w:val="clear" w:color="auto" w:fill="FFFFFF"/>
        </w:rPr>
        <w:t>, since the 95% CI contained the non-inferiority margin.</w:t>
      </w:r>
    </w:p>
    <w:p w14:paraId="5745E825" w14:textId="075B114B" w:rsidR="00766C04" w:rsidRPr="004F0FE2" w:rsidRDefault="00766C04" w:rsidP="00673269">
      <w:pPr>
        <w:ind w:right="567"/>
        <w:rPr>
          <w:shd w:val="clear" w:color="auto" w:fill="FFFFFF"/>
        </w:rPr>
      </w:pPr>
      <w:r w:rsidRPr="004F0FE2">
        <w:rPr>
          <w:shd w:val="clear" w:color="auto" w:fill="FFFFFF"/>
        </w:rPr>
        <w:t xml:space="preserve">Following a protocol amendment and based on data from phase 3 PALOMA-2 and FALCON trials, the PARSIFAL </w:t>
      </w:r>
      <w:r w:rsidR="009764D9">
        <w:rPr>
          <w:shd w:val="clear" w:color="auto" w:fill="FFFFFF"/>
        </w:rPr>
        <w:t>trial</w:t>
      </w:r>
      <w:r w:rsidRPr="004F0FE2">
        <w:rPr>
          <w:shd w:val="clear" w:color="auto" w:fill="FFFFFF"/>
        </w:rPr>
        <w:t xml:space="preserve"> assumed a median progression-free survival for the </w:t>
      </w:r>
      <w:proofErr w:type="spellStart"/>
      <w:r w:rsidR="00291F27" w:rsidRPr="004F0FE2">
        <w:t>palbociclib</w:t>
      </w:r>
      <w:proofErr w:type="spellEnd"/>
      <w:r w:rsidR="00291F27" w:rsidRPr="004F0FE2">
        <w:t>-letrozole</w:t>
      </w:r>
      <w:r w:rsidRPr="004F0FE2">
        <w:rPr>
          <w:shd w:val="clear" w:color="auto" w:fill="FFFFFF"/>
        </w:rPr>
        <w:t xml:space="preserve"> arm of 22 months, while requiring a median progression-free survival of at least 31</w:t>
      </w:r>
      <w:r w:rsidR="006649A3" w:rsidRPr="004F0FE2">
        <w:rPr>
          <w:shd w:val="clear" w:color="auto" w:fill="FFFFFF"/>
        </w:rPr>
        <w:t>.</w:t>
      </w:r>
      <w:r w:rsidRPr="004F0FE2">
        <w:rPr>
          <w:shd w:val="clear" w:color="auto" w:fill="FFFFFF"/>
        </w:rPr>
        <w:t xml:space="preserve">3 months for the </w:t>
      </w:r>
      <w:proofErr w:type="spellStart"/>
      <w:r w:rsidR="00CA203F" w:rsidRPr="004F0FE2">
        <w:rPr>
          <w:shd w:val="clear" w:color="auto" w:fill="FFFFFF"/>
        </w:rPr>
        <w:t>palbociclib-fulvestrant</w:t>
      </w:r>
      <w:proofErr w:type="spellEnd"/>
      <w:r w:rsidR="00CA203F" w:rsidRPr="004F0FE2">
        <w:t xml:space="preserve"> </w:t>
      </w:r>
      <w:r w:rsidRPr="004F0FE2">
        <w:rPr>
          <w:shd w:val="clear" w:color="auto" w:fill="FFFFFF"/>
        </w:rPr>
        <w:t>arm to show efficacy</w:t>
      </w:r>
      <w:r w:rsidR="00CA203F" w:rsidRPr="004F0FE2">
        <w:rPr>
          <w:shd w:val="clear" w:color="auto" w:fill="FFFFFF"/>
        </w:rPr>
        <w:t xml:space="preserve"> </w:t>
      </w:r>
      <w:r w:rsidR="00CA203F" w:rsidRPr="004F0FE2">
        <w:fldChar w:fldCharType="begin" w:fldLock="1"/>
      </w:r>
      <w:r w:rsidR="009B7569" w:rsidRPr="004F0FE2">
        <w:instrText>ADDIN CSL_CITATION {"citationItems":[{"id":"ITEM-1","itemData":{"DOI":"10.1016/S0140-6736(16)32389-3","ISSN":"1474547X","PMID":"27908454","abstract":"Background Aromatase inhibitors are a standard of care for hormone receptor-positive locally advanced or metastatic breast cancer. We investigated whether the selective oestrogen receptor degrader fulvestrant could improve progression-free survival compared with anastrozole in postmenopausal patients who had not received previous endocrine therapy. Methods In this phase 3, randomised, double-blind trial, we recruited eligible patients with histologically confirmed oestrogen receptor-positive or progesterone receptor-positive, or both, locally advanced or metastatic breast cancer from 113 academic hospitals and community centres in 20 countries. Eligible patients were endocrine therapy-naive, with WHO performance status 0–2, and at least one measurable or non-measurable lesion. Patients were randomly assigned (1:1) to fulvestrant (500 mg intramuscular injection; on days 0, 14, 28, then every 28 days thereafter) or anastrozole (1 mg orally daily) using a computer-generated randomisation scheme. The primary endpoint was progression-free survival, determined by Response Evaluation Criteria in Solid Tumors version 1·1, intervention by surgery or radiotherapy because of disease deterioration, or death from any cause, assessed in the intention-to-treat population. Safety outcomes were assessed in all patients who received at least one dose of randomised treatment (including placebo). This trial is registered with ClinicalTrials.gov, number NCT01602380. Findings Between Oct 17, 2012, and July 11, 2014, 524 patients were enrolled to this study. Of these, 462 patients were randomised (230 to receive fulvestrant and 232 to receive anastrozole). Progression-free survival was significantly longer in the fulvestrant group than in the anastrozole group (hazard ratio [HR] 0·797, 95% CI 0·637–0·999, p=0·0486). Median progression-free survival was 16·6 months (95% CI 13·83–20·99) in the fulvestrant group versus 13·8 months (11·99–16·59) in the anastrozole group. The most common adverse events were arthralgia (38 [17%] in the fulvestrant group vs 24 [10%] in the anastrozole group) and hot flushes (26 [11%] in the fulvestrant group vs 24 [10%] in the anastrozole group). 16 (7%) of 228 patients in in the fulvestrant group and 11 (5%) of 232 patients in the anastrozole group discontinued because of adverse events. Interpretation Fulvestrant has superior efficacy and is a preferred treatment option for patients with hormone receptor-positive locally advanced or metastatic bre…","author":[{"dropping-particle":"","family":"Robertson","given":"John F.R.","non-dropping-particle":"","parse-names":false,"suffix":""},{"dropping-particle":"","family":"Bondarenko","given":"Igor M.","non-dropping-particle":"","parse-names":false,"suffix":""},{"dropping-particle":"","family":"Trishkina","given":"Ekaterina","non-dropping-particle":"","parse-names":false,"suffix":""},{"dropping-particle":"","family":"Dvorkin","given":"Mikhail","non-dropping-particle":"","parse-names":false,"suffix":""},{"dropping-particle":"","family":"Panasci","given":"Lawrence","non-dropping-particle":"","parse-names":false,"suffix":""},{"dropping-particle":"","family":"Manikhas","given":"Alexey","non-dropping-particle":"","parse-names":false,"suffix":""},{"dropping-particle":"","family":"Shparyk","given":"Yaroslav","non-dropping-particle":"","parse-names":false,"suffix":""},{"dropping-particle":"","family":"Cardona-Huerta","given":"Servando","non-dropping-particle":"","parse-names":false,"suffix":""},{"dropping-particle":"","family":"Cheung","given":"Kwok Leung","non-dropping-particle":"","parse-names":false,"suffix":""},{"dropping-particle":"","family":"Philco-Salas","given":"Manuel Jesus","non-dropping-particle":"","parse-names":false,"suffix":""},{"dropping-particle":"","family":"Ruiz-Borrego","given":"Manuel","non-dropping-particle":"","parse-names":false,"suffix":""},{"dropping-particle":"","family":"Shao","given":"Zhimin","non-dropping-particle":"","parse-names":false,"suffix":""},{"dropping-particle":"","family":"Noguchi","given":"Shinzaburo","non-dropping-particle":"","parse-names":false,"suffix":""},{"dropping-particle":"","family":"Rowbottom","given":"Jacqui","non-dropping-particle":"","parse-names":false,"suffix":""},{"dropping-particle":"","family":"Stuart","given":"Mary","non-dropping-particle":"","parse-names":false,"suffix":""},{"dropping-particle":"","family":"Grinsted","given":"Lynda M.","non-dropping-particle":"","parse-names":false,"suffix":""},{"dropping-particle":"","family":"Fazal","given":"Mehdi","non-dropping-particle":"","parse-names":false,"suffix":""},{"dropping-particle":"","family":"Ellis","given":"Matthew J.","non-dropping-particle":"","parse-names":false,"suffix":""}],"container-title":"The Lancet","id":"ITEM-1","issue":"10063","issued":{"date-parts":[["2016","12","17"]]},"page":"2997-3005","publisher":"Lancet Publishing Group","title":"Fulvestrant 500 mg versus anastrozole 1 mg for hormone receptor-positive advanced breast cancer (FALCON): an international, randomised, double-blind, phase 3 trial","type":"article-journal","volume":"388"},"uris":["http://www.mendeley.com/documents/?uuid=211a1aab-4358-33cb-bc43-764f95610866"]},{"id":"ITEM-2","itemData":{"DOI":"10.1056/NEJMoa1607303","ISSN":"15334406","abstract":"BACKGROUND A phase 2 study showed that progression-free survival was longer with palbociclib plus letrozole than with letrozole alone in the initial treatment of postmenopausal women with estrogen-receptor (ER)-positive, human epidermal growth factor receptor 2 (HER2)-negative advanced breast cancer. We performed a phase 3 study that was designed to confirm and expand the efficacy and safety data for palbociclib plus letrozole for this indication. METHODS In this double-blind study, we randomly assigned, in a 2:1 ratio, 666 postmenopausal women with ER-positive, HER2-negative breast cancer, who had not had prior treatment for advanced disease, to receive palbociclib plus letrozole or placebo plus letrozole. The primary end point was progression-free survival, as assessed by the investigators; secondary end points were overall survival, objective response, clinical benefit response, patient-reported outcomes, pharmacokinetic effects, and safety. RESULTS The median progression-free survival was 24.8 months (95% confidence interval [CI], 22.1 to not estimable) in the palbociclib-letrozole group, as compared with 14.5 months (95% CI, 12.9 to 17.1) in the placebo-letrozole group (hazard ratio for disease progression or death, 0.58; 95% CI, 0.46 to 0.72; P&lt;0.001). The most common grade 3 or 4 adverse events were neutropenia (occurring in 66.4% of the patients in the palbociclib- letrozole group vs. 1.4% in the placebo-letrozole group), leukopenia (24.8% vs. 0%), anemia (5.4% vs. 1.8%), and fatigue (1.8% vs. 0.5%). Febrile neutropenia was reported in 1.8% of patients in the palbociclib-letrozole group and in none of the patients in the placebo-letrozole group. Permanent discontinuation of any study treatment as a result of adverse events occurred in 43 patients (9.7%) in the palbociclib-letrozole group and in 13 patients (5.9%) in the placebo-letrozole group. CONCLUSIONS Among patients with previously untreated ER-positive, HER2-negative advanced breast cancer, palbociclib combined with letrozole resulted in significantly longer progression-free survival than that with letrozole alone, although the rates of myelotoxic effects were higher with palbociclib-letrozole.","author":[{"dropping-particle":"","family":"Finn","given":"Richard S.","non-dropping-particle":"","parse-names":false,"suffix":""},{"dropping-particle":"","family":"Martin","given":"Miguel","non-dropping-particle":"","parse-names":false,"suffix":""},{"dropping-particle":"","family":"Rugo","given":"Hope S.","non-dropping-particle":"","parse-names":false,"suffix":""},{"dropping-particle":"","family":"Jones","given":"Stephen","non-dropping-particle":"","parse-names":false,"suffix":""},{"dropping-particle":"","family":"Im","given":"Seock Ah","non-dropping-particle":"","parse-names":false,"suffix":""},{"dropping-particle":"","family":"Gelmon","given":"Karen","non-dropping-particle":"","parse-names":false,"suffix":""},{"dropping-particle":"","family":"Harbeck","given":"Nadia","non-dropping-particle":"","parse-names":false,"suffix":""},{"dropping-particle":"","family":"Lipatov","given":"Oleg N.","non-dropping-particle":"","parse-names":false,"suffix":""},{"dropping-particle":"","family":"Walshe","given":"Janice M.","non-dropping-particle":"","parse-names":false,"suffix":""},{"dropping-particle":"","family":"Moulder","given":"Stacy","non-dropping-particle":"","parse-names":false,"suffix":""},{"dropping-particle":"","family":"Gauthier","given":"Eric","non-dropping-particle":"","parse-names":false,"suffix":""},{"dropping-particle":"","family":"Lu","given":"Dongrui R.","non-dropping-particle":"","parse-names":false,"suffix":""},{"dropping-particle":"","family":"Randolph","given":"Sophia","non-dropping-particle":"","parse-names":false,"suffix":""},{"dropping-particle":"","family":"Dieras","given":"Veronique","non-dropping-particle":"","parse-names":false,"suffix":""},{"dropping-particle":"","family":"Slamon","given":"Dennis J.","non-dropping-particle":"","parse-names":false,"suffix":""}],"container-title":"New England Journal of Medicine","id":"ITEM-2","issue":"20","issued":{"date-parts":[["2016","11","17"]]},"page":"1925-1936","publisher":"Massachussetts Medical Society","title":"Palbociclib and letrozole in advanced breast cancer","type":"article-journal","volume":"375"},"uris":["http://www.mendeley.com/documents/?uuid=09617519-7475-3785-a36d-c85aa1f9243a"]}],"mendeley":{"formattedCitation":"[15,32]","plainTextFormattedCitation":"[15,32]","previouslyFormattedCitation":"[15,32]"},"properties":{"noteIndex":0},"schema":"https://github.com/citation-style-language/schema/raw/master/csl-citation.json"}</w:instrText>
      </w:r>
      <w:r w:rsidR="00CA203F" w:rsidRPr="004F0FE2">
        <w:fldChar w:fldCharType="separate"/>
      </w:r>
      <w:r w:rsidR="009B7569" w:rsidRPr="004F0FE2">
        <w:t>[15,32]</w:t>
      </w:r>
      <w:r w:rsidR="00CA203F" w:rsidRPr="004F0FE2">
        <w:fldChar w:fldCharType="end"/>
      </w:r>
      <w:r w:rsidR="00CA203F" w:rsidRPr="004F0FE2">
        <w:t xml:space="preserve">. </w:t>
      </w:r>
      <w:r w:rsidRPr="004F0FE2">
        <w:rPr>
          <w:shd w:val="clear" w:color="auto" w:fill="FFFFFF"/>
        </w:rPr>
        <w:t xml:space="preserve">However, </w:t>
      </w:r>
      <w:r w:rsidRPr="004F0FE2">
        <w:rPr>
          <w:lang w:eastAsia="es-ES"/>
        </w:rPr>
        <w:t>m</w:t>
      </w:r>
      <w:r w:rsidRPr="004F0FE2">
        <w:rPr>
          <w:shd w:val="clear" w:color="auto" w:fill="FFFFFF"/>
        </w:rPr>
        <w:t xml:space="preserve">edian progression-free survival in the </w:t>
      </w:r>
      <w:proofErr w:type="spellStart"/>
      <w:r w:rsidR="00CA203F" w:rsidRPr="004F0FE2">
        <w:rPr>
          <w:shd w:val="clear" w:color="auto" w:fill="FFFFFF"/>
        </w:rPr>
        <w:t>palbociclib-fulvestrant</w:t>
      </w:r>
      <w:proofErr w:type="spellEnd"/>
      <w:r w:rsidR="00CA203F" w:rsidRPr="004F0FE2">
        <w:t xml:space="preserve"> </w:t>
      </w:r>
      <w:r w:rsidRPr="004F0FE2">
        <w:rPr>
          <w:shd w:val="clear" w:color="auto" w:fill="FFFFFF"/>
        </w:rPr>
        <w:t>arm was 27</w:t>
      </w:r>
      <w:r w:rsidR="00CA203F" w:rsidRPr="004F0FE2">
        <w:rPr>
          <w:shd w:val="clear" w:color="auto" w:fill="FFFFFF"/>
        </w:rPr>
        <w:t>.</w:t>
      </w:r>
      <w:r w:rsidRPr="004F0FE2">
        <w:rPr>
          <w:shd w:val="clear" w:color="auto" w:fill="FFFFFF"/>
        </w:rPr>
        <w:t>9 months (95% CI 24</w:t>
      </w:r>
      <w:r w:rsidR="006649A3" w:rsidRPr="004F0FE2">
        <w:rPr>
          <w:shd w:val="clear" w:color="auto" w:fill="FFFFFF"/>
        </w:rPr>
        <w:t>.</w:t>
      </w:r>
      <w:r w:rsidRPr="004F0FE2">
        <w:rPr>
          <w:shd w:val="clear" w:color="auto" w:fill="FFFFFF"/>
        </w:rPr>
        <w:t>2–33</w:t>
      </w:r>
      <w:r w:rsidR="006649A3" w:rsidRPr="004F0FE2">
        <w:rPr>
          <w:shd w:val="clear" w:color="auto" w:fill="FFFFFF"/>
        </w:rPr>
        <w:t>.</w:t>
      </w:r>
      <w:r w:rsidRPr="004F0FE2">
        <w:rPr>
          <w:shd w:val="clear" w:color="auto" w:fill="FFFFFF"/>
        </w:rPr>
        <w:t>1) versus 32</w:t>
      </w:r>
      <w:r w:rsidR="006649A3" w:rsidRPr="004F0FE2">
        <w:rPr>
          <w:shd w:val="clear" w:color="auto" w:fill="FFFFFF"/>
        </w:rPr>
        <w:t>.</w:t>
      </w:r>
      <w:r w:rsidRPr="004F0FE2">
        <w:rPr>
          <w:shd w:val="clear" w:color="auto" w:fill="FFFFFF"/>
        </w:rPr>
        <w:t>8 months (95% CI 25</w:t>
      </w:r>
      <w:r w:rsidR="006649A3" w:rsidRPr="004F0FE2">
        <w:rPr>
          <w:shd w:val="clear" w:color="auto" w:fill="FFFFFF"/>
        </w:rPr>
        <w:t>.</w:t>
      </w:r>
      <w:r w:rsidRPr="004F0FE2">
        <w:rPr>
          <w:shd w:val="clear" w:color="auto" w:fill="FFFFFF"/>
        </w:rPr>
        <w:t>8–35</w:t>
      </w:r>
      <w:r w:rsidR="006649A3" w:rsidRPr="004F0FE2">
        <w:rPr>
          <w:shd w:val="clear" w:color="auto" w:fill="FFFFFF"/>
        </w:rPr>
        <w:t>.</w:t>
      </w:r>
      <w:r w:rsidRPr="004F0FE2">
        <w:rPr>
          <w:shd w:val="clear" w:color="auto" w:fill="FFFFFF"/>
        </w:rPr>
        <w:t xml:space="preserve">9) in the </w:t>
      </w:r>
      <w:proofErr w:type="spellStart"/>
      <w:r w:rsidR="00291F27" w:rsidRPr="004F0FE2">
        <w:t>palbociclib</w:t>
      </w:r>
      <w:proofErr w:type="spellEnd"/>
      <w:r w:rsidR="00291F27" w:rsidRPr="004F0FE2">
        <w:t xml:space="preserve">-letrozole </w:t>
      </w:r>
      <w:r w:rsidRPr="004F0FE2">
        <w:rPr>
          <w:shd w:val="clear" w:color="auto" w:fill="FFFFFF"/>
        </w:rPr>
        <w:t xml:space="preserve">arm. These results significantly differ from those planned in the statistical assumptions and </w:t>
      </w:r>
      <w:r w:rsidRPr="004F0FE2">
        <w:t xml:space="preserve">partially explain why PARSIFAL </w:t>
      </w:r>
      <w:r w:rsidR="003449F2">
        <w:t>did not show</w:t>
      </w:r>
      <w:r w:rsidRPr="004F0FE2">
        <w:rPr>
          <w:shd w:val="clear" w:color="auto" w:fill="FFFFFF"/>
        </w:rPr>
        <w:t xml:space="preserve"> a statistically significant improvement in progression-free survival with </w:t>
      </w:r>
      <w:proofErr w:type="spellStart"/>
      <w:r w:rsidR="00CA203F" w:rsidRPr="004F0FE2">
        <w:rPr>
          <w:shd w:val="clear" w:color="auto" w:fill="FFFFFF"/>
        </w:rPr>
        <w:t>palbociclib-fulvestrant</w:t>
      </w:r>
      <w:proofErr w:type="spellEnd"/>
      <w:r w:rsidR="00CA203F" w:rsidRPr="004F0FE2">
        <w:t xml:space="preserve"> </w:t>
      </w:r>
      <w:r w:rsidRPr="004F0FE2">
        <w:rPr>
          <w:shd w:val="clear" w:color="auto" w:fill="FFFFFF"/>
        </w:rPr>
        <w:t xml:space="preserve">in </w:t>
      </w:r>
      <w:r w:rsidRPr="004F0FE2">
        <w:t xml:space="preserve">patients with endocrine-sensitive, </w:t>
      </w:r>
      <w:r w:rsidR="00CA203F" w:rsidRPr="004F0FE2">
        <w:t xml:space="preserve">ER+/HER2- </w:t>
      </w:r>
      <w:r w:rsidRPr="004F0FE2">
        <w:t>metastatic breast cancer.</w:t>
      </w:r>
    </w:p>
    <w:p w14:paraId="2FE7BE37" w14:textId="26AC5844" w:rsidR="00766C04" w:rsidRPr="004F0FE2" w:rsidRDefault="00766C04" w:rsidP="00673269">
      <w:pPr>
        <w:ind w:right="567"/>
        <w:rPr>
          <w:shd w:val="clear" w:color="auto" w:fill="FFFFFF"/>
        </w:rPr>
      </w:pPr>
      <w:r w:rsidRPr="004F0FE2">
        <w:rPr>
          <w:shd w:val="clear" w:color="auto" w:fill="FFFFFF"/>
        </w:rPr>
        <w:t xml:space="preserve">Initial analysis of the phase 3 PALOMA-2 study showed a median progression-free survival for </w:t>
      </w:r>
      <w:proofErr w:type="spellStart"/>
      <w:r w:rsidR="00291F27" w:rsidRPr="004F0FE2">
        <w:t>palbociclib</w:t>
      </w:r>
      <w:proofErr w:type="spellEnd"/>
      <w:r w:rsidR="00291F27" w:rsidRPr="004F0FE2">
        <w:t xml:space="preserve">-letrozole </w:t>
      </w:r>
      <w:r w:rsidRPr="004F0FE2">
        <w:rPr>
          <w:shd w:val="clear" w:color="auto" w:fill="FFFFFF"/>
        </w:rPr>
        <w:t>of 24</w:t>
      </w:r>
      <w:r w:rsidR="006649A3" w:rsidRPr="004F0FE2">
        <w:rPr>
          <w:shd w:val="clear" w:color="auto" w:fill="FFFFFF"/>
        </w:rPr>
        <w:t>.</w:t>
      </w:r>
      <w:r w:rsidRPr="004F0FE2">
        <w:rPr>
          <w:shd w:val="clear" w:color="auto" w:fill="FFFFFF"/>
        </w:rPr>
        <w:t>8 months (</w:t>
      </w:r>
      <w:r w:rsidRPr="004F0FE2">
        <w:t>95% CI 22</w:t>
      </w:r>
      <w:r w:rsidR="006649A3" w:rsidRPr="004F0FE2">
        <w:t>.</w:t>
      </w:r>
      <w:r w:rsidRPr="004F0FE2">
        <w:t>1</w:t>
      </w:r>
      <w:r w:rsidRPr="004F0FE2">
        <w:rPr>
          <w:shd w:val="clear" w:color="auto" w:fill="FFFFFF"/>
        </w:rPr>
        <w:t>–</w:t>
      </w:r>
      <w:r w:rsidRPr="004F0FE2">
        <w:t>not estimable) with a median duration of follow-up of 23 months</w:t>
      </w:r>
      <w:r w:rsidR="00CA203F" w:rsidRPr="004F0FE2">
        <w:t xml:space="preserve"> </w:t>
      </w:r>
      <w:r w:rsidR="00CA203F" w:rsidRPr="004F0FE2">
        <w:fldChar w:fldCharType="begin" w:fldLock="1"/>
      </w:r>
      <w:r w:rsidR="009B7569" w:rsidRPr="004F0FE2">
        <w:instrText>ADDIN CSL_CITATION {"citationItems":[{"id":"ITEM-1","itemData":{"DOI":"10.1056/NEJMoa1607303","ISSN":"15334406","abstract":"BACKGROUND A phase 2 study showed that progression-free survival was longer with palbociclib plus letrozole than with letrozole alone in the initial treatment of postmenopausal women with estrogen-receptor (ER)-positive, human epidermal growth factor receptor 2 (HER2)-negative advanced breast cancer. We performed a phase 3 study that was designed to confirm and expand the efficacy and safety data for palbociclib plus letrozole for this indication. METHODS In this double-blind study, we randomly assigned, in a 2:1 ratio, 666 postmenopausal women with ER-positive, HER2-negative breast cancer, who had not had prior treatment for advanced disease, to receive palbociclib plus letrozole or placebo plus letrozole. The primary end point was progression-free survival, as assessed by the investigators; secondary end points were overall survival, objective response, clinical benefit response, patient-reported outcomes, pharmacokinetic effects, and safety. RESULTS The median progression-free survival was 24.8 months (95% confidence interval [CI], 22.1 to not estimable) in the palbociclib-letrozole group, as compared with 14.5 months (95% CI, 12.9 to 17.1) in the placebo-letrozole group (hazard ratio for disease progression or death, 0.58; 95% CI, 0.46 to 0.72; P&lt;0.001). The most common grade 3 or 4 adverse events were neutropenia (occurring in 66.4% of the patients in the palbociclib- letrozole group vs. 1.4% in the placebo-letrozole group), leukopenia (24.8% vs. 0%), anemia (5.4% vs. 1.8%), and fatigue (1.8% vs. 0.5%). Febrile neutropenia was reported in 1.8% of patients in the palbociclib-letrozole group and in none of the patients in the placebo-letrozole group. Permanent discontinuation of any study treatment as a result of adverse events occurred in 43 patients (9.7%) in the palbociclib-letrozole group and in 13 patients (5.9%) in the placebo-letrozole group. CONCLUSIONS Among patients with previously untreated ER-positive, HER2-negative advanced breast cancer, palbociclib combined with letrozole resulted in significantly longer progression-free survival than that with letrozole alone, although the rates of myelotoxic effects were higher with palbociclib-letrozole.","author":[{"dropping-particle":"","family":"Finn","given":"Richard S.","non-dropping-particle":"","parse-names":false,"suffix":""},{"dropping-particle":"","family":"Martin","given":"Miguel","non-dropping-particle":"","parse-names":false,"suffix":""},{"dropping-particle":"","family":"Rugo","given":"Hope S.","non-dropping-particle":"","parse-names":false,"suffix":""},{"dropping-particle":"","family":"Jones","given":"Stephen","non-dropping-particle":"","parse-names":false,"suffix":""},{"dropping-particle":"","family":"Im","given":"Seock Ah","non-dropping-particle":"","parse-names":false,"suffix":""},{"dropping-particle":"","family":"Gelmon","given":"Karen","non-dropping-particle":"","parse-names":false,"suffix":""},{"dropping-particle":"","family":"Harbeck","given":"Nadia","non-dropping-particle":"","parse-names":false,"suffix":""},{"dropping-particle":"","family":"Lipatov","given":"Oleg N.","non-dropping-particle":"","parse-names":false,"suffix":""},{"dropping-particle":"","family":"Walshe","given":"Janice M.","non-dropping-particle":"","parse-names":false,"suffix":""},{"dropping-particle":"","family":"Moulder","given":"Stacy","non-dropping-particle":"","parse-names":false,"suffix":""},{"dropping-particle":"","family":"Gauthier","given":"Eric","non-dropping-particle":"","parse-names":false,"suffix":""},{"dropping-particle":"","family":"Lu","given":"Dongrui R.","non-dropping-particle":"","parse-names":false,"suffix":""},{"dropping-particle":"","family":"Randolph","given":"Sophia","non-dropping-particle":"","parse-names":false,"suffix":""},{"dropping-particle":"","family":"Dieras","given":"Veronique","non-dropping-particle":"","parse-names":false,"suffix":""},{"dropping-particle":"","family":"Slamon","given":"Dennis J.","non-dropping-particle":"","parse-names":false,"suffix":""}],"container-title":"New England Journal of Medicine","id":"ITEM-1","issue":"20","issued":{"date-parts":[["2016","11","17"]]},"page":"1925-1936","publisher":"Massachussetts Medical Society","title":"Palbociclib and letrozole in advanced breast cancer","type":"article-journal","volume":"375"},"uris":["http://www.mendeley.com/documents/?uuid=09617519-7475-3785-a36d-c85aa1f9243a"]}],"mendeley":{"formattedCitation":"[15]","plainTextFormattedCitation":"[15]","previouslyFormattedCitation":"[15]"},"properties":{"noteIndex":0},"schema":"https://github.com/citation-style-language/schema/raw/master/csl-citation.json"}</w:instrText>
      </w:r>
      <w:r w:rsidR="00CA203F" w:rsidRPr="004F0FE2">
        <w:fldChar w:fldCharType="separate"/>
      </w:r>
      <w:r w:rsidR="009B7569" w:rsidRPr="004F0FE2">
        <w:t>[15]</w:t>
      </w:r>
      <w:r w:rsidR="00CA203F" w:rsidRPr="004F0FE2">
        <w:fldChar w:fldCharType="end"/>
      </w:r>
      <w:r w:rsidRPr="004F0FE2">
        <w:t xml:space="preserve">. </w:t>
      </w:r>
      <w:r w:rsidRPr="004F0FE2">
        <w:rPr>
          <w:rStyle w:val="nfasis"/>
          <w:rFonts w:ascii="Calibri" w:hAnsi="Calibri" w:cs="Calibri"/>
          <w:i w:val="0"/>
          <w:sz w:val="22"/>
          <w:szCs w:val="22"/>
          <w:shd w:val="clear" w:color="auto" w:fill="FFFFFF"/>
        </w:rPr>
        <w:t>Despite</w:t>
      </w:r>
      <w:r w:rsidRPr="004F0FE2">
        <w:rPr>
          <w:rStyle w:val="nfasis"/>
          <w:rFonts w:ascii="Calibri" w:hAnsi="Calibri" w:cs="Calibri"/>
          <w:color w:val="2F5496"/>
          <w:sz w:val="22"/>
          <w:szCs w:val="22"/>
          <w:shd w:val="clear" w:color="auto" w:fill="FFFFFF"/>
        </w:rPr>
        <w:t xml:space="preserve"> </w:t>
      </w:r>
      <w:r w:rsidRPr="004F0FE2">
        <w:t>the confounding effects of making indirect comparisons between different studies</w:t>
      </w:r>
      <w:r w:rsidRPr="004F0FE2">
        <w:rPr>
          <w:shd w:val="clear" w:color="auto" w:fill="FFFFFF"/>
        </w:rPr>
        <w:t xml:space="preserve">, populations from PALOMA-2 and PARSIFAL trials seem to be well balanced with respect to important prognostic factors in </w:t>
      </w:r>
      <w:r w:rsidR="0049464D" w:rsidRPr="004F0FE2">
        <w:t>ER+</w:t>
      </w:r>
      <w:r w:rsidRPr="004F0FE2">
        <w:t>/HER2- metastatic breast cancer, such as ECOG performance status (98</w:t>
      </w:r>
      <w:r w:rsidR="006649A3" w:rsidRPr="004F0FE2">
        <w:t>.</w:t>
      </w:r>
      <w:r w:rsidRPr="004F0FE2">
        <w:t>2% v</w:t>
      </w:r>
      <w:r w:rsidR="00CA203F" w:rsidRPr="004F0FE2">
        <w:t>ersus</w:t>
      </w:r>
      <w:r w:rsidRPr="004F0FE2">
        <w:t xml:space="preserve"> 95</w:t>
      </w:r>
      <w:r w:rsidR="006649A3" w:rsidRPr="004F0FE2">
        <w:t>.</w:t>
      </w:r>
      <w:r w:rsidRPr="004F0FE2">
        <w:t>1%), the presence of visceral disease (48</w:t>
      </w:r>
      <w:r w:rsidR="006649A3" w:rsidRPr="004F0FE2">
        <w:t>.</w:t>
      </w:r>
      <w:r w:rsidRPr="004F0FE2">
        <w:t>6 v</w:t>
      </w:r>
      <w:r w:rsidR="00CA203F" w:rsidRPr="004F0FE2">
        <w:t>ersus</w:t>
      </w:r>
      <w:r w:rsidRPr="004F0FE2">
        <w:t xml:space="preserve"> 47</w:t>
      </w:r>
      <w:r w:rsidR="006649A3" w:rsidRPr="004F0FE2">
        <w:t>.</w:t>
      </w:r>
      <w:r w:rsidRPr="004F0FE2">
        <w:t>9%), and liver metastases (18</w:t>
      </w:r>
      <w:r w:rsidR="006649A3" w:rsidRPr="004F0FE2">
        <w:t>.</w:t>
      </w:r>
      <w:r w:rsidRPr="004F0FE2">
        <w:t>2 vs 16</w:t>
      </w:r>
      <w:r w:rsidR="006649A3" w:rsidRPr="004F0FE2">
        <w:t>.</w:t>
      </w:r>
      <w:r w:rsidRPr="004F0FE2">
        <w:t xml:space="preserve">0%), or the rate of patients with </w:t>
      </w:r>
      <w:r w:rsidRPr="004F0FE2">
        <w:rPr>
          <w:i/>
        </w:rPr>
        <w:t>de novo</w:t>
      </w:r>
      <w:r w:rsidRPr="004F0FE2">
        <w:t xml:space="preserve"> metastatic disease (37</w:t>
      </w:r>
      <w:r w:rsidR="006649A3" w:rsidRPr="004F0FE2">
        <w:t>.</w:t>
      </w:r>
      <w:r w:rsidRPr="004F0FE2">
        <w:t>2 v</w:t>
      </w:r>
      <w:r w:rsidR="00CA203F" w:rsidRPr="004F0FE2">
        <w:t>ersus</w:t>
      </w:r>
      <w:r w:rsidRPr="004F0FE2">
        <w:t xml:space="preserve"> 40</w:t>
      </w:r>
      <w:r w:rsidR="006649A3" w:rsidRPr="004F0FE2">
        <w:t>.</w:t>
      </w:r>
      <w:r w:rsidRPr="004F0FE2">
        <w:t>7%)</w:t>
      </w:r>
      <w:r w:rsidR="00CA203F" w:rsidRPr="004F0FE2">
        <w:t xml:space="preserve"> </w:t>
      </w:r>
      <w:r w:rsidR="00CA203F" w:rsidRPr="004F0FE2">
        <w:rPr>
          <w:vertAlign w:val="superscript"/>
        </w:rPr>
        <w:fldChar w:fldCharType="begin" w:fldLock="1"/>
      </w:r>
      <w:r w:rsidR="009B7569" w:rsidRPr="004F0FE2">
        <w:rPr>
          <w:vertAlign w:val="superscript"/>
        </w:rPr>
        <w:instrText>ADDIN CSL_CITATION {"citationItems":[{"id":"ITEM-1","itemData":{"DOI":"10.1056/NEJMoa1607303","ISSN":"15334406","abstract":"BACKGROUND A phase 2 study showed that progression-free survival was longer with palbociclib plus letrozole than with letrozole alone in the initial treatment of postmenopausal women with estrogen-receptor (ER)-positive, human epidermal growth factor receptor 2 (HER2)-negative advanced breast cancer. We performed a phase 3 study that was designed to confirm and expand the efficacy and safety data for palbociclib plus letrozole for this indication. METHODS In this double-blind study, we randomly assigned, in a 2:1 ratio, 666 postmenopausal women with ER-positive, HER2-negative breast cancer, who had not had prior treatment for advanced disease, to receive palbociclib plus letrozole or placebo plus letrozole. The primary end point was progression-free survival, as assessed by the investigators; secondary end points were overall survival, objective response, clinical benefit response, patient-reported outcomes, pharmacokinetic effects, and safety. RESULTS The median progression-free survival was 24.8 months (95% confidence interval [CI], 22.1 to not estimable) in the palbociclib-letrozole group, as compared with 14.5 months (95% CI, 12.9 to 17.1) in the placebo-letrozole group (hazard ratio for disease progression or death, 0.58; 95% CI, 0.46 to 0.72; P&lt;0.001). The most common grade 3 or 4 adverse events were neutropenia (occurring in 66.4% of the patients in the palbociclib- letrozole group vs. 1.4% in the placebo-letrozole group), leukopenia (24.8% vs. 0%), anemia (5.4% vs. 1.8%), and fatigue (1.8% vs. 0.5%). Febrile neutropenia was reported in 1.8% of patients in the palbociclib-letrozole group and in none of the patients in the placebo-letrozole group. Permanent discontinuation of any study treatment as a result of adverse events occurred in 43 patients (9.7%) in the palbociclib-letrozole group and in 13 patients (5.9%) in the placebo-letrozole group. CONCLUSIONS Among patients with previously untreated ER-positive, HER2-negative advanced breast cancer, palbociclib combined with letrozole resulted in significantly longer progression-free survival than that with letrozole alone, although the rates of myelotoxic effects were higher with palbociclib-letrozole.","author":[{"dropping-particle":"","family":"Finn","given":"Richard S.","non-dropping-particle":"","parse-names":false,"suffix":""},{"dropping-particle":"","family":"Martin","given":"Miguel","non-dropping-particle":"","parse-names":false,"suffix":""},{"dropping-particle":"","family":"Rugo","given":"Hope S.","non-dropping-particle":"","parse-names":false,"suffix":""},{"dropping-particle":"","family":"Jones","given":"Stephen","non-dropping-particle":"","parse-names":false,"suffix":""},{"dropping-particle":"","family":"Im","given":"Seock Ah","non-dropping-particle":"","parse-names":false,"suffix":""},{"dropping-particle":"","family":"Gelmon","given":"Karen","non-dropping-particle":"","parse-names":false,"suffix":""},{"dropping-particle":"","family":"Harbeck","given":"Nadia","non-dropping-particle":"","parse-names":false,"suffix":""},{"dropping-particle":"","family":"Lipatov","given":"Oleg N.","non-dropping-particle":"","parse-names":false,"suffix":""},{"dropping-particle":"","family":"Walshe","given":"Janice M.","non-dropping-particle":"","parse-names":false,"suffix":""},{"dropping-particle":"","family":"Moulder","given":"Stacy","non-dropping-particle":"","parse-names":false,"suffix":""},{"dropping-particle":"","family":"Gauthier","given":"Eric","non-dropping-particle":"","parse-names":false,"suffix":""},{"dropping-particle":"","family":"Lu","given":"Dongrui R.","non-dropping-particle":"","parse-names":false,"suffix":""},{"dropping-particle":"","family":"Randolph","given":"Sophia","non-dropping-particle":"","parse-names":false,"suffix":""},{"dropping-particle":"","family":"Dieras","given":"Veronique","non-dropping-particle":"","parse-names":false,"suffix":""},{"dropping-particle":"","family":"Slamon","given":"Dennis J.","non-dropping-particle":"","parse-names":false,"suffix":""}],"container-title":"New England Journal of Medicine","id":"ITEM-1","issue":"20","issued":{"date-parts":[["2016","11","17"]]},"page":"1925-1936","publisher":"Massachussetts Medical Society","title":"Palbociclib and letrozole in advanced breast cancer","type":"article-journal","volume":"375"},"uris":["http://www.mendeley.com/documents/?uuid=09617519-7475-3785-a36d-c85aa1f9243a"]}],"mendeley":{"formattedCitation":"[15]","plainTextFormattedCitation":"[15]","previouslyFormattedCitation":"[15]"},"properties":{"noteIndex":0},"schema":"https://github.com/citation-style-language/schema/raw/master/csl-citation.json"}</w:instrText>
      </w:r>
      <w:r w:rsidR="00CA203F" w:rsidRPr="004F0FE2">
        <w:rPr>
          <w:vertAlign w:val="superscript"/>
        </w:rPr>
        <w:fldChar w:fldCharType="separate"/>
      </w:r>
      <w:r w:rsidR="009B7569" w:rsidRPr="004F0FE2">
        <w:t>[15]</w:t>
      </w:r>
      <w:r w:rsidR="00CA203F" w:rsidRPr="004F0FE2">
        <w:rPr>
          <w:vertAlign w:val="superscript"/>
        </w:rPr>
        <w:fldChar w:fldCharType="end"/>
      </w:r>
      <w:r w:rsidR="00CA203F" w:rsidRPr="004F0FE2">
        <w:t>.</w:t>
      </w:r>
      <w:r w:rsidRPr="004F0FE2">
        <w:rPr>
          <w:vertAlign w:val="superscript"/>
        </w:rPr>
        <w:t xml:space="preserve"> </w:t>
      </w:r>
      <w:r w:rsidRPr="004F0FE2">
        <w:t>The lon</w:t>
      </w:r>
      <w:r w:rsidRPr="004F0FE2">
        <w:rPr>
          <w:shd w:val="clear" w:color="auto" w:fill="FFFFFF"/>
        </w:rPr>
        <w:t xml:space="preserve">ger median progression-free survival reported with </w:t>
      </w:r>
      <w:proofErr w:type="spellStart"/>
      <w:r w:rsidR="00291F27" w:rsidRPr="004F0FE2">
        <w:t>palbociclib</w:t>
      </w:r>
      <w:proofErr w:type="spellEnd"/>
      <w:r w:rsidR="00291F27" w:rsidRPr="004F0FE2">
        <w:t xml:space="preserve">-letrozole </w:t>
      </w:r>
      <w:r w:rsidRPr="004F0FE2">
        <w:rPr>
          <w:shd w:val="clear" w:color="auto" w:fill="FFFFFF"/>
        </w:rPr>
        <w:t xml:space="preserve">in the PARSIFAL trial might be explained by the longer median duration of follow-up compared with previous studies. Nevertheless, after a median follow-up of approximately 38 months, median progression-free survival for </w:t>
      </w:r>
      <w:proofErr w:type="spellStart"/>
      <w:r w:rsidR="00291F27" w:rsidRPr="004F0FE2">
        <w:t>palbociclib</w:t>
      </w:r>
      <w:proofErr w:type="spellEnd"/>
      <w:r w:rsidR="00291F27" w:rsidRPr="004F0FE2">
        <w:t xml:space="preserve">-letrozole </w:t>
      </w:r>
      <w:r w:rsidRPr="004F0FE2">
        <w:rPr>
          <w:shd w:val="clear" w:color="auto" w:fill="FFFFFF"/>
        </w:rPr>
        <w:t>in the PALOMA-2 trial (27</w:t>
      </w:r>
      <w:r w:rsidR="006649A3" w:rsidRPr="004F0FE2">
        <w:rPr>
          <w:shd w:val="clear" w:color="auto" w:fill="FFFFFF"/>
        </w:rPr>
        <w:t>.</w:t>
      </w:r>
      <w:r w:rsidRPr="004F0FE2">
        <w:rPr>
          <w:shd w:val="clear" w:color="auto" w:fill="FFFFFF"/>
        </w:rPr>
        <w:t>6 months; 95% CI 22</w:t>
      </w:r>
      <w:r w:rsidR="006649A3" w:rsidRPr="004F0FE2">
        <w:rPr>
          <w:shd w:val="clear" w:color="auto" w:fill="FFFFFF"/>
        </w:rPr>
        <w:t>.</w:t>
      </w:r>
      <w:r w:rsidRPr="004F0FE2">
        <w:rPr>
          <w:shd w:val="clear" w:color="auto" w:fill="FFFFFF"/>
        </w:rPr>
        <w:t>4–30</w:t>
      </w:r>
      <w:r w:rsidR="006649A3" w:rsidRPr="004F0FE2">
        <w:rPr>
          <w:shd w:val="clear" w:color="auto" w:fill="FFFFFF"/>
        </w:rPr>
        <w:t>.</w:t>
      </w:r>
      <w:r w:rsidRPr="004F0FE2">
        <w:rPr>
          <w:shd w:val="clear" w:color="auto" w:fill="FFFFFF"/>
        </w:rPr>
        <w:t>3)</w:t>
      </w:r>
      <w:r w:rsidR="00BA785F" w:rsidRPr="004F0FE2">
        <w:rPr>
          <w:shd w:val="clear" w:color="auto" w:fill="FFFFFF"/>
        </w:rPr>
        <w:t xml:space="preserve"> </w:t>
      </w:r>
      <w:r w:rsidR="00BA785F" w:rsidRPr="004F0FE2">
        <w:rPr>
          <w:shd w:val="clear" w:color="auto" w:fill="FFFFFF"/>
        </w:rPr>
        <w:fldChar w:fldCharType="begin" w:fldLock="1"/>
      </w:r>
      <w:r w:rsidR="009B7569" w:rsidRPr="004F0FE2">
        <w:rPr>
          <w:shd w:val="clear" w:color="auto" w:fill="FFFFFF"/>
        </w:rPr>
        <w:instrText>ADDIN CSL_CITATION {"citationItems":[{"id":"ITEM-1","itemData":{"DOI":"10.1007/s10549-018-05125-4","ISSN":"15737217","PMID":"30632023","abstract":"Purpose: In the initial PALOMA-2 (NCT01740427) analysis with median follow-up of 23 months, palbociclib plus letrozole significantly prolonged progression-free survival (PFS) in women with estrogen receptor-positive (ER+)/human epidermal growth factor receptor 2-negative (HER2−) advanced breast cancer (ABC) [hazard ratio (HR) 0.58; P &lt; 0.001]. Herein, we report results overall and by subgroups with extended follow-up. Methods: In this double-blind, phase 3 study, post-menopausal women with ER+/HER2− ABC who had not received prior systemic therapy for their advanced disease were randomized 2:1 to palbociclib-letrozole or placebo-letrozole. Endpoints include investigator-assessed PFS (primary), safety, and patient-reported outcomes (PROs). Results: After a median follow-up of approximately 38 months, median PFS was 27.6 months for palbociclib–letrozole (n = 444) and 14.5 months for placebo-letrozole (n = 222) (HR 0.563; 1-sided P &lt; 0.0001). All subgroups benefited from palbociclib treatment. The improvement of PFS with palbociclib-letrozole was maintained in the next 2 subsequent lines of therapy and delayed the use of chemotherapy (40.4 vs. 29.9 months for palbociclib–letrozole vs. placebo-letrozole). Safety data were consistent with the known profile. Patients’ quality of life was maintained. Conclusions: With approximately 15 months of additional follow-up, palbociclib plus letrozole continued to demonstrate improved PFS compared with placebo plus letrozole in the overall population and across all patient subgroups, while the safety profile remained favorable and quality of life was maintained. These data confirm that palbociclib-letrozole should be considered the standard of care for first-line therapy in patients with ER+/HER2− ABC, including those with low disease burden or long disease-free interval. Sponsored by Pfizer; ClinicalTrials.gov: NCT01740427.","author":[{"dropping-particle":"","family":"Rugo","given":"H. S.","non-dropping-particle":"","parse-names":false,"suffix":""},{"dropping-particle":"","family":"Finn","given":"R. S.","non-dropping-particle":"","parse-names":false,"suffix":""},{"dropping-particle":"","family":"Diéras","given":"V.","non-dropping-particle":"","parse-names":false,"suffix":""},{"dropping-particle":"","family":"Ettl","given":"J.","non-dropping-particle":"","parse-names":false,"suffix":""},{"dropping-particle":"","family":"Lipatov","given":"O.","non-dropping-particle":"","parse-names":false,"suffix":""},{"dropping-particle":"","family":"Joy","given":"A. A.","non-dropping-particle":"","parse-names":false,"suffix":""},{"dropping-particle":"","family":"Harbeck","given":"N.","non-dropping-particle":"","parse-names":false,"suffix":""},{"dropping-particle":"","family":"Castrellon","given":"A.","non-dropping-particle":"","parse-names":false,"suffix":""},{"dropping-particle":"","family":"Iyer","given":"S.","non-dropping-particle":"","parse-names":false,"suffix":""},{"dropping-particle":"","family":"Lu","given":"D. R.","non-dropping-particle":"","parse-names":false,"suffix":""},{"dropping-particle":"","family":"Mori","given":"A.","non-dropping-particle":"","parse-names":false,"suffix":""},{"dropping-particle":"","family":"Gauthier","given":"E. R.","non-dropping-particle":"","parse-names":false,"suffix":""},{"dropping-particle":"","family":"Bartlett","given":"C. Huang","non-dropping-particle":"","parse-names":false,"suffix":""},{"dropping-particle":"","family":"Gelmon","given":"K. A.","non-dropping-particle":"","parse-names":false,"suffix":""},{"dropping-particle":"","family":"Slamon","given":"D. J.","non-dropping-particle":"","parse-names":false,"suffix":""}],"container-title":"Breast Cancer Research and Treatment","id":"ITEM-1","issue":"3","issued":{"date-parts":[["2019","4","30"]]},"page":"719-729","publisher":"Springer New York LLC","title":"Palbociclib plus letrozole as first-line therapy in estrogen receptor-positive/human epidermal growth factor receptor 2-negative advanced breast cancer with extended follow-up","type":"article-journal","volume":"174"},"uris":["http://www.mendeley.com/documents/?uuid=b1ef95b0-101a-3fac-bb53-4e38fd88b8f5"]}],"mendeley":{"formattedCitation":"[14]","plainTextFormattedCitation":"[14]","previouslyFormattedCitation":"[14]"},"properties":{"noteIndex":0},"schema":"https://github.com/citation-style-language/schema/raw/master/csl-citation.json"}</w:instrText>
      </w:r>
      <w:r w:rsidR="00BA785F" w:rsidRPr="004F0FE2">
        <w:rPr>
          <w:shd w:val="clear" w:color="auto" w:fill="FFFFFF"/>
        </w:rPr>
        <w:fldChar w:fldCharType="separate"/>
      </w:r>
      <w:r w:rsidR="009B7569" w:rsidRPr="004F0FE2">
        <w:rPr>
          <w:shd w:val="clear" w:color="auto" w:fill="FFFFFF"/>
        </w:rPr>
        <w:t>[14]</w:t>
      </w:r>
      <w:r w:rsidR="00BA785F" w:rsidRPr="004F0FE2">
        <w:rPr>
          <w:shd w:val="clear" w:color="auto" w:fill="FFFFFF"/>
        </w:rPr>
        <w:fldChar w:fldCharType="end"/>
      </w:r>
      <w:r w:rsidR="00BA785F" w:rsidRPr="004F0FE2">
        <w:rPr>
          <w:shd w:val="clear" w:color="auto" w:fill="FFFFFF"/>
          <w:vertAlign w:val="superscript"/>
        </w:rPr>
        <w:t xml:space="preserve"> </w:t>
      </w:r>
      <w:r w:rsidRPr="004F0FE2">
        <w:rPr>
          <w:shd w:val="clear" w:color="auto" w:fill="FFFFFF"/>
        </w:rPr>
        <w:t xml:space="preserve">still continued to be shorter than reported in the PARSIFAL </w:t>
      </w:r>
      <w:r w:rsidR="009764D9">
        <w:rPr>
          <w:shd w:val="clear" w:color="auto" w:fill="FFFFFF"/>
        </w:rPr>
        <w:t>trial</w:t>
      </w:r>
      <w:r w:rsidRPr="004F0FE2">
        <w:rPr>
          <w:shd w:val="clear" w:color="auto" w:fill="FFFFFF"/>
        </w:rPr>
        <w:t>.</w:t>
      </w:r>
    </w:p>
    <w:p w14:paraId="68791799" w14:textId="4B333D1B" w:rsidR="00766C04" w:rsidRPr="004F0FE2" w:rsidRDefault="00766C04" w:rsidP="00673269">
      <w:pPr>
        <w:ind w:right="567"/>
      </w:pPr>
      <w:r w:rsidRPr="004F0FE2">
        <w:t>Conversely,</w:t>
      </w:r>
      <w:r w:rsidRPr="004F0FE2">
        <w:rPr>
          <w:shd w:val="clear" w:color="auto" w:fill="FFFFFF"/>
        </w:rPr>
        <w:t xml:space="preserve"> </w:t>
      </w:r>
      <w:r w:rsidRPr="004F0FE2">
        <w:t xml:space="preserve">in the phase 3 MONALEESA-3 trial, </w:t>
      </w:r>
      <w:r w:rsidRPr="004F0FE2">
        <w:rPr>
          <w:shd w:val="clear" w:color="auto" w:fill="FFFFFF"/>
        </w:rPr>
        <w:t>after a median follow-up of 39</w:t>
      </w:r>
      <w:r w:rsidR="006649A3" w:rsidRPr="004F0FE2">
        <w:rPr>
          <w:shd w:val="clear" w:color="auto" w:fill="FFFFFF"/>
        </w:rPr>
        <w:t>.</w:t>
      </w:r>
      <w:r w:rsidRPr="004F0FE2">
        <w:rPr>
          <w:shd w:val="clear" w:color="auto" w:fill="FFFFFF"/>
        </w:rPr>
        <w:t>4 months,</w:t>
      </w:r>
      <w:r w:rsidRPr="004F0FE2">
        <w:t xml:space="preserve"> median progression-free survival in the subgroup of patients who received </w:t>
      </w:r>
      <w:proofErr w:type="spellStart"/>
      <w:r w:rsidR="00291F27" w:rsidRPr="004F0FE2">
        <w:rPr>
          <w:shd w:val="clear" w:color="auto" w:fill="FFFFFF"/>
        </w:rPr>
        <w:t>palbociclib-fulvestrant</w:t>
      </w:r>
      <w:proofErr w:type="spellEnd"/>
      <w:r w:rsidRPr="004F0FE2">
        <w:t xml:space="preserve"> as first-line therapy was 33</w:t>
      </w:r>
      <w:r w:rsidR="006649A3" w:rsidRPr="004F0FE2">
        <w:t>.</w:t>
      </w:r>
      <w:r w:rsidRPr="004F0FE2">
        <w:t>6 months (95% CI 27</w:t>
      </w:r>
      <w:r w:rsidR="006649A3" w:rsidRPr="004F0FE2">
        <w:t>.</w:t>
      </w:r>
      <w:r w:rsidRPr="004F0FE2">
        <w:t>1</w:t>
      </w:r>
      <w:r w:rsidR="0049464D" w:rsidRPr="004F0FE2">
        <w:rPr>
          <w:shd w:val="clear" w:color="auto" w:fill="FFFFFF"/>
        </w:rPr>
        <w:t xml:space="preserve"> - </w:t>
      </w:r>
      <w:r w:rsidRPr="004F0FE2">
        <w:t>41</w:t>
      </w:r>
      <w:r w:rsidR="006649A3" w:rsidRPr="004F0FE2">
        <w:t>.</w:t>
      </w:r>
      <w:r w:rsidRPr="004F0FE2">
        <w:t>3)</w:t>
      </w:r>
      <w:r w:rsidR="00CA203F" w:rsidRPr="004F0FE2">
        <w:t xml:space="preserve"> </w:t>
      </w:r>
      <w:r w:rsidR="00CA203F" w:rsidRPr="004F0FE2">
        <w:fldChar w:fldCharType="begin" w:fldLock="1"/>
      </w:r>
      <w:r w:rsidR="009B7569" w:rsidRPr="004F0FE2">
        <w:instrText>ADDIN CSL_CITATION {"citationItems":[{"id":"ITEM-1","itemData":{"DOI":"10.1056/NEJMoa1911149","ISSN":"15334406","PMID":"31826360","abstract":"BACKGROUND In an earlier analysis of this phase 3 trial, ribociclib plus fulvestrant showed a greater benefit with regard to progression-free survival than fulvestrant alone in postmenopausal patients with hormone-receptor-positive, human epidermal growth factor receptor 2 (HER2)-negative advanced breast cancer. Here we report the results of a protocol-specified second interim analysis of overall survival. METHODS Patients were randomly assigned in a 2:1 ratio to receive either ribociclib or placebo in addition to fulvestrant as first-line or second-line treatment. Survival was evaluated by means of a stratified log-rank test and summarized with the use of Kaplan-Meier methods. RESULTS This analysis was based on 275 deaths: 167 among 484 patients (34.5%) receiving ribociclib and 108 among 242 (44.6%) receiving placebo. Ribociclib plus fulvestrant showed a significant overall survival benefit over placebo plus fulvestrant. The estimated overall survival at 42 months was 57.8% (95% confidence interval [CI], 52.0 to 63.2) in the ribociclib group and 45.9% (95% CI, 36.9 to 54.5) in the placebo group, for a 28% difference in the relative risk of death (hazard ratio, 0.72; 95% CI, 0.57 to 0.92; P = 0.00455). The benefit was consistent across most subgroups. In a descriptive update, median progression-free survival among patients receiving first-line treatment was 33.6 months (95% CI, 27.1 to 41.3) in the ribociclib group and 19.2 months (95% CI, 14.9 to 23.6) in the placebo group. No new safety signals were observed. CONCLUSIONS Ribociclib plus fulvestrant showed a significant overall survival benefit over placebo plus fulvestrant in patients with hormone-receptor-positive, HER2-negative advanced breast cancer.","author":[{"dropping-particle":"","family":"Slamon","given":"Dennis J.","non-dropping-particle":"","parse-names":false,"suffix":""},{"dropping-particle":"","family":"Neven","given":"Patrick","non-dropping-particle":"","parse-names":false,"suffix":""},{"dropping-particle":"","family":"Chia","given":"Stephen","non-dropping-particle":"","parse-names":false,"suffix":""},{"dropping-particle":"","family":"Fasching","given":"Peter A.","non-dropping-particle":"","parse-names":false,"suffix":""},{"dropping-particle":"","family":"Laurentiis","given":"Michelino","non-dropping-particle":"De","parse-names":false,"suffix":""},{"dropping-particle":"","family":"Im","given":"Seock Ah","non-dropping-particle":"","parse-names":false,"suffix":""},{"dropping-particle":"","family":"Petrakova","given":"Katarina","non-dropping-particle":"","parse-names":false,"suffix":""},{"dropping-particle":"V.","family":"Bianchi","given":"Giulia","non-dropping-particle":"","parse-names":false,"suffix":""},{"dropping-particle":"","family":"Esteva","given":"Francisco J.","non-dropping-particle":"","parse-names":false,"suffix":""},{"dropping-particle":"","family":"Martín","given":"Miguel","non-dropping-particle":"","parse-names":false,"suffix":""},{"dropping-particle":"","family":"Nusch","given":"Arnd","non-dropping-particle":"","parse-names":false,"suffix":""},{"dropping-particle":"","family":"Sonke","given":"Gabe S.","non-dropping-particle":"","parse-names":false,"suffix":""},{"dropping-particle":"","family":"La Cruz-Merino","given":"Luis","non-dropping-particle":"De","parse-names":false,"suffix":""},{"dropping-particle":"","family":"Beck","given":"J. Thaddeus","non-dropping-particle":"","parse-names":false,"suffix":""},{"dropping-particle":"","family":"Pivot","given":"Xavier","non-dropping-particle":"","parse-names":false,"suffix":""},{"dropping-particle":"","family":"Sondhi","given":"Manu","non-dropping-particle":"","parse-names":false,"suffix":""},{"dropping-particle":"","family":"Wang","given":"Yingbo","non-dropping-particle":"","parse-names":false,"suffix":""},{"dropping-particle":"","family":"Chakravartty","given":"Arunava","non-dropping-particle":"","parse-names":false,"suffix":""},{"dropping-particle":"","family":"Rodriguez-Lorenc","given":"Karen","non-dropping-particle":"","parse-names":false,"suffix":""},{"dropping-particle":"","family":"Taran","given":"Tetiana","non-dropping-particle":"","parse-names":false,"suffix":""},{"dropping-particle":"","family":"Jerusalem","given":"Guy","non-dropping-particle":"","parse-names":false,"suffix":""}],"container-title":"New England Journal of Medicine","id":"ITEM-1","issue":"6","issued":{"date-parts":[["2020","2","6"]]},"page":"514-524","publisher":"Massachussetts Medical Society","title":"Overall survival with ribociclib plus fulvestrant in advanced breast cancer","type":"article-journal","volume":"382"},"uris":["http://www.mendeley.com/documents/?uuid=668fb319-d82a-3b2f-a0fb-767d035762f9"]}],"mendeley":{"formattedCitation":"[34]","plainTextFormattedCitation":"[34]","previouslyFormattedCitation":"[34]"},"properties":{"noteIndex":0},"schema":"https://github.com/citation-style-language/schema/raw/master/csl-citation.json"}</w:instrText>
      </w:r>
      <w:r w:rsidR="00CA203F" w:rsidRPr="004F0FE2">
        <w:fldChar w:fldCharType="separate"/>
      </w:r>
      <w:r w:rsidR="009B7569" w:rsidRPr="004F0FE2">
        <w:t>[34]</w:t>
      </w:r>
      <w:r w:rsidR="00CA203F" w:rsidRPr="004F0FE2">
        <w:fldChar w:fldCharType="end"/>
      </w:r>
      <w:r w:rsidR="00CA203F" w:rsidRPr="004F0FE2">
        <w:t>.</w:t>
      </w:r>
      <w:r w:rsidR="00A60A5D" w:rsidRPr="004F0FE2">
        <w:t xml:space="preserve"> </w:t>
      </w:r>
      <w:r w:rsidRPr="004F0FE2">
        <w:t xml:space="preserve">Despite the </w:t>
      </w:r>
      <w:r w:rsidR="00214000" w:rsidRPr="004F0FE2">
        <w:t>well-balanced</w:t>
      </w:r>
      <w:r w:rsidRPr="004F0FE2">
        <w:t xml:space="preserve"> baseline characteristics, median progression-free survival of MONALEESA-3 study seems to be slightly better than that achieved in the PARSIFAL trial.</w:t>
      </w:r>
    </w:p>
    <w:p w14:paraId="088B3DB3" w14:textId="77777777" w:rsidR="00766C04" w:rsidRPr="004F0FE2" w:rsidRDefault="00766C04" w:rsidP="00673269">
      <w:pPr>
        <w:ind w:right="567"/>
      </w:pPr>
      <w:r w:rsidRPr="004F0FE2">
        <w:t>Therefore, reasons that justify the observed differences in efficacy results from those planned in the initial statistical design in the PARSIFAL trial remain undetermined.</w:t>
      </w:r>
      <w:r w:rsidRPr="004F0FE2">
        <w:rPr>
          <w:shd w:val="clear" w:color="auto" w:fill="FFFFFF"/>
        </w:rPr>
        <w:t xml:space="preserve"> </w:t>
      </w:r>
    </w:p>
    <w:p w14:paraId="60CAABD4" w14:textId="77777777" w:rsidR="00766C04" w:rsidRPr="004F0FE2" w:rsidRDefault="00766C04" w:rsidP="00673269">
      <w:pPr>
        <w:ind w:right="567"/>
      </w:pPr>
      <w:r w:rsidRPr="004F0FE2">
        <w:t xml:space="preserve">In the phase 3 FALCON trial, a higher treatment effect with </w:t>
      </w:r>
      <w:proofErr w:type="spellStart"/>
      <w:r w:rsidRPr="004F0FE2">
        <w:t>fulvestrant</w:t>
      </w:r>
      <w:proofErr w:type="spellEnd"/>
      <w:r w:rsidRPr="004F0FE2">
        <w:t xml:space="preserve"> versus anastrozole was seen in some subgroups, particularly in patients with non-visceral disease compared with those with visceral disease</w:t>
      </w:r>
      <w:r w:rsidR="0049464D" w:rsidRPr="004F0FE2">
        <w:t xml:space="preserve"> </w:t>
      </w:r>
      <w:r w:rsidR="00CA203F" w:rsidRPr="004F0FE2">
        <w:fldChar w:fldCharType="begin" w:fldLock="1"/>
      </w:r>
      <w:r w:rsidR="009B7569" w:rsidRPr="004F0FE2">
        <w:instrText>ADDIN CSL_CITATION {"citationItems":[{"id":"ITEM-1","itemData":{"DOI":"10.1016/S0140-6736(16)32389-3","ISSN":"1474547X","PMID":"27908454","abstract":"Background Aromatase inhibitors are a standard of care for hormone receptor-positive locally advanced or metastatic breast cancer. We investigated whether the selective oestrogen receptor degrader fulvestrant could improve progression-free survival compared with anastrozole in postmenopausal patients who had not received previous endocrine therapy. Methods In this phase 3, randomised, double-blind trial, we recruited eligible patients with histologically confirmed oestrogen receptor-positive or progesterone receptor-positive, or both, locally advanced or metastatic breast cancer from 113 academic hospitals and community centres in 20 countries. Eligible patients were endocrine therapy-naive, with WHO performance status 0–2, and at least one measurable or non-measurable lesion. Patients were randomly assigned (1:1) to fulvestrant (500 mg intramuscular injection; on days 0, 14, 28, then every 28 days thereafter) or anastrozole (1 mg orally daily) using a computer-generated randomisation scheme. The primary endpoint was progression-free survival, determined by Response Evaluation Criteria in Solid Tumors version 1·1, intervention by surgery or radiotherapy because of disease deterioration, or death from any cause, assessed in the intention-to-treat population. Safety outcomes were assessed in all patients who received at least one dose of randomised treatment (including placebo). This trial is registered with ClinicalTrials.gov, number NCT01602380. Findings Between Oct 17, 2012, and July 11, 2014, 524 patients were enrolled to this study. Of these, 462 patients were randomised (230 to receive fulvestrant and 232 to receive anastrozole). Progression-free survival was significantly longer in the fulvestrant group than in the anastrozole group (hazard ratio [HR] 0·797, 95% CI 0·637–0·999, p=0·0486). Median progression-free survival was 16·6 months (95% CI 13·83–20·99) in the fulvestrant group versus 13·8 months (11·99–16·59) in the anastrozole group. The most common adverse events were arthralgia (38 [17%] in the fulvestrant group vs 24 [10%] in the anastrozole group) and hot flushes (26 [11%] in the fulvestrant group vs 24 [10%] in the anastrozole group). 16 (7%) of 228 patients in in the fulvestrant group and 11 (5%) of 232 patients in the anastrozole group discontinued because of adverse events. Interpretation Fulvestrant has superior efficacy and is a preferred treatment option for patients with hormone receptor-positive locally advanced or metastatic bre…","author":[{"dropping-particle":"","family":"Robertson","given":"John F.R.","non-dropping-particle":"","parse-names":false,"suffix":""},{"dropping-particle":"","family":"Bondarenko","given":"Igor M.","non-dropping-particle":"","parse-names":false,"suffix":""},{"dropping-particle":"","family":"Trishkina","given":"Ekaterina","non-dropping-particle":"","parse-names":false,"suffix":""},{"dropping-particle":"","family":"Dvorkin","given":"Mikhail","non-dropping-particle":"","parse-names":false,"suffix":""},{"dropping-particle":"","family":"Panasci","given":"Lawrence","non-dropping-particle":"","parse-names":false,"suffix":""},{"dropping-particle":"","family":"Manikhas","given":"Alexey","non-dropping-particle":"","parse-names":false,"suffix":""},{"dropping-particle":"","family":"Shparyk","given":"Yaroslav","non-dropping-particle":"","parse-names":false,"suffix":""},{"dropping-particle":"","family":"Cardona-Huerta","given":"Servando","non-dropping-particle":"","parse-names":false,"suffix":""},{"dropping-particle":"","family":"Cheung","given":"Kwok Leung","non-dropping-particle":"","parse-names":false,"suffix":""},{"dropping-particle":"","family":"Philco-Salas","given":"Manuel Jesus","non-dropping-particle":"","parse-names":false,"suffix":""},{"dropping-particle":"","family":"Ruiz-Borrego","given":"Manuel","non-dropping-particle":"","parse-names":false,"suffix":""},{"dropping-particle":"","family":"Shao","given":"Zhimin","non-dropping-particle":"","parse-names":false,"suffix":""},{"dropping-particle":"","family":"Noguchi","given":"Shinzaburo","non-dropping-particle":"","parse-names":false,"suffix":""},{"dropping-particle":"","family":"Rowbottom","given":"Jacqui","non-dropping-particle":"","parse-names":false,"suffix":""},{"dropping-particle":"","family":"Stuart","given":"Mary","non-dropping-particle":"","parse-names":false,"suffix":""},{"dropping-particle":"","family":"Grinsted","given":"Lynda M.","non-dropping-particle":"","parse-names":false,"suffix":""},{"dropping-particle":"","family":"Fazal","given":"Mehdi","non-dropping-particle":"","parse-names":false,"suffix":""},{"dropping-particle":"","family":"Ellis","given":"Matthew J.","non-dropping-particle":"","parse-names":false,"suffix":""}],"container-title":"The Lancet","id":"ITEM-1","issue":"10063","issued":{"date-parts":[["2016","12","17"]]},"page":"2997-3005","publisher":"Lancet Publishing Group","title":"Fulvestrant 500 mg versus anastrozole 1 mg for hormone receptor-positive advanced breast cancer (FALCON): an international, randomised, double-blind, phase 3 trial","type":"article-journal","volume":"388"},"uris":["http://www.mendeley.com/documents/?uuid=211a1aab-4358-33cb-bc43-764f95610866"]}],"mendeley":{"formattedCitation":"[32]","plainTextFormattedCitation":"[32]","previouslyFormattedCitation":"[32]"},"properties":{"noteIndex":0},"schema":"https://github.com/citation-style-language/schema/raw/master/csl-citation.json"}</w:instrText>
      </w:r>
      <w:r w:rsidR="00CA203F" w:rsidRPr="004F0FE2">
        <w:fldChar w:fldCharType="separate"/>
      </w:r>
      <w:r w:rsidR="009B7569" w:rsidRPr="004F0FE2">
        <w:t>[32]</w:t>
      </w:r>
      <w:r w:rsidR="00CA203F" w:rsidRPr="004F0FE2">
        <w:fldChar w:fldCharType="end"/>
      </w:r>
      <w:r w:rsidRPr="004F0FE2">
        <w:t>.</w:t>
      </w:r>
      <w:r w:rsidR="00CA203F" w:rsidRPr="004F0FE2">
        <w:rPr>
          <w:shd w:val="clear" w:color="auto" w:fill="FFFFFF"/>
        </w:rPr>
        <w:t xml:space="preserve"> </w:t>
      </w:r>
      <w:r w:rsidRPr="004F0FE2">
        <w:rPr>
          <w:shd w:val="clear" w:color="auto" w:fill="FFFFFF"/>
        </w:rPr>
        <w:t xml:space="preserve">PARSIFAL showed no differences between </w:t>
      </w:r>
      <w:proofErr w:type="spellStart"/>
      <w:r w:rsidR="00291F27" w:rsidRPr="004F0FE2">
        <w:rPr>
          <w:shd w:val="clear" w:color="auto" w:fill="FFFFFF"/>
        </w:rPr>
        <w:t>palbociclib-fulvestrant</w:t>
      </w:r>
      <w:proofErr w:type="spellEnd"/>
      <w:r w:rsidRPr="004F0FE2">
        <w:rPr>
          <w:shd w:val="clear" w:color="auto" w:fill="FFFFFF"/>
        </w:rPr>
        <w:t xml:space="preserve"> and </w:t>
      </w:r>
      <w:proofErr w:type="spellStart"/>
      <w:r w:rsidR="00291F27" w:rsidRPr="004F0FE2">
        <w:t>palbociclib</w:t>
      </w:r>
      <w:proofErr w:type="spellEnd"/>
      <w:r w:rsidR="00291F27" w:rsidRPr="004F0FE2">
        <w:t xml:space="preserve">-letrozole </w:t>
      </w:r>
      <w:r w:rsidRPr="004F0FE2">
        <w:rPr>
          <w:shd w:val="clear" w:color="auto" w:fill="FFFFFF"/>
        </w:rPr>
        <w:t>arms across all pre</w:t>
      </w:r>
      <w:r w:rsidR="00291F27" w:rsidRPr="004F0FE2">
        <w:rPr>
          <w:shd w:val="clear" w:color="auto" w:fill="FFFFFF"/>
        </w:rPr>
        <w:t>-</w:t>
      </w:r>
      <w:r w:rsidRPr="004F0FE2">
        <w:rPr>
          <w:shd w:val="clear" w:color="auto" w:fill="FFFFFF"/>
        </w:rPr>
        <w:t xml:space="preserve">specified subgroups, apart from a statistical trend toward improved progression-free survival </w:t>
      </w:r>
      <w:r w:rsidRPr="004F0FE2">
        <w:t xml:space="preserve">in patients with visceral involvement who received </w:t>
      </w:r>
      <w:proofErr w:type="spellStart"/>
      <w:r w:rsidR="00291F27" w:rsidRPr="004F0FE2">
        <w:t>palbociclib</w:t>
      </w:r>
      <w:proofErr w:type="spellEnd"/>
      <w:r w:rsidR="00291F27" w:rsidRPr="004F0FE2">
        <w:t>-letrozole</w:t>
      </w:r>
      <w:r w:rsidRPr="004F0FE2">
        <w:t>.</w:t>
      </w:r>
    </w:p>
    <w:p w14:paraId="5A2EDFDF" w14:textId="77777777" w:rsidR="00766C04" w:rsidRPr="004F0FE2" w:rsidRDefault="00766C04" w:rsidP="00673269">
      <w:pPr>
        <w:ind w:right="567"/>
      </w:pPr>
      <w:r w:rsidRPr="004F0FE2">
        <w:rPr>
          <w:lang w:eastAsia="es-ES"/>
        </w:rPr>
        <w:t xml:space="preserve">Over the last years, the optimal sequence for the systemic treatment of </w:t>
      </w:r>
      <w:r w:rsidR="0049464D" w:rsidRPr="004F0FE2">
        <w:rPr>
          <w:lang w:eastAsia="es-ES"/>
        </w:rPr>
        <w:t>ER+</w:t>
      </w:r>
      <w:r w:rsidRPr="004F0FE2">
        <w:rPr>
          <w:lang w:eastAsia="es-ES"/>
        </w:rPr>
        <w:t>/HER2- metastatic breast cancer has been controversial.</w:t>
      </w:r>
      <w:r w:rsidRPr="004F0FE2">
        <w:t xml:space="preserve"> However, considering the consistent improvement in overall survival that has been recently reported with the addition of CDK4/6 inhibitors to endocrine therapy in both first- and second-line settings</w:t>
      </w:r>
      <w:r w:rsidR="00CA203F" w:rsidRPr="004F0FE2">
        <w:t xml:space="preserve"> </w:t>
      </w:r>
      <w:r w:rsidR="00CA203F" w:rsidRPr="004F0FE2">
        <w:fldChar w:fldCharType="begin" w:fldLock="1"/>
      </w:r>
      <w:r w:rsidR="009B7569" w:rsidRPr="004F0FE2">
        <w:instrText>ADDIN CSL_CITATION {"citationItems":[{"id":"ITEM-1","itemData":{"DOI":"10.1056/NEJMoa1810527","ISSN":"15334406","PMID":"30345905","abstract":"BACKGROUND: The cyclin-dependent kinase 4 and 6 (CDK4/6) inhibitor palbociclib, in combination with fulvestrant therapy, prolongs progression-free survival among patients with hormone-receptor-positive, human epidermal growth factor receptor 2 (HER2)-negative advanced breast cancer. We report the results of a prespecified analysis of overall survival. METHODS: We randomly assigned patients with hormone-receptor-positive, HER2-negative advanced breast cancer who had progression or relapse during previous endocrine therapy to receive palbociclib plus fulvestrant or placebo plus fulvestrant. We analyzed overall survival; the effect of palbociclib according to the prespecified stratification factors of presence or absence of sensitivity to endocrine therapy, presence or absence of visceral metastatic disease, and menopausal status; the efficacy of subsequent therapies after disease progression; and safety. RESULTS: Among 521 patients who underwent randomization, the median overall survival was 34.9 months (95% confidence interval [CI], 28.8 to 40.0) in the palbociclib- fulvestrant group and 28.0 months (95% CI, 23.6 to 34.6) in the placebo-fulvestrant group (hazard ratio for death, 0.81; 95% CI, 0.64 to 1.03; P = 0.09; absolute difference, 6.9 months). CDK4/6 inhibitor treatment after the completion of the trial regimen occurred in 16% of the patients in the placebo-fulvestrant group. Among 410 patients with sensitivity to previous endocrine therapy, the median overall survival was 39.7 months (95% CI, 34.8 to 45.7) in the palbociclib-fulvestrant group and 29.7 months (95% CI, 23.8 to 37.9) in the placebo-fulvestrant group (hazard ratio, 0.72; 95% CI, 0.55 to 0.94; absolute difference, 10.0 months). The median duration of subsequent therapy was similar in the two groups, and the median time to the receipt of chemotherapy was 17.6 months in the palbociclib- fulvestrant group, as compared with 8.8 months in the placebo-fulvestrant group (hazard ratio, 0.58; 95% CI, 0.47 to 0.73; P&lt;0.001). No new safety signals were observed with 44.8 months of follow-up. CONCLUSIONS: Among patients with hormone-receptor-positive, HER2-negative advanced breast cancer who had sensitivity to previous endocrine therapy, treatment with palbociclib- fulvestrant resulted in longer overall survival than treatment with placebo- fulvestrant. The differences in overall survival in the entire trial group were not significant.","author":[{"dropping-particle":"","family":"Turner","given":"N. C.","non-dropping-particle":"","parse-names":false,"suffix":""},{"dropping-particle":"","family":"Slamon","given":"D. J.","non-dropping-particle":"","parse-names":false,"suffix":""},{"dropping-particle":"","family":"Ro","given":"J.","non-dropping-particle":"","parse-names":false,"suffix":""},{"dropping-particle":"","family":"Bondarenko","given":"I.","non-dropping-particle":"","parse-names":false,"suffix":""},{"dropping-particle":"","family":"Im","given":"S. A.","non-dropping-particle":"","parse-names":false,"suffix":""},{"dropping-particle":"","family":"Masuda","given":"N.","non-dropping-particle":"","parse-names":false,"suffix":""},{"dropping-particle":"","family":"Colleoni","given":"M.","non-dropping-particle":"","parse-names":false,"suffix":""},{"dropping-particle":"","family":"DeMichele","given":"A.","non-dropping-particle":"","parse-names":false,"suffix":""},{"dropping-particle":"","family":"Loi","given":"S.","non-dropping-particle":"","parse-names":false,"suffix":""},{"dropping-particle":"","family":"Verma","given":"S.","non-dropping-particle":"","parse-names":false,"suffix":""},{"dropping-particle":"","family":"Iwata","given":"H.","non-dropping-particle":"","parse-names":false,"suffix":""},{"dropping-particle":"","family":"Harbeck","given":"N.","non-dropping-particle":"","parse-names":false,"suffix":""},{"dropping-particle":"","family":"Loibl","given":"S.","non-dropping-particle":"","parse-names":false,"suffix":""},{"dropping-particle":"","family":"André","given":"F.","non-dropping-particle":"","parse-names":false,"suffix":""},{"dropping-particle":"","family":"Theall","given":"K. Puyana","non-dropping-particle":"","parse-names":false,"suffix":""},{"dropping-particle":"","family":"Huang","given":"X.","non-dropping-particle":"","parse-names":false,"suffix":""},{"dropping-particle":"","family":"Giorgetti","given":"C.","non-dropping-particle":"","parse-names":false,"suffix":""},{"dropping-particle":"","family":"Bartlett","given":"C. Huang","non-dropping-particle":"","parse-names":false,"suffix":""},{"dropping-particle":"","family":"Cristofanilli","given":"M.","non-dropping-particle":"","parse-names":false,"suffix":""}],"container-title":"New England Journal of Medicine","id":"ITEM-1","issue":"20","issued":{"date-parts":[["2018","11","15"]]},"page":"1926-1936","publisher":"Massachussetts Medical Society","title":"Overall survival with palbociclib and fulvestrant in advanced breast cancer","type":"article-journal","volume":"379"},"uris":["http://www.mendeley.com/documents/?uuid=61bcbb39-afcf-361f-bb43-f49bc622cd02"]},{"id":"ITEM-2","itemData":{"DOI":"10.1056/NEJMoa1903765","ISSN":"15334406","PMID":"31166679","abstract":"BACKGROUND: An earlier analysis of this phase 3 trial showed that the addition of a cyclin-dependent kinase 4 and 6 (CDK4/6) inhibitor to endocrine therapy provided a greater benefit with regard to progression-free survival than endocrine therapy alone in premenopausal or perimenopausal patients with advanced hormone-receptor-positive, human epidermal growth factor receptor 2 (HER2)-negative breast cancer. Here we report the results of a protocol-specified interim analysis of the key secondary end point of overall survival. METHODS: We randomly assigned patients to receive either ribociclib or placebo in addition to endocrine therapy (goserelin and either a nonsteroidal aromatase inhibitor or tamoxifen). Overall survival was evaluated with the use of a stratified log-rank test and summarized with the use of Kaplan-Meier methods. RESULTS: A total of 672 patients were included in the intention-to-treat population. There were 83 deaths among 335 patients (24.8%) in the ribociclib group and 109 deaths among 337 patients (32.3%) in the placebo group. The addition of ribociclib to endocrine therapy resulted in significantly longer overall survival than endocrine therapy alone. The estimated overall survival at 42 months was 70.2% (95% confidence interval [CI], 63.5 to 76.0) in the ribociclib group and 46.0% (95% CI, 32.0 to 58.9) in the placebo group (hazard ratio for death, 0.71; 95% CI, 0.54 to 0.95; P = 0.00973 by log-rank test). The survival benefit seen in the subgroup of 495 patients who received an aromatase inhibitor was consistent with that in the overall intention-to-treat population (hazard ratio for death, 0.70; 95% CI, 0.50 to 0.98). The percentage of patients who received subsequent antineoplastic therapy was balanced between the groups (68.9% in the ribociclib group and 73.2% in the placebo group). The time from randomization to disease progression during receipt of second-line therapy or to death was also longer in the ribociclib group than in the placebo group (hazard ratio for disease progression or death, 0.69; 95% CI, 0.55 to 0.87). CONCLUSIONS: This trial showed significantly longer overall survival with a CDK4/6 inhibitor plus endocrine therapy than with endocrine therapy alone among patients with advanced hormone-receptor-positive, HER2-negative breast cancer. No new concerns regarding toxic effects emerged with longer follow-up.","author":[{"dropping-particle":"","family":"Im","given":"S. A.","non-dropping-particle":"","parse-names":false,"suffix":""},{"dropping-particle":"","family":"Lu","given":"Y. S.","non-dropping-particle":"","parse-names":false,"suffix":""},{"dropping-particle":"","family":"Bardia","given":"A.","non-dropping-particle":"","parse-names":false,"suffix":""},{"dropping-particle":"","family":"Harbeck","given":"N.","non-dropping-particle":"","parse-names":false,"suffix":""},{"dropping-particle":"","family":"Colleoni","given":"M.","non-dropping-particle":"","parse-names":false,"suffix":""},{"dropping-particle":"","family":"Franke","given":"F.","non-dropping-particle":"","parse-names":false,"suffix":""},{"dropping-particle":"","family":"Chow","given":"L.","non-dropping-particle":"","parse-names":false,"suffix":""},{"dropping-particle":"","family":"Sohn","given":"J.","non-dropping-particle":"","parse-names":false,"suffix":""},{"dropping-particle":"","family":"Lee","given":"K. S.","non-dropping-particle":"","parse-names":false,"suffix":""},{"dropping-particle":"","family":"Campos-Gomez","given":"S.","non-dropping-particle":"","parse-names":false,"suffix":""},{"dropping-particle":"","family":"Villanueva-Vazquez","given":"R.","non-dropping-particle":"","parse-names":false,"suffix":""},{"dropping-particle":"","family":"Jung","given":"K. H.","non-dropping-particle":"","parse-names":false,"suffix":""},{"dropping-particle":"","family":"Chakravartty","given":"A.","non-dropping-particle":"","parse-names":false,"suffix":""},{"dropping-particle":"","family":"Hughes","given":"G.","non-dropping-particle":"","parse-names":false,"suffix":""},{"dropping-particle":"","family":"Gounaris","given":"I.","non-dropping-particle":"","parse-names":false,"suffix":""},{"dropping-particle":"","family":"Rodriguez-Lorenc","given":"K.","non-dropping-particle":"","parse-names":false,"suffix":""},{"dropping-particle":"","family":"Taran","given":"T.","non-dropping-particle":"","parse-names":false,"suffix":""},{"dropping-particle":"","family":"Hurvitz","given":"S.","non-dropping-particle":"","parse-names":false,"suffix":""},{"dropping-particle":"","family":"Tripathy","given":"D.","non-dropping-particle":"","parse-names":false,"suffix":""}],"container-title":"New England Journal of Medicine","id":"ITEM-2","issue":"4","issued":{"date-parts":[["2019","7","25"]]},"page":"307-316","publisher":"Massachussetts Medical Society","title":"Overall survival with ribociclib plus endocrine therapy in breast cancer","type":"article-journal","volume":"381"},"uris":["http://www.mendeley.com/documents/?uuid=d52e4280-393f-3255-8158-ead5171a9c77"]},{"id":"ITEM-3","itemData":{"DOI":"10.1001/jamaoncol.2019.4782","ISSN":"23742445","PMID":"31563959","abstract":"Importance: Statistically significant overall survival (OS) benefits of CDK4 and CDK6 inhibitors in combination with fulvestrant for hormone receptor (HR)-positive, ERBB2 (formerly HER2)-negative advanced breast cancer (ABC) in patients regardless of menopausal status after prior endocrine therapy (ET) has not yet been demonstrated. Objective: To compare the effect of abemaciclib plus fulvestrant vs placebo plus fulvestrant on OS at the prespecified interim of MONARCH 2 (338 events) in patients with HR-positive, ERBB2-negative advanced breast cancer that progressed during prior ET. Design, Setting, and Participants: MONARCH 2 was a global, randomized, placebo-controlled, double-blind phase 3 trial of abemaciclib plus fulvestrant vs placebo plus fulvestrant for treatment of premenopausal or perimenopausal women (with ovarian suppression) and postmenopausal women with HR-positive, ERBB2-negative ABC that progressed during ET. Patients were enrolled between August 7, 2014, and December 29, 2015. Analyses for this report were conducted at the time of database lock on June 20, 2019. Interventions: Patients were randomized 2:1 to receive abemaciclib or placebo, 150 mg, every 12 hours on a continuous schedule plus fulvestrant, 500 mg, per label. Randomization was stratified based on site of metastasis (visceral, bone only, or other) and resistance to prior ET (primary vs secondary). Main Outcomes and Measures: The primary end point was investigator-assessed progression-free survival. Overall survival was a gated key secondary end point. The boundary P value for the interim analysis was.02. Results: Of 669 women enrolled, 446 (median [range] age, 59 [32-91] years) were randomized to the abemaciclib plus fulvestrant arm and 223 (median [range] age, 62 [32-87] years) were randomized to the placebo plus fulvestrant arm. At the prespecified interim, 338 deaths (77% of the planned 441 at the final analysis) were observed in the intent-to-treat population, with a median OS of 46.7 months for abemaciclib plus fulvestrant and 37.3 months for placebo plus fulvestrant (hazard ratio [HR], 0.757; 95% CI, 0.606-0.945; P =.01). Improvement in OS was consistent across all stratification factors. Among stratification factors, more pronounced effects were observed in patients with visceral disease (HR, 0.675; 95% CI, 0.511-0.891) and primary resistance to prior ET (HR, 0.686; 95% CI, 0.451-1.043). Time to second disease progression (median, 23.1 months vs 20.6 months), time to …","author":[{"dropping-particle":"","family":"Sledge","given":"George W.","non-dropping-particle":"","parse-names":false,"suffix":""},{"dropping-particle":"","family":"Toi","given":"Masakazu","non-dropping-particle":"","parse-names":false,"suffix":""},{"dropping-particle":"","family":"Neven","given":"Patrick","non-dropping-particle":"","parse-names":false,"suffix":""},{"dropping-particle":"","family":"Sohn","given":"Joohyuk","non-dropping-particle":"","parse-names":false,"suffix":""},{"dropping-particle":"","family":"Inoue","given":"Kenichi","non-dropping-particle":"","parse-names":false,"suffix":""},{"dropping-particle":"","family":"Pivot","given":"Xavier","non-dropping-particle":"","parse-names":false,"suffix":""},{"dropping-particle":"","family":"Burdaeva","given":"Olga","non-dropping-particle":"","parse-names":false,"suffix":""},{"dropping-particle":"","family":"Okera","given":"Meena","non-dropping-particle":"","parse-names":false,"suffix":""},{"dropping-particle":"","family":"Masuda","given":"Norikazu","non-dropping-particle":"","parse-names":false,"suffix":""},{"dropping-particle":"","family":"Kaufman","given":"Peter A.","non-dropping-particle":"","parse-names":false,"suffix":""},{"dropping-particle":"","family":"Koh","given":"Han","non-dropping-particle":"","parse-names":false,"suffix":""},{"dropping-particle":"","family":"Grischke","given":"Eva Maria","non-dropping-particle":"","parse-names":false,"suffix":""},{"dropping-particle":"","family":"Conte","given":"Pierfranco","non-dropping-particle":"","parse-names":false,"suffix":""},{"dropping-particle":"","family":"Lu","given":"Yi","non-dropping-particle":"","parse-names":false,"suffix":""},{"dropping-particle":"","family":"Barriga","given":"Susana","non-dropping-particle":"","parse-names":false,"suffix":""},{"dropping-particle":"","family":"Hurt","given":"Karla","non-dropping-particle":"","parse-names":false,"suffix":""},{"dropping-particle":"","family":"Frenzel","given":"Martin","non-dropping-particle":"","parse-names":false,"suffix":""},{"dropping-particle":"","family":"Johnston","given":"Stephen","non-dropping-particle":"","parse-names":false,"suffix":""},{"dropping-particle":"","family":"Llombart-Cussac","given":"Antonio","non-dropping-particle":"","parse-names":false,"suffix":""}],"container-title":"JAMA Oncology","id":"ITEM-3","issue":"1","issued":{"date-parts":[["2020","1","1"]]},"page":"116-124","publisher":"American Medical Association","title":"The Effect of Abemaciclib Plus Fulvestrant on Overall Survival in Hormone Receptor-Positive, ERBB2-Negative Breast Cancer That Progressed on Endocrine Therapy - MONARCH 2: A Randomized Clinical Trial","type":"article-journal","volume":"6"},"uris":["http://www.mendeley.com/documents/?uuid=9cfe75ad-3a90-3a16-a0e7-43943701310e"]}],"mendeley":{"formattedCitation":"[12,16,18]","plainTextFormattedCitation":"[12,16,18]","previouslyFormattedCitation":"[12,16,18]"},"properties":{"noteIndex":0},"schema":"https://github.com/citation-style-language/schema/raw/master/csl-citation.json"}</w:instrText>
      </w:r>
      <w:r w:rsidR="00CA203F" w:rsidRPr="004F0FE2">
        <w:fldChar w:fldCharType="separate"/>
      </w:r>
      <w:r w:rsidR="009B7569" w:rsidRPr="004F0FE2">
        <w:t>[12,16,18]</w:t>
      </w:r>
      <w:r w:rsidR="00CA203F" w:rsidRPr="004F0FE2">
        <w:fldChar w:fldCharType="end"/>
      </w:r>
      <w:r w:rsidR="00CA203F" w:rsidRPr="004F0FE2">
        <w:t>,</w:t>
      </w:r>
      <w:r w:rsidR="00A60A5D" w:rsidRPr="004F0FE2">
        <w:t xml:space="preserve"> </w:t>
      </w:r>
      <w:r w:rsidRPr="004F0FE2">
        <w:t xml:space="preserve">the combination of CDK4/6 inhibitors and NSAI has been widely adopted as the preferential strategy for first-line treatment of patients with endocrine-sensitive, </w:t>
      </w:r>
      <w:r w:rsidR="0049464D" w:rsidRPr="004F0FE2">
        <w:t>ER+</w:t>
      </w:r>
      <w:r w:rsidRPr="004F0FE2">
        <w:t>/HER2- metastatic breast cancer. Nevertheless, the last updated data from the phase 3 MONALEESA-3 trial</w:t>
      </w:r>
      <w:r w:rsidR="00CA203F" w:rsidRPr="004F0FE2">
        <w:rPr>
          <w:vertAlign w:val="superscript"/>
        </w:rPr>
        <w:t xml:space="preserve"> </w:t>
      </w:r>
      <w:r w:rsidR="00CA203F" w:rsidRPr="004F0FE2">
        <w:rPr>
          <w:vertAlign w:val="superscript"/>
        </w:rPr>
        <w:fldChar w:fldCharType="begin" w:fldLock="1"/>
      </w:r>
      <w:r w:rsidR="009B7569" w:rsidRPr="004F0FE2">
        <w:rPr>
          <w:vertAlign w:val="superscript"/>
        </w:rPr>
        <w:instrText>ADDIN CSL_CITATION {"citationItems":[{"id":"ITEM-1","itemData":{"DOI":"10.1056/NEJMoa1911149","ISSN":"15334406","PMID":"31826360","abstract":"BACKGROUND In an earlier analysis of this phase 3 trial, ribociclib plus fulvestrant showed a greater benefit with regard to progression-free survival than fulvestrant alone in postmenopausal patients with hormone-receptor-positive, human epidermal growth factor receptor 2 (HER2)-negative advanced breast cancer. Here we report the results of a protocol-specified second interim analysis of overall survival. METHODS Patients were randomly assigned in a 2:1 ratio to receive either ribociclib or placebo in addition to fulvestrant as first-line or second-line treatment. Survival was evaluated by means of a stratified log-rank test and summarized with the use of Kaplan-Meier methods. RESULTS This analysis was based on 275 deaths: 167 among 484 patients (34.5%) receiving ribociclib and 108 among 242 (44.6%) receiving placebo. Ribociclib plus fulvestrant showed a significant overall survival benefit over placebo plus fulvestrant. The estimated overall survival at 42 months was 57.8% (95% confidence interval [CI], 52.0 to 63.2) in the ribociclib group and 45.9% (95% CI, 36.9 to 54.5) in the placebo group, for a 28% difference in the relative risk of death (hazard ratio, 0.72; 95% CI, 0.57 to 0.92; P = 0.00455). The benefit was consistent across most subgroups. In a descriptive update, median progression-free survival among patients receiving first-line treatment was 33.6 months (95% CI, 27.1 to 41.3) in the ribociclib group and 19.2 months (95% CI, 14.9 to 23.6) in the placebo group. No new safety signals were observed. CONCLUSIONS Ribociclib plus fulvestrant showed a significant overall survival benefit over placebo plus fulvestrant in patients with hormone-receptor-positive, HER2-negative advanced breast cancer.","author":[{"dropping-particle":"","family":"Slamon","given":"Dennis J.","non-dropping-particle":"","parse-names":false,"suffix":""},{"dropping-particle":"","family":"Neven","given":"Patrick","non-dropping-particle":"","parse-names":false,"suffix":""},{"dropping-particle":"","family":"Chia","given":"Stephen","non-dropping-particle":"","parse-names":false,"suffix":""},{"dropping-particle":"","family":"Fasching","given":"Peter A.","non-dropping-particle":"","parse-names":false,"suffix":""},{"dropping-particle":"","family":"Laurentiis","given":"Michelino","non-dropping-particle":"De","parse-names":false,"suffix":""},{"dropping-particle":"","family":"Im","given":"Seock Ah","non-dropping-particle":"","parse-names":false,"suffix":""},{"dropping-particle":"","family":"Petrakova","given":"Katarina","non-dropping-particle":"","parse-names":false,"suffix":""},{"dropping-particle":"V.","family":"Bianchi","given":"Giulia","non-dropping-particle":"","parse-names":false,"suffix":""},{"dropping-particle":"","family":"Esteva","given":"Francisco J.","non-dropping-particle":"","parse-names":false,"suffix":""},{"dropping-particle":"","family":"Martín","given":"Miguel","non-dropping-particle":"","parse-names":false,"suffix":""},{"dropping-particle":"","family":"Nusch","given":"Arnd","non-dropping-particle":"","parse-names":false,"suffix":""},{"dropping-particle":"","family":"Sonke","given":"Gabe S.","non-dropping-particle":"","parse-names":false,"suffix":""},{"dropping-particle":"","family":"La Cruz-Merino","given":"Luis","non-dropping-particle":"De","parse-names":false,"suffix":""},{"dropping-particle":"","family":"Beck","given":"J. Thaddeus","non-dropping-particle":"","parse-names":false,"suffix":""},{"dropping-particle":"","family":"Pivot","given":"Xavier","non-dropping-particle":"","parse-names":false,"suffix":""},{"dropping-particle":"","family":"Sondhi","given":"Manu","non-dropping-particle":"","parse-names":false,"suffix":""},{"dropping-particle":"","family":"Wang","given":"Yingbo","non-dropping-particle":"","parse-names":false,"suffix":""},{"dropping-particle":"","family":"Chakravartty","given":"Arunava","non-dropping-particle":"","parse-names":false,"suffix":""},{"dropping-particle":"","family":"Rodriguez-Lorenc","given":"Karen","non-dropping-particle":"","parse-names":false,"suffix":""},{"dropping-particle":"","family":"Taran","given":"Tetiana","non-dropping-particle":"","parse-names":false,"suffix":""},{"dropping-particle":"","family":"Jerusalem","given":"Guy","non-dropping-particle":"","parse-names":false,"suffix":""}],"container-title":"New England Journal of Medicine","id":"ITEM-1","issue":"6","issued":{"date-parts":[["2020","2","6"]]},"page":"514-524","publisher":"Massachussetts Medical Society","title":"Overall survival with ribociclib plus fulvestrant in advanced breast cancer","type":"article-journal","volume":"382"},"uris":["http://www.mendeley.com/documents/?uuid=668fb319-d82a-3b2f-a0fb-767d035762f9"]}],"mendeley":{"formattedCitation":"[34]","plainTextFormattedCitation":"[34]","previouslyFormattedCitation":"[34]"},"properties":{"noteIndex":0},"schema":"https://github.com/citation-style-language/schema/raw/master/csl-citation.json"}</w:instrText>
      </w:r>
      <w:r w:rsidR="00CA203F" w:rsidRPr="004F0FE2">
        <w:rPr>
          <w:vertAlign w:val="superscript"/>
        </w:rPr>
        <w:fldChar w:fldCharType="separate"/>
      </w:r>
      <w:r w:rsidR="009B7569" w:rsidRPr="004F0FE2">
        <w:t>[34]</w:t>
      </w:r>
      <w:r w:rsidR="00CA203F" w:rsidRPr="004F0FE2">
        <w:rPr>
          <w:vertAlign w:val="superscript"/>
        </w:rPr>
        <w:fldChar w:fldCharType="end"/>
      </w:r>
      <w:r w:rsidR="00CA203F" w:rsidRPr="004F0FE2">
        <w:rPr>
          <w:vertAlign w:val="superscript"/>
        </w:rPr>
        <w:t xml:space="preserve"> </w:t>
      </w:r>
      <w:r w:rsidRPr="004F0FE2">
        <w:t>have renewed the debate on the optimal endocrine agent to combine with CDK4/6 inhibitors in this scenario.</w:t>
      </w:r>
    </w:p>
    <w:p w14:paraId="534F5184" w14:textId="6F85B45B" w:rsidR="00766C04" w:rsidRPr="004F0FE2" w:rsidRDefault="00766C04" w:rsidP="00673269">
      <w:pPr>
        <w:ind w:right="567"/>
        <w:rPr>
          <w:shd w:val="clear" w:color="auto" w:fill="FFFFFF"/>
        </w:rPr>
      </w:pPr>
      <w:r w:rsidRPr="004F0FE2">
        <w:lastRenderedPageBreak/>
        <w:t xml:space="preserve">PARSIFAL </w:t>
      </w:r>
      <w:r w:rsidRPr="004F0FE2">
        <w:rPr>
          <w:shd w:val="clear" w:color="auto" w:fill="FFFFFF"/>
        </w:rPr>
        <w:t>supports NSAI usage as the preferred endocrine partner for CDK4/6 inhibitors as initial therapy for this patient population. Further findings from PARSIFAL study</w:t>
      </w:r>
      <w:r w:rsidRPr="004F0FE2">
        <w:t xml:space="preserve"> mainly place </w:t>
      </w:r>
      <w:proofErr w:type="spellStart"/>
      <w:r w:rsidRPr="004F0FE2">
        <w:t>fulvestrant</w:t>
      </w:r>
      <w:proofErr w:type="spellEnd"/>
      <w:r w:rsidRPr="004F0FE2">
        <w:t xml:space="preserve">-based therapy as the standard of care for patients </w:t>
      </w:r>
      <w:r w:rsidRPr="004F0FE2">
        <w:rPr>
          <w:lang w:eastAsia="es-ES"/>
        </w:rPr>
        <w:t>who progress on initial endocrine therapy with NSAI and CDK4/6 inhibitors, being also the</w:t>
      </w:r>
      <w:r w:rsidRPr="004F0FE2">
        <w:rPr>
          <w:shd w:val="clear" w:color="auto" w:fill="FFFFFF"/>
        </w:rPr>
        <w:t> </w:t>
      </w:r>
      <w:r w:rsidRPr="004F0FE2">
        <w:rPr>
          <w:rStyle w:val="nfasis"/>
          <w:rFonts w:ascii="Calibri" w:hAnsi="Calibri" w:cs="Calibri"/>
          <w:i w:val="0"/>
          <w:sz w:val="22"/>
          <w:szCs w:val="22"/>
          <w:shd w:val="clear" w:color="auto" w:fill="FFFFFF"/>
        </w:rPr>
        <w:t>most used</w:t>
      </w:r>
      <w:r w:rsidRPr="004F0FE2">
        <w:rPr>
          <w:rStyle w:val="nfasis"/>
          <w:rFonts w:ascii="Calibri" w:hAnsi="Calibri" w:cs="Calibri"/>
          <w:color w:val="2F5496"/>
          <w:sz w:val="22"/>
          <w:szCs w:val="22"/>
          <w:shd w:val="clear" w:color="auto" w:fill="FFFFFF"/>
        </w:rPr>
        <w:t xml:space="preserve"> </w:t>
      </w:r>
      <w:r w:rsidRPr="004F0FE2">
        <w:rPr>
          <w:shd w:val="clear" w:color="auto" w:fill="FFFFFF"/>
        </w:rPr>
        <w:t>endocrine backbone in the ongoing clinical trials for this indication</w:t>
      </w:r>
      <w:r w:rsidRPr="004F0FE2">
        <w:rPr>
          <w:lang w:eastAsia="es-ES"/>
        </w:rPr>
        <w:t xml:space="preserve">. </w:t>
      </w:r>
      <w:r w:rsidRPr="004F0FE2">
        <w:rPr>
          <w:shd w:val="clear" w:color="auto" w:fill="FFFFFF"/>
        </w:rPr>
        <w:t>Available options include </w:t>
      </w:r>
      <w:proofErr w:type="spellStart"/>
      <w:r w:rsidR="00A31F6C">
        <w:fldChar w:fldCharType="begin"/>
      </w:r>
      <w:r w:rsidR="00A31F6C">
        <w:instrText xml:space="preserve"> HYPERLINK "https://www.uptodate.com/contents/fulvestrant-drug-information?topicRef=778&amp;source=see_link" </w:instrText>
      </w:r>
      <w:r w:rsidR="00A31F6C">
        <w:fldChar w:fldCharType="separate"/>
      </w:r>
      <w:r w:rsidRPr="004F0FE2">
        <w:rPr>
          <w:shd w:val="clear" w:color="auto" w:fill="FFFFFF"/>
        </w:rPr>
        <w:t>fulvestrant</w:t>
      </w:r>
      <w:proofErr w:type="spellEnd"/>
      <w:r w:rsidR="00A31F6C">
        <w:rPr>
          <w:shd w:val="clear" w:color="auto" w:fill="FFFFFF"/>
        </w:rPr>
        <w:fldChar w:fldCharType="end"/>
      </w:r>
      <w:r w:rsidRPr="004F0FE2">
        <w:t xml:space="preserve"> as a single-agent</w:t>
      </w:r>
      <w:r w:rsidRPr="004F0FE2">
        <w:rPr>
          <w:shd w:val="clear" w:color="auto" w:fill="FFFFFF"/>
        </w:rPr>
        <w:t xml:space="preserve">, or for those patients with </w:t>
      </w:r>
      <w:r w:rsidR="00214000" w:rsidRPr="004F0FE2">
        <w:rPr>
          <w:shd w:val="clear" w:color="auto" w:fill="FFFFFF"/>
        </w:rPr>
        <w:t>tumor</w:t>
      </w:r>
      <w:r w:rsidRPr="004F0FE2">
        <w:rPr>
          <w:shd w:val="clear" w:color="auto" w:fill="FFFFFF"/>
        </w:rPr>
        <w:t xml:space="preserve"> phosphatidylinositol-4,5-bisphosphate 3-kinase catalytic subunit alpha (</w:t>
      </w:r>
      <w:r w:rsidRPr="004F0FE2">
        <w:rPr>
          <w:iCs/>
          <w:shd w:val="clear" w:color="auto" w:fill="FFFFFF"/>
        </w:rPr>
        <w:t>PIK3CA</w:t>
      </w:r>
      <w:r w:rsidRPr="004F0FE2">
        <w:rPr>
          <w:shd w:val="clear" w:color="auto" w:fill="FFFFFF"/>
        </w:rPr>
        <w:t xml:space="preserve">) mutations, </w:t>
      </w:r>
      <w:proofErr w:type="spellStart"/>
      <w:r w:rsidRPr="004F0FE2">
        <w:rPr>
          <w:shd w:val="clear" w:color="auto" w:fill="FFFFFF"/>
        </w:rPr>
        <w:t>fulvestrant</w:t>
      </w:r>
      <w:proofErr w:type="spellEnd"/>
      <w:r w:rsidRPr="004F0FE2">
        <w:rPr>
          <w:shd w:val="clear" w:color="auto" w:fill="FFFFFF"/>
        </w:rPr>
        <w:t xml:space="preserve"> with the alpha isoform-specific phosphoinositide 3-kinase (PI3K) inhibitor according to the positive results of the phase 3 SOLAR-1 trial</w:t>
      </w:r>
      <w:r w:rsidR="00BA785F" w:rsidRPr="004F0FE2">
        <w:rPr>
          <w:shd w:val="clear" w:color="auto" w:fill="FFFFFF"/>
        </w:rPr>
        <w:t xml:space="preserve"> </w:t>
      </w:r>
      <w:r w:rsidR="00BA785F" w:rsidRPr="004F0FE2">
        <w:rPr>
          <w:shd w:val="clear" w:color="auto" w:fill="FFFFFF"/>
        </w:rPr>
        <w:fldChar w:fldCharType="begin" w:fldLock="1"/>
      </w:r>
      <w:r w:rsidR="009A7700" w:rsidRPr="004F0FE2">
        <w:rPr>
          <w:shd w:val="clear" w:color="auto" w:fill="FFFFFF"/>
        </w:rPr>
        <w:instrText>ADDIN CSL_CITATION {"citationItems":[{"id":"ITEM-1","itemData":{"DOI":"10.1056/NEJMoa1813904","ISSN":"0028-4793","abstract":"BACKGROUND PIK3CA mutations occur in approximately 40% of patients with hormone receptor (HR)-positive, human epidermal growth factor receptor 2 (HER2)-negative breast cancer. The PI3Kα-specific inhibitor alpelisib has shown antitumor activity in early studies. METHODS In a randomized, phase 3 trial, we compared alpelisib (at a dose of 300 mg per day) plus fulvestrant (at a dose of 500 mg every 28 days and once on day 15) with placebo plus fulvestrant in patients with HR-positive, HER2-negative advanced breast cancer who had received endocrine therapy previously. Patients were enrolled into two cohorts on the basis of tumor-tissue PIK3CA mutation status. The primary end point was progression-free survival, as assessed by the investigator, in the cohort with PIK3CA-mu-tated cancer; progression-free survival was also analyzed in the cohort without PIK3CA-mutated cancer. Secondary end points included overall response and safety. RESULTS A total of 572 patients underwent randomization, including 341 patients with confirmed tumor-tissue PIK3CA mutations. In the cohort of patients with PIK3CA-mutated cancer, progression-free survival at a median follow-up of 20 months was 11.0 months (95% confidence interval [CI], 7.5 to 14.5) in the alpelisib-fulvestrant group, as compared with 5.7 months (95% CI, 3.7 to 7.4) in the placebo-fulvestrant group (hazard ratio for progression or death, 0.65; 95% CI, 0.50 to 0.85; P&lt;0.001); in the cohort without PIK3CA-mutated cancer, the hazard ratio was 0.85 (95% CI, 0.58 to 1.25; posterior probability of hazard ratio &lt;1.00, 79.4%). Overall response among all the patients in the cohort without PIK3CA-mutated cancer was greater with alpelisib-fulvestrant than with placebo-fulvestrant (26.6% vs. 12.8%); among patients with measurable disease in this cohort, the percentages were 35.7% and 16.2%, respectively. In the overall population, the most frequent adverse events of grade 3 or 4 were hyperglycemia (36.6% in the alpelisib-fulvestrant group vs. 0.7% in the placebo-fulvestrant group) and rash (9.9% vs. 0.3%). Diarrhea of grade 3 occurred in 6.7% of patients in the alpelisib-fulvestrant group, as compared with 0.3% of those in the placebo-fulvestrant group; no diarrhea of grade 4 was reported. The percentages of patients who discontinued alpelisib and placebo owing to adverse events were 25.0% and 4.2%, respectively. CONCLUSIONS Treatment with alpelisib-fulvestrant prolonged progression-free survival among patients with PIK3CA-mut…","author":[{"dropping-particle":"","family":"André","given":"Fabrice","non-dropping-particle":"","parse-names":false,"suffix":""},{"dropping-particle":"","family":"Ciruelos","given":"Eva","non-dropping-particle":"","parse-names":false,"suffix":""},{"dropping-particle":"","family":"Rubovszky","given":"Gabor","non-dropping-particle":"","parse-names":false,"suffix":""},{"dropping-particle":"","family":"Campone","given":"Mario","non-dropping-particle":"","parse-names":false,"suffix":""},{"dropping-particle":"","family":"Loibl","given":"Sibylle","non-dropping-particle":"","parse-names":false,"suffix":""},{"dropping-particle":"","family":"Rugo","given":"Hope S.","non-dropping-particle":"","parse-names":false,"suffix":""},{"dropping-particle":"","family":"Iwata","given":"Hiroji","non-dropping-particle":"","parse-names":false,"suffix":""},{"dropping-particle":"","family":"Conte","given":"Pierfranco","non-dropping-particle":"","parse-names":false,"suffix":""},{"dropping-particle":"","family":"Mayer","given":"Ingrid A.","non-dropping-particle":"","parse-names":false,"suffix":""},{"dropping-particle":"","family":"Kaufman","given":"Bella","non-dropping-particle":"","parse-names":false,"suffix":""},{"dropping-particle":"","family":"Yamashita","given":"Toshinari","non-dropping-particle":"","parse-names":false,"suffix":""},{"dropping-particle":"","family":"Lu","given":"Yen-Shen","non-dropping-particle":"","parse-names":false,"suffix":""},{"dropping-particle":"","family":"Inoue","given":"Kenichi","non-dropping-particle":"","parse-names":false,"suffix":""},{"dropping-particle":"","family":"Takahashi","given":"Masato","non-dropping-particle":"","parse-names":false,"suffix":""},{"dropping-particle":"","family":"Pápai","given":"Zsuzsanna","non-dropping-particle":"","parse-names":false,"suffix":""},{"dropping-particle":"","family":"Longin","given":"Anne-Sophie","non-dropping-particle":"","parse-names":false,"suffix":""},{"dropping-particle":"","family":"Mills","given":"David","non-dropping-particle":"","parse-names":false,"suffix":""},{"dropping-particle":"","family":"Wilke","given":"Celine","non-dropping-particle":"","parse-names":false,"suffix":""},{"dropping-particle":"","family":"Hirawat","given":"Samit","non-dropping-particle":"","parse-names":false,"suffix":""},{"dropping-particle":"","family":"Juric","given":"Dejan","non-dropping-particle":"","parse-names":false,"suffix":""}],"container-title":"New England Journal of Medicine","id":"ITEM-1","issue":"20","issued":{"date-parts":[["2019","5","16"]]},"page":"1929-1940","publisher":"Massachussetts Medical Society","title":"Alpelisib for &lt;i&gt;PIK3CA&lt;/i&gt; -Mutated, Hormone Receptor–Positive Advanced Breast Cancer","type":"article-journal","volume":"380"},"uris":["http://www.mendeley.com/documents/?uuid=74b3a47b-5548-3a98-9ee6-521cd1dda053"]}],"mendeley":{"formattedCitation":"[39]","plainTextFormattedCitation":"[39]","previouslyFormattedCitation":"[39]"},"properties":{"noteIndex":0},"schema":"https://github.com/citation-style-language/schema/raw/master/csl-citation.json"}</w:instrText>
      </w:r>
      <w:r w:rsidR="00BA785F" w:rsidRPr="004F0FE2">
        <w:rPr>
          <w:shd w:val="clear" w:color="auto" w:fill="FFFFFF"/>
        </w:rPr>
        <w:fldChar w:fldCharType="separate"/>
      </w:r>
      <w:r w:rsidR="009A7700" w:rsidRPr="004F0FE2">
        <w:rPr>
          <w:shd w:val="clear" w:color="auto" w:fill="FFFFFF"/>
        </w:rPr>
        <w:t>[39]</w:t>
      </w:r>
      <w:r w:rsidR="00BA785F" w:rsidRPr="004F0FE2">
        <w:rPr>
          <w:shd w:val="clear" w:color="auto" w:fill="FFFFFF"/>
        </w:rPr>
        <w:fldChar w:fldCharType="end"/>
      </w:r>
      <w:r w:rsidRPr="004F0FE2">
        <w:rPr>
          <w:shd w:val="clear" w:color="auto" w:fill="FFFFFF"/>
        </w:rPr>
        <w:t>.</w:t>
      </w:r>
    </w:p>
    <w:p w14:paraId="24F71730" w14:textId="790988AD" w:rsidR="00766C04" w:rsidRPr="004F0FE2" w:rsidRDefault="00766C04" w:rsidP="00673269">
      <w:pPr>
        <w:ind w:right="567"/>
        <w:rPr>
          <w:shd w:val="clear" w:color="auto" w:fill="FFFFFF"/>
        </w:rPr>
      </w:pPr>
      <w:r w:rsidRPr="004F0FE2">
        <w:rPr>
          <w:shd w:val="clear" w:color="auto" w:fill="FFFFFF"/>
        </w:rPr>
        <w:t xml:space="preserve">In spite of the lack of superiority of </w:t>
      </w:r>
      <w:proofErr w:type="spellStart"/>
      <w:r w:rsidR="00291F27" w:rsidRPr="004F0FE2">
        <w:rPr>
          <w:shd w:val="clear" w:color="auto" w:fill="FFFFFF"/>
        </w:rPr>
        <w:t>palbociclib-fulvestrant</w:t>
      </w:r>
      <w:proofErr w:type="spellEnd"/>
      <w:r w:rsidR="00291F27" w:rsidRPr="004F0FE2">
        <w:t xml:space="preserve"> </w:t>
      </w:r>
      <w:r w:rsidRPr="004F0FE2">
        <w:t xml:space="preserve">over </w:t>
      </w:r>
      <w:proofErr w:type="spellStart"/>
      <w:r w:rsidR="00291F27" w:rsidRPr="004F0FE2">
        <w:t>palbociclib</w:t>
      </w:r>
      <w:proofErr w:type="spellEnd"/>
      <w:r w:rsidR="00291F27" w:rsidRPr="004F0FE2">
        <w:t>-letrozole</w:t>
      </w:r>
      <w:r w:rsidRPr="004F0FE2">
        <w:t xml:space="preserve">, and </w:t>
      </w:r>
      <w:r w:rsidRPr="004F0FE2">
        <w:rPr>
          <w:shd w:val="clear" w:color="auto" w:fill="FFFFFF"/>
        </w:rPr>
        <w:t xml:space="preserve">although the use of </w:t>
      </w:r>
      <w:proofErr w:type="spellStart"/>
      <w:r w:rsidRPr="004F0FE2">
        <w:rPr>
          <w:shd w:val="clear" w:color="auto" w:fill="FFFFFF"/>
        </w:rPr>
        <w:t>fulvestrant</w:t>
      </w:r>
      <w:proofErr w:type="spellEnd"/>
      <w:r w:rsidRPr="004F0FE2">
        <w:rPr>
          <w:shd w:val="clear" w:color="auto" w:fill="FFFFFF"/>
        </w:rPr>
        <w:t xml:space="preserve"> as first-line therapy would also not allow patients with endocrine</w:t>
      </w:r>
      <w:r w:rsidR="00291F27" w:rsidRPr="004F0FE2">
        <w:rPr>
          <w:shd w:val="clear" w:color="auto" w:fill="FFFFFF"/>
        </w:rPr>
        <w:t xml:space="preserve"> </w:t>
      </w:r>
      <w:r w:rsidRPr="004F0FE2">
        <w:rPr>
          <w:shd w:val="clear" w:color="auto" w:fill="FFFFFF"/>
        </w:rPr>
        <w:t>pre</w:t>
      </w:r>
      <w:r w:rsidR="00291F27" w:rsidRPr="004F0FE2">
        <w:rPr>
          <w:shd w:val="clear" w:color="auto" w:fill="FFFFFF"/>
        </w:rPr>
        <w:t>-</w:t>
      </w:r>
      <w:r w:rsidRPr="004F0FE2">
        <w:rPr>
          <w:shd w:val="clear" w:color="auto" w:fill="FFFFFF"/>
        </w:rPr>
        <w:t xml:space="preserve">treated, </w:t>
      </w:r>
      <w:r w:rsidRPr="004F0FE2">
        <w:rPr>
          <w:i/>
          <w:iCs/>
          <w:bdr w:val="none" w:sz="0" w:space="0" w:color="auto" w:frame="1"/>
          <w:shd w:val="clear" w:color="auto" w:fill="FFFFFF"/>
        </w:rPr>
        <w:t>PIK3CA</w:t>
      </w:r>
      <w:r w:rsidRPr="004F0FE2">
        <w:rPr>
          <w:shd w:val="clear" w:color="auto" w:fill="FFFFFF"/>
        </w:rPr>
        <w:t xml:space="preserve">-mutated metastatic breast cancer to receive </w:t>
      </w:r>
      <w:proofErr w:type="spellStart"/>
      <w:r w:rsidRPr="004F0FE2">
        <w:rPr>
          <w:shd w:val="clear" w:color="auto" w:fill="FFFFFF"/>
        </w:rPr>
        <w:t>alpelisib</w:t>
      </w:r>
      <w:proofErr w:type="spellEnd"/>
      <w:r w:rsidRPr="004F0FE2">
        <w:rPr>
          <w:shd w:val="clear" w:color="auto" w:fill="FFFFFF"/>
        </w:rPr>
        <w:t xml:space="preserve"> or to participate in several clinical trials for this setting, the use of </w:t>
      </w:r>
      <w:proofErr w:type="spellStart"/>
      <w:r w:rsidRPr="004F0FE2">
        <w:rPr>
          <w:shd w:val="clear" w:color="auto" w:fill="FFFFFF"/>
        </w:rPr>
        <w:t>fulvestrant</w:t>
      </w:r>
      <w:proofErr w:type="spellEnd"/>
      <w:r w:rsidRPr="004F0FE2">
        <w:rPr>
          <w:shd w:val="clear" w:color="auto" w:fill="FFFFFF"/>
        </w:rPr>
        <w:t xml:space="preserve"> instead of NSAI in combination with CDK4/6 inhibitors could be considered in endocrine-sensitive patients who are intolerant to NSAI or in patients with </w:t>
      </w:r>
      <w:r w:rsidRPr="004F0FE2">
        <w:rPr>
          <w:i/>
          <w:iCs/>
          <w:shd w:val="clear" w:color="auto" w:fill="FFFFFF"/>
        </w:rPr>
        <w:t xml:space="preserve">PIK3CA </w:t>
      </w:r>
      <w:r w:rsidRPr="004F0FE2">
        <w:rPr>
          <w:shd w:val="clear" w:color="auto" w:fill="FFFFFF"/>
        </w:rPr>
        <w:t xml:space="preserve">wild-type </w:t>
      </w:r>
      <w:r w:rsidR="00214000" w:rsidRPr="004F0FE2">
        <w:rPr>
          <w:shd w:val="clear" w:color="auto" w:fill="FFFFFF"/>
        </w:rPr>
        <w:t>tumors</w:t>
      </w:r>
      <w:r w:rsidRPr="004F0FE2">
        <w:rPr>
          <w:shd w:val="clear" w:color="auto" w:fill="FFFFFF"/>
        </w:rPr>
        <w:t xml:space="preserve"> with non-visceral disease. Moreover, in endocrine-sensitive patients with low </w:t>
      </w:r>
      <w:r w:rsidR="00214000" w:rsidRPr="004F0FE2">
        <w:rPr>
          <w:shd w:val="clear" w:color="auto" w:fill="FFFFFF"/>
        </w:rPr>
        <w:t>tumor</w:t>
      </w:r>
      <w:r w:rsidRPr="004F0FE2">
        <w:rPr>
          <w:shd w:val="clear" w:color="auto" w:fill="FFFFFF"/>
        </w:rPr>
        <w:t xml:space="preserve"> burden and indolent disease, or those who are unlikely to tolerate CDK4/6 inhibitor-based treatment, </w:t>
      </w:r>
      <w:proofErr w:type="spellStart"/>
      <w:r w:rsidRPr="004F0FE2">
        <w:rPr>
          <w:shd w:val="clear" w:color="auto" w:fill="FFFFFF"/>
        </w:rPr>
        <w:t>fulvestrant</w:t>
      </w:r>
      <w:proofErr w:type="spellEnd"/>
      <w:r w:rsidRPr="004F0FE2">
        <w:rPr>
          <w:shd w:val="clear" w:color="auto" w:fill="FFFFFF"/>
        </w:rPr>
        <w:t xml:space="preserve"> monotherapy remains an appropriate alternative, especially for patients without visceral involvement.</w:t>
      </w:r>
    </w:p>
    <w:p w14:paraId="364144EF" w14:textId="77777777" w:rsidR="00C20746" w:rsidRPr="004F0FE2" w:rsidRDefault="00FE0FC9" w:rsidP="00673269">
      <w:pPr>
        <w:pStyle w:val="Ttulo2"/>
        <w:ind w:right="567"/>
      </w:pPr>
      <w:bookmarkStart w:id="612" w:name="_Toc52468156"/>
      <w:r w:rsidRPr="004F0FE2">
        <w:t>Discussion of safety.</w:t>
      </w:r>
      <w:bookmarkEnd w:id="612"/>
    </w:p>
    <w:p w14:paraId="00FE5D05" w14:textId="7CE4F62B" w:rsidR="00565309" w:rsidRPr="004F0FE2" w:rsidRDefault="00820295" w:rsidP="00673269">
      <w:pPr>
        <w:ind w:right="567"/>
      </w:pPr>
      <w:r w:rsidRPr="004F0FE2">
        <w:t xml:space="preserve">The safety of </w:t>
      </w:r>
      <w:proofErr w:type="spellStart"/>
      <w:r w:rsidRPr="004F0FE2">
        <w:t>palbociclib</w:t>
      </w:r>
      <w:proofErr w:type="spellEnd"/>
      <w:r w:rsidRPr="004F0FE2">
        <w:t xml:space="preserve"> was previously tested in combination with letrozole in the first-line setting in the </w:t>
      </w:r>
      <w:r w:rsidR="009A7700" w:rsidRPr="004F0FE2">
        <w:t xml:space="preserve">PALOMA-1 </w:t>
      </w:r>
      <w:r w:rsidR="009A7700" w:rsidRPr="004F0FE2">
        <w:fldChar w:fldCharType="begin" w:fldLock="1"/>
      </w:r>
      <w:r w:rsidR="009B7569" w:rsidRPr="004F0FE2">
        <w:instrText>ADDIN CSL_CITATION {"citationItems":[{"id":"ITEM-1","itemData":{"DOI":"10.1158/0008-5472.sabcs12-s1-6","ISSN":"0008-5472","abstract":"Background: PD 0332991, a selective inhibitor of CDK 4/6, prevents cellular DNA synthesis by blocking cell cycle progression. Preclinical studies in a BC cell line panel identified the luminal ER subtype, elevated expression of cyclin D1 and Rb protein, and reduced p16 expression as being associated with sensitivity to PD 0332991 (Finn et al. 2009). Synergistic activity was also observed in vitro when combined with tamoxifen. Based on these observations, a phase 1/2 study in combination with letrozole was initiated. We present results from the randomized phase 2 portion. Methods: The phase 2 portion is a two-part study; Part 1, ER + /HER2- selected; Part 2, further biomarkers. We present results from Part 1. The primary endpoint is progression-free survival (PFS); secondary endpoints include response rate, overall survival, safety, and correlative biomarker studies. Post-menopausal women with ER + /HER2- advanced BC were randomized 1:1 to receive either letrozole 2.5 mg QD plus PD 0332991 125 mg QD on Schedule 3/1 (L + P) or letrozole 2.5 mg QD alone (L). Pts continue on assigned study treatment until disease progression, unacceptable toxicity, or consent withdrawal, and are followed for tumor assessments every 2 months. Results: 66 pts were randomized. Baseline characteristics were balanced between the two arms. As of the data cut-off, median duration of treatment was 47 wks for the L + P arm and 24 wks for the L arm. The most commonly reported treatment-related AEs in the combination arm were neutropenia, leukopenia, and fatigue. The response rate was 27% vs. 23% (out of 26 and 22 pts with measurable disease, L + P vs. L, respectively), clinical benefit rate (PR + SD &gt;24 weeks) was 59% vs. 44%, respectively. Two vs. 7 pts had best response of progressive disease for L + P vs. L, respectively. PFS was significantly greater in the L + P arm vs. L (HR = 0.38; 95% CI, 0.17 to 0.86; p = 0.015). There were 20 vs. 8 pts ongoing on assigned treatment. Conclusions: The combination of PD 0332991 and letrozole is well tolerated with encouraging clinical benefit, confirming the preferential sensitivity of ER+ BC observed in preclinical models.","author":[{"dropping-particle":"","family":"Finn","given":"RS","non-dropping-particle":"","parse-names":false,"suffix":""},{"dropping-particle":"","family":"Crown","given":"JP","non-dropping-particle":"","parse-names":false,"suffix":""},{"dropping-particle":"","family":"Lang","given":"I","non-dropping-particle":"","parse-names":false,"suffix":""},{"dropping-particle":"","family":"Boer","given":"K","non-dropping-particle":"","parse-names":false,"suffix":""},{"dropping-particle":"","family":"Bondarenko","given":"IM","non-dropping-particle":"","parse-names":false,"suffix":""},{"dropping-particle":"","family":"Kulyk","given":"SO","non-dropping-particle":"","parse-names":false,"suffix":""},{"dropping-particle":"","family":"Ettl","given":"J","non-dropping-particle":"","parse-names":false,"suffix":""},{"dropping-particle":"","family":"Patel","given":"R","non-dropping-particle":"","parse-names":false,"suffix":""},{"dropping-particle":"","family":"Pinter","given":"T","non-dropping-particle":"","parse-names":false,"suffix":""},{"dropping-particle":"","family":"Schmidt","given":"M","non-dropping-particle":"","parse-names":false,"suffix":""},{"dropping-particle":"","family":"Shparyk","given":"Y","non-dropping-particle":"","parse-names":false,"suffix":""},{"dropping-particle":"","family":"Thummala","given":"AR","non-dropping-particle":"","parse-names":false,"suffix":""},{"dropping-particle":"","family":"Voytko","given":"NL","non-dropping-particle":"","parse-names":false,"suffix":""},{"dropping-particle":"","family":"Breazna","given":"A","non-dropping-particle":"","parse-names":false,"suffix":""},{"dropping-particle":"","family":"Kim","given":"ST","non-dropping-particle":"","parse-names":false,"suffix":""},{"dropping-particle":"","family":"Randolph","given":"S","non-dropping-particle":"","parse-names":false,"suffix":""},{"dropping-particle":"","family":"Slamon","given":"DJ","non-dropping-particle":"","parse-names":false,"suffix":""}],"container-title":"Cancer Research","id":"ITEM-1","issue":"24 Supplement","issued":{"date-parts":[["2012","12","15"]]},"page":"S1-6-S1-6","publisher":"American Association for Cancer Research (AACR)","title":"Abstract S1-6: Results of a randomized phase 2 study of PD 0332991, a cyclin-dependent kinase (CDK) 4/6 inhibitor, in combination with letrozole vs letrozole alone for first-line treatment of ER+/HER2− advanced breast cancer (BC)","type":"paper-conference","volume":"72"},"uris":["http://www.mendeley.com/documents/?uuid=ecce07c0-c7e1-370f-9cf2-3b1238009932"]},{"id":"ITEM-2","itemData":{"DOI":"10.1016/S1470-2045(14)71159-3","ISSN":"14745488","abstract":"Background: Palbociclib (PD-0332991) is an oral, small-molecule inhibitor of cyclin-dependent kinases (CDKs) 4 and 6 with preclinical evidence of growth-inhibitory activity in oestrogen receptor-positive breast cancer cells and synergy with anti-oestrogens. We aimed to assess the safety and efficacy of palbociclib in combination with letrozole as first-line treatment of patients with advanced, oestrogen receptor-positive, HER2-negative breast cancer. Methods: In this open-label, randomised phase 2 study, postmenopausal women with advanced oestrogen receptor-positive and HER2-negative breast cancer who had not received any systemic treatment for their advanced disease were eligible to participate. Patients were enrolled in two separate cohorts that accrued sequentially: in cohort 1, patients were enrolled on the basis of their oestrogen receptor-positive and HER2-negative biomarker status alone, whereas in cohort 2 they were also required to have cancers with amplification of cyclin D1 (CCND1), loss of p16 (INK4A or CDKN2A), or both. In both cohorts, patients were randomly assigned 1:1 via an interactive web-based randomisation system, stratified by disease site and disease-free interval, to receive continuous oral letrozole 2·5 mg daily or continuous oral letrozole 2·5 mg daily plus oral palbociclib 125 mg, given once daily for 3 weeks followed by 1 week off over 28-day cycles. The primary endpoint was investigator-assessed progression-free survival in the intention-to-treat population. Accrual to cohort 2 was stopped after an unplanned interim analysis of cohort 1 and the statistical analysis plan for the primary endpoint was amended to a combined analysis of cohorts 1 and 2 (instead of cohort 2 alone). The study is ongoing but closed to accrual; these are the results of the final analysis of progression-free survival. The study is registered with the ClinicalTrials.gov, number NCT00721409. Findings: Between Dec 22, 2009, and May 12, 2012, we randomly assigned 165 patients, 84 to palbociclib plus letrozole and 81 to letrozole alone. At the time of the final analysis for progression-free survival (median follow-up 29·6 months [95% CI 27·9-36·0] for the palbociclib plus letrozole group and 27·9 months [25·5-31·1] for the letrozole group), 41 progression-free survival events had occurred in the palbociclib plus letrozole group and 59 in the letrozole group. Median progression-free survival was 10·2 months (95% CI 5·7-12·6) for the letrozole group and 20·2…","author":[{"dropping-particle":"","family":"Finn","given":"Richard S.","non-dropping-particle":"","parse-names":false,"suffix":""},{"dropping-particle":"","family":"Crown","given":"John P.","non-dropping-particle":"","parse-names":false,"suffix":""},{"dropping-particle":"","family":"Lang","given":"Istvan","non-dropping-particle":"","parse-names":false,"suffix":""},{"dropping-particle":"","family":"Boer","given":"Katalin","non-dropping-particle":"","parse-names":false,"suffix":""},{"dropping-particle":"","family":"Bondarenko","given":"Igor M.","non-dropping-particle":"","parse-names":false,"suffix":""},{"dropping-particle":"","family":"Kulyk","given":"Sergey O.","non-dropping-particle":"","parse-names":false,"suffix":""},{"dropping-particle":"","family":"Ettl","given":"Johannes","non-dropping-particle":"","parse-names":false,"suffix":""},{"dropping-particle":"","family":"Patel","given":"Ravindranath","non-dropping-particle":"","parse-names":false,"suffix":""},{"dropping-particle":"","family":"Pinter","given":"Tamas","non-dropping-particle":"","parse-names":false,"suffix":""},{"dropping-particle":"","family":"Schmidt","given":"Marcus","non-dropping-particle":"","parse-names":false,"suffix":""},{"dropping-particle":"","family":"Shparyk","given":"Yaroslav","non-dropping-particle":"","parse-names":false,"suffix":""},{"dropping-particle":"","family":"Thummala","given":"Anu R.","non-dropping-particle":"","parse-names":false,"suffix":""},{"dropping-particle":"","family":"Voytko","given":"Nataliya L.","non-dropping-particle":"","parse-names":false,"suffix":""},{"dropping-particle":"","family":"Fowst","given":"Camilla","non-dropping-particle":"","parse-names":false,"suffix":""},{"dropping-particle":"","family":"Huang","given":"Xin","non-dropping-particle":"","parse-names":false,"suffix":""},{"dropping-particle":"","family":"Kim","given":"Sindy T.","non-dropping-particle":"","parse-names":false,"suffix":""},{"dropping-particle":"","family":"Randolph","given":"Sophia","non-dropping-particle":"","parse-names":false,"suffix":""},{"dropping-particle":"","family":"Slamon","given":"Dennis J.","non-dropping-particle":"","parse-names":false,"suffix":""}],"container-title":"The Lancet Oncology","id":"ITEM-2","issue":"1","issued":{"date-parts":[["2015"]]},"page":"25-35","publisher":"Lancet Publishing Group","title":"The cyclin-dependent kinase 4/6 inhibitor palbociclib in combination with letrozole versus letrozole alone as first-line treatment of oestrogen receptor-positive, HER2-negative, advanced breast cancer (PALOMA-1/TRIO-18): A randomised phase 2 study","type":"article-journal","volume":"16"},"uris":["http://www.mendeley.com/documents/?uuid=b52ab954-55ec-3d3f-a4eb-fe102feefc56"]}],"mendeley":{"formattedCitation":"[23,24]","plainTextFormattedCitation":"[23,24]","previouslyFormattedCitation":"[23,24]"},"properties":{"noteIndex":0},"schema":"https://github.com/citation-style-language/schema/raw/master/csl-citation.json"}</w:instrText>
      </w:r>
      <w:r w:rsidR="009A7700" w:rsidRPr="004F0FE2">
        <w:fldChar w:fldCharType="separate"/>
      </w:r>
      <w:r w:rsidR="009B7569" w:rsidRPr="004F0FE2">
        <w:t>[23,24]</w:t>
      </w:r>
      <w:r w:rsidR="009A7700" w:rsidRPr="004F0FE2">
        <w:fldChar w:fldCharType="end"/>
      </w:r>
      <w:r w:rsidR="009A7700" w:rsidRPr="004F0FE2">
        <w:t xml:space="preserve"> and </w:t>
      </w:r>
      <w:r w:rsidRPr="004F0FE2">
        <w:t xml:space="preserve">PALOMA-2 </w:t>
      </w:r>
      <w:r w:rsidR="009A7700" w:rsidRPr="004F0FE2">
        <w:fldChar w:fldCharType="begin" w:fldLock="1"/>
      </w:r>
      <w:r w:rsidR="009B7569" w:rsidRPr="004F0FE2">
        <w:instrText>ADDIN CSL_CITATION {"citationItems":[{"id":"ITEM-1","itemData":{"DOI":"10.1200/jco.2016.34.15_suppl.507","ISSN":"0732-183X","abstract":"BACKGROUND A phase 2 study showed that progression-free survival was longer with palbociclib plus letrozole than with letrozole alone in the initial treatment of postmenopausal women with estrogen-receptor (ER)-positive, human epidermal growth factor receptor 2 (HER2)-negative advanced breast cancer. We performed a phase 3 study that was designed to confirm and expand the efficacy and safety data for palbociclib plus letrozole for this indication. METHODS In this double-blind study, we randomly assigned, in a 2:1 ratio, 666 postmenopausal women with ER-positive, HER2-negative breast cancer, who had not had prior treatment for advanced disease, to receive palbociclib plus letrozole or placebo plus letrozole. The primary end point was progression-free survival, as assessed by the investigators; secondary end points were overall survival, objective response, clinical benefit response, patient-reported outcomes, pharmacokinetic effects, and safety. RESULTS The median progression-free survival was 24.8 months (95% confidence interval [CI], 22.1 to not estimable) in the palbociclib-letrozole group, as compared with 14.5 months (95% CI, 12.9 to 17.1) in the placebo-letrozole group (hazard ratio for disease progression or death, 0.58; 95% CI, 0.46 to 0.72; P&lt;0.001). The most common grade 3 or 4 adverse events were neutropenia (occurring in 66.4% of the patients in the palbociclib- letrozole group vs. 1.4% in the placebo-letrozole group), leukopenia (24.8% vs. 0%), anemia (5.4% vs. 1.8%), and fatigue (1.8% vs. 0.5%). Febrile neutropenia was reported in 1.8% of patients in the palbociclib-letrozole group and in none of the patients in the placebo-letrozole group. Permanent discontinuation of any study treatment as a result of adverse events occurred in 43 patients (9.7%) in the palbociclib-letrozole group and in 13 patients (5.9%) in the placebo-letrozole group. CONCLUSIONS Among patients with previously untreated ER-positive, HER2-negative advanced breast cancer, palbociclib combined with letrozole resulted in significantly longer progression-free survival than that with letrozole alone, although the rates of myelotoxic effects were higher with palbociclib-letrozole.","author":[{"dropping-particle":"","family":"Finn","given":"Richard S.","non-dropping-particle":"","parse-names":false,"suffix":""},{"dropping-particle":"","family":"Martin","given":"Miguel","non-dropping-particle":"","parse-names":false,"suffix":""},{"dropping-particle":"","family":"Rugo","given":"Hope S.","non-dropping-particle":"","parse-names":false,"suffix":""},{"dropping-particle":"","family":"Jones","given":"Stephen E.","non-dropping-particle":"","parse-names":false,"suffix":""},{"dropping-particle":"","family":"Im","given":"Seock-Ah","non-dropping-particle":"","parse-names":false,"suffix":""},{"dropping-particle":"","family":"Gelmon","given":"Karen A.","non-dropping-particle":"","parse-names":false,"suffix":""},{"dropping-particle":"","family":"Harbeck","given":"Nadia","non-dropping-particle":"","parse-names":false,"suffix":""},{"dropping-particle":"","family":"Lipatov","given":"Oleg N.","non-dropping-particle":"","parse-names":false,"suffix":""},{"dropping-particle":"","family":"Walshe","given":"Janice Maria","non-dropping-particle":"","parse-names":false,"suffix":""},{"dropping-particle":"","family":"Moulder","given":"Stacy L.","non-dropping-particle":"","parse-names":false,"suffix":""},{"dropping-particle":"","family":"Gauthier","given":"Eric Roland","non-dropping-particle":"","parse-names":false,"suffix":""},{"dropping-particle":"","family":"Lu","given":"Dongrui (Ray)","non-dropping-particle":"","parse-names":false,"suffix":""},{"dropping-particle":"","family":"Randolph","given":"Sophia","non-dropping-particle":"","parse-names":false,"suffix":""},{"dropping-particle":"","family":"Diéras","given":"Véronique","non-dropping-particle":"","parse-names":false,"suffix":""},{"dropping-particle":"","family":"Slamon","given":"Dennis J.","non-dropping-particle":"","parse-names":false,"suffix":""}],"container-title":"Journal of Clinical Oncology","id":"ITEM-1","issue":"15_suppl","issued":{"date-parts":[["2016","5","20"]]},"page":"507-507","publisher":"American Society of Clinical Oncology (ASCO)","title":"PALOMA-2: Primary results from a phase III trial of palbociclib (P) with letrozole (L) compared with letrozole alone in postmenopausal women with ER+/HER2– advanced breast cancer (ABC).","type":"article-journal","volume":"34"},"uris":["http://www.mendeley.com/documents/?uuid=2b984e4f-653a-399e-adca-ef115f859154"]}],"mendeley":{"formattedCitation":"[10]","plainTextFormattedCitation":"[10]","previouslyFormattedCitation":"[10]"},"properties":{"noteIndex":0},"schema":"https://github.com/citation-style-language/schema/raw/master/csl-citation.json"}</w:instrText>
      </w:r>
      <w:r w:rsidR="009A7700" w:rsidRPr="004F0FE2">
        <w:fldChar w:fldCharType="separate"/>
      </w:r>
      <w:r w:rsidR="009B7569" w:rsidRPr="004F0FE2">
        <w:t>[10]</w:t>
      </w:r>
      <w:r w:rsidR="009A7700" w:rsidRPr="004F0FE2">
        <w:fldChar w:fldCharType="end"/>
      </w:r>
      <w:r w:rsidR="009A7700" w:rsidRPr="004F0FE2">
        <w:t xml:space="preserve"> </w:t>
      </w:r>
      <w:r w:rsidRPr="004F0FE2">
        <w:t>stud</w:t>
      </w:r>
      <w:r w:rsidR="009A7700" w:rsidRPr="004F0FE2">
        <w:t>ies</w:t>
      </w:r>
      <w:r w:rsidR="0049464D" w:rsidRPr="004F0FE2">
        <w:t>,</w:t>
      </w:r>
      <w:r w:rsidRPr="004F0FE2">
        <w:t xml:space="preserve"> and in combination with </w:t>
      </w:r>
      <w:proofErr w:type="spellStart"/>
      <w:r w:rsidRPr="004F0FE2">
        <w:t>fulvestrant</w:t>
      </w:r>
      <w:proofErr w:type="spellEnd"/>
      <w:r w:rsidRPr="004F0FE2">
        <w:t xml:space="preserve"> in patients who progressed on prior </w:t>
      </w:r>
      <w:r w:rsidR="0049464D" w:rsidRPr="004F0FE2">
        <w:t>endocrine therapy</w:t>
      </w:r>
      <w:r w:rsidRPr="004F0FE2">
        <w:t xml:space="preserve"> in the PALOMA-3 study</w:t>
      </w:r>
      <w:r w:rsidR="009A7700" w:rsidRPr="004F0FE2">
        <w:t xml:space="preserve"> </w:t>
      </w:r>
      <w:r w:rsidR="009A7700" w:rsidRPr="004F0FE2">
        <w:fldChar w:fldCharType="begin" w:fldLock="1"/>
      </w:r>
      <w:r w:rsidR="009B7569" w:rsidRPr="004F0FE2">
        <w:instrText>ADDIN CSL_CITATION {"citationItems":[{"id":"ITEM-1","itemData":{"DOI":"10.1016/S1470-2045(15)00613-0","ISSN":"14745488","PMID":"26947331","abstract":"Background In the PALOMA-3 study, the combination of the CDK4 and CDK6 inhibitor palbociclib and fulvestrant was associated with significant improvements in progression-free survival compared with fulvestrant plus placebo in patients with metastatic breast cancer. Identification of patients most suitable for the addition of palbociclib to endocrine therapy after tumour recurrence is crucial for treatment optimisation in metastatic breast cancer. We aimed to confirm our earlier findings with this extended follow-up and show our results for subgroup and biomarker analyses. Methods In this multicentre, double-blind, randomised phase 3 study, women aged 18 years or older with hormone-receptor-positive, HER2-negative metastatic breast cancer that had progressed on previous endocrine therapy were stratified by sensitivity to previous hormonal therapy, menopausal status, and presence of visceral metastasis at 144 centres in 17 countries. Eligible patients—ie, any menopausal status, Eastern Cooperative Oncology Group performance status 0–1, measurable disease or bone disease only, and disease relapse or progression after previous endocrine therapy for advanced disease during treatment or within 12 months of completion of adjuvant therapy—were randomly assigned (2:1) via a centralised interactive web-based and voice-based randomisation system to receive oral palbociclib (125 mg daily for 3 weeks followed by a week off over 28-day cycles) plus 500 mg fulvestrant (intramuscular injection on days 1 and 15 of cycle 1; then on day 1 of subsequent 28-day cycles) or placebo plus fulvestrant. The primary endpoint was investigator-assessed progression-free survival. Analysis was by intention to treat. We also assessed endocrine therapy resistance by clinical parameters, quantitative hormone-receptor expression, and tumour PIK3CA mutational status in circulating DNA at baseline. This study is registered with ClinicalTrials.gov, NCT01942135. Findings Between Oct 7, 2013, and Aug 26, 2014, 521 patients were randomly assigned, 347 to fulvestrant plus palbociclib and 174 to fulvestrant plus placebo. Study enrolment is closed and overall survival follow-up is in progress. By March 16, 2015, 259 progression-free-survival events had occurred (145 in the fulvestrant plus palbociclib group and 114 in the fulvestrant plus placebo group); median follow-up was 8·9 months (IQR 8·7–9·2). Median progression-free survival was 9·5 months (95% CI 9·2–11·0) in the fulvestrant plus palbocicl…","author":[{"dropping-particle":"","family":"Cristofanilli","given":"Massimo","non-dropping-particle":"","parse-names":false,"suffix":""},{"dropping-particle":"","family":"Turner","given":"Nicholas C.","non-dropping-particle":"","parse-names":false,"suffix":""},{"dropping-particle":"","family":"Bondarenko","given":"Igor","non-dropping-particle":"","parse-names":false,"suffix":""},{"dropping-particle":"","family":"Ro","given":"Jungsil","non-dropping-particle":"","parse-names":false,"suffix":""},{"dropping-particle":"","family":"Im","given":"Seock Ah","non-dropping-particle":"","parse-names":false,"suffix":""},{"dropping-particle":"","family":"Masuda","given":"Norikazu","non-dropping-particle":"","parse-names":false,"suffix":""},{"dropping-particle":"","family":"Colleoni","given":"Marco","non-dropping-particle":"","parse-names":false,"suffix":""},{"dropping-particle":"","family":"DeMichele","given":"Angela","non-dropping-particle":"","parse-names":false,"suffix":""},{"dropping-particle":"","family":"Loi","given":"Sherene","non-dropping-particle":"","parse-names":false,"suffix":""},{"dropping-particle":"","family":"Verma","given":"Sunil","non-dropping-particle":"","parse-names":false,"suffix":""},{"dropping-particle":"","family":"Iwata","given":"Hiroji","non-dropping-particle":"","parse-names":false,"suffix":""},{"dropping-particle":"","family":"Harbeck","given":"Nadia","non-dropping-particle":"","parse-names":false,"suffix":""},{"dropping-particle":"","family":"Zhang","given":"Ke","non-dropping-particle":"","parse-names":false,"suffix":""},{"dropping-particle":"","family":"Theall","given":"Kathy Puyana","non-dropping-particle":"","parse-names":false,"suffix":""},{"dropping-particle":"","family":"Jiang","given":"Yuqiu","non-dropping-particle":"","parse-names":false,"suffix":""},{"dropping-particle":"","family":"Bartlett","given":"Cynthia Huang","non-dropping-particle":"","parse-names":false,"suffix":""},{"dropping-particle":"","family":"Koehler","given":"Maria","non-dropping-particle":"","parse-names":false,"suffix":""},{"dropping-particle":"","family":"Slamon","given":"Dennis","non-dropping-particle":"","parse-names":false,"suffix":""}],"container-title":"The Lancet Oncology","id":"ITEM-1","issue":"4","issued":{"date-parts":[["2016","4","1"]]},"page":"425-439","publisher":"Lancet Publishing Group","title":"Fulvestrant plus palbociclib versus fulvestrant plus placebo for treatment of hormone-receptor-positive, HER2-negative metastatic breast cancer that progressed on previous endocrine therapy (PALOMA-3): final analysis of the multicentre, double-blind, phase 3 randomised controlled trial","type":"article-journal","volume":"17"},"uris":["http://www.mendeley.com/documents/?uuid=01c18f02-d00f-312c-b864-de79bef3ef3b"]},{"id":"ITEM-2","itemData":{"DOI":"10.1056/NEJMoa1505270","ISSN":"15334406","PMID":"26030518","abstract":"BACKGROUND: Growth of hormone-receptor-positive breast cancer is dependent on cyclin-dependent kinases 4 and 6 (CDK4 and CDK6), which promote progression from the G1 phase to the S phase of the cell cycle. We assessed the efficacy of palbociclib (an inhibitor of CDK4 and CDK6) and fulvestrant in advanced breast cancer. METHODS: This phase 3 study involved 521 patients with advanced hormone-receptor-positive, human epidermal growth factor receptor 2-negative breast cancer that had relapsed or progressed during prior endocrine therapy. We randomly assigned patients in a 2:1 ratio to receive palbociclib and fulvestrant or placebo and fulvestrant. Premenopausal or perimenopausal women also received goserelin. The primary end point was investigator-assessed progression-free survival. Secondary end points included overall survival, objective response, rate of clinical benefit, patientreported outcomes, and safety. A preplanned interim analysis was performed by an independent data and safety monitoring committee after 195 events of disease progression or death had occurred. RESULTS: The median progression-free survival was 9.2 months (95% confidence interval [CI], 7.5 to not estimable) with palbociclib-fulvestrant and 3.8 months (95% CI, 3.5 to 5.5) with placebo-fulvestrant (hazard ratio for disease progression or death, 0.42; 95% CI, 0.32 to 0.56; P&lt;0.001). The most common grade 3 or 4 adverse events in the palbociclib-fulvestrant group were neutropenia (62.0%, vs. 0.6% in the placebo-fulvestrant group), leukopenia (25.2% vs. 0.6%), anemia (2.6% vs. 1.7%), thrombocytopenia (2.3% vs. 0%), and fatigue (2.0% vs. 1.2%). Febrile neutropenia was reported in 0.6% of palbociclib-treated patients and 0.6% of placebo-treated patients. The rate of discontinuation due to adverse events was 2.6% with palbociclib and 1.7% with placebo. CONCLUSIONS: Among patients with hormone-receptor-positive metastatic breast cancer who had progression of disease during prior endocrine therapy, palbociclib combined with fulvestrant resulted in longer progression-free survival than fulvestrant alone.","author":[{"dropping-particle":"","family":"Turner","given":"Nicholas C.","non-dropping-particle":"","parse-names":false,"suffix":""},{"dropping-particle":"","family":"Ro","given":"Jungsil","non-dropping-particle":"","parse-names":false,"suffix":""},{"dropping-particle":"","family":"André","given":"Fabrice","non-dropping-particle":"","parse-names":false,"suffix":""},{"dropping-particle":"","family":"Loi","given":"Sherene","non-dropping-particle":"","parse-names":false,"suffix":""},{"dropping-particle":"","family":"Verma","given":"Sunil","non-dropping-particle":"","parse-names":false,"suffix":""},{"dropping-particle":"","family":"Iwata","given":"Hiroji","non-dropping-particle":"","parse-names":false,"suffix":""},{"dropping-particle":"","family":"Harbeck","given":"Nadia","non-dropping-particle":"","parse-names":false,"suffix":""},{"dropping-particle":"","family":"Loibl","given":"Sibylle","non-dropping-particle":"","parse-names":false,"suffix":""},{"dropping-particle":"","family":"Bartlett","given":"Cynthia Huang","non-dropping-particle":"","parse-names":false,"suffix":""},{"dropping-particle":"","family":"Zhang","given":"Ke","non-dropping-particle":"","parse-names":false,"suffix":""},{"dropping-particle":"","family":"Giorgetti","given":"Carla","non-dropping-particle":"","parse-names":false,"suffix":""},{"dropping-particle":"","family":"Randolph","given":"Sophia","non-dropping-particle":"","parse-names":false,"suffix":""},{"dropping-particle":"","family":"Koehler","given":"Maria","non-dropping-particle":"","parse-names":false,"suffix":""},{"dropping-particle":"","family":"Cristofanilli","given":"Massimo","non-dropping-particle":"","parse-names":false,"suffix":""}],"container-title":"New England Journal of Medicine","id":"ITEM-2","issue":"3","issued":{"date-parts":[["2015","7","16"]]},"page":"209-219","publisher":"Massachussetts Medical Society","title":"Palbociclib in hormone-receptor-positive advanced breast cancer","type":"article-journal","volume":"373"},"uris":["http://www.mendeley.com/documents/?uuid=195b02f3-3b55-3fb3-bc6f-3c31c1985303"]}],"mendeley":{"formattedCitation":"[26,40]","plainTextFormattedCitation":"[26,40]","previouslyFormattedCitation":"[26,40]"},"properties":{"noteIndex":0},"schema":"https://github.com/citation-style-language/schema/raw/master/csl-citation.json"}</w:instrText>
      </w:r>
      <w:r w:rsidR="009A7700" w:rsidRPr="004F0FE2">
        <w:fldChar w:fldCharType="separate"/>
      </w:r>
      <w:r w:rsidR="009B7569" w:rsidRPr="004F0FE2">
        <w:t>[26,40]</w:t>
      </w:r>
      <w:r w:rsidR="009A7700" w:rsidRPr="004F0FE2">
        <w:fldChar w:fldCharType="end"/>
      </w:r>
      <w:r w:rsidR="009A7700" w:rsidRPr="004F0FE2">
        <w:t xml:space="preserve">. Safety data from </w:t>
      </w:r>
      <w:r w:rsidR="0094016D" w:rsidRPr="004F0FE2">
        <w:t xml:space="preserve">these three trials were then </w:t>
      </w:r>
      <w:r w:rsidR="009A7700" w:rsidRPr="004F0FE2">
        <w:t xml:space="preserve">pooled </w:t>
      </w:r>
      <w:r w:rsidR="0094016D" w:rsidRPr="004F0FE2">
        <w:t xml:space="preserve">and </w:t>
      </w:r>
      <w:r w:rsidR="00214000" w:rsidRPr="004F0FE2">
        <w:t>analyzed</w:t>
      </w:r>
      <w:r w:rsidR="0094016D" w:rsidRPr="004F0FE2">
        <w:t xml:space="preserve"> to characterize toxicities and identify potential safety risks of </w:t>
      </w:r>
      <w:proofErr w:type="spellStart"/>
      <w:r w:rsidR="0094016D" w:rsidRPr="004F0FE2">
        <w:t>palbociclib</w:t>
      </w:r>
      <w:proofErr w:type="spellEnd"/>
      <w:r w:rsidR="0094016D" w:rsidRPr="004F0FE2">
        <w:t xml:space="preserve"> combined with endocrine </w:t>
      </w:r>
      <w:r w:rsidR="007B0EB2" w:rsidRPr="004F0FE2">
        <w:t>therapy</w:t>
      </w:r>
      <w:r w:rsidR="0094016D" w:rsidRPr="004F0FE2">
        <w:t xml:space="preserve"> for up to 50 months </w:t>
      </w:r>
      <w:r w:rsidR="0094016D" w:rsidRPr="004F0FE2">
        <w:fldChar w:fldCharType="begin" w:fldLock="1"/>
      </w:r>
      <w:r w:rsidR="009B7569" w:rsidRPr="004F0FE2">
        <w:instrText>ADDIN CSL_CITATION {"citationItems":[{"id":"ITEM-1","itemData":{"DOI":"10.1093/jnci/djy109","ISSN":"14602105","PMID":"30032196","abstract":"Background: Palbociclib administered with endocrine therapy was tolerable when the overall incidence of toxicities was assessed separately for three PALOMA studies. This study analyzed pooled, longer-term PALOMA safety data longitudinally. Methods: Data were pooled from three randomized phase II and III studies (ClinicalTrials.gov: NCT00721409, NCT01740427, NCT01942135) of hormone receptor-positive/human epidermal growth factor receptor 2-negative advanced breast cancer patients. Front-line patients were randomly assigned to receive letrozole with/without palbociclib (PALOMA-1) or letrozole plus palbociclib/placebo (PALOMA-2). In PALOMA-3, patients with prior endocrine resistance received fulvestrant plus palbociclib/placebo. The cumulative event rates of adverse events (AEs), reporting up to 50 months of treatment, were assessed over time. Results: Patients who received endocrine therapy (n ¼ 1343) were included in this pooled analysis (872 were also treated with palbociclib, and 471 were not). The most common AEs with palbociclib plus endocrine therapy were neutropenia and infections (any grade, 80.6% and 54.7%, respectively), which were higher than in the endocrine monotherapy arm (any grade, 5.3% and 36.9%). The most common hematologic AEs (15.0% in the palbociclib arm) were more likely to be reported in the initial months of the study, after which time the cumulative event rate did not substantially increase. With palbociclib plus endocrine therapy, any grade AEs leading to permanent discontinuation over three years occurred in only 8.3% of patients. Conclusions: Based on these long-term safety analyses, there is no evidence of specific cumulative or delayed toxicities with palbociclib plus endocrine therapy, supporting the ongoing investigation of palbociclib plus endocrine therapy in early breast cancer (NCT02513394).","author":[{"dropping-particle":"","family":"Diéras","given":"Véronique","non-dropping-particle":"","parse-names":false,"suffix":""},{"dropping-particle":"","family":"Rugo","given":"Hope S.","non-dropping-particle":"","parse-names":false,"suffix":""},{"dropping-particle":"","family":"Schnell","given":"Patrick","non-dropping-particle":"","parse-names":false,"suffix":""},{"dropping-particle":"","family":"Gelmon","given":"Karen","non-dropping-particle":"","parse-names":false,"suffix":""},{"dropping-particle":"","family":"Cristofanilli","given":"Massimo","non-dropping-particle":"","parse-names":false,"suffix":""},{"dropping-particle":"","family":"Loi","given":"Sherene","non-dropping-particle":"","parse-names":false,"suffix":""},{"dropping-particle":"","family":"Colleoni","given":"Marco","non-dropping-particle":"","parse-names":false,"suffix":""},{"dropping-particle":"","family":"Lu","given":"Dongrui R.","non-dropping-particle":"","parse-names":false,"suffix":""},{"dropping-particle":"","family":"Mori","given":"Ave","non-dropping-particle":"","parse-names":false,"suffix":""},{"dropping-particle":"","family":"Gauthier","given":"Eric","non-dropping-particle":"","parse-names":false,"suffix":""},{"dropping-particle":"","family":"Bartlett","given":"Cynthia Huang","non-dropping-particle":"","parse-names":false,"suffix":""},{"dropping-particle":"","family":"Slamon","given":"Dennis J.","non-dropping-particle":"","parse-names":false,"suffix":""},{"dropping-particle":"","family":"Turner","given":"Nicholas C.","non-dropping-particle":"","parse-names":false,"suffix":""},{"dropping-particle":"","family":"Finn","given":"Richard S.","non-dropping-particle":"","parse-names":false,"suffix":""}],"container-title":"Journal of the National Cancer Institute","id":"ITEM-1","issue":"4","issued":{"date-parts":[["2019"]]},"publisher":"Oxford University Press","title":"Long-term pooled safety analysis of palbociclib in combination with endocrine therapy for HR1/HER2- Advanced breast cancer","type":"article-journal","volume":"111"},"uris":["http://www.mendeley.com/documents/?uuid=f41855b1-671c-39f9-8921-4a77b6fcba67"]}],"mendeley":{"formattedCitation":"[3]","plainTextFormattedCitation":"[3]","previouslyFormattedCitation":"[3]"},"properties":{"noteIndex":0},"schema":"https://github.com/citation-style-language/schema/raw/master/csl-citation.json"}</w:instrText>
      </w:r>
      <w:r w:rsidR="0094016D" w:rsidRPr="004F0FE2">
        <w:fldChar w:fldCharType="separate"/>
      </w:r>
      <w:r w:rsidR="009B7569" w:rsidRPr="004F0FE2">
        <w:t>[3]</w:t>
      </w:r>
      <w:r w:rsidR="0094016D" w:rsidRPr="004F0FE2">
        <w:fldChar w:fldCharType="end"/>
      </w:r>
      <w:r w:rsidR="0094016D" w:rsidRPr="004F0FE2">
        <w:t xml:space="preserve">. </w:t>
      </w:r>
      <w:r w:rsidR="00ED1320" w:rsidRPr="004F0FE2">
        <w:t xml:space="preserve">According to </w:t>
      </w:r>
      <w:proofErr w:type="spellStart"/>
      <w:r w:rsidR="008C018A" w:rsidRPr="004F0FE2">
        <w:t>Diéras</w:t>
      </w:r>
      <w:proofErr w:type="spellEnd"/>
      <w:r w:rsidR="008C018A" w:rsidRPr="004F0FE2">
        <w:t xml:space="preserve"> et al. </w:t>
      </w:r>
      <w:r w:rsidR="008C018A" w:rsidRPr="004F0FE2">
        <w:fldChar w:fldCharType="begin" w:fldLock="1"/>
      </w:r>
      <w:r w:rsidR="009B7569" w:rsidRPr="004F0FE2">
        <w:instrText>ADDIN CSL_CITATION {"citationItems":[{"id":"ITEM-1","itemData":{"DOI":"10.1093/jnci/djy109","ISSN":"14602105","PMID":"30032196","abstract":"Background: Palbociclib administered with endocrine therapy was tolerable when the overall incidence of toxicities was assessed separately for three PALOMA studies. This study analyzed pooled, longer-term PALOMA safety data longitudinally. Methods: Data were pooled from three randomized phase II and III studies (ClinicalTrials.gov: NCT00721409, NCT01740427, NCT01942135) of hormone receptor-positive/human epidermal growth factor receptor 2-negative advanced breast cancer patients. Front-line patients were randomly assigned to receive letrozole with/without palbociclib (PALOMA-1) or letrozole plus palbociclib/placebo (PALOMA-2). In PALOMA-3, patients with prior endocrine resistance received fulvestrant plus palbociclib/placebo. The cumulative event rates of adverse events (AEs), reporting up to 50 months of treatment, were assessed over time. Results: Patients who received endocrine therapy (n ¼ 1343) were included in this pooled analysis (872 were also treated with palbociclib, and 471 were not). The most common AEs with palbociclib plus endocrine therapy were neutropenia and infections (any grade, 80.6% and 54.7%, respectively), which were higher than in the endocrine monotherapy arm (any grade, 5.3% and 36.9%). The most common hematologic AEs (15.0% in the palbociclib arm) were more likely to be reported in the initial months of the study, after which time the cumulative event rate did not substantially increase. With palbociclib plus endocrine therapy, any grade AEs leading to permanent discontinuation over three years occurred in only 8.3% of patients. Conclusions: Based on these long-term safety analyses, there is no evidence of specific cumulative or delayed toxicities with palbociclib plus endocrine therapy, supporting the ongoing investigation of palbociclib plus endocrine therapy in early breast cancer (NCT02513394).","author":[{"dropping-particle":"","family":"Diéras","given":"Véronique","non-dropping-particle":"","parse-names":false,"suffix":""},{"dropping-particle":"","family":"Rugo","given":"Hope S.","non-dropping-particle":"","parse-names":false,"suffix":""},{"dropping-particle":"","family":"Schnell","given":"Patrick","non-dropping-particle":"","parse-names":false,"suffix":""},{"dropping-particle":"","family":"Gelmon","given":"Karen","non-dropping-particle":"","parse-names":false,"suffix":""},{"dropping-particle":"","family":"Cristofanilli","given":"Massimo","non-dropping-particle":"","parse-names":false,"suffix":""},{"dropping-particle":"","family":"Loi","given":"Sherene","non-dropping-particle":"","parse-names":false,"suffix":""},{"dropping-particle":"","family":"Colleoni","given":"Marco","non-dropping-particle":"","parse-names":false,"suffix":""},{"dropping-particle":"","family":"Lu","given":"Dongrui R.","non-dropping-particle":"","parse-names":false,"suffix":""},{"dropping-particle":"","family":"Mori","given":"Ave","non-dropping-particle":"","parse-names":false,"suffix":""},{"dropping-particle":"","family":"Gauthier","given":"Eric","non-dropping-particle":"","parse-names":false,"suffix":""},{"dropping-particle":"","family":"Bartlett","given":"Cynthia Huang","non-dropping-particle":"","parse-names":false,"suffix":""},{"dropping-particle":"","family":"Slamon","given":"Dennis J.","non-dropping-particle":"","parse-names":false,"suffix":""},{"dropping-particle":"","family":"Turner","given":"Nicholas C.","non-dropping-particle":"","parse-names":false,"suffix":""},{"dropping-particle":"","family":"Finn","given":"Richard S.","non-dropping-particle":"","parse-names":false,"suffix":""}],"container-title":"Journal of the National Cancer Institute","id":"ITEM-1","issue":"4","issued":{"date-parts":[["2019"]]},"publisher":"Oxford University Press","title":"Long-term pooled safety analysis of palbociclib in combination with endocrine therapy for HR1/HER2- Advanced breast cancer","type":"article-journal","volume":"111"},"uris":["http://www.mendeley.com/documents/?uuid=f41855b1-671c-39f9-8921-4a77b6fcba67"]}],"mendeley":{"formattedCitation":"[3]","plainTextFormattedCitation":"[3]","previouslyFormattedCitation":"[3]"},"properties":{"noteIndex":0},"schema":"https://github.com/citation-style-language/schema/raw/master/csl-citation.json"}</w:instrText>
      </w:r>
      <w:r w:rsidR="008C018A" w:rsidRPr="004F0FE2">
        <w:fldChar w:fldCharType="separate"/>
      </w:r>
      <w:r w:rsidR="009B7569" w:rsidRPr="004F0FE2">
        <w:t>[3]</w:t>
      </w:r>
      <w:r w:rsidR="008C018A" w:rsidRPr="004F0FE2">
        <w:fldChar w:fldCharType="end"/>
      </w:r>
      <w:r w:rsidR="00ED1320" w:rsidRPr="004F0FE2">
        <w:t xml:space="preserve">, any </w:t>
      </w:r>
      <w:r w:rsidR="0094016D" w:rsidRPr="004F0FE2">
        <w:t xml:space="preserve">grade neutropenia events were </w:t>
      </w:r>
      <w:r w:rsidR="00ED1320" w:rsidRPr="004F0FE2">
        <w:t xml:space="preserve">the most common hematologic AEs in </w:t>
      </w:r>
      <w:proofErr w:type="spellStart"/>
      <w:r w:rsidR="00ED1320" w:rsidRPr="004F0FE2">
        <w:t>palbociclib</w:t>
      </w:r>
      <w:proofErr w:type="spellEnd"/>
      <w:r w:rsidR="00ED1320" w:rsidRPr="004F0FE2">
        <w:t>-treated patients</w:t>
      </w:r>
      <w:r w:rsidR="008C018A" w:rsidRPr="004F0FE2">
        <w:t xml:space="preserve">, with comparable report rates to those observed </w:t>
      </w:r>
      <w:r w:rsidR="009764D9">
        <w:t>in PARSIFAL</w:t>
      </w:r>
      <w:r w:rsidR="00ED1320" w:rsidRPr="004F0FE2">
        <w:t xml:space="preserve"> (80.3%</w:t>
      </w:r>
      <w:r w:rsidR="008C018A" w:rsidRPr="004F0FE2">
        <w:t xml:space="preserve"> versus 83.9% respectively</w:t>
      </w:r>
      <w:r w:rsidR="00ED1320" w:rsidRPr="004F0FE2">
        <w:t>)</w:t>
      </w:r>
      <w:r w:rsidR="006A35B0" w:rsidRPr="004F0FE2">
        <w:t xml:space="preserve">. The incidence of anemias found in our trial was also similar to previous reports for </w:t>
      </w:r>
      <w:proofErr w:type="spellStart"/>
      <w:r w:rsidR="006A35B0" w:rsidRPr="004F0FE2">
        <w:t>palbociclib</w:t>
      </w:r>
      <w:proofErr w:type="spellEnd"/>
      <w:r w:rsidR="002D443D" w:rsidRPr="004F0FE2">
        <w:t xml:space="preserve"> </w:t>
      </w:r>
      <w:r w:rsidR="006A35B0" w:rsidRPr="004F0FE2">
        <w:t xml:space="preserve">treated patients (25.5% versus 27.6% respectively), however the rate of </w:t>
      </w:r>
      <w:r w:rsidR="00214000" w:rsidRPr="004F0FE2">
        <w:t>leukopenia</w:t>
      </w:r>
      <w:r w:rsidR="00FF3AA8" w:rsidRPr="004F0FE2">
        <w:t xml:space="preserve"> was notably lower than previously published (25.1% versus 45.2% respectively). </w:t>
      </w:r>
      <w:r w:rsidR="006A35B0" w:rsidRPr="004F0FE2">
        <w:t xml:space="preserve"> </w:t>
      </w:r>
      <w:r w:rsidR="00565309" w:rsidRPr="004F0FE2">
        <w:t xml:space="preserve">The main underlying cause of these events is the </w:t>
      </w:r>
      <w:proofErr w:type="spellStart"/>
      <w:r w:rsidR="00565309" w:rsidRPr="004F0FE2">
        <w:t>palbociclib</w:t>
      </w:r>
      <w:proofErr w:type="spellEnd"/>
      <w:r w:rsidR="00565309" w:rsidRPr="004F0FE2">
        <w:t xml:space="preserve"> associated myelosuppression, essentially neutropenia, which however appears not to be translated into a corresponding high proportion of febrile neutropenia. Given the acceptable levels of exposure achieved and the fact that the magnitude and severities of these TEAEs did not translate into a corresponding high proportion of </w:t>
      </w:r>
      <w:r w:rsidR="00565309" w:rsidRPr="00D73C99">
        <w:t>permanent discontinuations</w:t>
      </w:r>
      <w:r w:rsidR="00565309" w:rsidRPr="004F0FE2">
        <w:rPr>
          <w:color w:val="FF0000"/>
        </w:rPr>
        <w:t xml:space="preserve"> </w:t>
      </w:r>
      <w:r w:rsidR="00565309" w:rsidRPr="004F0FE2">
        <w:t xml:space="preserve">or a concerned high number of non-disease related deaths, it </w:t>
      </w:r>
      <w:r w:rsidR="00EE0530" w:rsidRPr="004F0FE2">
        <w:t>can be</w:t>
      </w:r>
      <w:r w:rsidR="00565309" w:rsidRPr="004F0FE2">
        <w:t xml:space="preserve"> concluded that </w:t>
      </w:r>
      <w:proofErr w:type="spellStart"/>
      <w:r w:rsidR="00565309" w:rsidRPr="004F0FE2">
        <w:t>palbociclib</w:t>
      </w:r>
      <w:proofErr w:type="spellEnd"/>
      <w:r w:rsidR="00565309" w:rsidRPr="004F0FE2">
        <w:t xml:space="preserve"> in these proposed combinations, with supportive measures of dose adjustments as appropriate, is reasonably tolerable.</w:t>
      </w:r>
    </w:p>
    <w:p w14:paraId="39433447" w14:textId="77777777" w:rsidR="000942DB" w:rsidRPr="004F0FE2" w:rsidRDefault="000942DB" w:rsidP="00673269">
      <w:pPr>
        <w:ind w:right="567"/>
        <w:rPr>
          <w:color w:val="000000"/>
        </w:rPr>
      </w:pPr>
      <w:r w:rsidRPr="004F0FE2">
        <w:rPr>
          <w:rStyle w:val="highlight"/>
        </w:rPr>
        <w:t>Pulmonary</w:t>
      </w:r>
      <w:r w:rsidRPr="004F0FE2">
        <w:t xml:space="preserve"> embolism has been previously reported at a higher rate in patients treated with </w:t>
      </w:r>
      <w:proofErr w:type="spellStart"/>
      <w:r w:rsidRPr="004F0FE2">
        <w:t>palbociclib</w:t>
      </w:r>
      <w:proofErr w:type="spellEnd"/>
      <w:r w:rsidRPr="004F0FE2">
        <w:t xml:space="preserve"> plus letrozole in the PALOMA-2 trial </w:t>
      </w:r>
      <w:r w:rsidRPr="004F0FE2">
        <w:fldChar w:fldCharType="begin" w:fldLock="1"/>
      </w:r>
      <w:r w:rsidRPr="004F0FE2">
        <w:instrText>ADDIN CSL_CITATION {"citationItems":[{"id":"ITEM-1","itemData":{"DOI":"10.1056/NEJMoa1607303","ISSN":"15334406","abstract":"BACKGROUND A phase 2 study showed that progression-free survival was longer with palbociclib plus letrozole than with letrozole alone in the initial treatment of postmenopausal women with estrogen-receptor (ER)-positive, human epidermal growth factor receptor 2 (HER2)-negative advanced breast cancer. We performed a phase 3 study that was designed to confirm and expand the efficacy and safety data for palbociclib plus letrozole for this indication. METHODS In this double-blind study, we randomly assigned, in a 2:1 ratio, 666 postmenopausal women with ER-positive, HER2-negative breast cancer, who had not had prior treatment for advanced disease, to receive palbociclib plus letrozole or placebo plus letrozole. The primary end point was progression-free survival, as assessed by the investigators; secondary end points were overall survival, objective response, clinical benefit response, patient-reported outcomes, pharmacokinetic effects, and safety. RESULTS The median progression-free survival was 24.8 months (95% confidence interval [CI], 22.1 to not estimable) in the palbociclib-letrozole group, as compared with 14.5 months (95% CI, 12.9 to 17.1) in the placebo-letrozole group (hazard ratio for disease progression or death, 0.58; 95% CI, 0.46 to 0.72; P&lt;0.001). The most common grade 3 or 4 adverse events were neutropenia (occurring in 66.4% of the patients in the palbociclib- letrozole group vs. 1.4% in the placebo-letrozole group), leukopenia (24.8% vs. 0%), anemia (5.4% vs. 1.8%), and fatigue (1.8% vs. 0.5%). Febrile neutropenia was reported in 1.8% of patients in the palbociclib-letrozole group and in none of the patients in the placebo-letrozole group. Permanent discontinuation of any study treatment as a result of adverse events occurred in 43 patients (9.7%) in the palbociclib-letrozole group and in 13 patients (5.9%) in the placebo-letrozole group. CONCLUSIONS Among patients with previously untreated ER-positive, HER2-negative advanced breast cancer, palbociclib combined with letrozole resulted in significantly longer progression-free survival than that with letrozole alone, although the rates of myelotoxic effects were higher with palbociclib-letrozole.","author":[{"dropping-particle":"","family":"Finn","given":"Richard S.","non-dropping-particle":"","parse-names":false,"suffix":""},{"dropping-particle":"","family":"Martin","given":"Miguel","non-dropping-particle":"","parse-names":false,"suffix":""},{"dropping-particle":"","family":"Rugo","given":"Hope S.","non-dropping-particle":"","parse-names":false,"suffix":""},{"dropping-particle":"","family":"Jones","given":"Stephen","non-dropping-particle":"","parse-names":false,"suffix":""},{"dropping-particle":"","family":"Im","given":"Seock Ah","non-dropping-particle":"","parse-names":false,"suffix":""},{"dropping-particle":"","family":"Gelmon","given":"Karen","non-dropping-particle":"","parse-names":false,"suffix":""},{"dropping-particle":"","family":"Harbeck","given":"Nadia","non-dropping-particle":"","parse-names":false,"suffix":""},{"dropping-particle":"","family":"Lipatov","given":"Oleg N.","non-dropping-particle":"","parse-names":false,"suffix":""},{"dropping-particle":"","family":"Walshe","given":"Janice M.","non-dropping-particle":"","parse-names":false,"suffix":""},{"dropping-particle":"","family":"Moulder","given":"Stacy","non-dropping-particle":"","parse-names":false,"suffix":""},{"dropping-particle":"","family":"Gauthier","given":"Eric","non-dropping-particle":"","parse-names":false,"suffix":""},{"dropping-particle":"","family":"Lu","given":"Dongrui R.","non-dropping-particle":"","parse-names":false,"suffix":""},{"dropping-particle":"","family":"Randolph","given":"Sophia","non-dropping-particle":"","parse-names":false,"suffix":""},{"dropping-particle":"","family":"Dieras","given":"Veronique","non-dropping-particle":"","parse-names":false,"suffix":""},{"dropping-particle":"","family":"Slamon","given":"Dennis J.","non-dropping-particle":"","parse-names":false,"suffix":""}],"container-title":"New England Journal of Medicine","id":"ITEM-1","issue":"20","issued":{"date-parts":[["2016","11","17"]]},"page":"1925-1936","publisher":"Massachussetts Medical Society","title":"Palbociclib and letrozole in advanced breast cancer","type":"article-journal","volume":"375"},"uris":["http://www.mendeley.com/documents/?uuid=09617519-7475-3785-a36d-c85aa1f9243a"]}],"mendeley":{"formattedCitation":"[15]","plainTextFormattedCitation":"[15]","previouslyFormattedCitation":"[15]"},"properties":{"noteIndex":0},"schema":"https://github.com/citation-style-language/schema/raw/master/csl-citation.json"}</w:instrText>
      </w:r>
      <w:r w:rsidRPr="004F0FE2">
        <w:fldChar w:fldCharType="separate"/>
      </w:r>
      <w:r w:rsidRPr="004F0FE2">
        <w:t>[15]</w:t>
      </w:r>
      <w:r w:rsidRPr="004F0FE2">
        <w:fldChar w:fldCharType="end"/>
      </w:r>
      <w:r w:rsidRPr="004F0FE2">
        <w:t xml:space="preserve"> (5%) and in patients treated with </w:t>
      </w:r>
      <w:proofErr w:type="spellStart"/>
      <w:r w:rsidRPr="004F0FE2">
        <w:t>palbociclib</w:t>
      </w:r>
      <w:proofErr w:type="spellEnd"/>
      <w:r w:rsidRPr="004F0FE2">
        <w:t xml:space="preserve"> plus </w:t>
      </w:r>
      <w:proofErr w:type="spellStart"/>
      <w:r w:rsidRPr="004F0FE2">
        <w:t>fulvestrant</w:t>
      </w:r>
      <w:proofErr w:type="spellEnd"/>
      <w:r w:rsidRPr="004F0FE2">
        <w:t xml:space="preserve"> in the PALOMA-3 study </w:t>
      </w:r>
      <w:r w:rsidRPr="004F0FE2">
        <w:fldChar w:fldCharType="begin" w:fldLock="1"/>
      </w:r>
      <w:r w:rsidRPr="004F0FE2">
        <w:instrText>ADDIN CSL_CITATION {"citationItems":[{"id":"ITEM-1","itemData":{"DOI":"10.1016/S1470-2045(15)00613-0","ISSN":"14745488","PMID":"26947331","abstract":"Background In the PALOMA-3 study, the combination of the CDK4 and CDK6 inhibitor palbociclib and fulvestrant was associated with significant improvements in progression-free survival compared with fulvestrant plus placebo in patients with metastatic breast cancer. Identification of patients most suitable for the addition of palbociclib to endocrine therapy after tumour recurrence is crucial for treatment optimisation in metastatic breast cancer. We aimed to confirm our earlier findings with this extended follow-up and show our results for subgroup and biomarker analyses. Methods In this multicentre, double-blind, randomised phase 3 study, women aged 18 years or older with hormone-receptor-positive, HER2-negative metastatic breast cancer that had progressed on previous endocrine therapy were stratified by sensitivity to previous hormonal therapy, menopausal status, and presence of visceral metastasis at 144 centres in 17 countries. Eligible patients—ie, any menopausal status, Eastern Cooperative Oncology Group performance status 0–1, measurable disease or bone disease only, and disease relapse or progression after previous endocrine therapy for advanced disease during treatment or within 12 months of completion of adjuvant therapy—were randomly assigned (2:1) via a centralised interactive web-based and voice-based randomisation system to receive oral palbociclib (125 mg daily for 3 weeks followed by a week off over 28-day cycles) plus 500 mg fulvestrant (intramuscular injection on days 1 and 15 of cycle 1; then on day 1 of subsequent 28-day cycles) or placebo plus fulvestrant. The primary endpoint was investigator-assessed progression-free survival. Analysis was by intention to treat. We also assessed endocrine therapy resistance by clinical parameters, quantitative hormone-receptor expression, and tumour PIK3CA mutational status in circulating DNA at baseline. This study is registered with ClinicalTrials.gov, NCT01942135. Findings Between Oct 7, 2013, and Aug 26, 2014, 521 patients were randomly assigned, 347 to fulvestrant plus palbociclib and 174 to fulvestrant plus placebo. Study enrolment is closed and overall survival follow-up is in progress. By March 16, 2015, 259 progression-free-survival events had occurred (145 in the fulvestrant plus palbociclib group and 114 in the fulvestrant plus placebo group); median follow-up was 8·9 months (IQR 8·7–9·2). Median progression-free survival was 9·5 months (95% CI 9·2–11·0) in the fulvestrant plus palbocicl…","author":[{"dropping-particle":"","family":"Cristofanilli","given":"Massimo","non-dropping-particle":"","parse-names":false,"suffix":""},{"dropping-particle":"","family":"Turner","given":"Nicholas C.","non-dropping-particle":"","parse-names":false,"suffix":""},{"dropping-particle":"","family":"Bondarenko","given":"Igor","non-dropping-particle":"","parse-names":false,"suffix":""},{"dropping-particle":"","family":"Ro","given":"Jungsil","non-dropping-particle":"","parse-names":false,"suffix":""},{"dropping-particle":"","family":"Im","given":"Seock Ah","non-dropping-particle":"","parse-names":false,"suffix":""},{"dropping-particle":"","family":"Masuda","given":"Norikazu","non-dropping-particle":"","parse-names":false,"suffix":""},{"dropping-particle":"","family":"Colleoni","given":"Marco","non-dropping-particle":"","parse-names":false,"suffix":""},{"dropping-particle":"","family":"DeMichele","given":"Angela","non-dropping-particle":"","parse-names":false,"suffix":""},{"dropping-particle":"","family":"Loi","given":"Sherene","non-dropping-particle":"","parse-names":false,"suffix":""},{"dropping-particle":"","family":"Verma","given":"Sunil","non-dropping-particle":"","parse-names":false,"suffix":""},{"dropping-particle":"","family":"Iwata","given":"Hiroji","non-dropping-particle":"","parse-names":false,"suffix":""},{"dropping-particle":"","family":"Harbeck","given":"Nadia","non-dropping-particle":"","parse-names":false,"suffix":""},{"dropping-particle":"","family":"Zhang","given":"Ke","non-dropping-particle":"","parse-names":false,"suffix":""},{"dropping-particle":"","family":"Theall","given":"Kathy Puyana","non-dropping-particle":"","parse-names":false,"suffix":""},{"dropping-particle":"","family":"Jiang","given":"Yuqiu","non-dropping-particle":"","parse-names":false,"suffix":""},{"dropping-particle":"","family":"Bartlett","given":"Cynthia Huang","non-dropping-particle":"","parse-names":false,"suffix":""},{"dropping-particle":"","family":"Koehler","given":"Maria","non-dropping-particle":"","parse-names":false,"suffix":""},{"dropping-particle":"","family":"Slamon","given":"Dennis","non-dropping-particle":"","parse-names":false,"suffix":""}],"container-title":"The Lancet Oncology","id":"ITEM-1","issue":"4","issued":{"date-parts":[["2016","4","1"]]},"page":"425-439","publisher":"Lancet Publishing Group","title":"Fulvestrant plus palbociclib versus fulvestrant plus placebo for treatment of hormone-receptor-positive, HER2-negative metastatic breast cancer that progressed on previous endocrine therapy (PALOMA-3): final analysis of the multicentre, double-blind, phase 3 randomised controlled trial","type":"article-journal","volume":"17"},"uris":["http://www.mendeley.com/documents/?uuid=01c18f02-d00f-312c-b864-de79bef3ef3b"]}],"mendeley":{"formattedCitation":"[26]","plainTextFormattedCitation":"[26]","previouslyFormattedCitation":"[26]"},"properties":{"noteIndex":0},"schema":"https://github.com/citation-style-language/schema/raw/master/csl-citation.json"}</w:instrText>
      </w:r>
      <w:r w:rsidRPr="004F0FE2">
        <w:fldChar w:fldCharType="separate"/>
      </w:r>
      <w:r w:rsidRPr="004F0FE2">
        <w:t>[26]</w:t>
      </w:r>
      <w:r w:rsidRPr="004F0FE2">
        <w:fldChar w:fldCharType="end"/>
      </w:r>
      <w:r w:rsidRPr="004F0FE2">
        <w:t xml:space="preserve"> (1%) compared with no cases in patients treated endocrine monotherapy. Accordingly, pulmonary embolism was the most common se</w:t>
      </w:r>
      <w:r w:rsidR="00A9157F" w:rsidRPr="004F0FE2">
        <w:t>rious</w:t>
      </w:r>
      <w:r w:rsidRPr="004F0FE2">
        <w:t xml:space="preserve"> AE </w:t>
      </w:r>
      <w:r w:rsidRPr="004F0FE2">
        <w:rPr>
          <w:lang w:eastAsia="es-ES"/>
        </w:rPr>
        <w:t xml:space="preserve">in </w:t>
      </w:r>
      <w:proofErr w:type="spellStart"/>
      <w:r w:rsidRPr="004F0FE2">
        <w:rPr>
          <w:lang w:eastAsia="es-ES"/>
        </w:rPr>
        <w:t>palbociclib</w:t>
      </w:r>
      <w:proofErr w:type="spellEnd"/>
      <w:r w:rsidRPr="004F0FE2">
        <w:rPr>
          <w:lang w:eastAsia="es-ES"/>
        </w:rPr>
        <w:t>-treated patients</w:t>
      </w:r>
      <w:r w:rsidRPr="004F0FE2">
        <w:t xml:space="preserve"> (1.3%) of the pooled safety analysis </w:t>
      </w:r>
      <w:r w:rsidRPr="004F0FE2">
        <w:fldChar w:fldCharType="begin" w:fldLock="1"/>
      </w:r>
      <w:r w:rsidRPr="004F0FE2">
        <w:instrText>ADDIN CSL_CITATION {"citationItems":[{"id":"ITEM-1","itemData":{"DOI":"10.1093/jnci/djy109","ISSN":"14602105","PMID":"30032196","abstract":"Background: Palbociclib administered with endocrine therapy was tolerable when the overall incidence of toxicities was assessed separately for three PALOMA studies. This study analyzed pooled, longer-term PALOMA safety data longitudinally. Methods: Data were pooled from three randomized phase II and III studies (ClinicalTrials.gov: NCT00721409, NCT01740427, NCT01942135) of hormone receptor-positive/human epidermal growth factor receptor 2-negative advanced breast cancer patients. Front-line patients were randomly assigned to receive letrozole with/without palbociclib (PALOMA-1) or letrozole plus palbociclib/placebo (PALOMA-2). In PALOMA-3, patients with prior endocrine resistance received fulvestrant plus palbociclib/placebo. The cumulative event rates of adverse events (AEs), reporting up to 50 months of treatment, were assessed over time. Results: Patients who received endocrine therapy (n ¼ 1343) were included in this pooled analysis (872 were also treated with palbociclib, and 471 were not). The most common AEs with palbociclib plus endocrine therapy were neutropenia and infections (any grade, 80.6% and 54.7%, respectively), which were higher than in the endocrine monotherapy arm (any grade, 5.3% and 36.9%). The most common hematologic AEs (15.0% in the palbociclib arm) were more likely to be reported in the initial months of the study, after which time the cumulative event rate did not substantially increase. With palbociclib plus endocrine therapy, any grade AEs leading to permanent discontinuation over three years occurred in only 8.3% of patients. Conclusions: Based on these long-term safety analyses, there is no evidence of specific cumulative or delayed toxicities with palbociclib plus endocrine therapy, supporting the ongoing investigation of palbociclib plus endocrine therapy in early breast cancer (NCT02513394).","author":[{"dropping-particle":"","family":"Diéras","given":"Véronique","non-dropping-particle":"","parse-names":false,"suffix":""},{"dropping-particle":"","family":"Rugo","given":"Hope S.","non-dropping-particle":"","parse-names":false,"suffix":""},{"dropping-particle":"","family":"Schnell","given":"Patrick","non-dropping-particle":"","parse-names":false,"suffix":""},{"dropping-particle":"","family":"Gelmon","given":"Karen","non-dropping-particle":"","parse-names":false,"suffix":""},{"dropping-particle":"","family":"Cristofanilli","given":"Massimo","non-dropping-particle":"","parse-names":false,"suffix":""},{"dropping-particle":"","family":"Loi","given":"Sherene","non-dropping-particle":"","parse-names":false,"suffix":""},{"dropping-particle":"","family":"Colleoni","given":"Marco","non-dropping-particle":"","parse-names":false,"suffix":""},{"dropping-particle":"","family":"Lu","given":"Dongrui R.","non-dropping-particle":"","parse-names":false,"suffix":""},{"dropping-particle":"","family":"Mori","given":"Ave","non-dropping-particle":"","parse-names":false,"suffix":""},{"dropping-particle":"","family":"Gauthier","given":"Eric","non-dropping-particle":"","parse-names":false,"suffix":""},{"dropping-particle":"","family":"Bartlett","given":"Cynthia Huang","non-dropping-particle":"","parse-names":false,"suffix":""},{"dropping-particle":"","family":"Slamon","given":"Dennis J.","non-dropping-particle":"","parse-names":false,"suffix":""},{"dropping-particle":"","family":"Turner","given":"Nicholas C.","non-dropping-particle":"","parse-names":false,"suffix":""},{"dropping-particle":"","family":"Finn","given":"Richard S.","non-dropping-particle":"","parse-names":false,"suffix":""}],"container-title":"Journal of the National Cancer Institute","id":"ITEM-1","issue":"4","issued":{"date-parts":[["2019"]]},"publisher":"Oxford University Press","title":"Long-term pooled safety analysis of palbociclib in combination with endocrine therapy for HR1/HER2- Advanced breast cancer","type":"article-journal","volume":"111"},"uris":["http://www.mendeley.com/documents/?uuid=f41855b1-671c-39f9-8921-4a77b6fcba67"]}],"mendeley":{"formattedCitation":"[3]","plainTextFormattedCitation":"[3]","previouslyFormattedCitation":"[3]"},"properties":{"noteIndex":0},"schema":"https://github.com/citation-style-language/schema/raw/master/csl-citation.json"}</w:instrText>
      </w:r>
      <w:r w:rsidRPr="004F0FE2">
        <w:fldChar w:fldCharType="separate"/>
      </w:r>
      <w:r w:rsidRPr="004F0FE2">
        <w:t>[3]</w:t>
      </w:r>
      <w:r w:rsidRPr="004F0FE2">
        <w:fldChar w:fldCharType="end"/>
      </w:r>
      <w:r w:rsidRPr="004F0FE2">
        <w:rPr>
          <w:lang w:eastAsia="es-ES"/>
        </w:rPr>
        <w:t>. I</w:t>
      </w:r>
      <w:r w:rsidRPr="004F0FE2">
        <w:t>n the PARSIFAL trial, pulmonary embolism events (3.</w:t>
      </w:r>
      <w:r w:rsidR="00A9157F" w:rsidRPr="004F0FE2">
        <w:t>7</w:t>
      </w:r>
      <w:r w:rsidRPr="004F0FE2">
        <w:t xml:space="preserve">%) showed a higher frequency in the </w:t>
      </w:r>
      <w:proofErr w:type="spellStart"/>
      <w:r w:rsidRPr="004F0FE2">
        <w:t>palbociclib-fulvestrant</w:t>
      </w:r>
      <w:proofErr w:type="spellEnd"/>
      <w:r w:rsidRPr="004F0FE2">
        <w:t xml:space="preserve"> arm (</w:t>
      </w:r>
      <w:r w:rsidRPr="004F0FE2">
        <w:rPr>
          <w:color w:val="000000"/>
        </w:rPr>
        <w:t>1</w:t>
      </w:r>
      <w:r w:rsidR="00A9157F" w:rsidRPr="004F0FE2">
        <w:rPr>
          <w:color w:val="000000"/>
        </w:rPr>
        <w:t>2</w:t>
      </w:r>
      <w:r w:rsidRPr="004F0FE2">
        <w:rPr>
          <w:color w:val="000000"/>
        </w:rPr>
        <w:t xml:space="preserve"> of the 241; 5.</w:t>
      </w:r>
      <w:r w:rsidR="00A9157F" w:rsidRPr="004F0FE2">
        <w:rPr>
          <w:color w:val="000000"/>
        </w:rPr>
        <w:t>0</w:t>
      </w:r>
      <w:r w:rsidRPr="004F0FE2">
        <w:rPr>
          <w:color w:val="000000"/>
        </w:rPr>
        <w:t xml:space="preserve">%) compared to the </w:t>
      </w:r>
      <w:proofErr w:type="spellStart"/>
      <w:r w:rsidRPr="004F0FE2">
        <w:rPr>
          <w:color w:val="000000"/>
        </w:rPr>
        <w:t>palbociclib</w:t>
      </w:r>
      <w:proofErr w:type="spellEnd"/>
      <w:r w:rsidRPr="004F0FE2">
        <w:rPr>
          <w:color w:val="000000"/>
        </w:rPr>
        <w:t xml:space="preserve">-letrozole group (6 of the 242; 2.5%), and represented the </w:t>
      </w:r>
      <w:r w:rsidRPr="004F0FE2">
        <w:t xml:space="preserve">most commonly reported serious TEAE (8 of the 483 patients; 1.7%), leading to death in one patient in the </w:t>
      </w:r>
      <w:proofErr w:type="spellStart"/>
      <w:r w:rsidRPr="004F0FE2">
        <w:t>palbociclib-fulvestrant</w:t>
      </w:r>
      <w:proofErr w:type="spellEnd"/>
      <w:r w:rsidRPr="004F0FE2">
        <w:t xml:space="preserve"> arm (0.4%). Our findings provide further evidence suggesting that </w:t>
      </w:r>
      <w:proofErr w:type="spellStart"/>
      <w:r w:rsidRPr="004F0FE2">
        <w:t>palbociclib</w:t>
      </w:r>
      <w:proofErr w:type="spellEnd"/>
      <w:r w:rsidRPr="004F0FE2">
        <w:t xml:space="preserve"> may cause life-threatening ILD/pulmonary embolism events. Consequently, strict monitoring of signs and symptoms in </w:t>
      </w:r>
      <w:proofErr w:type="spellStart"/>
      <w:r w:rsidRPr="004F0FE2">
        <w:t>palbociclib</w:t>
      </w:r>
      <w:proofErr w:type="spellEnd"/>
      <w:r w:rsidRPr="004F0FE2">
        <w:t xml:space="preserve">-treated patients is a key element for early diagnosis and medical management as appropriate. </w:t>
      </w:r>
    </w:p>
    <w:p w14:paraId="623948C1" w14:textId="05BE5F92" w:rsidR="001F3F82" w:rsidRPr="004F0FE2" w:rsidRDefault="006E1D44" w:rsidP="00673269">
      <w:pPr>
        <w:ind w:right="567"/>
      </w:pPr>
      <w:r w:rsidRPr="004F0FE2">
        <w:t xml:space="preserve">The rate of infections observed in </w:t>
      </w:r>
      <w:r w:rsidR="009764D9">
        <w:t>PARSIFAL</w:t>
      </w:r>
      <w:r w:rsidRPr="004F0FE2">
        <w:t xml:space="preserve"> was </w:t>
      </w:r>
      <w:r w:rsidR="00C32D6C" w:rsidRPr="004F0FE2">
        <w:t xml:space="preserve">similar to </w:t>
      </w:r>
      <w:r w:rsidR="001F3F82" w:rsidRPr="004F0FE2">
        <w:t>that found in previous reports</w:t>
      </w:r>
      <w:r w:rsidR="00EE0530" w:rsidRPr="004F0FE2">
        <w:t xml:space="preserve"> </w:t>
      </w:r>
      <w:r w:rsidR="00EE0530" w:rsidRPr="004F0FE2">
        <w:fldChar w:fldCharType="begin" w:fldLock="1"/>
      </w:r>
      <w:r w:rsidR="009B7569" w:rsidRPr="004F0FE2">
        <w:instrText>ADDIN CSL_CITATION {"citationItems":[{"id":"ITEM-1","itemData":{"DOI":"10.1093/jnci/djy109","ISSN":"14602105","PMID":"30032196","abstract":"Background: Palbociclib administered with endocrine therapy was tolerable when the overall incidence of toxicities was assessed separately for three PALOMA studies. This study analyzed pooled, longer-term PALOMA safety data longitudinally. Methods: Data were pooled from three randomized phase II and III studies (ClinicalTrials.gov: NCT00721409, NCT01740427, NCT01942135) of hormone receptor-positive/human epidermal growth factor receptor 2-negative advanced breast cancer patients. Front-line patients were randomly assigned to receive letrozole with/without palbociclib (PALOMA-1) or letrozole plus palbociclib/placebo (PALOMA-2). In PALOMA-3, patients with prior endocrine resistance received fulvestrant plus palbociclib/placebo. The cumulative event rates of adverse events (AEs), reporting up to 50 months of treatment, were assessed over time. Results: Patients who received endocrine therapy (n ¼ 1343) were included in this pooled analysis (872 were also treated with palbociclib, and 471 were not). The most common AEs with palbociclib plus endocrine therapy were neutropenia and infections (any grade, 80.6% and 54.7%, respectively), which were higher than in the endocrine monotherapy arm (any grade, 5.3% and 36.9%). The most common hematologic AEs (15.0% in the palbociclib arm) were more likely to be reported in the initial months of the study, after which time the cumulative event rate did not substantially increase. With palbociclib plus endocrine therapy, any grade AEs leading to permanent discontinuation over three years occurred in only 8.3% of patients. Conclusions: Based on these long-term safety analyses, there is no evidence of specific cumulative or delayed toxicities with palbociclib plus endocrine therapy, supporting the ongoing investigation of palbociclib plus endocrine therapy in early breast cancer (NCT02513394).","author":[{"dropping-particle":"","family":"Diéras","given":"Véronique","non-dropping-particle":"","parse-names":false,"suffix":""},{"dropping-particle":"","family":"Rugo","given":"Hope S.","non-dropping-particle":"","parse-names":false,"suffix":""},{"dropping-particle":"","family":"Schnell","given":"Patrick","non-dropping-particle":"","parse-names":false,"suffix":""},{"dropping-particle":"","family":"Gelmon","given":"Karen","non-dropping-particle":"","parse-names":false,"suffix":""},{"dropping-particle":"","family":"Cristofanilli","given":"Massimo","non-dropping-particle":"","parse-names":false,"suffix":""},{"dropping-particle":"","family":"Loi","given":"Sherene","non-dropping-particle":"","parse-names":false,"suffix":""},{"dropping-particle":"","family":"Colleoni","given":"Marco","non-dropping-particle":"","parse-names":false,"suffix":""},{"dropping-particle":"","family":"Lu","given":"Dongrui R.","non-dropping-particle":"","parse-names":false,"suffix":""},{"dropping-particle":"","family":"Mori","given":"Ave","non-dropping-particle":"","parse-names":false,"suffix":""},{"dropping-particle":"","family":"Gauthier","given":"Eric","non-dropping-particle":"","parse-names":false,"suffix":""},{"dropping-particle":"","family":"Bartlett","given":"Cynthia Huang","non-dropping-particle":"","parse-names":false,"suffix":""},{"dropping-particle":"","family":"Slamon","given":"Dennis J.","non-dropping-particle":"","parse-names":false,"suffix":""},{"dropping-particle":"","family":"Turner","given":"Nicholas C.","non-dropping-particle":"","parse-names":false,"suffix":""},{"dropping-particle":"","family":"Finn","given":"Richard S.","non-dropping-particle":"","parse-names":false,"suffix":""}],"container-title":"Journal of the National Cancer Institute","id":"ITEM-1","issue":"4","issued":{"date-parts":[["2019"]]},"publisher":"Oxford University Press","title":"Long-term pooled safety analysis of palbociclib in combination with endocrine therapy for HR1/HER2- Advanced breast cancer","type":"article-journal","volume":"111"},"uris":["http://www.mendeley.com/documents/?uuid=f41855b1-671c-39f9-8921-4a77b6fcba67"]}],"mendeley":{"formattedCitation":"[3]","plainTextFormattedCitation":"[3]","previouslyFormattedCitation":"[3]"},"properties":{"noteIndex":0},"schema":"https://github.com/citation-style-language/schema/raw/master/csl-citation.json"}</w:instrText>
      </w:r>
      <w:r w:rsidR="00EE0530" w:rsidRPr="004F0FE2">
        <w:fldChar w:fldCharType="separate"/>
      </w:r>
      <w:r w:rsidR="009B7569" w:rsidRPr="004F0FE2">
        <w:t>[3]</w:t>
      </w:r>
      <w:r w:rsidR="00EE0530" w:rsidRPr="004F0FE2">
        <w:fldChar w:fldCharType="end"/>
      </w:r>
      <w:r w:rsidR="00EE0530" w:rsidRPr="004F0FE2">
        <w:t xml:space="preserve"> (</w:t>
      </w:r>
      <w:r w:rsidR="00C32D6C" w:rsidRPr="004F0FE2">
        <w:t xml:space="preserve">57.6% versus 54.7% </w:t>
      </w:r>
      <w:r w:rsidR="00EE0530" w:rsidRPr="004F0FE2">
        <w:t>respectively)</w:t>
      </w:r>
      <w:r w:rsidR="00C32D6C" w:rsidRPr="004F0FE2">
        <w:t>.</w:t>
      </w:r>
      <w:r w:rsidR="00091341" w:rsidRPr="004F0FE2">
        <w:t xml:space="preserve"> </w:t>
      </w:r>
      <w:r w:rsidR="003504C4" w:rsidRPr="004F0FE2">
        <w:t>U</w:t>
      </w:r>
      <w:r w:rsidR="00091341" w:rsidRPr="004F0FE2">
        <w:t xml:space="preserve">pper respiratory and urinary tract were the most frequent mild severity </w:t>
      </w:r>
      <w:r w:rsidR="003504C4" w:rsidRPr="004F0FE2">
        <w:t>infections in our trial</w:t>
      </w:r>
      <w:r w:rsidR="00091341" w:rsidRPr="004F0FE2">
        <w:t xml:space="preserve">, with </w:t>
      </w:r>
      <w:r w:rsidR="003504C4" w:rsidRPr="004F0FE2">
        <w:t xml:space="preserve">comparable </w:t>
      </w:r>
      <w:r w:rsidR="00091341" w:rsidRPr="004F0FE2">
        <w:t xml:space="preserve">rates to </w:t>
      </w:r>
      <w:r w:rsidR="003504C4" w:rsidRPr="004F0FE2">
        <w:t xml:space="preserve">those published in the pooled safety analysis (13.3% versus 11.7% respectively, for respiratory infections; 9.5% versus 10.0% respectively, for urinary infections). </w:t>
      </w:r>
      <w:r w:rsidR="00F8254D" w:rsidRPr="004F0FE2">
        <w:t>In the PARSIFAL trial</w:t>
      </w:r>
      <w:r w:rsidR="004F0C46" w:rsidRPr="004F0FE2">
        <w:t xml:space="preserve"> pneumonia was the most frequent serious </w:t>
      </w:r>
      <w:r w:rsidR="00F8254D" w:rsidRPr="004F0FE2">
        <w:t>infection</w:t>
      </w:r>
      <w:r w:rsidR="004F0C46" w:rsidRPr="004F0FE2">
        <w:t xml:space="preserve"> (5 of 483 patients; 1%), with 2 </w:t>
      </w:r>
      <w:r w:rsidR="00F8254D" w:rsidRPr="004F0FE2">
        <w:t>events</w:t>
      </w:r>
      <w:r w:rsidR="004F0C46" w:rsidRPr="004F0FE2">
        <w:t xml:space="preserve"> </w:t>
      </w:r>
      <w:r w:rsidR="00F8254D" w:rsidRPr="004F0FE2">
        <w:t xml:space="preserve">(of 242; 0.8%) </w:t>
      </w:r>
      <w:r w:rsidR="004F0C46" w:rsidRPr="004F0FE2">
        <w:t>attributed to treatment with</w:t>
      </w:r>
      <w:r w:rsidR="00F8254D" w:rsidRPr="004F0FE2">
        <w:t xml:space="preserve"> </w:t>
      </w:r>
      <w:proofErr w:type="spellStart"/>
      <w:r w:rsidR="00F8254D" w:rsidRPr="004F0FE2">
        <w:t>palbociclib</w:t>
      </w:r>
      <w:proofErr w:type="spellEnd"/>
      <w:r w:rsidR="00F8254D" w:rsidRPr="004F0FE2">
        <w:t>-letrozole.</w:t>
      </w:r>
      <w:r w:rsidR="00562050" w:rsidRPr="004F0FE2">
        <w:t xml:space="preserve"> </w:t>
      </w:r>
      <w:r w:rsidR="00562050" w:rsidRPr="004F0FE2">
        <w:lastRenderedPageBreak/>
        <w:t>A</w:t>
      </w:r>
      <w:r w:rsidR="00BE63CE" w:rsidRPr="004F0FE2">
        <w:t>ccording to our findings</w:t>
      </w:r>
      <w:r w:rsidR="00F8254D" w:rsidRPr="004F0FE2">
        <w:t xml:space="preserve">, </w:t>
      </w:r>
      <w:r w:rsidR="00E973E7" w:rsidRPr="004F0FE2">
        <w:t xml:space="preserve">previous reports of </w:t>
      </w:r>
      <w:r w:rsidR="00F8254D" w:rsidRPr="004F0FE2">
        <w:t xml:space="preserve">grade 5 severity pneumonias were </w:t>
      </w:r>
      <w:r w:rsidR="00E973E7" w:rsidRPr="004F0FE2">
        <w:t>only observed in</w:t>
      </w:r>
      <w:r w:rsidR="00F8254D" w:rsidRPr="004F0FE2">
        <w:t xml:space="preserve"> patients receiving endocrine monotherapy </w:t>
      </w:r>
      <w:r w:rsidR="00F8254D" w:rsidRPr="004F0FE2">
        <w:fldChar w:fldCharType="begin" w:fldLock="1"/>
      </w:r>
      <w:r w:rsidR="009B7569" w:rsidRPr="004F0FE2">
        <w:instrText>ADDIN CSL_CITATION {"citationItems":[{"id":"ITEM-1","itemData":{"DOI":"10.1093/jnci/djy109","ISSN":"14602105","PMID":"30032196","abstract":"Background: Palbociclib administered with endocrine therapy was tolerable when the overall incidence of toxicities was assessed separately for three PALOMA studies. This study analyzed pooled, longer-term PALOMA safety data longitudinally. Methods: Data were pooled from three randomized phase II and III studies (ClinicalTrials.gov: NCT00721409, NCT01740427, NCT01942135) of hormone receptor-positive/human epidermal growth factor receptor 2-negative advanced breast cancer patients. Front-line patients were randomly assigned to receive letrozole with/without palbociclib (PALOMA-1) or letrozole plus palbociclib/placebo (PALOMA-2). In PALOMA-3, patients with prior endocrine resistance received fulvestrant plus palbociclib/placebo. The cumulative event rates of adverse events (AEs), reporting up to 50 months of treatment, were assessed over time. Results: Patients who received endocrine therapy (n ¼ 1343) were included in this pooled analysis (872 were also treated with palbociclib, and 471 were not). The most common AEs with palbociclib plus endocrine therapy were neutropenia and infections (any grade, 80.6% and 54.7%, respectively), which were higher than in the endocrine monotherapy arm (any grade, 5.3% and 36.9%). The most common hematologic AEs (15.0% in the palbociclib arm) were more likely to be reported in the initial months of the study, after which time the cumulative event rate did not substantially increase. With palbociclib plus endocrine therapy, any grade AEs leading to permanent discontinuation over three years occurred in only 8.3% of patients. Conclusions: Based on these long-term safety analyses, there is no evidence of specific cumulative or delayed toxicities with palbociclib plus endocrine therapy, supporting the ongoing investigation of palbociclib plus endocrine therapy in early breast cancer (NCT02513394).","author":[{"dropping-particle":"","family":"Diéras","given":"Véronique","non-dropping-particle":"","parse-names":false,"suffix":""},{"dropping-particle":"","family":"Rugo","given":"Hope S.","non-dropping-particle":"","parse-names":false,"suffix":""},{"dropping-particle":"","family":"Schnell","given":"Patrick","non-dropping-particle":"","parse-names":false,"suffix":""},{"dropping-particle":"","family":"Gelmon","given":"Karen","non-dropping-particle":"","parse-names":false,"suffix":""},{"dropping-particle":"","family":"Cristofanilli","given":"Massimo","non-dropping-particle":"","parse-names":false,"suffix":""},{"dropping-particle":"","family":"Loi","given":"Sherene","non-dropping-particle":"","parse-names":false,"suffix":""},{"dropping-particle":"","family":"Colleoni","given":"Marco","non-dropping-particle":"","parse-names":false,"suffix":""},{"dropping-particle":"","family":"Lu","given":"Dongrui R.","non-dropping-particle":"","parse-names":false,"suffix":""},{"dropping-particle":"","family":"Mori","given":"Ave","non-dropping-particle":"","parse-names":false,"suffix":""},{"dropping-particle":"","family":"Gauthier","given":"Eric","non-dropping-particle":"","parse-names":false,"suffix":""},{"dropping-particle":"","family":"Bartlett","given":"Cynthia Huang","non-dropping-particle":"","parse-names":false,"suffix":""},{"dropping-particle":"","family":"Slamon","given":"Dennis J.","non-dropping-particle":"","parse-names":false,"suffix":""},{"dropping-particle":"","family":"Turner","given":"Nicholas C.","non-dropping-particle":"","parse-names":false,"suffix":""},{"dropping-particle":"","family":"Finn","given":"Richard S.","non-dropping-particle":"","parse-names":false,"suffix":""}],"container-title":"Journal of the National Cancer Institute","id":"ITEM-1","issue":"4","issued":{"date-parts":[["2019"]]},"publisher":"Oxford University Press","title":"Long-term pooled safety analysis of palbociclib in combination with endocrine therapy for HR1/HER2- Advanced breast cancer","type":"article-journal","volume":"111"},"uris":["http://www.mendeley.com/documents/?uuid=f41855b1-671c-39f9-8921-4a77b6fcba67"]}],"mendeley":{"formattedCitation":"[3]","plainTextFormattedCitation":"[3]","previouslyFormattedCitation":"[3]"},"properties":{"noteIndex":0},"schema":"https://github.com/citation-style-language/schema/raw/master/csl-citation.json"}</w:instrText>
      </w:r>
      <w:r w:rsidR="00F8254D" w:rsidRPr="004F0FE2">
        <w:fldChar w:fldCharType="separate"/>
      </w:r>
      <w:r w:rsidR="009B7569" w:rsidRPr="004F0FE2">
        <w:t>[3]</w:t>
      </w:r>
      <w:r w:rsidR="00F8254D" w:rsidRPr="004F0FE2">
        <w:fldChar w:fldCharType="end"/>
      </w:r>
      <w:r w:rsidR="00F8254D" w:rsidRPr="004F0FE2">
        <w:t xml:space="preserve">. </w:t>
      </w:r>
    </w:p>
    <w:p w14:paraId="4AA90BEC" w14:textId="16C0E7DF" w:rsidR="00524311" w:rsidRPr="004F0FE2" w:rsidRDefault="00524311" w:rsidP="00673269">
      <w:pPr>
        <w:ind w:right="567"/>
        <w:rPr>
          <w:b/>
          <w:bCs/>
          <w:color w:val="1F3864"/>
        </w:rPr>
      </w:pPr>
      <w:r w:rsidRPr="004F0FE2">
        <w:t xml:space="preserve">Two cases of fatal hepatotoxicity were reported with </w:t>
      </w:r>
      <w:proofErr w:type="spellStart"/>
      <w:r w:rsidRPr="004F0FE2">
        <w:t>palbociclib</w:t>
      </w:r>
      <w:proofErr w:type="spellEnd"/>
      <w:r w:rsidRPr="004F0FE2">
        <w:t xml:space="preserve"> combined with letrozole </w:t>
      </w:r>
      <w:r w:rsidRPr="004F0FE2">
        <w:fldChar w:fldCharType="begin" w:fldLock="1"/>
      </w:r>
      <w:r w:rsidR="00A531F3" w:rsidRPr="004F0FE2">
        <w:instrText>ADDIN CSL_CITATION {"citationItems":[{"id":"ITEM-1","itemData":{"DOI":"10.1002/hep.28720","ISSN":"15273350","author":[{"dropping-particle":"","family":"Vuppalanchi","given":"Raj","non-dropping-particle":"","parse-names":false,"suffix":""},{"dropping-particle":"","family":"Saxena","given":"Romil","non-dropping-particle":"","parse-names":false,"suffix":""},{"dropping-particle":"V.","family":"Storniolo","given":"Anna Maria","non-dropping-particle":"","parse-names":false,"suffix":""},{"dropping-particle":"","family":"Chalasani","given":"Naga","non-dropping-particle":"","parse-names":false,"suffix":""}],"container-title":"Hepatology","id":"ITEM-1","issue":"5","issued":{"date-parts":[["2017","5","1"]]},"page":"1762-1764","publisher":"John Wiley and Sons Inc.","title":"Pseudocirrhosis and liver failure in patients with metastatic breast cancer after treatment with palbociclib","type":"article","volume":"65"},"uris":["http://www.mendeley.com/documents/?uuid=2509dd89-d12a-355f-a310-4892d274ab8b"]}],"mendeley":{"formattedCitation":"[41]","plainTextFormattedCitation":"[41]","previouslyFormattedCitation":"[41]"},"properties":{"noteIndex":0},"schema":"https://github.com/citation-style-language/schema/raw/master/csl-citation.json"}</w:instrText>
      </w:r>
      <w:r w:rsidRPr="004F0FE2">
        <w:fldChar w:fldCharType="separate"/>
      </w:r>
      <w:r w:rsidRPr="004F0FE2">
        <w:t>[41]</w:t>
      </w:r>
      <w:r w:rsidRPr="004F0FE2">
        <w:fldChar w:fldCharType="end"/>
      </w:r>
      <w:r w:rsidRPr="004F0FE2">
        <w:t xml:space="preserve">. Moreover, pooled safety data of the PALOMA trials indicated a high frequency of serum transaminases elevation events (40.8% of ALT elevations; 48.4% AST elevation), with grade 3-4 events typically in occurring in </w:t>
      </w:r>
      <w:proofErr w:type="spellStart"/>
      <w:r w:rsidRPr="004F0FE2">
        <w:t>palbociclib</w:t>
      </w:r>
      <w:proofErr w:type="spellEnd"/>
      <w:r w:rsidRPr="004F0FE2">
        <w:t xml:space="preserve"> treated patients </w:t>
      </w:r>
      <w:r w:rsidRPr="004F0FE2">
        <w:rPr>
          <w:shd w:val="clear" w:color="auto" w:fill="FFFFFF"/>
        </w:rPr>
        <w:fldChar w:fldCharType="begin" w:fldLock="1"/>
      </w:r>
      <w:r w:rsidR="009B7569" w:rsidRPr="004F0FE2">
        <w:rPr>
          <w:shd w:val="clear" w:color="auto" w:fill="FFFFFF"/>
        </w:rPr>
        <w:instrText>ADDIN CSL_CITATION {"citationItems":[{"id":"ITEM-1","itemData":{"DOI":"10.1093/jnci/djy109","ISSN":"14602105","PMID":"30032196","abstract":"Background: Palbociclib administered with endocrine therapy was tolerable when the overall incidence of toxicities was assessed separately for three PALOMA studies. This study analyzed pooled, longer-term PALOMA safety data longitudinally. Methods: Data were pooled from three randomized phase II and III studies (ClinicalTrials.gov: NCT00721409, NCT01740427, NCT01942135) of hormone receptor-positive/human epidermal growth factor receptor 2-negative advanced breast cancer patients. Front-line patients were randomly assigned to receive letrozole with/without palbociclib (PALOMA-1) or letrozole plus palbociclib/placebo (PALOMA-2). In PALOMA-3, patients with prior endocrine resistance received fulvestrant plus palbociclib/placebo. The cumulative event rates of adverse events (AEs), reporting up to 50 months of treatment, were assessed over time. Results: Patients who received endocrine therapy (n ¼ 1343) were included in this pooled analysis (872 were also treated with palbociclib, and 471 were not). The most common AEs with palbociclib plus endocrine therapy were neutropenia and infections (any grade, 80.6% and 54.7%, respectively), which were higher than in the endocrine monotherapy arm (any grade, 5.3% and 36.9%). The most common hematologic AEs (15.0% in the palbociclib arm) were more likely to be reported in the initial months of the study, after which time the cumulative event rate did not substantially increase. With palbociclib plus endocrine therapy, any grade AEs leading to permanent discontinuation over three years occurred in only 8.3% of patients. Conclusions: Based on these long-term safety analyses, there is no evidence of specific cumulative or delayed toxicities with palbociclib plus endocrine therapy, supporting the ongoing investigation of palbociclib plus endocrine therapy in early breast cancer (NCT02513394).","author":[{"dropping-particle":"","family":"Diéras","given":"Véronique","non-dropping-particle":"","parse-names":false,"suffix":""},{"dropping-particle":"","family":"Rugo","given":"Hope S.","non-dropping-particle":"","parse-names":false,"suffix":""},{"dropping-particle":"","family":"Schnell","given":"Patrick","non-dropping-particle":"","parse-names":false,"suffix":""},{"dropping-particle":"","family":"Gelmon","given":"Karen","non-dropping-particle":"","parse-names":false,"suffix":""},{"dropping-particle":"","family":"Cristofanilli","given":"Massimo","non-dropping-particle":"","parse-names":false,"suffix":""},{"dropping-particle":"","family":"Loi","given":"Sherene","non-dropping-particle":"","parse-names":false,"suffix":""},{"dropping-particle":"","family":"Colleoni","given":"Marco","non-dropping-particle":"","parse-names":false,"suffix":""},{"dropping-particle":"","family":"Lu","given":"Dongrui R.","non-dropping-particle":"","parse-names":false,"suffix":""},{"dropping-particle":"","family":"Mori","given":"Ave","non-dropping-particle":"","parse-names":false,"suffix":""},{"dropping-particle":"","family":"Gauthier","given":"Eric","non-dropping-particle":"","parse-names":false,"suffix":""},{"dropping-particle":"","family":"Bartlett","given":"Cynthia Huang","non-dropping-particle":"","parse-names":false,"suffix":""},{"dropping-particle":"","family":"Slamon","given":"Dennis J.","non-dropping-particle":"","parse-names":false,"suffix":""},{"dropping-particle":"","family":"Turner","given":"Nicholas C.","non-dropping-particle":"","parse-names":false,"suffix":""},{"dropping-particle":"","family":"Finn","given":"Richard S.","non-dropping-particle":"","parse-names":false,"suffix":""}],"container-title":"Journal of the National Cancer Institute","id":"ITEM-1","issue":"4","issued":{"date-parts":[["2019"]]},"publisher":"Oxford University Press","title":"Long-term pooled safety analysis of palbociclib in combination with endocrine therapy for HR1/HER2- Advanced breast cancer","type":"article-journal","volume":"111"},"uris":["http://www.mendeley.com/documents/?uuid=f41855b1-671c-39f9-8921-4a77b6fcba67"]}],"mendeley":{"formattedCitation":"[3]","plainTextFormattedCitation":"[3]","previouslyFormattedCitation":"[3]"},"properties":{"noteIndex":0},"schema":"https://github.com/citation-style-language/schema/raw/master/csl-citation.json"}</w:instrText>
      </w:r>
      <w:r w:rsidRPr="004F0FE2">
        <w:rPr>
          <w:shd w:val="clear" w:color="auto" w:fill="FFFFFF"/>
        </w:rPr>
        <w:fldChar w:fldCharType="separate"/>
      </w:r>
      <w:r w:rsidR="009B7569" w:rsidRPr="004F0FE2">
        <w:rPr>
          <w:shd w:val="clear" w:color="auto" w:fill="FFFFFF"/>
        </w:rPr>
        <w:t>[3]</w:t>
      </w:r>
      <w:r w:rsidRPr="004F0FE2">
        <w:rPr>
          <w:shd w:val="clear" w:color="auto" w:fill="FFFFFF"/>
        </w:rPr>
        <w:fldChar w:fldCharType="end"/>
      </w:r>
      <w:r w:rsidRPr="004F0FE2">
        <w:rPr>
          <w:shd w:val="clear" w:color="auto" w:fill="FFFFFF"/>
        </w:rPr>
        <w:t>.</w:t>
      </w:r>
      <w:r w:rsidRPr="004F0FE2">
        <w:t xml:space="preserve"> In the PARSIFAL trial ALT/AST elevations were much less frequent (6.0% and 5.8% respectively) and typically reported as grade 1-2 severity, but a majority of them were attributed to both study drugs. In </w:t>
      </w:r>
      <w:r w:rsidR="00640A11" w:rsidRPr="004F0FE2">
        <w:t>addition,</w:t>
      </w:r>
      <w:r w:rsidRPr="004F0FE2">
        <w:t xml:space="preserve"> one patient in the </w:t>
      </w:r>
      <w:proofErr w:type="spellStart"/>
      <w:r w:rsidRPr="004F0FE2">
        <w:t>palbociclib-fulvestrant</w:t>
      </w:r>
      <w:proofErr w:type="spellEnd"/>
      <w:r w:rsidRPr="004F0FE2">
        <w:t xml:space="preserve"> group reported a grade </w:t>
      </w:r>
      <w:r w:rsidR="00640A11" w:rsidRPr="004F0FE2">
        <w:t xml:space="preserve">3 </w:t>
      </w:r>
      <w:r w:rsidRPr="004F0FE2">
        <w:t xml:space="preserve">drug-induced liver injury </w:t>
      </w:r>
      <w:r w:rsidRPr="004F0FE2">
        <w:rPr>
          <w:lang w:eastAsia="es-ES"/>
        </w:rPr>
        <w:t xml:space="preserve">assessed by the investigator as related to study treatment. Serum ALT and AST elevations are previously reported but rare </w:t>
      </w:r>
      <w:r w:rsidR="00E60F64">
        <w:rPr>
          <w:lang w:eastAsia="es-ES"/>
        </w:rPr>
        <w:t xml:space="preserve">grade 3-4 </w:t>
      </w:r>
      <w:r w:rsidRPr="004F0FE2">
        <w:rPr>
          <w:lang w:eastAsia="es-ES"/>
        </w:rPr>
        <w:t>adverse events occurring in patients in</w:t>
      </w:r>
      <w:r w:rsidRPr="004F0FE2">
        <w:rPr>
          <w:shd w:val="clear" w:color="auto" w:fill="FFFFFF"/>
        </w:rPr>
        <w:t xml:space="preserve"> </w:t>
      </w:r>
      <w:proofErr w:type="spellStart"/>
      <w:r w:rsidRPr="004F0FE2">
        <w:rPr>
          <w:shd w:val="clear" w:color="auto" w:fill="FFFFFF"/>
        </w:rPr>
        <w:t>palbociclib</w:t>
      </w:r>
      <w:proofErr w:type="spellEnd"/>
      <w:r w:rsidRPr="004F0FE2">
        <w:rPr>
          <w:shd w:val="clear" w:color="auto" w:fill="FFFFFF"/>
        </w:rPr>
        <w:t xml:space="preserve"> based regimens. Our findings provide further evidence suggesting </w:t>
      </w:r>
      <w:r w:rsidRPr="004F0FE2">
        <w:rPr>
          <w:lang w:eastAsia="es-ES"/>
        </w:rPr>
        <w:t xml:space="preserve">that </w:t>
      </w:r>
      <w:proofErr w:type="spellStart"/>
      <w:r w:rsidRPr="004F0FE2">
        <w:rPr>
          <w:lang w:eastAsia="es-ES"/>
        </w:rPr>
        <w:t>palbociclib</w:t>
      </w:r>
      <w:proofErr w:type="spellEnd"/>
      <w:r w:rsidRPr="004F0FE2">
        <w:rPr>
          <w:lang w:eastAsia="es-ES"/>
        </w:rPr>
        <w:t xml:space="preserve"> may interfere with liver function causing enzyme elevations or liver injury</w:t>
      </w:r>
      <w:r w:rsidRPr="004F0FE2">
        <w:rPr>
          <w:shd w:val="clear" w:color="auto" w:fill="FFFFFF"/>
        </w:rPr>
        <w:t xml:space="preserve">. </w:t>
      </w:r>
      <w:r w:rsidRPr="004F0FE2">
        <w:t>T</w:t>
      </w:r>
      <w:r w:rsidRPr="004F0FE2">
        <w:rPr>
          <w:bCs/>
        </w:rPr>
        <w:t xml:space="preserve">he evidence suggesting a potential hepatotoxic effect of </w:t>
      </w:r>
      <w:proofErr w:type="spellStart"/>
      <w:r w:rsidRPr="004F0FE2">
        <w:rPr>
          <w:bCs/>
        </w:rPr>
        <w:t>palbociclib</w:t>
      </w:r>
      <w:proofErr w:type="spellEnd"/>
      <w:r w:rsidRPr="004F0FE2">
        <w:rPr>
          <w:bCs/>
        </w:rPr>
        <w:t xml:space="preserve"> is still scarce and t</w:t>
      </w:r>
      <w:r w:rsidRPr="004F0FE2">
        <w:rPr>
          <w:lang w:eastAsia="es-ES"/>
        </w:rPr>
        <w:t xml:space="preserve">he possible causes </w:t>
      </w:r>
      <w:r w:rsidRPr="004F0FE2">
        <w:t xml:space="preserve">are not yet known, however </w:t>
      </w:r>
      <w:proofErr w:type="spellStart"/>
      <w:r w:rsidRPr="004F0FE2">
        <w:t>palbociclib</w:t>
      </w:r>
      <w:proofErr w:type="spellEnd"/>
      <w:r w:rsidRPr="004F0FE2">
        <w:t xml:space="preserve"> is metabolized largely through the CYP3A4 pathway in the liver and the production of toxic intermediates may partially explain these findings. At all events, close monitoring of </w:t>
      </w:r>
      <w:proofErr w:type="spellStart"/>
      <w:r w:rsidRPr="004F0FE2">
        <w:t>palbociclib</w:t>
      </w:r>
      <w:proofErr w:type="spellEnd"/>
      <w:r w:rsidRPr="004F0FE2">
        <w:t xml:space="preserve"> treated patients is essential for early detection and optimal management of potential liver damage.</w:t>
      </w:r>
    </w:p>
    <w:p w14:paraId="523B4795" w14:textId="77777777" w:rsidR="00565309" w:rsidRPr="004F0FE2" w:rsidRDefault="00565309" w:rsidP="00673269">
      <w:pPr>
        <w:pStyle w:val="Ttulo2"/>
        <w:ind w:right="567"/>
      </w:pPr>
      <w:bookmarkStart w:id="613" w:name="_Toc52468157"/>
      <w:r w:rsidRPr="004F0FE2">
        <w:t>Overall conclusion</w:t>
      </w:r>
      <w:r w:rsidR="00FE0FC9" w:rsidRPr="004F0FE2">
        <w:t>.</w:t>
      </w:r>
      <w:bookmarkEnd w:id="613"/>
    </w:p>
    <w:p w14:paraId="7CB9D278" w14:textId="2CB6B0CA" w:rsidR="00576FE1" w:rsidRDefault="00FE0FC9" w:rsidP="00673269">
      <w:pPr>
        <w:ind w:right="567"/>
        <w:rPr>
          <w:lang w:eastAsia="es-ES"/>
        </w:rPr>
      </w:pPr>
      <w:r w:rsidRPr="004F0FE2">
        <w:t xml:space="preserve">In conclusion, this international, </w:t>
      </w:r>
      <w:r w:rsidR="00214000" w:rsidRPr="004F0FE2">
        <w:t>randomized</w:t>
      </w:r>
      <w:r w:rsidRPr="004F0FE2">
        <w:t xml:space="preserve">, </w:t>
      </w:r>
      <w:r w:rsidRPr="00F90041">
        <w:t xml:space="preserve">open-label trial </w:t>
      </w:r>
      <w:r w:rsidR="00F90041" w:rsidRPr="00F90041">
        <w:t xml:space="preserve">did not show </w:t>
      </w:r>
      <w:r w:rsidRPr="00F90041">
        <w:t>an</w:t>
      </w:r>
      <w:r w:rsidRPr="004F0FE2">
        <w:t xml:space="preserve"> improvement in </w:t>
      </w:r>
      <w:r w:rsidR="00F90041">
        <w:t>PFS</w:t>
      </w:r>
      <w:r w:rsidRPr="004F0FE2">
        <w:t xml:space="preserve"> of </w:t>
      </w:r>
      <w:proofErr w:type="spellStart"/>
      <w:r w:rsidRPr="004F0FE2">
        <w:rPr>
          <w:shd w:val="clear" w:color="auto" w:fill="FFFFFF"/>
        </w:rPr>
        <w:t>palbociclib-fulvestrant</w:t>
      </w:r>
      <w:proofErr w:type="spellEnd"/>
      <w:r w:rsidRPr="004F0FE2">
        <w:t xml:space="preserve"> over </w:t>
      </w:r>
      <w:proofErr w:type="spellStart"/>
      <w:r w:rsidRPr="004F0FE2">
        <w:t>palbociclib</w:t>
      </w:r>
      <w:proofErr w:type="spellEnd"/>
      <w:r w:rsidRPr="004F0FE2">
        <w:t xml:space="preserve">-letrozole among patients receiving initial systemic treatment for endocrine-sensitive, </w:t>
      </w:r>
      <w:r w:rsidR="00CB6828" w:rsidRPr="004F0FE2">
        <w:t>ER+</w:t>
      </w:r>
      <w:r w:rsidRPr="004F0FE2">
        <w:t xml:space="preserve">/HER2- metastatic </w:t>
      </w:r>
      <w:r w:rsidR="00CB6828" w:rsidRPr="004F0FE2">
        <w:t>BC</w:t>
      </w:r>
      <w:r w:rsidRPr="004F0FE2">
        <w:t>. Overall</w:t>
      </w:r>
      <w:r w:rsidR="00CB6828" w:rsidRPr="004F0FE2">
        <w:t>,</w:t>
      </w:r>
      <w:r w:rsidRPr="004F0FE2">
        <w:t xml:space="preserve"> the safety profile observed in </w:t>
      </w:r>
      <w:r w:rsidR="009764D9">
        <w:t>PARSIFAL</w:t>
      </w:r>
      <w:r w:rsidRPr="004F0FE2">
        <w:t xml:space="preserve"> </w:t>
      </w:r>
      <w:r w:rsidR="00CB6828" w:rsidRPr="004F0FE2">
        <w:t xml:space="preserve">was </w:t>
      </w:r>
      <w:r w:rsidRPr="004F0FE2">
        <w:t xml:space="preserve">generally consistent with previous reports on </w:t>
      </w:r>
      <w:proofErr w:type="spellStart"/>
      <w:r w:rsidRPr="004F0FE2">
        <w:t>palbociclib</w:t>
      </w:r>
      <w:proofErr w:type="spellEnd"/>
      <w:r w:rsidRPr="004F0FE2">
        <w:t xml:space="preserve"> plus </w:t>
      </w:r>
      <w:proofErr w:type="spellStart"/>
      <w:r w:rsidRPr="004F0FE2">
        <w:t>fulvestrant</w:t>
      </w:r>
      <w:proofErr w:type="spellEnd"/>
      <w:r w:rsidRPr="004F0FE2">
        <w:t xml:space="preserve"> or letrozole</w:t>
      </w:r>
      <w:r w:rsidR="003C561F" w:rsidRPr="004F0FE2">
        <w:t xml:space="preserve">, </w:t>
      </w:r>
      <w:r w:rsidR="003C561F" w:rsidRPr="004F0FE2">
        <w:rPr>
          <w:rStyle w:val="st"/>
        </w:rPr>
        <w:t xml:space="preserve">with </w:t>
      </w:r>
      <w:r w:rsidR="003C561F" w:rsidRPr="004F0FE2">
        <w:rPr>
          <w:rStyle w:val="nfasis"/>
          <w:i w:val="0"/>
        </w:rPr>
        <w:t>reasonable</w:t>
      </w:r>
      <w:r w:rsidR="003C561F" w:rsidRPr="004F0FE2">
        <w:rPr>
          <w:rStyle w:val="st"/>
        </w:rPr>
        <w:t xml:space="preserve"> drug tolerance, a </w:t>
      </w:r>
      <w:r w:rsidR="003C561F" w:rsidRPr="004F0FE2">
        <w:rPr>
          <w:rStyle w:val="nfasis"/>
          <w:i w:val="0"/>
        </w:rPr>
        <w:t>manageable</w:t>
      </w:r>
      <w:r w:rsidR="003C561F" w:rsidRPr="004F0FE2">
        <w:rPr>
          <w:rStyle w:val="st"/>
        </w:rPr>
        <w:t xml:space="preserve"> and predictable </w:t>
      </w:r>
      <w:r w:rsidR="003C561F" w:rsidRPr="004F0FE2">
        <w:rPr>
          <w:rStyle w:val="nfasis"/>
          <w:i w:val="0"/>
        </w:rPr>
        <w:t>safety profile</w:t>
      </w:r>
      <w:r w:rsidR="003C561F" w:rsidRPr="004F0FE2">
        <w:rPr>
          <w:rStyle w:val="st"/>
        </w:rPr>
        <w:t>, relatively low rate</w:t>
      </w:r>
      <w:r w:rsidR="00640A11" w:rsidRPr="004F0FE2">
        <w:rPr>
          <w:rStyle w:val="st"/>
        </w:rPr>
        <w:t>s</w:t>
      </w:r>
      <w:r w:rsidR="003C561F" w:rsidRPr="004F0FE2">
        <w:rPr>
          <w:rStyle w:val="st"/>
        </w:rPr>
        <w:t xml:space="preserve"> of discontinuations due to adverse </w:t>
      </w:r>
      <w:r w:rsidR="003C561F" w:rsidRPr="004F0FE2">
        <w:rPr>
          <w:rStyle w:val="nfasis"/>
          <w:i w:val="0"/>
        </w:rPr>
        <w:t>events</w:t>
      </w:r>
      <w:r w:rsidR="003C561F" w:rsidRPr="004F0FE2">
        <w:rPr>
          <w:rStyle w:val="st"/>
        </w:rPr>
        <w:t xml:space="preserve"> and no drug related deaths. </w:t>
      </w:r>
      <w:r w:rsidR="00CB6828" w:rsidRPr="004F0FE2">
        <w:t>F</w:t>
      </w:r>
      <w:r w:rsidR="00CB6828" w:rsidRPr="004F0FE2">
        <w:rPr>
          <w:shd w:val="clear" w:color="auto" w:fill="FFFFFF"/>
        </w:rPr>
        <w:t xml:space="preserve">indings from </w:t>
      </w:r>
      <w:r w:rsidR="009D5241">
        <w:rPr>
          <w:shd w:val="clear" w:color="auto" w:fill="FFFFFF"/>
        </w:rPr>
        <w:t xml:space="preserve">the </w:t>
      </w:r>
      <w:r w:rsidR="00CB6828" w:rsidRPr="004F0FE2">
        <w:rPr>
          <w:shd w:val="clear" w:color="auto" w:fill="FFFFFF"/>
        </w:rPr>
        <w:t>PARSIFAL study</w:t>
      </w:r>
      <w:r w:rsidR="00CB6828" w:rsidRPr="004F0FE2">
        <w:t xml:space="preserve"> </w:t>
      </w:r>
      <w:proofErr w:type="gramStart"/>
      <w:r w:rsidRPr="004F0FE2">
        <w:t>confirm</w:t>
      </w:r>
      <w:proofErr w:type="gramEnd"/>
      <w:r w:rsidRPr="004F0FE2">
        <w:t xml:space="preserve"> </w:t>
      </w:r>
      <w:r w:rsidR="00CB6828" w:rsidRPr="004F0FE2">
        <w:rPr>
          <w:color w:val="000000"/>
        </w:rPr>
        <w:t>NSAI</w:t>
      </w:r>
      <w:r w:rsidR="002300B2" w:rsidRPr="004F0FE2">
        <w:t xml:space="preserve"> </w:t>
      </w:r>
      <w:r w:rsidRPr="004F0FE2">
        <w:t xml:space="preserve">as the preferred </w:t>
      </w:r>
      <w:proofErr w:type="spellStart"/>
      <w:r w:rsidRPr="004F0FE2">
        <w:t>palbociclib</w:t>
      </w:r>
      <w:proofErr w:type="spellEnd"/>
      <w:r w:rsidRPr="004F0FE2">
        <w:t xml:space="preserve"> partner for an effective treatment with a tolerable safety profile in this patient population</w:t>
      </w:r>
      <w:r w:rsidR="00CB6828" w:rsidRPr="004F0FE2">
        <w:t>, and</w:t>
      </w:r>
      <w:r w:rsidR="00736987" w:rsidRPr="004F0FE2">
        <w:t xml:space="preserve"> place </w:t>
      </w:r>
      <w:proofErr w:type="spellStart"/>
      <w:r w:rsidR="002300B2" w:rsidRPr="004F0FE2">
        <w:t>fulvestrant</w:t>
      </w:r>
      <w:proofErr w:type="spellEnd"/>
      <w:r w:rsidR="002300B2" w:rsidRPr="004F0FE2">
        <w:t xml:space="preserve">-based therapy as the standard of care for patients </w:t>
      </w:r>
      <w:r w:rsidR="002300B2" w:rsidRPr="004F0FE2">
        <w:rPr>
          <w:lang w:eastAsia="es-ES"/>
        </w:rPr>
        <w:t>who progress on initial endocrine therapy with NSAI and CDK4/6 inhibitors.</w:t>
      </w:r>
    </w:p>
    <w:p w14:paraId="20112ECF" w14:textId="77777777" w:rsidR="00576FE1" w:rsidRDefault="00576FE1" w:rsidP="00673269">
      <w:pPr>
        <w:spacing w:after="0" w:line="240" w:lineRule="auto"/>
        <w:ind w:right="567"/>
        <w:jc w:val="left"/>
        <w:rPr>
          <w:lang w:eastAsia="es-ES"/>
        </w:rPr>
      </w:pPr>
      <w:r>
        <w:rPr>
          <w:lang w:eastAsia="es-ES"/>
        </w:rPr>
        <w:br w:type="page"/>
      </w:r>
    </w:p>
    <w:p w14:paraId="181AA905" w14:textId="77777777" w:rsidR="002300B2" w:rsidRPr="004F0FE2" w:rsidRDefault="002300B2" w:rsidP="002300B2"/>
    <w:p w14:paraId="29481D7B" w14:textId="646818AB" w:rsidR="00576FE1" w:rsidRPr="00B661E5" w:rsidRDefault="00576FE1" w:rsidP="002B7615">
      <w:pPr>
        <w:pStyle w:val="Ttulo1"/>
        <w:ind w:hanging="4685"/>
        <w:jc w:val="both"/>
        <w:rPr>
          <w:lang w:val="en-GB"/>
        </w:rPr>
      </w:pPr>
      <w:bookmarkStart w:id="614" w:name="_Toc52468158"/>
      <w:r>
        <w:rPr>
          <w:lang w:val="en-GB"/>
        </w:rPr>
        <w:t>TABLES</w:t>
      </w:r>
      <w:bookmarkEnd w:id="614"/>
      <w:r>
        <w:rPr>
          <w:lang w:val="en-GB"/>
        </w:rPr>
        <w:t xml:space="preserve"> </w:t>
      </w:r>
    </w:p>
    <w:p w14:paraId="4E9FB1C1" w14:textId="77777777" w:rsidR="00576FE1" w:rsidRPr="00ED0B43" w:rsidRDefault="00576FE1" w:rsidP="00576FE1">
      <w:pPr>
        <w:pStyle w:val="Table-title"/>
      </w:pPr>
    </w:p>
    <w:p w14:paraId="5F730A2F" w14:textId="5369E7E1" w:rsidR="00576FE1" w:rsidRDefault="00576FE1" w:rsidP="002221CF">
      <w:pPr>
        <w:pStyle w:val="Descripcin"/>
        <w:keepNext/>
        <w:outlineLvl w:val="0"/>
      </w:pPr>
      <w:bookmarkStart w:id="615" w:name="_Ref52424813"/>
      <w:bookmarkStart w:id="616" w:name="_Toc52046467"/>
      <w:bookmarkStart w:id="617" w:name="_Toc52446202"/>
      <w:bookmarkStart w:id="618" w:name="_Toc52468159"/>
      <w:r>
        <w:t xml:space="preserve">Table </w:t>
      </w:r>
      <w:r>
        <w:fldChar w:fldCharType="begin"/>
      </w:r>
      <w:r>
        <w:instrText xml:space="preserve"> SEQ Table \* ARABIC </w:instrText>
      </w:r>
      <w:r>
        <w:fldChar w:fldCharType="separate"/>
      </w:r>
      <w:r w:rsidR="00773549">
        <w:rPr>
          <w:noProof/>
        </w:rPr>
        <w:t>1</w:t>
      </w:r>
      <w:r>
        <w:fldChar w:fldCharType="end"/>
      </w:r>
      <w:bookmarkEnd w:id="615"/>
      <w:r>
        <w:t xml:space="preserve">. </w:t>
      </w:r>
      <w:r w:rsidRPr="00EA5B2E">
        <w:t>Recruiting sites, principal investigators and IRBs involved in the PARSIFAL trial.</w:t>
      </w:r>
      <w:bookmarkEnd w:id="616"/>
      <w:bookmarkEnd w:id="617"/>
      <w:bookmarkEnd w:id="618"/>
    </w:p>
    <w:tbl>
      <w:tblPr>
        <w:tblStyle w:val="Tablaconcuadrcula3-nfasis3"/>
        <w:tblW w:w="4923" w:type="pct"/>
        <w:jc w:val="center"/>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916"/>
        <w:gridCol w:w="3094"/>
        <w:gridCol w:w="2881"/>
        <w:gridCol w:w="2181"/>
      </w:tblGrid>
      <w:tr w:rsidR="00576FE1" w:rsidRPr="00E47CC2" w14:paraId="7BEB1CD7" w14:textId="77777777" w:rsidTr="00570E43">
        <w:trPr>
          <w:cnfStyle w:val="100000000000" w:firstRow="1" w:lastRow="0" w:firstColumn="0" w:lastColumn="0" w:oddVBand="0" w:evenVBand="0" w:oddHBand="0" w:evenHBand="0" w:firstRowFirstColumn="0" w:firstRowLastColumn="0" w:lastRowFirstColumn="0" w:lastRowLastColumn="0"/>
          <w:trHeight w:val="406"/>
          <w:tblHeader/>
          <w:jc w:val="center"/>
        </w:trPr>
        <w:tc>
          <w:tcPr>
            <w:cnfStyle w:val="001000000100" w:firstRow="0" w:lastRow="0" w:firstColumn="1" w:lastColumn="0" w:oddVBand="0" w:evenVBand="0" w:oddHBand="0" w:evenHBand="0" w:firstRowFirstColumn="1" w:firstRowLastColumn="0" w:lastRowFirstColumn="0" w:lastRowLastColumn="0"/>
            <w:tcW w:w="505" w:type="pct"/>
            <w:tcBorders>
              <w:top w:val="none" w:sz="0" w:space="0" w:color="auto"/>
              <w:left w:val="none" w:sz="0" w:space="0" w:color="auto"/>
              <w:bottom w:val="none" w:sz="0" w:space="0" w:color="auto"/>
              <w:right w:val="none" w:sz="0" w:space="0" w:color="auto"/>
            </w:tcBorders>
            <w:shd w:val="clear" w:color="auto" w:fill="auto"/>
            <w:vAlign w:val="center"/>
            <w:hideMark/>
          </w:tcPr>
          <w:p w14:paraId="5B5A9B71" w14:textId="77777777" w:rsidR="00576FE1" w:rsidRPr="00E47CC2" w:rsidRDefault="00576FE1" w:rsidP="00115CD6">
            <w:pPr>
              <w:spacing w:before="80" w:after="80"/>
              <w:rPr>
                <w:i w:val="0"/>
                <w:iCs w:val="0"/>
                <w:color w:val="000000" w:themeColor="text1"/>
                <w:sz w:val="18"/>
                <w:szCs w:val="18"/>
                <w:lang w:val="en-GB"/>
              </w:rPr>
            </w:pPr>
            <w:r w:rsidRPr="00E47CC2">
              <w:rPr>
                <w:i w:val="0"/>
                <w:iCs w:val="0"/>
                <w:color w:val="000000" w:themeColor="text1"/>
                <w:sz w:val="18"/>
                <w:szCs w:val="18"/>
                <w:lang w:val="en-GB"/>
              </w:rPr>
              <w:t>Site ID</w:t>
            </w:r>
          </w:p>
        </w:tc>
        <w:tc>
          <w:tcPr>
            <w:tcW w:w="1705" w:type="pct"/>
            <w:tcBorders>
              <w:top w:val="none" w:sz="0" w:space="0" w:color="auto"/>
              <w:left w:val="none" w:sz="0" w:space="0" w:color="auto"/>
              <w:right w:val="none" w:sz="0" w:space="0" w:color="auto"/>
            </w:tcBorders>
            <w:shd w:val="clear" w:color="auto" w:fill="auto"/>
            <w:vAlign w:val="center"/>
            <w:hideMark/>
          </w:tcPr>
          <w:p w14:paraId="3E0A2D3F" w14:textId="77777777" w:rsidR="00576FE1" w:rsidRPr="00E47CC2" w:rsidRDefault="00576FE1" w:rsidP="00115CD6">
            <w:pPr>
              <w:spacing w:before="80" w:after="80"/>
              <w:cnfStyle w:val="100000000000" w:firstRow="1"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Recruiting Site [patients randomized]</w:t>
            </w:r>
          </w:p>
        </w:tc>
        <w:tc>
          <w:tcPr>
            <w:tcW w:w="1588" w:type="pct"/>
            <w:tcBorders>
              <w:top w:val="none" w:sz="0" w:space="0" w:color="auto"/>
              <w:left w:val="none" w:sz="0" w:space="0" w:color="auto"/>
              <w:right w:val="none" w:sz="0" w:space="0" w:color="auto"/>
            </w:tcBorders>
            <w:shd w:val="clear" w:color="auto" w:fill="auto"/>
            <w:vAlign w:val="center"/>
            <w:hideMark/>
          </w:tcPr>
          <w:p w14:paraId="277692A5" w14:textId="77777777" w:rsidR="00576FE1" w:rsidRPr="00E47CC2" w:rsidRDefault="00576FE1" w:rsidP="00115CD6">
            <w:pPr>
              <w:spacing w:before="80" w:after="80"/>
              <w:cnfStyle w:val="100000000000" w:firstRow="1"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Principal investigator</w:t>
            </w:r>
          </w:p>
        </w:tc>
        <w:tc>
          <w:tcPr>
            <w:tcW w:w="1202" w:type="pct"/>
            <w:tcBorders>
              <w:top w:val="none" w:sz="0" w:space="0" w:color="auto"/>
              <w:left w:val="none" w:sz="0" w:space="0" w:color="auto"/>
              <w:right w:val="none" w:sz="0" w:space="0" w:color="auto"/>
            </w:tcBorders>
            <w:shd w:val="clear" w:color="auto" w:fill="auto"/>
            <w:vAlign w:val="center"/>
            <w:hideMark/>
          </w:tcPr>
          <w:p w14:paraId="0AE485BB" w14:textId="77777777" w:rsidR="00576FE1" w:rsidRPr="00E47CC2" w:rsidRDefault="00576FE1" w:rsidP="00115CD6">
            <w:pPr>
              <w:spacing w:before="80" w:after="80"/>
              <w:cnfStyle w:val="100000000000" w:firstRow="1"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IRB</w:t>
            </w:r>
          </w:p>
        </w:tc>
      </w:tr>
      <w:tr w:rsidR="00570E43" w:rsidRPr="00E47CC2" w14:paraId="7EFBD50B"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55C58506" w14:textId="6D20F29A" w:rsidR="00570E43" w:rsidRPr="00E47CC2" w:rsidRDefault="00570E43" w:rsidP="00115CD6">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101</w:t>
            </w:r>
          </w:p>
        </w:tc>
        <w:tc>
          <w:tcPr>
            <w:tcW w:w="1705" w:type="pct"/>
            <w:shd w:val="clear" w:color="auto" w:fill="auto"/>
            <w:vAlign w:val="center"/>
          </w:tcPr>
          <w:p w14:paraId="158D0FAC" w14:textId="59530870" w:rsidR="00570E43" w:rsidRPr="00E47CC2" w:rsidRDefault="00570E43" w:rsidP="00115CD6">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n-GB"/>
              </w:rPr>
              <w:t xml:space="preserve">Hospital </w:t>
            </w:r>
            <w:proofErr w:type="spellStart"/>
            <w:r w:rsidRPr="00E47CC2">
              <w:rPr>
                <w:color w:val="000000" w:themeColor="text1"/>
                <w:sz w:val="18"/>
                <w:szCs w:val="18"/>
                <w:lang w:val="en-GB"/>
              </w:rPr>
              <w:t>Universitari</w:t>
            </w:r>
            <w:proofErr w:type="spellEnd"/>
            <w:r w:rsidRPr="00E47CC2">
              <w:rPr>
                <w:color w:val="000000" w:themeColor="text1"/>
                <w:sz w:val="18"/>
                <w:szCs w:val="18"/>
                <w:lang w:val="en-GB"/>
              </w:rPr>
              <w:t xml:space="preserve"> </w:t>
            </w:r>
            <w:proofErr w:type="spellStart"/>
            <w:r w:rsidRPr="00E47CC2">
              <w:rPr>
                <w:color w:val="000000" w:themeColor="text1"/>
                <w:sz w:val="18"/>
                <w:szCs w:val="18"/>
                <w:lang w:val="en-GB"/>
              </w:rPr>
              <w:t>Vall</w:t>
            </w:r>
            <w:proofErr w:type="spellEnd"/>
            <w:r w:rsidRPr="00E47CC2">
              <w:rPr>
                <w:color w:val="000000" w:themeColor="text1"/>
                <w:sz w:val="18"/>
                <w:szCs w:val="18"/>
                <w:lang w:val="en-GB"/>
              </w:rPr>
              <w:t xml:space="preserve"> </w:t>
            </w:r>
            <w:proofErr w:type="spellStart"/>
            <w:r w:rsidRPr="00E47CC2">
              <w:rPr>
                <w:color w:val="000000" w:themeColor="text1"/>
                <w:sz w:val="18"/>
                <w:szCs w:val="18"/>
                <w:lang w:val="en-GB"/>
              </w:rPr>
              <w:t>d'Hebrón</w:t>
            </w:r>
            <w:proofErr w:type="spellEnd"/>
            <w:r w:rsidRPr="00E47CC2">
              <w:rPr>
                <w:color w:val="000000" w:themeColor="text1"/>
                <w:sz w:val="18"/>
                <w:szCs w:val="18"/>
                <w:lang w:val="es-ES"/>
              </w:rPr>
              <w:t xml:space="preserve"> [5</w:t>
            </w:r>
            <w:r w:rsidR="00CB1EF7">
              <w:rPr>
                <w:color w:val="000000" w:themeColor="text1"/>
                <w:sz w:val="18"/>
                <w:szCs w:val="18"/>
                <w:lang w:val="es-ES"/>
              </w:rPr>
              <w:t>1</w:t>
            </w:r>
            <w:r w:rsidRPr="00E47CC2">
              <w:rPr>
                <w:color w:val="000000" w:themeColor="text1"/>
                <w:sz w:val="18"/>
                <w:szCs w:val="18"/>
                <w:lang w:val="es-ES"/>
              </w:rPr>
              <w:t>]</w:t>
            </w:r>
          </w:p>
        </w:tc>
        <w:tc>
          <w:tcPr>
            <w:tcW w:w="1588" w:type="pct"/>
            <w:shd w:val="clear" w:color="auto" w:fill="auto"/>
            <w:vAlign w:val="center"/>
          </w:tcPr>
          <w:p w14:paraId="5F9F00D1" w14:textId="1981B9CA" w:rsidR="00570E43" w:rsidRPr="00E47CC2" w:rsidRDefault="00570E43" w:rsidP="00115CD6">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 xml:space="preserve">Dr. </w:t>
            </w:r>
            <w:proofErr w:type="spellStart"/>
            <w:r w:rsidRPr="00E47CC2">
              <w:rPr>
                <w:color w:val="000000" w:themeColor="text1"/>
                <w:sz w:val="18"/>
                <w:szCs w:val="18"/>
                <w:lang w:val="es-ES"/>
              </w:rPr>
              <w:t>Meritxell</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Bellet</w:t>
            </w:r>
            <w:proofErr w:type="spellEnd"/>
          </w:p>
        </w:tc>
        <w:tc>
          <w:tcPr>
            <w:tcW w:w="1202" w:type="pct"/>
            <w:vMerge w:val="restart"/>
            <w:shd w:val="clear" w:color="auto" w:fill="auto"/>
            <w:vAlign w:val="center"/>
          </w:tcPr>
          <w:p w14:paraId="71EF28C4" w14:textId="02CAD4FE" w:rsidR="00570E43" w:rsidRPr="00367B80" w:rsidRDefault="00570E43"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rPr>
            </w:pPr>
            <w:r w:rsidRPr="00367B80">
              <w:rPr>
                <w:color w:val="000000" w:themeColor="text1"/>
                <w:sz w:val="18"/>
                <w:szCs w:val="18"/>
              </w:rPr>
              <w:t>Ethics Committee of Clinical Research Parc</w:t>
            </w:r>
            <w:r w:rsidRPr="00E47CC2">
              <w:rPr>
                <w:color w:val="000000" w:themeColor="text1"/>
                <w:sz w:val="18"/>
                <w:szCs w:val="18"/>
              </w:rPr>
              <w:t xml:space="preserve"> de Salut Mar, Barcelona</w:t>
            </w:r>
          </w:p>
        </w:tc>
      </w:tr>
      <w:tr w:rsidR="00570E43" w:rsidRPr="00E47CC2" w14:paraId="0041BEF1"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05BE5002" w14:textId="604F76C2" w:rsidR="00570E43" w:rsidRPr="00E47CC2" w:rsidRDefault="00570E43" w:rsidP="00D4316A">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102</w:t>
            </w:r>
          </w:p>
        </w:tc>
        <w:tc>
          <w:tcPr>
            <w:tcW w:w="1705" w:type="pct"/>
            <w:shd w:val="clear" w:color="auto" w:fill="auto"/>
            <w:vAlign w:val="center"/>
          </w:tcPr>
          <w:p w14:paraId="710FFF6A" w14:textId="617794CA" w:rsidR="00570E43" w:rsidRPr="00E47CC2" w:rsidRDefault="00570E43" w:rsidP="00D4316A">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n-GB"/>
              </w:rPr>
              <w:t xml:space="preserve">Instituto Valenciano de </w:t>
            </w:r>
            <w:proofErr w:type="spellStart"/>
            <w:r w:rsidRPr="00E47CC2">
              <w:rPr>
                <w:color w:val="000000" w:themeColor="text1"/>
                <w:sz w:val="18"/>
                <w:szCs w:val="18"/>
                <w:lang w:val="en-GB"/>
              </w:rPr>
              <w:t>Oncología</w:t>
            </w:r>
            <w:proofErr w:type="spellEnd"/>
            <w:r w:rsidRPr="00E47CC2">
              <w:rPr>
                <w:color w:val="000000" w:themeColor="text1"/>
                <w:sz w:val="18"/>
                <w:szCs w:val="18"/>
                <w:lang w:val="en-GB"/>
              </w:rPr>
              <w:t xml:space="preserve"> </w:t>
            </w:r>
            <w:r w:rsidRPr="00E47CC2">
              <w:rPr>
                <w:color w:val="000000" w:themeColor="text1"/>
                <w:sz w:val="18"/>
                <w:szCs w:val="18"/>
              </w:rPr>
              <w:t>[2</w:t>
            </w:r>
            <w:r w:rsidR="00CB1EF7">
              <w:rPr>
                <w:color w:val="000000" w:themeColor="text1"/>
                <w:sz w:val="18"/>
                <w:szCs w:val="18"/>
              </w:rPr>
              <w:t>0</w:t>
            </w:r>
            <w:r w:rsidRPr="00E47CC2">
              <w:rPr>
                <w:color w:val="000000" w:themeColor="text1"/>
                <w:sz w:val="18"/>
                <w:szCs w:val="18"/>
              </w:rPr>
              <w:t>]</w:t>
            </w:r>
          </w:p>
        </w:tc>
        <w:tc>
          <w:tcPr>
            <w:tcW w:w="1588" w:type="pct"/>
            <w:shd w:val="clear" w:color="auto" w:fill="auto"/>
            <w:vAlign w:val="center"/>
          </w:tcPr>
          <w:p w14:paraId="0DC68989" w14:textId="7D32C50B" w:rsidR="00570E43" w:rsidRPr="00E47CC2" w:rsidRDefault="00570E43" w:rsidP="00D4316A">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Joaquin </w:t>
            </w:r>
            <w:proofErr w:type="spellStart"/>
            <w:r w:rsidRPr="00E47CC2">
              <w:rPr>
                <w:color w:val="000000" w:themeColor="text1"/>
                <w:sz w:val="18"/>
                <w:szCs w:val="18"/>
                <w:lang w:val="en-GB"/>
              </w:rPr>
              <w:t>Gavilá</w:t>
            </w:r>
            <w:proofErr w:type="spellEnd"/>
          </w:p>
        </w:tc>
        <w:tc>
          <w:tcPr>
            <w:tcW w:w="1202" w:type="pct"/>
            <w:vMerge/>
            <w:shd w:val="clear" w:color="auto" w:fill="auto"/>
            <w:vAlign w:val="center"/>
          </w:tcPr>
          <w:p w14:paraId="14970259" w14:textId="77777777" w:rsidR="00570E43" w:rsidRPr="00E47CC2" w:rsidRDefault="00570E43"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
        </w:tc>
      </w:tr>
      <w:tr w:rsidR="00570E43" w:rsidRPr="00673269" w14:paraId="71C37010"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4B89B3D5" w14:textId="2740CA87" w:rsidR="00570E43" w:rsidRPr="00E47CC2" w:rsidRDefault="00570E43" w:rsidP="00D4316A">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103</w:t>
            </w:r>
          </w:p>
        </w:tc>
        <w:tc>
          <w:tcPr>
            <w:tcW w:w="1705" w:type="pct"/>
            <w:shd w:val="clear" w:color="auto" w:fill="auto"/>
            <w:vAlign w:val="center"/>
          </w:tcPr>
          <w:p w14:paraId="7CC4CEFD" w14:textId="08805C45" w:rsidR="00570E43" w:rsidRPr="00E47CC2" w:rsidRDefault="00570E43" w:rsidP="00D4316A">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 xml:space="preserve">Hospital Reina </w:t>
            </w:r>
            <w:proofErr w:type="spellStart"/>
            <w:r w:rsidRPr="00E47CC2">
              <w:rPr>
                <w:color w:val="000000" w:themeColor="text1"/>
                <w:sz w:val="18"/>
                <w:szCs w:val="18"/>
                <w:lang w:val="es-ES"/>
              </w:rPr>
              <w:t>Sofia</w:t>
            </w:r>
            <w:proofErr w:type="spellEnd"/>
            <w:r w:rsidRPr="00E47CC2">
              <w:rPr>
                <w:color w:val="000000" w:themeColor="text1"/>
                <w:sz w:val="18"/>
                <w:szCs w:val="18"/>
                <w:lang w:val="es-ES"/>
              </w:rPr>
              <w:t xml:space="preserve"> de </w:t>
            </w:r>
            <w:proofErr w:type="spellStart"/>
            <w:r w:rsidRPr="00E47CC2">
              <w:rPr>
                <w:color w:val="000000" w:themeColor="text1"/>
                <w:sz w:val="18"/>
                <w:szCs w:val="18"/>
                <w:lang w:val="es-ES"/>
              </w:rPr>
              <w:t>Cordoba</w:t>
            </w:r>
            <w:proofErr w:type="spellEnd"/>
            <w:r w:rsidRPr="00E47CC2">
              <w:rPr>
                <w:color w:val="000000" w:themeColor="text1"/>
                <w:sz w:val="18"/>
                <w:szCs w:val="18"/>
                <w:lang w:val="es-ES"/>
              </w:rPr>
              <w:t xml:space="preserve"> [3]</w:t>
            </w:r>
          </w:p>
        </w:tc>
        <w:tc>
          <w:tcPr>
            <w:tcW w:w="1588" w:type="pct"/>
            <w:shd w:val="clear" w:color="auto" w:fill="auto"/>
            <w:vAlign w:val="center"/>
          </w:tcPr>
          <w:p w14:paraId="2545AD3C" w14:textId="12A53384" w:rsidR="00570E43" w:rsidRPr="00E47CC2" w:rsidRDefault="00570E43" w:rsidP="00D4316A">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Dr. Juan de La Haba</w:t>
            </w:r>
          </w:p>
        </w:tc>
        <w:tc>
          <w:tcPr>
            <w:tcW w:w="1202" w:type="pct"/>
            <w:vMerge/>
            <w:shd w:val="clear" w:color="auto" w:fill="auto"/>
            <w:vAlign w:val="center"/>
          </w:tcPr>
          <w:p w14:paraId="7D138ADE" w14:textId="77777777" w:rsidR="00570E43" w:rsidRPr="00727863" w:rsidRDefault="00570E43"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p>
        </w:tc>
      </w:tr>
      <w:tr w:rsidR="00570E43" w:rsidRPr="00E47CC2" w14:paraId="469012AD"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68C9993D" w14:textId="0ED9E060" w:rsidR="00570E43" w:rsidRPr="00E47CC2" w:rsidRDefault="00570E43" w:rsidP="00D4316A">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104</w:t>
            </w:r>
          </w:p>
        </w:tc>
        <w:tc>
          <w:tcPr>
            <w:tcW w:w="1705" w:type="pct"/>
            <w:shd w:val="clear" w:color="auto" w:fill="auto"/>
            <w:vAlign w:val="center"/>
          </w:tcPr>
          <w:p w14:paraId="1908B385" w14:textId="4393FCFF" w:rsidR="00570E43" w:rsidRPr="00E47CC2" w:rsidRDefault="00570E43" w:rsidP="00D4316A">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Institut</w:t>
            </w:r>
            <w:proofErr w:type="spellEnd"/>
            <w:r w:rsidRPr="00E47CC2">
              <w:rPr>
                <w:color w:val="000000" w:themeColor="text1"/>
                <w:sz w:val="18"/>
                <w:szCs w:val="18"/>
                <w:lang w:val="en-GB"/>
              </w:rPr>
              <w:t xml:space="preserve"> </w:t>
            </w:r>
            <w:proofErr w:type="spellStart"/>
            <w:r w:rsidRPr="00E47CC2">
              <w:rPr>
                <w:color w:val="000000" w:themeColor="text1"/>
                <w:sz w:val="18"/>
                <w:szCs w:val="18"/>
                <w:lang w:val="en-GB"/>
              </w:rPr>
              <w:t>Català</w:t>
            </w:r>
            <w:proofErr w:type="spellEnd"/>
            <w:r w:rsidRPr="00E47CC2">
              <w:rPr>
                <w:color w:val="000000" w:themeColor="text1"/>
                <w:sz w:val="18"/>
                <w:szCs w:val="18"/>
                <w:lang w:val="en-GB"/>
              </w:rPr>
              <w:t xml:space="preserve"> </w:t>
            </w:r>
            <w:proofErr w:type="spellStart"/>
            <w:r w:rsidRPr="00E47CC2">
              <w:rPr>
                <w:color w:val="000000" w:themeColor="text1"/>
                <w:sz w:val="18"/>
                <w:szCs w:val="18"/>
                <w:lang w:val="en-GB"/>
              </w:rPr>
              <w:t>d'Oncologia</w:t>
            </w:r>
            <w:proofErr w:type="spellEnd"/>
            <w:r w:rsidRPr="00E47CC2">
              <w:rPr>
                <w:color w:val="000000" w:themeColor="text1"/>
                <w:sz w:val="18"/>
                <w:szCs w:val="18"/>
                <w:lang w:val="en-GB"/>
              </w:rPr>
              <w:t xml:space="preserve"> (ICO-Hospitalet) [</w:t>
            </w:r>
            <w:r w:rsidR="00CB1EF7">
              <w:rPr>
                <w:color w:val="000000" w:themeColor="text1"/>
                <w:sz w:val="18"/>
                <w:szCs w:val="18"/>
                <w:lang w:val="en-GB"/>
              </w:rPr>
              <w:t>37</w:t>
            </w:r>
            <w:r w:rsidRPr="00E47CC2">
              <w:rPr>
                <w:color w:val="000000" w:themeColor="text1"/>
                <w:sz w:val="18"/>
                <w:szCs w:val="18"/>
                <w:lang w:val="en-GB"/>
              </w:rPr>
              <w:t>]</w:t>
            </w:r>
          </w:p>
        </w:tc>
        <w:tc>
          <w:tcPr>
            <w:tcW w:w="1588" w:type="pct"/>
            <w:shd w:val="clear" w:color="auto" w:fill="auto"/>
            <w:vAlign w:val="center"/>
          </w:tcPr>
          <w:p w14:paraId="7DDBC08A" w14:textId="0B8F8C69" w:rsidR="00570E43" w:rsidRPr="00E47CC2" w:rsidRDefault="00570E43" w:rsidP="00D4316A">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Mi</w:t>
            </w:r>
            <w:r w:rsidR="008A23F4">
              <w:rPr>
                <w:color w:val="000000" w:themeColor="text1"/>
                <w:sz w:val="18"/>
                <w:szCs w:val="18"/>
                <w:lang w:val="en-GB"/>
              </w:rPr>
              <w:t>g</w:t>
            </w:r>
            <w:r w:rsidRPr="00E47CC2">
              <w:rPr>
                <w:color w:val="000000" w:themeColor="text1"/>
                <w:sz w:val="18"/>
                <w:szCs w:val="18"/>
                <w:lang w:val="en-GB"/>
              </w:rPr>
              <w:t>uel Gil</w:t>
            </w:r>
          </w:p>
        </w:tc>
        <w:tc>
          <w:tcPr>
            <w:tcW w:w="1202" w:type="pct"/>
            <w:vMerge/>
            <w:shd w:val="clear" w:color="auto" w:fill="auto"/>
            <w:vAlign w:val="center"/>
          </w:tcPr>
          <w:p w14:paraId="72767C6B" w14:textId="77777777" w:rsidR="00570E43" w:rsidRPr="00E47CC2" w:rsidRDefault="00570E43"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
        </w:tc>
      </w:tr>
      <w:tr w:rsidR="00570E43" w:rsidRPr="00E47CC2" w14:paraId="5E94ADE1"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hideMark/>
          </w:tcPr>
          <w:p w14:paraId="7546D646" w14:textId="1FBE1F86" w:rsidR="00570E43" w:rsidRPr="00E47CC2" w:rsidRDefault="00570E43" w:rsidP="00D4316A">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105</w:t>
            </w:r>
          </w:p>
        </w:tc>
        <w:tc>
          <w:tcPr>
            <w:tcW w:w="1705" w:type="pct"/>
            <w:shd w:val="clear" w:color="auto" w:fill="auto"/>
            <w:vAlign w:val="center"/>
          </w:tcPr>
          <w:p w14:paraId="39973A83" w14:textId="5BCC1A24" w:rsidR="00570E43" w:rsidRPr="00E47CC2" w:rsidRDefault="00570E43" w:rsidP="00D4316A">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Hospital del Mar de Barcelona [6]</w:t>
            </w:r>
          </w:p>
        </w:tc>
        <w:tc>
          <w:tcPr>
            <w:tcW w:w="1588" w:type="pct"/>
            <w:shd w:val="clear" w:color="auto" w:fill="auto"/>
            <w:vAlign w:val="center"/>
          </w:tcPr>
          <w:p w14:paraId="79AC77D9" w14:textId="4013B557" w:rsidR="00570E43" w:rsidRPr="00E47CC2" w:rsidRDefault="00570E43" w:rsidP="00D4316A">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 xml:space="preserve">Dr. Sonia </w:t>
            </w:r>
            <w:proofErr w:type="spellStart"/>
            <w:r w:rsidRPr="00E47CC2">
              <w:rPr>
                <w:color w:val="000000" w:themeColor="text1"/>
                <w:sz w:val="18"/>
                <w:szCs w:val="18"/>
                <w:lang w:val="es-ES"/>
              </w:rPr>
              <w:t>Servitja</w:t>
            </w:r>
            <w:proofErr w:type="spellEnd"/>
          </w:p>
        </w:tc>
        <w:tc>
          <w:tcPr>
            <w:tcW w:w="1202" w:type="pct"/>
            <w:vMerge/>
            <w:shd w:val="clear" w:color="auto" w:fill="auto"/>
            <w:vAlign w:val="center"/>
          </w:tcPr>
          <w:p w14:paraId="687EABE0" w14:textId="77777777" w:rsidR="00570E43" w:rsidRPr="00E47CC2" w:rsidRDefault="00570E43"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p>
        </w:tc>
      </w:tr>
      <w:tr w:rsidR="00570E43" w:rsidRPr="00E47CC2" w14:paraId="320230D9"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135B6AAE" w14:textId="1B3259A8" w:rsidR="00570E43" w:rsidRPr="00E47CC2" w:rsidRDefault="00570E43" w:rsidP="00D4316A">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106</w:t>
            </w:r>
          </w:p>
        </w:tc>
        <w:tc>
          <w:tcPr>
            <w:tcW w:w="1705" w:type="pct"/>
            <w:shd w:val="clear" w:color="auto" w:fill="auto"/>
            <w:vAlign w:val="center"/>
          </w:tcPr>
          <w:p w14:paraId="351863F6" w14:textId="16AED1CB" w:rsidR="00570E43" w:rsidRPr="00E47CC2" w:rsidRDefault="00570E43" w:rsidP="00D4316A">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Hospital Universitario Central de Asturias [3]</w:t>
            </w:r>
          </w:p>
        </w:tc>
        <w:tc>
          <w:tcPr>
            <w:tcW w:w="1588" w:type="pct"/>
            <w:shd w:val="clear" w:color="auto" w:fill="auto"/>
            <w:vAlign w:val="center"/>
          </w:tcPr>
          <w:p w14:paraId="03BFAA8A" w14:textId="1B0C22BA" w:rsidR="00570E43" w:rsidRPr="00E47CC2" w:rsidRDefault="00570E43" w:rsidP="00D4316A">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Maria </w:t>
            </w:r>
            <w:proofErr w:type="spellStart"/>
            <w:r w:rsidRPr="00E47CC2">
              <w:rPr>
                <w:color w:val="000000" w:themeColor="text1"/>
                <w:sz w:val="18"/>
                <w:szCs w:val="18"/>
                <w:lang w:val="en-GB"/>
              </w:rPr>
              <w:t>Luque</w:t>
            </w:r>
            <w:proofErr w:type="spellEnd"/>
          </w:p>
        </w:tc>
        <w:tc>
          <w:tcPr>
            <w:tcW w:w="1202" w:type="pct"/>
            <w:vMerge/>
            <w:shd w:val="clear" w:color="auto" w:fill="auto"/>
            <w:vAlign w:val="center"/>
          </w:tcPr>
          <w:p w14:paraId="6AFE1F43" w14:textId="77777777" w:rsidR="00570E43" w:rsidRPr="00E47CC2" w:rsidRDefault="00570E43"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
        </w:tc>
      </w:tr>
      <w:tr w:rsidR="00570E43" w:rsidRPr="00E47CC2" w14:paraId="6B053476"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0FE0B5D4" w14:textId="363AAAB0" w:rsidR="00570E43" w:rsidRPr="00E47CC2" w:rsidRDefault="00570E43" w:rsidP="00800CB7">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107</w:t>
            </w:r>
          </w:p>
        </w:tc>
        <w:tc>
          <w:tcPr>
            <w:tcW w:w="1705" w:type="pct"/>
            <w:shd w:val="clear" w:color="auto" w:fill="auto"/>
            <w:vAlign w:val="center"/>
          </w:tcPr>
          <w:p w14:paraId="3AAC3CF0" w14:textId="61C5162C" w:rsidR="00570E43" w:rsidRPr="00E47CC2" w:rsidRDefault="00570E43" w:rsidP="00800CB7">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Hospital Universitario Virgen del Rocío [32]</w:t>
            </w:r>
          </w:p>
        </w:tc>
        <w:tc>
          <w:tcPr>
            <w:tcW w:w="1588" w:type="pct"/>
            <w:shd w:val="clear" w:color="auto" w:fill="auto"/>
            <w:vAlign w:val="center"/>
          </w:tcPr>
          <w:p w14:paraId="7CAAA27E" w14:textId="73937DDB" w:rsidR="00570E43" w:rsidRPr="00E47CC2" w:rsidRDefault="00570E43" w:rsidP="00800CB7">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Manuel Ruiz Borrego</w:t>
            </w:r>
          </w:p>
        </w:tc>
        <w:tc>
          <w:tcPr>
            <w:tcW w:w="1202" w:type="pct"/>
            <w:vMerge/>
            <w:shd w:val="clear" w:color="auto" w:fill="auto"/>
            <w:vAlign w:val="center"/>
          </w:tcPr>
          <w:p w14:paraId="3928BDC6" w14:textId="77777777" w:rsidR="00570E43" w:rsidRPr="00E47CC2" w:rsidRDefault="00570E43"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
        </w:tc>
      </w:tr>
      <w:tr w:rsidR="00570E43" w:rsidRPr="00E47CC2" w14:paraId="08E6B564"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hideMark/>
          </w:tcPr>
          <w:p w14:paraId="08DF7419" w14:textId="4F209169" w:rsidR="00570E43" w:rsidRPr="00E47CC2" w:rsidRDefault="00570E43" w:rsidP="00800CB7">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108</w:t>
            </w:r>
          </w:p>
        </w:tc>
        <w:tc>
          <w:tcPr>
            <w:tcW w:w="1705" w:type="pct"/>
            <w:shd w:val="clear" w:color="auto" w:fill="auto"/>
            <w:vAlign w:val="center"/>
            <w:hideMark/>
          </w:tcPr>
          <w:p w14:paraId="7F759102" w14:textId="7E87EE52" w:rsidR="00570E43" w:rsidRPr="00E47CC2" w:rsidRDefault="00570E43" w:rsidP="00800CB7">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s-ES"/>
              </w:rPr>
            </w:pPr>
            <w:proofErr w:type="spellStart"/>
            <w:r w:rsidRPr="00E47CC2">
              <w:rPr>
                <w:color w:val="000000" w:themeColor="text1"/>
                <w:sz w:val="18"/>
                <w:szCs w:val="18"/>
                <w:lang w:val="es-ES"/>
              </w:rPr>
              <w:t>Institut</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Català</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d’Oncoloogia</w:t>
            </w:r>
            <w:proofErr w:type="spellEnd"/>
            <w:r w:rsidRPr="00E47CC2">
              <w:rPr>
                <w:color w:val="000000" w:themeColor="text1"/>
                <w:sz w:val="18"/>
                <w:szCs w:val="18"/>
                <w:lang w:val="es-ES"/>
              </w:rPr>
              <w:t xml:space="preserve"> de Girona [9]</w:t>
            </w:r>
          </w:p>
        </w:tc>
        <w:tc>
          <w:tcPr>
            <w:tcW w:w="1588" w:type="pct"/>
            <w:shd w:val="clear" w:color="auto" w:fill="auto"/>
            <w:vAlign w:val="center"/>
            <w:hideMark/>
          </w:tcPr>
          <w:p w14:paraId="5C490731" w14:textId="795D8861" w:rsidR="00570E43" w:rsidRPr="00E47CC2" w:rsidRDefault="00570E43" w:rsidP="00800CB7">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Gemma </w:t>
            </w:r>
            <w:proofErr w:type="spellStart"/>
            <w:r w:rsidRPr="00E47CC2">
              <w:rPr>
                <w:color w:val="000000" w:themeColor="text1"/>
                <w:sz w:val="18"/>
                <w:szCs w:val="18"/>
                <w:lang w:val="en-GB"/>
              </w:rPr>
              <w:t>Viñas</w:t>
            </w:r>
            <w:proofErr w:type="spellEnd"/>
          </w:p>
        </w:tc>
        <w:tc>
          <w:tcPr>
            <w:tcW w:w="1202" w:type="pct"/>
            <w:vMerge/>
            <w:shd w:val="clear" w:color="auto" w:fill="auto"/>
            <w:vAlign w:val="center"/>
          </w:tcPr>
          <w:p w14:paraId="78A5BA3D" w14:textId="77777777" w:rsidR="00570E43" w:rsidRPr="00E47CC2" w:rsidRDefault="00570E43"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
        </w:tc>
      </w:tr>
      <w:tr w:rsidR="00570E43" w:rsidRPr="00E47CC2" w14:paraId="79283DED"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hideMark/>
          </w:tcPr>
          <w:p w14:paraId="15C9814A" w14:textId="1445F005" w:rsidR="00570E43" w:rsidRPr="00E47CC2" w:rsidRDefault="00570E43" w:rsidP="00800CB7">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109</w:t>
            </w:r>
          </w:p>
        </w:tc>
        <w:tc>
          <w:tcPr>
            <w:tcW w:w="1705" w:type="pct"/>
            <w:shd w:val="clear" w:color="auto" w:fill="auto"/>
            <w:vAlign w:val="center"/>
            <w:hideMark/>
          </w:tcPr>
          <w:p w14:paraId="6E71C40E" w14:textId="0D14AFAD" w:rsidR="00570E43" w:rsidRPr="00E47CC2" w:rsidRDefault="00570E43" w:rsidP="00800CB7">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 xml:space="preserve">Hospital </w:t>
            </w:r>
            <w:proofErr w:type="spellStart"/>
            <w:r w:rsidRPr="00E47CC2">
              <w:rPr>
                <w:color w:val="000000" w:themeColor="text1"/>
                <w:sz w:val="18"/>
                <w:szCs w:val="18"/>
                <w:lang w:val="en-GB"/>
              </w:rPr>
              <w:t>Universitari</w:t>
            </w:r>
            <w:proofErr w:type="spellEnd"/>
            <w:r w:rsidRPr="00E47CC2">
              <w:rPr>
                <w:color w:val="000000" w:themeColor="text1"/>
                <w:sz w:val="18"/>
                <w:szCs w:val="18"/>
                <w:lang w:val="en-GB"/>
              </w:rPr>
              <w:t xml:space="preserve"> Sant Joan de Reus [13]</w:t>
            </w:r>
          </w:p>
        </w:tc>
        <w:tc>
          <w:tcPr>
            <w:tcW w:w="1588" w:type="pct"/>
            <w:shd w:val="clear" w:color="auto" w:fill="auto"/>
            <w:vAlign w:val="center"/>
            <w:hideMark/>
          </w:tcPr>
          <w:p w14:paraId="1D7B3490" w14:textId="6DA446F4" w:rsidR="00570E43" w:rsidRPr="00E47CC2" w:rsidRDefault="00570E43" w:rsidP="00800CB7">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 xml:space="preserve">Dr. </w:t>
            </w:r>
            <w:proofErr w:type="spellStart"/>
            <w:r w:rsidRPr="00E47CC2">
              <w:rPr>
                <w:color w:val="000000" w:themeColor="text1"/>
                <w:sz w:val="18"/>
                <w:szCs w:val="18"/>
                <w:lang w:val="es-ES"/>
              </w:rPr>
              <w:t>Kepa</w:t>
            </w:r>
            <w:proofErr w:type="spellEnd"/>
            <w:r w:rsidRPr="00E47CC2">
              <w:rPr>
                <w:color w:val="000000" w:themeColor="text1"/>
                <w:sz w:val="18"/>
                <w:szCs w:val="18"/>
                <w:lang w:val="es-ES"/>
              </w:rPr>
              <w:t xml:space="preserve"> Amilano</w:t>
            </w:r>
          </w:p>
        </w:tc>
        <w:tc>
          <w:tcPr>
            <w:tcW w:w="1202" w:type="pct"/>
            <w:vMerge/>
            <w:shd w:val="clear" w:color="auto" w:fill="auto"/>
            <w:vAlign w:val="center"/>
          </w:tcPr>
          <w:p w14:paraId="1A9C4C4F" w14:textId="77777777" w:rsidR="00570E43" w:rsidRPr="00E47CC2" w:rsidRDefault="00570E43"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p>
        </w:tc>
      </w:tr>
      <w:tr w:rsidR="00570E43" w:rsidRPr="00E47CC2" w14:paraId="5FDDFBFC"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06667527" w14:textId="013681E4" w:rsidR="00570E43" w:rsidRPr="00E47CC2" w:rsidRDefault="00570E43" w:rsidP="00800CB7">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110</w:t>
            </w:r>
          </w:p>
        </w:tc>
        <w:tc>
          <w:tcPr>
            <w:tcW w:w="1705" w:type="pct"/>
            <w:shd w:val="clear" w:color="auto" w:fill="auto"/>
            <w:vAlign w:val="center"/>
          </w:tcPr>
          <w:p w14:paraId="23A91BDB" w14:textId="66D85404" w:rsidR="00570E43" w:rsidRPr="00E47CC2" w:rsidRDefault="00570E43" w:rsidP="00800CB7">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Hospital</w:t>
            </w:r>
            <w:r w:rsidR="00EA7283">
              <w:rPr>
                <w:color w:val="000000" w:themeColor="text1"/>
                <w:sz w:val="18"/>
                <w:szCs w:val="18"/>
                <w:lang w:val="es-ES"/>
              </w:rPr>
              <w:t xml:space="preserve"> </w:t>
            </w:r>
            <w:r w:rsidRPr="00E47CC2">
              <w:rPr>
                <w:color w:val="000000" w:themeColor="text1"/>
                <w:sz w:val="18"/>
                <w:szCs w:val="18"/>
                <w:lang w:val="es-ES"/>
              </w:rPr>
              <w:t>Universitario Juan Ramón Jiménez [5]</w:t>
            </w:r>
          </w:p>
        </w:tc>
        <w:tc>
          <w:tcPr>
            <w:tcW w:w="1588" w:type="pct"/>
            <w:shd w:val="clear" w:color="auto" w:fill="auto"/>
            <w:vAlign w:val="center"/>
          </w:tcPr>
          <w:p w14:paraId="299E6D5D" w14:textId="6DF2F4FE" w:rsidR="00570E43" w:rsidRPr="00E47CC2" w:rsidRDefault="00570E43" w:rsidP="00800CB7">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Juan Bayo</w:t>
            </w:r>
          </w:p>
        </w:tc>
        <w:tc>
          <w:tcPr>
            <w:tcW w:w="1202" w:type="pct"/>
            <w:vMerge/>
            <w:shd w:val="clear" w:color="auto" w:fill="auto"/>
            <w:vAlign w:val="center"/>
          </w:tcPr>
          <w:p w14:paraId="3DD6433B" w14:textId="77777777" w:rsidR="00570E43" w:rsidRPr="00E47CC2" w:rsidRDefault="00570E43"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
        </w:tc>
      </w:tr>
      <w:tr w:rsidR="00570E43" w:rsidRPr="00E47CC2" w14:paraId="3A339FE8"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32117A66" w14:textId="57FAA94C" w:rsidR="00570E43" w:rsidRPr="00E47CC2" w:rsidRDefault="00570E43" w:rsidP="00800CB7">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112</w:t>
            </w:r>
          </w:p>
        </w:tc>
        <w:tc>
          <w:tcPr>
            <w:tcW w:w="1705" w:type="pct"/>
            <w:shd w:val="clear" w:color="auto" w:fill="auto"/>
            <w:vAlign w:val="center"/>
          </w:tcPr>
          <w:p w14:paraId="63917065" w14:textId="382F1833" w:rsidR="00570E43" w:rsidRPr="00E47CC2" w:rsidRDefault="00570E43" w:rsidP="00800CB7">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Hospital San Pedro de Alcántara de Cáceres [5]</w:t>
            </w:r>
          </w:p>
        </w:tc>
        <w:tc>
          <w:tcPr>
            <w:tcW w:w="1588" w:type="pct"/>
            <w:shd w:val="clear" w:color="auto" w:fill="auto"/>
            <w:vAlign w:val="center"/>
          </w:tcPr>
          <w:p w14:paraId="5D91CE9F" w14:textId="345571AD" w:rsidR="00570E43" w:rsidRPr="00E47CC2" w:rsidRDefault="00570E43" w:rsidP="00800CB7">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Santiago González</w:t>
            </w:r>
          </w:p>
        </w:tc>
        <w:tc>
          <w:tcPr>
            <w:tcW w:w="1202" w:type="pct"/>
            <w:vMerge/>
            <w:shd w:val="clear" w:color="auto" w:fill="auto"/>
            <w:vAlign w:val="center"/>
          </w:tcPr>
          <w:p w14:paraId="3DB0943C" w14:textId="77777777" w:rsidR="00570E43" w:rsidRPr="00E47CC2" w:rsidRDefault="00570E43"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
        </w:tc>
      </w:tr>
      <w:tr w:rsidR="00570E43" w:rsidRPr="00E47CC2" w14:paraId="5DF95D37"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66EF7BAD" w14:textId="19D344D1" w:rsidR="00570E43" w:rsidRPr="00E47CC2" w:rsidRDefault="00570E43" w:rsidP="00BD5300">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113</w:t>
            </w:r>
          </w:p>
        </w:tc>
        <w:tc>
          <w:tcPr>
            <w:tcW w:w="1705" w:type="pct"/>
            <w:shd w:val="clear" w:color="auto" w:fill="auto"/>
            <w:vAlign w:val="center"/>
          </w:tcPr>
          <w:p w14:paraId="0C689B14" w14:textId="2942B5BD" w:rsidR="00570E43" w:rsidRPr="00E47CC2" w:rsidRDefault="00570E43" w:rsidP="00BD5300">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 xml:space="preserve">Hospital Universitario de </w:t>
            </w:r>
            <w:proofErr w:type="spellStart"/>
            <w:r w:rsidRPr="00E47CC2">
              <w:rPr>
                <w:color w:val="000000" w:themeColor="text1"/>
                <w:sz w:val="18"/>
                <w:szCs w:val="18"/>
                <w:lang w:val="en-GB"/>
              </w:rPr>
              <w:t>Basurto</w:t>
            </w:r>
            <w:proofErr w:type="spellEnd"/>
            <w:r w:rsidRPr="00E47CC2">
              <w:rPr>
                <w:color w:val="000000" w:themeColor="text1"/>
                <w:sz w:val="18"/>
                <w:szCs w:val="18"/>
                <w:lang w:val="en-GB"/>
              </w:rPr>
              <w:t xml:space="preserve"> [7]</w:t>
            </w:r>
          </w:p>
        </w:tc>
        <w:tc>
          <w:tcPr>
            <w:tcW w:w="1588" w:type="pct"/>
            <w:shd w:val="clear" w:color="auto" w:fill="auto"/>
            <w:vAlign w:val="center"/>
          </w:tcPr>
          <w:p w14:paraId="24121214" w14:textId="447D548F" w:rsidR="00570E43" w:rsidRPr="00E47CC2" w:rsidRDefault="00570E43" w:rsidP="00BD5300">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Maria </w:t>
            </w:r>
            <w:proofErr w:type="spellStart"/>
            <w:r w:rsidRPr="00E47CC2">
              <w:rPr>
                <w:color w:val="000000" w:themeColor="text1"/>
                <w:sz w:val="18"/>
                <w:szCs w:val="18"/>
                <w:lang w:val="en-GB"/>
              </w:rPr>
              <w:t>Purificación</w:t>
            </w:r>
            <w:proofErr w:type="spellEnd"/>
            <w:r w:rsidRPr="00E47CC2">
              <w:rPr>
                <w:color w:val="000000" w:themeColor="text1"/>
                <w:sz w:val="18"/>
                <w:szCs w:val="18"/>
                <w:lang w:val="en-GB"/>
              </w:rPr>
              <w:t xml:space="preserve"> Martínez</w:t>
            </w:r>
          </w:p>
        </w:tc>
        <w:tc>
          <w:tcPr>
            <w:tcW w:w="1202" w:type="pct"/>
            <w:vMerge/>
            <w:shd w:val="clear" w:color="auto" w:fill="auto"/>
            <w:vAlign w:val="center"/>
          </w:tcPr>
          <w:p w14:paraId="644C4B80" w14:textId="77777777" w:rsidR="00570E43" w:rsidRPr="00E47CC2" w:rsidRDefault="00570E43"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
        </w:tc>
      </w:tr>
      <w:tr w:rsidR="00570E43" w:rsidRPr="00E47CC2" w14:paraId="3C29EC95"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7414A883" w14:textId="212CDADC" w:rsidR="00570E43" w:rsidRPr="00E47CC2" w:rsidRDefault="00570E43" w:rsidP="00BD5300">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114</w:t>
            </w:r>
          </w:p>
        </w:tc>
        <w:tc>
          <w:tcPr>
            <w:tcW w:w="1705" w:type="pct"/>
            <w:shd w:val="clear" w:color="auto" w:fill="auto"/>
            <w:vAlign w:val="center"/>
          </w:tcPr>
          <w:p w14:paraId="57918F31" w14:textId="4B83836F" w:rsidR="00570E43" w:rsidRPr="00E47CC2" w:rsidRDefault="00570E43" w:rsidP="00BD5300">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 xml:space="preserve">Hospital Lozano </w:t>
            </w:r>
            <w:proofErr w:type="spellStart"/>
            <w:r w:rsidRPr="00E47CC2">
              <w:rPr>
                <w:color w:val="000000" w:themeColor="text1"/>
                <w:sz w:val="18"/>
                <w:szCs w:val="18"/>
                <w:lang w:val="es-ES"/>
              </w:rPr>
              <w:t>Blesa</w:t>
            </w:r>
            <w:proofErr w:type="spellEnd"/>
            <w:r w:rsidRPr="00E47CC2">
              <w:rPr>
                <w:color w:val="000000" w:themeColor="text1"/>
                <w:sz w:val="18"/>
                <w:szCs w:val="18"/>
                <w:lang w:val="es-ES"/>
              </w:rPr>
              <w:t xml:space="preserve"> de Zaragoza [7]</w:t>
            </w:r>
          </w:p>
        </w:tc>
        <w:tc>
          <w:tcPr>
            <w:tcW w:w="1588" w:type="pct"/>
            <w:shd w:val="clear" w:color="auto" w:fill="auto"/>
            <w:vAlign w:val="center"/>
          </w:tcPr>
          <w:p w14:paraId="062F3055" w14:textId="1040578D" w:rsidR="00570E43" w:rsidRPr="00E47CC2" w:rsidRDefault="00570E43" w:rsidP="00BD5300">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Dr, Raquel Andrés</w:t>
            </w:r>
          </w:p>
        </w:tc>
        <w:tc>
          <w:tcPr>
            <w:tcW w:w="1202" w:type="pct"/>
            <w:vMerge/>
            <w:shd w:val="clear" w:color="auto" w:fill="auto"/>
            <w:vAlign w:val="center"/>
          </w:tcPr>
          <w:p w14:paraId="5B5DE513" w14:textId="77777777" w:rsidR="00570E43" w:rsidRPr="00E47CC2" w:rsidRDefault="00570E43"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
        </w:tc>
      </w:tr>
      <w:tr w:rsidR="00570E43" w:rsidRPr="00E47CC2" w14:paraId="139B6DC6"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2AD9CFFD" w14:textId="79C60BBF" w:rsidR="00570E43" w:rsidRPr="00E47CC2" w:rsidRDefault="00570E43" w:rsidP="00BD5300">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115</w:t>
            </w:r>
          </w:p>
        </w:tc>
        <w:tc>
          <w:tcPr>
            <w:tcW w:w="1705" w:type="pct"/>
            <w:shd w:val="clear" w:color="auto" w:fill="auto"/>
            <w:vAlign w:val="center"/>
          </w:tcPr>
          <w:p w14:paraId="010CD51C" w14:textId="2A6AD63E" w:rsidR="00570E43" w:rsidRPr="00E47CC2" w:rsidRDefault="00570E43" w:rsidP="00BD5300">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n-GB"/>
              </w:rPr>
              <w:t xml:space="preserve">Hospital Universitario Miguel </w:t>
            </w:r>
            <w:proofErr w:type="spellStart"/>
            <w:r w:rsidRPr="00E47CC2">
              <w:rPr>
                <w:color w:val="000000" w:themeColor="text1"/>
                <w:sz w:val="18"/>
                <w:szCs w:val="18"/>
                <w:lang w:val="en-GB"/>
              </w:rPr>
              <w:t>Servet</w:t>
            </w:r>
            <w:proofErr w:type="spellEnd"/>
            <w:r w:rsidRPr="00E47CC2">
              <w:rPr>
                <w:color w:val="000000" w:themeColor="text1"/>
                <w:sz w:val="18"/>
                <w:szCs w:val="18"/>
                <w:lang w:val="en-GB"/>
              </w:rPr>
              <w:t xml:space="preserve"> </w:t>
            </w:r>
            <w:r w:rsidRPr="00E47CC2">
              <w:rPr>
                <w:color w:val="000000" w:themeColor="text1"/>
                <w:sz w:val="18"/>
                <w:szCs w:val="18"/>
              </w:rPr>
              <w:t>[12]</w:t>
            </w:r>
          </w:p>
        </w:tc>
        <w:tc>
          <w:tcPr>
            <w:tcW w:w="1588" w:type="pct"/>
            <w:shd w:val="clear" w:color="auto" w:fill="auto"/>
            <w:vAlign w:val="center"/>
          </w:tcPr>
          <w:p w14:paraId="64584F7D" w14:textId="5B9A0532" w:rsidR="00570E43" w:rsidRPr="00E47CC2" w:rsidRDefault="00570E43" w:rsidP="00BD5300">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Antonio Antón</w:t>
            </w:r>
          </w:p>
        </w:tc>
        <w:tc>
          <w:tcPr>
            <w:tcW w:w="1202" w:type="pct"/>
            <w:vMerge/>
            <w:shd w:val="clear" w:color="auto" w:fill="auto"/>
            <w:vAlign w:val="center"/>
          </w:tcPr>
          <w:p w14:paraId="2AEE50B8" w14:textId="77777777" w:rsidR="00570E43" w:rsidRPr="00E47CC2" w:rsidRDefault="00570E43"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
        </w:tc>
      </w:tr>
      <w:tr w:rsidR="00570E43" w:rsidRPr="00E47CC2" w14:paraId="0D138236"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hideMark/>
          </w:tcPr>
          <w:p w14:paraId="17DC9507" w14:textId="5242E6F1" w:rsidR="00570E43" w:rsidRPr="00E47CC2" w:rsidRDefault="00570E43" w:rsidP="00BD5300">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116</w:t>
            </w:r>
          </w:p>
        </w:tc>
        <w:tc>
          <w:tcPr>
            <w:tcW w:w="1705" w:type="pct"/>
            <w:shd w:val="clear" w:color="auto" w:fill="auto"/>
            <w:vAlign w:val="center"/>
            <w:hideMark/>
          </w:tcPr>
          <w:p w14:paraId="044DDEA0" w14:textId="58850549" w:rsidR="00570E43" w:rsidRPr="00E47CC2" w:rsidRDefault="00570E43" w:rsidP="00BD5300">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Hospital Clínico de Santiago [8]</w:t>
            </w:r>
          </w:p>
        </w:tc>
        <w:tc>
          <w:tcPr>
            <w:tcW w:w="1588" w:type="pct"/>
            <w:shd w:val="clear" w:color="auto" w:fill="auto"/>
            <w:vAlign w:val="center"/>
            <w:hideMark/>
          </w:tcPr>
          <w:p w14:paraId="3A6252A1" w14:textId="0228A614" w:rsidR="00570E43" w:rsidRPr="00E47CC2" w:rsidRDefault="00570E43" w:rsidP="00BD5300">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Juan Cueva</w:t>
            </w:r>
          </w:p>
        </w:tc>
        <w:tc>
          <w:tcPr>
            <w:tcW w:w="1202" w:type="pct"/>
            <w:vMerge/>
            <w:shd w:val="clear" w:color="auto" w:fill="auto"/>
            <w:vAlign w:val="center"/>
          </w:tcPr>
          <w:p w14:paraId="6908AE4C" w14:textId="77777777" w:rsidR="00570E43" w:rsidRPr="00E47CC2" w:rsidRDefault="00570E43"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
        </w:tc>
      </w:tr>
      <w:tr w:rsidR="00570E43" w:rsidRPr="00E47CC2" w14:paraId="0C2237A6"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35CDF182" w14:textId="5DF0FA8C" w:rsidR="00570E43" w:rsidRPr="00E47CC2" w:rsidRDefault="00570E43" w:rsidP="00BD5300">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117</w:t>
            </w:r>
          </w:p>
        </w:tc>
        <w:tc>
          <w:tcPr>
            <w:tcW w:w="1705" w:type="pct"/>
            <w:shd w:val="clear" w:color="auto" w:fill="auto"/>
            <w:vAlign w:val="center"/>
          </w:tcPr>
          <w:p w14:paraId="38B6DFBE" w14:textId="78AECC25" w:rsidR="00570E43" w:rsidRPr="00E47CC2" w:rsidRDefault="00570E43" w:rsidP="00BD5300">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n-GB"/>
              </w:rPr>
              <w:t xml:space="preserve">Hospital Universitario La Paz </w:t>
            </w:r>
            <w:r w:rsidRPr="00E47CC2">
              <w:rPr>
                <w:color w:val="000000" w:themeColor="text1"/>
                <w:sz w:val="18"/>
                <w:szCs w:val="18"/>
              </w:rPr>
              <w:t>[16]</w:t>
            </w:r>
          </w:p>
        </w:tc>
        <w:tc>
          <w:tcPr>
            <w:tcW w:w="1588" w:type="pct"/>
            <w:shd w:val="clear" w:color="auto" w:fill="auto"/>
            <w:vAlign w:val="center"/>
          </w:tcPr>
          <w:p w14:paraId="5AB25BDB" w14:textId="73345C6F" w:rsidR="00570E43" w:rsidRPr="00E47CC2" w:rsidRDefault="00570E43" w:rsidP="00BD5300">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Pilar Zamora</w:t>
            </w:r>
          </w:p>
        </w:tc>
        <w:tc>
          <w:tcPr>
            <w:tcW w:w="1202" w:type="pct"/>
            <w:vMerge/>
            <w:shd w:val="clear" w:color="auto" w:fill="auto"/>
            <w:vAlign w:val="center"/>
          </w:tcPr>
          <w:p w14:paraId="077AC69D" w14:textId="77777777" w:rsidR="00570E43" w:rsidRPr="00E47CC2" w:rsidRDefault="00570E43"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
        </w:tc>
      </w:tr>
      <w:tr w:rsidR="00570E43" w:rsidRPr="00673269" w14:paraId="0BBF1C02"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66645C93" w14:textId="54A3D554" w:rsidR="00570E43" w:rsidRPr="00E47CC2" w:rsidRDefault="00570E43" w:rsidP="00BD5300">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118</w:t>
            </w:r>
          </w:p>
        </w:tc>
        <w:tc>
          <w:tcPr>
            <w:tcW w:w="1705" w:type="pct"/>
            <w:shd w:val="clear" w:color="auto" w:fill="auto"/>
            <w:vAlign w:val="center"/>
          </w:tcPr>
          <w:p w14:paraId="3340527D" w14:textId="103E262C" w:rsidR="00570E43" w:rsidRPr="00E47CC2" w:rsidRDefault="00570E43" w:rsidP="00BD5300">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Hospital Provincial de Castell</w:t>
            </w:r>
            <w:r w:rsidR="008E1D36">
              <w:rPr>
                <w:color w:val="000000" w:themeColor="text1"/>
                <w:sz w:val="18"/>
                <w:szCs w:val="18"/>
                <w:lang w:val="es-ES"/>
              </w:rPr>
              <w:t>ó</w:t>
            </w:r>
            <w:r w:rsidRPr="00E47CC2">
              <w:rPr>
                <w:color w:val="000000" w:themeColor="text1"/>
                <w:sz w:val="18"/>
                <w:szCs w:val="18"/>
                <w:lang w:val="es-ES"/>
              </w:rPr>
              <w:t>n [1</w:t>
            </w:r>
            <w:r w:rsidR="00D51E64">
              <w:rPr>
                <w:color w:val="000000" w:themeColor="text1"/>
                <w:sz w:val="18"/>
                <w:szCs w:val="18"/>
                <w:lang w:val="es-ES"/>
              </w:rPr>
              <w:t>4</w:t>
            </w:r>
            <w:r w:rsidRPr="00E47CC2">
              <w:rPr>
                <w:color w:val="000000" w:themeColor="text1"/>
                <w:sz w:val="18"/>
                <w:szCs w:val="18"/>
                <w:lang w:val="es-ES"/>
              </w:rPr>
              <w:t>]</w:t>
            </w:r>
          </w:p>
        </w:tc>
        <w:tc>
          <w:tcPr>
            <w:tcW w:w="1588" w:type="pct"/>
            <w:shd w:val="clear" w:color="auto" w:fill="auto"/>
            <w:vAlign w:val="center"/>
          </w:tcPr>
          <w:p w14:paraId="45A94C24" w14:textId="1D5E82BC" w:rsidR="00570E43" w:rsidRPr="00367B80" w:rsidRDefault="00570E43" w:rsidP="00BD5300">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sidRPr="00367B80">
              <w:rPr>
                <w:color w:val="000000" w:themeColor="text1"/>
                <w:sz w:val="18"/>
                <w:szCs w:val="18"/>
                <w:lang w:val="es-ES"/>
              </w:rPr>
              <w:t>Dr. Eduardo Martínez de Dueñas</w:t>
            </w:r>
          </w:p>
        </w:tc>
        <w:tc>
          <w:tcPr>
            <w:tcW w:w="1202" w:type="pct"/>
            <w:vMerge/>
            <w:shd w:val="clear" w:color="auto" w:fill="auto"/>
            <w:vAlign w:val="center"/>
          </w:tcPr>
          <w:p w14:paraId="0ADAECE7" w14:textId="77777777" w:rsidR="00570E43" w:rsidRPr="00367B80" w:rsidRDefault="00570E43"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p>
        </w:tc>
      </w:tr>
      <w:tr w:rsidR="00570E43" w:rsidRPr="00E47CC2" w14:paraId="77B2FAD3"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06984BCF" w14:textId="056A8E15" w:rsidR="00570E43" w:rsidRPr="00E47CC2" w:rsidRDefault="00570E43" w:rsidP="00BD5300">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119</w:t>
            </w:r>
          </w:p>
        </w:tc>
        <w:tc>
          <w:tcPr>
            <w:tcW w:w="1705" w:type="pct"/>
            <w:shd w:val="clear" w:color="auto" w:fill="auto"/>
            <w:vAlign w:val="center"/>
          </w:tcPr>
          <w:p w14:paraId="1BA103D1" w14:textId="6DDF5F8D" w:rsidR="00570E43" w:rsidRPr="00E47CC2" w:rsidRDefault="00570E43" w:rsidP="00BD5300">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 xml:space="preserve">Instituto Oncológico </w:t>
            </w:r>
            <w:proofErr w:type="spellStart"/>
            <w:r w:rsidRPr="00E47CC2">
              <w:rPr>
                <w:color w:val="000000" w:themeColor="text1"/>
                <w:sz w:val="18"/>
                <w:szCs w:val="18"/>
                <w:lang w:val="es-ES"/>
              </w:rPr>
              <w:t>Baselga</w:t>
            </w:r>
            <w:proofErr w:type="spellEnd"/>
            <w:r w:rsidRPr="00E47CC2">
              <w:rPr>
                <w:color w:val="000000" w:themeColor="text1"/>
                <w:sz w:val="18"/>
                <w:szCs w:val="18"/>
                <w:lang w:val="es-ES"/>
              </w:rPr>
              <w:t>-Hospital Quirón [3]</w:t>
            </w:r>
          </w:p>
        </w:tc>
        <w:tc>
          <w:tcPr>
            <w:tcW w:w="1588" w:type="pct"/>
            <w:shd w:val="clear" w:color="auto" w:fill="auto"/>
            <w:vAlign w:val="center"/>
          </w:tcPr>
          <w:p w14:paraId="0B1C2492" w14:textId="1DE0528F" w:rsidR="00570E43" w:rsidRPr="00E47CC2" w:rsidRDefault="00570E43" w:rsidP="00BD5300">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José Pérez</w:t>
            </w:r>
          </w:p>
        </w:tc>
        <w:tc>
          <w:tcPr>
            <w:tcW w:w="1202" w:type="pct"/>
            <w:vMerge/>
            <w:shd w:val="clear" w:color="auto" w:fill="auto"/>
            <w:vAlign w:val="center"/>
          </w:tcPr>
          <w:p w14:paraId="51B3BEFE" w14:textId="77777777" w:rsidR="00570E43" w:rsidRPr="00E47CC2" w:rsidRDefault="00570E43"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
        </w:tc>
      </w:tr>
      <w:tr w:rsidR="00570E43" w:rsidRPr="00E47CC2" w14:paraId="01DBEC15"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04385220" w14:textId="2DD7F1E8" w:rsidR="00570E43" w:rsidRPr="00E47CC2" w:rsidRDefault="00570E43" w:rsidP="00BD5300">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120</w:t>
            </w:r>
          </w:p>
        </w:tc>
        <w:tc>
          <w:tcPr>
            <w:tcW w:w="1705" w:type="pct"/>
            <w:shd w:val="clear" w:color="auto" w:fill="auto"/>
            <w:vAlign w:val="center"/>
          </w:tcPr>
          <w:p w14:paraId="7FB33A44" w14:textId="57F76CC6" w:rsidR="00570E43" w:rsidRPr="00E47CC2" w:rsidRDefault="00570E43" w:rsidP="00BD5300">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 xml:space="preserve">Hospital Arnau de </w:t>
            </w:r>
            <w:proofErr w:type="spellStart"/>
            <w:r w:rsidRPr="00E47CC2">
              <w:rPr>
                <w:color w:val="000000" w:themeColor="text1"/>
                <w:sz w:val="18"/>
                <w:szCs w:val="18"/>
                <w:lang w:val="es-ES"/>
              </w:rPr>
              <w:t>Vilanova</w:t>
            </w:r>
            <w:proofErr w:type="spellEnd"/>
            <w:r w:rsidRPr="00E47CC2">
              <w:rPr>
                <w:color w:val="000000" w:themeColor="text1"/>
                <w:sz w:val="18"/>
                <w:szCs w:val="18"/>
                <w:lang w:val="es-ES"/>
              </w:rPr>
              <w:t xml:space="preserve"> Valencia [4]</w:t>
            </w:r>
          </w:p>
        </w:tc>
        <w:tc>
          <w:tcPr>
            <w:tcW w:w="1588" w:type="pct"/>
            <w:shd w:val="clear" w:color="auto" w:fill="auto"/>
            <w:vAlign w:val="center"/>
          </w:tcPr>
          <w:p w14:paraId="19CF2CB8" w14:textId="23D17559" w:rsidR="00570E43" w:rsidRPr="00E47CC2" w:rsidRDefault="00570E43" w:rsidP="00BD5300">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Vicente </w:t>
            </w:r>
            <w:proofErr w:type="spellStart"/>
            <w:r w:rsidRPr="00E47CC2">
              <w:rPr>
                <w:color w:val="000000" w:themeColor="text1"/>
                <w:sz w:val="18"/>
                <w:szCs w:val="18"/>
                <w:lang w:val="en-GB"/>
              </w:rPr>
              <w:t>Carañana</w:t>
            </w:r>
            <w:proofErr w:type="spellEnd"/>
          </w:p>
        </w:tc>
        <w:tc>
          <w:tcPr>
            <w:tcW w:w="1202" w:type="pct"/>
            <w:vMerge/>
            <w:shd w:val="clear" w:color="auto" w:fill="auto"/>
            <w:vAlign w:val="center"/>
          </w:tcPr>
          <w:p w14:paraId="3BF35A4C" w14:textId="77777777" w:rsidR="00570E43" w:rsidRPr="00E47CC2" w:rsidRDefault="00570E43"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
        </w:tc>
      </w:tr>
      <w:tr w:rsidR="00256DF1" w:rsidRPr="00673269" w14:paraId="64237EA4" w14:textId="77777777" w:rsidTr="004723AE">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hideMark/>
          </w:tcPr>
          <w:p w14:paraId="2EA07DD9" w14:textId="6C77F799" w:rsidR="00256DF1" w:rsidRPr="00E47CC2" w:rsidRDefault="00256DF1" w:rsidP="003E190B">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201</w:t>
            </w:r>
          </w:p>
        </w:tc>
        <w:tc>
          <w:tcPr>
            <w:tcW w:w="1705" w:type="pct"/>
            <w:shd w:val="clear" w:color="auto" w:fill="auto"/>
            <w:vAlign w:val="center"/>
            <w:hideMark/>
          </w:tcPr>
          <w:p w14:paraId="5E08AECB" w14:textId="51629A7A" w:rsidR="00256DF1" w:rsidRPr="00E47CC2" w:rsidRDefault="00256DF1" w:rsidP="003E190B">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Hôpital</w:t>
            </w:r>
            <w:proofErr w:type="spellEnd"/>
            <w:r w:rsidRPr="00E47CC2">
              <w:rPr>
                <w:color w:val="000000" w:themeColor="text1"/>
                <w:sz w:val="18"/>
                <w:szCs w:val="18"/>
                <w:lang w:val="en-GB"/>
              </w:rPr>
              <w:t xml:space="preserve"> Tenon AP-HP </w:t>
            </w:r>
            <w:r w:rsidRPr="00E47CC2">
              <w:rPr>
                <w:color w:val="000000" w:themeColor="text1"/>
                <w:sz w:val="18"/>
                <w:szCs w:val="18"/>
              </w:rPr>
              <w:t>[6]</w:t>
            </w:r>
          </w:p>
        </w:tc>
        <w:tc>
          <w:tcPr>
            <w:tcW w:w="1588" w:type="pct"/>
            <w:shd w:val="clear" w:color="auto" w:fill="auto"/>
            <w:vAlign w:val="center"/>
            <w:hideMark/>
          </w:tcPr>
          <w:p w14:paraId="0E268E19" w14:textId="4ECD0878" w:rsidR="00256DF1" w:rsidRPr="00E47CC2" w:rsidRDefault="00256DF1" w:rsidP="003E190B">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Joseph </w:t>
            </w:r>
            <w:proofErr w:type="spellStart"/>
            <w:r w:rsidRPr="00E47CC2">
              <w:rPr>
                <w:color w:val="000000" w:themeColor="text1"/>
                <w:sz w:val="18"/>
                <w:szCs w:val="18"/>
                <w:lang w:val="en-GB"/>
              </w:rPr>
              <w:t>Gligorov</w:t>
            </w:r>
            <w:proofErr w:type="spellEnd"/>
          </w:p>
        </w:tc>
        <w:tc>
          <w:tcPr>
            <w:tcW w:w="1202" w:type="pct"/>
            <w:vMerge w:val="restart"/>
            <w:shd w:val="clear" w:color="auto" w:fill="auto"/>
            <w:vAlign w:val="center"/>
          </w:tcPr>
          <w:p w14:paraId="7825FB38" w14:textId="25DC7333" w:rsidR="00256DF1" w:rsidRPr="00367B80" w:rsidRDefault="00256DF1" w:rsidP="007844D5">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s-ES"/>
              </w:rPr>
            </w:pPr>
            <w:r w:rsidRPr="00367B80">
              <w:rPr>
                <w:color w:val="000000" w:themeColor="text1"/>
                <w:sz w:val="18"/>
                <w:szCs w:val="18"/>
                <w:lang w:val="es-ES"/>
              </w:rPr>
              <w:t xml:space="preserve">Comité de </w:t>
            </w:r>
            <w:proofErr w:type="spellStart"/>
            <w:r w:rsidRPr="00367B80">
              <w:rPr>
                <w:color w:val="000000" w:themeColor="text1"/>
                <w:sz w:val="18"/>
                <w:szCs w:val="18"/>
                <w:lang w:val="es-ES"/>
              </w:rPr>
              <w:t>Protection</w:t>
            </w:r>
            <w:proofErr w:type="spellEnd"/>
            <w:r w:rsidRPr="00367B80">
              <w:rPr>
                <w:color w:val="000000" w:themeColor="text1"/>
                <w:sz w:val="18"/>
                <w:szCs w:val="18"/>
                <w:lang w:val="es-ES"/>
              </w:rPr>
              <w:t xml:space="preserve"> des </w:t>
            </w:r>
            <w:proofErr w:type="spellStart"/>
            <w:r w:rsidRPr="00367B80">
              <w:rPr>
                <w:color w:val="000000" w:themeColor="text1"/>
                <w:sz w:val="18"/>
                <w:szCs w:val="18"/>
                <w:lang w:val="es-ES"/>
              </w:rPr>
              <w:t>Personne</w:t>
            </w:r>
            <w:r w:rsidRPr="00E47CC2">
              <w:rPr>
                <w:color w:val="000000" w:themeColor="text1"/>
                <w:sz w:val="18"/>
                <w:szCs w:val="18"/>
                <w:lang w:val="es-ES"/>
              </w:rPr>
              <w:t>s</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Ile</w:t>
            </w:r>
            <w:proofErr w:type="spellEnd"/>
            <w:r w:rsidRPr="00E47CC2">
              <w:rPr>
                <w:color w:val="000000" w:themeColor="text1"/>
                <w:sz w:val="18"/>
                <w:szCs w:val="18"/>
                <w:lang w:val="es-ES"/>
              </w:rPr>
              <w:t xml:space="preserve"> de </w:t>
            </w:r>
            <w:r w:rsidRPr="00E47CC2">
              <w:rPr>
                <w:color w:val="000000" w:themeColor="text1"/>
                <w:sz w:val="18"/>
                <w:szCs w:val="18"/>
                <w:lang w:val="es-ES"/>
              </w:rPr>
              <w:lastRenderedPageBreak/>
              <w:t xml:space="preserve">France V, </w:t>
            </w:r>
            <w:proofErr w:type="spellStart"/>
            <w:r w:rsidRPr="00E47CC2">
              <w:rPr>
                <w:color w:val="000000" w:themeColor="text1"/>
                <w:sz w:val="18"/>
                <w:szCs w:val="18"/>
                <w:lang w:val="es-ES"/>
              </w:rPr>
              <w:t>Hôpital</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Sant</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Antoine</w:t>
            </w:r>
            <w:proofErr w:type="spellEnd"/>
            <w:r w:rsidRPr="00E47CC2">
              <w:rPr>
                <w:color w:val="000000" w:themeColor="text1"/>
                <w:sz w:val="18"/>
                <w:szCs w:val="18"/>
                <w:lang w:val="es-ES"/>
              </w:rPr>
              <w:t>, Paris</w:t>
            </w:r>
          </w:p>
        </w:tc>
      </w:tr>
      <w:tr w:rsidR="00256DF1" w:rsidRPr="00E47CC2" w14:paraId="62685704"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hideMark/>
          </w:tcPr>
          <w:p w14:paraId="1CDED999" w14:textId="2ACACEBE" w:rsidR="00256DF1" w:rsidRPr="00E47CC2" w:rsidRDefault="00256DF1" w:rsidP="00BD5300">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202</w:t>
            </w:r>
          </w:p>
        </w:tc>
        <w:tc>
          <w:tcPr>
            <w:tcW w:w="1705" w:type="pct"/>
            <w:shd w:val="clear" w:color="auto" w:fill="auto"/>
            <w:vAlign w:val="center"/>
            <w:hideMark/>
          </w:tcPr>
          <w:p w14:paraId="2C4E89B1" w14:textId="1F38C8C6" w:rsidR="00256DF1" w:rsidRPr="00E47CC2" w:rsidRDefault="00256DF1" w:rsidP="00BD5300">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Institut</w:t>
            </w:r>
            <w:proofErr w:type="spellEnd"/>
            <w:r w:rsidRPr="00E47CC2">
              <w:rPr>
                <w:color w:val="000000" w:themeColor="text1"/>
                <w:sz w:val="18"/>
                <w:szCs w:val="18"/>
                <w:lang w:val="en-GB"/>
              </w:rPr>
              <w:t xml:space="preserve"> Claudius </w:t>
            </w:r>
            <w:proofErr w:type="spellStart"/>
            <w:r w:rsidRPr="00E47CC2">
              <w:rPr>
                <w:color w:val="000000" w:themeColor="text1"/>
                <w:sz w:val="18"/>
                <w:szCs w:val="18"/>
                <w:lang w:val="en-GB"/>
              </w:rPr>
              <w:t>Regaud</w:t>
            </w:r>
            <w:proofErr w:type="spellEnd"/>
            <w:r w:rsidRPr="00E47CC2">
              <w:rPr>
                <w:color w:val="000000" w:themeColor="text1"/>
                <w:sz w:val="18"/>
                <w:szCs w:val="18"/>
                <w:lang w:val="en-GB"/>
              </w:rPr>
              <w:t xml:space="preserve"> Toulouse </w:t>
            </w:r>
            <w:r w:rsidRPr="00E47CC2">
              <w:rPr>
                <w:color w:val="000000" w:themeColor="text1"/>
                <w:sz w:val="18"/>
                <w:szCs w:val="18"/>
              </w:rPr>
              <w:t>[39]</w:t>
            </w:r>
          </w:p>
        </w:tc>
        <w:tc>
          <w:tcPr>
            <w:tcW w:w="1588" w:type="pct"/>
            <w:shd w:val="clear" w:color="auto" w:fill="auto"/>
            <w:vAlign w:val="center"/>
            <w:hideMark/>
          </w:tcPr>
          <w:p w14:paraId="5C050D3C" w14:textId="607B059B" w:rsidR="00256DF1" w:rsidRPr="00E47CC2" w:rsidRDefault="00256DF1" w:rsidP="00BD5300">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Florence </w:t>
            </w:r>
            <w:proofErr w:type="spellStart"/>
            <w:r w:rsidRPr="00E47CC2">
              <w:rPr>
                <w:color w:val="000000" w:themeColor="text1"/>
                <w:sz w:val="18"/>
                <w:szCs w:val="18"/>
                <w:lang w:val="en-GB"/>
              </w:rPr>
              <w:t>Dalenc</w:t>
            </w:r>
            <w:proofErr w:type="spellEnd"/>
            <w:r w:rsidRPr="00E47CC2">
              <w:rPr>
                <w:color w:val="000000" w:themeColor="text1"/>
                <w:sz w:val="18"/>
                <w:szCs w:val="18"/>
                <w:lang w:val="en-GB"/>
              </w:rPr>
              <w:t xml:space="preserve"> </w:t>
            </w:r>
          </w:p>
        </w:tc>
        <w:tc>
          <w:tcPr>
            <w:tcW w:w="1202" w:type="pct"/>
            <w:vMerge/>
            <w:shd w:val="clear" w:color="auto" w:fill="auto"/>
            <w:vAlign w:val="center"/>
          </w:tcPr>
          <w:p w14:paraId="48D9B101" w14:textId="77777777" w:rsidR="00256DF1" w:rsidRPr="00E47CC2" w:rsidRDefault="00256DF1" w:rsidP="00BD5300">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
        </w:tc>
      </w:tr>
      <w:tr w:rsidR="00256DF1" w:rsidRPr="00E47CC2" w14:paraId="2F402A5D"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673692E7" w14:textId="7B311717" w:rsidR="00256DF1" w:rsidRPr="00E47CC2" w:rsidRDefault="00256DF1" w:rsidP="003E190B">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lastRenderedPageBreak/>
              <w:t>203</w:t>
            </w:r>
          </w:p>
        </w:tc>
        <w:tc>
          <w:tcPr>
            <w:tcW w:w="1705" w:type="pct"/>
            <w:shd w:val="clear" w:color="auto" w:fill="auto"/>
            <w:vAlign w:val="center"/>
          </w:tcPr>
          <w:p w14:paraId="33AEA187" w14:textId="7B188977" w:rsidR="00256DF1" w:rsidRPr="00E47CC2" w:rsidRDefault="00256DF1" w:rsidP="003E190B">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Institut</w:t>
            </w:r>
            <w:proofErr w:type="spellEnd"/>
            <w:r w:rsidRPr="00E47CC2">
              <w:rPr>
                <w:color w:val="000000" w:themeColor="text1"/>
                <w:sz w:val="18"/>
                <w:szCs w:val="18"/>
                <w:lang w:val="en-GB"/>
              </w:rPr>
              <w:t xml:space="preserve"> Curie [10]</w:t>
            </w:r>
          </w:p>
        </w:tc>
        <w:tc>
          <w:tcPr>
            <w:tcW w:w="1588" w:type="pct"/>
            <w:shd w:val="clear" w:color="auto" w:fill="auto"/>
            <w:vAlign w:val="center"/>
          </w:tcPr>
          <w:p w14:paraId="4D778A50" w14:textId="44FF5554" w:rsidR="00256DF1" w:rsidRPr="00E47CC2" w:rsidRDefault="00256DF1" w:rsidP="003E190B">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Paul </w:t>
            </w:r>
            <w:proofErr w:type="spellStart"/>
            <w:r w:rsidRPr="00E47CC2">
              <w:rPr>
                <w:color w:val="000000" w:themeColor="text1"/>
                <w:sz w:val="18"/>
                <w:szCs w:val="18"/>
                <w:lang w:val="en-GB"/>
              </w:rPr>
              <w:t>Cottu</w:t>
            </w:r>
            <w:proofErr w:type="spellEnd"/>
          </w:p>
        </w:tc>
        <w:tc>
          <w:tcPr>
            <w:tcW w:w="1202" w:type="pct"/>
            <w:vMerge/>
            <w:shd w:val="clear" w:color="auto" w:fill="auto"/>
            <w:vAlign w:val="center"/>
          </w:tcPr>
          <w:p w14:paraId="7E0209D5" w14:textId="77777777" w:rsidR="00256DF1" w:rsidRPr="00E47CC2" w:rsidRDefault="00256DF1" w:rsidP="003E190B">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
        </w:tc>
      </w:tr>
      <w:tr w:rsidR="00256DF1" w:rsidRPr="00E47CC2" w14:paraId="4A49DAE4"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57DF249F" w14:textId="6A92F58E" w:rsidR="00256DF1" w:rsidRPr="00E47CC2" w:rsidRDefault="00256DF1" w:rsidP="003E190B">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204</w:t>
            </w:r>
          </w:p>
        </w:tc>
        <w:tc>
          <w:tcPr>
            <w:tcW w:w="1705" w:type="pct"/>
            <w:shd w:val="clear" w:color="auto" w:fill="auto"/>
            <w:vAlign w:val="center"/>
          </w:tcPr>
          <w:p w14:paraId="268CBE61" w14:textId="01EE1BC5" w:rsidR="00256DF1" w:rsidRPr="00E47CC2" w:rsidRDefault="00256DF1" w:rsidP="003E190B">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 xml:space="preserve">Centre Paul Strauss </w:t>
            </w:r>
            <w:r w:rsidRPr="00E47CC2">
              <w:rPr>
                <w:color w:val="000000" w:themeColor="text1"/>
                <w:sz w:val="18"/>
                <w:szCs w:val="18"/>
              </w:rPr>
              <w:t>[9]</w:t>
            </w:r>
          </w:p>
        </w:tc>
        <w:tc>
          <w:tcPr>
            <w:tcW w:w="1588" w:type="pct"/>
            <w:shd w:val="clear" w:color="auto" w:fill="auto"/>
            <w:vAlign w:val="center"/>
          </w:tcPr>
          <w:p w14:paraId="0070682F" w14:textId="26AC01C0" w:rsidR="00256DF1" w:rsidRPr="00E47CC2" w:rsidRDefault="00256DF1" w:rsidP="003E190B">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Thierry Petit</w:t>
            </w:r>
          </w:p>
        </w:tc>
        <w:tc>
          <w:tcPr>
            <w:tcW w:w="1202" w:type="pct"/>
            <w:vMerge/>
            <w:shd w:val="clear" w:color="auto" w:fill="auto"/>
            <w:vAlign w:val="center"/>
          </w:tcPr>
          <w:p w14:paraId="7359777D" w14:textId="77777777" w:rsidR="00256DF1" w:rsidRPr="00E47CC2" w:rsidRDefault="00256DF1" w:rsidP="003E190B">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
        </w:tc>
      </w:tr>
      <w:tr w:rsidR="00256DF1" w:rsidRPr="00E47CC2" w14:paraId="3B3B61CD"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hideMark/>
          </w:tcPr>
          <w:p w14:paraId="212FE0D2" w14:textId="2FCBEA89" w:rsidR="00256DF1" w:rsidRPr="00E47CC2" w:rsidRDefault="00256DF1" w:rsidP="003E190B">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205</w:t>
            </w:r>
          </w:p>
        </w:tc>
        <w:tc>
          <w:tcPr>
            <w:tcW w:w="1705" w:type="pct"/>
            <w:shd w:val="clear" w:color="auto" w:fill="auto"/>
            <w:vAlign w:val="center"/>
          </w:tcPr>
          <w:p w14:paraId="44D095E1" w14:textId="114B2315" w:rsidR="00256DF1" w:rsidRPr="00E47CC2" w:rsidRDefault="00256DF1" w:rsidP="003E190B">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Hospital George Pompidou [6]</w:t>
            </w:r>
          </w:p>
        </w:tc>
        <w:tc>
          <w:tcPr>
            <w:tcW w:w="1588" w:type="pct"/>
            <w:shd w:val="clear" w:color="auto" w:fill="auto"/>
            <w:vAlign w:val="center"/>
          </w:tcPr>
          <w:p w14:paraId="1112BE6B" w14:textId="26DE04E8" w:rsidR="00256DF1" w:rsidRPr="00E47CC2" w:rsidRDefault="00256DF1" w:rsidP="003E190B">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Jacques </w:t>
            </w:r>
            <w:proofErr w:type="spellStart"/>
            <w:r w:rsidRPr="00E47CC2">
              <w:rPr>
                <w:color w:val="000000" w:themeColor="text1"/>
                <w:sz w:val="18"/>
                <w:szCs w:val="18"/>
                <w:lang w:val="en-GB"/>
              </w:rPr>
              <w:t>Medioni</w:t>
            </w:r>
            <w:proofErr w:type="spellEnd"/>
          </w:p>
        </w:tc>
        <w:tc>
          <w:tcPr>
            <w:tcW w:w="1202" w:type="pct"/>
            <w:vMerge/>
            <w:shd w:val="clear" w:color="auto" w:fill="auto"/>
            <w:vAlign w:val="center"/>
          </w:tcPr>
          <w:p w14:paraId="171FD502" w14:textId="77777777" w:rsidR="00256DF1" w:rsidRPr="00E47CC2" w:rsidRDefault="00256DF1" w:rsidP="003E190B">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
        </w:tc>
      </w:tr>
      <w:tr w:rsidR="003C722A" w:rsidRPr="00673269" w14:paraId="74961F37"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073A2A74" w14:textId="1657F710" w:rsidR="003C722A" w:rsidRPr="00E47CC2" w:rsidRDefault="003C722A" w:rsidP="003C722A">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302</w:t>
            </w:r>
          </w:p>
        </w:tc>
        <w:tc>
          <w:tcPr>
            <w:tcW w:w="1705" w:type="pct"/>
            <w:shd w:val="clear" w:color="auto" w:fill="auto"/>
            <w:vAlign w:val="center"/>
          </w:tcPr>
          <w:p w14:paraId="5D7B4AE1" w14:textId="7E36C3F7" w:rsidR="003C722A" w:rsidRPr="00E47CC2" w:rsidRDefault="003C722A" w:rsidP="003C722A">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 xml:space="preserve">Instituto </w:t>
            </w:r>
            <w:proofErr w:type="spellStart"/>
            <w:r w:rsidRPr="00E47CC2">
              <w:rPr>
                <w:color w:val="000000" w:themeColor="text1"/>
                <w:sz w:val="18"/>
                <w:szCs w:val="18"/>
                <w:lang w:val="es-ES"/>
              </w:rPr>
              <w:t>Nazionale</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dei</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Tumori</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Milan</w:t>
            </w:r>
            <w:proofErr w:type="spellEnd"/>
            <w:r w:rsidRPr="00E47CC2">
              <w:rPr>
                <w:color w:val="000000" w:themeColor="text1"/>
                <w:sz w:val="18"/>
                <w:szCs w:val="18"/>
                <w:lang w:val="es-ES"/>
              </w:rPr>
              <w:t xml:space="preserve"> [13]</w:t>
            </w:r>
          </w:p>
        </w:tc>
        <w:tc>
          <w:tcPr>
            <w:tcW w:w="1588" w:type="pct"/>
            <w:shd w:val="clear" w:color="auto" w:fill="auto"/>
            <w:vAlign w:val="center"/>
          </w:tcPr>
          <w:p w14:paraId="5DF4700E" w14:textId="764392F0" w:rsidR="003C722A" w:rsidRPr="00E47CC2" w:rsidRDefault="003C722A" w:rsidP="003C722A">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Filippo </w:t>
            </w:r>
            <w:proofErr w:type="spellStart"/>
            <w:r w:rsidRPr="00E47CC2">
              <w:rPr>
                <w:color w:val="000000" w:themeColor="text1"/>
                <w:sz w:val="18"/>
                <w:szCs w:val="18"/>
                <w:lang w:val="en-GB"/>
              </w:rPr>
              <w:t>DeBrau</w:t>
            </w:r>
            <w:r w:rsidR="001225D8">
              <w:rPr>
                <w:color w:val="000000" w:themeColor="text1"/>
                <w:sz w:val="18"/>
                <w:szCs w:val="18"/>
                <w:lang w:val="en-GB"/>
              </w:rPr>
              <w:t>d</w:t>
            </w:r>
            <w:proofErr w:type="spellEnd"/>
          </w:p>
        </w:tc>
        <w:tc>
          <w:tcPr>
            <w:tcW w:w="1202" w:type="pct"/>
            <w:shd w:val="clear" w:color="auto" w:fill="auto"/>
            <w:vAlign w:val="center"/>
          </w:tcPr>
          <w:p w14:paraId="057BAC85" w14:textId="75FB8BEE" w:rsidR="003C722A" w:rsidRPr="00367B80" w:rsidRDefault="00256DF1"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proofErr w:type="spellStart"/>
            <w:r w:rsidRPr="00367B80">
              <w:rPr>
                <w:color w:val="000000" w:themeColor="text1"/>
                <w:sz w:val="18"/>
                <w:szCs w:val="18"/>
                <w:lang w:val="es-ES"/>
              </w:rPr>
              <w:t>Comitato</w:t>
            </w:r>
            <w:proofErr w:type="spellEnd"/>
            <w:r w:rsidRPr="00367B80">
              <w:rPr>
                <w:color w:val="000000" w:themeColor="text1"/>
                <w:sz w:val="18"/>
                <w:szCs w:val="18"/>
                <w:lang w:val="es-ES"/>
              </w:rPr>
              <w:t xml:space="preserve"> </w:t>
            </w:r>
            <w:proofErr w:type="spellStart"/>
            <w:r w:rsidRPr="00367B80">
              <w:rPr>
                <w:color w:val="000000" w:themeColor="text1"/>
                <w:sz w:val="18"/>
                <w:szCs w:val="18"/>
                <w:lang w:val="es-ES"/>
              </w:rPr>
              <w:t>Etico</w:t>
            </w:r>
            <w:proofErr w:type="spellEnd"/>
            <w:r w:rsidRPr="00367B80">
              <w:rPr>
                <w:color w:val="000000" w:themeColor="text1"/>
                <w:sz w:val="18"/>
                <w:szCs w:val="18"/>
                <w:lang w:val="es-ES"/>
              </w:rPr>
              <w:t xml:space="preserve"> IRCCS Instituto </w:t>
            </w:r>
            <w:proofErr w:type="spellStart"/>
            <w:r w:rsidRPr="00367B80">
              <w:rPr>
                <w:color w:val="000000" w:themeColor="text1"/>
                <w:sz w:val="18"/>
                <w:szCs w:val="18"/>
                <w:lang w:val="es-ES"/>
              </w:rPr>
              <w:t>Nazionale</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dei</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Tumori</w:t>
            </w:r>
            <w:proofErr w:type="spellEnd"/>
          </w:p>
        </w:tc>
      </w:tr>
      <w:tr w:rsidR="003C722A" w:rsidRPr="00673269" w14:paraId="4C23FA84"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2EA23FB7" w14:textId="1E47FED0" w:rsidR="003C722A" w:rsidRPr="00E47CC2" w:rsidRDefault="003C722A" w:rsidP="003C722A">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303</w:t>
            </w:r>
          </w:p>
        </w:tc>
        <w:tc>
          <w:tcPr>
            <w:tcW w:w="1705" w:type="pct"/>
            <w:shd w:val="clear" w:color="auto" w:fill="auto"/>
            <w:vAlign w:val="center"/>
          </w:tcPr>
          <w:p w14:paraId="21730BE0" w14:textId="58FEC550" w:rsidR="003C722A" w:rsidRPr="00E47CC2" w:rsidRDefault="003C722A" w:rsidP="003C722A">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 xml:space="preserve">Instituto Europeo di </w:t>
            </w:r>
            <w:proofErr w:type="spellStart"/>
            <w:r w:rsidRPr="00E47CC2">
              <w:rPr>
                <w:color w:val="000000" w:themeColor="text1"/>
                <w:sz w:val="18"/>
                <w:szCs w:val="18"/>
                <w:lang w:val="es-ES"/>
              </w:rPr>
              <w:t>Oncologia</w:t>
            </w:r>
            <w:proofErr w:type="spellEnd"/>
            <w:r w:rsidRPr="00E47CC2">
              <w:rPr>
                <w:color w:val="000000" w:themeColor="text1"/>
                <w:sz w:val="18"/>
                <w:szCs w:val="18"/>
                <w:lang w:val="es-ES"/>
              </w:rPr>
              <w:t xml:space="preserve"> Milano [8]</w:t>
            </w:r>
          </w:p>
        </w:tc>
        <w:tc>
          <w:tcPr>
            <w:tcW w:w="1588" w:type="pct"/>
            <w:shd w:val="clear" w:color="auto" w:fill="auto"/>
            <w:vAlign w:val="center"/>
          </w:tcPr>
          <w:p w14:paraId="559B5349" w14:textId="120F4BAB" w:rsidR="003C722A" w:rsidRPr="00E47CC2" w:rsidRDefault="003C722A" w:rsidP="003C722A">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Marco Colleoni</w:t>
            </w:r>
          </w:p>
        </w:tc>
        <w:tc>
          <w:tcPr>
            <w:tcW w:w="1202" w:type="pct"/>
            <w:shd w:val="clear" w:color="auto" w:fill="auto"/>
            <w:vAlign w:val="center"/>
          </w:tcPr>
          <w:p w14:paraId="42D6F93A" w14:textId="3226CE5A" w:rsidR="003C722A" w:rsidRPr="00367B80" w:rsidRDefault="00256DF1"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s-ES"/>
              </w:rPr>
            </w:pPr>
            <w:proofErr w:type="spellStart"/>
            <w:r w:rsidRPr="00367B80">
              <w:rPr>
                <w:color w:val="000000" w:themeColor="text1"/>
                <w:sz w:val="18"/>
                <w:szCs w:val="18"/>
                <w:lang w:val="es-ES"/>
              </w:rPr>
              <w:t>Comitato</w:t>
            </w:r>
            <w:proofErr w:type="spellEnd"/>
            <w:r w:rsidRPr="00367B80">
              <w:rPr>
                <w:color w:val="000000" w:themeColor="text1"/>
                <w:sz w:val="18"/>
                <w:szCs w:val="18"/>
                <w:lang w:val="es-ES"/>
              </w:rPr>
              <w:t xml:space="preserve"> </w:t>
            </w:r>
            <w:proofErr w:type="spellStart"/>
            <w:r w:rsidRPr="00367B80">
              <w:rPr>
                <w:color w:val="000000" w:themeColor="text1"/>
                <w:sz w:val="18"/>
                <w:szCs w:val="18"/>
                <w:lang w:val="es-ES"/>
              </w:rPr>
              <w:t>Etico</w:t>
            </w:r>
            <w:proofErr w:type="spellEnd"/>
            <w:r w:rsidRPr="00367B80">
              <w:rPr>
                <w:color w:val="000000" w:themeColor="text1"/>
                <w:sz w:val="18"/>
                <w:szCs w:val="18"/>
                <w:lang w:val="es-ES"/>
              </w:rPr>
              <w:t xml:space="preserve"> </w:t>
            </w:r>
            <w:proofErr w:type="spellStart"/>
            <w:r w:rsidRPr="00367B80">
              <w:rPr>
                <w:color w:val="000000" w:themeColor="text1"/>
                <w:sz w:val="18"/>
                <w:szCs w:val="18"/>
                <w:lang w:val="es-ES"/>
              </w:rPr>
              <w:t>degli</w:t>
            </w:r>
            <w:proofErr w:type="spellEnd"/>
            <w:r w:rsidRPr="00367B80">
              <w:rPr>
                <w:color w:val="000000" w:themeColor="text1"/>
                <w:sz w:val="18"/>
                <w:szCs w:val="18"/>
                <w:lang w:val="es-ES"/>
              </w:rPr>
              <w:t xml:space="preserve"> IRCCS </w:t>
            </w:r>
            <w:r w:rsidRPr="00E47CC2">
              <w:rPr>
                <w:color w:val="000000" w:themeColor="text1"/>
                <w:sz w:val="18"/>
                <w:szCs w:val="18"/>
                <w:lang w:val="es-ES"/>
              </w:rPr>
              <w:t xml:space="preserve">Instituto Europeo di </w:t>
            </w:r>
            <w:proofErr w:type="spellStart"/>
            <w:r w:rsidRPr="00E47CC2">
              <w:rPr>
                <w:color w:val="000000" w:themeColor="text1"/>
                <w:sz w:val="18"/>
                <w:szCs w:val="18"/>
                <w:lang w:val="es-ES"/>
              </w:rPr>
              <w:t>Oncologia</w:t>
            </w:r>
            <w:proofErr w:type="spellEnd"/>
            <w:r w:rsidRPr="00E47CC2">
              <w:rPr>
                <w:color w:val="000000" w:themeColor="text1"/>
                <w:sz w:val="18"/>
                <w:szCs w:val="18"/>
                <w:lang w:val="es-ES"/>
              </w:rPr>
              <w:t xml:space="preserve"> e Centro </w:t>
            </w:r>
            <w:proofErr w:type="spellStart"/>
            <w:r w:rsidRPr="00E47CC2">
              <w:rPr>
                <w:color w:val="000000" w:themeColor="text1"/>
                <w:sz w:val="18"/>
                <w:szCs w:val="18"/>
                <w:lang w:val="es-ES"/>
              </w:rPr>
              <w:t>Cardiologico</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Monzino</w:t>
            </w:r>
            <w:proofErr w:type="spellEnd"/>
          </w:p>
        </w:tc>
      </w:tr>
      <w:tr w:rsidR="003C722A" w:rsidRPr="00673269" w14:paraId="4608BC60"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66B73544" w14:textId="3B82AA69" w:rsidR="003C722A" w:rsidRPr="00E47CC2" w:rsidRDefault="003C722A" w:rsidP="003C722A">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304</w:t>
            </w:r>
          </w:p>
        </w:tc>
        <w:tc>
          <w:tcPr>
            <w:tcW w:w="1705" w:type="pct"/>
            <w:shd w:val="clear" w:color="auto" w:fill="auto"/>
            <w:vAlign w:val="center"/>
          </w:tcPr>
          <w:p w14:paraId="1D8362D9" w14:textId="50C122A6" w:rsidR="003C722A" w:rsidRPr="00E47CC2" w:rsidRDefault="003C722A" w:rsidP="003C722A">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proofErr w:type="spellStart"/>
            <w:r w:rsidRPr="00E47CC2">
              <w:rPr>
                <w:color w:val="000000" w:themeColor="text1"/>
                <w:sz w:val="18"/>
                <w:szCs w:val="18"/>
                <w:lang w:val="es-ES"/>
              </w:rPr>
              <w:t>Azienda</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Ospitialaria</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Policlinico</w:t>
            </w:r>
            <w:proofErr w:type="spellEnd"/>
            <w:r w:rsidRPr="00E47CC2">
              <w:rPr>
                <w:color w:val="000000" w:themeColor="text1"/>
                <w:sz w:val="18"/>
                <w:szCs w:val="18"/>
                <w:lang w:val="es-ES"/>
              </w:rPr>
              <w:t xml:space="preserve"> di </w:t>
            </w:r>
            <w:proofErr w:type="spellStart"/>
            <w:r w:rsidRPr="00E47CC2">
              <w:rPr>
                <w:color w:val="000000" w:themeColor="text1"/>
                <w:sz w:val="18"/>
                <w:szCs w:val="18"/>
                <w:lang w:val="es-ES"/>
              </w:rPr>
              <w:t>Modena</w:t>
            </w:r>
            <w:proofErr w:type="spellEnd"/>
            <w:r w:rsidRPr="00E47CC2">
              <w:rPr>
                <w:color w:val="000000" w:themeColor="text1"/>
                <w:sz w:val="18"/>
                <w:szCs w:val="18"/>
                <w:lang w:val="es-ES"/>
              </w:rPr>
              <w:t xml:space="preserve"> [1]</w:t>
            </w:r>
          </w:p>
        </w:tc>
        <w:tc>
          <w:tcPr>
            <w:tcW w:w="1588" w:type="pct"/>
            <w:shd w:val="clear" w:color="auto" w:fill="auto"/>
            <w:vAlign w:val="center"/>
          </w:tcPr>
          <w:p w14:paraId="5473DCF2" w14:textId="36C122A9" w:rsidR="003C722A" w:rsidRPr="00E47CC2" w:rsidRDefault="003C722A" w:rsidP="003C722A">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Laura </w:t>
            </w:r>
            <w:proofErr w:type="spellStart"/>
            <w:r w:rsidRPr="00E47CC2">
              <w:rPr>
                <w:color w:val="000000" w:themeColor="text1"/>
                <w:sz w:val="18"/>
                <w:szCs w:val="18"/>
                <w:lang w:val="en-GB"/>
              </w:rPr>
              <w:t>Cortesi</w:t>
            </w:r>
            <w:proofErr w:type="spellEnd"/>
          </w:p>
        </w:tc>
        <w:tc>
          <w:tcPr>
            <w:tcW w:w="1202" w:type="pct"/>
            <w:shd w:val="clear" w:color="auto" w:fill="auto"/>
            <w:vAlign w:val="center"/>
          </w:tcPr>
          <w:p w14:paraId="7BF02001" w14:textId="43DA32B7" w:rsidR="003C722A" w:rsidRPr="00367B80" w:rsidRDefault="00256DF1"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proofErr w:type="spellStart"/>
            <w:r w:rsidRPr="00367B80">
              <w:rPr>
                <w:color w:val="000000" w:themeColor="text1"/>
                <w:sz w:val="18"/>
                <w:szCs w:val="18"/>
                <w:lang w:val="es-ES"/>
              </w:rPr>
              <w:t>Comitato</w:t>
            </w:r>
            <w:proofErr w:type="spellEnd"/>
            <w:r w:rsidRPr="00367B80">
              <w:rPr>
                <w:color w:val="000000" w:themeColor="text1"/>
                <w:sz w:val="18"/>
                <w:szCs w:val="18"/>
                <w:lang w:val="es-ES"/>
              </w:rPr>
              <w:t xml:space="preserve"> </w:t>
            </w:r>
            <w:proofErr w:type="spellStart"/>
            <w:r w:rsidRPr="00367B80">
              <w:rPr>
                <w:color w:val="000000" w:themeColor="text1"/>
                <w:sz w:val="18"/>
                <w:szCs w:val="18"/>
                <w:lang w:val="es-ES"/>
              </w:rPr>
              <w:t>Etico</w:t>
            </w:r>
            <w:proofErr w:type="spellEnd"/>
            <w:r w:rsidRPr="00367B80">
              <w:rPr>
                <w:color w:val="000000" w:themeColor="text1"/>
                <w:sz w:val="18"/>
                <w:szCs w:val="18"/>
                <w:lang w:val="es-ES"/>
              </w:rPr>
              <w:t xml:space="preserve"> </w:t>
            </w:r>
            <w:proofErr w:type="spellStart"/>
            <w:r w:rsidRPr="00367B80">
              <w:rPr>
                <w:color w:val="000000" w:themeColor="text1"/>
                <w:sz w:val="18"/>
                <w:szCs w:val="18"/>
                <w:lang w:val="es-ES"/>
              </w:rPr>
              <w:t>dell’Area</w:t>
            </w:r>
            <w:proofErr w:type="spellEnd"/>
            <w:r w:rsidRPr="00367B80">
              <w:rPr>
                <w:color w:val="000000" w:themeColor="text1"/>
                <w:sz w:val="18"/>
                <w:szCs w:val="18"/>
                <w:lang w:val="es-ES"/>
              </w:rPr>
              <w:t xml:space="preserve"> Vasta -E</w:t>
            </w:r>
            <w:r w:rsidRPr="00E47CC2">
              <w:rPr>
                <w:color w:val="000000" w:themeColor="text1"/>
                <w:sz w:val="18"/>
                <w:szCs w:val="18"/>
                <w:lang w:val="es-ES"/>
              </w:rPr>
              <w:t>milia Nord</w:t>
            </w:r>
          </w:p>
        </w:tc>
      </w:tr>
      <w:tr w:rsidR="003C722A" w:rsidRPr="00E47CC2" w14:paraId="73183170"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663B0BCA" w14:textId="16FB4145" w:rsidR="003C722A" w:rsidRPr="00E47CC2" w:rsidRDefault="003C722A" w:rsidP="003C722A">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305</w:t>
            </w:r>
          </w:p>
        </w:tc>
        <w:tc>
          <w:tcPr>
            <w:tcW w:w="1705" w:type="pct"/>
            <w:shd w:val="clear" w:color="auto" w:fill="auto"/>
            <w:vAlign w:val="center"/>
          </w:tcPr>
          <w:p w14:paraId="02403E26" w14:textId="6385FB39" w:rsidR="003C722A" w:rsidRPr="00E47CC2" w:rsidRDefault="003C722A" w:rsidP="003C722A">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Ospedale</w:t>
            </w:r>
            <w:proofErr w:type="spellEnd"/>
            <w:r w:rsidRPr="00E47CC2">
              <w:rPr>
                <w:color w:val="000000" w:themeColor="text1"/>
                <w:sz w:val="18"/>
                <w:szCs w:val="18"/>
                <w:lang w:val="en-GB"/>
              </w:rPr>
              <w:t xml:space="preserve"> San Gerardo </w:t>
            </w:r>
            <w:r w:rsidRPr="00E47CC2">
              <w:rPr>
                <w:color w:val="000000" w:themeColor="text1"/>
                <w:sz w:val="18"/>
                <w:szCs w:val="18"/>
              </w:rPr>
              <w:t>[2]</w:t>
            </w:r>
          </w:p>
        </w:tc>
        <w:tc>
          <w:tcPr>
            <w:tcW w:w="1588" w:type="pct"/>
            <w:shd w:val="clear" w:color="auto" w:fill="auto"/>
            <w:vAlign w:val="center"/>
          </w:tcPr>
          <w:p w14:paraId="759CD6BF" w14:textId="10103161" w:rsidR="003C722A" w:rsidRPr="00E47CC2" w:rsidRDefault="003C722A" w:rsidP="003C722A">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Marina </w:t>
            </w:r>
            <w:proofErr w:type="spellStart"/>
            <w:r w:rsidRPr="00E47CC2">
              <w:rPr>
                <w:color w:val="000000" w:themeColor="text1"/>
                <w:sz w:val="18"/>
                <w:szCs w:val="18"/>
                <w:lang w:val="en-GB"/>
              </w:rPr>
              <w:t>Cazzaniga</w:t>
            </w:r>
            <w:proofErr w:type="spellEnd"/>
          </w:p>
        </w:tc>
        <w:tc>
          <w:tcPr>
            <w:tcW w:w="1202" w:type="pct"/>
            <w:shd w:val="clear" w:color="auto" w:fill="auto"/>
            <w:vAlign w:val="center"/>
          </w:tcPr>
          <w:p w14:paraId="1CE75E45" w14:textId="49501E59" w:rsidR="003C722A" w:rsidRPr="00E47CC2" w:rsidRDefault="00256DF1"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Comitato</w:t>
            </w:r>
            <w:proofErr w:type="spellEnd"/>
            <w:r w:rsidRPr="00E47CC2">
              <w:rPr>
                <w:color w:val="000000" w:themeColor="text1"/>
                <w:sz w:val="18"/>
                <w:szCs w:val="18"/>
                <w:lang w:val="en-GB"/>
              </w:rPr>
              <w:t xml:space="preserve"> </w:t>
            </w:r>
            <w:proofErr w:type="spellStart"/>
            <w:r w:rsidRPr="00E47CC2">
              <w:rPr>
                <w:color w:val="000000" w:themeColor="text1"/>
                <w:sz w:val="18"/>
                <w:szCs w:val="18"/>
                <w:lang w:val="en-GB"/>
              </w:rPr>
              <w:t>Etico</w:t>
            </w:r>
            <w:proofErr w:type="spellEnd"/>
            <w:r w:rsidRPr="00E47CC2">
              <w:rPr>
                <w:color w:val="000000" w:themeColor="text1"/>
                <w:sz w:val="18"/>
                <w:szCs w:val="18"/>
                <w:lang w:val="en-GB"/>
              </w:rPr>
              <w:t xml:space="preserve"> Brianza</w:t>
            </w:r>
          </w:p>
        </w:tc>
      </w:tr>
      <w:tr w:rsidR="003C722A" w:rsidRPr="00673269" w14:paraId="0B02CDFC"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44A99F84" w14:textId="78F30AC1" w:rsidR="003C722A" w:rsidRPr="00E47CC2" w:rsidRDefault="003C722A" w:rsidP="003C722A">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306</w:t>
            </w:r>
          </w:p>
        </w:tc>
        <w:tc>
          <w:tcPr>
            <w:tcW w:w="1705" w:type="pct"/>
            <w:shd w:val="clear" w:color="auto" w:fill="auto"/>
            <w:vAlign w:val="center"/>
          </w:tcPr>
          <w:p w14:paraId="3A595FC6" w14:textId="1114BBB9" w:rsidR="003C722A" w:rsidRPr="00E47CC2" w:rsidRDefault="003C722A" w:rsidP="003C722A">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 xml:space="preserve">P.O. </w:t>
            </w:r>
            <w:proofErr w:type="spellStart"/>
            <w:r w:rsidRPr="00E47CC2">
              <w:rPr>
                <w:color w:val="000000" w:themeColor="text1"/>
                <w:sz w:val="18"/>
                <w:szCs w:val="18"/>
                <w:lang w:val="es-ES"/>
              </w:rPr>
              <w:t>Senatora</w:t>
            </w:r>
            <w:proofErr w:type="spellEnd"/>
            <w:r w:rsidRPr="00E47CC2">
              <w:rPr>
                <w:color w:val="000000" w:themeColor="text1"/>
                <w:sz w:val="18"/>
                <w:szCs w:val="18"/>
                <w:lang w:val="es-ES"/>
              </w:rPr>
              <w:t xml:space="preserve"> Antonio </w:t>
            </w:r>
            <w:proofErr w:type="spellStart"/>
            <w:r w:rsidRPr="00E47CC2">
              <w:rPr>
                <w:color w:val="000000" w:themeColor="text1"/>
                <w:sz w:val="18"/>
                <w:szCs w:val="18"/>
                <w:lang w:val="es-ES"/>
              </w:rPr>
              <w:t>Perrino</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Brindisi</w:t>
            </w:r>
            <w:proofErr w:type="spellEnd"/>
            <w:r w:rsidRPr="00E47CC2">
              <w:rPr>
                <w:color w:val="000000" w:themeColor="text1"/>
                <w:sz w:val="18"/>
                <w:szCs w:val="18"/>
                <w:lang w:val="es-ES"/>
              </w:rPr>
              <w:t xml:space="preserve"> [6]</w:t>
            </w:r>
          </w:p>
        </w:tc>
        <w:tc>
          <w:tcPr>
            <w:tcW w:w="1588" w:type="pct"/>
            <w:shd w:val="clear" w:color="auto" w:fill="auto"/>
            <w:vAlign w:val="center"/>
          </w:tcPr>
          <w:p w14:paraId="11BBFA16" w14:textId="41F88ACA" w:rsidR="003C722A" w:rsidRPr="00E47CC2" w:rsidRDefault="003C722A" w:rsidP="003C722A">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w:t>
            </w:r>
            <w:proofErr w:type="spellStart"/>
            <w:r w:rsidR="00C250F3" w:rsidRPr="00E47CC2">
              <w:rPr>
                <w:color w:val="000000" w:themeColor="text1"/>
                <w:sz w:val="18"/>
                <w:szCs w:val="18"/>
                <w:lang w:val="en-GB"/>
              </w:rPr>
              <w:t>Saverio</w:t>
            </w:r>
            <w:proofErr w:type="spellEnd"/>
            <w:r w:rsidR="00C250F3" w:rsidRPr="00E47CC2">
              <w:rPr>
                <w:color w:val="000000" w:themeColor="text1"/>
                <w:sz w:val="18"/>
                <w:szCs w:val="18"/>
                <w:lang w:val="en-GB"/>
              </w:rPr>
              <w:t xml:space="preserve"> </w:t>
            </w:r>
            <w:proofErr w:type="spellStart"/>
            <w:r w:rsidR="00C250F3" w:rsidRPr="00E47CC2">
              <w:rPr>
                <w:color w:val="000000" w:themeColor="text1"/>
                <w:sz w:val="18"/>
                <w:szCs w:val="18"/>
                <w:lang w:val="en-GB"/>
              </w:rPr>
              <w:t>Cinieri</w:t>
            </w:r>
            <w:proofErr w:type="spellEnd"/>
          </w:p>
        </w:tc>
        <w:tc>
          <w:tcPr>
            <w:tcW w:w="1202" w:type="pct"/>
            <w:shd w:val="clear" w:color="auto" w:fill="auto"/>
            <w:vAlign w:val="center"/>
          </w:tcPr>
          <w:p w14:paraId="7375D895" w14:textId="79810328" w:rsidR="003C722A" w:rsidRPr="00367B80" w:rsidRDefault="00256DF1"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proofErr w:type="spellStart"/>
            <w:r w:rsidRPr="00367B80">
              <w:rPr>
                <w:color w:val="000000" w:themeColor="text1"/>
                <w:sz w:val="18"/>
                <w:szCs w:val="18"/>
                <w:lang w:val="es-ES"/>
              </w:rPr>
              <w:t>Comitato</w:t>
            </w:r>
            <w:proofErr w:type="spellEnd"/>
            <w:r w:rsidRPr="00367B80">
              <w:rPr>
                <w:color w:val="000000" w:themeColor="text1"/>
                <w:sz w:val="18"/>
                <w:szCs w:val="18"/>
                <w:lang w:val="es-ES"/>
              </w:rPr>
              <w:t xml:space="preserve"> Independiente di </w:t>
            </w:r>
            <w:proofErr w:type="spellStart"/>
            <w:r w:rsidRPr="00367B80">
              <w:rPr>
                <w:color w:val="000000" w:themeColor="text1"/>
                <w:sz w:val="18"/>
                <w:szCs w:val="18"/>
                <w:lang w:val="es-ES"/>
              </w:rPr>
              <w:t>Etica</w:t>
            </w:r>
            <w:proofErr w:type="spellEnd"/>
            <w:r w:rsidRPr="00367B80">
              <w:rPr>
                <w:color w:val="000000" w:themeColor="text1"/>
                <w:sz w:val="18"/>
                <w:szCs w:val="18"/>
                <w:lang w:val="es-ES"/>
              </w:rPr>
              <w:t xml:space="preserve"> Medica</w:t>
            </w:r>
            <w:r w:rsidRPr="00E47CC2">
              <w:rPr>
                <w:color w:val="000000" w:themeColor="text1"/>
                <w:sz w:val="18"/>
                <w:szCs w:val="18"/>
                <w:lang w:val="es-ES"/>
              </w:rPr>
              <w:t xml:space="preserve"> </w:t>
            </w:r>
            <w:proofErr w:type="spellStart"/>
            <w:r w:rsidRPr="00E47CC2">
              <w:rPr>
                <w:color w:val="000000" w:themeColor="text1"/>
                <w:sz w:val="18"/>
                <w:szCs w:val="18"/>
                <w:lang w:val="es-ES"/>
              </w:rPr>
              <w:t>della</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Asl</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Brindisi</w:t>
            </w:r>
            <w:proofErr w:type="spellEnd"/>
          </w:p>
        </w:tc>
      </w:tr>
      <w:tr w:rsidR="00C250F3" w:rsidRPr="00673269" w14:paraId="1FA9A915"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46909C36" w14:textId="27AACDAB" w:rsidR="00C250F3" w:rsidRPr="00E47CC2" w:rsidRDefault="00C250F3" w:rsidP="003C722A">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307</w:t>
            </w:r>
          </w:p>
        </w:tc>
        <w:tc>
          <w:tcPr>
            <w:tcW w:w="1705" w:type="pct"/>
            <w:shd w:val="clear" w:color="auto" w:fill="auto"/>
            <w:vAlign w:val="center"/>
          </w:tcPr>
          <w:p w14:paraId="34C59271" w14:textId="147173AD" w:rsidR="00C250F3" w:rsidRPr="00E47CC2" w:rsidRDefault="00C250F3" w:rsidP="00C250F3">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s-ES"/>
              </w:rPr>
            </w:pPr>
            <w:proofErr w:type="spellStart"/>
            <w:r w:rsidRPr="00E47CC2">
              <w:rPr>
                <w:color w:val="000000" w:themeColor="text1"/>
                <w:sz w:val="18"/>
                <w:szCs w:val="18"/>
                <w:lang w:val="es-ES"/>
              </w:rPr>
              <w:t>Azienda</w:t>
            </w:r>
            <w:proofErr w:type="spellEnd"/>
            <w:r w:rsidRPr="00E47CC2">
              <w:rPr>
                <w:color w:val="000000" w:themeColor="text1"/>
                <w:sz w:val="18"/>
                <w:szCs w:val="18"/>
                <w:lang w:val="es-ES"/>
              </w:rPr>
              <w:t xml:space="preserve"> </w:t>
            </w:r>
            <w:proofErr w:type="gramStart"/>
            <w:r w:rsidRPr="00E47CC2">
              <w:rPr>
                <w:color w:val="000000" w:themeColor="text1"/>
                <w:sz w:val="18"/>
                <w:szCs w:val="18"/>
                <w:lang w:val="es-ES"/>
              </w:rPr>
              <w:t>Socio-Sanitaria</w:t>
            </w:r>
            <w:proofErr w:type="gramEnd"/>
            <w:r w:rsidRPr="00E47CC2">
              <w:rPr>
                <w:color w:val="000000" w:themeColor="text1"/>
                <w:sz w:val="18"/>
                <w:szCs w:val="18"/>
                <w:lang w:val="es-ES"/>
              </w:rPr>
              <w:t xml:space="preserve"> </w:t>
            </w:r>
            <w:proofErr w:type="spellStart"/>
            <w:r w:rsidRPr="00E47CC2">
              <w:rPr>
                <w:color w:val="000000" w:themeColor="text1"/>
                <w:sz w:val="18"/>
                <w:szCs w:val="18"/>
                <w:lang w:val="es-ES"/>
              </w:rPr>
              <w:t>Territoriale</w:t>
            </w:r>
            <w:proofErr w:type="spellEnd"/>
            <w:r w:rsidRPr="00E47CC2">
              <w:rPr>
                <w:color w:val="000000" w:themeColor="text1"/>
                <w:sz w:val="18"/>
                <w:szCs w:val="18"/>
                <w:lang w:val="es-ES"/>
              </w:rPr>
              <w:t xml:space="preserve"> di Cremona [2]</w:t>
            </w:r>
          </w:p>
        </w:tc>
        <w:tc>
          <w:tcPr>
            <w:tcW w:w="1588" w:type="pct"/>
            <w:shd w:val="clear" w:color="auto" w:fill="auto"/>
            <w:vAlign w:val="center"/>
          </w:tcPr>
          <w:p w14:paraId="1A8FD630" w14:textId="0948B14F" w:rsidR="00C250F3" w:rsidRPr="00E47CC2" w:rsidRDefault="00C250F3" w:rsidP="003C722A">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Daniele Generali</w:t>
            </w:r>
          </w:p>
        </w:tc>
        <w:tc>
          <w:tcPr>
            <w:tcW w:w="1202" w:type="pct"/>
            <w:shd w:val="clear" w:color="auto" w:fill="auto"/>
            <w:vAlign w:val="center"/>
          </w:tcPr>
          <w:p w14:paraId="1B18C0D0" w14:textId="113B1B7A" w:rsidR="00C250F3" w:rsidRPr="00367B80" w:rsidRDefault="00256DF1"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s-ES"/>
              </w:rPr>
            </w:pPr>
            <w:proofErr w:type="spellStart"/>
            <w:r w:rsidRPr="00367B80">
              <w:rPr>
                <w:color w:val="000000" w:themeColor="text1"/>
                <w:sz w:val="18"/>
                <w:szCs w:val="18"/>
                <w:lang w:val="es-ES"/>
              </w:rPr>
              <w:t>Comitato</w:t>
            </w:r>
            <w:proofErr w:type="spellEnd"/>
            <w:r w:rsidRPr="00367B80">
              <w:rPr>
                <w:color w:val="000000" w:themeColor="text1"/>
                <w:sz w:val="18"/>
                <w:szCs w:val="18"/>
                <w:lang w:val="es-ES"/>
              </w:rPr>
              <w:t xml:space="preserve"> </w:t>
            </w:r>
            <w:proofErr w:type="spellStart"/>
            <w:r w:rsidRPr="00367B80">
              <w:rPr>
                <w:color w:val="000000" w:themeColor="text1"/>
                <w:sz w:val="18"/>
                <w:szCs w:val="18"/>
                <w:lang w:val="es-ES"/>
              </w:rPr>
              <w:t>Etico</w:t>
            </w:r>
            <w:proofErr w:type="spellEnd"/>
            <w:r w:rsidRPr="00367B80">
              <w:rPr>
                <w:color w:val="000000" w:themeColor="text1"/>
                <w:sz w:val="18"/>
                <w:szCs w:val="18"/>
                <w:lang w:val="es-ES"/>
              </w:rPr>
              <w:t xml:space="preserve"> </w:t>
            </w:r>
            <w:proofErr w:type="spellStart"/>
            <w:r w:rsidRPr="00367B80">
              <w:rPr>
                <w:color w:val="000000" w:themeColor="text1"/>
                <w:sz w:val="18"/>
                <w:szCs w:val="18"/>
                <w:lang w:val="es-ES"/>
              </w:rPr>
              <w:t>Area</w:t>
            </w:r>
            <w:proofErr w:type="spellEnd"/>
            <w:r w:rsidRPr="00367B80">
              <w:rPr>
                <w:color w:val="000000" w:themeColor="text1"/>
                <w:sz w:val="18"/>
                <w:szCs w:val="18"/>
                <w:lang w:val="es-ES"/>
              </w:rPr>
              <w:t xml:space="preserve"> Cremona </w:t>
            </w:r>
            <w:proofErr w:type="spellStart"/>
            <w:r w:rsidRPr="00367B80">
              <w:rPr>
                <w:color w:val="000000" w:themeColor="text1"/>
                <w:sz w:val="18"/>
                <w:szCs w:val="18"/>
                <w:lang w:val="es-ES"/>
              </w:rPr>
              <w:t>Matova</w:t>
            </w:r>
            <w:proofErr w:type="spellEnd"/>
            <w:r w:rsidRPr="00E47CC2">
              <w:rPr>
                <w:color w:val="000000" w:themeColor="text1"/>
                <w:sz w:val="18"/>
                <w:szCs w:val="18"/>
                <w:lang w:val="es-ES"/>
              </w:rPr>
              <w:t xml:space="preserve"> Lodi</w:t>
            </w:r>
          </w:p>
        </w:tc>
      </w:tr>
      <w:tr w:rsidR="00C250F3" w:rsidRPr="00673269" w14:paraId="2AA08F7D"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3553002F" w14:textId="4E353362" w:rsidR="00C250F3" w:rsidRPr="00E47CC2" w:rsidRDefault="00C250F3" w:rsidP="003C722A">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308</w:t>
            </w:r>
          </w:p>
        </w:tc>
        <w:tc>
          <w:tcPr>
            <w:tcW w:w="1705" w:type="pct"/>
            <w:shd w:val="clear" w:color="auto" w:fill="auto"/>
            <w:vAlign w:val="center"/>
          </w:tcPr>
          <w:p w14:paraId="4C3ADD45" w14:textId="3B4B1497" w:rsidR="00C250F3" w:rsidRPr="00E47CC2" w:rsidRDefault="00C250F3" w:rsidP="003C722A">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proofErr w:type="spellStart"/>
            <w:r w:rsidRPr="00E47CC2">
              <w:rPr>
                <w:color w:val="000000" w:themeColor="text1"/>
                <w:sz w:val="18"/>
                <w:szCs w:val="18"/>
                <w:lang w:val="es-ES"/>
              </w:rPr>
              <w:t>Ospedale</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Guglielmo</w:t>
            </w:r>
            <w:proofErr w:type="spellEnd"/>
            <w:r w:rsidRPr="00E47CC2">
              <w:rPr>
                <w:color w:val="000000" w:themeColor="text1"/>
                <w:sz w:val="18"/>
                <w:szCs w:val="18"/>
                <w:lang w:val="es-ES"/>
              </w:rPr>
              <w:t xml:space="preserve"> da </w:t>
            </w:r>
            <w:proofErr w:type="spellStart"/>
            <w:r w:rsidRPr="00E47CC2">
              <w:rPr>
                <w:color w:val="000000" w:themeColor="text1"/>
                <w:sz w:val="18"/>
                <w:szCs w:val="18"/>
                <w:lang w:val="es-ES"/>
              </w:rPr>
              <w:t>Saliceto</w:t>
            </w:r>
            <w:proofErr w:type="spellEnd"/>
            <w:r w:rsidRPr="00E47CC2">
              <w:rPr>
                <w:color w:val="000000" w:themeColor="text1"/>
                <w:sz w:val="18"/>
                <w:szCs w:val="18"/>
                <w:lang w:val="es-ES"/>
              </w:rPr>
              <w:t xml:space="preserve"> [1]</w:t>
            </w:r>
          </w:p>
        </w:tc>
        <w:tc>
          <w:tcPr>
            <w:tcW w:w="1588" w:type="pct"/>
            <w:shd w:val="clear" w:color="auto" w:fill="auto"/>
            <w:vAlign w:val="center"/>
          </w:tcPr>
          <w:p w14:paraId="094783E0" w14:textId="03CB65CA" w:rsidR="00C250F3" w:rsidRPr="00E47CC2" w:rsidRDefault="00C250F3" w:rsidP="003C722A">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Luigi </w:t>
            </w:r>
            <w:proofErr w:type="spellStart"/>
            <w:r w:rsidRPr="00E47CC2">
              <w:rPr>
                <w:color w:val="000000" w:themeColor="text1"/>
                <w:sz w:val="18"/>
                <w:szCs w:val="18"/>
                <w:lang w:val="en-GB"/>
              </w:rPr>
              <w:t>Cavanna</w:t>
            </w:r>
            <w:proofErr w:type="spellEnd"/>
          </w:p>
        </w:tc>
        <w:tc>
          <w:tcPr>
            <w:tcW w:w="1202" w:type="pct"/>
            <w:shd w:val="clear" w:color="auto" w:fill="auto"/>
            <w:vAlign w:val="center"/>
          </w:tcPr>
          <w:p w14:paraId="179AD9C1" w14:textId="67220BA6" w:rsidR="00C250F3" w:rsidRPr="00367B80" w:rsidRDefault="00256DF1"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proofErr w:type="spellStart"/>
            <w:r w:rsidRPr="00367B80">
              <w:rPr>
                <w:color w:val="000000" w:themeColor="text1"/>
                <w:sz w:val="18"/>
                <w:szCs w:val="18"/>
                <w:lang w:val="es-ES"/>
              </w:rPr>
              <w:t>Comitato</w:t>
            </w:r>
            <w:proofErr w:type="spellEnd"/>
            <w:r w:rsidRPr="00367B80">
              <w:rPr>
                <w:color w:val="000000" w:themeColor="text1"/>
                <w:sz w:val="18"/>
                <w:szCs w:val="18"/>
                <w:lang w:val="es-ES"/>
              </w:rPr>
              <w:t xml:space="preserve"> </w:t>
            </w:r>
            <w:proofErr w:type="spellStart"/>
            <w:r w:rsidRPr="00367B80">
              <w:rPr>
                <w:color w:val="000000" w:themeColor="text1"/>
                <w:sz w:val="18"/>
                <w:szCs w:val="18"/>
                <w:lang w:val="es-ES"/>
              </w:rPr>
              <w:t>Etico</w:t>
            </w:r>
            <w:proofErr w:type="spellEnd"/>
            <w:r w:rsidRPr="00367B80">
              <w:rPr>
                <w:color w:val="000000" w:themeColor="text1"/>
                <w:sz w:val="18"/>
                <w:szCs w:val="18"/>
                <w:lang w:val="es-ES"/>
              </w:rPr>
              <w:t xml:space="preserve"> A</w:t>
            </w:r>
            <w:r w:rsidRPr="00E47CC2">
              <w:rPr>
                <w:color w:val="000000" w:themeColor="text1"/>
                <w:sz w:val="18"/>
                <w:szCs w:val="18"/>
                <w:lang w:val="es-ES"/>
              </w:rPr>
              <w:t>,</w:t>
            </w:r>
            <w:r w:rsidRPr="00367B80">
              <w:rPr>
                <w:color w:val="000000" w:themeColor="text1"/>
                <w:sz w:val="18"/>
                <w:szCs w:val="18"/>
                <w:lang w:val="es-ES"/>
              </w:rPr>
              <w:t xml:space="preserve"> USL </w:t>
            </w:r>
            <w:r w:rsidRPr="00E47CC2">
              <w:rPr>
                <w:color w:val="000000" w:themeColor="text1"/>
                <w:sz w:val="18"/>
                <w:szCs w:val="18"/>
                <w:lang w:val="es-ES"/>
              </w:rPr>
              <w:t xml:space="preserve">di </w:t>
            </w:r>
            <w:r w:rsidRPr="00367B80">
              <w:rPr>
                <w:color w:val="000000" w:themeColor="text1"/>
                <w:sz w:val="18"/>
                <w:szCs w:val="18"/>
                <w:lang w:val="es-ES"/>
              </w:rPr>
              <w:t>Piacenza</w:t>
            </w:r>
          </w:p>
        </w:tc>
      </w:tr>
      <w:tr w:rsidR="003C722A" w:rsidRPr="00673269" w14:paraId="66934ABE"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327B8631" w14:textId="420F059E" w:rsidR="003C722A" w:rsidRPr="00E47CC2" w:rsidRDefault="00C250F3" w:rsidP="003C722A">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309</w:t>
            </w:r>
          </w:p>
        </w:tc>
        <w:tc>
          <w:tcPr>
            <w:tcW w:w="1705" w:type="pct"/>
            <w:shd w:val="clear" w:color="auto" w:fill="auto"/>
            <w:vAlign w:val="center"/>
          </w:tcPr>
          <w:p w14:paraId="07B1D90A" w14:textId="77777777" w:rsidR="00C250F3" w:rsidRPr="00E47CC2" w:rsidRDefault="00C250F3" w:rsidP="00C250F3">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s-ES"/>
              </w:rPr>
            </w:pPr>
            <w:r w:rsidRPr="00E47CC2">
              <w:rPr>
                <w:color w:val="000000" w:themeColor="text1"/>
                <w:sz w:val="18"/>
                <w:szCs w:val="18"/>
                <w:lang w:val="es-ES"/>
              </w:rPr>
              <w:t xml:space="preserve">A.O.U. </w:t>
            </w:r>
            <w:proofErr w:type="spellStart"/>
            <w:r w:rsidRPr="00E47CC2">
              <w:rPr>
                <w:color w:val="000000" w:themeColor="text1"/>
                <w:sz w:val="18"/>
                <w:szCs w:val="18"/>
                <w:lang w:val="es-ES"/>
              </w:rPr>
              <w:t>Città</w:t>
            </w:r>
            <w:proofErr w:type="spellEnd"/>
            <w:r w:rsidRPr="00E47CC2">
              <w:rPr>
                <w:color w:val="000000" w:themeColor="text1"/>
                <w:sz w:val="18"/>
                <w:szCs w:val="18"/>
                <w:lang w:val="es-ES"/>
              </w:rPr>
              <w:t xml:space="preserve"> </w:t>
            </w:r>
            <w:proofErr w:type="spellStart"/>
            <w:r w:rsidRPr="00E47CC2">
              <w:rPr>
                <w:color w:val="000000" w:themeColor="text1"/>
                <w:sz w:val="18"/>
                <w:szCs w:val="18"/>
                <w:lang w:val="es-ES"/>
              </w:rPr>
              <w:t>della</w:t>
            </w:r>
            <w:proofErr w:type="spellEnd"/>
            <w:r w:rsidRPr="00E47CC2">
              <w:rPr>
                <w:color w:val="000000" w:themeColor="text1"/>
                <w:sz w:val="18"/>
                <w:szCs w:val="18"/>
                <w:lang w:val="es-ES"/>
              </w:rPr>
              <w:t xml:space="preserve"> Salute e </w:t>
            </w:r>
            <w:proofErr w:type="spellStart"/>
            <w:r w:rsidRPr="00E47CC2">
              <w:rPr>
                <w:color w:val="000000" w:themeColor="text1"/>
                <w:sz w:val="18"/>
                <w:szCs w:val="18"/>
                <w:lang w:val="es-ES"/>
              </w:rPr>
              <w:t>della</w:t>
            </w:r>
            <w:proofErr w:type="spellEnd"/>
          </w:p>
          <w:p w14:paraId="47D7C856" w14:textId="5366CF8E" w:rsidR="003C722A" w:rsidRPr="00E47CC2" w:rsidRDefault="00C250F3" w:rsidP="00C250F3">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Scienza</w:t>
            </w:r>
            <w:proofErr w:type="spellEnd"/>
            <w:r w:rsidRPr="00E47CC2">
              <w:rPr>
                <w:color w:val="000000" w:themeColor="text1"/>
                <w:sz w:val="18"/>
                <w:szCs w:val="18"/>
                <w:lang w:val="en-GB"/>
              </w:rPr>
              <w:t xml:space="preserve"> di Torino [1]</w:t>
            </w:r>
          </w:p>
        </w:tc>
        <w:tc>
          <w:tcPr>
            <w:tcW w:w="1588" w:type="pct"/>
            <w:shd w:val="clear" w:color="auto" w:fill="auto"/>
            <w:vAlign w:val="center"/>
          </w:tcPr>
          <w:p w14:paraId="3C2D7079" w14:textId="41498C46" w:rsidR="003C722A" w:rsidRPr="00E47CC2" w:rsidRDefault="00C250F3" w:rsidP="003C722A">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Mario </w:t>
            </w:r>
            <w:proofErr w:type="spellStart"/>
            <w:r w:rsidRPr="00E47CC2">
              <w:rPr>
                <w:color w:val="000000" w:themeColor="text1"/>
                <w:sz w:val="18"/>
                <w:szCs w:val="18"/>
                <w:lang w:val="en-GB"/>
              </w:rPr>
              <w:t>Airoldi</w:t>
            </w:r>
            <w:proofErr w:type="spellEnd"/>
          </w:p>
        </w:tc>
        <w:tc>
          <w:tcPr>
            <w:tcW w:w="1202" w:type="pct"/>
            <w:shd w:val="clear" w:color="auto" w:fill="auto"/>
            <w:vAlign w:val="center"/>
          </w:tcPr>
          <w:p w14:paraId="364094A5" w14:textId="519C458A" w:rsidR="003C722A" w:rsidRPr="00367B80" w:rsidRDefault="00256DF1"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s-ES"/>
              </w:rPr>
            </w:pPr>
            <w:proofErr w:type="spellStart"/>
            <w:r w:rsidRPr="00367B80">
              <w:rPr>
                <w:color w:val="000000" w:themeColor="text1"/>
                <w:sz w:val="18"/>
                <w:szCs w:val="18"/>
                <w:lang w:val="es-ES"/>
              </w:rPr>
              <w:t>Comitato</w:t>
            </w:r>
            <w:proofErr w:type="spellEnd"/>
            <w:r w:rsidRPr="00367B80">
              <w:rPr>
                <w:color w:val="000000" w:themeColor="text1"/>
                <w:sz w:val="18"/>
                <w:szCs w:val="18"/>
                <w:lang w:val="es-ES"/>
              </w:rPr>
              <w:t xml:space="preserve"> </w:t>
            </w:r>
            <w:proofErr w:type="spellStart"/>
            <w:r w:rsidRPr="00367B80">
              <w:rPr>
                <w:color w:val="000000" w:themeColor="text1"/>
                <w:sz w:val="18"/>
                <w:szCs w:val="18"/>
                <w:lang w:val="es-ES"/>
              </w:rPr>
              <w:t>Etico</w:t>
            </w:r>
            <w:proofErr w:type="spellEnd"/>
            <w:r w:rsidRPr="00367B80">
              <w:rPr>
                <w:color w:val="000000" w:themeColor="text1"/>
                <w:sz w:val="18"/>
                <w:szCs w:val="18"/>
                <w:lang w:val="es-ES"/>
              </w:rPr>
              <w:t xml:space="preserve"> </w:t>
            </w:r>
            <w:proofErr w:type="spellStart"/>
            <w:r w:rsidRPr="00367B80">
              <w:rPr>
                <w:color w:val="000000" w:themeColor="text1"/>
                <w:sz w:val="18"/>
                <w:szCs w:val="18"/>
                <w:lang w:val="es-ES"/>
              </w:rPr>
              <w:t>Interaziendale</w:t>
            </w:r>
            <w:proofErr w:type="spellEnd"/>
            <w:r w:rsidRPr="00367B80">
              <w:rPr>
                <w:color w:val="000000" w:themeColor="text1"/>
                <w:sz w:val="18"/>
                <w:szCs w:val="18"/>
                <w:lang w:val="es-ES"/>
              </w:rPr>
              <w:t xml:space="preserve"> A.O.U. </w:t>
            </w:r>
            <w:proofErr w:type="spellStart"/>
            <w:r w:rsidRPr="00367B80">
              <w:rPr>
                <w:color w:val="000000" w:themeColor="text1"/>
                <w:sz w:val="18"/>
                <w:szCs w:val="18"/>
                <w:lang w:val="es-ES"/>
              </w:rPr>
              <w:t>Città</w:t>
            </w:r>
            <w:proofErr w:type="spellEnd"/>
            <w:r w:rsidRPr="00367B80">
              <w:rPr>
                <w:color w:val="000000" w:themeColor="text1"/>
                <w:sz w:val="18"/>
                <w:szCs w:val="18"/>
                <w:lang w:val="es-ES"/>
              </w:rPr>
              <w:t xml:space="preserve"> </w:t>
            </w:r>
            <w:proofErr w:type="spellStart"/>
            <w:r w:rsidRPr="00367B80">
              <w:rPr>
                <w:color w:val="000000" w:themeColor="text1"/>
                <w:sz w:val="18"/>
                <w:szCs w:val="18"/>
                <w:lang w:val="es-ES"/>
              </w:rPr>
              <w:t>della</w:t>
            </w:r>
            <w:proofErr w:type="spellEnd"/>
            <w:r w:rsidRPr="00367B80">
              <w:rPr>
                <w:color w:val="000000" w:themeColor="text1"/>
                <w:sz w:val="18"/>
                <w:szCs w:val="18"/>
                <w:lang w:val="es-ES"/>
              </w:rPr>
              <w:t xml:space="preserve"> Salute e </w:t>
            </w:r>
            <w:proofErr w:type="spellStart"/>
            <w:r w:rsidRPr="00367B80">
              <w:rPr>
                <w:color w:val="000000" w:themeColor="text1"/>
                <w:sz w:val="18"/>
                <w:szCs w:val="18"/>
                <w:lang w:val="es-ES"/>
              </w:rPr>
              <w:t>della</w:t>
            </w:r>
            <w:proofErr w:type="spellEnd"/>
            <w:r w:rsidRPr="00367B80">
              <w:rPr>
                <w:color w:val="000000" w:themeColor="text1"/>
                <w:sz w:val="18"/>
                <w:szCs w:val="18"/>
                <w:lang w:val="es-ES"/>
              </w:rPr>
              <w:t xml:space="preserve"> </w:t>
            </w:r>
            <w:proofErr w:type="spellStart"/>
            <w:r w:rsidRPr="00367B80">
              <w:rPr>
                <w:color w:val="000000" w:themeColor="text1"/>
                <w:sz w:val="18"/>
                <w:szCs w:val="18"/>
                <w:lang w:val="es-ES"/>
              </w:rPr>
              <w:t>Scienza</w:t>
            </w:r>
            <w:proofErr w:type="spellEnd"/>
            <w:r w:rsidRPr="00367B80">
              <w:rPr>
                <w:color w:val="000000" w:themeColor="text1"/>
                <w:sz w:val="18"/>
                <w:szCs w:val="18"/>
                <w:lang w:val="es-ES"/>
              </w:rPr>
              <w:t xml:space="preserve"> di Torino</w:t>
            </w:r>
          </w:p>
        </w:tc>
      </w:tr>
      <w:tr w:rsidR="00DC211A" w:rsidRPr="00673269" w14:paraId="15FEA894"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shd w:val="clear" w:color="auto" w:fill="auto"/>
            <w:vAlign w:val="center"/>
          </w:tcPr>
          <w:p w14:paraId="2C4E7411" w14:textId="5D6B2B3A" w:rsidR="00DC211A" w:rsidRPr="007501F4" w:rsidRDefault="00DC211A" w:rsidP="003C722A">
            <w:pPr>
              <w:spacing w:before="80" w:after="80"/>
              <w:jc w:val="center"/>
              <w:rPr>
                <w:i w:val="0"/>
                <w:iCs w:val="0"/>
                <w:color w:val="000000" w:themeColor="text1"/>
                <w:sz w:val="18"/>
                <w:szCs w:val="18"/>
                <w:lang w:val="en-GB"/>
              </w:rPr>
            </w:pPr>
            <w:r w:rsidRPr="00DC211A">
              <w:rPr>
                <w:color w:val="000000" w:themeColor="text1"/>
                <w:sz w:val="18"/>
                <w:szCs w:val="18"/>
                <w:lang w:val="en-GB"/>
              </w:rPr>
              <w:t>310</w:t>
            </w:r>
          </w:p>
        </w:tc>
        <w:tc>
          <w:tcPr>
            <w:tcW w:w="1705" w:type="pct"/>
            <w:shd w:val="clear" w:color="auto" w:fill="auto"/>
            <w:vAlign w:val="center"/>
          </w:tcPr>
          <w:p w14:paraId="58C78DFC" w14:textId="7AA5FA7A" w:rsidR="00DC211A" w:rsidRPr="00E47CC2" w:rsidRDefault="009F0394" w:rsidP="009F0394">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proofErr w:type="spellStart"/>
            <w:r w:rsidRPr="009F0394">
              <w:rPr>
                <w:color w:val="000000" w:themeColor="text1"/>
                <w:sz w:val="18"/>
                <w:szCs w:val="18"/>
                <w:lang w:val="es-ES"/>
              </w:rPr>
              <w:t>Azienda</w:t>
            </w:r>
            <w:proofErr w:type="spellEnd"/>
            <w:r w:rsidRPr="009F0394">
              <w:rPr>
                <w:color w:val="000000" w:themeColor="text1"/>
                <w:sz w:val="18"/>
                <w:szCs w:val="18"/>
                <w:lang w:val="es-ES"/>
              </w:rPr>
              <w:t xml:space="preserve"> </w:t>
            </w:r>
            <w:proofErr w:type="spellStart"/>
            <w:r w:rsidRPr="009F0394">
              <w:rPr>
                <w:color w:val="000000" w:themeColor="text1"/>
                <w:sz w:val="18"/>
                <w:szCs w:val="18"/>
                <w:lang w:val="es-ES"/>
              </w:rPr>
              <w:t>Ospedaliero</w:t>
            </w:r>
            <w:proofErr w:type="spellEnd"/>
            <w:r w:rsidRPr="009F0394">
              <w:rPr>
                <w:color w:val="000000" w:themeColor="text1"/>
                <w:sz w:val="18"/>
                <w:szCs w:val="18"/>
                <w:lang w:val="es-ES"/>
              </w:rPr>
              <w:t>- Universitaria di Cagliari</w:t>
            </w:r>
            <w:r>
              <w:rPr>
                <w:color w:val="000000" w:themeColor="text1"/>
                <w:sz w:val="18"/>
                <w:szCs w:val="18"/>
                <w:lang w:val="es-ES"/>
              </w:rPr>
              <w:t xml:space="preserve"> </w:t>
            </w:r>
            <w:r w:rsidRPr="009F0394">
              <w:rPr>
                <w:color w:val="000000" w:themeColor="text1"/>
                <w:sz w:val="18"/>
                <w:szCs w:val="18"/>
                <w:lang w:val="es-ES"/>
              </w:rPr>
              <w:t>[4]</w:t>
            </w:r>
          </w:p>
        </w:tc>
        <w:tc>
          <w:tcPr>
            <w:tcW w:w="1588" w:type="pct"/>
            <w:shd w:val="clear" w:color="auto" w:fill="auto"/>
            <w:vAlign w:val="center"/>
          </w:tcPr>
          <w:p w14:paraId="7A9EE644" w14:textId="174CBD0F" w:rsidR="00DC211A" w:rsidRPr="007501F4" w:rsidRDefault="009F0394" w:rsidP="003C722A">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Pr>
                <w:color w:val="000000" w:themeColor="text1"/>
                <w:sz w:val="18"/>
                <w:szCs w:val="18"/>
                <w:lang w:val="es-ES"/>
              </w:rPr>
              <w:t xml:space="preserve">Dr. Francesco </w:t>
            </w:r>
            <w:proofErr w:type="spellStart"/>
            <w:r>
              <w:rPr>
                <w:color w:val="000000" w:themeColor="text1"/>
                <w:sz w:val="18"/>
                <w:szCs w:val="18"/>
                <w:lang w:val="es-ES"/>
              </w:rPr>
              <w:t>Atzori</w:t>
            </w:r>
            <w:proofErr w:type="spellEnd"/>
          </w:p>
        </w:tc>
        <w:tc>
          <w:tcPr>
            <w:tcW w:w="1202" w:type="pct"/>
            <w:shd w:val="clear" w:color="auto" w:fill="auto"/>
            <w:vAlign w:val="center"/>
          </w:tcPr>
          <w:p w14:paraId="3CF4CA38" w14:textId="1D1CC603" w:rsidR="00DC211A" w:rsidRPr="00367B80" w:rsidRDefault="009F0394"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proofErr w:type="spellStart"/>
            <w:r w:rsidRPr="009F0394">
              <w:rPr>
                <w:color w:val="000000" w:themeColor="text1"/>
                <w:sz w:val="18"/>
                <w:szCs w:val="18"/>
                <w:lang w:val="es-ES"/>
              </w:rPr>
              <w:t>Comitato</w:t>
            </w:r>
            <w:proofErr w:type="spellEnd"/>
            <w:r w:rsidRPr="009F0394">
              <w:rPr>
                <w:color w:val="000000" w:themeColor="text1"/>
                <w:sz w:val="18"/>
                <w:szCs w:val="18"/>
                <w:lang w:val="es-ES"/>
              </w:rPr>
              <w:t xml:space="preserve"> </w:t>
            </w:r>
            <w:proofErr w:type="spellStart"/>
            <w:r w:rsidRPr="009F0394">
              <w:rPr>
                <w:color w:val="000000" w:themeColor="text1"/>
                <w:sz w:val="18"/>
                <w:szCs w:val="18"/>
                <w:lang w:val="es-ES"/>
              </w:rPr>
              <w:t>Etico</w:t>
            </w:r>
            <w:proofErr w:type="spellEnd"/>
            <w:r w:rsidRPr="009F0394">
              <w:rPr>
                <w:color w:val="000000" w:themeColor="text1"/>
                <w:sz w:val="18"/>
                <w:szCs w:val="18"/>
                <w:lang w:val="es-ES"/>
              </w:rPr>
              <w:t xml:space="preserve"> </w:t>
            </w:r>
            <w:proofErr w:type="spellStart"/>
            <w:r w:rsidRPr="009F0394">
              <w:rPr>
                <w:color w:val="000000" w:themeColor="text1"/>
                <w:sz w:val="18"/>
                <w:szCs w:val="18"/>
                <w:lang w:val="es-ES"/>
              </w:rPr>
              <w:t>Indipendente</w:t>
            </w:r>
            <w:proofErr w:type="spellEnd"/>
            <w:r w:rsidRPr="009F0394">
              <w:rPr>
                <w:color w:val="000000" w:themeColor="text1"/>
                <w:sz w:val="18"/>
                <w:szCs w:val="18"/>
                <w:lang w:val="es-ES"/>
              </w:rPr>
              <w:t xml:space="preserve"> </w:t>
            </w:r>
            <w:proofErr w:type="spellStart"/>
            <w:r w:rsidRPr="009F0394">
              <w:rPr>
                <w:color w:val="000000" w:themeColor="text1"/>
                <w:sz w:val="18"/>
                <w:szCs w:val="18"/>
                <w:lang w:val="es-ES"/>
              </w:rPr>
              <w:t>della</w:t>
            </w:r>
            <w:proofErr w:type="spellEnd"/>
            <w:r w:rsidRPr="009F0394">
              <w:rPr>
                <w:color w:val="000000" w:themeColor="text1"/>
                <w:sz w:val="18"/>
                <w:szCs w:val="18"/>
                <w:lang w:val="es-ES"/>
              </w:rPr>
              <w:t xml:space="preserve"> A.O.U di Cagliari</w:t>
            </w:r>
          </w:p>
        </w:tc>
      </w:tr>
      <w:tr w:rsidR="00256DF1" w:rsidRPr="00E47CC2" w14:paraId="6154D602"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36C9DD9E" w14:textId="07F9AF8E" w:rsidR="00256DF1" w:rsidRPr="00E47CC2" w:rsidRDefault="00256DF1" w:rsidP="003C722A">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401</w:t>
            </w:r>
          </w:p>
        </w:tc>
        <w:tc>
          <w:tcPr>
            <w:tcW w:w="1705" w:type="pct"/>
            <w:shd w:val="clear" w:color="auto" w:fill="auto"/>
            <w:vAlign w:val="center"/>
          </w:tcPr>
          <w:p w14:paraId="7947D0AF" w14:textId="21E809F1" w:rsidR="00256DF1" w:rsidRPr="00E47CC2" w:rsidRDefault="00256DF1" w:rsidP="003C722A">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 xml:space="preserve">Barts Cancer Institute </w:t>
            </w:r>
            <w:r w:rsidRPr="00E47CC2">
              <w:rPr>
                <w:color w:val="000000" w:themeColor="text1"/>
                <w:sz w:val="18"/>
                <w:szCs w:val="18"/>
              </w:rPr>
              <w:t>[20]</w:t>
            </w:r>
          </w:p>
        </w:tc>
        <w:tc>
          <w:tcPr>
            <w:tcW w:w="1588" w:type="pct"/>
            <w:shd w:val="clear" w:color="auto" w:fill="auto"/>
            <w:vAlign w:val="center"/>
          </w:tcPr>
          <w:p w14:paraId="531DC50E" w14:textId="19632FEA" w:rsidR="00256DF1" w:rsidRPr="00E47CC2" w:rsidRDefault="00256DF1" w:rsidP="003C722A">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Peter Schmid</w:t>
            </w:r>
          </w:p>
        </w:tc>
        <w:tc>
          <w:tcPr>
            <w:tcW w:w="1202" w:type="pct"/>
            <w:vMerge w:val="restart"/>
            <w:shd w:val="clear" w:color="auto" w:fill="auto"/>
            <w:vAlign w:val="center"/>
          </w:tcPr>
          <w:p w14:paraId="381D911D" w14:textId="250F8D82" w:rsidR="00256DF1" w:rsidRPr="00E47CC2" w:rsidRDefault="00256DF1"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London Bridge Research Ethics Committee</w:t>
            </w:r>
          </w:p>
        </w:tc>
      </w:tr>
      <w:tr w:rsidR="00256DF1" w:rsidRPr="00E47CC2" w14:paraId="4D8AF89B"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5E7FC11F" w14:textId="2F34D7E9" w:rsidR="00256DF1" w:rsidRPr="00E47CC2" w:rsidRDefault="00256DF1" w:rsidP="003C722A">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402</w:t>
            </w:r>
          </w:p>
        </w:tc>
        <w:tc>
          <w:tcPr>
            <w:tcW w:w="1705" w:type="pct"/>
            <w:shd w:val="clear" w:color="auto" w:fill="auto"/>
            <w:vAlign w:val="center"/>
          </w:tcPr>
          <w:p w14:paraId="5C13D41A" w14:textId="77777777" w:rsidR="00256DF1" w:rsidRPr="00E47CC2" w:rsidRDefault="00256DF1" w:rsidP="00C250F3">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Royal United Hospitals Bath NHS</w:t>
            </w:r>
          </w:p>
          <w:p w14:paraId="6620B9D8" w14:textId="235AC11A" w:rsidR="00256DF1" w:rsidRPr="00E47CC2" w:rsidRDefault="00256DF1" w:rsidP="00C250F3">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Foundation Trust [4]</w:t>
            </w:r>
          </w:p>
        </w:tc>
        <w:tc>
          <w:tcPr>
            <w:tcW w:w="1588" w:type="pct"/>
            <w:shd w:val="clear" w:color="auto" w:fill="auto"/>
            <w:vAlign w:val="center"/>
          </w:tcPr>
          <w:p w14:paraId="10868FC7" w14:textId="653167C1" w:rsidR="00256DF1" w:rsidRPr="00E47CC2" w:rsidRDefault="00256DF1" w:rsidP="003C722A">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Mark Beresford</w:t>
            </w:r>
          </w:p>
        </w:tc>
        <w:tc>
          <w:tcPr>
            <w:tcW w:w="1202" w:type="pct"/>
            <w:vMerge/>
            <w:shd w:val="clear" w:color="auto" w:fill="auto"/>
            <w:vAlign w:val="center"/>
          </w:tcPr>
          <w:p w14:paraId="154685E2" w14:textId="77777777" w:rsidR="00256DF1" w:rsidRPr="00E47CC2" w:rsidRDefault="00256DF1"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
        </w:tc>
      </w:tr>
      <w:tr w:rsidR="00256DF1" w:rsidRPr="00E47CC2" w14:paraId="532D1D0A"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3825468C" w14:textId="75F7B54B" w:rsidR="00256DF1" w:rsidRPr="00E47CC2" w:rsidRDefault="00256DF1" w:rsidP="00C250F3">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403</w:t>
            </w:r>
          </w:p>
        </w:tc>
        <w:tc>
          <w:tcPr>
            <w:tcW w:w="1705" w:type="pct"/>
            <w:shd w:val="clear" w:color="auto" w:fill="auto"/>
            <w:vAlign w:val="center"/>
          </w:tcPr>
          <w:p w14:paraId="09104134" w14:textId="233F23BF" w:rsidR="00256DF1" w:rsidRPr="00E47CC2" w:rsidRDefault="00256DF1" w:rsidP="00C250F3">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Nottingham University Hospitals NHS Trust [4]</w:t>
            </w:r>
          </w:p>
        </w:tc>
        <w:tc>
          <w:tcPr>
            <w:tcW w:w="1588" w:type="pct"/>
            <w:shd w:val="clear" w:color="auto" w:fill="auto"/>
            <w:vAlign w:val="center"/>
          </w:tcPr>
          <w:p w14:paraId="4FA22149" w14:textId="484B1181" w:rsidR="00256DF1" w:rsidRPr="00E47CC2" w:rsidRDefault="00256DF1" w:rsidP="00C250F3">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Steve Chan</w:t>
            </w:r>
          </w:p>
        </w:tc>
        <w:tc>
          <w:tcPr>
            <w:tcW w:w="1202" w:type="pct"/>
            <w:vMerge/>
            <w:shd w:val="clear" w:color="auto" w:fill="auto"/>
            <w:vAlign w:val="center"/>
          </w:tcPr>
          <w:p w14:paraId="19E3CC9B" w14:textId="77777777" w:rsidR="00256DF1" w:rsidRPr="00E47CC2" w:rsidRDefault="00256DF1"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
        </w:tc>
      </w:tr>
      <w:tr w:rsidR="00256DF1" w:rsidRPr="00E47CC2" w14:paraId="4F84CB0B"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04BFF475" w14:textId="02EB67C5" w:rsidR="00256DF1" w:rsidRPr="00E47CC2" w:rsidRDefault="00256DF1" w:rsidP="00C250F3">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405</w:t>
            </w:r>
          </w:p>
        </w:tc>
        <w:tc>
          <w:tcPr>
            <w:tcW w:w="1705" w:type="pct"/>
            <w:shd w:val="clear" w:color="auto" w:fill="auto"/>
            <w:vAlign w:val="center"/>
          </w:tcPr>
          <w:p w14:paraId="7EE1CC6D" w14:textId="37183853" w:rsidR="00256DF1" w:rsidRPr="00E47CC2" w:rsidRDefault="00256DF1" w:rsidP="00C250F3">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Abertawe Bro Morgannwg University Health Board, Singleton</w:t>
            </w:r>
          </w:p>
          <w:p w14:paraId="5311EE97" w14:textId="2CE8099A" w:rsidR="00256DF1" w:rsidRPr="00E47CC2" w:rsidRDefault="00256DF1" w:rsidP="00C250F3">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proofErr w:type="gramStart"/>
            <w:r w:rsidRPr="00E47CC2">
              <w:rPr>
                <w:color w:val="000000" w:themeColor="text1"/>
                <w:sz w:val="18"/>
                <w:szCs w:val="18"/>
                <w:lang w:val="en-GB"/>
              </w:rPr>
              <w:t>Hospital,Wales</w:t>
            </w:r>
            <w:proofErr w:type="spellEnd"/>
            <w:proofErr w:type="gramEnd"/>
            <w:r w:rsidRPr="00E47CC2">
              <w:rPr>
                <w:color w:val="000000" w:themeColor="text1"/>
                <w:sz w:val="18"/>
                <w:szCs w:val="18"/>
                <w:lang w:val="en-GB"/>
              </w:rPr>
              <w:t xml:space="preserve"> [8]</w:t>
            </w:r>
          </w:p>
        </w:tc>
        <w:tc>
          <w:tcPr>
            <w:tcW w:w="1588" w:type="pct"/>
            <w:shd w:val="clear" w:color="auto" w:fill="auto"/>
            <w:vAlign w:val="center"/>
          </w:tcPr>
          <w:p w14:paraId="71FAF8A2" w14:textId="5CC52DC3" w:rsidR="00256DF1" w:rsidRPr="00E47CC2" w:rsidRDefault="00256DF1" w:rsidP="00C250F3">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w:t>
            </w:r>
            <w:proofErr w:type="spellStart"/>
            <w:r w:rsidRPr="00E47CC2">
              <w:rPr>
                <w:color w:val="000000" w:themeColor="text1"/>
                <w:sz w:val="18"/>
                <w:szCs w:val="18"/>
                <w:lang w:val="en-GB"/>
              </w:rPr>
              <w:t>Gianfilippo</w:t>
            </w:r>
            <w:proofErr w:type="spellEnd"/>
            <w:r w:rsidRPr="00E47CC2">
              <w:rPr>
                <w:color w:val="000000" w:themeColor="text1"/>
                <w:sz w:val="18"/>
                <w:szCs w:val="18"/>
                <w:lang w:val="en-GB"/>
              </w:rPr>
              <w:t xml:space="preserve"> </w:t>
            </w:r>
            <w:proofErr w:type="spellStart"/>
            <w:r w:rsidRPr="00E47CC2">
              <w:rPr>
                <w:color w:val="000000" w:themeColor="text1"/>
                <w:sz w:val="18"/>
                <w:szCs w:val="18"/>
                <w:lang w:val="en-GB"/>
              </w:rPr>
              <w:t>Bertelli</w:t>
            </w:r>
            <w:proofErr w:type="spellEnd"/>
          </w:p>
        </w:tc>
        <w:tc>
          <w:tcPr>
            <w:tcW w:w="1202" w:type="pct"/>
            <w:vMerge/>
            <w:shd w:val="clear" w:color="auto" w:fill="auto"/>
            <w:vAlign w:val="center"/>
          </w:tcPr>
          <w:p w14:paraId="442160A1" w14:textId="77777777" w:rsidR="00256DF1" w:rsidRPr="00E47CC2" w:rsidRDefault="00256DF1"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
        </w:tc>
      </w:tr>
      <w:tr w:rsidR="00256DF1" w:rsidRPr="00E47CC2" w14:paraId="36D620F7"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32DA4A53" w14:textId="22B42BDB" w:rsidR="00256DF1" w:rsidRPr="00E47CC2" w:rsidRDefault="00256DF1" w:rsidP="00C250F3">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407</w:t>
            </w:r>
          </w:p>
        </w:tc>
        <w:tc>
          <w:tcPr>
            <w:tcW w:w="1705" w:type="pct"/>
            <w:shd w:val="clear" w:color="auto" w:fill="auto"/>
            <w:vAlign w:val="center"/>
          </w:tcPr>
          <w:p w14:paraId="7B622F82" w14:textId="6FF1CDA6" w:rsidR="00256DF1" w:rsidRPr="00E47CC2" w:rsidRDefault="00256DF1" w:rsidP="00C250F3">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Royal Cornwall Hospital NHS Trust [16]</w:t>
            </w:r>
          </w:p>
        </w:tc>
        <w:tc>
          <w:tcPr>
            <w:tcW w:w="1588" w:type="pct"/>
            <w:shd w:val="clear" w:color="auto" w:fill="auto"/>
            <w:vAlign w:val="center"/>
          </w:tcPr>
          <w:p w14:paraId="00C59ADF" w14:textId="42ED3916" w:rsidR="00256DF1" w:rsidRPr="00E47CC2" w:rsidRDefault="00256DF1" w:rsidP="00C250F3">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Duncan Wheatley</w:t>
            </w:r>
          </w:p>
        </w:tc>
        <w:tc>
          <w:tcPr>
            <w:tcW w:w="1202" w:type="pct"/>
            <w:vMerge/>
            <w:shd w:val="clear" w:color="auto" w:fill="auto"/>
            <w:vAlign w:val="center"/>
          </w:tcPr>
          <w:p w14:paraId="37D30E3E" w14:textId="77777777" w:rsidR="00256DF1" w:rsidRPr="00E47CC2" w:rsidRDefault="00256DF1"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
        </w:tc>
      </w:tr>
      <w:tr w:rsidR="00256DF1" w:rsidRPr="00E47CC2" w14:paraId="3EDF4A62"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hideMark/>
          </w:tcPr>
          <w:p w14:paraId="0026D2BA" w14:textId="1379835C" w:rsidR="00256DF1" w:rsidRPr="00E47CC2" w:rsidRDefault="00256DF1" w:rsidP="00C250F3">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408</w:t>
            </w:r>
          </w:p>
        </w:tc>
        <w:tc>
          <w:tcPr>
            <w:tcW w:w="1705" w:type="pct"/>
            <w:shd w:val="clear" w:color="auto" w:fill="auto"/>
            <w:vAlign w:val="center"/>
            <w:hideMark/>
          </w:tcPr>
          <w:p w14:paraId="6C6EE549" w14:textId="37B11B04" w:rsidR="00256DF1" w:rsidRPr="00E47CC2" w:rsidRDefault="00256DF1" w:rsidP="00C250F3">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The Christie NHS Foundation Trust, Manchester [2]</w:t>
            </w:r>
          </w:p>
        </w:tc>
        <w:tc>
          <w:tcPr>
            <w:tcW w:w="1588" w:type="pct"/>
            <w:shd w:val="clear" w:color="auto" w:fill="auto"/>
            <w:vAlign w:val="center"/>
            <w:hideMark/>
          </w:tcPr>
          <w:p w14:paraId="755F18CE" w14:textId="206643F1" w:rsidR="00256DF1" w:rsidRPr="00E47CC2" w:rsidRDefault="00256DF1" w:rsidP="00C250F3">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Andrew Wardley</w:t>
            </w:r>
          </w:p>
        </w:tc>
        <w:tc>
          <w:tcPr>
            <w:tcW w:w="1202" w:type="pct"/>
            <w:vMerge/>
            <w:shd w:val="clear" w:color="auto" w:fill="auto"/>
            <w:vAlign w:val="center"/>
          </w:tcPr>
          <w:p w14:paraId="5C4785A7" w14:textId="77777777" w:rsidR="00256DF1" w:rsidRPr="00E47CC2" w:rsidRDefault="00256DF1"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
        </w:tc>
      </w:tr>
      <w:tr w:rsidR="00256DF1" w:rsidRPr="00E47CC2" w14:paraId="434871A7"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27114453" w14:textId="76A86E8F" w:rsidR="00256DF1" w:rsidRPr="00E47CC2" w:rsidRDefault="00256DF1" w:rsidP="00C250F3">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502</w:t>
            </w:r>
          </w:p>
        </w:tc>
        <w:tc>
          <w:tcPr>
            <w:tcW w:w="1705" w:type="pct"/>
            <w:shd w:val="clear" w:color="auto" w:fill="auto"/>
            <w:vAlign w:val="center"/>
          </w:tcPr>
          <w:p w14:paraId="5C76DA8D" w14:textId="4A61BDF2" w:rsidR="00256DF1" w:rsidRPr="00E47CC2" w:rsidRDefault="00256DF1" w:rsidP="00C250F3">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University clinic of Heidelberg [21]</w:t>
            </w:r>
          </w:p>
        </w:tc>
        <w:tc>
          <w:tcPr>
            <w:tcW w:w="1588" w:type="pct"/>
            <w:shd w:val="clear" w:color="auto" w:fill="auto"/>
            <w:vAlign w:val="center"/>
          </w:tcPr>
          <w:p w14:paraId="56AB281E" w14:textId="7DA338CA" w:rsidR="00256DF1" w:rsidRPr="00E47CC2" w:rsidRDefault="00256DF1" w:rsidP="00C250F3">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Frederik </w:t>
            </w:r>
            <w:proofErr w:type="spellStart"/>
            <w:r w:rsidRPr="00E47CC2">
              <w:rPr>
                <w:color w:val="000000" w:themeColor="text1"/>
                <w:sz w:val="18"/>
                <w:szCs w:val="18"/>
                <w:lang w:val="en-GB"/>
              </w:rPr>
              <w:t>Marmé</w:t>
            </w:r>
            <w:proofErr w:type="spellEnd"/>
          </w:p>
        </w:tc>
        <w:tc>
          <w:tcPr>
            <w:tcW w:w="1202" w:type="pct"/>
            <w:vMerge w:val="restart"/>
            <w:shd w:val="clear" w:color="auto" w:fill="auto"/>
            <w:vAlign w:val="center"/>
          </w:tcPr>
          <w:p w14:paraId="7F2ED904" w14:textId="2AB31CE6" w:rsidR="00256DF1" w:rsidRPr="00E47CC2" w:rsidRDefault="00256DF1"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 xml:space="preserve">Universität Heidelberg </w:t>
            </w:r>
            <w:proofErr w:type="spellStart"/>
            <w:r w:rsidRPr="00E47CC2">
              <w:rPr>
                <w:color w:val="000000" w:themeColor="text1"/>
                <w:sz w:val="18"/>
                <w:szCs w:val="18"/>
                <w:lang w:val="en-GB"/>
              </w:rPr>
              <w:t>EthikCommission</w:t>
            </w:r>
            <w:proofErr w:type="spellEnd"/>
            <w:r w:rsidRPr="00E47CC2">
              <w:rPr>
                <w:color w:val="000000" w:themeColor="text1"/>
                <w:sz w:val="18"/>
                <w:szCs w:val="18"/>
                <w:lang w:val="en-GB"/>
              </w:rPr>
              <w:t xml:space="preserve"> </w:t>
            </w:r>
            <w:proofErr w:type="spellStart"/>
            <w:r w:rsidRPr="00E47CC2">
              <w:rPr>
                <w:color w:val="000000" w:themeColor="text1"/>
                <w:sz w:val="18"/>
                <w:szCs w:val="18"/>
                <w:lang w:val="en-GB"/>
              </w:rPr>
              <w:t>Mediziinische</w:t>
            </w:r>
            <w:proofErr w:type="spellEnd"/>
            <w:r w:rsidRPr="00E47CC2">
              <w:rPr>
                <w:color w:val="000000" w:themeColor="text1"/>
                <w:sz w:val="18"/>
                <w:szCs w:val="18"/>
                <w:lang w:val="en-GB"/>
              </w:rPr>
              <w:t xml:space="preserve"> </w:t>
            </w:r>
            <w:proofErr w:type="spellStart"/>
            <w:r w:rsidRPr="00E47CC2">
              <w:rPr>
                <w:color w:val="000000" w:themeColor="text1"/>
                <w:sz w:val="18"/>
                <w:szCs w:val="18"/>
                <w:lang w:val="en-GB"/>
              </w:rPr>
              <w:t>Fakultät</w:t>
            </w:r>
            <w:proofErr w:type="spellEnd"/>
            <w:r w:rsidRPr="00E47CC2">
              <w:rPr>
                <w:color w:val="000000" w:themeColor="text1"/>
                <w:sz w:val="18"/>
                <w:szCs w:val="18"/>
                <w:lang w:val="en-GB"/>
              </w:rPr>
              <w:t xml:space="preserve"> Heidelberg</w:t>
            </w:r>
          </w:p>
        </w:tc>
      </w:tr>
      <w:tr w:rsidR="00256DF1" w:rsidRPr="00E47CC2" w14:paraId="0753074C"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17356EF7" w14:textId="2C12125B" w:rsidR="00256DF1" w:rsidRPr="00E47CC2" w:rsidRDefault="00256DF1" w:rsidP="00C250F3">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503</w:t>
            </w:r>
          </w:p>
        </w:tc>
        <w:tc>
          <w:tcPr>
            <w:tcW w:w="1705" w:type="pct"/>
            <w:shd w:val="clear" w:color="auto" w:fill="auto"/>
            <w:vAlign w:val="center"/>
          </w:tcPr>
          <w:p w14:paraId="77EEB9A4" w14:textId="4C570387" w:rsidR="00256DF1" w:rsidRPr="00E47CC2" w:rsidRDefault="00256DF1" w:rsidP="00C250F3">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 xml:space="preserve">Med. </w:t>
            </w:r>
            <w:proofErr w:type="spellStart"/>
            <w:r w:rsidRPr="00E47CC2">
              <w:rPr>
                <w:color w:val="000000" w:themeColor="text1"/>
                <w:sz w:val="18"/>
                <w:szCs w:val="18"/>
                <w:lang w:val="en-GB"/>
              </w:rPr>
              <w:t>Versorgungszentrum</w:t>
            </w:r>
            <w:proofErr w:type="spellEnd"/>
            <w:r w:rsidRPr="00E47CC2">
              <w:rPr>
                <w:color w:val="000000" w:themeColor="text1"/>
                <w:sz w:val="18"/>
                <w:szCs w:val="18"/>
                <w:lang w:val="en-GB"/>
              </w:rPr>
              <w:t xml:space="preserve"> Dessau [3]</w:t>
            </w:r>
          </w:p>
        </w:tc>
        <w:tc>
          <w:tcPr>
            <w:tcW w:w="1588" w:type="pct"/>
            <w:shd w:val="clear" w:color="auto" w:fill="auto"/>
            <w:vAlign w:val="center"/>
          </w:tcPr>
          <w:p w14:paraId="1C54C676" w14:textId="477A2861" w:rsidR="00256DF1" w:rsidRPr="00E47CC2" w:rsidRDefault="00256DF1" w:rsidP="00C250F3">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Joachim Bischoff</w:t>
            </w:r>
          </w:p>
        </w:tc>
        <w:tc>
          <w:tcPr>
            <w:tcW w:w="1202" w:type="pct"/>
            <w:vMerge/>
            <w:shd w:val="clear" w:color="auto" w:fill="auto"/>
            <w:vAlign w:val="center"/>
          </w:tcPr>
          <w:p w14:paraId="7B4E5655" w14:textId="77777777" w:rsidR="00256DF1" w:rsidRPr="00E47CC2" w:rsidRDefault="00256DF1" w:rsidP="00C250F3">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
        </w:tc>
      </w:tr>
      <w:tr w:rsidR="00C250F3" w:rsidRPr="00E47CC2" w14:paraId="17865BFF" w14:textId="77777777" w:rsidTr="00570E43">
        <w:trPr>
          <w:trHeight w:val="135"/>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69C7CA2B" w14:textId="113DE3B9" w:rsidR="00C250F3" w:rsidRPr="00E47CC2" w:rsidRDefault="00C250F3" w:rsidP="00C250F3">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lastRenderedPageBreak/>
              <w:t>801</w:t>
            </w:r>
          </w:p>
        </w:tc>
        <w:tc>
          <w:tcPr>
            <w:tcW w:w="1705" w:type="pct"/>
            <w:shd w:val="clear" w:color="auto" w:fill="auto"/>
            <w:vAlign w:val="center"/>
          </w:tcPr>
          <w:p w14:paraId="30A3D5C6" w14:textId="7399DFAC" w:rsidR="00C250F3" w:rsidRPr="00E47CC2" w:rsidRDefault="00C250F3" w:rsidP="00C250F3">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General University Hospital in Prague [9]</w:t>
            </w:r>
          </w:p>
        </w:tc>
        <w:tc>
          <w:tcPr>
            <w:tcW w:w="1588" w:type="pct"/>
            <w:shd w:val="clear" w:color="auto" w:fill="auto"/>
            <w:vAlign w:val="center"/>
          </w:tcPr>
          <w:p w14:paraId="184CD3F7" w14:textId="2518FF22" w:rsidR="00C250F3" w:rsidRPr="00E47CC2" w:rsidRDefault="00C250F3" w:rsidP="00C250F3">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Petra </w:t>
            </w:r>
            <w:proofErr w:type="spellStart"/>
            <w:r w:rsidRPr="00E47CC2">
              <w:rPr>
                <w:color w:val="000000" w:themeColor="text1"/>
                <w:sz w:val="18"/>
                <w:szCs w:val="18"/>
                <w:lang w:val="en-GB"/>
              </w:rPr>
              <w:t>Tesařová</w:t>
            </w:r>
            <w:proofErr w:type="spellEnd"/>
          </w:p>
        </w:tc>
        <w:tc>
          <w:tcPr>
            <w:tcW w:w="1202" w:type="pct"/>
            <w:shd w:val="clear" w:color="auto" w:fill="auto"/>
            <w:vAlign w:val="center"/>
          </w:tcPr>
          <w:p w14:paraId="566C65B3" w14:textId="5FB230AA" w:rsidR="00C250F3" w:rsidRPr="00E47CC2" w:rsidRDefault="00E47CC2"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Ethics Committee of General University of Prague</w:t>
            </w:r>
          </w:p>
        </w:tc>
      </w:tr>
      <w:tr w:rsidR="00C250F3" w:rsidRPr="00E47CC2" w14:paraId="27A5D3BD"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none" w:sz="0" w:space="0" w:color="auto"/>
            </w:tcBorders>
            <w:shd w:val="clear" w:color="auto" w:fill="auto"/>
            <w:vAlign w:val="center"/>
          </w:tcPr>
          <w:p w14:paraId="4B85CF10" w14:textId="1989C8C1" w:rsidR="00C250F3" w:rsidRPr="00E47CC2" w:rsidRDefault="00C250F3" w:rsidP="00C250F3">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802</w:t>
            </w:r>
          </w:p>
        </w:tc>
        <w:tc>
          <w:tcPr>
            <w:tcW w:w="1705" w:type="pct"/>
            <w:shd w:val="clear" w:color="auto" w:fill="auto"/>
            <w:vAlign w:val="center"/>
          </w:tcPr>
          <w:p w14:paraId="67657F89" w14:textId="58F80EF0" w:rsidR="00C250F3" w:rsidRPr="00E47CC2" w:rsidRDefault="00570E43" w:rsidP="00C250F3">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Fakultni</w:t>
            </w:r>
            <w:proofErr w:type="spellEnd"/>
            <w:r w:rsidRPr="00E47CC2">
              <w:rPr>
                <w:color w:val="000000" w:themeColor="text1"/>
                <w:sz w:val="18"/>
                <w:szCs w:val="18"/>
                <w:lang w:val="en-GB"/>
              </w:rPr>
              <w:t xml:space="preserve"> </w:t>
            </w:r>
            <w:proofErr w:type="spellStart"/>
            <w:r w:rsidRPr="00E47CC2">
              <w:rPr>
                <w:color w:val="000000" w:themeColor="text1"/>
                <w:sz w:val="18"/>
                <w:szCs w:val="18"/>
                <w:lang w:val="en-GB"/>
              </w:rPr>
              <w:t>nemocnice</w:t>
            </w:r>
            <w:proofErr w:type="spellEnd"/>
            <w:r w:rsidRPr="00E47CC2">
              <w:rPr>
                <w:color w:val="000000" w:themeColor="text1"/>
                <w:sz w:val="18"/>
                <w:szCs w:val="18"/>
                <w:lang w:val="en-GB"/>
              </w:rPr>
              <w:t xml:space="preserve"> Olomouc [5]</w:t>
            </w:r>
          </w:p>
        </w:tc>
        <w:tc>
          <w:tcPr>
            <w:tcW w:w="1588" w:type="pct"/>
            <w:shd w:val="clear" w:color="auto" w:fill="auto"/>
            <w:vAlign w:val="center"/>
          </w:tcPr>
          <w:p w14:paraId="3BDAAC19" w14:textId="22C0C5A2" w:rsidR="00C250F3" w:rsidRPr="00E47CC2" w:rsidRDefault="00570E43" w:rsidP="00C250F3">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Bohuslav</w:t>
            </w:r>
            <w:r w:rsidR="0070581A">
              <w:rPr>
                <w:color w:val="000000" w:themeColor="text1"/>
                <w:sz w:val="18"/>
                <w:szCs w:val="18"/>
                <w:lang w:val="en-GB"/>
              </w:rPr>
              <w:t xml:space="preserve"> </w:t>
            </w:r>
            <w:proofErr w:type="spellStart"/>
            <w:r w:rsidRPr="00E47CC2">
              <w:rPr>
                <w:color w:val="000000" w:themeColor="text1"/>
                <w:sz w:val="18"/>
                <w:szCs w:val="18"/>
                <w:lang w:val="en-GB"/>
              </w:rPr>
              <w:t>Melichar</w:t>
            </w:r>
            <w:proofErr w:type="spellEnd"/>
          </w:p>
        </w:tc>
        <w:tc>
          <w:tcPr>
            <w:tcW w:w="1202" w:type="pct"/>
            <w:shd w:val="clear" w:color="auto" w:fill="auto"/>
            <w:vAlign w:val="center"/>
          </w:tcPr>
          <w:p w14:paraId="4F090230" w14:textId="7AE48D4B" w:rsidR="00C250F3" w:rsidRPr="00367B80" w:rsidRDefault="00E47CC2" w:rsidP="007501F4">
            <w:pPr>
              <w:spacing w:line="0" w:lineRule="atLeast"/>
              <w:jc w:val="left"/>
              <w:cnfStyle w:val="000000100000" w:firstRow="0" w:lastRow="0" w:firstColumn="0" w:lastColumn="0" w:oddVBand="0" w:evenVBand="0" w:oddHBand="1" w:evenHBand="0" w:firstRowFirstColumn="0" w:firstRowLastColumn="0" w:lastRowFirstColumn="0" w:lastRowLastColumn="0"/>
              <w:rPr>
                <w:sz w:val="18"/>
                <w:szCs w:val="18"/>
                <w:lang w:val="cs-CZ"/>
              </w:rPr>
            </w:pPr>
            <w:r w:rsidRPr="00367B80">
              <w:rPr>
                <w:sz w:val="18"/>
                <w:szCs w:val="18"/>
                <w:lang w:val="cs-CZ"/>
              </w:rPr>
              <w:t>Etická komice FN Olomouc</w:t>
            </w:r>
          </w:p>
        </w:tc>
      </w:tr>
      <w:tr w:rsidR="00570E43" w:rsidRPr="00E47CC2" w14:paraId="6ED77591"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single" w:sz="4" w:space="0" w:color="auto"/>
            </w:tcBorders>
            <w:shd w:val="clear" w:color="auto" w:fill="auto"/>
            <w:vAlign w:val="center"/>
          </w:tcPr>
          <w:p w14:paraId="70F2C74A" w14:textId="543A207D" w:rsidR="00570E43" w:rsidRPr="00E47CC2" w:rsidRDefault="00570E43" w:rsidP="00C250F3">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904</w:t>
            </w:r>
          </w:p>
        </w:tc>
        <w:tc>
          <w:tcPr>
            <w:tcW w:w="1705" w:type="pct"/>
            <w:tcBorders>
              <w:bottom w:val="single" w:sz="4" w:space="0" w:color="auto"/>
            </w:tcBorders>
            <w:shd w:val="clear" w:color="auto" w:fill="auto"/>
            <w:vAlign w:val="center"/>
          </w:tcPr>
          <w:p w14:paraId="2AEB2CE5" w14:textId="77777777" w:rsidR="00570E43" w:rsidRPr="00E47CC2" w:rsidRDefault="00570E43" w:rsidP="00570E43">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Moscow State Budget Institution of</w:t>
            </w:r>
          </w:p>
          <w:p w14:paraId="2CD4502E" w14:textId="3C5E92C8" w:rsidR="00570E43" w:rsidRPr="00E47CC2" w:rsidRDefault="00570E43" w:rsidP="00570E43">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 xml:space="preserve">Health Moscow Clinical Scientific </w:t>
            </w:r>
            <w:proofErr w:type="spellStart"/>
            <w:r w:rsidRPr="00E47CC2">
              <w:rPr>
                <w:color w:val="000000" w:themeColor="text1"/>
                <w:sz w:val="18"/>
                <w:szCs w:val="18"/>
                <w:lang w:val="en-GB"/>
              </w:rPr>
              <w:t>Center</w:t>
            </w:r>
            <w:proofErr w:type="spellEnd"/>
            <w:r w:rsidRPr="00E47CC2">
              <w:rPr>
                <w:color w:val="000000" w:themeColor="text1"/>
                <w:sz w:val="18"/>
                <w:szCs w:val="18"/>
                <w:lang w:val="en-GB"/>
              </w:rPr>
              <w:t>, Moscow Department of Health [7]</w:t>
            </w:r>
          </w:p>
        </w:tc>
        <w:tc>
          <w:tcPr>
            <w:tcW w:w="1588" w:type="pct"/>
            <w:shd w:val="clear" w:color="auto" w:fill="auto"/>
            <w:vAlign w:val="center"/>
          </w:tcPr>
          <w:p w14:paraId="6814B692" w14:textId="390CA9EB" w:rsidR="00570E43" w:rsidRPr="00E47CC2" w:rsidRDefault="00570E43" w:rsidP="00C250F3">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Mikhail </w:t>
            </w:r>
            <w:proofErr w:type="spellStart"/>
            <w:r w:rsidRPr="00E47CC2">
              <w:rPr>
                <w:color w:val="000000" w:themeColor="text1"/>
                <w:sz w:val="18"/>
                <w:szCs w:val="18"/>
                <w:lang w:val="en-GB"/>
              </w:rPr>
              <w:t>Byakhov</w:t>
            </w:r>
            <w:proofErr w:type="spellEnd"/>
          </w:p>
        </w:tc>
        <w:tc>
          <w:tcPr>
            <w:tcW w:w="1202" w:type="pct"/>
            <w:shd w:val="clear" w:color="auto" w:fill="auto"/>
            <w:vAlign w:val="center"/>
          </w:tcPr>
          <w:p w14:paraId="7DACF246" w14:textId="40B0180D" w:rsidR="00570E43" w:rsidRPr="00E47CC2" w:rsidRDefault="00E47CC2"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 xml:space="preserve">Local Ethics Committee at the Moscow Clinical Research and Practical Centre </w:t>
            </w:r>
            <w:proofErr w:type="spellStart"/>
            <w:r w:rsidRPr="00E47CC2">
              <w:rPr>
                <w:color w:val="000000" w:themeColor="text1"/>
                <w:sz w:val="18"/>
                <w:szCs w:val="18"/>
                <w:lang w:val="en-GB"/>
              </w:rPr>
              <w:t>n.a.</w:t>
            </w:r>
            <w:proofErr w:type="spellEnd"/>
            <w:r w:rsidRPr="00E47CC2">
              <w:rPr>
                <w:color w:val="000000" w:themeColor="text1"/>
                <w:sz w:val="18"/>
                <w:szCs w:val="18"/>
                <w:lang w:val="en-GB"/>
              </w:rPr>
              <w:t xml:space="preserve"> A.S. </w:t>
            </w:r>
            <w:proofErr w:type="spellStart"/>
            <w:r w:rsidRPr="00E47CC2">
              <w:rPr>
                <w:color w:val="000000" w:themeColor="text1"/>
                <w:sz w:val="18"/>
                <w:szCs w:val="18"/>
                <w:lang w:val="en-GB"/>
              </w:rPr>
              <w:t>Loginov</w:t>
            </w:r>
            <w:proofErr w:type="spellEnd"/>
          </w:p>
        </w:tc>
      </w:tr>
      <w:tr w:rsidR="00570E43" w:rsidRPr="00E47CC2" w14:paraId="7ECC2588"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single" w:sz="4" w:space="0" w:color="auto"/>
            </w:tcBorders>
            <w:shd w:val="clear" w:color="auto" w:fill="auto"/>
            <w:vAlign w:val="center"/>
          </w:tcPr>
          <w:p w14:paraId="62331B33" w14:textId="5960E590" w:rsidR="00570E43" w:rsidRPr="00E47CC2" w:rsidRDefault="00570E43" w:rsidP="00C250F3">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905</w:t>
            </w:r>
          </w:p>
        </w:tc>
        <w:tc>
          <w:tcPr>
            <w:tcW w:w="1705" w:type="pct"/>
            <w:tcBorders>
              <w:bottom w:val="single" w:sz="4" w:space="0" w:color="auto"/>
            </w:tcBorders>
            <w:shd w:val="clear" w:color="auto" w:fill="auto"/>
            <w:vAlign w:val="center"/>
          </w:tcPr>
          <w:p w14:paraId="5DA74FFD" w14:textId="04272932" w:rsidR="00570E43" w:rsidRPr="00E47CC2" w:rsidRDefault="00570E43" w:rsidP="00570E43">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Republican Clinical Oncology Dispensary Ministry of Health of Tatarstan, Kazan [3]</w:t>
            </w:r>
          </w:p>
        </w:tc>
        <w:tc>
          <w:tcPr>
            <w:tcW w:w="1588" w:type="pct"/>
            <w:shd w:val="clear" w:color="auto" w:fill="auto"/>
            <w:vAlign w:val="center"/>
          </w:tcPr>
          <w:p w14:paraId="76B47C4A" w14:textId="14F700F2" w:rsidR="00570E43" w:rsidRPr="00E47CC2" w:rsidRDefault="00570E43" w:rsidP="00C250F3">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w:t>
            </w:r>
            <w:proofErr w:type="spellStart"/>
            <w:r w:rsidRPr="00E47CC2">
              <w:rPr>
                <w:color w:val="000000" w:themeColor="text1"/>
                <w:sz w:val="18"/>
                <w:szCs w:val="18"/>
                <w:lang w:val="en-GB"/>
              </w:rPr>
              <w:t>Guzel</w:t>
            </w:r>
            <w:proofErr w:type="spellEnd"/>
            <w:r w:rsidRPr="00E47CC2">
              <w:rPr>
                <w:color w:val="000000" w:themeColor="text1"/>
                <w:sz w:val="18"/>
                <w:szCs w:val="18"/>
                <w:lang w:val="en-GB"/>
              </w:rPr>
              <w:t xml:space="preserve"> </w:t>
            </w:r>
            <w:proofErr w:type="spellStart"/>
            <w:r w:rsidRPr="00E47CC2">
              <w:rPr>
                <w:color w:val="000000" w:themeColor="text1"/>
                <w:sz w:val="18"/>
                <w:szCs w:val="18"/>
                <w:lang w:val="en-GB"/>
              </w:rPr>
              <w:t>Mukhametshina</w:t>
            </w:r>
            <w:proofErr w:type="spellEnd"/>
          </w:p>
        </w:tc>
        <w:tc>
          <w:tcPr>
            <w:tcW w:w="1202" w:type="pct"/>
            <w:shd w:val="clear" w:color="auto" w:fill="auto"/>
            <w:vAlign w:val="center"/>
          </w:tcPr>
          <w:p w14:paraId="05112BDB" w14:textId="33A623CD" w:rsidR="00570E43" w:rsidRPr="00E47CC2" w:rsidRDefault="00E47CC2"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Local Ethics Committee of the State Autonomous Healthcare Institution “Republic Clinical Oncology Dispensary of the Ministry of Healthcare of the Republic of Tatarstan”</w:t>
            </w:r>
          </w:p>
        </w:tc>
      </w:tr>
      <w:tr w:rsidR="00C250F3" w:rsidRPr="00E47CC2" w14:paraId="010E2CAF"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single" w:sz="4" w:space="0" w:color="auto"/>
            </w:tcBorders>
            <w:shd w:val="clear" w:color="auto" w:fill="auto"/>
            <w:vAlign w:val="center"/>
            <w:hideMark/>
          </w:tcPr>
          <w:p w14:paraId="1FB8CD82" w14:textId="73B7437E" w:rsidR="00C250F3" w:rsidRPr="00E47CC2" w:rsidRDefault="00570E43" w:rsidP="00C250F3">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906</w:t>
            </w:r>
          </w:p>
        </w:tc>
        <w:tc>
          <w:tcPr>
            <w:tcW w:w="1705" w:type="pct"/>
            <w:tcBorders>
              <w:bottom w:val="single" w:sz="4" w:space="0" w:color="auto"/>
            </w:tcBorders>
            <w:shd w:val="clear" w:color="auto" w:fill="auto"/>
            <w:vAlign w:val="center"/>
            <w:hideMark/>
          </w:tcPr>
          <w:p w14:paraId="0FB0B185" w14:textId="758807E7" w:rsidR="00C250F3" w:rsidRPr="00E47CC2" w:rsidRDefault="00570E43" w:rsidP="00570E43">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 xml:space="preserve">St-Pet. Clinical Scientific and Applied </w:t>
            </w:r>
            <w:proofErr w:type="spellStart"/>
            <w:r w:rsidRPr="00E47CC2">
              <w:rPr>
                <w:color w:val="000000" w:themeColor="text1"/>
                <w:sz w:val="18"/>
                <w:szCs w:val="18"/>
                <w:lang w:val="en-GB"/>
              </w:rPr>
              <w:t>Center</w:t>
            </w:r>
            <w:proofErr w:type="spellEnd"/>
            <w:r w:rsidRPr="00E47CC2">
              <w:rPr>
                <w:color w:val="000000" w:themeColor="text1"/>
                <w:sz w:val="18"/>
                <w:szCs w:val="18"/>
                <w:lang w:val="en-GB"/>
              </w:rPr>
              <w:t xml:space="preserve"> of Specialized Medical Care Saint-Petersburg,</w:t>
            </w:r>
            <w:r w:rsidR="00C250F3" w:rsidRPr="00E47CC2">
              <w:rPr>
                <w:color w:val="000000" w:themeColor="text1"/>
                <w:sz w:val="18"/>
                <w:szCs w:val="18"/>
                <w:lang w:val="en-GB"/>
              </w:rPr>
              <w:t xml:space="preserve"> </w:t>
            </w:r>
            <w:r w:rsidR="00C250F3" w:rsidRPr="00E47CC2">
              <w:rPr>
                <w:color w:val="000000" w:themeColor="text1"/>
                <w:sz w:val="18"/>
                <w:szCs w:val="18"/>
              </w:rPr>
              <w:t>[</w:t>
            </w:r>
            <w:r w:rsidRPr="00E47CC2">
              <w:rPr>
                <w:color w:val="000000" w:themeColor="text1"/>
                <w:sz w:val="18"/>
                <w:szCs w:val="18"/>
              </w:rPr>
              <w:t>9</w:t>
            </w:r>
            <w:r w:rsidR="00C250F3" w:rsidRPr="00E47CC2">
              <w:rPr>
                <w:color w:val="000000" w:themeColor="text1"/>
                <w:sz w:val="18"/>
                <w:szCs w:val="18"/>
              </w:rPr>
              <w:t>]</w:t>
            </w:r>
          </w:p>
        </w:tc>
        <w:tc>
          <w:tcPr>
            <w:tcW w:w="1588" w:type="pct"/>
            <w:shd w:val="clear" w:color="auto" w:fill="auto"/>
            <w:vAlign w:val="center"/>
            <w:hideMark/>
          </w:tcPr>
          <w:p w14:paraId="08970520" w14:textId="42E8F192" w:rsidR="00C250F3" w:rsidRPr="00E47CC2" w:rsidRDefault="00C250F3" w:rsidP="00C250F3">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roofErr w:type="spellStart"/>
            <w:r w:rsidRPr="00E47CC2">
              <w:rPr>
                <w:color w:val="000000" w:themeColor="text1"/>
                <w:sz w:val="18"/>
                <w:szCs w:val="18"/>
                <w:lang w:val="en-GB"/>
              </w:rPr>
              <w:t>Dr.</w:t>
            </w:r>
            <w:proofErr w:type="spellEnd"/>
            <w:r w:rsidRPr="00E47CC2">
              <w:rPr>
                <w:color w:val="000000" w:themeColor="text1"/>
                <w:sz w:val="18"/>
                <w:szCs w:val="18"/>
                <w:lang w:val="en-GB"/>
              </w:rPr>
              <w:t xml:space="preserve"> </w:t>
            </w:r>
            <w:r w:rsidR="00570E43" w:rsidRPr="00E47CC2">
              <w:rPr>
                <w:color w:val="000000" w:themeColor="text1"/>
                <w:sz w:val="18"/>
                <w:szCs w:val="18"/>
                <w:lang w:val="en-GB"/>
              </w:rPr>
              <w:t xml:space="preserve">Vladimir </w:t>
            </w:r>
            <w:proofErr w:type="spellStart"/>
            <w:r w:rsidR="00570E43" w:rsidRPr="00E47CC2">
              <w:rPr>
                <w:color w:val="000000" w:themeColor="text1"/>
                <w:sz w:val="18"/>
                <w:szCs w:val="18"/>
                <w:lang w:val="en-GB"/>
              </w:rPr>
              <w:t>Moiseenko</w:t>
            </w:r>
            <w:proofErr w:type="spellEnd"/>
            <w:r w:rsidR="00570E43" w:rsidRPr="00E47CC2">
              <w:rPr>
                <w:color w:val="000000" w:themeColor="text1"/>
                <w:sz w:val="18"/>
                <w:szCs w:val="18"/>
                <w:lang w:val="en-GB"/>
              </w:rPr>
              <w:t>.</w:t>
            </w:r>
          </w:p>
        </w:tc>
        <w:tc>
          <w:tcPr>
            <w:tcW w:w="1202" w:type="pct"/>
            <w:shd w:val="clear" w:color="auto" w:fill="auto"/>
            <w:vAlign w:val="center"/>
          </w:tcPr>
          <w:p w14:paraId="24AC4CE1" w14:textId="05F46933" w:rsidR="00C250F3" w:rsidRPr="00E47CC2" w:rsidRDefault="00570E43" w:rsidP="007501F4">
            <w:pPr>
              <w:spacing w:before="80" w:after="80"/>
              <w:jc w:val="left"/>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 xml:space="preserve">Saint-Petersburg Government Committee of Healthcare State Budgetary Institution of </w:t>
            </w:r>
            <w:proofErr w:type="spellStart"/>
            <w:proofErr w:type="gramStart"/>
            <w:r w:rsidRPr="00E47CC2">
              <w:rPr>
                <w:color w:val="000000" w:themeColor="text1"/>
                <w:sz w:val="18"/>
                <w:szCs w:val="18"/>
                <w:lang w:val="en-GB"/>
              </w:rPr>
              <w:t>Healthcare“</w:t>
            </w:r>
            <w:proofErr w:type="gramEnd"/>
            <w:r w:rsidRPr="00E47CC2">
              <w:rPr>
                <w:color w:val="000000" w:themeColor="text1"/>
                <w:sz w:val="18"/>
                <w:szCs w:val="18"/>
                <w:lang w:val="en-GB"/>
              </w:rPr>
              <w:t>Saint</w:t>
            </w:r>
            <w:proofErr w:type="spellEnd"/>
            <w:r w:rsidRPr="00E47CC2">
              <w:rPr>
                <w:color w:val="000000" w:themeColor="text1"/>
                <w:sz w:val="18"/>
                <w:szCs w:val="18"/>
                <w:lang w:val="en-GB"/>
              </w:rPr>
              <w:t xml:space="preserve">-Petersburg Clinical Scientific and Practical </w:t>
            </w:r>
            <w:proofErr w:type="spellStart"/>
            <w:r w:rsidRPr="00E47CC2">
              <w:rPr>
                <w:color w:val="000000" w:themeColor="text1"/>
                <w:sz w:val="18"/>
                <w:szCs w:val="18"/>
                <w:lang w:val="en-GB"/>
              </w:rPr>
              <w:t>Center</w:t>
            </w:r>
            <w:proofErr w:type="spellEnd"/>
            <w:r w:rsidRPr="00E47CC2">
              <w:rPr>
                <w:color w:val="000000" w:themeColor="text1"/>
                <w:sz w:val="18"/>
                <w:szCs w:val="18"/>
                <w:lang w:val="en-GB"/>
              </w:rPr>
              <w:t xml:space="preserve"> of specialized medical services (oncology)”</w:t>
            </w:r>
          </w:p>
        </w:tc>
      </w:tr>
      <w:tr w:rsidR="00570E43" w:rsidRPr="00E47CC2" w14:paraId="0A193AB8" w14:textId="77777777" w:rsidTr="00570E4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none" w:sz="0" w:space="0" w:color="auto"/>
              <w:left w:val="none" w:sz="0" w:space="0" w:color="auto"/>
              <w:bottom w:val="single" w:sz="4" w:space="0" w:color="auto"/>
            </w:tcBorders>
            <w:shd w:val="clear" w:color="auto" w:fill="auto"/>
            <w:vAlign w:val="center"/>
          </w:tcPr>
          <w:p w14:paraId="076C7767" w14:textId="3A18D3C5" w:rsidR="00570E43" w:rsidRPr="00E47CC2" w:rsidDel="00570E43" w:rsidRDefault="00570E43" w:rsidP="00C250F3">
            <w:pPr>
              <w:spacing w:before="80" w:after="80"/>
              <w:jc w:val="center"/>
              <w:rPr>
                <w:i w:val="0"/>
                <w:iCs w:val="0"/>
                <w:color w:val="000000" w:themeColor="text1"/>
                <w:sz w:val="18"/>
                <w:szCs w:val="18"/>
                <w:lang w:val="en-GB"/>
              </w:rPr>
            </w:pPr>
            <w:r w:rsidRPr="00E47CC2">
              <w:rPr>
                <w:i w:val="0"/>
                <w:iCs w:val="0"/>
                <w:color w:val="000000" w:themeColor="text1"/>
                <w:sz w:val="18"/>
                <w:szCs w:val="18"/>
                <w:lang w:val="en-GB"/>
              </w:rPr>
              <w:t>907</w:t>
            </w:r>
          </w:p>
        </w:tc>
        <w:tc>
          <w:tcPr>
            <w:tcW w:w="1705" w:type="pct"/>
            <w:tcBorders>
              <w:bottom w:val="single" w:sz="4" w:space="0" w:color="auto"/>
            </w:tcBorders>
            <w:shd w:val="clear" w:color="auto" w:fill="auto"/>
            <w:vAlign w:val="center"/>
          </w:tcPr>
          <w:p w14:paraId="672D6469" w14:textId="472CB24B" w:rsidR="00570E43" w:rsidRPr="00E47CC2" w:rsidRDefault="00570E43" w:rsidP="00570E43">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 xml:space="preserve">Pyatigorsk Oncology </w:t>
            </w:r>
            <w:proofErr w:type="spellStart"/>
            <w:r w:rsidRPr="00E47CC2">
              <w:rPr>
                <w:color w:val="000000" w:themeColor="text1"/>
                <w:sz w:val="18"/>
                <w:szCs w:val="18"/>
                <w:lang w:val="en-GB"/>
              </w:rPr>
              <w:t>Dispansery</w:t>
            </w:r>
            <w:proofErr w:type="spellEnd"/>
            <w:r w:rsidRPr="00E47CC2">
              <w:rPr>
                <w:color w:val="000000" w:themeColor="text1"/>
                <w:sz w:val="18"/>
                <w:szCs w:val="18"/>
                <w:lang w:val="en-GB"/>
              </w:rPr>
              <w:t xml:space="preserve"> [12]</w:t>
            </w:r>
          </w:p>
        </w:tc>
        <w:tc>
          <w:tcPr>
            <w:tcW w:w="1588" w:type="pct"/>
            <w:shd w:val="clear" w:color="auto" w:fill="auto"/>
            <w:vAlign w:val="center"/>
          </w:tcPr>
          <w:p w14:paraId="5372009C" w14:textId="74AEA911" w:rsidR="00570E43" w:rsidRPr="00367B80" w:rsidRDefault="00570E43" w:rsidP="00C250F3">
            <w:pPr>
              <w:spacing w:before="80" w:after="80"/>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s-ES"/>
              </w:rPr>
            </w:pPr>
            <w:r w:rsidRPr="00367B80">
              <w:rPr>
                <w:color w:val="000000" w:themeColor="text1"/>
                <w:sz w:val="18"/>
                <w:szCs w:val="18"/>
                <w:lang w:val="es-ES"/>
              </w:rPr>
              <w:t xml:space="preserve">Dr. Vladimir </w:t>
            </w:r>
            <w:proofErr w:type="spellStart"/>
            <w:r w:rsidRPr="00367B80">
              <w:rPr>
                <w:color w:val="000000" w:themeColor="text1"/>
                <w:sz w:val="18"/>
                <w:szCs w:val="18"/>
                <w:lang w:val="es-ES"/>
              </w:rPr>
              <w:t>Vladimirov</w:t>
            </w:r>
            <w:proofErr w:type="spellEnd"/>
          </w:p>
        </w:tc>
        <w:tc>
          <w:tcPr>
            <w:tcW w:w="1202" w:type="pct"/>
            <w:shd w:val="clear" w:color="auto" w:fill="auto"/>
            <w:vAlign w:val="center"/>
          </w:tcPr>
          <w:p w14:paraId="578E5329" w14:textId="312A3BDB" w:rsidR="00570E43" w:rsidRPr="00E47CC2" w:rsidRDefault="00570E43" w:rsidP="007501F4">
            <w:pPr>
              <w:spacing w:before="80" w:after="80"/>
              <w:jc w:val="left"/>
              <w:cnfStyle w:val="000000100000" w:firstRow="0" w:lastRow="0" w:firstColumn="0" w:lastColumn="0" w:oddVBand="0" w:evenVBand="0" w:oddHBand="1" w:evenHBand="0" w:firstRowFirstColumn="0" w:firstRowLastColumn="0" w:lastRowFirstColumn="0" w:lastRowLastColumn="0"/>
              <w:rPr>
                <w:color w:val="000000" w:themeColor="text1"/>
                <w:sz w:val="18"/>
                <w:szCs w:val="18"/>
                <w:lang w:val="en-GB"/>
              </w:rPr>
            </w:pPr>
            <w:r w:rsidRPr="00E47CC2">
              <w:rPr>
                <w:color w:val="000000" w:themeColor="text1"/>
                <w:sz w:val="18"/>
                <w:szCs w:val="18"/>
                <w:lang w:val="en-GB"/>
              </w:rPr>
              <w:t>Local Ethics Committee State Budgetary Health Institution Stavropol Territory (SBHI ST) “</w:t>
            </w:r>
            <w:proofErr w:type="spellStart"/>
            <w:r w:rsidRPr="00E47CC2">
              <w:rPr>
                <w:color w:val="000000" w:themeColor="text1"/>
                <w:sz w:val="18"/>
                <w:szCs w:val="18"/>
                <w:lang w:val="en-GB"/>
              </w:rPr>
              <w:t>Pyatigorskiy</w:t>
            </w:r>
            <w:proofErr w:type="spellEnd"/>
            <w:r w:rsidRPr="00E47CC2">
              <w:rPr>
                <w:color w:val="000000" w:themeColor="text1"/>
                <w:sz w:val="18"/>
                <w:szCs w:val="18"/>
                <w:lang w:val="en-GB"/>
              </w:rPr>
              <w:t xml:space="preserve"> oncology dispensary”</w:t>
            </w:r>
          </w:p>
        </w:tc>
      </w:tr>
      <w:tr w:rsidR="00C250F3" w:rsidRPr="00E47CC2" w14:paraId="3FED3436" w14:textId="77777777" w:rsidTr="00570E43">
        <w:trPr>
          <w:trHeight w:val="406"/>
          <w:jc w:val="center"/>
        </w:trPr>
        <w:tc>
          <w:tcPr>
            <w:cnfStyle w:val="001000000000" w:firstRow="0" w:lastRow="0" w:firstColumn="1" w:lastColumn="0" w:oddVBand="0" w:evenVBand="0" w:oddHBand="0" w:evenHBand="0" w:firstRowFirstColumn="0" w:firstRowLastColumn="0" w:lastRowFirstColumn="0" w:lastRowLastColumn="0"/>
            <w:tcW w:w="505" w:type="pct"/>
            <w:tcBorders>
              <w:top w:val="single" w:sz="4" w:space="0" w:color="auto"/>
              <w:left w:val="none" w:sz="0" w:space="0" w:color="auto"/>
              <w:bottom w:val="single" w:sz="4" w:space="0" w:color="auto"/>
            </w:tcBorders>
            <w:shd w:val="clear" w:color="auto" w:fill="auto"/>
            <w:vAlign w:val="center"/>
          </w:tcPr>
          <w:p w14:paraId="17D4D9FE" w14:textId="77777777" w:rsidR="00C250F3" w:rsidRPr="00E47CC2" w:rsidRDefault="00C250F3" w:rsidP="00C250F3">
            <w:pPr>
              <w:spacing w:before="80" w:after="80"/>
              <w:rPr>
                <w:i w:val="0"/>
                <w:iCs w:val="0"/>
                <w:color w:val="000000" w:themeColor="text1"/>
                <w:sz w:val="18"/>
                <w:szCs w:val="18"/>
                <w:lang w:val="en-GB"/>
              </w:rPr>
            </w:pPr>
          </w:p>
        </w:tc>
        <w:tc>
          <w:tcPr>
            <w:tcW w:w="1705" w:type="pct"/>
            <w:tcBorders>
              <w:top w:val="single" w:sz="4" w:space="0" w:color="auto"/>
              <w:bottom w:val="single" w:sz="4" w:space="0" w:color="auto"/>
            </w:tcBorders>
            <w:shd w:val="clear" w:color="auto" w:fill="auto"/>
            <w:vAlign w:val="center"/>
          </w:tcPr>
          <w:p w14:paraId="5BBBA364" w14:textId="576E8B6D" w:rsidR="00C250F3" w:rsidRPr="00E47CC2" w:rsidRDefault="00C250F3" w:rsidP="00C250F3">
            <w:pPr>
              <w:spacing w:before="80" w:after="80"/>
              <w:cnfStyle w:val="000000000000" w:firstRow="0" w:lastRow="0" w:firstColumn="0" w:lastColumn="0" w:oddVBand="0" w:evenVBand="0" w:oddHBand="0" w:evenHBand="0" w:firstRowFirstColumn="0" w:firstRowLastColumn="0" w:lastRowFirstColumn="0" w:lastRowLastColumn="0"/>
              <w:rPr>
                <w:b/>
                <w:bCs/>
                <w:color w:val="000000" w:themeColor="text1"/>
                <w:sz w:val="18"/>
                <w:szCs w:val="18"/>
                <w:lang w:val="en-GB"/>
              </w:rPr>
            </w:pPr>
            <w:r w:rsidRPr="00E47CC2">
              <w:rPr>
                <w:b/>
                <w:bCs/>
                <w:i/>
                <w:iCs/>
                <w:color w:val="000000" w:themeColor="text1"/>
                <w:sz w:val="18"/>
                <w:szCs w:val="18"/>
                <w:lang w:val="en-GB"/>
              </w:rPr>
              <w:t>Total of Recruiting Sites</w:t>
            </w:r>
            <w:r w:rsidRPr="00E47CC2">
              <w:rPr>
                <w:b/>
                <w:bCs/>
                <w:color w:val="000000" w:themeColor="text1"/>
                <w:sz w:val="18"/>
                <w:szCs w:val="18"/>
                <w:lang w:val="en-GB"/>
              </w:rPr>
              <w:t xml:space="preserve">: </w:t>
            </w:r>
            <w:r w:rsidR="00AD1A93" w:rsidRPr="00E47CC2">
              <w:rPr>
                <w:b/>
                <w:color w:val="000000" w:themeColor="text1"/>
                <w:sz w:val="18"/>
                <w:szCs w:val="18"/>
                <w:lang w:val="en-GB"/>
              </w:rPr>
              <w:t>4</w:t>
            </w:r>
            <w:r w:rsidR="00AD1A93">
              <w:rPr>
                <w:b/>
                <w:color w:val="000000" w:themeColor="text1"/>
                <w:sz w:val="18"/>
                <w:szCs w:val="18"/>
                <w:lang w:val="en-GB"/>
              </w:rPr>
              <w:t>7</w:t>
            </w:r>
          </w:p>
        </w:tc>
        <w:tc>
          <w:tcPr>
            <w:tcW w:w="2790" w:type="pct"/>
            <w:gridSpan w:val="2"/>
            <w:shd w:val="clear" w:color="auto" w:fill="auto"/>
            <w:vAlign w:val="center"/>
          </w:tcPr>
          <w:p w14:paraId="4878088F" w14:textId="0F67DBE8" w:rsidR="00C250F3" w:rsidRPr="00E47CC2" w:rsidRDefault="00C250F3" w:rsidP="00C250F3">
            <w:pPr>
              <w:spacing w:before="80" w:after="80"/>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00E47CC2">
              <w:rPr>
                <w:b/>
                <w:bCs/>
                <w:i/>
                <w:iCs/>
                <w:color w:val="000000" w:themeColor="text1"/>
                <w:sz w:val="18"/>
                <w:szCs w:val="18"/>
                <w:lang w:val="en-GB"/>
              </w:rPr>
              <w:t xml:space="preserve">Total of randomized patients: </w:t>
            </w:r>
            <w:r w:rsidR="00AD1A93">
              <w:rPr>
                <w:b/>
                <w:bCs/>
                <w:i/>
                <w:iCs/>
                <w:color w:val="000000" w:themeColor="text1"/>
                <w:sz w:val="18"/>
                <w:szCs w:val="18"/>
                <w:lang w:val="en-GB"/>
              </w:rPr>
              <w:t>486</w:t>
            </w:r>
          </w:p>
        </w:tc>
      </w:tr>
    </w:tbl>
    <w:p w14:paraId="09F8C26E" w14:textId="77777777" w:rsidR="00576FE1" w:rsidRPr="00DD66C1" w:rsidRDefault="00576FE1" w:rsidP="00576FE1">
      <w:pPr>
        <w:ind w:left="-142" w:right="142"/>
        <w:rPr>
          <w:b/>
          <w:lang w:val="en-GB"/>
        </w:rPr>
      </w:pPr>
    </w:p>
    <w:p w14:paraId="27479C07" w14:textId="77777777" w:rsidR="00576FE1" w:rsidRPr="00DD66C1" w:rsidRDefault="00576FE1" w:rsidP="00576FE1">
      <w:pPr>
        <w:rPr>
          <w:b/>
          <w:lang w:val="en-GB"/>
        </w:rPr>
      </w:pPr>
    </w:p>
    <w:p w14:paraId="01397683" w14:textId="77777777" w:rsidR="00576FE1" w:rsidRDefault="00576FE1" w:rsidP="00576FE1">
      <w:pPr>
        <w:pStyle w:val="FigureTitle"/>
        <w:sectPr w:rsidR="00576FE1" w:rsidSect="00B80F8B">
          <w:headerReference w:type="default" r:id="rId21"/>
          <w:footerReference w:type="default" r:id="rId22"/>
          <w:pgSz w:w="11906" w:h="16838"/>
          <w:pgMar w:top="1418" w:right="991" w:bottom="1134" w:left="1701" w:header="708" w:footer="708" w:gutter="0"/>
          <w:cols w:space="708"/>
          <w:docGrid w:linePitch="360"/>
        </w:sectPr>
      </w:pPr>
    </w:p>
    <w:p w14:paraId="14843B63" w14:textId="65FD173B" w:rsidR="00576FE1" w:rsidRDefault="002E4060" w:rsidP="00576FE1">
      <w:pPr>
        <w:pStyle w:val="BodyText12"/>
        <w:keepNext/>
        <w:spacing w:after="0" w:line="240" w:lineRule="auto"/>
        <w:ind w:left="0"/>
        <w:jc w:val="left"/>
        <w:rPr>
          <w:rFonts w:ascii="Arial" w:hAnsi="Arial" w:cs="Arial"/>
          <w:noProof/>
          <w:sz w:val="20"/>
          <w:lang w:val="en-GB" w:eastAsia="en-GB"/>
        </w:rPr>
      </w:pPr>
      <w:r w:rsidRPr="002E4060">
        <w:rPr>
          <w:rFonts w:ascii="Arial" w:hAnsi="Arial" w:cs="Arial"/>
          <w:noProof/>
          <w:sz w:val="20"/>
          <w:lang w:val="en-GB" w:eastAsia="en-GB"/>
        </w:rPr>
        <w:lastRenderedPageBreak/>
        <w:t xml:space="preserve"> </w:t>
      </w:r>
    </w:p>
    <w:p w14:paraId="577A8596" w14:textId="77777777" w:rsidR="00576FE1" w:rsidRDefault="00576FE1" w:rsidP="00576FE1">
      <w:pPr>
        <w:pStyle w:val="TableTitle"/>
      </w:pPr>
    </w:p>
    <w:p w14:paraId="1263B6CB" w14:textId="46C10A82" w:rsidR="00576FE1" w:rsidRDefault="00576FE1" w:rsidP="002221CF">
      <w:pPr>
        <w:pStyle w:val="Descripcin"/>
        <w:keepNext/>
        <w:outlineLvl w:val="0"/>
      </w:pPr>
      <w:bookmarkStart w:id="619" w:name="_Ref52425257"/>
      <w:bookmarkStart w:id="620" w:name="_Toc52046469"/>
      <w:bookmarkStart w:id="621" w:name="_Toc52446203"/>
      <w:bookmarkStart w:id="622" w:name="_Toc52468160"/>
      <w:r>
        <w:t xml:space="preserve">Table </w:t>
      </w:r>
      <w:r>
        <w:fldChar w:fldCharType="begin"/>
      </w:r>
      <w:r>
        <w:instrText xml:space="preserve"> SEQ Table \* ARABIC </w:instrText>
      </w:r>
      <w:r>
        <w:fldChar w:fldCharType="separate"/>
      </w:r>
      <w:r w:rsidR="00773549">
        <w:rPr>
          <w:noProof/>
        </w:rPr>
        <w:t>2</w:t>
      </w:r>
      <w:r>
        <w:fldChar w:fldCharType="end"/>
      </w:r>
      <w:bookmarkEnd w:id="619"/>
      <w:r>
        <w:t xml:space="preserve">. </w:t>
      </w:r>
      <w:r w:rsidRPr="009A2E96">
        <w:t>Examples of CYP3A inhibitors/inducers.</w:t>
      </w:r>
      <w:bookmarkEnd w:id="620"/>
      <w:bookmarkEnd w:id="621"/>
      <w:bookmarkEnd w:id="622"/>
    </w:p>
    <w:tbl>
      <w:tblPr>
        <w:tblW w:w="0" w:type="auto"/>
        <w:tblBorders>
          <w:top w:val="single" w:sz="4" w:space="0" w:color="auto"/>
          <w:bottom w:val="single" w:sz="4" w:space="0" w:color="auto"/>
          <w:insideH w:val="single" w:sz="4" w:space="0" w:color="auto"/>
        </w:tblBorders>
        <w:shd w:val="clear" w:color="auto" w:fill="FFFFFF"/>
        <w:tblLook w:val="04A0" w:firstRow="1" w:lastRow="0" w:firstColumn="1" w:lastColumn="0" w:noHBand="0" w:noVBand="1"/>
      </w:tblPr>
      <w:tblGrid>
        <w:gridCol w:w="3115"/>
        <w:gridCol w:w="2805"/>
        <w:gridCol w:w="2576"/>
      </w:tblGrid>
      <w:tr w:rsidR="00576FE1" w:rsidRPr="008E7B22" w14:paraId="10B78112" w14:textId="77777777" w:rsidTr="00115CD6">
        <w:tc>
          <w:tcPr>
            <w:tcW w:w="3115" w:type="dxa"/>
            <w:tcBorders>
              <w:top w:val="single" w:sz="4" w:space="0" w:color="auto"/>
              <w:left w:val="nil"/>
              <w:bottom w:val="single" w:sz="4" w:space="0" w:color="auto"/>
              <w:right w:val="nil"/>
            </w:tcBorders>
            <w:shd w:val="clear" w:color="auto" w:fill="FFFFFF"/>
            <w:vAlign w:val="center"/>
            <w:hideMark/>
          </w:tcPr>
          <w:p w14:paraId="1668416C" w14:textId="77777777" w:rsidR="00576FE1" w:rsidRPr="00DD66C1" w:rsidRDefault="00576FE1" w:rsidP="00115CD6">
            <w:pPr>
              <w:spacing w:before="120"/>
              <w:jc w:val="center"/>
              <w:rPr>
                <w:b/>
                <w:sz w:val="18"/>
                <w:szCs w:val="18"/>
                <w:lang w:val="en-GB"/>
              </w:rPr>
            </w:pPr>
            <w:r w:rsidRPr="00DD66C1">
              <w:rPr>
                <w:b/>
                <w:sz w:val="18"/>
                <w:szCs w:val="18"/>
                <w:lang w:val="en-GB"/>
              </w:rPr>
              <w:t xml:space="preserve">Examples of CYP3A </w:t>
            </w:r>
            <w:r w:rsidRPr="00DD66C1">
              <w:rPr>
                <w:b/>
                <w:sz w:val="18"/>
                <w:szCs w:val="18"/>
                <w:u w:val="single"/>
                <w:lang w:val="en-GB"/>
              </w:rPr>
              <w:t>strong</w:t>
            </w:r>
            <w:r w:rsidRPr="00DD66C1">
              <w:rPr>
                <w:b/>
                <w:sz w:val="18"/>
                <w:szCs w:val="18"/>
                <w:lang w:val="en-GB"/>
              </w:rPr>
              <w:t xml:space="preserve"> </w:t>
            </w:r>
            <w:r w:rsidRPr="00DD66C1">
              <w:rPr>
                <w:b/>
                <w:sz w:val="18"/>
                <w:szCs w:val="18"/>
                <w:u w:val="single"/>
                <w:lang w:val="en-GB"/>
              </w:rPr>
              <w:t>inhibitors</w:t>
            </w:r>
          </w:p>
        </w:tc>
        <w:tc>
          <w:tcPr>
            <w:tcW w:w="2805" w:type="dxa"/>
            <w:tcBorders>
              <w:top w:val="single" w:sz="4" w:space="0" w:color="auto"/>
              <w:left w:val="nil"/>
              <w:bottom w:val="single" w:sz="4" w:space="0" w:color="auto"/>
              <w:right w:val="nil"/>
            </w:tcBorders>
            <w:shd w:val="clear" w:color="auto" w:fill="FFFFFF"/>
            <w:vAlign w:val="center"/>
            <w:hideMark/>
          </w:tcPr>
          <w:p w14:paraId="38A27E23" w14:textId="77777777" w:rsidR="00576FE1" w:rsidRPr="00DD66C1" w:rsidRDefault="00576FE1" w:rsidP="00115CD6">
            <w:pPr>
              <w:spacing w:before="120"/>
              <w:jc w:val="center"/>
              <w:rPr>
                <w:b/>
                <w:sz w:val="18"/>
                <w:szCs w:val="18"/>
                <w:lang w:val="en-GB"/>
              </w:rPr>
            </w:pPr>
            <w:r w:rsidRPr="00DD66C1">
              <w:rPr>
                <w:b/>
                <w:sz w:val="18"/>
                <w:szCs w:val="18"/>
                <w:lang w:val="en-GB"/>
              </w:rPr>
              <w:t xml:space="preserve">Examples of CYP3A </w:t>
            </w:r>
            <w:r w:rsidRPr="00DD66C1">
              <w:rPr>
                <w:b/>
                <w:sz w:val="18"/>
                <w:szCs w:val="18"/>
                <w:u w:val="single"/>
                <w:lang w:val="en-GB"/>
              </w:rPr>
              <w:t>strong inducers</w:t>
            </w:r>
          </w:p>
        </w:tc>
        <w:tc>
          <w:tcPr>
            <w:tcW w:w="2576" w:type="dxa"/>
            <w:tcBorders>
              <w:top w:val="single" w:sz="4" w:space="0" w:color="auto"/>
              <w:left w:val="nil"/>
              <w:bottom w:val="single" w:sz="4" w:space="0" w:color="auto"/>
              <w:right w:val="nil"/>
            </w:tcBorders>
            <w:shd w:val="clear" w:color="auto" w:fill="FFFFFF"/>
            <w:vAlign w:val="center"/>
            <w:hideMark/>
          </w:tcPr>
          <w:p w14:paraId="4CCDDD81" w14:textId="77777777" w:rsidR="00576FE1" w:rsidRPr="00DD66C1" w:rsidRDefault="00576FE1" w:rsidP="00115CD6">
            <w:pPr>
              <w:spacing w:before="120"/>
              <w:jc w:val="center"/>
              <w:rPr>
                <w:b/>
                <w:sz w:val="18"/>
                <w:szCs w:val="18"/>
                <w:lang w:val="en-GB"/>
              </w:rPr>
            </w:pPr>
            <w:r w:rsidRPr="00DD66C1">
              <w:rPr>
                <w:b/>
                <w:sz w:val="18"/>
                <w:szCs w:val="18"/>
                <w:lang w:val="en-GB"/>
              </w:rPr>
              <w:t xml:space="preserve">Examples of CYP3A </w:t>
            </w:r>
            <w:r w:rsidRPr="00DD66C1">
              <w:rPr>
                <w:b/>
                <w:sz w:val="18"/>
                <w:szCs w:val="18"/>
                <w:u w:val="single"/>
                <w:lang w:val="en-GB"/>
              </w:rPr>
              <w:t>moderate inducers</w:t>
            </w:r>
          </w:p>
        </w:tc>
      </w:tr>
      <w:tr w:rsidR="00576FE1" w:rsidRPr="008E7B22" w14:paraId="04555D85" w14:textId="77777777" w:rsidTr="00115CD6">
        <w:tc>
          <w:tcPr>
            <w:tcW w:w="3115" w:type="dxa"/>
            <w:tcBorders>
              <w:top w:val="single" w:sz="4" w:space="0" w:color="auto"/>
              <w:left w:val="nil"/>
              <w:bottom w:val="single" w:sz="4" w:space="0" w:color="auto"/>
              <w:right w:val="nil"/>
            </w:tcBorders>
            <w:shd w:val="clear" w:color="auto" w:fill="FFFFFF"/>
            <w:hideMark/>
          </w:tcPr>
          <w:p w14:paraId="6ADF55E5" w14:textId="77777777" w:rsidR="00576FE1" w:rsidRPr="00DD66C1" w:rsidRDefault="00576FE1" w:rsidP="00115CD6">
            <w:pPr>
              <w:spacing w:before="40" w:after="40"/>
              <w:rPr>
                <w:sz w:val="18"/>
                <w:szCs w:val="18"/>
                <w:lang w:val="en-GB"/>
              </w:rPr>
            </w:pPr>
            <w:r w:rsidRPr="00DD66C1">
              <w:rPr>
                <w:sz w:val="18"/>
                <w:szCs w:val="18"/>
                <w:lang w:val="en-GB"/>
              </w:rPr>
              <w:t xml:space="preserve">boceprevir, clarithromycin, conivaptan, </w:t>
            </w:r>
            <w:proofErr w:type="gramStart"/>
            <w:r w:rsidRPr="00DD66C1">
              <w:rPr>
                <w:sz w:val="18"/>
                <w:szCs w:val="18"/>
                <w:lang w:val="en-GB"/>
              </w:rPr>
              <w:t>delavirdine,,</w:t>
            </w:r>
            <w:proofErr w:type="gramEnd"/>
            <w:r w:rsidRPr="00DD66C1">
              <w:rPr>
                <w:sz w:val="18"/>
                <w:szCs w:val="18"/>
                <w:lang w:val="en-GB"/>
              </w:rPr>
              <w:t xml:space="preserve"> indinavir, itraconazole, ketoconazole, lopinavir, mibefradil, nefazodone, nelfinavir, </w:t>
            </w:r>
            <w:proofErr w:type="spellStart"/>
            <w:r w:rsidRPr="00DD66C1">
              <w:rPr>
                <w:sz w:val="18"/>
                <w:szCs w:val="18"/>
                <w:lang w:val="en-GB"/>
              </w:rPr>
              <w:t>posaconazole</w:t>
            </w:r>
            <w:proofErr w:type="spellEnd"/>
            <w:r w:rsidRPr="00DD66C1">
              <w:rPr>
                <w:sz w:val="18"/>
                <w:szCs w:val="18"/>
                <w:lang w:val="en-GB"/>
              </w:rPr>
              <w:t>, lopinavir/ritonavir, saquinavir, telaprevir, telithromycin, voriconazole, grapefruit juice and grapefruit.</w:t>
            </w:r>
          </w:p>
        </w:tc>
        <w:tc>
          <w:tcPr>
            <w:tcW w:w="2805" w:type="dxa"/>
            <w:tcBorders>
              <w:top w:val="single" w:sz="4" w:space="0" w:color="auto"/>
              <w:left w:val="nil"/>
              <w:bottom w:val="single" w:sz="4" w:space="0" w:color="auto"/>
              <w:right w:val="nil"/>
            </w:tcBorders>
            <w:shd w:val="clear" w:color="auto" w:fill="FFFFFF"/>
            <w:hideMark/>
          </w:tcPr>
          <w:p w14:paraId="14EF218A" w14:textId="77777777" w:rsidR="00576FE1" w:rsidRPr="00DD66C1" w:rsidRDefault="00576FE1" w:rsidP="00115CD6">
            <w:pPr>
              <w:spacing w:before="40" w:after="40"/>
              <w:rPr>
                <w:sz w:val="18"/>
                <w:szCs w:val="18"/>
                <w:lang w:val="en-GB"/>
              </w:rPr>
            </w:pPr>
            <w:r w:rsidRPr="00DD66C1">
              <w:rPr>
                <w:sz w:val="18"/>
                <w:szCs w:val="18"/>
                <w:lang w:val="en-GB"/>
              </w:rPr>
              <w:t xml:space="preserve">carbamazepine, enzalutamide, felbamate, nevirapine, phenobarbital, phenytoin, primidone, rifabutin, </w:t>
            </w:r>
            <w:proofErr w:type="spellStart"/>
            <w:r w:rsidRPr="00DD66C1">
              <w:rPr>
                <w:sz w:val="18"/>
                <w:szCs w:val="18"/>
                <w:lang w:val="en-GB"/>
              </w:rPr>
              <w:t>rifampin</w:t>
            </w:r>
            <w:proofErr w:type="spellEnd"/>
            <w:r w:rsidRPr="00DD66C1">
              <w:rPr>
                <w:sz w:val="18"/>
                <w:szCs w:val="18"/>
                <w:lang w:val="en-GB"/>
              </w:rPr>
              <w:t xml:space="preserve">, </w:t>
            </w:r>
            <w:proofErr w:type="spellStart"/>
            <w:r w:rsidRPr="00DD66C1">
              <w:rPr>
                <w:sz w:val="18"/>
                <w:szCs w:val="18"/>
                <w:lang w:val="en-GB"/>
              </w:rPr>
              <w:t>rifapentin</w:t>
            </w:r>
            <w:proofErr w:type="spellEnd"/>
            <w:r w:rsidRPr="00DD66C1">
              <w:rPr>
                <w:sz w:val="18"/>
                <w:szCs w:val="18"/>
                <w:lang w:val="en-GB"/>
              </w:rPr>
              <w:t xml:space="preserve"> and St. John’s Wort Coadministration of moderate inducers.</w:t>
            </w:r>
          </w:p>
        </w:tc>
        <w:tc>
          <w:tcPr>
            <w:tcW w:w="2576" w:type="dxa"/>
            <w:tcBorders>
              <w:top w:val="single" w:sz="4" w:space="0" w:color="auto"/>
              <w:left w:val="nil"/>
              <w:bottom w:val="single" w:sz="4" w:space="0" w:color="auto"/>
              <w:right w:val="nil"/>
            </w:tcBorders>
            <w:shd w:val="clear" w:color="auto" w:fill="FFFFFF"/>
            <w:hideMark/>
          </w:tcPr>
          <w:p w14:paraId="34E65B9D" w14:textId="77777777" w:rsidR="00576FE1" w:rsidRPr="00DD66C1" w:rsidRDefault="00576FE1" w:rsidP="00115CD6">
            <w:pPr>
              <w:spacing w:before="40" w:after="40"/>
              <w:rPr>
                <w:sz w:val="18"/>
                <w:szCs w:val="18"/>
                <w:lang w:val="en-GB"/>
              </w:rPr>
            </w:pPr>
            <w:proofErr w:type="spellStart"/>
            <w:r w:rsidRPr="00DD66C1">
              <w:rPr>
                <w:sz w:val="18"/>
                <w:szCs w:val="18"/>
                <w:lang w:val="en-GB"/>
              </w:rPr>
              <w:t>bosentan</w:t>
            </w:r>
            <w:proofErr w:type="spellEnd"/>
            <w:r w:rsidRPr="00DD66C1">
              <w:rPr>
                <w:sz w:val="18"/>
                <w:szCs w:val="18"/>
                <w:lang w:val="en-GB"/>
              </w:rPr>
              <w:t>, efavirenz, etravirine, modafinil, and nafcillin</w:t>
            </w:r>
          </w:p>
        </w:tc>
      </w:tr>
    </w:tbl>
    <w:p w14:paraId="59F175BB" w14:textId="77777777" w:rsidR="00576FE1" w:rsidRPr="00DD66C1" w:rsidRDefault="00576FE1" w:rsidP="00576FE1">
      <w:pPr>
        <w:pStyle w:val="BodyText12"/>
        <w:spacing w:after="0" w:line="240" w:lineRule="auto"/>
        <w:ind w:left="0"/>
        <w:rPr>
          <w:rFonts w:ascii="Arial" w:hAnsi="Arial" w:cs="Arial"/>
          <w:sz w:val="20"/>
        </w:rPr>
      </w:pPr>
    </w:p>
    <w:p w14:paraId="1F3E6C8A" w14:textId="77777777" w:rsidR="00576FE1" w:rsidRPr="00700911" w:rsidRDefault="00576FE1" w:rsidP="00576FE1">
      <w:pPr>
        <w:rPr>
          <w:lang w:val="en-GB"/>
        </w:rPr>
        <w:sectPr w:rsidR="00576FE1" w:rsidRPr="00700911" w:rsidSect="00B80F8B">
          <w:pgSz w:w="11906" w:h="16838"/>
          <w:pgMar w:top="1418" w:right="1701" w:bottom="1134" w:left="1701" w:header="708" w:footer="708" w:gutter="0"/>
          <w:cols w:space="708"/>
          <w:docGrid w:linePitch="360"/>
        </w:sectPr>
      </w:pPr>
      <w:r w:rsidRPr="00700911">
        <w:rPr>
          <w:lang w:val="en-GB"/>
        </w:rPr>
        <w:br w:type="page"/>
      </w:r>
      <w:bookmarkStart w:id="623" w:name="_Toc27067547"/>
      <w:bookmarkStart w:id="624" w:name="_Toc329008825"/>
      <w:bookmarkStart w:id="625" w:name="_Toc400968617"/>
      <w:bookmarkStart w:id="626" w:name="_Ref390018447"/>
    </w:p>
    <w:p w14:paraId="38D6A94C" w14:textId="3B0A4E58" w:rsidR="00576FE1" w:rsidRDefault="00576FE1" w:rsidP="00800E62">
      <w:pPr>
        <w:pStyle w:val="Descripcin"/>
        <w:keepNext/>
        <w:ind w:left="-284" w:firstLine="142"/>
        <w:outlineLvl w:val="0"/>
      </w:pPr>
      <w:bookmarkStart w:id="627" w:name="_Ref52425278"/>
      <w:bookmarkStart w:id="628" w:name="_Toc52046470"/>
      <w:bookmarkStart w:id="629" w:name="_Toc52446204"/>
      <w:bookmarkStart w:id="630" w:name="_Toc52468161"/>
      <w:bookmarkEnd w:id="623"/>
      <w:bookmarkEnd w:id="624"/>
      <w:bookmarkEnd w:id="625"/>
      <w:bookmarkEnd w:id="626"/>
      <w:r>
        <w:lastRenderedPageBreak/>
        <w:t xml:space="preserve">Table </w:t>
      </w:r>
      <w:r>
        <w:fldChar w:fldCharType="begin"/>
      </w:r>
      <w:r>
        <w:instrText xml:space="preserve"> SEQ Table \* ARABIC </w:instrText>
      </w:r>
      <w:r>
        <w:fldChar w:fldCharType="separate"/>
      </w:r>
      <w:r w:rsidR="00773549">
        <w:rPr>
          <w:noProof/>
        </w:rPr>
        <w:t>3</w:t>
      </w:r>
      <w:r>
        <w:fldChar w:fldCharType="end"/>
      </w:r>
      <w:bookmarkEnd w:id="627"/>
      <w:r>
        <w:t xml:space="preserve">. </w:t>
      </w:r>
      <w:r w:rsidRPr="00EA0DD0">
        <w:t>Schedule of assessments and study procedures.</w:t>
      </w:r>
      <w:bookmarkEnd w:id="628"/>
      <w:bookmarkEnd w:id="629"/>
      <w:bookmarkEnd w:id="630"/>
    </w:p>
    <w:tbl>
      <w:tblPr>
        <w:tblW w:w="14884" w:type="dxa"/>
        <w:tblInd w:w="-142" w:type="dxa"/>
        <w:tblBorders>
          <w:top w:val="single" w:sz="4" w:space="0" w:color="auto"/>
          <w:bottom w:val="single" w:sz="4" w:space="0" w:color="auto"/>
          <w:insideH w:val="single" w:sz="4" w:space="0" w:color="auto"/>
        </w:tblBorders>
        <w:tblLayout w:type="fixed"/>
        <w:tblLook w:val="00A0" w:firstRow="1" w:lastRow="0" w:firstColumn="1" w:lastColumn="0" w:noHBand="0" w:noVBand="0"/>
      </w:tblPr>
      <w:tblGrid>
        <w:gridCol w:w="4902"/>
        <w:gridCol w:w="1736"/>
        <w:gridCol w:w="3119"/>
        <w:gridCol w:w="2830"/>
        <w:gridCol w:w="2297"/>
      </w:tblGrid>
      <w:tr w:rsidR="00576FE1" w:rsidRPr="00B80F8B" w14:paraId="722333D4" w14:textId="77777777" w:rsidTr="00115CD6">
        <w:trPr>
          <w:trHeight w:val="227"/>
        </w:trPr>
        <w:tc>
          <w:tcPr>
            <w:tcW w:w="4902" w:type="dxa"/>
            <w:tcBorders>
              <w:top w:val="single" w:sz="4" w:space="0" w:color="auto"/>
              <w:left w:val="nil"/>
              <w:bottom w:val="single" w:sz="4" w:space="0" w:color="auto"/>
              <w:right w:val="nil"/>
            </w:tcBorders>
            <w:vAlign w:val="center"/>
            <w:hideMark/>
          </w:tcPr>
          <w:p w14:paraId="1E29A72C" w14:textId="77777777" w:rsidR="00576FE1" w:rsidRPr="00B80F8B" w:rsidRDefault="00576FE1" w:rsidP="00115CD6">
            <w:pPr>
              <w:spacing w:after="0" w:line="240" w:lineRule="auto"/>
              <w:ind w:right="-456"/>
              <w:rPr>
                <w:b/>
                <w:i/>
                <w:sz w:val="16"/>
                <w:szCs w:val="16"/>
              </w:rPr>
            </w:pPr>
            <w:r w:rsidRPr="00B80F8B">
              <w:rPr>
                <w:b/>
                <w:i/>
                <w:sz w:val="16"/>
                <w:szCs w:val="16"/>
              </w:rPr>
              <w:t>Study Period</w:t>
            </w:r>
          </w:p>
        </w:tc>
        <w:tc>
          <w:tcPr>
            <w:tcW w:w="1736" w:type="dxa"/>
            <w:tcBorders>
              <w:top w:val="single" w:sz="4" w:space="0" w:color="auto"/>
              <w:left w:val="nil"/>
              <w:bottom w:val="single" w:sz="4" w:space="0" w:color="auto"/>
              <w:right w:val="nil"/>
            </w:tcBorders>
            <w:vAlign w:val="center"/>
            <w:hideMark/>
          </w:tcPr>
          <w:p w14:paraId="3EFEFF4D" w14:textId="77777777" w:rsidR="00576FE1" w:rsidRPr="00B80F8B" w:rsidRDefault="00576FE1" w:rsidP="00115CD6">
            <w:pPr>
              <w:spacing w:after="0" w:line="240" w:lineRule="auto"/>
              <w:ind w:right="-456"/>
              <w:rPr>
                <w:b/>
                <w:i/>
                <w:sz w:val="16"/>
                <w:szCs w:val="16"/>
              </w:rPr>
            </w:pPr>
            <w:r w:rsidRPr="00B80F8B">
              <w:rPr>
                <w:b/>
                <w:i/>
                <w:sz w:val="16"/>
                <w:szCs w:val="16"/>
              </w:rPr>
              <w:t>Screening</w:t>
            </w:r>
          </w:p>
        </w:tc>
        <w:tc>
          <w:tcPr>
            <w:tcW w:w="3119" w:type="dxa"/>
            <w:tcBorders>
              <w:top w:val="single" w:sz="4" w:space="0" w:color="auto"/>
              <w:left w:val="nil"/>
              <w:bottom w:val="single" w:sz="4" w:space="0" w:color="auto"/>
              <w:right w:val="nil"/>
            </w:tcBorders>
            <w:vAlign w:val="center"/>
            <w:hideMark/>
          </w:tcPr>
          <w:p w14:paraId="57950F47" w14:textId="77777777" w:rsidR="00576FE1" w:rsidRPr="00B80F8B" w:rsidRDefault="00576FE1" w:rsidP="00115CD6">
            <w:pPr>
              <w:spacing w:after="0" w:line="240" w:lineRule="auto"/>
              <w:ind w:right="-456"/>
              <w:rPr>
                <w:b/>
                <w:i/>
                <w:sz w:val="16"/>
                <w:szCs w:val="16"/>
              </w:rPr>
            </w:pPr>
            <w:r w:rsidRPr="00B80F8B">
              <w:rPr>
                <w:b/>
                <w:i/>
                <w:sz w:val="16"/>
                <w:szCs w:val="16"/>
              </w:rPr>
              <w:t>Treatment period</w:t>
            </w:r>
          </w:p>
        </w:tc>
        <w:tc>
          <w:tcPr>
            <w:tcW w:w="5127" w:type="dxa"/>
            <w:gridSpan w:val="2"/>
            <w:tcBorders>
              <w:top w:val="single" w:sz="4" w:space="0" w:color="auto"/>
              <w:left w:val="nil"/>
              <w:bottom w:val="single" w:sz="4" w:space="0" w:color="auto"/>
              <w:right w:val="nil"/>
            </w:tcBorders>
            <w:vAlign w:val="center"/>
            <w:hideMark/>
          </w:tcPr>
          <w:p w14:paraId="0C77FCA0" w14:textId="77777777" w:rsidR="00576FE1" w:rsidRPr="00B80F8B" w:rsidRDefault="00576FE1" w:rsidP="00115CD6">
            <w:pPr>
              <w:spacing w:after="0" w:line="240" w:lineRule="auto"/>
              <w:ind w:right="-456"/>
              <w:rPr>
                <w:b/>
                <w:i/>
                <w:sz w:val="16"/>
                <w:szCs w:val="16"/>
              </w:rPr>
            </w:pPr>
            <w:r w:rsidRPr="00B80F8B">
              <w:rPr>
                <w:b/>
                <w:i/>
                <w:sz w:val="16"/>
                <w:szCs w:val="16"/>
              </w:rPr>
              <w:t xml:space="preserve">Post-treatment </w:t>
            </w:r>
            <w:proofErr w:type="gramStart"/>
            <w:r w:rsidRPr="00B80F8B">
              <w:rPr>
                <w:b/>
                <w:i/>
                <w:sz w:val="16"/>
                <w:szCs w:val="16"/>
              </w:rPr>
              <w:t>follow</w:t>
            </w:r>
            <w:proofErr w:type="gramEnd"/>
            <w:r w:rsidRPr="00B80F8B">
              <w:rPr>
                <w:b/>
                <w:i/>
                <w:sz w:val="16"/>
                <w:szCs w:val="16"/>
              </w:rPr>
              <w:t xml:space="preserve"> up period</w:t>
            </w:r>
          </w:p>
        </w:tc>
      </w:tr>
      <w:tr w:rsidR="00576FE1" w:rsidRPr="00B80F8B" w14:paraId="1675D3C3" w14:textId="77777777" w:rsidTr="00115CD6">
        <w:trPr>
          <w:trHeight w:val="227"/>
        </w:trPr>
        <w:tc>
          <w:tcPr>
            <w:tcW w:w="4902" w:type="dxa"/>
            <w:tcBorders>
              <w:top w:val="single" w:sz="4" w:space="0" w:color="auto"/>
              <w:left w:val="nil"/>
              <w:bottom w:val="single" w:sz="4" w:space="0" w:color="auto"/>
              <w:right w:val="nil"/>
            </w:tcBorders>
            <w:vAlign w:val="center"/>
            <w:hideMark/>
          </w:tcPr>
          <w:p w14:paraId="4B884493" w14:textId="77777777" w:rsidR="00576FE1" w:rsidRPr="00B80F8B" w:rsidRDefault="00576FE1" w:rsidP="00115CD6">
            <w:pPr>
              <w:spacing w:after="0" w:line="240" w:lineRule="auto"/>
              <w:ind w:right="-456"/>
              <w:rPr>
                <w:b/>
                <w:i/>
                <w:sz w:val="16"/>
                <w:szCs w:val="16"/>
              </w:rPr>
            </w:pPr>
            <w:r w:rsidRPr="00B80F8B">
              <w:rPr>
                <w:b/>
                <w:i/>
                <w:sz w:val="16"/>
                <w:szCs w:val="16"/>
              </w:rPr>
              <w:t>Day</w:t>
            </w:r>
          </w:p>
        </w:tc>
        <w:tc>
          <w:tcPr>
            <w:tcW w:w="1736" w:type="dxa"/>
            <w:tcBorders>
              <w:top w:val="single" w:sz="4" w:space="0" w:color="auto"/>
              <w:left w:val="nil"/>
              <w:bottom w:val="single" w:sz="4" w:space="0" w:color="auto"/>
              <w:right w:val="nil"/>
            </w:tcBorders>
            <w:vAlign w:val="center"/>
            <w:hideMark/>
          </w:tcPr>
          <w:p w14:paraId="45BB9F48" w14:textId="77777777" w:rsidR="00576FE1" w:rsidRPr="00B80F8B" w:rsidRDefault="00576FE1" w:rsidP="00115CD6">
            <w:pPr>
              <w:spacing w:after="0" w:line="240" w:lineRule="auto"/>
              <w:ind w:right="-456"/>
              <w:rPr>
                <w:b/>
                <w:i/>
                <w:sz w:val="16"/>
                <w:szCs w:val="16"/>
              </w:rPr>
            </w:pPr>
            <w:r w:rsidRPr="00B80F8B">
              <w:rPr>
                <w:b/>
                <w:i/>
                <w:sz w:val="16"/>
                <w:szCs w:val="16"/>
              </w:rPr>
              <w:t>-28 to -1</w:t>
            </w:r>
          </w:p>
        </w:tc>
        <w:tc>
          <w:tcPr>
            <w:tcW w:w="3119" w:type="dxa"/>
            <w:tcBorders>
              <w:top w:val="single" w:sz="4" w:space="0" w:color="auto"/>
              <w:left w:val="nil"/>
              <w:bottom w:val="single" w:sz="4" w:space="0" w:color="auto"/>
              <w:right w:val="nil"/>
            </w:tcBorders>
            <w:vAlign w:val="center"/>
            <w:hideMark/>
          </w:tcPr>
          <w:p w14:paraId="49DA6BDE" w14:textId="77777777" w:rsidR="00576FE1" w:rsidRPr="00B80F8B" w:rsidRDefault="00576FE1" w:rsidP="00115CD6">
            <w:pPr>
              <w:spacing w:after="0" w:line="240" w:lineRule="auto"/>
              <w:ind w:right="-456"/>
              <w:rPr>
                <w:b/>
                <w:i/>
                <w:sz w:val="16"/>
                <w:szCs w:val="16"/>
              </w:rPr>
            </w:pPr>
            <w:r w:rsidRPr="00B80F8B">
              <w:rPr>
                <w:b/>
                <w:i/>
                <w:sz w:val="16"/>
                <w:szCs w:val="16"/>
              </w:rPr>
              <w:t>Each cycle (every 28 ± 3 days)</w:t>
            </w:r>
          </w:p>
        </w:tc>
        <w:tc>
          <w:tcPr>
            <w:tcW w:w="2830" w:type="dxa"/>
            <w:tcBorders>
              <w:top w:val="single" w:sz="4" w:space="0" w:color="auto"/>
              <w:left w:val="nil"/>
              <w:bottom w:val="single" w:sz="4" w:space="0" w:color="auto"/>
              <w:right w:val="nil"/>
            </w:tcBorders>
            <w:vAlign w:val="center"/>
            <w:hideMark/>
          </w:tcPr>
          <w:p w14:paraId="5B68EDE7" w14:textId="77777777" w:rsidR="00576FE1" w:rsidRPr="00B80F8B" w:rsidRDefault="00576FE1" w:rsidP="00115CD6">
            <w:pPr>
              <w:spacing w:after="0" w:line="240" w:lineRule="auto"/>
              <w:ind w:right="-456"/>
              <w:rPr>
                <w:b/>
                <w:i/>
                <w:sz w:val="16"/>
                <w:szCs w:val="16"/>
              </w:rPr>
            </w:pPr>
            <w:r w:rsidRPr="00B80F8B">
              <w:rPr>
                <w:b/>
                <w:i/>
                <w:sz w:val="16"/>
                <w:szCs w:val="16"/>
              </w:rPr>
              <w:t>28±7 days after last dose</w:t>
            </w:r>
          </w:p>
        </w:tc>
        <w:tc>
          <w:tcPr>
            <w:tcW w:w="2297" w:type="dxa"/>
            <w:tcBorders>
              <w:top w:val="single" w:sz="4" w:space="0" w:color="auto"/>
              <w:left w:val="nil"/>
              <w:bottom w:val="single" w:sz="4" w:space="0" w:color="auto"/>
              <w:right w:val="nil"/>
            </w:tcBorders>
            <w:vAlign w:val="center"/>
            <w:hideMark/>
          </w:tcPr>
          <w:p w14:paraId="637B90FB" w14:textId="77777777" w:rsidR="00576FE1" w:rsidRPr="00B80F8B" w:rsidRDefault="00576FE1" w:rsidP="00115CD6">
            <w:pPr>
              <w:spacing w:after="0" w:line="240" w:lineRule="auto"/>
              <w:ind w:right="-456"/>
              <w:rPr>
                <w:b/>
                <w:i/>
                <w:sz w:val="16"/>
                <w:szCs w:val="16"/>
              </w:rPr>
            </w:pPr>
            <w:r w:rsidRPr="00B80F8B">
              <w:rPr>
                <w:b/>
                <w:i/>
                <w:sz w:val="16"/>
                <w:szCs w:val="16"/>
              </w:rPr>
              <w:t>Every 6 months</w:t>
            </w:r>
            <w:r w:rsidRPr="00B80F8B">
              <w:rPr>
                <w:b/>
                <w:i/>
                <w:sz w:val="16"/>
                <w:szCs w:val="16"/>
                <w:vertAlign w:val="superscript"/>
              </w:rPr>
              <w:t>15</w:t>
            </w:r>
          </w:p>
        </w:tc>
      </w:tr>
      <w:tr w:rsidR="00576FE1" w:rsidRPr="00B80F8B" w14:paraId="78EDF216" w14:textId="77777777" w:rsidTr="00115CD6">
        <w:trPr>
          <w:trHeight w:val="227"/>
        </w:trPr>
        <w:tc>
          <w:tcPr>
            <w:tcW w:w="4902" w:type="dxa"/>
            <w:tcBorders>
              <w:top w:val="single" w:sz="4" w:space="0" w:color="auto"/>
              <w:left w:val="nil"/>
              <w:bottom w:val="dotted" w:sz="4" w:space="0" w:color="767171"/>
              <w:right w:val="nil"/>
            </w:tcBorders>
            <w:vAlign w:val="center"/>
            <w:hideMark/>
          </w:tcPr>
          <w:p w14:paraId="4149ACDE" w14:textId="77777777" w:rsidR="00576FE1" w:rsidRPr="00B80F8B" w:rsidRDefault="00576FE1" w:rsidP="00115CD6">
            <w:pPr>
              <w:spacing w:after="0" w:line="240" w:lineRule="auto"/>
              <w:ind w:right="-456"/>
              <w:rPr>
                <w:b/>
                <w:i/>
                <w:sz w:val="16"/>
                <w:szCs w:val="16"/>
              </w:rPr>
            </w:pPr>
            <w:r w:rsidRPr="00B80F8B">
              <w:rPr>
                <w:b/>
                <w:i/>
                <w:sz w:val="16"/>
                <w:szCs w:val="16"/>
              </w:rPr>
              <w:t>Informed Consent</w:t>
            </w:r>
            <w:r w:rsidRPr="00B80F8B">
              <w:rPr>
                <w:b/>
                <w:i/>
                <w:sz w:val="16"/>
                <w:szCs w:val="16"/>
                <w:vertAlign w:val="superscript"/>
              </w:rPr>
              <w:t>1</w:t>
            </w:r>
          </w:p>
        </w:tc>
        <w:tc>
          <w:tcPr>
            <w:tcW w:w="1736" w:type="dxa"/>
            <w:tcBorders>
              <w:top w:val="single" w:sz="4" w:space="0" w:color="auto"/>
              <w:left w:val="nil"/>
              <w:bottom w:val="dotted" w:sz="4" w:space="0" w:color="767171"/>
              <w:right w:val="nil"/>
            </w:tcBorders>
            <w:vAlign w:val="center"/>
            <w:hideMark/>
          </w:tcPr>
          <w:p w14:paraId="42798FFF"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3119" w:type="dxa"/>
            <w:tcBorders>
              <w:top w:val="single" w:sz="4" w:space="0" w:color="auto"/>
              <w:left w:val="nil"/>
              <w:bottom w:val="dotted" w:sz="4" w:space="0" w:color="767171"/>
              <w:right w:val="nil"/>
            </w:tcBorders>
            <w:vAlign w:val="center"/>
          </w:tcPr>
          <w:p w14:paraId="4C961130" w14:textId="77777777" w:rsidR="00576FE1" w:rsidRPr="00B80F8B" w:rsidRDefault="00576FE1" w:rsidP="00115CD6">
            <w:pPr>
              <w:spacing w:after="0" w:line="240" w:lineRule="auto"/>
              <w:ind w:right="-456"/>
              <w:rPr>
                <w:b/>
                <w:i/>
                <w:sz w:val="16"/>
                <w:szCs w:val="16"/>
              </w:rPr>
            </w:pPr>
          </w:p>
        </w:tc>
        <w:tc>
          <w:tcPr>
            <w:tcW w:w="2830" w:type="dxa"/>
            <w:tcBorders>
              <w:top w:val="single" w:sz="4" w:space="0" w:color="auto"/>
              <w:left w:val="nil"/>
              <w:bottom w:val="dotted" w:sz="4" w:space="0" w:color="767171"/>
              <w:right w:val="nil"/>
            </w:tcBorders>
            <w:vAlign w:val="center"/>
          </w:tcPr>
          <w:p w14:paraId="341E3954" w14:textId="77777777" w:rsidR="00576FE1" w:rsidRPr="00B80F8B" w:rsidRDefault="00576FE1" w:rsidP="00115CD6">
            <w:pPr>
              <w:spacing w:after="0" w:line="240" w:lineRule="auto"/>
              <w:ind w:right="-456"/>
              <w:rPr>
                <w:b/>
                <w:i/>
                <w:sz w:val="16"/>
                <w:szCs w:val="16"/>
                <w:lang w:val="es-ES"/>
              </w:rPr>
            </w:pPr>
          </w:p>
        </w:tc>
        <w:tc>
          <w:tcPr>
            <w:tcW w:w="2297" w:type="dxa"/>
            <w:tcBorders>
              <w:top w:val="single" w:sz="4" w:space="0" w:color="auto"/>
              <w:left w:val="nil"/>
              <w:bottom w:val="dotted" w:sz="4" w:space="0" w:color="767171"/>
              <w:right w:val="nil"/>
            </w:tcBorders>
            <w:vAlign w:val="center"/>
          </w:tcPr>
          <w:p w14:paraId="068A0BA8" w14:textId="77777777" w:rsidR="00576FE1" w:rsidRPr="00B80F8B" w:rsidRDefault="00576FE1" w:rsidP="00115CD6">
            <w:pPr>
              <w:spacing w:after="0" w:line="240" w:lineRule="auto"/>
              <w:ind w:right="-456"/>
              <w:rPr>
                <w:b/>
                <w:i/>
                <w:sz w:val="16"/>
                <w:szCs w:val="16"/>
                <w:lang w:val="es-ES"/>
              </w:rPr>
            </w:pPr>
          </w:p>
        </w:tc>
      </w:tr>
      <w:tr w:rsidR="00576FE1" w:rsidRPr="00B80F8B" w14:paraId="408D50FC" w14:textId="77777777" w:rsidTr="00115CD6">
        <w:trPr>
          <w:trHeight w:val="227"/>
        </w:trPr>
        <w:tc>
          <w:tcPr>
            <w:tcW w:w="4902" w:type="dxa"/>
            <w:tcBorders>
              <w:top w:val="dotted" w:sz="4" w:space="0" w:color="767171"/>
              <w:left w:val="nil"/>
              <w:bottom w:val="dotted" w:sz="4" w:space="0" w:color="767171"/>
              <w:right w:val="nil"/>
            </w:tcBorders>
            <w:vAlign w:val="center"/>
            <w:hideMark/>
          </w:tcPr>
          <w:p w14:paraId="5B6D2FD3" w14:textId="77777777" w:rsidR="00576FE1" w:rsidRPr="00B80F8B" w:rsidRDefault="00576FE1" w:rsidP="00115CD6">
            <w:pPr>
              <w:spacing w:after="0" w:line="240" w:lineRule="auto"/>
              <w:ind w:right="-456"/>
              <w:rPr>
                <w:b/>
                <w:i/>
                <w:sz w:val="16"/>
                <w:szCs w:val="16"/>
              </w:rPr>
            </w:pPr>
            <w:r w:rsidRPr="00B80F8B">
              <w:rPr>
                <w:b/>
                <w:i/>
                <w:sz w:val="16"/>
                <w:szCs w:val="16"/>
              </w:rPr>
              <w:t>ER and HER2 status</w:t>
            </w:r>
            <w:r w:rsidRPr="00B80F8B">
              <w:rPr>
                <w:b/>
                <w:i/>
                <w:sz w:val="16"/>
                <w:szCs w:val="16"/>
                <w:vertAlign w:val="superscript"/>
              </w:rPr>
              <w:t>2</w:t>
            </w:r>
          </w:p>
        </w:tc>
        <w:tc>
          <w:tcPr>
            <w:tcW w:w="1736" w:type="dxa"/>
            <w:tcBorders>
              <w:top w:val="dotted" w:sz="4" w:space="0" w:color="767171"/>
              <w:left w:val="nil"/>
              <w:bottom w:val="dotted" w:sz="4" w:space="0" w:color="767171"/>
              <w:right w:val="nil"/>
            </w:tcBorders>
            <w:vAlign w:val="center"/>
            <w:hideMark/>
          </w:tcPr>
          <w:p w14:paraId="06D098FB"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3119" w:type="dxa"/>
            <w:tcBorders>
              <w:top w:val="dotted" w:sz="4" w:space="0" w:color="767171"/>
              <w:left w:val="nil"/>
              <w:bottom w:val="dotted" w:sz="4" w:space="0" w:color="767171"/>
              <w:right w:val="nil"/>
            </w:tcBorders>
            <w:vAlign w:val="center"/>
          </w:tcPr>
          <w:p w14:paraId="0B899B2C" w14:textId="77777777" w:rsidR="00576FE1" w:rsidRPr="00B80F8B" w:rsidRDefault="00576FE1" w:rsidP="00115CD6">
            <w:pPr>
              <w:spacing w:after="0" w:line="240" w:lineRule="auto"/>
              <w:ind w:right="-456"/>
              <w:rPr>
                <w:b/>
                <w:i/>
                <w:sz w:val="16"/>
                <w:szCs w:val="16"/>
              </w:rPr>
            </w:pPr>
          </w:p>
        </w:tc>
        <w:tc>
          <w:tcPr>
            <w:tcW w:w="2830" w:type="dxa"/>
            <w:tcBorders>
              <w:top w:val="dotted" w:sz="4" w:space="0" w:color="767171"/>
              <w:left w:val="nil"/>
              <w:bottom w:val="dotted" w:sz="4" w:space="0" w:color="767171"/>
              <w:right w:val="nil"/>
            </w:tcBorders>
            <w:vAlign w:val="center"/>
          </w:tcPr>
          <w:p w14:paraId="39128D20" w14:textId="77777777" w:rsidR="00576FE1" w:rsidRPr="00B80F8B" w:rsidRDefault="00576FE1" w:rsidP="00115CD6">
            <w:pPr>
              <w:spacing w:after="0" w:line="240" w:lineRule="auto"/>
              <w:ind w:right="-456"/>
              <w:rPr>
                <w:b/>
                <w:i/>
                <w:sz w:val="16"/>
                <w:szCs w:val="16"/>
                <w:lang w:val="es-ES"/>
              </w:rPr>
            </w:pPr>
          </w:p>
        </w:tc>
        <w:tc>
          <w:tcPr>
            <w:tcW w:w="2297" w:type="dxa"/>
            <w:tcBorders>
              <w:top w:val="dotted" w:sz="4" w:space="0" w:color="767171"/>
              <w:left w:val="nil"/>
              <w:bottom w:val="dotted" w:sz="4" w:space="0" w:color="767171"/>
              <w:right w:val="nil"/>
            </w:tcBorders>
            <w:vAlign w:val="center"/>
          </w:tcPr>
          <w:p w14:paraId="17BCC990" w14:textId="77777777" w:rsidR="00576FE1" w:rsidRPr="00B80F8B" w:rsidRDefault="00576FE1" w:rsidP="00115CD6">
            <w:pPr>
              <w:spacing w:after="0" w:line="240" w:lineRule="auto"/>
              <w:ind w:right="-456"/>
              <w:rPr>
                <w:b/>
                <w:i/>
                <w:sz w:val="16"/>
                <w:szCs w:val="16"/>
                <w:lang w:val="es-ES"/>
              </w:rPr>
            </w:pPr>
          </w:p>
        </w:tc>
      </w:tr>
      <w:tr w:rsidR="00576FE1" w:rsidRPr="00B80F8B" w14:paraId="1182907F" w14:textId="77777777" w:rsidTr="00115CD6">
        <w:trPr>
          <w:trHeight w:val="227"/>
        </w:trPr>
        <w:tc>
          <w:tcPr>
            <w:tcW w:w="4902" w:type="dxa"/>
            <w:tcBorders>
              <w:top w:val="dotted" w:sz="4" w:space="0" w:color="767171"/>
              <w:left w:val="nil"/>
              <w:bottom w:val="dotted" w:sz="4" w:space="0" w:color="767171"/>
              <w:right w:val="nil"/>
            </w:tcBorders>
            <w:vAlign w:val="center"/>
            <w:hideMark/>
          </w:tcPr>
          <w:p w14:paraId="0868ABD1" w14:textId="77777777" w:rsidR="00576FE1" w:rsidRPr="00B80F8B" w:rsidRDefault="00576FE1" w:rsidP="00115CD6">
            <w:pPr>
              <w:spacing w:after="0" w:line="240" w:lineRule="auto"/>
              <w:ind w:right="-456"/>
              <w:rPr>
                <w:b/>
                <w:i/>
                <w:sz w:val="16"/>
                <w:szCs w:val="16"/>
              </w:rPr>
            </w:pPr>
            <w:r w:rsidRPr="00B80F8B">
              <w:rPr>
                <w:b/>
                <w:i/>
                <w:sz w:val="16"/>
                <w:szCs w:val="16"/>
              </w:rPr>
              <w:t>Baseline sings/symptoms</w:t>
            </w:r>
          </w:p>
        </w:tc>
        <w:tc>
          <w:tcPr>
            <w:tcW w:w="1736" w:type="dxa"/>
            <w:tcBorders>
              <w:top w:val="dotted" w:sz="4" w:space="0" w:color="767171"/>
              <w:left w:val="nil"/>
              <w:bottom w:val="dotted" w:sz="4" w:space="0" w:color="767171"/>
              <w:right w:val="nil"/>
            </w:tcBorders>
            <w:vAlign w:val="center"/>
            <w:hideMark/>
          </w:tcPr>
          <w:p w14:paraId="3294235B"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3119" w:type="dxa"/>
            <w:tcBorders>
              <w:top w:val="dotted" w:sz="4" w:space="0" w:color="767171"/>
              <w:left w:val="nil"/>
              <w:bottom w:val="dotted" w:sz="4" w:space="0" w:color="767171"/>
              <w:right w:val="nil"/>
            </w:tcBorders>
            <w:vAlign w:val="center"/>
          </w:tcPr>
          <w:p w14:paraId="781D16E6" w14:textId="77777777" w:rsidR="00576FE1" w:rsidRPr="00B80F8B" w:rsidRDefault="00576FE1" w:rsidP="00115CD6">
            <w:pPr>
              <w:spacing w:after="0" w:line="240" w:lineRule="auto"/>
              <w:ind w:right="-456"/>
              <w:rPr>
                <w:b/>
                <w:i/>
                <w:sz w:val="16"/>
                <w:szCs w:val="16"/>
              </w:rPr>
            </w:pPr>
          </w:p>
        </w:tc>
        <w:tc>
          <w:tcPr>
            <w:tcW w:w="2830" w:type="dxa"/>
            <w:tcBorders>
              <w:top w:val="dotted" w:sz="4" w:space="0" w:color="767171"/>
              <w:left w:val="nil"/>
              <w:bottom w:val="dotted" w:sz="4" w:space="0" w:color="767171"/>
              <w:right w:val="nil"/>
            </w:tcBorders>
            <w:vAlign w:val="center"/>
          </w:tcPr>
          <w:p w14:paraId="0F046247" w14:textId="77777777" w:rsidR="00576FE1" w:rsidRPr="00B80F8B" w:rsidRDefault="00576FE1" w:rsidP="00115CD6">
            <w:pPr>
              <w:spacing w:after="0" w:line="240" w:lineRule="auto"/>
              <w:ind w:right="-456"/>
              <w:rPr>
                <w:b/>
                <w:i/>
                <w:sz w:val="16"/>
                <w:szCs w:val="16"/>
                <w:lang w:val="es-ES"/>
              </w:rPr>
            </w:pPr>
          </w:p>
        </w:tc>
        <w:tc>
          <w:tcPr>
            <w:tcW w:w="2297" w:type="dxa"/>
            <w:tcBorders>
              <w:top w:val="dotted" w:sz="4" w:space="0" w:color="767171"/>
              <w:left w:val="nil"/>
              <w:bottom w:val="dotted" w:sz="4" w:space="0" w:color="767171"/>
              <w:right w:val="nil"/>
            </w:tcBorders>
            <w:vAlign w:val="center"/>
          </w:tcPr>
          <w:p w14:paraId="363B06D9" w14:textId="77777777" w:rsidR="00576FE1" w:rsidRPr="00B80F8B" w:rsidRDefault="00576FE1" w:rsidP="00115CD6">
            <w:pPr>
              <w:spacing w:after="0" w:line="240" w:lineRule="auto"/>
              <w:ind w:right="-456"/>
              <w:rPr>
                <w:b/>
                <w:i/>
                <w:sz w:val="16"/>
                <w:szCs w:val="16"/>
                <w:lang w:val="es-ES"/>
              </w:rPr>
            </w:pPr>
          </w:p>
        </w:tc>
      </w:tr>
      <w:tr w:rsidR="00576FE1" w:rsidRPr="00B80F8B" w14:paraId="1E5CCCEC" w14:textId="77777777" w:rsidTr="00115CD6">
        <w:trPr>
          <w:trHeight w:val="227"/>
        </w:trPr>
        <w:tc>
          <w:tcPr>
            <w:tcW w:w="4902" w:type="dxa"/>
            <w:tcBorders>
              <w:top w:val="dotted" w:sz="4" w:space="0" w:color="767171"/>
              <w:left w:val="nil"/>
              <w:bottom w:val="dotted" w:sz="4" w:space="0" w:color="767171"/>
              <w:right w:val="nil"/>
            </w:tcBorders>
            <w:vAlign w:val="center"/>
            <w:hideMark/>
          </w:tcPr>
          <w:p w14:paraId="58EE0D8F" w14:textId="77777777" w:rsidR="00576FE1" w:rsidRPr="00B80F8B" w:rsidRDefault="00576FE1" w:rsidP="00115CD6">
            <w:pPr>
              <w:spacing w:after="0" w:line="240" w:lineRule="auto"/>
              <w:ind w:right="-456"/>
              <w:rPr>
                <w:b/>
                <w:i/>
                <w:sz w:val="16"/>
                <w:szCs w:val="16"/>
              </w:rPr>
            </w:pPr>
            <w:r w:rsidRPr="00B80F8B">
              <w:rPr>
                <w:b/>
                <w:i/>
                <w:sz w:val="16"/>
                <w:szCs w:val="16"/>
              </w:rPr>
              <w:t>Check of inclusion/exclusion criteria</w:t>
            </w:r>
          </w:p>
        </w:tc>
        <w:tc>
          <w:tcPr>
            <w:tcW w:w="1736" w:type="dxa"/>
            <w:tcBorders>
              <w:top w:val="dotted" w:sz="4" w:space="0" w:color="767171"/>
              <w:left w:val="nil"/>
              <w:bottom w:val="dotted" w:sz="4" w:space="0" w:color="767171"/>
              <w:right w:val="nil"/>
            </w:tcBorders>
            <w:vAlign w:val="center"/>
            <w:hideMark/>
          </w:tcPr>
          <w:p w14:paraId="3F8B1458"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3119" w:type="dxa"/>
            <w:tcBorders>
              <w:top w:val="dotted" w:sz="4" w:space="0" w:color="767171"/>
              <w:left w:val="nil"/>
              <w:bottom w:val="dotted" w:sz="4" w:space="0" w:color="767171"/>
              <w:right w:val="nil"/>
            </w:tcBorders>
            <w:vAlign w:val="center"/>
          </w:tcPr>
          <w:p w14:paraId="5598554D" w14:textId="77777777" w:rsidR="00576FE1" w:rsidRPr="00B80F8B" w:rsidRDefault="00576FE1" w:rsidP="00115CD6">
            <w:pPr>
              <w:spacing w:after="0" w:line="240" w:lineRule="auto"/>
              <w:ind w:right="-456"/>
              <w:rPr>
                <w:b/>
                <w:i/>
                <w:sz w:val="16"/>
                <w:szCs w:val="16"/>
              </w:rPr>
            </w:pPr>
          </w:p>
        </w:tc>
        <w:tc>
          <w:tcPr>
            <w:tcW w:w="2830" w:type="dxa"/>
            <w:tcBorders>
              <w:top w:val="dotted" w:sz="4" w:space="0" w:color="767171"/>
              <w:left w:val="nil"/>
              <w:bottom w:val="dotted" w:sz="4" w:space="0" w:color="767171"/>
              <w:right w:val="nil"/>
            </w:tcBorders>
            <w:vAlign w:val="center"/>
          </w:tcPr>
          <w:p w14:paraId="500D42F0" w14:textId="77777777" w:rsidR="00576FE1" w:rsidRPr="00B80F8B" w:rsidRDefault="00576FE1" w:rsidP="00115CD6">
            <w:pPr>
              <w:spacing w:after="0" w:line="240" w:lineRule="auto"/>
              <w:ind w:right="-456"/>
              <w:rPr>
                <w:b/>
                <w:i/>
                <w:sz w:val="16"/>
                <w:szCs w:val="16"/>
                <w:lang w:val="es-ES"/>
              </w:rPr>
            </w:pPr>
          </w:p>
        </w:tc>
        <w:tc>
          <w:tcPr>
            <w:tcW w:w="2297" w:type="dxa"/>
            <w:tcBorders>
              <w:top w:val="dotted" w:sz="4" w:space="0" w:color="767171"/>
              <w:left w:val="nil"/>
              <w:bottom w:val="dotted" w:sz="4" w:space="0" w:color="767171"/>
              <w:right w:val="nil"/>
            </w:tcBorders>
            <w:vAlign w:val="center"/>
          </w:tcPr>
          <w:p w14:paraId="27CDD478" w14:textId="77777777" w:rsidR="00576FE1" w:rsidRPr="00B80F8B" w:rsidRDefault="00576FE1" w:rsidP="00115CD6">
            <w:pPr>
              <w:spacing w:after="0" w:line="240" w:lineRule="auto"/>
              <w:ind w:right="-456"/>
              <w:rPr>
                <w:b/>
                <w:i/>
                <w:sz w:val="16"/>
                <w:szCs w:val="16"/>
                <w:lang w:val="es-ES"/>
              </w:rPr>
            </w:pPr>
          </w:p>
        </w:tc>
      </w:tr>
      <w:tr w:rsidR="00576FE1" w:rsidRPr="00B80F8B" w14:paraId="33B01A4B" w14:textId="77777777" w:rsidTr="00115CD6">
        <w:trPr>
          <w:trHeight w:val="227"/>
        </w:trPr>
        <w:tc>
          <w:tcPr>
            <w:tcW w:w="4902" w:type="dxa"/>
            <w:tcBorders>
              <w:top w:val="dotted" w:sz="4" w:space="0" w:color="767171"/>
              <w:left w:val="nil"/>
              <w:bottom w:val="dotted" w:sz="4" w:space="0" w:color="767171"/>
              <w:right w:val="nil"/>
            </w:tcBorders>
            <w:vAlign w:val="center"/>
            <w:hideMark/>
          </w:tcPr>
          <w:p w14:paraId="692E3E97" w14:textId="77777777" w:rsidR="00576FE1" w:rsidRPr="00B80F8B" w:rsidRDefault="00576FE1" w:rsidP="00115CD6">
            <w:pPr>
              <w:spacing w:after="0" w:line="240" w:lineRule="auto"/>
              <w:ind w:right="-456"/>
              <w:rPr>
                <w:b/>
                <w:i/>
                <w:sz w:val="16"/>
                <w:szCs w:val="16"/>
              </w:rPr>
            </w:pPr>
            <w:r w:rsidRPr="00B80F8B">
              <w:rPr>
                <w:b/>
                <w:i/>
                <w:sz w:val="16"/>
                <w:szCs w:val="16"/>
              </w:rPr>
              <w:t>Post-menopausal status confirmation</w:t>
            </w:r>
          </w:p>
        </w:tc>
        <w:tc>
          <w:tcPr>
            <w:tcW w:w="1736" w:type="dxa"/>
            <w:tcBorders>
              <w:top w:val="dotted" w:sz="4" w:space="0" w:color="767171"/>
              <w:left w:val="nil"/>
              <w:bottom w:val="dotted" w:sz="4" w:space="0" w:color="767171"/>
              <w:right w:val="nil"/>
            </w:tcBorders>
            <w:vAlign w:val="center"/>
            <w:hideMark/>
          </w:tcPr>
          <w:p w14:paraId="2E242449"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3119" w:type="dxa"/>
            <w:tcBorders>
              <w:top w:val="dotted" w:sz="4" w:space="0" w:color="767171"/>
              <w:left w:val="nil"/>
              <w:bottom w:val="dotted" w:sz="4" w:space="0" w:color="767171"/>
              <w:right w:val="nil"/>
            </w:tcBorders>
            <w:vAlign w:val="center"/>
          </w:tcPr>
          <w:p w14:paraId="3B90E0E8" w14:textId="77777777" w:rsidR="00576FE1" w:rsidRPr="00B80F8B" w:rsidRDefault="00576FE1" w:rsidP="00115CD6">
            <w:pPr>
              <w:spacing w:after="0" w:line="240" w:lineRule="auto"/>
              <w:ind w:right="-456"/>
              <w:rPr>
                <w:b/>
                <w:i/>
                <w:sz w:val="16"/>
                <w:szCs w:val="16"/>
              </w:rPr>
            </w:pPr>
          </w:p>
        </w:tc>
        <w:tc>
          <w:tcPr>
            <w:tcW w:w="2830" w:type="dxa"/>
            <w:tcBorders>
              <w:top w:val="dotted" w:sz="4" w:space="0" w:color="767171"/>
              <w:left w:val="nil"/>
              <w:bottom w:val="dotted" w:sz="4" w:space="0" w:color="767171"/>
              <w:right w:val="nil"/>
            </w:tcBorders>
            <w:vAlign w:val="center"/>
          </w:tcPr>
          <w:p w14:paraId="4010FCB2" w14:textId="77777777" w:rsidR="00576FE1" w:rsidRPr="00B80F8B" w:rsidRDefault="00576FE1" w:rsidP="00115CD6">
            <w:pPr>
              <w:spacing w:after="0" w:line="240" w:lineRule="auto"/>
              <w:ind w:right="-456"/>
              <w:rPr>
                <w:b/>
                <w:i/>
                <w:sz w:val="16"/>
                <w:szCs w:val="16"/>
                <w:lang w:val="es-ES"/>
              </w:rPr>
            </w:pPr>
          </w:p>
        </w:tc>
        <w:tc>
          <w:tcPr>
            <w:tcW w:w="2297" w:type="dxa"/>
            <w:tcBorders>
              <w:top w:val="dotted" w:sz="4" w:space="0" w:color="767171"/>
              <w:left w:val="nil"/>
              <w:bottom w:val="dotted" w:sz="4" w:space="0" w:color="767171"/>
              <w:right w:val="nil"/>
            </w:tcBorders>
            <w:vAlign w:val="center"/>
          </w:tcPr>
          <w:p w14:paraId="66BB1F64" w14:textId="77777777" w:rsidR="00576FE1" w:rsidRPr="00B80F8B" w:rsidRDefault="00576FE1" w:rsidP="00115CD6">
            <w:pPr>
              <w:spacing w:after="0" w:line="240" w:lineRule="auto"/>
              <w:ind w:right="-456"/>
              <w:rPr>
                <w:b/>
                <w:i/>
                <w:sz w:val="16"/>
                <w:szCs w:val="16"/>
                <w:lang w:val="es-ES"/>
              </w:rPr>
            </w:pPr>
          </w:p>
        </w:tc>
      </w:tr>
      <w:tr w:rsidR="00576FE1" w:rsidRPr="00B80F8B" w14:paraId="5D79280F" w14:textId="77777777" w:rsidTr="00115CD6">
        <w:trPr>
          <w:trHeight w:val="227"/>
        </w:trPr>
        <w:tc>
          <w:tcPr>
            <w:tcW w:w="4902" w:type="dxa"/>
            <w:tcBorders>
              <w:top w:val="dotted" w:sz="4" w:space="0" w:color="767171"/>
              <w:left w:val="nil"/>
              <w:bottom w:val="dotted" w:sz="4" w:space="0" w:color="767171"/>
              <w:right w:val="nil"/>
            </w:tcBorders>
            <w:vAlign w:val="center"/>
            <w:hideMark/>
          </w:tcPr>
          <w:p w14:paraId="05ED765B" w14:textId="77777777" w:rsidR="00576FE1" w:rsidRPr="00B80F8B" w:rsidRDefault="00576FE1" w:rsidP="00115CD6">
            <w:pPr>
              <w:spacing w:after="0" w:line="240" w:lineRule="auto"/>
              <w:ind w:right="-456"/>
              <w:rPr>
                <w:b/>
                <w:i/>
                <w:sz w:val="16"/>
                <w:szCs w:val="16"/>
              </w:rPr>
            </w:pPr>
            <w:r w:rsidRPr="00B80F8B">
              <w:rPr>
                <w:b/>
                <w:i/>
                <w:sz w:val="16"/>
                <w:szCs w:val="16"/>
              </w:rPr>
              <w:t>Medical History</w:t>
            </w:r>
            <w:r w:rsidRPr="00B80F8B">
              <w:rPr>
                <w:b/>
                <w:i/>
                <w:sz w:val="16"/>
                <w:szCs w:val="16"/>
                <w:vertAlign w:val="superscript"/>
              </w:rPr>
              <w:t>3</w:t>
            </w:r>
          </w:p>
        </w:tc>
        <w:tc>
          <w:tcPr>
            <w:tcW w:w="1736" w:type="dxa"/>
            <w:tcBorders>
              <w:top w:val="dotted" w:sz="4" w:space="0" w:color="767171"/>
              <w:left w:val="nil"/>
              <w:bottom w:val="dotted" w:sz="4" w:space="0" w:color="767171"/>
              <w:right w:val="nil"/>
            </w:tcBorders>
            <w:vAlign w:val="center"/>
            <w:hideMark/>
          </w:tcPr>
          <w:p w14:paraId="01E24300"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3119" w:type="dxa"/>
            <w:tcBorders>
              <w:top w:val="dotted" w:sz="4" w:space="0" w:color="767171"/>
              <w:left w:val="nil"/>
              <w:bottom w:val="dotted" w:sz="4" w:space="0" w:color="767171"/>
              <w:right w:val="nil"/>
            </w:tcBorders>
            <w:vAlign w:val="center"/>
          </w:tcPr>
          <w:p w14:paraId="6031047B" w14:textId="77777777" w:rsidR="00576FE1" w:rsidRPr="00B80F8B" w:rsidRDefault="00576FE1" w:rsidP="00115CD6">
            <w:pPr>
              <w:spacing w:after="0" w:line="240" w:lineRule="auto"/>
              <w:ind w:right="-456"/>
              <w:rPr>
                <w:b/>
                <w:i/>
                <w:sz w:val="16"/>
                <w:szCs w:val="16"/>
              </w:rPr>
            </w:pPr>
          </w:p>
        </w:tc>
        <w:tc>
          <w:tcPr>
            <w:tcW w:w="2830" w:type="dxa"/>
            <w:tcBorders>
              <w:top w:val="dotted" w:sz="4" w:space="0" w:color="767171"/>
              <w:left w:val="nil"/>
              <w:bottom w:val="dotted" w:sz="4" w:space="0" w:color="767171"/>
              <w:right w:val="nil"/>
            </w:tcBorders>
            <w:vAlign w:val="center"/>
          </w:tcPr>
          <w:p w14:paraId="5385C657" w14:textId="77777777" w:rsidR="00576FE1" w:rsidRPr="00B80F8B" w:rsidRDefault="00576FE1" w:rsidP="00115CD6">
            <w:pPr>
              <w:spacing w:after="0" w:line="240" w:lineRule="auto"/>
              <w:ind w:right="-456"/>
              <w:rPr>
                <w:b/>
                <w:i/>
                <w:sz w:val="16"/>
                <w:szCs w:val="16"/>
                <w:lang w:val="es-ES"/>
              </w:rPr>
            </w:pPr>
          </w:p>
        </w:tc>
        <w:tc>
          <w:tcPr>
            <w:tcW w:w="2297" w:type="dxa"/>
            <w:tcBorders>
              <w:top w:val="dotted" w:sz="4" w:space="0" w:color="767171"/>
              <w:left w:val="nil"/>
              <w:bottom w:val="dotted" w:sz="4" w:space="0" w:color="767171"/>
              <w:right w:val="nil"/>
            </w:tcBorders>
            <w:vAlign w:val="center"/>
          </w:tcPr>
          <w:p w14:paraId="4E16D86A" w14:textId="77777777" w:rsidR="00576FE1" w:rsidRPr="00B80F8B" w:rsidRDefault="00576FE1" w:rsidP="00115CD6">
            <w:pPr>
              <w:spacing w:after="0" w:line="240" w:lineRule="auto"/>
              <w:ind w:right="-456"/>
              <w:rPr>
                <w:b/>
                <w:i/>
                <w:sz w:val="16"/>
                <w:szCs w:val="16"/>
                <w:lang w:val="es-ES"/>
              </w:rPr>
            </w:pPr>
          </w:p>
        </w:tc>
      </w:tr>
      <w:tr w:rsidR="00576FE1" w:rsidRPr="00B80F8B" w14:paraId="0C235B9C" w14:textId="77777777" w:rsidTr="00115CD6">
        <w:trPr>
          <w:trHeight w:val="227"/>
        </w:trPr>
        <w:tc>
          <w:tcPr>
            <w:tcW w:w="4902" w:type="dxa"/>
            <w:tcBorders>
              <w:top w:val="dotted" w:sz="4" w:space="0" w:color="767171"/>
              <w:left w:val="nil"/>
              <w:bottom w:val="dotted" w:sz="4" w:space="0" w:color="767171"/>
              <w:right w:val="nil"/>
            </w:tcBorders>
            <w:vAlign w:val="center"/>
            <w:hideMark/>
          </w:tcPr>
          <w:p w14:paraId="0C02A138" w14:textId="77777777" w:rsidR="00576FE1" w:rsidRPr="00B80F8B" w:rsidRDefault="00576FE1" w:rsidP="00115CD6">
            <w:pPr>
              <w:spacing w:after="0" w:line="240" w:lineRule="auto"/>
              <w:ind w:right="-456"/>
              <w:rPr>
                <w:b/>
                <w:i/>
                <w:sz w:val="16"/>
                <w:szCs w:val="16"/>
              </w:rPr>
            </w:pPr>
            <w:r w:rsidRPr="00B80F8B">
              <w:rPr>
                <w:b/>
                <w:i/>
                <w:sz w:val="16"/>
                <w:szCs w:val="16"/>
              </w:rPr>
              <w:t>Physical Examination and ECOG status</w:t>
            </w:r>
            <w:r w:rsidRPr="00B80F8B">
              <w:rPr>
                <w:b/>
                <w:i/>
                <w:sz w:val="16"/>
                <w:szCs w:val="16"/>
                <w:vertAlign w:val="superscript"/>
              </w:rPr>
              <w:t>4,5</w:t>
            </w:r>
          </w:p>
        </w:tc>
        <w:tc>
          <w:tcPr>
            <w:tcW w:w="1736" w:type="dxa"/>
            <w:tcBorders>
              <w:top w:val="dotted" w:sz="4" w:space="0" w:color="767171"/>
              <w:left w:val="nil"/>
              <w:bottom w:val="dotted" w:sz="4" w:space="0" w:color="767171"/>
              <w:right w:val="nil"/>
            </w:tcBorders>
            <w:vAlign w:val="center"/>
            <w:hideMark/>
          </w:tcPr>
          <w:p w14:paraId="5BEF85AF"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3119" w:type="dxa"/>
            <w:tcBorders>
              <w:top w:val="dotted" w:sz="4" w:space="0" w:color="767171"/>
              <w:left w:val="nil"/>
              <w:bottom w:val="dotted" w:sz="4" w:space="0" w:color="767171"/>
              <w:right w:val="nil"/>
            </w:tcBorders>
            <w:vAlign w:val="center"/>
            <w:hideMark/>
          </w:tcPr>
          <w:p w14:paraId="0EE86817"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2830" w:type="dxa"/>
            <w:tcBorders>
              <w:top w:val="dotted" w:sz="4" w:space="0" w:color="767171"/>
              <w:left w:val="nil"/>
              <w:bottom w:val="dotted" w:sz="4" w:space="0" w:color="767171"/>
              <w:right w:val="nil"/>
            </w:tcBorders>
            <w:vAlign w:val="center"/>
            <w:hideMark/>
          </w:tcPr>
          <w:p w14:paraId="04EDE1D9"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2297" w:type="dxa"/>
            <w:tcBorders>
              <w:top w:val="dotted" w:sz="4" w:space="0" w:color="767171"/>
              <w:left w:val="nil"/>
              <w:bottom w:val="dotted" w:sz="4" w:space="0" w:color="767171"/>
              <w:right w:val="nil"/>
            </w:tcBorders>
            <w:vAlign w:val="center"/>
          </w:tcPr>
          <w:p w14:paraId="34FDEABE" w14:textId="77777777" w:rsidR="00576FE1" w:rsidRPr="00B80F8B" w:rsidRDefault="00576FE1" w:rsidP="00115CD6">
            <w:pPr>
              <w:spacing w:after="0" w:line="240" w:lineRule="auto"/>
              <w:ind w:right="-456"/>
              <w:rPr>
                <w:b/>
                <w:i/>
                <w:sz w:val="16"/>
                <w:szCs w:val="16"/>
              </w:rPr>
            </w:pPr>
          </w:p>
        </w:tc>
      </w:tr>
      <w:tr w:rsidR="00576FE1" w:rsidRPr="00B80F8B" w14:paraId="08566FBC" w14:textId="77777777" w:rsidTr="00115CD6">
        <w:trPr>
          <w:trHeight w:val="227"/>
        </w:trPr>
        <w:tc>
          <w:tcPr>
            <w:tcW w:w="4902" w:type="dxa"/>
            <w:tcBorders>
              <w:top w:val="dotted" w:sz="4" w:space="0" w:color="767171"/>
              <w:left w:val="nil"/>
              <w:bottom w:val="dotted" w:sz="4" w:space="0" w:color="767171"/>
              <w:right w:val="nil"/>
            </w:tcBorders>
            <w:vAlign w:val="center"/>
            <w:hideMark/>
          </w:tcPr>
          <w:p w14:paraId="437E2851" w14:textId="77777777" w:rsidR="00576FE1" w:rsidRPr="00B80F8B" w:rsidRDefault="00576FE1" w:rsidP="00115CD6">
            <w:pPr>
              <w:spacing w:after="0" w:line="240" w:lineRule="auto"/>
              <w:ind w:right="-456"/>
              <w:rPr>
                <w:b/>
                <w:i/>
                <w:sz w:val="16"/>
                <w:szCs w:val="16"/>
              </w:rPr>
            </w:pPr>
            <w:r w:rsidRPr="00B80F8B">
              <w:rPr>
                <w:b/>
                <w:i/>
                <w:sz w:val="16"/>
                <w:szCs w:val="16"/>
              </w:rPr>
              <w:t>Weight and Vital signs</w:t>
            </w:r>
          </w:p>
        </w:tc>
        <w:tc>
          <w:tcPr>
            <w:tcW w:w="1736" w:type="dxa"/>
            <w:tcBorders>
              <w:top w:val="dotted" w:sz="4" w:space="0" w:color="767171"/>
              <w:left w:val="nil"/>
              <w:bottom w:val="dotted" w:sz="4" w:space="0" w:color="767171"/>
              <w:right w:val="nil"/>
            </w:tcBorders>
            <w:vAlign w:val="center"/>
            <w:hideMark/>
          </w:tcPr>
          <w:p w14:paraId="59DD918D"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3119" w:type="dxa"/>
            <w:tcBorders>
              <w:top w:val="dotted" w:sz="4" w:space="0" w:color="767171"/>
              <w:left w:val="nil"/>
              <w:bottom w:val="dotted" w:sz="4" w:space="0" w:color="767171"/>
              <w:right w:val="nil"/>
            </w:tcBorders>
            <w:vAlign w:val="center"/>
            <w:hideMark/>
          </w:tcPr>
          <w:p w14:paraId="2425BE2B"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2830" w:type="dxa"/>
            <w:tcBorders>
              <w:top w:val="dotted" w:sz="4" w:space="0" w:color="767171"/>
              <w:left w:val="nil"/>
              <w:bottom w:val="dotted" w:sz="4" w:space="0" w:color="767171"/>
              <w:right w:val="nil"/>
            </w:tcBorders>
            <w:vAlign w:val="center"/>
            <w:hideMark/>
          </w:tcPr>
          <w:p w14:paraId="56FD3955"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2297" w:type="dxa"/>
            <w:tcBorders>
              <w:top w:val="dotted" w:sz="4" w:space="0" w:color="767171"/>
              <w:left w:val="nil"/>
              <w:bottom w:val="dotted" w:sz="4" w:space="0" w:color="767171"/>
              <w:right w:val="nil"/>
            </w:tcBorders>
            <w:vAlign w:val="center"/>
          </w:tcPr>
          <w:p w14:paraId="4B8D572E" w14:textId="77777777" w:rsidR="00576FE1" w:rsidRPr="00B80F8B" w:rsidRDefault="00576FE1" w:rsidP="00115CD6">
            <w:pPr>
              <w:spacing w:after="0" w:line="240" w:lineRule="auto"/>
              <w:ind w:right="-456"/>
              <w:rPr>
                <w:b/>
                <w:i/>
                <w:sz w:val="16"/>
                <w:szCs w:val="16"/>
              </w:rPr>
            </w:pPr>
          </w:p>
        </w:tc>
      </w:tr>
      <w:tr w:rsidR="00576FE1" w:rsidRPr="00B80F8B" w14:paraId="5A8FD4F0" w14:textId="77777777" w:rsidTr="00115CD6">
        <w:trPr>
          <w:trHeight w:val="227"/>
        </w:trPr>
        <w:tc>
          <w:tcPr>
            <w:tcW w:w="4902" w:type="dxa"/>
            <w:tcBorders>
              <w:top w:val="dotted" w:sz="4" w:space="0" w:color="767171"/>
              <w:left w:val="nil"/>
              <w:bottom w:val="dotted" w:sz="4" w:space="0" w:color="767171"/>
              <w:right w:val="nil"/>
            </w:tcBorders>
            <w:vAlign w:val="center"/>
            <w:hideMark/>
          </w:tcPr>
          <w:p w14:paraId="7709219C" w14:textId="77777777" w:rsidR="00576FE1" w:rsidRPr="00B80F8B" w:rsidRDefault="00576FE1" w:rsidP="00115CD6">
            <w:pPr>
              <w:spacing w:after="0" w:line="240" w:lineRule="auto"/>
              <w:ind w:right="-456"/>
              <w:rPr>
                <w:b/>
                <w:i/>
                <w:sz w:val="16"/>
                <w:szCs w:val="16"/>
              </w:rPr>
            </w:pPr>
            <w:r w:rsidRPr="00B80F8B">
              <w:rPr>
                <w:b/>
                <w:i/>
                <w:sz w:val="16"/>
                <w:szCs w:val="16"/>
              </w:rPr>
              <w:t>Concomitant Medication Reporting</w:t>
            </w:r>
            <w:r w:rsidRPr="00B80F8B">
              <w:rPr>
                <w:b/>
                <w:i/>
                <w:sz w:val="16"/>
                <w:szCs w:val="16"/>
                <w:vertAlign w:val="superscript"/>
              </w:rPr>
              <w:t>6</w:t>
            </w:r>
          </w:p>
        </w:tc>
        <w:tc>
          <w:tcPr>
            <w:tcW w:w="1736" w:type="dxa"/>
            <w:tcBorders>
              <w:top w:val="dotted" w:sz="4" w:space="0" w:color="767171"/>
              <w:left w:val="nil"/>
              <w:bottom w:val="dotted" w:sz="4" w:space="0" w:color="767171"/>
              <w:right w:val="nil"/>
            </w:tcBorders>
            <w:vAlign w:val="center"/>
            <w:hideMark/>
          </w:tcPr>
          <w:p w14:paraId="345B6538"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3119" w:type="dxa"/>
            <w:tcBorders>
              <w:top w:val="dotted" w:sz="4" w:space="0" w:color="767171"/>
              <w:left w:val="nil"/>
              <w:bottom w:val="dotted" w:sz="4" w:space="0" w:color="767171"/>
              <w:right w:val="nil"/>
            </w:tcBorders>
            <w:vAlign w:val="center"/>
            <w:hideMark/>
          </w:tcPr>
          <w:p w14:paraId="3146DF73"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2830" w:type="dxa"/>
            <w:tcBorders>
              <w:top w:val="dotted" w:sz="4" w:space="0" w:color="767171"/>
              <w:left w:val="nil"/>
              <w:bottom w:val="dotted" w:sz="4" w:space="0" w:color="767171"/>
              <w:right w:val="nil"/>
            </w:tcBorders>
            <w:vAlign w:val="center"/>
            <w:hideMark/>
          </w:tcPr>
          <w:p w14:paraId="06F70AE9"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2297" w:type="dxa"/>
            <w:tcBorders>
              <w:top w:val="dotted" w:sz="4" w:space="0" w:color="767171"/>
              <w:left w:val="nil"/>
              <w:bottom w:val="dotted" w:sz="4" w:space="0" w:color="767171"/>
              <w:right w:val="nil"/>
            </w:tcBorders>
            <w:vAlign w:val="center"/>
          </w:tcPr>
          <w:p w14:paraId="4E6A2EBD" w14:textId="77777777" w:rsidR="00576FE1" w:rsidRPr="00B80F8B" w:rsidRDefault="00576FE1" w:rsidP="00115CD6">
            <w:pPr>
              <w:spacing w:after="0" w:line="240" w:lineRule="auto"/>
              <w:ind w:right="-456"/>
              <w:rPr>
                <w:b/>
                <w:i/>
                <w:sz w:val="16"/>
                <w:szCs w:val="16"/>
              </w:rPr>
            </w:pPr>
          </w:p>
        </w:tc>
      </w:tr>
      <w:tr w:rsidR="00576FE1" w:rsidRPr="00B80F8B" w14:paraId="12BC4ACB" w14:textId="77777777" w:rsidTr="00115CD6">
        <w:trPr>
          <w:trHeight w:val="227"/>
        </w:trPr>
        <w:tc>
          <w:tcPr>
            <w:tcW w:w="4902" w:type="dxa"/>
            <w:tcBorders>
              <w:top w:val="dotted" w:sz="4" w:space="0" w:color="767171"/>
              <w:left w:val="nil"/>
              <w:bottom w:val="dotted" w:sz="4" w:space="0" w:color="767171"/>
              <w:right w:val="nil"/>
            </w:tcBorders>
            <w:vAlign w:val="center"/>
            <w:hideMark/>
          </w:tcPr>
          <w:p w14:paraId="5AE8D194" w14:textId="77777777" w:rsidR="00576FE1" w:rsidRPr="00B80F8B" w:rsidRDefault="00576FE1" w:rsidP="00115CD6">
            <w:pPr>
              <w:spacing w:after="0" w:line="240" w:lineRule="auto"/>
              <w:ind w:right="-456"/>
              <w:rPr>
                <w:b/>
                <w:i/>
                <w:sz w:val="16"/>
                <w:szCs w:val="16"/>
              </w:rPr>
            </w:pPr>
            <w:r w:rsidRPr="00B80F8B">
              <w:rPr>
                <w:b/>
                <w:i/>
                <w:sz w:val="16"/>
                <w:szCs w:val="16"/>
              </w:rPr>
              <w:t>Review Patient Diary</w:t>
            </w:r>
          </w:p>
        </w:tc>
        <w:tc>
          <w:tcPr>
            <w:tcW w:w="1736" w:type="dxa"/>
            <w:tcBorders>
              <w:top w:val="dotted" w:sz="4" w:space="0" w:color="767171"/>
              <w:left w:val="nil"/>
              <w:bottom w:val="dotted" w:sz="4" w:space="0" w:color="767171"/>
              <w:right w:val="nil"/>
            </w:tcBorders>
            <w:vAlign w:val="center"/>
          </w:tcPr>
          <w:p w14:paraId="30BD052A" w14:textId="77777777" w:rsidR="00576FE1" w:rsidRPr="00B80F8B" w:rsidRDefault="00576FE1" w:rsidP="00115CD6">
            <w:pPr>
              <w:spacing w:after="0" w:line="240" w:lineRule="auto"/>
              <w:ind w:right="-456"/>
              <w:rPr>
                <w:b/>
                <w:i/>
                <w:sz w:val="16"/>
                <w:szCs w:val="16"/>
              </w:rPr>
            </w:pPr>
          </w:p>
        </w:tc>
        <w:tc>
          <w:tcPr>
            <w:tcW w:w="3119" w:type="dxa"/>
            <w:tcBorders>
              <w:top w:val="dotted" w:sz="4" w:space="0" w:color="767171"/>
              <w:left w:val="nil"/>
              <w:bottom w:val="dotted" w:sz="4" w:space="0" w:color="767171"/>
              <w:right w:val="nil"/>
            </w:tcBorders>
            <w:vAlign w:val="center"/>
            <w:hideMark/>
          </w:tcPr>
          <w:p w14:paraId="5E7BF366"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2830" w:type="dxa"/>
            <w:tcBorders>
              <w:top w:val="dotted" w:sz="4" w:space="0" w:color="767171"/>
              <w:left w:val="nil"/>
              <w:bottom w:val="dotted" w:sz="4" w:space="0" w:color="767171"/>
              <w:right w:val="nil"/>
            </w:tcBorders>
            <w:vAlign w:val="center"/>
          </w:tcPr>
          <w:p w14:paraId="54357369" w14:textId="77777777" w:rsidR="00576FE1" w:rsidRPr="00B80F8B" w:rsidRDefault="00576FE1" w:rsidP="00115CD6">
            <w:pPr>
              <w:spacing w:after="0" w:line="240" w:lineRule="auto"/>
              <w:ind w:right="-456"/>
              <w:rPr>
                <w:b/>
                <w:i/>
                <w:sz w:val="16"/>
                <w:szCs w:val="16"/>
              </w:rPr>
            </w:pPr>
          </w:p>
        </w:tc>
        <w:tc>
          <w:tcPr>
            <w:tcW w:w="2297" w:type="dxa"/>
            <w:tcBorders>
              <w:top w:val="dotted" w:sz="4" w:space="0" w:color="767171"/>
              <w:left w:val="nil"/>
              <w:bottom w:val="dotted" w:sz="4" w:space="0" w:color="767171"/>
              <w:right w:val="nil"/>
            </w:tcBorders>
            <w:vAlign w:val="center"/>
          </w:tcPr>
          <w:p w14:paraId="21995771" w14:textId="77777777" w:rsidR="00576FE1" w:rsidRPr="00B80F8B" w:rsidRDefault="00576FE1" w:rsidP="00115CD6">
            <w:pPr>
              <w:spacing w:after="0" w:line="240" w:lineRule="auto"/>
              <w:ind w:right="-456"/>
              <w:rPr>
                <w:b/>
                <w:i/>
                <w:sz w:val="16"/>
                <w:szCs w:val="16"/>
              </w:rPr>
            </w:pPr>
          </w:p>
        </w:tc>
      </w:tr>
      <w:tr w:rsidR="00576FE1" w:rsidRPr="00B80F8B" w14:paraId="16AE95C5" w14:textId="77777777" w:rsidTr="00115CD6">
        <w:trPr>
          <w:trHeight w:val="227"/>
        </w:trPr>
        <w:tc>
          <w:tcPr>
            <w:tcW w:w="4902" w:type="dxa"/>
            <w:tcBorders>
              <w:top w:val="dotted" w:sz="4" w:space="0" w:color="767171"/>
              <w:left w:val="nil"/>
              <w:bottom w:val="dotted" w:sz="4" w:space="0" w:color="767171"/>
              <w:right w:val="nil"/>
            </w:tcBorders>
            <w:vAlign w:val="center"/>
            <w:hideMark/>
          </w:tcPr>
          <w:p w14:paraId="5C8DFED3" w14:textId="77777777" w:rsidR="00576FE1" w:rsidRPr="00B80F8B" w:rsidRDefault="00576FE1" w:rsidP="00115CD6">
            <w:pPr>
              <w:spacing w:after="0" w:line="240" w:lineRule="auto"/>
              <w:ind w:right="-456"/>
              <w:rPr>
                <w:b/>
                <w:i/>
                <w:sz w:val="16"/>
                <w:szCs w:val="16"/>
              </w:rPr>
            </w:pPr>
            <w:r w:rsidRPr="00B80F8B">
              <w:rPr>
                <w:b/>
                <w:i/>
                <w:sz w:val="16"/>
                <w:szCs w:val="16"/>
              </w:rPr>
              <w:t>AE reporting</w:t>
            </w:r>
            <w:r w:rsidRPr="00B80F8B">
              <w:rPr>
                <w:b/>
                <w:i/>
                <w:sz w:val="16"/>
                <w:szCs w:val="16"/>
                <w:vertAlign w:val="superscript"/>
              </w:rPr>
              <w:t>7</w:t>
            </w:r>
          </w:p>
        </w:tc>
        <w:tc>
          <w:tcPr>
            <w:tcW w:w="1736" w:type="dxa"/>
            <w:tcBorders>
              <w:top w:val="dotted" w:sz="4" w:space="0" w:color="767171"/>
              <w:left w:val="nil"/>
              <w:bottom w:val="dotted" w:sz="4" w:space="0" w:color="767171"/>
              <w:right w:val="nil"/>
            </w:tcBorders>
            <w:vAlign w:val="center"/>
            <w:hideMark/>
          </w:tcPr>
          <w:p w14:paraId="4E75BD84"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3119" w:type="dxa"/>
            <w:tcBorders>
              <w:top w:val="dotted" w:sz="4" w:space="0" w:color="767171"/>
              <w:left w:val="nil"/>
              <w:bottom w:val="dotted" w:sz="4" w:space="0" w:color="767171"/>
              <w:right w:val="nil"/>
            </w:tcBorders>
            <w:vAlign w:val="center"/>
            <w:hideMark/>
          </w:tcPr>
          <w:p w14:paraId="15F45B21"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2830" w:type="dxa"/>
            <w:tcBorders>
              <w:top w:val="dotted" w:sz="4" w:space="0" w:color="767171"/>
              <w:left w:val="nil"/>
              <w:bottom w:val="dotted" w:sz="4" w:space="0" w:color="767171"/>
              <w:right w:val="nil"/>
            </w:tcBorders>
            <w:vAlign w:val="center"/>
            <w:hideMark/>
          </w:tcPr>
          <w:p w14:paraId="5A58C339"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2297" w:type="dxa"/>
            <w:tcBorders>
              <w:top w:val="dotted" w:sz="4" w:space="0" w:color="767171"/>
              <w:left w:val="nil"/>
              <w:bottom w:val="dotted" w:sz="4" w:space="0" w:color="767171"/>
              <w:right w:val="nil"/>
            </w:tcBorders>
            <w:vAlign w:val="center"/>
          </w:tcPr>
          <w:p w14:paraId="1A46516E" w14:textId="77777777" w:rsidR="00576FE1" w:rsidRPr="00B80F8B" w:rsidRDefault="00576FE1" w:rsidP="00115CD6">
            <w:pPr>
              <w:spacing w:after="0" w:line="240" w:lineRule="auto"/>
              <w:ind w:right="-456"/>
              <w:rPr>
                <w:b/>
                <w:i/>
                <w:sz w:val="16"/>
                <w:szCs w:val="16"/>
              </w:rPr>
            </w:pPr>
          </w:p>
        </w:tc>
      </w:tr>
      <w:tr w:rsidR="00576FE1" w:rsidRPr="00B80F8B" w14:paraId="7DF4816F" w14:textId="77777777" w:rsidTr="00115CD6">
        <w:trPr>
          <w:trHeight w:val="227"/>
        </w:trPr>
        <w:tc>
          <w:tcPr>
            <w:tcW w:w="4902" w:type="dxa"/>
            <w:tcBorders>
              <w:top w:val="dotted" w:sz="4" w:space="0" w:color="767171"/>
              <w:left w:val="nil"/>
              <w:bottom w:val="dotted" w:sz="4" w:space="0" w:color="767171"/>
              <w:right w:val="nil"/>
            </w:tcBorders>
            <w:vAlign w:val="center"/>
            <w:hideMark/>
          </w:tcPr>
          <w:p w14:paraId="42B471DF" w14:textId="77777777" w:rsidR="00576FE1" w:rsidRPr="00B80F8B" w:rsidRDefault="00576FE1" w:rsidP="00115CD6">
            <w:pPr>
              <w:spacing w:after="0" w:line="240" w:lineRule="auto"/>
              <w:ind w:right="-456"/>
              <w:rPr>
                <w:b/>
                <w:i/>
                <w:sz w:val="16"/>
                <w:szCs w:val="16"/>
              </w:rPr>
            </w:pPr>
            <w:r w:rsidRPr="00B80F8B">
              <w:rPr>
                <w:b/>
                <w:i/>
                <w:sz w:val="16"/>
                <w:szCs w:val="16"/>
              </w:rPr>
              <w:t>12-lead ECG</w:t>
            </w:r>
            <w:r w:rsidRPr="00B80F8B">
              <w:rPr>
                <w:b/>
                <w:i/>
                <w:sz w:val="16"/>
                <w:szCs w:val="16"/>
                <w:vertAlign w:val="superscript"/>
              </w:rPr>
              <w:t>8</w:t>
            </w:r>
          </w:p>
        </w:tc>
        <w:tc>
          <w:tcPr>
            <w:tcW w:w="1736" w:type="dxa"/>
            <w:tcBorders>
              <w:top w:val="dotted" w:sz="4" w:space="0" w:color="767171"/>
              <w:left w:val="nil"/>
              <w:bottom w:val="dotted" w:sz="4" w:space="0" w:color="767171"/>
              <w:right w:val="nil"/>
            </w:tcBorders>
            <w:vAlign w:val="center"/>
            <w:hideMark/>
          </w:tcPr>
          <w:p w14:paraId="1F81408B"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3119" w:type="dxa"/>
            <w:tcBorders>
              <w:top w:val="dotted" w:sz="4" w:space="0" w:color="767171"/>
              <w:left w:val="nil"/>
              <w:bottom w:val="dotted" w:sz="4" w:space="0" w:color="767171"/>
              <w:right w:val="nil"/>
            </w:tcBorders>
            <w:vAlign w:val="center"/>
            <w:hideMark/>
          </w:tcPr>
          <w:p w14:paraId="3C95E7BE" w14:textId="77777777" w:rsidR="00576FE1" w:rsidRPr="00B80F8B" w:rsidRDefault="00576FE1" w:rsidP="00115CD6">
            <w:pPr>
              <w:spacing w:after="0" w:line="240" w:lineRule="auto"/>
              <w:ind w:right="-456"/>
              <w:rPr>
                <w:b/>
                <w:i/>
                <w:sz w:val="16"/>
                <w:szCs w:val="16"/>
              </w:rPr>
            </w:pPr>
            <w:r w:rsidRPr="00B80F8B">
              <w:rPr>
                <w:b/>
                <w:i/>
                <w:sz w:val="16"/>
                <w:szCs w:val="16"/>
                <w:lang w:val="es-ES"/>
              </w:rPr>
              <w:t>X</w:t>
            </w:r>
          </w:p>
        </w:tc>
        <w:tc>
          <w:tcPr>
            <w:tcW w:w="2830" w:type="dxa"/>
            <w:tcBorders>
              <w:top w:val="dotted" w:sz="4" w:space="0" w:color="767171"/>
              <w:left w:val="nil"/>
              <w:bottom w:val="dotted" w:sz="4" w:space="0" w:color="767171"/>
              <w:right w:val="nil"/>
            </w:tcBorders>
            <w:vAlign w:val="center"/>
            <w:hideMark/>
          </w:tcPr>
          <w:p w14:paraId="5DE8364B" w14:textId="77777777" w:rsidR="00576FE1" w:rsidRPr="00B80F8B" w:rsidRDefault="00576FE1" w:rsidP="00115CD6">
            <w:pPr>
              <w:spacing w:after="0" w:line="240" w:lineRule="auto"/>
              <w:ind w:right="-456"/>
              <w:rPr>
                <w:b/>
                <w:i/>
                <w:sz w:val="16"/>
                <w:szCs w:val="16"/>
                <w:lang w:val="es-ES"/>
              </w:rPr>
            </w:pPr>
            <w:r w:rsidRPr="00B80F8B">
              <w:rPr>
                <w:b/>
                <w:i/>
                <w:sz w:val="16"/>
                <w:szCs w:val="16"/>
                <w:lang w:val="es-ES"/>
              </w:rPr>
              <w:t>X</w:t>
            </w:r>
          </w:p>
        </w:tc>
        <w:tc>
          <w:tcPr>
            <w:tcW w:w="2297" w:type="dxa"/>
            <w:tcBorders>
              <w:top w:val="dotted" w:sz="4" w:space="0" w:color="767171"/>
              <w:left w:val="nil"/>
              <w:bottom w:val="dotted" w:sz="4" w:space="0" w:color="767171"/>
              <w:right w:val="nil"/>
            </w:tcBorders>
            <w:vAlign w:val="center"/>
          </w:tcPr>
          <w:p w14:paraId="3077C605" w14:textId="77777777" w:rsidR="00576FE1" w:rsidRPr="00B80F8B" w:rsidRDefault="00576FE1" w:rsidP="00115CD6">
            <w:pPr>
              <w:spacing w:after="0" w:line="240" w:lineRule="auto"/>
              <w:ind w:right="-456"/>
              <w:rPr>
                <w:b/>
                <w:i/>
                <w:sz w:val="16"/>
                <w:szCs w:val="16"/>
                <w:lang w:val="es-ES"/>
              </w:rPr>
            </w:pPr>
          </w:p>
        </w:tc>
      </w:tr>
      <w:tr w:rsidR="00576FE1" w:rsidRPr="00B80F8B" w14:paraId="21D8DE28" w14:textId="77777777" w:rsidTr="00115CD6">
        <w:trPr>
          <w:trHeight w:val="227"/>
        </w:trPr>
        <w:tc>
          <w:tcPr>
            <w:tcW w:w="4902" w:type="dxa"/>
            <w:tcBorders>
              <w:top w:val="dotted" w:sz="4" w:space="0" w:color="767171"/>
              <w:left w:val="nil"/>
              <w:bottom w:val="single" w:sz="4" w:space="0" w:color="auto"/>
              <w:right w:val="nil"/>
            </w:tcBorders>
            <w:vAlign w:val="center"/>
            <w:hideMark/>
          </w:tcPr>
          <w:p w14:paraId="28167470" w14:textId="77777777" w:rsidR="00576FE1" w:rsidRPr="00B80F8B" w:rsidRDefault="00576FE1" w:rsidP="00115CD6">
            <w:pPr>
              <w:spacing w:after="0" w:line="240" w:lineRule="auto"/>
              <w:ind w:right="-456"/>
              <w:rPr>
                <w:b/>
                <w:i/>
                <w:sz w:val="16"/>
                <w:szCs w:val="16"/>
              </w:rPr>
            </w:pPr>
            <w:r w:rsidRPr="00B80F8B">
              <w:rPr>
                <w:b/>
                <w:i/>
                <w:sz w:val="16"/>
                <w:szCs w:val="16"/>
              </w:rPr>
              <w:t>Tumor Assessments</w:t>
            </w:r>
            <w:r w:rsidRPr="00B80F8B">
              <w:rPr>
                <w:b/>
                <w:i/>
                <w:sz w:val="16"/>
                <w:szCs w:val="16"/>
                <w:vertAlign w:val="superscript"/>
              </w:rPr>
              <w:t>9</w:t>
            </w:r>
          </w:p>
        </w:tc>
        <w:tc>
          <w:tcPr>
            <w:tcW w:w="1736" w:type="dxa"/>
            <w:tcBorders>
              <w:top w:val="dotted" w:sz="4" w:space="0" w:color="767171"/>
              <w:left w:val="nil"/>
              <w:bottom w:val="single" w:sz="4" w:space="0" w:color="auto"/>
              <w:right w:val="nil"/>
            </w:tcBorders>
            <w:vAlign w:val="center"/>
            <w:hideMark/>
          </w:tcPr>
          <w:p w14:paraId="007DC2EF"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3119" w:type="dxa"/>
            <w:tcBorders>
              <w:top w:val="dotted" w:sz="4" w:space="0" w:color="767171"/>
              <w:left w:val="nil"/>
              <w:bottom w:val="single" w:sz="4" w:space="0" w:color="auto"/>
              <w:right w:val="nil"/>
            </w:tcBorders>
            <w:vAlign w:val="center"/>
            <w:hideMark/>
          </w:tcPr>
          <w:p w14:paraId="73AC00EB" w14:textId="77777777" w:rsidR="00576FE1" w:rsidRPr="00B80F8B" w:rsidRDefault="00576FE1" w:rsidP="00115CD6">
            <w:pPr>
              <w:spacing w:after="0" w:line="240" w:lineRule="auto"/>
              <w:ind w:right="-456"/>
              <w:rPr>
                <w:b/>
                <w:i/>
                <w:sz w:val="16"/>
                <w:szCs w:val="16"/>
              </w:rPr>
            </w:pPr>
            <w:r w:rsidRPr="00B80F8B">
              <w:rPr>
                <w:b/>
                <w:i/>
                <w:sz w:val="16"/>
                <w:szCs w:val="16"/>
                <w:lang w:val="es-ES"/>
              </w:rPr>
              <w:t>X</w:t>
            </w:r>
          </w:p>
        </w:tc>
        <w:tc>
          <w:tcPr>
            <w:tcW w:w="2830" w:type="dxa"/>
            <w:tcBorders>
              <w:top w:val="dotted" w:sz="4" w:space="0" w:color="767171"/>
              <w:left w:val="nil"/>
              <w:bottom w:val="single" w:sz="4" w:space="0" w:color="auto"/>
              <w:right w:val="nil"/>
            </w:tcBorders>
            <w:vAlign w:val="center"/>
            <w:hideMark/>
          </w:tcPr>
          <w:p w14:paraId="28AC3D1F"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2297" w:type="dxa"/>
            <w:tcBorders>
              <w:top w:val="dotted" w:sz="4" w:space="0" w:color="767171"/>
              <w:left w:val="nil"/>
              <w:bottom w:val="single" w:sz="4" w:space="0" w:color="auto"/>
              <w:right w:val="nil"/>
            </w:tcBorders>
            <w:vAlign w:val="center"/>
            <w:hideMark/>
          </w:tcPr>
          <w:p w14:paraId="72B1961D" w14:textId="77777777" w:rsidR="00576FE1" w:rsidRPr="00B80F8B" w:rsidRDefault="00576FE1" w:rsidP="00115CD6">
            <w:pPr>
              <w:spacing w:after="0" w:line="240" w:lineRule="auto"/>
              <w:ind w:right="-456"/>
              <w:rPr>
                <w:b/>
                <w:i/>
                <w:sz w:val="16"/>
                <w:szCs w:val="16"/>
              </w:rPr>
            </w:pPr>
            <w:r w:rsidRPr="00B80F8B">
              <w:rPr>
                <w:b/>
                <w:i/>
                <w:sz w:val="16"/>
                <w:szCs w:val="16"/>
              </w:rPr>
              <w:t>x</w:t>
            </w:r>
          </w:p>
        </w:tc>
      </w:tr>
      <w:tr w:rsidR="00576FE1" w:rsidRPr="00B80F8B" w14:paraId="7E7D65CE" w14:textId="77777777" w:rsidTr="00115CD6">
        <w:trPr>
          <w:trHeight w:val="227"/>
        </w:trPr>
        <w:tc>
          <w:tcPr>
            <w:tcW w:w="4902" w:type="dxa"/>
            <w:tcBorders>
              <w:top w:val="single" w:sz="4" w:space="0" w:color="auto"/>
              <w:left w:val="nil"/>
              <w:bottom w:val="single" w:sz="4" w:space="0" w:color="auto"/>
              <w:right w:val="nil"/>
            </w:tcBorders>
            <w:vAlign w:val="center"/>
            <w:hideMark/>
          </w:tcPr>
          <w:p w14:paraId="17CF75AE" w14:textId="77777777" w:rsidR="00576FE1" w:rsidRPr="00B80F8B" w:rsidRDefault="00576FE1" w:rsidP="00115CD6">
            <w:pPr>
              <w:spacing w:after="0" w:line="240" w:lineRule="auto"/>
              <w:ind w:right="-456"/>
              <w:rPr>
                <w:b/>
                <w:i/>
                <w:sz w:val="16"/>
                <w:szCs w:val="16"/>
              </w:rPr>
            </w:pPr>
            <w:r w:rsidRPr="00B80F8B">
              <w:rPr>
                <w:b/>
                <w:i/>
                <w:sz w:val="16"/>
                <w:szCs w:val="16"/>
              </w:rPr>
              <w:t>Samples for translational sub-study:</w:t>
            </w:r>
          </w:p>
        </w:tc>
        <w:tc>
          <w:tcPr>
            <w:tcW w:w="1736" w:type="dxa"/>
            <w:tcBorders>
              <w:top w:val="single" w:sz="4" w:space="0" w:color="auto"/>
              <w:left w:val="nil"/>
              <w:bottom w:val="single" w:sz="4" w:space="0" w:color="auto"/>
              <w:right w:val="nil"/>
            </w:tcBorders>
            <w:vAlign w:val="center"/>
          </w:tcPr>
          <w:p w14:paraId="0CE26330" w14:textId="77777777" w:rsidR="00576FE1" w:rsidRPr="00B80F8B" w:rsidRDefault="00576FE1" w:rsidP="00115CD6">
            <w:pPr>
              <w:spacing w:after="0" w:line="240" w:lineRule="auto"/>
              <w:ind w:right="-456"/>
              <w:rPr>
                <w:b/>
                <w:i/>
                <w:sz w:val="16"/>
                <w:szCs w:val="16"/>
              </w:rPr>
            </w:pPr>
          </w:p>
        </w:tc>
        <w:tc>
          <w:tcPr>
            <w:tcW w:w="3119" w:type="dxa"/>
            <w:tcBorders>
              <w:top w:val="single" w:sz="4" w:space="0" w:color="auto"/>
              <w:left w:val="nil"/>
              <w:bottom w:val="single" w:sz="4" w:space="0" w:color="auto"/>
              <w:right w:val="nil"/>
            </w:tcBorders>
            <w:vAlign w:val="center"/>
          </w:tcPr>
          <w:p w14:paraId="6403ED25" w14:textId="77777777" w:rsidR="00576FE1" w:rsidRPr="00B80F8B" w:rsidRDefault="00576FE1" w:rsidP="00115CD6">
            <w:pPr>
              <w:spacing w:after="0" w:line="240" w:lineRule="auto"/>
              <w:ind w:right="-456"/>
              <w:rPr>
                <w:b/>
                <w:i/>
                <w:sz w:val="16"/>
                <w:szCs w:val="16"/>
              </w:rPr>
            </w:pPr>
          </w:p>
        </w:tc>
        <w:tc>
          <w:tcPr>
            <w:tcW w:w="2830" w:type="dxa"/>
            <w:tcBorders>
              <w:top w:val="single" w:sz="4" w:space="0" w:color="auto"/>
              <w:left w:val="nil"/>
              <w:bottom w:val="single" w:sz="4" w:space="0" w:color="auto"/>
              <w:right w:val="nil"/>
            </w:tcBorders>
            <w:vAlign w:val="center"/>
          </w:tcPr>
          <w:p w14:paraId="05AD93F0" w14:textId="77777777" w:rsidR="00576FE1" w:rsidRPr="00B80F8B" w:rsidRDefault="00576FE1" w:rsidP="00115CD6">
            <w:pPr>
              <w:spacing w:after="0" w:line="240" w:lineRule="auto"/>
              <w:ind w:right="-456"/>
              <w:rPr>
                <w:b/>
                <w:i/>
                <w:sz w:val="16"/>
                <w:szCs w:val="16"/>
              </w:rPr>
            </w:pPr>
          </w:p>
        </w:tc>
        <w:tc>
          <w:tcPr>
            <w:tcW w:w="2297" w:type="dxa"/>
            <w:tcBorders>
              <w:top w:val="single" w:sz="4" w:space="0" w:color="auto"/>
              <w:left w:val="nil"/>
              <w:bottom w:val="single" w:sz="4" w:space="0" w:color="auto"/>
              <w:right w:val="nil"/>
            </w:tcBorders>
            <w:vAlign w:val="center"/>
          </w:tcPr>
          <w:p w14:paraId="6F111C73" w14:textId="77777777" w:rsidR="00576FE1" w:rsidRPr="00B80F8B" w:rsidRDefault="00576FE1" w:rsidP="00115CD6">
            <w:pPr>
              <w:spacing w:after="0" w:line="240" w:lineRule="auto"/>
              <w:ind w:right="-456"/>
              <w:rPr>
                <w:b/>
                <w:i/>
                <w:sz w:val="16"/>
                <w:szCs w:val="16"/>
              </w:rPr>
            </w:pPr>
          </w:p>
        </w:tc>
      </w:tr>
      <w:tr w:rsidR="00576FE1" w:rsidRPr="00B80F8B" w14:paraId="1A08B876" w14:textId="77777777" w:rsidTr="00115CD6">
        <w:trPr>
          <w:trHeight w:val="227"/>
        </w:trPr>
        <w:tc>
          <w:tcPr>
            <w:tcW w:w="4902" w:type="dxa"/>
            <w:tcBorders>
              <w:top w:val="single" w:sz="4" w:space="0" w:color="auto"/>
              <w:left w:val="nil"/>
              <w:bottom w:val="dotted" w:sz="4" w:space="0" w:color="767171"/>
              <w:right w:val="nil"/>
            </w:tcBorders>
            <w:vAlign w:val="center"/>
            <w:hideMark/>
          </w:tcPr>
          <w:p w14:paraId="2BB77DC2" w14:textId="77777777" w:rsidR="00576FE1" w:rsidRPr="00B80F8B" w:rsidRDefault="00576FE1" w:rsidP="00115CD6">
            <w:pPr>
              <w:spacing w:after="0" w:line="240" w:lineRule="auto"/>
              <w:ind w:right="-456"/>
              <w:rPr>
                <w:b/>
                <w:i/>
                <w:sz w:val="16"/>
                <w:szCs w:val="16"/>
              </w:rPr>
            </w:pPr>
            <w:r w:rsidRPr="00B80F8B">
              <w:rPr>
                <w:b/>
                <w:i/>
                <w:sz w:val="16"/>
                <w:szCs w:val="16"/>
              </w:rPr>
              <w:t>Primary tumor biopsy</w:t>
            </w:r>
            <w:r w:rsidRPr="00B80F8B">
              <w:rPr>
                <w:b/>
                <w:i/>
                <w:sz w:val="16"/>
                <w:szCs w:val="16"/>
                <w:vertAlign w:val="superscript"/>
              </w:rPr>
              <w:t>10</w:t>
            </w:r>
          </w:p>
        </w:tc>
        <w:tc>
          <w:tcPr>
            <w:tcW w:w="1736" w:type="dxa"/>
            <w:tcBorders>
              <w:top w:val="single" w:sz="4" w:space="0" w:color="auto"/>
              <w:left w:val="nil"/>
              <w:bottom w:val="dotted" w:sz="4" w:space="0" w:color="767171"/>
              <w:right w:val="nil"/>
            </w:tcBorders>
            <w:vAlign w:val="center"/>
            <w:hideMark/>
          </w:tcPr>
          <w:p w14:paraId="396040F0"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3119" w:type="dxa"/>
            <w:tcBorders>
              <w:top w:val="single" w:sz="4" w:space="0" w:color="auto"/>
              <w:left w:val="nil"/>
              <w:bottom w:val="dotted" w:sz="4" w:space="0" w:color="767171"/>
              <w:right w:val="nil"/>
            </w:tcBorders>
            <w:vAlign w:val="center"/>
          </w:tcPr>
          <w:p w14:paraId="3CA7F946" w14:textId="77777777" w:rsidR="00576FE1" w:rsidRPr="00B80F8B" w:rsidRDefault="00576FE1" w:rsidP="00115CD6">
            <w:pPr>
              <w:spacing w:after="0" w:line="240" w:lineRule="auto"/>
              <w:ind w:right="-456"/>
              <w:rPr>
                <w:b/>
                <w:i/>
                <w:sz w:val="16"/>
                <w:szCs w:val="16"/>
              </w:rPr>
            </w:pPr>
          </w:p>
        </w:tc>
        <w:tc>
          <w:tcPr>
            <w:tcW w:w="2830" w:type="dxa"/>
            <w:tcBorders>
              <w:top w:val="single" w:sz="4" w:space="0" w:color="auto"/>
              <w:left w:val="nil"/>
              <w:bottom w:val="dotted" w:sz="4" w:space="0" w:color="767171"/>
              <w:right w:val="nil"/>
            </w:tcBorders>
            <w:vAlign w:val="center"/>
          </w:tcPr>
          <w:p w14:paraId="1312D437" w14:textId="77777777" w:rsidR="00576FE1" w:rsidRPr="00B80F8B" w:rsidRDefault="00576FE1" w:rsidP="00115CD6">
            <w:pPr>
              <w:spacing w:after="0" w:line="240" w:lineRule="auto"/>
              <w:ind w:right="-456"/>
              <w:rPr>
                <w:b/>
                <w:i/>
                <w:sz w:val="16"/>
                <w:szCs w:val="16"/>
              </w:rPr>
            </w:pPr>
          </w:p>
        </w:tc>
        <w:tc>
          <w:tcPr>
            <w:tcW w:w="2297" w:type="dxa"/>
            <w:tcBorders>
              <w:top w:val="single" w:sz="4" w:space="0" w:color="auto"/>
              <w:left w:val="nil"/>
              <w:bottom w:val="dotted" w:sz="4" w:space="0" w:color="767171"/>
              <w:right w:val="nil"/>
            </w:tcBorders>
            <w:vAlign w:val="center"/>
          </w:tcPr>
          <w:p w14:paraId="5463F707" w14:textId="77777777" w:rsidR="00576FE1" w:rsidRPr="00B80F8B" w:rsidRDefault="00576FE1" w:rsidP="00115CD6">
            <w:pPr>
              <w:spacing w:after="0" w:line="240" w:lineRule="auto"/>
              <w:ind w:right="-456"/>
              <w:rPr>
                <w:b/>
                <w:i/>
                <w:sz w:val="16"/>
                <w:szCs w:val="16"/>
              </w:rPr>
            </w:pPr>
          </w:p>
        </w:tc>
      </w:tr>
      <w:tr w:rsidR="00576FE1" w:rsidRPr="00B80F8B" w14:paraId="3EAB9A64" w14:textId="77777777" w:rsidTr="00115CD6">
        <w:trPr>
          <w:trHeight w:val="227"/>
        </w:trPr>
        <w:tc>
          <w:tcPr>
            <w:tcW w:w="4902" w:type="dxa"/>
            <w:tcBorders>
              <w:top w:val="dotted" w:sz="4" w:space="0" w:color="767171"/>
              <w:left w:val="nil"/>
              <w:bottom w:val="dotted" w:sz="4" w:space="0" w:color="767171"/>
              <w:right w:val="nil"/>
            </w:tcBorders>
            <w:vAlign w:val="center"/>
            <w:hideMark/>
          </w:tcPr>
          <w:p w14:paraId="5B995671" w14:textId="77777777" w:rsidR="00576FE1" w:rsidRPr="00B80F8B" w:rsidRDefault="00576FE1" w:rsidP="00115CD6">
            <w:pPr>
              <w:spacing w:after="0" w:line="240" w:lineRule="auto"/>
              <w:ind w:right="-456"/>
              <w:rPr>
                <w:b/>
                <w:i/>
                <w:sz w:val="16"/>
                <w:szCs w:val="16"/>
              </w:rPr>
            </w:pPr>
            <w:r w:rsidRPr="00B80F8B">
              <w:rPr>
                <w:b/>
                <w:i/>
                <w:sz w:val="16"/>
                <w:szCs w:val="16"/>
              </w:rPr>
              <w:t>Blood samples for translational sub-study</w:t>
            </w:r>
            <w:r w:rsidRPr="00B80F8B">
              <w:rPr>
                <w:b/>
                <w:i/>
                <w:sz w:val="16"/>
                <w:szCs w:val="16"/>
                <w:vertAlign w:val="superscript"/>
              </w:rPr>
              <w:t>11</w:t>
            </w:r>
          </w:p>
        </w:tc>
        <w:tc>
          <w:tcPr>
            <w:tcW w:w="1736" w:type="dxa"/>
            <w:tcBorders>
              <w:top w:val="dotted" w:sz="4" w:space="0" w:color="767171"/>
              <w:left w:val="nil"/>
              <w:bottom w:val="dotted" w:sz="4" w:space="0" w:color="767171"/>
              <w:right w:val="nil"/>
            </w:tcBorders>
            <w:vAlign w:val="center"/>
            <w:hideMark/>
          </w:tcPr>
          <w:p w14:paraId="24960325"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3119" w:type="dxa"/>
            <w:tcBorders>
              <w:top w:val="dotted" w:sz="4" w:space="0" w:color="767171"/>
              <w:left w:val="nil"/>
              <w:bottom w:val="dotted" w:sz="4" w:space="0" w:color="767171"/>
              <w:right w:val="nil"/>
            </w:tcBorders>
            <w:vAlign w:val="center"/>
            <w:hideMark/>
          </w:tcPr>
          <w:p w14:paraId="2A0370F8" w14:textId="77777777" w:rsidR="00576FE1" w:rsidRPr="00B80F8B" w:rsidRDefault="00576FE1" w:rsidP="00115CD6">
            <w:pPr>
              <w:spacing w:after="0" w:line="240" w:lineRule="auto"/>
              <w:ind w:right="-456"/>
              <w:rPr>
                <w:b/>
                <w:i/>
                <w:sz w:val="16"/>
                <w:szCs w:val="16"/>
              </w:rPr>
            </w:pPr>
            <w:r w:rsidRPr="00B80F8B">
              <w:rPr>
                <w:b/>
                <w:i/>
                <w:sz w:val="16"/>
                <w:szCs w:val="16"/>
                <w:lang w:val="es-ES"/>
              </w:rPr>
              <w:t>X</w:t>
            </w:r>
          </w:p>
        </w:tc>
        <w:tc>
          <w:tcPr>
            <w:tcW w:w="2830" w:type="dxa"/>
            <w:tcBorders>
              <w:top w:val="dotted" w:sz="4" w:space="0" w:color="767171"/>
              <w:left w:val="nil"/>
              <w:bottom w:val="dotted" w:sz="4" w:space="0" w:color="767171"/>
              <w:right w:val="nil"/>
            </w:tcBorders>
            <w:vAlign w:val="center"/>
            <w:hideMark/>
          </w:tcPr>
          <w:p w14:paraId="61119B5B"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2297" w:type="dxa"/>
            <w:tcBorders>
              <w:top w:val="dotted" w:sz="4" w:space="0" w:color="767171"/>
              <w:left w:val="nil"/>
              <w:bottom w:val="dotted" w:sz="4" w:space="0" w:color="767171"/>
              <w:right w:val="nil"/>
            </w:tcBorders>
            <w:vAlign w:val="center"/>
          </w:tcPr>
          <w:p w14:paraId="7B81D3E9" w14:textId="77777777" w:rsidR="00576FE1" w:rsidRPr="00B80F8B" w:rsidRDefault="00576FE1" w:rsidP="00115CD6">
            <w:pPr>
              <w:spacing w:after="0" w:line="240" w:lineRule="auto"/>
              <w:ind w:right="-456"/>
              <w:rPr>
                <w:b/>
                <w:i/>
                <w:sz w:val="16"/>
                <w:szCs w:val="16"/>
              </w:rPr>
            </w:pPr>
          </w:p>
        </w:tc>
      </w:tr>
      <w:tr w:rsidR="00576FE1" w:rsidRPr="00B80F8B" w14:paraId="7A756AF3" w14:textId="77777777" w:rsidTr="00115CD6">
        <w:trPr>
          <w:trHeight w:val="227"/>
        </w:trPr>
        <w:tc>
          <w:tcPr>
            <w:tcW w:w="4902" w:type="dxa"/>
            <w:tcBorders>
              <w:top w:val="dotted" w:sz="4" w:space="0" w:color="767171"/>
              <w:left w:val="nil"/>
              <w:bottom w:val="single" w:sz="4" w:space="0" w:color="auto"/>
              <w:right w:val="nil"/>
            </w:tcBorders>
            <w:vAlign w:val="center"/>
            <w:hideMark/>
          </w:tcPr>
          <w:p w14:paraId="584EB4D6" w14:textId="77777777" w:rsidR="00576FE1" w:rsidRPr="00B80F8B" w:rsidRDefault="00576FE1" w:rsidP="00115CD6">
            <w:pPr>
              <w:spacing w:after="0" w:line="240" w:lineRule="auto"/>
              <w:ind w:right="-456"/>
              <w:rPr>
                <w:b/>
                <w:i/>
                <w:sz w:val="16"/>
                <w:szCs w:val="16"/>
              </w:rPr>
            </w:pPr>
            <w:r w:rsidRPr="00B80F8B">
              <w:rPr>
                <w:b/>
                <w:i/>
                <w:sz w:val="16"/>
                <w:szCs w:val="16"/>
              </w:rPr>
              <w:t>Biopsies from metastatic lesions</w:t>
            </w:r>
            <w:r w:rsidRPr="00B80F8B">
              <w:rPr>
                <w:b/>
                <w:i/>
                <w:sz w:val="16"/>
                <w:szCs w:val="16"/>
                <w:vertAlign w:val="superscript"/>
              </w:rPr>
              <w:t>12</w:t>
            </w:r>
          </w:p>
        </w:tc>
        <w:tc>
          <w:tcPr>
            <w:tcW w:w="1736" w:type="dxa"/>
            <w:tcBorders>
              <w:top w:val="dotted" w:sz="4" w:space="0" w:color="767171"/>
              <w:left w:val="nil"/>
              <w:bottom w:val="single" w:sz="4" w:space="0" w:color="auto"/>
              <w:right w:val="nil"/>
            </w:tcBorders>
            <w:vAlign w:val="center"/>
            <w:hideMark/>
          </w:tcPr>
          <w:p w14:paraId="5E7C4CA8"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3119" w:type="dxa"/>
            <w:tcBorders>
              <w:top w:val="dotted" w:sz="4" w:space="0" w:color="767171"/>
              <w:left w:val="nil"/>
              <w:bottom w:val="single" w:sz="4" w:space="0" w:color="auto"/>
              <w:right w:val="nil"/>
            </w:tcBorders>
            <w:vAlign w:val="center"/>
            <w:hideMark/>
          </w:tcPr>
          <w:p w14:paraId="6195BDD8" w14:textId="77777777" w:rsidR="00576FE1" w:rsidRPr="00B80F8B" w:rsidRDefault="00576FE1" w:rsidP="00115CD6">
            <w:pPr>
              <w:spacing w:after="0" w:line="240" w:lineRule="auto"/>
              <w:ind w:right="-456"/>
              <w:rPr>
                <w:b/>
                <w:i/>
                <w:sz w:val="16"/>
                <w:szCs w:val="16"/>
              </w:rPr>
            </w:pPr>
            <w:r w:rsidRPr="00B80F8B">
              <w:rPr>
                <w:b/>
                <w:i/>
                <w:sz w:val="16"/>
                <w:szCs w:val="16"/>
                <w:lang w:val="es-ES"/>
              </w:rPr>
              <w:t>X</w:t>
            </w:r>
          </w:p>
        </w:tc>
        <w:tc>
          <w:tcPr>
            <w:tcW w:w="2830" w:type="dxa"/>
            <w:tcBorders>
              <w:top w:val="dotted" w:sz="4" w:space="0" w:color="767171"/>
              <w:left w:val="nil"/>
              <w:bottom w:val="single" w:sz="4" w:space="0" w:color="auto"/>
              <w:right w:val="nil"/>
            </w:tcBorders>
            <w:vAlign w:val="center"/>
          </w:tcPr>
          <w:p w14:paraId="48A0E820" w14:textId="77777777" w:rsidR="00576FE1" w:rsidRPr="00B80F8B" w:rsidRDefault="00576FE1" w:rsidP="00115CD6">
            <w:pPr>
              <w:spacing w:after="0" w:line="240" w:lineRule="auto"/>
              <w:ind w:right="-456"/>
              <w:rPr>
                <w:b/>
                <w:i/>
                <w:sz w:val="16"/>
                <w:szCs w:val="16"/>
              </w:rPr>
            </w:pPr>
          </w:p>
        </w:tc>
        <w:tc>
          <w:tcPr>
            <w:tcW w:w="2297" w:type="dxa"/>
            <w:tcBorders>
              <w:top w:val="dotted" w:sz="4" w:space="0" w:color="767171"/>
              <w:left w:val="nil"/>
              <w:bottom w:val="single" w:sz="4" w:space="0" w:color="auto"/>
              <w:right w:val="nil"/>
            </w:tcBorders>
            <w:vAlign w:val="center"/>
          </w:tcPr>
          <w:p w14:paraId="5FF5F99A" w14:textId="77777777" w:rsidR="00576FE1" w:rsidRPr="00B80F8B" w:rsidRDefault="00576FE1" w:rsidP="00115CD6">
            <w:pPr>
              <w:spacing w:after="0" w:line="240" w:lineRule="auto"/>
              <w:ind w:right="-456"/>
              <w:rPr>
                <w:b/>
                <w:i/>
                <w:sz w:val="16"/>
                <w:szCs w:val="16"/>
              </w:rPr>
            </w:pPr>
          </w:p>
        </w:tc>
      </w:tr>
      <w:tr w:rsidR="00576FE1" w:rsidRPr="00B80F8B" w14:paraId="6E70A614" w14:textId="77777777" w:rsidTr="00115CD6">
        <w:trPr>
          <w:trHeight w:val="227"/>
        </w:trPr>
        <w:tc>
          <w:tcPr>
            <w:tcW w:w="4902" w:type="dxa"/>
            <w:tcBorders>
              <w:top w:val="single" w:sz="4" w:space="0" w:color="auto"/>
              <w:left w:val="nil"/>
              <w:bottom w:val="single" w:sz="4" w:space="0" w:color="auto"/>
              <w:right w:val="nil"/>
            </w:tcBorders>
            <w:shd w:val="clear" w:color="auto" w:fill="FFFFFF"/>
            <w:vAlign w:val="center"/>
            <w:hideMark/>
          </w:tcPr>
          <w:p w14:paraId="0594DC99" w14:textId="77777777" w:rsidR="00576FE1" w:rsidRPr="00B80F8B" w:rsidRDefault="00576FE1" w:rsidP="00115CD6">
            <w:pPr>
              <w:spacing w:after="0" w:line="240" w:lineRule="auto"/>
              <w:ind w:right="-456"/>
              <w:rPr>
                <w:b/>
                <w:i/>
                <w:sz w:val="16"/>
                <w:szCs w:val="16"/>
              </w:rPr>
            </w:pPr>
            <w:r w:rsidRPr="00B80F8B">
              <w:rPr>
                <w:b/>
                <w:i/>
                <w:sz w:val="16"/>
                <w:szCs w:val="16"/>
              </w:rPr>
              <w:t>Standard Laboratory Procedures:</w:t>
            </w:r>
          </w:p>
        </w:tc>
        <w:tc>
          <w:tcPr>
            <w:tcW w:w="1736" w:type="dxa"/>
            <w:tcBorders>
              <w:top w:val="single" w:sz="4" w:space="0" w:color="auto"/>
              <w:left w:val="nil"/>
              <w:bottom w:val="single" w:sz="4" w:space="0" w:color="auto"/>
              <w:right w:val="nil"/>
            </w:tcBorders>
            <w:shd w:val="clear" w:color="auto" w:fill="FFFFFF"/>
            <w:vAlign w:val="center"/>
          </w:tcPr>
          <w:p w14:paraId="3ADF97D9" w14:textId="77777777" w:rsidR="00576FE1" w:rsidRPr="00B80F8B" w:rsidRDefault="00576FE1" w:rsidP="00115CD6">
            <w:pPr>
              <w:spacing w:after="0" w:line="240" w:lineRule="auto"/>
              <w:ind w:right="-456"/>
              <w:rPr>
                <w:b/>
                <w:i/>
                <w:sz w:val="16"/>
                <w:szCs w:val="16"/>
              </w:rPr>
            </w:pPr>
          </w:p>
        </w:tc>
        <w:tc>
          <w:tcPr>
            <w:tcW w:w="3119" w:type="dxa"/>
            <w:tcBorders>
              <w:top w:val="single" w:sz="4" w:space="0" w:color="auto"/>
              <w:left w:val="nil"/>
              <w:bottom w:val="single" w:sz="4" w:space="0" w:color="auto"/>
              <w:right w:val="nil"/>
            </w:tcBorders>
            <w:shd w:val="clear" w:color="auto" w:fill="FFFFFF"/>
            <w:vAlign w:val="center"/>
          </w:tcPr>
          <w:p w14:paraId="2ED13780" w14:textId="77777777" w:rsidR="00576FE1" w:rsidRPr="00B80F8B" w:rsidRDefault="00576FE1" w:rsidP="00115CD6">
            <w:pPr>
              <w:spacing w:after="0" w:line="240" w:lineRule="auto"/>
              <w:ind w:right="-456"/>
              <w:rPr>
                <w:b/>
                <w:i/>
                <w:sz w:val="16"/>
                <w:szCs w:val="16"/>
                <w:lang w:val="es-ES"/>
              </w:rPr>
            </w:pPr>
          </w:p>
        </w:tc>
        <w:tc>
          <w:tcPr>
            <w:tcW w:w="2830" w:type="dxa"/>
            <w:tcBorders>
              <w:top w:val="single" w:sz="4" w:space="0" w:color="auto"/>
              <w:left w:val="nil"/>
              <w:bottom w:val="single" w:sz="4" w:space="0" w:color="auto"/>
              <w:right w:val="nil"/>
            </w:tcBorders>
            <w:shd w:val="clear" w:color="auto" w:fill="FFFFFF"/>
            <w:vAlign w:val="center"/>
          </w:tcPr>
          <w:p w14:paraId="2B4AF0E9" w14:textId="77777777" w:rsidR="00576FE1" w:rsidRPr="00B80F8B" w:rsidRDefault="00576FE1" w:rsidP="00115CD6">
            <w:pPr>
              <w:spacing w:after="0" w:line="240" w:lineRule="auto"/>
              <w:ind w:right="-456"/>
              <w:rPr>
                <w:b/>
                <w:i/>
                <w:sz w:val="16"/>
                <w:szCs w:val="16"/>
                <w:lang w:val="es-ES"/>
              </w:rPr>
            </w:pPr>
          </w:p>
        </w:tc>
        <w:tc>
          <w:tcPr>
            <w:tcW w:w="2297" w:type="dxa"/>
            <w:tcBorders>
              <w:top w:val="single" w:sz="4" w:space="0" w:color="auto"/>
              <w:left w:val="nil"/>
              <w:bottom w:val="single" w:sz="4" w:space="0" w:color="auto"/>
              <w:right w:val="nil"/>
            </w:tcBorders>
            <w:shd w:val="clear" w:color="auto" w:fill="FFFFFF"/>
            <w:vAlign w:val="center"/>
          </w:tcPr>
          <w:p w14:paraId="7508D217" w14:textId="77777777" w:rsidR="00576FE1" w:rsidRPr="00B80F8B" w:rsidRDefault="00576FE1" w:rsidP="00115CD6">
            <w:pPr>
              <w:spacing w:after="0" w:line="240" w:lineRule="auto"/>
              <w:ind w:right="-456"/>
              <w:rPr>
                <w:b/>
                <w:i/>
                <w:sz w:val="16"/>
                <w:szCs w:val="16"/>
                <w:lang w:val="es-ES"/>
              </w:rPr>
            </w:pPr>
          </w:p>
        </w:tc>
      </w:tr>
      <w:tr w:rsidR="00576FE1" w:rsidRPr="00B80F8B" w14:paraId="0E56DE5B" w14:textId="77777777" w:rsidTr="00115CD6">
        <w:trPr>
          <w:trHeight w:val="144"/>
        </w:trPr>
        <w:tc>
          <w:tcPr>
            <w:tcW w:w="4902" w:type="dxa"/>
            <w:tcBorders>
              <w:top w:val="single" w:sz="4" w:space="0" w:color="auto"/>
              <w:left w:val="nil"/>
              <w:bottom w:val="dotted" w:sz="4" w:space="0" w:color="767171"/>
              <w:right w:val="nil"/>
            </w:tcBorders>
            <w:shd w:val="clear" w:color="auto" w:fill="FFFFFF"/>
            <w:vAlign w:val="center"/>
            <w:hideMark/>
          </w:tcPr>
          <w:p w14:paraId="72A0327E" w14:textId="77777777" w:rsidR="00576FE1" w:rsidRPr="00B80F8B" w:rsidRDefault="00576FE1" w:rsidP="00115CD6">
            <w:pPr>
              <w:spacing w:after="0" w:line="240" w:lineRule="auto"/>
              <w:ind w:right="-456"/>
              <w:rPr>
                <w:b/>
                <w:i/>
                <w:sz w:val="16"/>
                <w:szCs w:val="16"/>
              </w:rPr>
            </w:pPr>
            <w:r w:rsidRPr="00B80F8B">
              <w:rPr>
                <w:b/>
                <w:i/>
                <w:sz w:val="16"/>
                <w:szCs w:val="16"/>
              </w:rPr>
              <w:t>Hematology</w:t>
            </w:r>
            <w:r w:rsidRPr="00B80F8B">
              <w:rPr>
                <w:b/>
                <w:i/>
                <w:sz w:val="16"/>
                <w:szCs w:val="16"/>
                <w:vertAlign w:val="superscript"/>
              </w:rPr>
              <w:t>13</w:t>
            </w:r>
          </w:p>
        </w:tc>
        <w:tc>
          <w:tcPr>
            <w:tcW w:w="1736" w:type="dxa"/>
            <w:tcBorders>
              <w:top w:val="single" w:sz="4" w:space="0" w:color="auto"/>
              <w:left w:val="nil"/>
              <w:bottom w:val="dotted" w:sz="4" w:space="0" w:color="767171"/>
              <w:right w:val="nil"/>
            </w:tcBorders>
            <w:shd w:val="clear" w:color="auto" w:fill="FFFFFF"/>
            <w:vAlign w:val="center"/>
            <w:hideMark/>
          </w:tcPr>
          <w:p w14:paraId="06BDF4E7"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3119" w:type="dxa"/>
            <w:tcBorders>
              <w:top w:val="single" w:sz="4" w:space="0" w:color="auto"/>
              <w:left w:val="nil"/>
              <w:bottom w:val="dotted" w:sz="4" w:space="0" w:color="767171"/>
              <w:right w:val="nil"/>
            </w:tcBorders>
            <w:shd w:val="clear" w:color="auto" w:fill="FFFFFF"/>
            <w:vAlign w:val="center"/>
            <w:hideMark/>
          </w:tcPr>
          <w:p w14:paraId="4068EF66"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2830" w:type="dxa"/>
            <w:tcBorders>
              <w:top w:val="single" w:sz="4" w:space="0" w:color="auto"/>
              <w:left w:val="nil"/>
              <w:bottom w:val="dotted" w:sz="4" w:space="0" w:color="767171"/>
              <w:right w:val="nil"/>
            </w:tcBorders>
            <w:shd w:val="clear" w:color="auto" w:fill="FFFFFF"/>
            <w:vAlign w:val="center"/>
            <w:hideMark/>
          </w:tcPr>
          <w:p w14:paraId="14B4FFB6"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2297" w:type="dxa"/>
            <w:tcBorders>
              <w:top w:val="single" w:sz="4" w:space="0" w:color="auto"/>
              <w:left w:val="nil"/>
              <w:bottom w:val="dotted" w:sz="4" w:space="0" w:color="767171"/>
              <w:right w:val="nil"/>
            </w:tcBorders>
            <w:shd w:val="clear" w:color="auto" w:fill="FFFFFF"/>
            <w:vAlign w:val="center"/>
          </w:tcPr>
          <w:p w14:paraId="7EC2B2EB" w14:textId="77777777" w:rsidR="00576FE1" w:rsidRPr="00B80F8B" w:rsidRDefault="00576FE1" w:rsidP="00115CD6">
            <w:pPr>
              <w:spacing w:after="0" w:line="240" w:lineRule="auto"/>
              <w:ind w:right="-456"/>
              <w:rPr>
                <w:b/>
                <w:i/>
                <w:sz w:val="16"/>
                <w:szCs w:val="16"/>
              </w:rPr>
            </w:pPr>
          </w:p>
        </w:tc>
      </w:tr>
      <w:tr w:rsidR="00576FE1" w:rsidRPr="00B80F8B" w14:paraId="52793909" w14:textId="77777777" w:rsidTr="00115CD6">
        <w:trPr>
          <w:trHeight w:val="227"/>
        </w:trPr>
        <w:tc>
          <w:tcPr>
            <w:tcW w:w="4902" w:type="dxa"/>
            <w:tcBorders>
              <w:top w:val="dotted" w:sz="4" w:space="0" w:color="767171"/>
              <w:left w:val="nil"/>
              <w:bottom w:val="single" w:sz="4" w:space="0" w:color="auto"/>
              <w:right w:val="nil"/>
            </w:tcBorders>
            <w:shd w:val="clear" w:color="auto" w:fill="FFFFFF"/>
            <w:vAlign w:val="center"/>
            <w:hideMark/>
          </w:tcPr>
          <w:p w14:paraId="359CFBA3" w14:textId="77777777" w:rsidR="00576FE1" w:rsidRPr="00B80F8B" w:rsidRDefault="00576FE1" w:rsidP="00115CD6">
            <w:pPr>
              <w:spacing w:after="0" w:line="240" w:lineRule="auto"/>
              <w:ind w:right="-456"/>
              <w:rPr>
                <w:b/>
                <w:i/>
                <w:sz w:val="16"/>
                <w:szCs w:val="16"/>
              </w:rPr>
            </w:pPr>
            <w:r w:rsidRPr="00B80F8B">
              <w:rPr>
                <w:b/>
                <w:i/>
                <w:sz w:val="16"/>
                <w:szCs w:val="16"/>
              </w:rPr>
              <w:t>Biochemistry</w:t>
            </w:r>
            <w:r w:rsidRPr="00B80F8B">
              <w:rPr>
                <w:b/>
                <w:i/>
                <w:sz w:val="16"/>
                <w:szCs w:val="16"/>
                <w:vertAlign w:val="superscript"/>
              </w:rPr>
              <w:t>14</w:t>
            </w:r>
          </w:p>
        </w:tc>
        <w:tc>
          <w:tcPr>
            <w:tcW w:w="1736" w:type="dxa"/>
            <w:tcBorders>
              <w:top w:val="dotted" w:sz="4" w:space="0" w:color="767171"/>
              <w:left w:val="nil"/>
              <w:bottom w:val="single" w:sz="4" w:space="0" w:color="auto"/>
              <w:right w:val="nil"/>
            </w:tcBorders>
            <w:shd w:val="clear" w:color="auto" w:fill="FFFFFF"/>
            <w:vAlign w:val="center"/>
            <w:hideMark/>
          </w:tcPr>
          <w:p w14:paraId="626E66FE"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3119" w:type="dxa"/>
            <w:tcBorders>
              <w:top w:val="dotted" w:sz="4" w:space="0" w:color="767171"/>
              <w:left w:val="nil"/>
              <w:bottom w:val="single" w:sz="4" w:space="0" w:color="auto"/>
              <w:right w:val="nil"/>
            </w:tcBorders>
            <w:shd w:val="clear" w:color="auto" w:fill="FFFFFF"/>
            <w:vAlign w:val="center"/>
            <w:hideMark/>
          </w:tcPr>
          <w:p w14:paraId="407202C1"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2830" w:type="dxa"/>
            <w:tcBorders>
              <w:top w:val="dotted" w:sz="4" w:space="0" w:color="767171"/>
              <w:left w:val="nil"/>
              <w:bottom w:val="single" w:sz="4" w:space="0" w:color="auto"/>
              <w:right w:val="nil"/>
            </w:tcBorders>
            <w:shd w:val="clear" w:color="auto" w:fill="FFFFFF"/>
            <w:vAlign w:val="center"/>
            <w:hideMark/>
          </w:tcPr>
          <w:p w14:paraId="70E06FD7" w14:textId="77777777" w:rsidR="00576FE1" w:rsidRPr="00B80F8B" w:rsidRDefault="00576FE1" w:rsidP="00115CD6">
            <w:pPr>
              <w:spacing w:after="0" w:line="240" w:lineRule="auto"/>
              <w:ind w:right="-456"/>
              <w:rPr>
                <w:b/>
                <w:i/>
                <w:sz w:val="16"/>
                <w:szCs w:val="16"/>
              </w:rPr>
            </w:pPr>
            <w:r w:rsidRPr="00B80F8B">
              <w:rPr>
                <w:b/>
                <w:i/>
                <w:sz w:val="16"/>
                <w:szCs w:val="16"/>
              </w:rPr>
              <w:t>X</w:t>
            </w:r>
          </w:p>
        </w:tc>
        <w:tc>
          <w:tcPr>
            <w:tcW w:w="2297" w:type="dxa"/>
            <w:tcBorders>
              <w:top w:val="dotted" w:sz="4" w:space="0" w:color="767171"/>
              <w:left w:val="nil"/>
              <w:bottom w:val="single" w:sz="4" w:space="0" w:color="auto"/>
              <w:right w:val="nil"/>
            </w:tcBorders>
            <w:shd w:val="clear" w:color="auto" w:fill="FFFFFF"/>
            <w:vAlign w:val="center"/>
          </w:tcPr>
          <w:p w14:paraId="6D2F811D" w14:textId="77777777" w:rsidR="00576FE1" w:rsidRPr="00B80F8B" w:rsidRDefault="00576FE1" w:rsidP="00115CD6">
            <w:pPr>
              <w:spacing w:after="0" w:line="240" w:lineRule="auto"/>
              <w:ind w:right="-456"/>
              <w:rPr>
                <w:b/>
                <w:i/>
                <w:sz w:val="16"/>
                <w:szCs w:val="16"/>
              </w:rPr>
            </w:pPr>
          </w:p>
        </w:tc>
      </w:tr>
      <w:tr w:rsidR="00576FE1" w:rsidRPr="00B80F8B" w14:paraId="2C7B2168" w14:textId="77777777" w:rsidTr="00115CD6">
        <w:trPr>
          <w:trHeight w:val="227"/>
        </w:trPr>
        <w:tc>
          <w:tcPr>
            <w:tcW w:w="4902" w:type="dxa"/>
            <w:tcBorders>
              <w:top w:val="single" w:sz="4" w:space="0" w:color="auto"/>
              <w:left w:val="nil"/>
              <w:bottom w:val="single" w:sz="4" w:space="0" w:color="auto"/>
              <w:right w:val="nil"/>
            </w:tcBorders>
            <w:shd w:val="clear" w:color="auto" w:fill="FFFFFF"/>
            <w:vAlign w:val="center"/>
            <w:hideMark/>
          </w:tcPr>
          <w:p w14:paraId="0F8DDFB8" w14:textId="77777777" w:rsidR="00576FE1" w:rsidRPr="00B80F8B" w:rsidRDefault="00576FE1" w:rsidP="00115CD6">
            <w:pPr>
              <w:spacing w:after="0" w:line="240" w:lineRule="auto"/>
              <w:ind w:right="-456"/>
              <w:rPr>
                <w:b/>
                <w:i/>
                <w:sz w:val="16"/>
                <w:szCs w:val="16"/>
              </w:rPr>
            </w:pPr>
            <w:r w:rsidRPr="00B80F8B">
              <w:rPr>
                <w:b/>
                <w:i/>
                <w:sz w:val="16"/>
                <w:szCs w:val="16"/>
              </w:rPr>
              <w:t>Treatment Administration</w:t>
            </w:r>
          </w:p>
        </w:tc>
        <w:tc>
          <w:tcPr>
            <w:tcW w:w="1736" w:type="dxa"/>
            <w:tcBorders>
              <w:top w:val="single" w:sz="4" w:space="0" w:color="auto"/>
              <w:left w:val="nil"/>
              <w:bottom w:val="single" w:sz="4" w:space="0" w:color="auto"/>
              <w:right w:val="nil"/>
            </w:tcBorders>
            <w:shd w:val="clear" w:color="auto" w:fill="FFFFFF"/>
            <w:vAlign w:val="center"/>
          </w:tcPr>
          <w:p w14:paraId="50CC5A54" w14:textId="77777777" w:rsidR="00576FE1" w:rsidRPr="00B80F8B" w:rsidRDefault="00576FE1" w:rsidP="00115CD6">
            <w:pPr>
              <w:spacing w:after="0" w:line="240" w:lineRule="auto"/>
              <w:ind w:right="-456"/>
              <w:rPr>
                <w:b/>
                <w:i/>
                <w:sz w:val="16"/>
                <w:szCs w:val="16"/>
              </w:rPr>
            </w:pPr>
          </w:p>
        </w:tc>
        <w:tc>
          <w:tcPr>
            <w:tcW w:w="3119" w:type="dxa"/>
            <w:tcBorders>
              <w:top w:val="single" w:sz="4" w:space="0" w:color="auto"/>
              <w:left w:val="nil"/>
              <w:bottom w:val="single" w:sz="4" w:space="0" w:color="auto"/>
              <w:right w:val="nil"/>
            </w:tcBorders>
            <w:shd w:val="clear" w:color="auto" w:fill="FFFFFF"/>
            <w:vAlign w:val="center"/>
            <w:hideMark/>
          </w:tcPr>
          <w:p w14:paraId="4AB2231B" w14:textId="77777777" w:rsidR="00576FE1" w:rsidRPr="00B80F8B" w:rsidRDefault="00576FE1" w:rsidP="00115CD6">
            <w:pPr>
              <w:spacing w:after="0" w:line="240" w:lineRule="auto"/>
              <w:ind w:right="-456"/>
              <w:rPr>
                <w:b/>
                <w:i/>
                <w:sz w:val="16"/>
                <w:szCs w:val="16"/>
                <w:lang w:val="es-ES"/>
              </w:rPr>
            </w:pPr>
            <w:r w:rsidRPr="00B80F8B">
              <w:rPr>
                <w:b/>
                <w:i/>
                <w:sz w:val="16"/>
                <w:szCs w:val="16"/>
                <w:lang w:val="es-ES"/>
              </w:rPr>
              <w:t>X (</w:t>
            </w:r>
            <w:proofErr w:type="spellStart"/>
            <w:r w:rsidRPr="00B80F8B">
              <w:rPr>
                <w:b/>
                <w:i/>
                <w:sz w:val="16"/>
                <w:szCs w:val="16"/>
                <w:lang w:val="es-ES"/>
              </w:rPr>
              <w:t>Section</w:t>
            </w:r>
            <w:proofErr w:type="spellEnd"/>
            <w:r w:rsidRPr="00B80F8B">
              <w:rPr>
                <w:b/>
                <w:i/>
                <w:sz w:val="16"/>
                <w:szCs w:val="16"/>
                <w:lang w:val="es-ES"/>
              </w:rPr>
              <w:t xml:space="preserve"> 3.3)</w:t>
            </w:r>
          </w:p>
        </w:tc>
        <w:tc>
          <w:tcPr>
            <w:tcW w:w="2830" w:type="dxa"/>
            <w:tcBorders>
              <w:top w:val="single" w:sz="4" w:space="0" w:color="auto"/>
              <w:left w:val="nil"/>
              <w:bottom w:val="single" w:sz="4" w:space="0" w:color="auto"/>
              <w:right w:val="nil"/>
            </w:tcBorders>
            <w:shd w:val="clear" w:color="auto" w:fill="FFFFFF"/>
            <w:vAlign w:val="center"/>
          </w:tcPr>
          <w:p w14:paraId="2EF98D70" w14:textId="77777777" w:rsidR="00576FE1" w:rsidRPr="00B80F8B" w:rsidRDefault="00576FE1" w:rsidP="00115CD6">
            <w:pPr>
              <w:spacing w:after="0" w:line="240" w:lineRule="auto"/>
              <w:ind w:right="-456"/>
              <w:rPr>
                <w:b/>
                <w:i/>
                <w:sz w:val="16"/>
                <w:szCs w:val="16"/>
                <w:lang w:val="es-ES"/>
              </w:rPr>
            </w:pPr>
          </w:p>
        </w:tc>
        <w:tc>
          <w:tcPr>
            <w:tcW w:w="2297" w:type="dxa"/>
            <w:tcBorders>
              <w:top w:val="single" w:sz="4" w:space="0" w:color="auto"/>
              <w:left w:val="nil"/>
              <w:bottom w:val="single" w:sz="4" w:space="0" w:color="auto"/>
              <w:right w:val="nil"/>
            </w:tcBorders>
            <w:shd w:val="clear" w:color="auto" w:fill="FFFFFF"/>
            <w:vAlign w:val="center"/>
          </w:tcPr>
          <w:p w14:paraId="36B3D83B" w14:textId="77777777" w:rsidR="00576FE1" w:rsidRPr="00B80F8B" w:rsidRDefault="00576FE1" w:rsidP="00115CD6">
            <w:pPr>
              <w:spacing w:after="0" w:line="240" w:lineRule="auto"/>
              <w:ind w:right="-456"/>
              <w:rPr>
                <w:b/>
                <w:i/>
                <w:sz w:val="16"/>
                <w:szCs w:val="16"/>
                <w:lang w:val="es-ES"/>
              </w:rPr>
            </w:pPr>
          </w:p>
        </w:tc>
      </w:tr>
    </w:tbl>
    <w:p w14:paraId="0ABD61AF" w14:textId="77777777" w:rsidR="00576FE1" w:rsidRPr="00CB5252" w:rsidRDefault="00576FE1" w:rsidP="00576FE1">
      <w:pPr>
        <w:spacing w:after="0" w:line="240" w:lineRule="auto"/>
        <w:ind w:right="-456"/>
        <w:rPr>
          <w:i/>
          <w:lang w:val="en-GB"/>
        </w:rPr>
      </w:pPr>
      <w:r w:rsidRPr="00B80F8B">
        <w:rPr>
          <w:b/>
          <w:i/>
          <w:sz w:val="16"/>
          <w:szCs w:val="16"/>
          <w:lang w:val="en-GB"/>
        </w:rPr>
        <w:t xml:space="preserve"> </w:t>
      </w:r>
      <w:r w:rsidRPr="00CB5252">
        <w:rPr>
          <w:b/>
          <w:i/>
          <w:sz w:val="16"/>
          <w:szCs w:val="16"/>
          <w:lang w:val="en-GB"/>
        </w:rPr>
        <w:t>(1)</w:t>
      </w:r>
      <w:r w:rsidRPr="00CB5252">
        <w:rPr>
          <w:i/>
          <w:sz w:val="16"/>
          <w:szCs w:val="16"/>
          <w:lang w:val="en-GB"/>
        </w:rPr>
        <w:t xml:space="preserve"> Signed written informed consent was to be obtained prior to any trial procedure. </w:t>
      </w:r>
      <w:r w:rsidRPr="00CB5252">
        <w:rPr>
          <w:b/>
          <w:i/>
          <w:sz w:val="16"/>
          <w:szCs w:val="16"/>
          <w:lang w:val="en-GB"/>
        </w:rPr>
        <w:t>(2)</w:t>
      </w:r>
      <w:r w:rsidRPr="00CB5252">
        <w:rPr>
          <w:i/>
          <w:sz w:val="16"/>
          <w:szCs w:val="16"/>
          <w:lang w:val="en-GB"/>
        </w:rPr>
        <w:t xml:space="preserve"> Confirmation of histological diagnosis and specified </w:t>
      </w:r>
      <w:proofErr w:type="spellStart"/>
      <w:r w:rsidRPr="00CB5252">
        <w:rPr>
          <w:i/>
          <w:sz w:val="16"/>
          <w:szCs w:val="16"/>
          <w:lang w:val="en-GB"/>
        </w:rPr>
        <w:t>estrogen</w:t>
      </w:r>
      <w:proofErr w:type="spellEnd"/>
      <w:r w:rsidRPr="00CB5252">
        <w:rPr>
          <w:i/>
          <w:sz w:val="16"/>
          <w:szCs w:val="16"/>
          <w:lang w:val="en-GB"/>
        </w:rPr>
        <w:t xml:space="preserve">, progesterone and HER2 receptors status. </w:t>
      </w:r>
      <w:r w:rsidRPr="00CB5252">
        <w:rPr>
          <w:b/>
          <w:i/>
          <w:sz w:val="16"/>
          <w:szCs w:val="16"/>
          <w:lang w:val="en-GB"/>
        </w:rPr>
        <w:t>(3)</w:t>
      </w:r>
      <w:r w:rsidRPr="00CB5252">
        <w:rPr>
          <w:i/>
          <w:sz w:val="16"/>
          <w:szCs w:val="16"/>
          <w:lang w:val="en-GB"/>
        </w:rPr>
        <w:t xml:space="preserve"> Complete medical history and demographics and all medications taken the last 28 days prior to enrolment. </w:t>
      </w:r>
      <w:r w:rsidRPr="00CB5252">
        <w:rPr>
          <w:b/>
          <w:i/>
          <w:sz w:val="16"/>
          <w:szCs w:val="16"/>
          <w:lang w:val="en-GB"/>
        </w:rPr>
        <w:t>(4)</w:t>
      </w:r>
      <w:r w:rsidRPr="00CB5252">
        <w:rPr>
          <w:i/>
          <w:sz w:val="16"/>
          <w:szCs w:val="16"/>
          <w:lang w:val="en-GB"/>
        </w:rPr>
        <w:t xml:space="preserve"> Physical examination and vital signs and weight measurement prior to enrolment. </w:t>
      </w:r>
      <w:r w:rsidRPr="00CB5252">
        <w:rPr>
          <w:b/>
          <w:i/>
          <w:sz w:val="16"/>
          <w:szCs w:val="16"/>
          <w:lang w:val="en-GB"/>
        </w:rPr>
        <w:t>(5)</w:t>
      </w:r>
      <w:r w:rsidRPr="00CB5252">
        <w:rPr>
          <w:i/>
          <w:sz w:val="16"/>
          <w:szCs w:val="16"/>
          <w:lang w:val="en-GB"/>
        </w:rPr>
        <w:t xml:space="preserve"> ECOG performance status assessed at screening and before trial drug administration at each cycle. </w:t>
      </w:r>
      <w:r w:rsidRPr="00CB5252">
        <w:rPr>
          <w:b/>
          <w:i/>
          <w:sz w:val="16"/>
          <w:szCs w:val="16"/>
          <w:lang w:val="en-GB"/>
        </w:rPr>
        <w:t xml:space="preserve">(6) </w:t>
      </w:r>
      <w:r w:rsidRPr="00CB5252">
        <w:rPr>
          <w:i/>
          <w:sz w:val="16"/>
          <w:szCs w:val="16"/>
          <w:lang w:val="en-GB"/>
        </w:rPr>
        <w:t xml:space="preserve">Relevant concomitant medication (including any prescription medication, OTC preparation, or herbal therapy) was to be recorded between 21 days preceding first treatment dose until the safety follow up visit (28 +/- 7 days of last IMP dose administration). </w:t>
      </w:r>
      <w:r w:rsidRPr="00CB5252">
        <w:rPr>
          <w:b/>
          <w:i/>
          <w:sz w:val="16"/>
          <w:szCs w:val="16"/>
          <w:lang w:val="en-GB"/>
        </w:rPr>
        <w:t>(7)</w:t>
      </w:r>
      <w:r w:rsidRPr="00CB5252">
        <w:rPr>
          <w:i/>
          <w:sz w:val="16"/>
          <w:szCs w:val="16"/>
          <w:lang w:val="en-GB"/>
        </w:rPr>
        <w:t xml:space="preserve"> All AEs occurring during the trial from signature of informed consent until the safety follow up visit (28 +/- 7 days of last IMP dose administration) had to be recorded and graded according to NCI-CTCAE, version 4.0. </w:t>
      </w:r>
      <w:r w:rsidRPr="00CB5252">
        <w:rPr>
          <w:b/>
          <w:i/>
          <w:sz w:val="16"/>
          <w:szCs w:val="16"/>
          <w:lang w:val="en-GB"/>
        </w:rPr>
        <w:t>(8)</w:t>
      </w:r>
      <w:r w:rsidRPr="00CB5252">
        <w:rPr>
          <w:i/>
          <w:sz w:val="16"/>
          <w:szCs w:val="16"/>
          <w:lang w:val="en-GB"/>
        </w:rPr>
        <w:t xml:space="preserve"> ECG at screening and every 3 cycles starting at cycle 3 and till end of treatment follow-up visit (ECGs should be monitored more frequently, if clinically indicated). </w:t>
      </w:r>
      <w:r w:rsidRPr="00CB5252">
        <w:rPr>
          <w:b/>
          <w:i/>
          <w:sz w:val="16"/>
          <w:szCs w:val="16"/>
          <w:lang w:val="en-GB"/>
        </w:rPr>
        <w:t>(9)</w:t>
      </w:r>
      <w:r w:rsidRPr="00CB5252">
        <w:rPr>
          <w:i/>
          <w:sz w:val="16"/>
          <w:szCs w:val="16"/>
          <w:lang w:val="en-GB"/>
        </w:rPr>
        <w:t xml:space="preserve"> Baseline assessments of the, thorax, abdomen and pelvis (preferably CT or MRI in case of contrast allergy) performed no more than 28 days before the first trial treatment. Baseline bone scan performed no more than 60 days before the first trial treatment. Post-baseline assessments performed every 12 weeks +/- 7 days using the same imaging method and where possible obtained at the same institution for an individual patient as used during screening until PD. Bone scans performed every 24 weeks (+/- 7 days) if bone involvement had been demonstrated (or if it was clinically or biochemically suspected), regardless if the bone involvement could be identified in the CT scan. CT or MRI of the brain was not mandatory at baseline unless clinical suspicion of central involvement. </w:t>
      </w:r>
      <w:r w:rsidRPr="00CB5252">
        <w:rPr>
          <w:b/>
          <w:i/>
          <w:sz w:val="16"/>
          <w:szCs w:val="16"/>
          <w:lang w:val="en-GB"/>
        </w:rPr>
        <w:t>(10)</w:t>
      </w:r>
      <w:r w:rsidRPr="00CB5252">
        <w:rPr>
          <w:i/>
          <w:sz w:val="16"/>
          <w:szCs w:val="16"/>
          <w:lang w:val="en-GB"/>
        </w:rPr>
        <w:t xml:space="preserve"> Primary </w:t>
      </w:r>
      <w:proofErr w:type="spellStart"/>
      <w:r w:rsidRPr="00CB5252">
        <w:rPr>
          <w:i/>
          <w:sz w:val="16"/>
          <w:szCs w:val="16"/>
          <w:lang w:val="en-GB"/>
        </w:rPr>
        <w:t>tumor</w:t>
      </w:r>
      <w:proofErr w:type="spellEnd"/>
      <w:r w:rsidRPr="00CB5252">
        <w:rPr>
          <w:i/>
          <w:sz w:val="16"/>
          <w:szCs w:val="16"/>
          <w:lang w:val="en-GB"/>
        </w:rPr>
        <w:t xml:space="preserve"> samples collected from non-de novo patients. </w:t>
      </w:r>
      <w:r w:rsidRPr="00CB5252">
        <w:rPr>
          <w:b/>
          <w:i/>
          <w:sz w:val="16"/>
          <w:szCs w:val="16"/>
          <w:lang w:val="en-GB"/>
        </w:rPr>
        <w:t>(11)</w:t>
      </w:r>
      <w:r w:rsidRPr="00CB5252">
        <w:rPr>
          <w:i/>
          <w:sz w:val="16"/>
          <w:szCs w:val="16"/>
          <w:lang w:val="en-GB"/>
        </w:rPr>
        <w:t xml:space="preserve"> Blood samples for translational sub studies, collected from all patients, at baseline, after 2 and 12 weeks of treatment start and at tumour progression (prior to start alternative anticancer therapy). </w:t>
      </w:r>
      <w:r w:rsidRPr="00CB5252">
        <w:rPr>
          <w:b/>
          <w:i/>
          <w:sz w:val="16"/>
          <w:szCs w:val="16"/>
          <w:lang w:val="en-GB"/>
        </w:rPr>
        <w:t>(12)</w:t>
      </w:r>
      <w:r w:rsidRPr="00CB5252">
        <w:rPr>
          <w:i/>
          <w:sz w:val="16"/>
          <w:szCs w:val="16"/>
          <w:lang w:val="en-GB"/>
        </w:rPr>
        <w:t xml:space="preserve"> </w:t>
      </w:r>
      <w:proofErr w:type="spellStart"/>
      <w:r w:rsidRPr="00CB5252">
        <w:rPr>
          <w:i/>
          <w:sz w:val="16"/>
          <w:szCs w:val="16"/>
          <w:lang w:val="en-GB"/>
        </w:rPr>
        <w:t>Tumor</w:t>
      </w:r>
      <w:proofErr w:type="spellEnd"/>
      <w:r w:rsidRPr="00CB5252">
        <w:rPr>
          <w:i/>
          <w:sz w:val="16"/>
          <w:szCs w:val="16"/>
          <w:lang w:val="en-GB"/>
        </w:rPr>
        <w:t xml:space="preserve"> samples collected from all patients at baseline and at progression (if </w:t>
      </w:r>
      <w:proofErr w:type="spellStart"/>
      <w:r w:rsidRPr="00CB5252">
        <w:rPr>
          <w:i/>
          <w:sz w:val="16"/>
          <w:szCs w:val="16"/>
          <w:lang w:val="en-GB"/>
        </w:rPr>
        <w:t>biopsable</w:t>
      </w:r>
      <w:proofErr w:type="spellEnd"/>
      <w:r w:rsidRPr="00CB5252">
        <w:rPr>
          <w:i/>
          <w:sz w:val="16"/>
          <w:szCs w:val="16"/>
          <w:lang w:val="en-GB"/>
        </w:rPr>
        <w:t xml:space="preserve"> lesion). For non de novo patients if collection of </w:t>
      </w:r>
      <w:proofErr w:type="spellStart"/>
      <w:r w:rsidRPr="00CB5252">
        <w:rPr>
          <w:i/>
          <w:sz w:val="16"/>
          <w:szCs w:val="16"/>
          <w:lang w:val="en-GB"/>
        </w:rPr>
        <w:t>tumor</w:t>
      </w:r>
      <w:proofErr w:type="spellEnd"/>
      <w:r w:rsidRPr="00CB5252">
        <w:rPr>
          <w:i/>
          <w:sz w:val="16"/>
          <w:szCs w:val="16"/>
          <w:lang w:val="en-GB"/>
        </w:rPr>
        <w:t xml:space="preserve"> tissue at the time of metastatic disease diagnose was not feasible, at least archived tissue sample from the primary </w:t>
      </w:r>
      <w:proofErr w:type="spellStart"/>
      <w:r w:rsidRPr="00CB5252">
        <w:rPr>
          <w:i/>
          <w:sz w:val="16"/>
          <w:szCs w:val="16"/>
          <w:lang w:val="en-GB"/>
        </w:rPr>
        <w:t>tumor</w:t>
      </w:r>
      <w:proofErr w:type="spellEnd"/>
      <w:r w:rsidRPr="00CB5252">
        <w:rPr>
          <w:i/>
          <w:sz w:val="16"/>
          <w:szCs w:val="16"/>
          <w:lang w:val="en-GB"/>
        </w:rPr>
        <w:t xml:space="preserve"> had to be provided. </w:t>
      </w:r>
      <w:r w:rsidRPr="00CB5252">
        <w:rPr>
          <w:b/>
          <w:i/>
          <w:sz w:val="16"/>
          <w:szCs w:val="16"/>
          <w:lang w:val="en-GB"/>
        </w:rPr>
        <w:t>(13)</w:t>
      </w:r>
      <w:r w:rsidRPr="00CB5252">
        <w:rPr>
          <w:i/>
          <w:sz w:val="16"/>
          <w:szCs w:val="16"/>
          <w:lang w:val="en-GB"/>
        </w:rPr>
        <w:t xml:space="preserve"> Laboratory test performed as per local standard of care and clinical indication. At least hemogram had to be performed on D1 and D14 at cycle 1 and cycle 2, and D1 for subsequent cycles, before treatment administration. Parameters assessed had to include </w:t>
      </w:r>
      <w:proofErr w:type="spellStart"/>
      <w:r w:rsidRPr="00CB5252">
        <w:rPr>
          <w:i/>
          <w:sz w:val="16"/>
          <w:szCs w:val="16"/>
          <w:lang w:val="en-GB"/>
        </w:rPr>
        <w:t>hemoglobin</w:t>
      </w:r>
      <w:proofErr w:type="spellEnd"/>
      <w:r w:rsidRPr="00CB5252">
        <w:rPr>
          <w:i/>
          <w:sz w:val="16"/>
          <w:szCs w:val="16"/>
          <w:lang w:val="en-GB"/>
        </w:rPr>
        <w:t xml:space="preserve">, </w:t>
      </w:r>
      <w:proofErr w:type="spellStart"/>
      <w:r w:rsidRPr="00CB5252">
        <w:rPr>
          <w:i/>
          <w:sz w:val="16"/>
          <w:szCs w:val="16"/>
          <w:lang w:val="en-GB"/>
        </w:rPr>
        <w:t>hematocrit</w:t>
      </w:r>
      <w:proofErr w:type="spellEnd"/>
      <w:r w:rsidRPr="00CB5252">
        <w:rPr>
          <w:i/>
          <w:sz w:val="16"/>
          <w:szCs w:val="16"/>
          <w:lang w:val="en-GB"/>
        </w:rPr>
        <w:t xml:space="preserve">, red blood cell count, platelet count, and white blood cell count with differential count (neutrophils, lymphocytes, monocytes, eosinophils, basophils). </w:t>
      </w:r>
      <w:r w:rsidRPr="00CB5252">
        <w:rPr>
          <w:b/>
          <w:i/>
          <w:sz w:val="16"/>
          <w:szCs w:val="16"/>
          <w:lang w:val="en-GB"/>
        </w:rPr>
        <w:t>(14)</w:t>
      </w:r>
      <w:r w:rsidRPr="00CB5252">
        <w:rPr>
          <w:i/>
          <w:sz w:val="16"/>
          <w:szCs w:val="16"/>
          <w:lang w:val="en-GB"/>
        </w:rPr>
        <w:t xml:space="preserve">  Laboratory test were performed as per local standard of care and clinical indication. At least biochemistry results had to be available before treatment administration on D1 of each cycle. </w:t>
      </w:r>
      <w:r w:rsidRPr="00CB5252">
        <w:rPr>
          <w:b/>
          <w:i/>
          <w:sz w:val="16"/>
          <w:szCs w:val="16"/>
          <w:lang w:val="en-GB"/>
        </w:rPr>
        <w:t>(15)</w:t>
      </w:r>
      <w:r w:rsidRPr="00CB5252">
        <w:rPr>
          <w:i/>
          <w:sz w:val="16"/>
          <w:szCs w:val="16"/>
          <w:lang w:val="en-GB"/>
        </w:rPr>
        <w:t xml:space="preserve"> Treatment follow up period: After discontinuation of study treatment, post -treatment follow-up (including survival status and post study anticancer therapy evaluation) was collected every 6 months (±7 days) from the last dose of study treatment. Telephone contact was acceptable. If patient discontinued treatment for any reason other than progression, </w:t>
      </w:r>
      <w:proofErr w:type="spellStart"/>
      <w:r w:rsidRPr="00CB5252">
        <w:rPr>
          <w:i/>
          <w:sz w:val="16"/>
          <w:szCs w:val="16"/>
          <w:lang w:val="en-GB"/>
        </w:rPr>
        <w:t>tumor</w:t>
      </w:r>
      <w:proofErr w:type="spellEnd"/>
      <w:r w:rsidRPr="00CB5252">
        <w:rPr>
          <w:i/>
          <w:sz w:val="16"/>
          <w:szCs w:val="16"/>
          <w:lang w:val="en-GB"/>
        </w:rPr>
        <w:t xml:space="preserve"> assessment was included in the evaluation.</w:t>
      </w:r>
    </w:p>
    <w:p w14:paraId="5F38D4AD" w14:textId="1E85ABCA" w:rsidR="00576FE1" w:rsidRDefault="00576FE1" w:rsidP="00800E62">
      <w:pPr>
        <w:pStyle w:val="Descripcin"/>
        <w:keepNext/>
        <w:ind w:left="426" w:hanging="142"/>
        <w:outlineLvl w:val="0"/>
      </w:pPr>
      <w:bookmarkStart w:id="631" w:name="_Ref52425293"/>
      <w:bookmarkStart w:id="632" w:name="_Toc52046471"/>
      <w:bookmarkStart w:id="633" w:name="_Toc52446205"/>
      <w:bookmarkStart w:id="634" w:name="_Toc52468162"/>
      <w:r>
        <w:lastRenderedPageBreak/>
        <w:t xml:space="preserve">Table </w:t>
      </w:r>
      <w:r>
        <w:fldChar w:fldCharType="begin"/>
      </w:r>
      <w:r>
        <w:instrText xml:space="preserve"> SEQ Table \* ARABIC </w:instrText>
      </w:r>
      <w:r>
        <w:fldChar w:fldCharType="separate"/>
      </w:r>
      <w:r w:rsidR="00773549">
        <w:rPr>
          <w:noProof/>
        </w:rPr>
        <w:t>4</w:t>
      </w:r>
      <w:r>
        <w:fldChar w:fldCharType="end"/>
      </w:r>
      <w:bookmarkEnd w:id="631"/>
      <w:r>
        <w:t xml:space="preserve">. </w:t>
      </w:r>
      <w:r w:rsidRPr="00911D28">
        <w:t>Methods of statistical analysis of study variables.</w:t>
      </w:r>
      <w:bookmarkEnd w:id="632"/>
      <w:bookmarkEnd w:id="633"/>
      <w:bookmarkEnd w:id="634"/>
    </w:p>
    <w:tbl>
      <w:tblPr>
        <w:tblW w:w="13615" w:type="dxa"/>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0A0" w:firstRow="1" w:lastRow="0" w:firstColumn="1" w:lastColumn="0" w:noHBand="0" w:noVBand="0"/>
      </w:tblPr>
      <w:tblGrid>
        <w:gridCol w:w="2287"/>
        <w:gridCol w:w="3100"/>
        <w:gridCol w:w="2363"/>
        <w:gridCol w:w="5865"/>
      </w:tblGrid>
      <w:tr w:rsidR="00576FE1" w:rsidRPr="00B80F8B" w14:paraId="278E88AD" w14:textId="77777777" w:rsidTr="00115CD6">
        <w:trPr>
          <w:trHeight w:val="158"/>
          <w:tblHeader/>
          <w:jc w:val="center"/>
        </w:trPr>
        <w:tc>
          <w:tcPr>
            <w:tcW w:w="2287" w:type="dxa"/>
            <w:tcBorders>
              <w:top w:val="single" w:sz="4" w:space="0" w:color="auto"/>
              <w:left w:val="nil"/>
              <w:bottom w:val="single" w:sz="4" w:space="0" w:color="auto"/>
              <w:right w:val="nil"/>
            </w:tcBorders>
            <w:vAlign w:val="center"/>
            <w:hideMark/>
          </w:tcPr>
          <w:p w14:paraId="2243D51B" w14:textId="77777777" w:rsidR="00576FE1" w:rsidRPr="00B80F8B" w:rsidRDefault="00576FE1" w:rsidP="00115CD6">
            <w:pPr>
              <w:spacing w:after="0" w:line="240" w:lineRule="auto"/>
              <w:rPr>
                <w:b/>
                <w:sz w:val="18"/>
                <w:szCs w:val="18"/>
              </w:rPr>
            </w:pPr>
            <w:r w:rsidRPr="00B80F8B">
              <w:rPr>
                <w:b/>
                <w:sz w:val="18"/>
                <w:szCs w:val="18"/>
              </w:rPr>
              <w:t>Variable/Outcome</w:t>
            </w:r>
          </w:p>
        </w:tc>
        <w:tc>
          <w:tcPr>
            <w:tcW w:w="3100" w:type="dxa"/>
            <w:tcBorders>
              <w:top w:val="single" w:sz="4" w:space="0" w:color="auto"/>
              <w:left w:val="nil"/>
              <w:bottom w:val="single" w:sz="4" w:space="0" w:color="auto"/>
              <w:right w:val="nil"/>
            </w:tcBorders>
            <w:vAlign w:val="center"/>
            <w:hideMark/>
          </w:tcPr>
          <w:p w14:paraId="1F5321A3" w14:textId="77777777" w:rsidR="00576FE1" w:rsidRPr="00B80F8B" w:rsidRDefault="00576FE1" w:rsidP="00115CD6">
            <w:pPr>
              <w:spacing w:after="0" w:line="240" w:lineRule="auto"/>
              <w:rPr>
                <w:b/>
                <w:sz w:val="18"/>
                <w:szCs w:val="18"/>
              </w:rPr>
            </w:pPr>
            <w:r w:rsidRPr="00B80F8B">
              <w:rPr>
                <w:b/>
                <w:sz w:val="18"/>
                <w:szCs w:val="18"/>
              </w:rPr>
              <w:t>Hypothesis</w:t>
            </w:r>
          </w:p>
        </w:tc>
        <w:tc>
          <w:tcPr>
            <w:tcW w:w="2363" w:type="dxa"/>
            <w:tcBorders>
              <w:top w:val="single" w:sz="4" w:space="0" w:color="auto"/>
              <w:left w:val="nil"/>
              <w:bottom w:val="single" w:sz="4" w:space="0" w:color="auto"/>
              <w:right w:val="nil"/>
            </w:tcBorders>
            <w:vAlign w:val="center"/>
            <w:hideMark/>
          </w:tcPr>
          <w:p w14:paraId="533E1FDD" w14:textId="77777777" w:rsidR="00576FE1" w:rsidRPr="00B80F8B" w:rsidRDefault="00576FE1" w:rsidP="00115CD6">
            <w:pPr>
              <w:spacing w:after="0" w:line="240" w:lineRule="auto"/>
              <w:rPr>
                <w:b/>
                <w:sz w:val="18"/>
                <w:szCs w:val="18"/>
              </w:rPr>
            </w:pPr>
            <w:r w:rsidRPr="00B80F8B">
              <w:rPr>
                <w:b/>
                <w:sz w:val="18"/>
                <w:szCs w:val="18"/>
              </w:rPr>
              <w:t>Outcome measure</w:t>
            </w:r>
          </w:p>
        </w:tc>
        <w:tc>
          <w:tcPr>
            <w:tcW w:w="5865" w:type="dxa"/>
            <w:tcBorders>
              <w:top w:val="single" w:sz="4" w:space="0" w:color="auto"/>
              <w:left w:val="nil"/>
              <w:bottom w:val="single" w:sz="4" w:space="0" w:color="auto"/>
              <w:right w:val="nil"/>
            </w:tcBorders>
            <w:vAlign w:val="center"/>
            <w:hideMark/>
          </w:tcPr>
          <w:p w14:paraId="11593D3A" w14:textId="77777777" w:rsidR="00576FE1" w:rsidRPr="00B80F8B" w:rsidRDefault="00576FE1" w:rsidP="00115CD6">
            <w:pPr>
              <w:spacing w:after="0" w:line="240" w:lineRule="auto"/>
              <w:rPr>
                <w:b/>
                <w:sz w:val="18"/>
                <w:szCs w:val="18"/>
              </w:rPr>
            </w:pPr>
            <w:r w:rsidRPr="00B80F8B">
              <w:rPr>
                <w:b/>
                <w:sz w:val="18"/>
                <w:szCs w:val="18"/>
              </w:rPr>
              <w:t>Method of analysis</w:t>
            </w:r>
          </w:p>
        </w:tc>
      </w:tr>
      <w:tr w:rsidR="00576FE1" w:rsidRPr="00B80F8B" w14:paraId="0B7BB292" w14:textId="77777777" w:rsidTr="00115CD6">
        <w:trPr>
          <w:trHeight w:val="158"/>
          <w:jc w:val="center"/>
        </w:trPr>
        <w:tc>
          <w:tcPr>
            <w:tcW w:w="2287" w:type="dxa"/>
            <w:tcBorders>
              <w:top w:val="single" w:sz="4" w:space="0" w:color="auto"/>
              <w:left w:val="nil"/>
              <w:bottom w:val="nil"/>
              <w:right w:val="nil"/>
            </w:tcBorders>
            <w:vAlign w:val="center"/>
            <w:hideMark/>
          </w:tcPr>
          <w:p w14:paraId="221E2DF1" w14:textId="77777777" w:rsidR="00576FE1" w:rsidRPr="00B80F8B" w:rsidRDefault="00576FE1" w:rsidP="00115CD6">
            <w:pPr>
              <w:spacing w:after="0" w:line="240" w:lineRule="auto"/>
              <w:rPr>
                <w:b/>
                <w:sz w:val="18"/>
                <w:szCs w:val="18"/>
              </w:rPr>
            </w:pPr>
            <w:r w:rsidRPr="00B80F8B">
              <w:rPr>
                <w:b/>
                <w:sz w:val="18"/>
                <w:szCs w:val="18"/>
              </w:rPr>
              <w:t>1) Primary efficacy</w:t>
            </w:r>
          </w:p>
        </w:tc>
        <w:tc>
          <w:tcPr>
            <w:tcW w:w="3100" w:type="dxa"/>
            <w:tcBorders>
              <w:top w:val="single" w:sz="4" w:space="0" w:color="auto"/>
              <w:left w:val="nil"/>
              <w:bottom w:val="nil"/>
              <w:right w:val="nil"/>
            </w:tcBorders>
            <w:vAlign w:val="center"/>
          </w:tcPr>
          <w:p w14:paraId="7AD528E6" w14:textId="77777777" w:rsidR="00576FE1" w:rsidRPr="00B80F8B" w:rsidRDefault="00576FE1" w:rsidP="00115CD6">
            <w:pPr>
              <w:spacing w:after="0" w:line="240" w:lineRule="auto"/>
              <w:rPr>
                <w:b/>
                <w:sz w:val="18"/>
                <w:szCs w:val="18"/>
              </w:rPr>
            </w:pPr>
          </w:p>
        </w:tc>
        <w:tc>
          <w:tcPr>
            <w:tcW w:w="2363" w:type="dxa"/>
            <w:tcBorders>
              <w:top w:val="single" w:sz="4" w:space="0" w:color="auto"/>
              <w:left w:val="nil"/>
              <w:bottom w:val="nil"/>
              <w:right w:val="nil"/>
            </w:tcBorders>
            <w:vAlign w:val="center"/>
          </w:tcPr>
          <w:p w14:paraId="5E8F0227" w14:textId="77777777" w:rsidR="00576FE1" w:rsidRPr="00B80F8B" w:rsidRDefault="00576FE1" w:rsidP="00115CD6">
            <w:pPr>
              <w:spacing w:after="0" w:line="240" w:lineRule="auto"/>
              <w:rPr>
                <w:sz w:val="18"/>
                <w:szCs w:val="18"/>
              </w:rPr>
            </w:pPr>
          </w:p>
        </w:tc>
        <w:tc>
          <w:tcPr>
            <w:tcW w:w="5865" w:type="dxa"/>
            <w:tcBorders>
              <w:top w:val="single" w:sz="4" w:space="0" w:color="auto"/>
              <w:left w:val="nil"/>
              <w:bottom w:val="nil"/>
              <w:right w:val="nil"/>
            </w:tcBorders>
            <w:vAlign w:val="center"/>
          </w:tcPr>
          <w:p w14:paraId="2F528316" w14:textId="77777777" w:rsidR="00576FE1" w:rsidRPr="00B80F8B" w:rsidRDefault="00576FE1" w:rsidP="00115CD6">
            <w:pPr>
              <w:spacing w:after="0" w:line="240" w:lineRule="auto"/>
              <w:rPr>
                <w:sz w:val="18"/>
                <w:szCs w:val="18"/>
              </w:rPr>
            </w:pPr>
          </w:p>
        </w:tc>
      </w:tr>
      <w:tr w:rsidR="00576FE1" w:rsidRPr="00B80F8B" w14:paraId="4CE3B3E3" w14:textId="77777777" w:rsidTr="00115CD6">
        <w:trPr>
          <w:trHeight w:val="158"/>
          <w:jc w:val="center"/>
        </w:trPr>
        <w:tc>
          <w:tcPr>
            <w:tcW w:w="2287" w:type="dxa"/>
            <w:tcBorders>
              <w:top w:val="nil"/>
              <w:left w:val="nil"/>
              <w:bottom w:val="nil"/>
              <w:right w:val="nil"/>
            </w:tcBorders>
            <w:vAlign w:val="center"/>
            <w:hideMark/>
          </w:tcPr>
          <w:p w14:paraId="237E3AC5" w14:textId="77777777" w:rsidR="00576FE1" w:rsidRPr="00B80F8B" w:rsidRDefault="00576FE1" w:rsidP="00115CD6">
            <w:pPr>
              <w:spacing w:after="0" w:line="240" w:lineRule="auto"/>
              <w:rPr>
                <w:sz w:val="18"/>
                <w:szCs w:val="18"/>
              </w:rPr>
            </w:pPr>
            <w:r w:rsidRPr="00B80F8B">
              <w:rPr>
                <w:sz w:val="18"/>
                <w:szCs w:val="18"/>
              </w:rPr>
              <w:t xml:space="preserve">PFS </w:t>
            </w:r>
          </w:p>
          <w:p w14:paraId="3CA16617" w14:textId="77777777" w:rsidR="00576FE1" w:rsidRPr="00B80F8B" w:rsidRDefault="00576FE1" w:rsidP="00115CD6">
            <w:pPr>
              <w:spacing w:after="0" w:line="240" w:lineRule="auto"/>
              <w:rPr>
                <w:sz w:val="18"/>
                <w:szCs w:val="18"/>
              </w:rPr>
            </w:pPr>
            <w:r w:rsidRPr="00B80F8B">
              <w:rPr>
                <w:sz w:val="18"/>
                <w:szCs w:val="18"/>
              </w:rPr>
              <w:t xml:space="preserve">(investigator criteria) </w:t>
            </w:r>
          </w:p>
        </w:tc>
        <w:tc>
          <w:tcPr>
            <w:tcW w:w="3100" w:type="dxa"/>
            <w:tcBorders>
              <w:top w:val="nil"/>
              <w:left w:val="nil"/>
              <w:bottom w:val="nil"/>
              <w:right w:val="nil"/>
            </w:tcBorders>
            <w:vAlign w:val="center"/>
            <w:hideMark/>
          </w:tcPr>
          <w:p w14:paraId="16D667FC" w14:textId="77777777" w:rsidR="00576FE1" w:rsidRPr="00B80F8B" w:rsidRDefault="00576FE1" w:rsidP="00115CD6">
            <w:pPr>
              <w:spacing w:after="0" w:line="240" w:lineRule="auto"/>
              <w:rPr>
                <w:sz w:val="18"/>
                <w:szCs w:val="18"/>
                <w:lang w:val="en-GB"/>
              </w:rPr>
            </w:pPr>
            <w:r w:rsidRPr="00B80F8B">
              <w:rPr>
                <w:sz w:val="18"/>
                <w:szCs w:val="18"/>
                <w:lang w:val="en-GB"/>
              </w:rPr>
              <w:t xml:space="preserve">Intervention &gt; control arm (ITT) </w:t>
            </w:r>
          </w:p>
        </w:tc>
        <w:tc>
          <w:tcPr>
            <w:tcW w:w="2363" w:type="dxa"/>
            <w:tcBorders>
              <w:top w:val="nil"/>
              <w:left w:val="nil"/>
              <w:bottom w:val="nil"/>
              <w:right w:val="nil"/>
            </w:tcBorders>
            <w:vAlign w:val="center"/>
            <w:hideMark/>
          </w:tcPr>
          <w:p w14:paraId="3A5FEA0A" w14:textId="77777777" w:rsidR="00576FE1" w:rsidRPr="00B80F8B" w:rsidRDefault="00576FE1" w:rsidP="00115CD6">
            <w:pPr>
              <w:spacing w:after="0" w:line="240" w:lineRule="auto"/>
              <w:rPr>
                <w:sz w:val="18"/>
                <w:szCs w:val="18"/>
              </w:rPr>
            </w:pPr>
            <w:r w:rsidRPr="00B80F8B">
              <w:rPr>
                <w:sz w:val="18"/>
                <w:szCs w:val="18"/>
              </w:rPr>
              <w:t>Time to event</w:t>
            </w:r>
          </w:p>
        </w:tc>
        <w:tc>
          <w:tcPr>
            <w:tcW w:w="5865" w:type="dxa"/>
            <w:tcBorders>
              <w:top w:val="nil"/>
              <w:left w:val="nil"/>
              <w:bottom w:val="nil"/>
              <w:right w:val="nil"/>
            </w:tcBorders>
            <w:vAlign w:val="center"/>
            <w:hideMark/>
          </w:tcPr>
          <w:p w14:paraId="0CA26404" w14:textId="77777777" w:rsidR="00576FE1" w:rsidRPr="00B80F8B" w:rsidRDefault="00576FE1" w:rsidP="00115CD6">
            <w:pPr>
              <w:spacing w:after="0" w:line="240" w:lineRule="auto"/>
              <w:rPr>
                <w:sz w:val="18"/>
                <w:szCs w:val="18"/>
                <w:lang w:val="en-GB"/>
              </w:rPr>
            </w:pPr>
            <w:r w:rsidRPr="00B80F8B">
              <w:rPr>
                <w:sz w:val="18"/>
                <w:szCs w:val="18"/>
                <w:lang w:val="en-GB"/>
              </w:rPr>
              <w:t>Kaplan-Meier survival analysis (Log-Rank test and Cox model)</w:t>
            </w:r>
          </w:p>
        </w:tc>
      </w:tr>
      <w:tr w:rsidR="00576FE1" w:rsidRPr="00B80F8B" w14:paraId="131DB88B" w14:textId="77777777" w:rsidTr="00115CD6">
        <w:trPr>
          <w:trHeight w:val="413"/>
          <w:jc w:val="center"/>
        </w:trPr>
        <w:tc>
          <w:tcPr>
            <w:tcW w:w="2287" w:type="dxa"/>
            <w:tcBorders>
              <w:top w:val="nil"/>
              <w:left w:val="nil"/>
              <w:bottom w:val="single" w:sz="4" w:space="0" w:color="auto"/>
              <w:right w:val="nil"/>
            </w:tcBorders>
            <w:vAlign w:val="center"/>
          </w:tcPr>
          <w:p w14:paraId="5678DB6A" w14:textId="77777777" w:rsidR="00576FE1" w:rsidRPr="00B80F8B" w:rsidRDefault="00576FE1" w:rsidP="00115CD6">
            <w:pPr>
              <w:spacing w:after="0" w:line="240" w:lineRule="auto"/>
              <w:rPr>
                <w:sz w:val="18"/>
                <w:szCs w:val="18"/>
                <w:lang w:val="en-GB"/>
              </w:rPr>
            </w:pPr>
          </w:p>
        </w:tc>
        <w:tc>
          <w:tcPr>
            <w:tcW w:w="3100" w:type="dxa"/>
            <w:tcBorders>
              <w:top w:val="nil"/>
              <w:left w:val="nil"/>
              <w:bottom w:val="single" w:sz="4" w:space="0" w:color="auto"/>
              <w:right w:val="nil"/>
            </w:tcBorders>
            <w:hideMark/>
          </w:tcPr>
          <w:p w14:paraId="75864413" w14:textId="77777777" w:rsidR="00576FE1" w:rsidRPr="00B80F8B" w:rsidRDefault="00576FE1" w:rsidP="00115CD6">
            <w:pPr>
              <w:spacing w:after="0" w:line="240" w:lineRule="auto"/>
              <w:rPr>
                <w:sz w:val="18"/>
                <w:szCs w:val="18"/>
                <w:lang w:val="en-GB"/>
              </w:rPr>
            </w:pPr>
            <w:r w:rsidRPr="00B80F8B">
              <w:rPr>
                <w:sz w:val="18"/>
                <w:szCs w:val="18"/>
                <w:lang w:val="en-GB"/>
              </w:rPr>
              <w:t xml:space="preserve">Intervention &gt; control arm (PP) </w:t>
            </w:r>
          </w:p>
        </w:tc>
        <w:tc>
          <w:tcPr>
            <w:tcW w:w="2363" w:type="dxa"/>
            <w:tcBorders>
              <w:top w:val="nil"/>
              <w:left w:val="nil"/>
              <w:bottom w:val="single" w:sz="4" w:space="0" w:color="auto"/>
              <w:right w:val="nil"/>
            </w:tcBorders>
            <w:hideMark/>
          </w:tcPr>
          <w:p w14:paraId="3AEE938D" w14:textId="77777777" w:rsidR="00576FE1" w:rsidRPr="00B80F8B" w:rsidRDefault="00576FE1" w:rsidP="00115CD6">
            <w:pPr>
              <w:spacing w:after="0" w:line="240" w:lineRule="auto"/>
              <w:rPr>
                <w:sz w:val="18"/>
                <w:szCs w:val="18"/>
              </w:rPr>
            </w:pPr>
            <w:r w:rsidRPr="00B80F8B">
              <w:rPr>
                <w:sz w:val="18"/>
                <w:szCs w:val="18"/>
              </w:rPr>
              <w:t>Time to event</w:t>
            </w:r>
          </w:p>
        </w:tc>
        <w:tc>
          <w:tcPr>
            <w:tcW w:w="5865" w:type="dxa"/>
            <w:tcBorders>
              <w:top w:val="nil"/>
              <w:left w:val="nil"/>
              <w:bottom w:val="single" w:sz="4" w:space="0" w:color="auto"/>
              <w:right w:val="nil"/>
            </w:tcBorders>
            <w:hideMark/>
          </w:tcPr>
          <w:p w14:paraId="6D9F4B6E" w14:textId="77777777" w:rsidR="00576FE1" w:rsidRPr="00B80F8B" w:rsidRDefault="00576FE1" w:rsidP="00115CD6">
            <w:pPr>
              <w:spacing w:after="0" w:line="240" w:lineRule="auto"/>
              <w:rPr>
                <w:sz w:val="18"/>
                <w:szCs w:val="18"/>
                <w:lang w:val="en-GB"/>
              </w:rPr>
            </w:pPr>
            <w:r w:rsidRPr="00B80F8B">
              <w:rPr>
                <w:sz w:val="18"/>
                <w:szCs w:val="18"/>
                <w:lang w:val="en-GB"/>
              </w:rPr>
              <w:t>Kaplan-Meier survival analysis (Log-Rank test and Cox model)</w:t>
            </w:r>
          </w:p>
        </w:tc>
      </w:tr>
      <w:tr w:rsidR="00576FE1" w:rsidRPr="00B80F8B" w14:paraId="34304FD0" w14:textId="77777777" w:rsidTr="00115CD6">
        <w:trPr>
          <w:trHeight w:val="158"/>
          <w:jc w:val="center"/>
        </w:trPr>
        <w:tc>
          <w:tcPr>
            <w:tcW w:w="5387" w:type="dxa"/>
            <w:gridSpan w:val="2"/>
            <w:tcBorders>
              <w:top w:val="single" w:sz="4" w:space="0" w:color="auto"/>
              <w:left w:val="nil"/>
              <w:bottom w:val="nil"/>
              <w:right w:val="nil"/>
            </w:tcBorders>
            <w:vAlign w:val="center"/>
            <w:hideMark/>
          </w:tcPr>
          <w:p w14:paraId="763D7074" w14:textId="77777777" w:rsidR="00576FE1" w:rsidRPr="00B80F8B" w:rsidRDefault="00576FE1" w:rsidP="00115CD6">
            <w:pPr>
              <w:spacing w:after="0" w:line="240" w:lineRule="auto"/>
              <w:rPr>
                <w:b/>
                <w:sz w:val="18"/>
                <w:szCs w:val="18"/>
              </w:rPr>
            </w:pPr>
            <w:r w:rsidRPr="00B80F8B">
              <w:rPr>
                <w:b/>
                <w:sz w:val="18"/>
                <w:szCs w:val="18"/>
              </w:rPr>
              <w:t>2) Secondary efficacy (ITT population)</w:t>
            </w:r>
          </w:p>
        </w:tc>
        <w:tc>
          <w:tcPr>
            <w:tcW w:w="2363" w:type="dxa"/>
            <w:tcBorders>
              <w:top w:val="single" w:sz="4" w:space="0" w:color="auto"/>
              <w:left w:val="nil"/>
              <w:bottom w:val="nil"/>
              <w:right w:val="nil"/>
            </w:tcBorders>
            <w:vAlign w:val="center"/>
            <w:hideMark/>
          </w:tcPr>
          <w:p w14:paraId="2E1008AE" w14:textId="77777777" w:rsidR="00576FE1" w:rsidRPr="00B80F8B" w:rsidRDefault="00576FE1" w:rsidP="00115CD6">
            <w:pPr>
              <w:spacing w:after="0" w:line="240" w:lineRule="auto"/>
              <w:rPr>
                <w:sz w:val="18"/>
                <w:szCs w:val="18"/>
              </w:rPr>
            </w:pPr>
            <w:r w:rsidRPr="00B80F8B">
              <w:rPr>
                <w:sz w:val="18"/>
                <w:szCs w:val="18"/>
              </w:rPr>
              <w:t> </w:t>
            </w:r>
          </w:p>
        </w:tc>
        <w:tc>
          <w:tcPr>
            <w:tcW w:w="5865" w:type="dxa"/>
            <w:tcBorders>
              <w:top w:val="single" w:sz="4" w:space="0" w:color="auto"/>
              <w:left w:val="nil"/>
              <w:bottom w:val="nil"/>
              <w:right w:val="nil"/>
            </w:tcBorders>
            <w:vAlign w:val="center"/>
            <w:hideMark/>
          </w:tcPr>
          <w:p w14:paraId="3829BC79" w14:textId="77777777" w:rsidR="00576FE1" w:rsidRPr="00B80F8B" w:rsidRDefault="00576FE1" w:rsidP="00115CD6">
            <w:pPr>
              <w:spacing w:after="0" w:line="240" w:lineRule="auto"/>
              <w:rPr>
                <w:sz w:val="18"/>
                <w:szCs w:val="18"/>
              </w:rPr>
            </w:pPr>
            <w:r w:rsidRPr="00B80F8B">
              <w:rPr>
                <w:sz w:val="18"/>
                <w:szCs w:val="18"/>
              </w:rPr>
              <w:t> </w:t>
            </w:r>
          </w:p>
        </w:tc>
      </w:tr>
      <w:tr w:rsidR="00576FE1" w:rsidRPr="00B80F8B" w14:paraId="7E2E33DA" w14:textId="77777777" w:rsidTr="00115CD6">
        <w:trPr>
          <w:trHeight w:val="357"/>
          <w:jc w:val="center"/>
        </w:trPr>
        <w:tc>
          <w:tcPr>
            <w:tcW w:w="2287" w:type="dxa"/>
            <w:tcBorders>
              <w:top w:val="nil"/>
              <w:left w:val="nil"/>
              <w:bottom w:val="nil"/>
              <w:right w:val="nil"/>
            </w:tcBorders>
            <w:hideMark/>
          </w:tcPr>
          <w:p w14:paraId="3C72C0F2" w14:textId="77777777" w:rsidR="00576FE1" w:rsidRPr="00B80F8B" w:rsidRDefault="00576FE1" w:rsidP="00115CD6">
            <w:pPr>
              <w:spacing w:after="0" w:line="240" w:lineRule="auto"/>
              <w:jc w:val="left"/>
              <w:rPr>
                <w:sz w:val="18"/>
                <w:szCs w:val="18"/>
              </w:rPr>
            </w:pPr>
            <w:r w:rsidRPr="00B80F8B">
              <w:rPr>
                <w:sz w:val="18"/>
                <w:szCs w:val="18"/>
              </w:rPr>
              <w:t>PFS (RECIST v1.1)</w:t>
            </w:r>
          </w:p>
        </w:tc>
        <w:tc>
          <w:tcPr>
            <w:tcW w:w="3100" w:type="dxa"/>
            <w:tcBorders>
              <w:top w:val="nil"/>
              <w:left w:val="nil"/>
              <w:bottom w:val="nil"/>
              <w:right w:val="nil"/>
            </w:tcBorders>
            <w:hideMark/>
          </w:tcPr>
          <w:p w14:paraId="1960CA59" w14:textId="77777777" w:rsidR="00576FE1" w:rsidRPr="00B80F8B" w:rsidRDefault="00576FE1" w:rsidP="00115CD6">
            <w:pPr>
              <w:spacing w:after="0" w:line="240" w:lineRule="auto"/>
              <w:jc w:val="left"/>
              <w:rPr>
                <w:sz w:val="18"/>
                <w:szCs w:val="18"/>
              </w:rPr>
            </w:pPr>
            <w:r w:rsidRPr="00B80F8B">
              <w:rPr>
                <w:sz w:val="18"/>
                <w:szCs w:val="18"/>
              </w:rPr>
              <w:t>Intervention &gt; control arm</w:t>
            </w:r>
          </w:p>
        </w:tc>
        <w:tc>
          <w:tcPr>
            <w:tcW w:w="2363" w:type="dxa"/>
            <w:tcBorders>
              <w:top w:val="nil"/>
              <w:left w:val="nil"/>
              <w:bottom w:val="nil"/>
              <w:right w:val="nil"/>
            </w:tcBorders>
            <w:hideMark/>
          </w:tcPr>
          <w:p w14:paraId="313F8848" w14:textId="77777777" w:rsidR="00576FE1" w:rsidRPr="00B80F8B" w:rsidRDefault="00576FE1" w:rsidP="00115CD6">
            <w:pPr>
              <w:spacing w:after="0" w:line="240" w:lineRule="auto"/>
              <w:jc w:val="left"/>
              <w:rPr>
                <w:sz w:val="18"/>
                <w:szCs w:val="18"/>
              </w:rPr>
            </w:pPr>
            <w:r w:rsidRPr="00B80F8B">
              <w:rPr>
                <w:sz w:val="18"/>
                <w:szCs w:val="18"/>
              </w:rPr>
              <w:t>Time to event</w:t>
            </w:r>
          </w:p>
        </w:tc>
        <w:tc>
          <w:tcPr>
            <w:tcW w:w="5865" w:type="dxa"/>
            <w:tcBorders>
              <w:top w:val="nil"/>
              <w:left w:val="nil"/>
              <w:bottom w:val="nil"/>
              <w:right w:val="nil"/>
            </w:tcBorders>
            <w:hideMark/>
          </w:tcPr>
          <w:p w14:paraId="6D5C04BA" w14:textId="77777777" w:rsidR="00576FE1" w:rsidRPr="00B80F8B" w:rsidRDefault="00576FE1" w:rsidP="00115CD6">
            <w:pPr>
              <w:spacing w:after="0" w:line="240" w:lineRule="auto"/>
              <w:jc w:val="left"/>
              <w:rPr>
                <w:sz w:val="18"/>
                <w:szCs w:val="18"/>
                <w:lang w:val="en-GB"/>
              </w:rPr>
            </w:pPr>
            <w:r w:rsidRPr="00B80F8B">
              <w:rPr>
                <w:sz w:val="18"/>
                <w:szCs w:val="18"/>
                <w:lang w:val="en-GB"/>
              </w:rPr>
              <w:t>Kaplan-Meier survival analysis (Log-Rank test and Cox model)</w:t>
            </w:r>
          </w:p>
        </w:tc>
      </w:tr>
      <w:tr w:rsidR="00576FE1" w:rsidRPr="00B80F8B" w14:paraId="7A1ABCBC" w14:textId="77777777" w:rsidTr="00115CD6">
        <w:trPr>
          <w:trHeight w:val="410"/>
          <w:jc w:val="center"/>
        </w:trPr>
        <w:tc>
          <w:tcPr>
            <w:tcW w:w="2287" w:type="dxa"/>
            <w:tcBorders>
              <w:top w:val="nil"/>
              <w:left w:val="nil"/>
              <w:bottom w:val="nil"/>
              <w:right w:val="nil"/>
            </w:tcBorders>
            <w:hideMark/>
          </w:tcPr>
          <w:p w14:paraId="4D881BC5" w14:textId="77777777" w:rsidR="00576FE1" w:rsidRPr="00B80F8B" w:rsidRDefault="00576FE1" w:rsidP="00115CD6">
            <w:pPr>
              <w:spacing w:after="0" w:line="240" w:lineRule="auto"/>
              <w:jc w:val="left"/>
              <w:rPr>
                <w:sz w:val="18"/>
                <w:szCs w:val="18"/>
              </w:rPr>
            </w:pPr>
            <w:r w:rsidRPr="00B80F8B">
              <w:rPr>
                <w:sz w:val="18"/>
                <w:szCs w:val="18"/>
              </w:rPr>
              <w:t>ORR</w:t>
            </w:r>
          </w:p>
        </w:tc>
        <w:tc>
          <w:tcPr>
            <w:tcW w:w="3100" w:type="dxa"/>
            <w:tcBorders>
              <w:top w:val="nil"/>
              <w:left w:val="nil"/>
              <w:bottom w:val="nil"/>
              <w:right w:val="nil"/>
            </w:tcBorders>
            <w:hideMark/>
          </w:tcPr>
          <w:p w14:paraId="799E2BDB" w14:textId="77777777" w:rsidR="00576FE1" w:rsidRPr="00B80F8B" w:rsidRDefault="00576FE1" w:rsidP="00115CD6">
            <w:pPr>
              <w:spacing w:after="0" w:line="240" w:lineRule="auto"/>
              <w:jc w:val="left"/>
              <w:rPr>
                <w:sz w:val="18"/>
                <w:szCs w:val="18"/>
              </w:rPr>
            </w:pPr>
            <w:r w:rsidRPr="00B80F8B">
              <w:rPr>
                <w:sz w:val="18"/>
                <w:szCs w:val="18"/>
              </w:rPr>
              <w:t>Intervention &gt; control arm</w:t>
            </w:r>
          </w:p>
        </w:tc>
        <w:tc>
          <w:tcPr>
            <w:tcW w:w="2363" w:type="dxa"/>
            <w:tcBorders>
              <w:top w:val="nil"/>
              <w:left w:val="nil"/>
              <w:bottom w:val="nil"/>
              <w:right w:val="nil"/>
            </w:tcBorders>
            <w:hideMark/>
          </w:tcPr>
          <w:p w14:paraId="440561DA" w14:textId="77777777" w:rsidR="00576FE1" w:rsidRPr="00B80F8B" w:rsidRDefault="00576FE1" w:rsidP="00115CD6">
            <w:pPr>
              <w:spacing w:after="0" w:line="240" w:lineRule="auto"/>
              <w:jc w:val="left"/>
              <w:rPr>
                <w:sz w:val="18"/>
                <w:szCs w:val="18"/>
              </w:rPr>
            </w:pPr>
            <w:r w:rsidRPr="00B80F8B">
              <w:rPr>
                <w:sz w:val="18"/>
                <w:szCs w:val="18"/>
              </w:rPr>
              <w:t>Binary</w:t>
            </w:r>
          </w:p>
        </w:tc>
        <w:tc>
          <w:tcPr>
            <w:tcW w:w="5865" w:type="dxa"/>
            <w:tcBorders>
              <w:top w:val="nil"/>
              <w:left w:val="nil"/>
              <w:bottom w:val="nil"/>
              <w:right w:val="nil"/>
            </w:tcBorders>
            <w:hideMark/>
          </w:tcPr>
          <w:p w14:paraId="1D87B440" w14:textId="77777777" w:rsidR="00576FE1" w:rsidRPr="00B80F8B" w:rsidRDefault="00576FE1" w:rsidP="00115CD6">
            <w:pPr>
              <w:spacing w:after="0" w:line="240" w:lineRule="auto"/>
              <w:jc w:val="left"/>
              <w:rPr>
                <w:sz w:val="18"/>
                <w:szCs w:val="18"/>
                <w:lang w:val="en-GB"/>
              </w:rPr>
            </w:pPr>
            <w:r w:rsidRPr="00B80F8B">
              <w:rPr>
                <w:sz w:val="18"/>
                <w:szCs w:val="18"/>
                <w:lang w:val="en-GB"/>
              </w:rPr>
              <w:t>Fisher’s exact test and Logistic model</w:t>
            </w:r>
          </w:p>
        </w:tc>
      </w:tr>
      <w:tr w:rsidR="00576FE1" w:rsidRPr="00B80F8B" w14:paraId="5114C8AB" w14:textId="77777777" w:rsidTr="00115CD6">
        <w:trPr>
          <w:trHeight w:val="288"/>
          <w:jc w:val="center"/>
        </w:trPr>
        <w:tc>
          <w:tcPr>
            <w:tcW w:w="2287" w:type="dxa"/>
            <w:tcBorders>
              <w:top w:val="nil"/>
              <w:left w:val="nil"/>
              <w:bottom w:val="nil"/>
              <w:right w:val="nil"/>
            </w:tcBorders>
            <w:hideMark/>
          </w:tcPr>
          <w:p w14:paraId="6EC76F0E" w14:textId="77777777" w:rsidR="00576FE1" w:rsidRPr="00B80F8B" w:rsidRDefault="00576FE1" w:rsidP="00115CD6">
            <w:pPr>
              <w:spacing w:after="0" w:line="240" w:lineRule="auto"/>
              <w:jc w:val="left"/>
              <w:rPr>
                <w:sz w:val="18"/>
                <w:szCs w:val="18"/>
              </w:rPr>
            </w:pPr>
            <w:r w:rsidRPr="00B80F8B">
              <w:rPr>
                <w:sz w:val="18"/>
                <w:szCs w:val="18"/>
              </w:rPr>
              <w:t>CBR</w:t>
            </w:r>
          </w:p>
        </w:tc>
        <w:tc>
          <w:tcPr>
            <w:tcW w:w="3100" w:type="dxa"/>
            <w:tcBorders>
              <w:top w:val="nil"/>
              <w:left w:val="nil"/>
              <w:bottom w:val="nil"/>
              <w:right w:val="nil"/>
            </w:tcBorders>
            <w:hideMark/>
          </w:tcPr>
          <w:p w14:paraId="73FC688A" w14:textId="77777777" w:rsidR="00576FE1" w:rsidRPr="00B80F8B" w:rsidRDefault="00576FE1" w:rsidP="00115CD6">
            <w:pPr>
              <w:spacing w:after="0" w:line="240" w:lineRule="auto"/>
              <w:jc w:val="left"/>
              <w:rPr>
                <w:sz w:val="18"/>
                <w:szCs w:val="18"/>
              </w:rPr>
            </w:pPr>
            <w:r w:rsidRPr="00B80F8B">
              <w:rPr>
                <w:sz w:val="18"/>
                <w:szCs w:val="18"/>
              </w:rPr>
              <w:t>Intervention &gt; control arm</w:t>
            </w:r>
          </w:p>
        </w:tc>
        <w:tc>
          <w:tcPr>
            <w:tcW w:w="2363" w:type="dxa"/>
            <w:tcBorders>
              <w:top w:val="nil"/>
              <w:left w:val="nil"/>
              <w:bottom w:val="nil"/>
              <w:right w:val="nil"/>
            </w:tcBorders>
            <w:hideMark/>
          </w:tcPr>
          <w:p w14:paraId="35436B19" w14:textId="77777777" w:rsidR="00576FE1" w:rsidRPr="00B80F8B" w:rsidRDefault="00576FE1" w:rsidP="00115CD6">
            <w:pPr>
              <w:spacing w:after="0" w:line="240" w:lineRule="auto"/>
              <w:jc w:val="left"/>
              <w:rPr>
                <w:sz w:val="18"/>
                <w:szCs w:val="18"/>
              </w:rPr>
            </w:pPr>
            <w:r w:rsidRPr="00B80F8B">
              <w:rPr>
                <w:sz w:val="18"/>
                <w:szCs w:val="18"/>
              </w:rPr>
              <w:t>Binary</w:t>
            </w:r>
          </w:p>
        </w:tc>
        <w:tc>
          <w:tcPr>
            <w:tcW w:w="5865" w:type="dxa"/>
            <w:tcBorders>
              <w:top w:val="nil"/>
              <w:left w:val="nil"/>
              <w:bottom w:val="nil"/>
              <w:right w:val="nil"/>
            </w:tcBorders>
            <w:hideMark/>
          </w:tcPr>
          <w:p w14:paraId="76706663" w14:textId="77777777" w:rsidR="00576FE1" w:rsidRPr="00B80F8B" w:rsidRDefault="00576FE1" w:rsidP="00115CD6">
            <w:pPr>
              <w:spacing w:after="0" w:line="240" w:lineRule="auto"/>
              <w:jc w:val="left"/>
              <w:rPr>
                <w:sz w:val="18"/>
                <w:szCs w:val="18"/>
                <w:lang w:val="en-GB"/>
              </w:rPr>
            </w:pPr>
            <w:r w:rsidRPr="00B80F8B">
              <w:rPr>
                <w:sz w:val="18"/>
                <w:szCs w:val="18"/>
                <w:lang w:val="en-GB"/>
              </w:rPr>
              <w:t>Fisher’s exact test and Logistic model</w:t>
            </w:r>
          </w:p>
        </w:tc>
      </w:tr>
      <w:tr w:rsidR="00576FE1" w:rsidRPr="00B80F8B" w14:paraId="7AE2DA25" w14:textId="77777777" w:rsidTr="00115CD6">
        <w:trPr>
          <w:trHeight w:val="329"/>
          <w:jc w:val="center"/>
        </w:trPr>
        <w:tc>
          <w:tcPr>
            <w:tcW w:w="2287" w:type="dxa"/>
            <w:tcBorders>
              <w:top w:val="nil"/>
              <w:left w:val="nil"/>
              <w:bottom w:val="nil"/>
              <w:right w:val="nil"/>
            </w:tcBorders>
            <w:hideMark/>
          </w:tcPr>
          <w:p w14:paraId="256326C2" w14:textId="77777777" w:rsidR="00576FE1" w:rsidRPr="00B80F8B" w:rsidRDefault="00576FE1" w:rsidP="00115CD6">
            <w:pPr>
              <w:spacing w:after="0" w:line="240" w:lineRule="auto"/>
              <w:jc w:val="left"/>
              <w:rPr>
                <w:sz w:val="18"/>
                <w:szCs w:val="18"/>
              </w:rPr>
            </w:pPr>
            <w:r w:rsidRPr="00B80F8B">
              <w:rPr>
                <w:sz w:val="18"/>
                <w:szCs w:val="18"/>
              </w:rPr>
              <w:t>OS</w:t>
            </w:r>
          </w:p>
        </w:tc>
        <w:tc>
          <w:tcPr>
            <w:tcW w:w="3100" w:type="dxa"/>
            <w:tcBorders>
              <w:top w:val="nil"/>
              <w:left w:val="nil"/>
              <w:bottom w:val="nil"/>
              <w:right w:val="nil"/>
            </w:tcBorders>
            <w:hideMark/>
          </w:tcPr>
          <w:p w14:paraId="67D2A3C3" w14:textId="77777777" w:rsidR="00576FE1" w:rsidRPr="00B80F8B" w:rsidRDefault="00576FE1" w:rsidP="00115CD6">
            <w:pPr>
              <w:spacing w:after="0" w:line="240" w:lineRule="auto"/>
              <w:jc w:val="left"/>
              <w:rPr>
                <w:sz w:val="18"/>
                <w:szCs w:val="18"/>
              </w:rPr>
            </w:pPr>
            <w:r w:rsidRPr="00B80F8B">
              <w:rPr>
                <w:sz w:val="18"/>
                <w:szCs w:val="18"/>
              </w:rPr>
              <w:t>Intervention &gt; control arm</w:t>
            </w:r>
          </w:p>
        </w:tc>
        <w:tc>
          <w:tcPr>
            <w:tcW w:w="2363" w:type="dxa"/>
            <w:tcBorders>
              <w:top w:val="nil"/>
              <w:left w:val="nil"/>
              <w:bottom w:val="nil"/>
              <w:right w:val="nil"/>
            </w:tcBorders>
            <w:hideMark/>
          </w:tcPr>
          <w:p w14:paraId="16E14E07" w14:textId="77777777" w:rsidR="00576FE1" w:rsidRPr="00B80F8B" w:rsidRDefault="00576FE1" w:rsidP="00115CD6">
            <w:pPr>
              <w:spacing w:after="0" w:line="240" w:lineRule="auto"/>
              <w:jc w:val="left"/>
              <w:rPr>
                <w:sz w:val="18"/>
                <w:szCs w:val="18"/>
              </w:rPr>
            </w:pPr>
            <w:r w:rsidRPr="00B80F8B">
              <w:rPr>
                <w:sz w:val="18"/>
                <w:szCs w:val="18"/>
              </w:rPr>
              <w:t>Time to event</w:t>
            </w:r>
          </w:p>
        </w:tc>
        <w:tc>
          <w:tcPr>
            <w:tcW w:w="5865" w:type="dxa"/>
            <w:tcBorders>
              <w:top w:val="nil"/>
              <w:left w:val="nil"/>
              <w:bottom w:val="nil"/>
              <w:right w:val="nil"/>
            </w:tcBorders>
            <w:hideMark/>
          </w:tcPr>
          <w:p w14:paraId="5C7B2261" w14:textId="77777777" w:rsidR="00576FE1" w:rsidRPr="00B80F8B" w:rsidRDefault="00576FE1" w:rsidP="00115CD6">
            <w:pPr>
              <w:spacing w:after="0" w:line="240" w:lineRule="auto"/>
              <w:jc w:val="left"/>
              <w:rPr>
                <w:sz w:val="18"/>
                <w:szCs w:val="18"/>
                <w:lang w:val="en-GB"/>
              </w:rPr>
            </w:pPr>
            <w:r w:rsidRPr="00B80F8B">
              <w:rPr>
                <w:sz w:val="18"/>
                <w:szCs w:val="18"/>
                <w:lang w:val="en-GB"/>
              </w:rPr>
              <w:t>Kaplan-Meier survival analysis (Log-Rank test and Cox model)</w:t>
            </w:r>
          </w:p>
        </w:tc>
      </w:tr>
      <w:tr w:rsidR="00576FE1" w:rsidRPr="00B80F8B" w14:paraId="6B942283" w14:textId="77777777" w:rsidTr="00115CD6">
        <w:trPr>
          <w:trHeight w:val="382"/>
          <w:jc w:val="center"/>
        </w:trPr>
        <w:tc>
          <w:tcPr>
            <w:tcW w:w="2287" w:type="dxa"/>
            <w:tcBorders>
              <w:top w:val="nil"/>
              <w:left w:val="nil"/>
              <w:bottom w:val="nil"/>
              <w:right w:val="nil"/>
            </w:tcBorders>
            <w:hideMark/>
          </w:tcPr>
          <w:p w14:paraId="6BD7C7C2" w14:textId="77777777" w:rsidR="00576FE1" w:rsidRPr="00B80F8B" w:rsidRDefault="00576FE1" w:rsidP="00115CD6">
            <w:pPr>
              <w:spacing w:after="0" w:line="240" w:lineRule="auto"/>
              <w:jc w:val="left"/>
              <w:rPr>
                <w:sz w:val="18"/>
                <w:szCs w:val="18"/>
              </w:rPr>
            </w:pPr>
            <w:proofErr w:type="spellStart"/>
            <w:r w:rsidRPr="00B80F8B">
              <w:rPr>
                <w:sz w:val="18"/>
                <w:szCs w:val="18"/>
              </w:rPr>
              <w:t>DoR</w:t>
            </w:r>
            <w:proofErr w:type="spellEnd"/>
          </w:p>
        </w:tc>
        <w:tc>
          <w:tcPr>
            <w:tcW w:w="3100" w:type="dxa"/>
            <w:tcBorders>
              <w:top w:val="nil"/>
              <w:left w:val="nil"/>
              <w:bottom w:val="nil"/>
              <w:right w:val="nil"/>
            </w:tcBorders>
            <w:hideMark/>
          </w:tcPr>
          <w:p w14:paraId="5017434E" w14:textId="77777777" w:rsidR="00576FE1" w:rsidRPr="00B80F8B" w:rsidRDefault="00576FE1" w:rsidP="00115CD6">
            <w:pPr>
              <w:spacing w:after="0" w:line="240" w:lineRule="auto"/>
              <w:jc w:val="left"/>
              <w:rPr>
                <w:sz w:val="18"/>
                <w:szCs w:val="18"/>
              </w:rPr>
            </w:pPr>
            <w:r w:rsidRPr="00B80F8B">
              <w:rPr>
                <w:sz w:val="18"/>
                <w:szCs w:val="18"/>
              </w:rPr>
              <w:t>Intervention &gt; control arm</w:t>
            </w:r>
          </w:p>
        </w:tc>
        <w:tc>
          <w:tcPr>
            <w:tcW w:w="2363" w:type="dxa"/>
            <w:tcBorders>
              <w:top w:val="nil"/>
              <w:left w:val="nil"/>
              <w:bottom w:val="nil"/>
              <w:right w:val="nil"/>
            </w:tcBorders>
            <w:hideMark/>
          </w:tcPr>
          <w:p w14:paraId="277DDB7B" w14:textId="77777777" w:rsidR="00576FE1" w:rsidRPr="00B80F8B" w:rsidRDefault="00576FE1" w:rsidP="00115CD6">
            <w:pPr>
              <w:spacing w:after="0" w:line="240" w:lineRule="auto"/>
              <w:jc w:val="left"/>
              <w:rPr>
                <w:sz w:val="18"/>
                <w:szCs w:val="18"/>
              </w:rPr>
            </w:pPr>
            <w:r w:rsidRPr="00B80F8B">
              <w:rPr>
                <w:sz w:val="18"/>
                <w:szCs w:val="18"/>
              </w:rPr>
              <w:t>Time to event</w:t>
            </w:r>
          </w:p>
        </w:tc>
        <w:tc>
          <w:tcPr>
            <w:tcW w:w="5865" w:type="dxa"/>
            <w:tcBorders>
              <w:top w:val="nil"/>
              <w:left w:val="nil"/>
              <w:bottom w:val="nil"/>
              <w:right w:val="nil"/>
            </w:tcBorders>
            <w:hideMark/>
          </w:tcPr>
          <w:p w14:paraId="2259D6DA" w14:textId="77777777" w:rsidR="00576FE1" w:rsidRPr="00B80F8B" w:rsidRDefault="00576FE1" w:rsidP="00115CD6">
            <w:pPr>
              <w:spacing w:after="0" w:line="240" w:lineRule="auto"/>
              <w:jc w:val="left"/>
              <w:rPr>
                <w:sz w:val="18"/>
                <w:szCs w:val="18"/>
                <w:lang w:val="en-GB"/>
              </w:rPr>
            </w:pPr>
            <w:r w:rsidRPr="00B80F8B">
              <w:rPr>
                <w:sz w:val="18"/>
                <w:szCs w:val="18"/>
                <w:lang w:val="en-GB"/>
              </w:rPr>
              <w:t>Kaplan-Meier survival analysis (Log-Rank test and Cox model)</w:t>
            </w:r>
          </w:p>
        </w:tc>
      </w:tr>
      <w:tr w:rsidR="00576FE1" w:rsidRPr="00B80F8B" w14:paraId="72994093" w14:textId="77777777" w:rsidTr="00115CD6">
        <w:trPr>
          <w:trHeight w:val="273"/>
          <w:jc w:val="center"/>
        </w:trPr>
        <w:tc>
          <w:tcPr>
            <w:tcW w:w="2287" w:type="dxa"/>
            <w:tcBorders>
              <w:top w:val="nil"/>
              <w:left w:val="nil"/>
              <w:bottom w:val="nil"/>
              <w:right w:val="nil"/>
            </w:tcBorders>
            <w:hideMark/>
          </w:tcPr>
          <w:p w14:paraId="2CFCFA12" w14:textId="77777777" w:rsidR="00576FE1" w:rsidRPr="00B80F8B" w:rsidRDefault="00576FE1" w:rsidP="00115CD6">
            <w:pPr>
              <w:spacing w:after="0" w:line="240" w:lineRule="auto"/>
              <w:jc w:val="left"/>
              <w:rPr>
                <w:sz w:val="18"/>
                <w:szCs w:val="18"/>
              </w:rPr>
            </w:pPr>
            <w:proofErr w:type="spellStart"/>
            <w:r w:rsidRPr="00B80F8B">
              <w:rPr>
                <w:sz w:val="18"/>
                <w:szCs w:val="18"/>
              </w:rPr>
              <w:t>DoCB</w:t>
            </w:r>
            <w:proofErr w:type="spellEnd"/>
          </w:p>
        </w:tc>
        <w:tc>
          <w:tcPr>
            <w:tcW w:w="3100" w:type="dxa"/>
            <w:tcBorders>
              <w:top w:val="nil"/>
              <w:left w:val="nil"/>
              <w:bottom w:val="nil"/>
              <w:right w:val="nil"/>
            </w:tcBorders>
            <w:hideMark/>
          </w:tcPr>
          <w:p w14:paraId="00124F66" w14:textId="77777777" w:rsidR="00576FE1" w:rsidRPr="00B80F8B" w:rsidRDefault="00576FE1" w:rsidP="00115CD6">
            <w:pPr>
              <w:spacing w:after="0" w:line="240" w:lineRule="auto"/>
              <w:jc w:val="left"/>
              <w:rPr>
                <w:sz w:val="18"/>
                <w:szCs w:val="18"/>
              </w:rPr>
            </w:pPr>
            <w:r w:rsidRPr="00B80F8B">
              <w:rPr>
                <w:sz w:val="18"/>
                <w:szCs w:val="18"/>
              </w:rPr>
              <w:t>Intervention &gt; control arm</w:t>
            </w:r>
          </w:p>
        </w:tc>
        <w:tc>
          <w:tcPr>
            <w:tcW w:w="2363" w:type="dxa"/>
            <w:tcBorders>
              <w:top w:val="nil"/>
              <w:left w:val="nil"/>
              <w:bottom w:val="nil"/>
              <w:right w:val="nil"/>
            </w:tcBorders>
            <w:hideMark/>
          </w:tcPr>
          <w:p w14:paraId="597C9AC6" w14:textId="77777777" w:rsidR="00576FE1" w:rsidRPr="00B80F8B" w:rsidRDefault="00576FE1" w:rsidP="00115CD6">
            <w:pPr>
              <w:spacing w:after="0" w:line="240" w:lineRule="auto"/>
              <w:jc w:val="left"/>
              <w:rPr>
                <w:sz w:val="18"/>
                <w:szCs w:val="18"/>
              </w:rPr>
            </w:pPr>
            <w:r w:rsidRPr="00B80F8B">
              <w:rPr>
                <w:sz w:val="18"/>
                <w:szCs w:val="18"/>
              </w:rPr>
              <w:t>Time to event</w:t>
            </w:r>
          </w:p>
        </w:tc>
        <w:tc>
          <w:tcPr>
            <w:tcW w:w="5865" w:type="dxa"/>
            <w:tcBorders>
              <w:top w:val="nil"/>
              <w:left w:val="nil"/>
              <w:bottom w:val="nil"/>
              <w:right w:val="nil"/>
            </w:tcBorders>
            <w:hideMark/>
          </w:tcPr>
          <w:p w14:paraId="1C4A89E8" w14:textId="77777777" w:rsidR="00576FE1" w:rsidRPr="00B80F8B" w:rsidRDefault="00576FE1" w:rsidP="00115CD6">
            <w:pPr>
              <w:spacing w:after="0" w:line="240" w:lineRule="auto"/>
              <w:jc w:val="left"/>
              <w:rPr>
                <w:sz w:val="18"/>
                <w:szCs w:val="18"/>
                <w:lang w:val="en-GB"/>
              </w:rPr>
            </w:pPr>
            <w:r w:rsidRPr="00B80F8B">
              <w:rPr>
                <w:sz w:val="18"/>
                <w:szCs w:val="18"/>
                <w:lang w:val="en-GB"/>
              </w:rPr>
              <w:t>Kaplan-Meier survival analysis (Log-Rank test and Cox model)</w:t>
            </w:r>
          </w:p>
        </w:tc>
      </w:tr>
      <w:tr w:rsidR="00576FE1" w:rsidRPr="00B80F8B" w14:paraId="69A5BAED" w14:textId="77777777" w:rsidTr="00115CD6">
        <w:trPr>
          <w:trHeight w:val="348"/>
          <w:jc w:val="center"/>
        </w:trPr>
        <w:tc>
          <w:tcPr>
            <w:tcW w:w="2287" w:type="dxa"/>
            <w:tcBorders>
              <w:top w:val="nil"/>
              <w:left w:val="nil"/>
              <w:bottom w:val="nil"/>
              <w:right w:val="nil"/>
            </w:tcBorders>
            <w:hideMark/>
          </w:tcPr>
          <w:p w14:paraId="7C4F498D" w14:textId="77777777" w:rsidR="00576FE1" w:rsidRPr="00B80F8B" w:rsidRDefault="00576FE1" w:rsidP="00115CD6">
            <w:pPr>
              <w:spacing w:after="0" w:line="240" w:lineRule="auto"/>
              <w:jc w:val="left"/>
              <w:rPr>
                <w:sz w:val="18"/>
                <w:szCs w:val="18"/>
              </w:rPr>
            </w:pPr>
            <w:r w:rsidRPr="00B80F8B">
              <w:rPr>
                <w:sz w:val="18"/>
                <w:szCs w:val="18"/>
              </w:rPr>
              <w:t>TTP</w:t>
            </w:r>
          </w:p>
        </w:tc>
        <w:tc>
          <w:tcPr>
            <w:tcW w:w="3100" w:type="dxa"/>
            <w:tcBorders>
              <w:top w:val="nil"/>
              <w:left w:val="nil"/>
              <w:bottom w:val="nil"/>
              <w:right w:val="nil"/>
            </w:tcBorders>
            <w:hideMark/>
          </w:tcPr>
          <w:p w14:paraId="08C593B2" w14:textId="77777777" w:rsidR="00576FE1" w:rsidRPr="00B80F8B" w:rsidRDefault="00576FE1" w:rsidP="00115CD6">
            <w:pPr>
              <w:spacing w:after="0" w:line="240" w:lineRule="auto"/>
              <w:jc w:val="left"/>
              <w:rPr>
                <w:sz w:val="18"/>
                <w:szCs w:val="18"/>
              </w:rPr>
            </w:pPr>
            <w:r w:rsidRPr="00B80F8B">
              <w:rPr>
                <w:sz w:val="18"/>
                <w:szCs w:val="18"/>
              </w:rPr>
              <w:t>Intervention &gt; control arm</w:t>
            </w:r>
          </w:p>
        </w:tc>
        <w:tc>
          <w:tcPr>
            <w:tcW w:w="2363" w:type="dxa"/>
            <w:tcBorders>
              <w:top w:val="nil"/>
              <w:left w:val="nil"/>
              <w:bottom w:val="nil"/>
              <w:right w:val="nil"/>
            </w:tcBorders>
            <w:hideMark/>
          </w:tcPr>
          <w:p w14:paraId="1EBFD5AE" w14:textId="77777777" w:rsidR="00576FE1" w:rsidRPr="00B80F8B" w:rsidRDefault="00576FE1" w:rsidP="00115CD6">
            <w:pPr>
              <w:spacing w:after="0" w:line="240" w:lineRule="auto"/>
              <w:jc w:val="left"/>
              <w:rPr>
                <w:sz w:val="18"/>
                <w:szCs w:val="18"/>
              </w:rPr>
            </w:pPr>
            <w:r w:rsidRPr="00B80F8B">
              <w:rPr>
                <w:sz w:val="18"/>
                <w:szCs w:val="18"/>
              </w:rPr>
              <w:t>Time to event</w:t>
            </w:r>
          </w:p>
        </w:tc>
        <w:tc>
          <w:tcPr>
            <w:tcW w:w="5865" w:type="dxa"/>
            <w:tcBorders>
              <w:top w:val="nil"/>
              <w:left w:val="nil"/>
              <w:bottom w:val="nil"/>
              <w:right w:val="nil"/>
            </w:tcBorders>
            <w:hideMark/>
          </w:tcPr>
          <w:p w14:paraId="407528A9" w14:textId="77777777" w:rsidR="00576FE1" w:rsidRPr="00B80F8B" w:rsidRDefault="00576FE1" w:rsidP="00115CD6">
            <w:pPr>
              <w:spacing w:after="0" w:line="240" w:lineRule="auto"/>
              <w:jc w:val="left"/>
              <w:rPr>
                <w:sz w:val="18"/>
                <w:szCs w:val="18"/>
                <w:lang w:val="en-GB"/>
              </w:rPr>
            </w:pPr>
            <w:r w:rsidRPr="00B80F8B">
              <w:rPr>
                <w:sz w:val="18"/>
                <w:szCs w:val="18"/>
                <w:lang w:val="en-GB"/>
              </w:rPr>
              <w:t>Kaplan-Meier survival analysis (Log-Rank test and Cox model)</w:t>
            </w:r>
          </w:p>
        </w:tc>
      </w:tr>
      <w:tr w:rsidR="00576FE1" w:rsidRPr="00B80F8B" w14:paraId="4600AA71" w14:textId="77777777" w:rsidTr="00115CD6">
        <w:trPr>
          <w:trHeight w:val="430"/>
          <w:jc w:val="center"/>
        </w:trPr>
        <w:tc>
          <w:tcPr>
            <w:tcW w:w="2287" w:type="dxa"/>
            <w:tcBorders>
              <w:top w:val="nil"/>
              <w:left w:val="nil"/>
              <w:bottom w:val="single" w:sz="4" w:space="0" w:color="auto"/>
              <w:right w:val="nil"/>
            </w:tcBorders>
            <w:hideMark/>
          </w:tcPr>
          <w:p w14:paraId="160106A5" w14:textId="77777777" w:rsidR="00576FE1" w:rsidRPr="00B80F8B" w:rsidRDefault="00576FE1" w:rsidP="00115CD6">
            <w:pPr>
              <w:spacing w:after="0" w:line="240" w:lineRule="auto"/>
              <w:jc w:val="left"/>
              <w:rPr>
                <w:sz w:val="18"/>
                <w:szCs w:val="18"/>
              </w:rPr>
            </w:pPr>
            <w:r w:rsidRPr="00B80F8B">
              <w:rPr>
                <w:sz w:val="18"/>
                <w:szCs w:val="18"/>
              </w:rPr>
              <w:t>TTR</w:t>
            </w:r>
          </w:p>
        </w:tc>
        <w:tc>
          <w:tcPr>
            <w:tcW w:w="3100" w:type="dxa"/>
            <w:tcBorders>
              <w:top w:val="nil"/>
              <w:left w:val="nil"/>
              <w:bottom w:val="single" w:sz="4" w:space="0" w:color="auto"/>
              <w:right w:val="nil"/>
            </w:tcBorders>
            <w:hideMark/>
          </w:tcPr>
          <w:p w14:paraId="406894AD" w14:textId="77777777" w:rsidR="00576FE1" w:rsidRPr="00B80F8B" w:rsidRDefault="00576FE1" w:rsidP="00115CD6">
            <w:pPr>
              <w:spacing w:after="0" w:line="240" w:lineRule="auto"/>
              <w:jc w:val="left"/>
              <w:rPr>
                <w:sz w:val="18"/>
                <w:szCs w:val="18"/>
              </w:rPr>
            </w:pPr>
            <w:r w:rsidRPr="00B80F8B">
              <w:rPr>
                <w:sz w:val="18"/>
                <w:szCs w:val="18"/>
              </w:rPr>
              <w:t>Intervention &gt; control arm</w:t>
            </w:r>
          </w:p>
        </w:tc>
        <w:tc>
          <w:tcPr>
            <w:tcW w:w="2363" w:type="dxa"/>
            <w:tcBorders>
              <w:top w:val="nil"/>
              <w:left w:val="nil"/>
              <w:bottom w:val="single" w:sz="4" w:space="0" w:color="auto"/>
              <w:right w:val="nil"/>
            </w:tcBorders>
            <w:hideMark/>
          </w:tcPr>
          <w:p w14:paraId="071C7530" w14:textId="77777777" w:rsidR="00576FE1" w:rsidRPr="00B80F8B" w:rsidRDefault="00576FE1" w:rsidP="00115CD6">
            <w:pPr>
              <w:spacing w:after="0" w:line="240" w:lineRule="auto"/>
              <w:jc w:val="left"/>
              <w:rPr>
                <w:sz w:val="18"/>
                <w:szCs w:val="18"/>
              </w:rPr>
            </w:pPr>
            <w:r w:rsidRPr="00B80F8B">
              <w:rPr>
                <w:sz w:val="18"/>
                <w:szCs w:val="18"/>
              </w:rPr>
              <w:t>Time to event</w:t>
            </w:r>
          </w:p>
        </w:tc>
        <w:tc>
          <w:tcPr>
            <w:tcW w:w="5865" w:type="dxa"/>
            <w:tcBorders>
              <w:top w:val="nil"/>
              <w:left w:val="nil"/>
              <w:bottom w:val="single" w:sz="4" w:space="0" w:color="auto"/>
              <w:right w:val="nil"/>
            </w:tcBorders>
            <w:hideMark/>
          </w:tcPr>
          <w:p w14:paraId="69C858B9" w14:textId="77777777" w:rsidR="00576FE1" w:rsidRPr="00B80F8B" w:rsidRDefault="00576FE1" w:rsidP="00115CD6">
            <w:pPr>
              <w:spacing w:after="0" w:line="240" w:lineRule="auto"/>
              <w:jc w:val="left"/>
              <w:rPr>
                <w:sz w:val="18"/>
                <w:szCs w:val="18"/>
                <w:lang w:val="en-GB"/>
              </w:rPr>
            </w:pPr>
            <w:r w:rsidRPr="00B80F8B">
              <w:rPr>
                <w:sz w:val="18"/>
                <w:szCs w:val="18"/>
                <w:lang w:val="en-GB"/>
              </w:rPr>
              <w:t>Kaplan-Meier survival analysis (Log-Rank test and Cox model)</w:t>
            </w:r>
          </w:p>
        </w:tc>
      </w:tr>
      <w:tr w:rsidR="00576FE1" w:rsidRPr="00B80F8B" w14:paraId="319C97CB" w14:textId="77777777" w:rsidTr="00115CD6">
        <w:trPr>
          <w:trHeight w:val="349"/>
          <w:jc w:val="center"/>
        </w:trPr>
        <w:tc>
          <w:tcPr>
            <w:tcW w:w="7750" w:type="dxa"/>
            <w:gridSpan w:val="3"/>
            <w:tcBorders>
              <w:top w:val="single" w:sz="4" w:space="0" w:color="auto"/>
              <w:left w:val="nil"/>
              <w:bottom w:val="nil"/>
              <w:right w:val="nil"/>
            </w:tcBorders>
            <w:vAlign w:val="center"/>
            <w:hideMark/>
          </w:tcPr>
          <w:p w14:paraId="229786D9" w14:textId="77777777" w:rsidR="00576FE1" w:rsidRPr="00B80F8B" w:rsidRDefault="00576FE1" w:rsidP="00115CD6">
            <w:pPr>
              <w:spacing w:after="0" w:line="240" w:lineRule="auto"/>
              <w:rPr>
                <w:b/>
                <w:sz w:val="18"/>
                <w:szCs w:val="18"/>
              </w:rPr>
            </w:pPr>
            <w:r w:rsidRPr="00B80F8B">
              <w:rPr>
                <w:b/>
                <w:sz w:val="18"/>
                <w:szCs w:val="18"/>
              </w:rPr>
              <w:t>3) Safety (Safety Population)</w:t>
            </w:r>
          </w:p>
        </w:tc>
        <w:tc>
          <w:tcPr>
            <w:tcW w:w="5865" w:type="dxa"/>
            <w:tcBorders>
              <w:top w:val="single" w:sz="4" w:space="0" w:color="auto"/>
              <w:left w:val="nil"/>
              <w:bottom w:val="nil"/>
              <w:right w:val="nil"/>
            </w:tcBorders>
            <w:vAlign w:val="center"/>
          </w:tcPr>
          <w:p w14:paraId="2A1CE57C" w14:textId="77777777" w:rsidR="00576FE1" w:rsidRPr="00B80F8B" w:rsidRDefault="00576FE1" w:rsidP="00115CD6">
            <w:pPr>
              <w:spacing w:after="0" w:line="240" w:lineRule="auto"/>
              <w:rPr>
                <w:sz w:val="18"/>
                <w:szCs w:val="18"/>
              </w:rPr>
            </w:pPr>
          </w:p>
        </w:tc>
      </w:tr>
      <w:tr w:rsidR="00576FE1" w:rsidRPr="00B80F8B" w14:paraId="14EC7444" w14:textId="77777777" w:rsidTr="00115CD6">
        <w:trPr>
          <w:trHeight w:val="420"/>
          <w:jc w:val="center"/>
        </w:trPr>
        <w:tc>
          <w:tcPr>
            <w:tcW w:w="2287" w:type="dxa"/>
            <w:tcBorders>
              <w:top w:val="nil"/>
              <w:left w:val="nil"/>
              <w:bottom w:val="nil"/>
              <w:right w:val="nil"/>
            </w:tcBorders>
            <w:hideMark/>
          </w:tcPr>
          <w:p w14:paraId="5F78271A" w14:textId="77777777" w:rsidR="00576FE1" w:rsidRPr="00B80F8B" w:rsidRDefault="00576FE1" w:rsidP="00115CD6">
            <w:pPr>
              <w:spacing w:after="0" w:line="240" w:lineRule="auto"/>
              <w:jc w:val="left"/>
              <w:rPr>
                <w:sz w:val="18"/>
                <w:szCs w:val="18"/>
              </w:rPr>
            </w:pPr>
            <w:r w:rsidRPr="00B80F8B">
              <w:rPr>
                <w:sz w:val="18"/>
                <w:szCs w:val="18"/>
              </w:rPr>
              <w:t>Adverse events</w:t>
            </w:r>
          </w:p>
        </w:tc>
        <w:tc>
          <w:tcPr>
            <w:tcW w:w="3100" w:type="dxa"/>
            <w:tcBorders>
              <w:top w:val="nil"/>
              <w:left w:val="nil"/>
              <w:bottom w:val="nil"/>
              <w:right w:val="nil"/>
            </w:tcBorders>
            <w:hideMark/>
          </w:tcPr>
          <w:p w14:paraId="1F8100EA" w14:textId="77777777" w:rsidR="00576FE1" w:rsidRPr="00B80F8B" w:rsidRDefault="00576FE1" w:rsidP="00115CD6">
            <w:pPr>
              <w:spacing w:after="0" w:line="240" w:lineRule="auto"/>
              <w:jc w:val="left"/>
              <w:rPr>
                <w:sz w:val="18"/>
                <w:szCs w:val="18"/>
              </w:rPr>
            </w:pPr>
            <w:r w:rsidRPr="00B80F8B">
              <w:rPr>
                <w:sz w:val="18"/>
                <w:szCs w:val="18"/>
              </w:rPr>
              <w:t>Intervention ≠ control arm</w:t>
            </w:r>
          </w:p>
        </w:tc>
        <w:tc>
          <w:tcPr>
            <w:tcW w:w="2363" w:type="dxa"/>
            <w:tcBorders>
              <w:top w:val="nil"/>
              <w:left w:val="nil"/>
              <w:bottom w:val="nil"/>
              <w:right w:val="nil"/>
            </w:tcBorders>
            <w:hideMark/>
          </w:tcPr>
          <w:p w14:paraId="330CDD23" w14:textId="77777777" w:rsidR="00576FE1" w:rsidRPr="00B80F8B" w:rsidRDefault="00576FE1" w:rsidP="00115CD6">
            <w:pPr>
              <w:spacing w:after="0" w:line="240" w:lineRule="auto"/>
              <w:jc w:val="left"/>
              <w:rPr>
                <w:sz w:val="18"/>
                <w:szCs w:val="18"/>
              </w:rPr>
            </w:pPr>
            <w:r w:rsidRPr="00B80F8B">
              <w:rPr>
                <w:sz w:val="18"/>
                <w:szCs w:val="18"/>
              </w:rPr>
              <w:t>MedDRA (categorical)</w:t>
            </w:r>
          </w:p>
        </w:tc>
        <w:tc>
          <w:tcPr>
            <w:tcW w:w="5865" w:type="dxa"/>
            <w:tcBorders>
              <w:top w:val="nil"/>
              <w:left w:val="nil"/>
              <w:bottom w:val="nil"/>
              <w:right w:val="nil"/>
            </w:tcBorders>
            <w:hideMark/>
          </w:tcPr>
          <w:p w14:paraId="0F8C502C" w14:textId="77777777" w:rsidR="00576FE1" w:rsidRPr="00B80F8B" w:rsidRDefault="00576FE1" w:rsidP="00115CD6">
            <w:pPr>
              <w:spacing w:after="0" w:line="240" w:lineRule="auto"/>
              <w:jc w:val="left"/>
              <w:rPr>
                <w:sz w:val="18"/>
                <w:szCs w:val="18"/>
              </w:rPr>
            </w:pPr>
            <w:r w:rsidRPr="00B80F8B">
              <w:rPr>
                <w:sz w:val="18"/>
                <w:szCs w:val="18"/>
              </w:rPr>
              <w:t>Descriptive methods</w:t>
            </w:r>
          </w:p>
        </w:tc>
      </w:tr>
      <w:tr w:rsidR="00576FE1" w:rsidRPr="00B80F8B" w14:paraId="0BC3CB48" w14:textId="77777777" w:rsidTr="00115CD6">
        <w:trPr>
          <w:trHeight w:val="569"/>
          <w:jc w:val="center"/>
        </w:trPr>
        <w:tc>
          <w:tcPr>
            <w:tcW w:w="2287" w:type="dxa"/>
            <w:tcBorders>
              <w:top w:val="nil"/>
              <w:left w:val="nil"/>
              <w:bottom w:val="single" w:sz="4" w:space="0" w:color="auto"/>
              <w:right w:val="nil"/>
            </w:tcBorders>
            <w:hideMark/>
          </w:tcPr>
          <w:p w14:paraId="4E3504BB" w14:textId="77777777" w:rsidR="00576FE1" w:rsidRPr="00B80F8B" w:rsidRDefault="00576FE1" w:rsidP="00115CD6">
            <w:pPr>
              <w:spacing w:after="0" w:line="240" w:lineRule="auto"/>
              <w:jc w:val="left"/>
              <w:rPr>
                <w:sz w:val="18"/>
                <w:szCs w:val="18"/>
              </w:rPr>
            </w:pPr>
            <w:r w:rsidRPr="00B80F8B">
              <w:rPr>
                <w:sz w:val="18"/>
                <w:szCs w:val="18"/>
              </w:rPr>
              <w:t>Toxicities G3-G4</w:t>
            </w:r>
          </w:p>
        </w:tc>
        <w:tc>
          <w:tcPr>
            <w:tcW w:w="3100" w:type="dxa"/>
            <w:tcBorders>
              <w:top w:val="nil"/>
              <w:left w:val="nil"/>
              <w:bottom w:val="single" w:sz="4" w:space="0" w:color="auto"/>
              <w:right w:val="nil"/>
            </w:tcBorders>
            <w:hideMark/>
          </w:tcPr>
          <w:p w14:paraId="63036454" w14:textId="77777777" w:rsidR="00576FE1" w:rsidRPr="00B80F8B" w:rsidRDefault="00576FE1" w:rsidP="00115CD6">
            <w:pPr>
              <w:spacing w:after="0" w:line="240" w:lineRule="auto"/>
              <w:jc w:val="left"/>
              <w:rPr>
                <w:sz w:val="18"/>
                <w:szCs w:val="18"/>
              </w:rPr>
            </w:pPr>
            <w:r w:rsidRPr="00B80F8B">
              <w:rPr>
                <w:sz w:val="18"/>
                <w:szCs w:val="18"/>
              </w:rPr>
              <w:t>Differences according baseline characteristics</w:t>
            </w:r>
          </w:p>
        </w:tc>
        <w:tc>
          <w:tcPr>
            <w:tcW w:w="2363" w:type="dxa"/>
            <w:tcBorders>
              <w:top w:val="nil"/>
              <w:left w:val="nil"/>
              <w:bottom w:val="single" w:sz="4" w:space="0" w:color="auto"/>
              <w:right w:val="nil"/>
            </w:tcBorders>
            <w:hideMark/>
          </w:tcPr>
          <w:p w14:paraId="142CE806" w14:textId="77777777" w:rsidR="00576FE1" w:rsidRPr="00B80F8B" w:rsidRDefault="00576FE1" w:rsidP="00115CD6">
            <w:pPr>
              <w:spacing w:after="0" w:line="240" w:lineRule="auto"/>
              <w:jc w:val="left"/>
              <w:rPr>
                <w:sz w:val="18"/>
                <w:szCs w:val="18"/>
              </w:rPr>
            </w:pPr>
            <w:r w:rsidRPr="00B80F8B">
              <w:rPr>
                <w:sz w:val="18"/>
                <w:szCs w:val="18"/>
              </w:rPr>
              <w:t>MedDRA (categorical)</w:t>
            </w:r>
          </w:p>
        </w:tc>
        <w:tc>
          <w:tcPr>
            <w:tcW w:w="5865" w:type="dxa"/>
            <w:tcBorders>
              <w:top w:val="nil"/>
              <w:left w:val="nil"/>
              <w:bottom w:val="single" w:sz="4" w:space="0" w:color="auto"/>
              <w:right w:val="nil"/>
            </w:tcBorders>
            <w:hideMark/>
          </w:tcPr>
          <w:p w14:paraId="19CDEB2D" w14:textId="77777777" w:rsidR="00576FE1" w:rsidRPr="00B80F8B" w:rsidRDefault="00576FE1" w:rsidP="00115CD6">
            <w:pPr>
              <w:spacing w:after="0" w:line="240" w:lineRule="auto"/>
              <w:jc w:val="left"/>
              <w:rPr>
                <w:sz w:val="18"/>
                <w:szCs w:val="18"/>
                <w:lang w:val="en-GB"/>
              </w:rPr>
            </w:pPr>
            <w:r w:rsidRPr="00B80F8B">
              <w:rPr>
                <w:sz w:val="18"/>
                <w:szCs w:val="18"/>
                <w:lang w:val="en-GB"/>
              </w:rPr>
              <w:t>Chi-squared / Mann Whitney test/ Logistic regression.</w:t>
            </w:r>
          </w:p>
        </w:tc>
      </w:tr>
      <w:tr w:rsidR="00576FE1" w:rsidRPr="00B80F8B" w14:paraId="659B4E86" w14:textId="77777777" w:rsidTr="00115CD6">
        <w:trPr>
          <w:trHeight w:val="158"/>
          <w:jc w:val="center"/>
        </w:trPr>
        <w:tc>
          <w:tcPr>
            <w:tcW w:w="5387" w:type="dxa"/>
            <w:gridSpan w:val="2"/>
            <w:tcBorders>
              <w:top w:val="single" w:sz="4" w:space="0" w:color="auto"/>
              <w:left w:val="nil"/>
              <w:bottom w:val="nil"/>
              <w:right w:val="nil"/>
            </w:tcBorders>
            <w:vAlign w:val="center"/>
            <w:hideMark/>
          </w:tcPr>
          <w:p w14:paraId="715A49E4" w14:textId="77777777" w:rsidR="00576FE1" w:rsidRPr="00B80F8B" w:rsidRDefault="00576FE1" w:rsidP="00115CD6">
            <w:pPr>
              <w:spacing w:after="0" w:line="240" w:lineRule="auto"/>
              <w:rPr>
                <w:b/>
                <w:sz w:val="18"/>
                <w:szCs w:val="18"/>
              </w:rPr>
            </w:pPr>
            <w:r w:rsidRPr="00B80F8B">
              <w:rPr>
                <w:b/>
                <w:sz w:val="18"/>
                <w:szCs w:val="18"/>
              </w:rPr>
              <w:t>4) Sensitive analysis </w:t>
            </w:r>
          </w:p>
        </w:tc>
        <w:tc>
          <w:tcPr>
            <w:tcW w:w="2363" w:type="dxa"/>
            <w:tcBorders>
              <w:top w:val="single" w:sz="4" w:space="0" w:color="auto"/>
              <w:left w:val="nil"/>
              <w:bottom w:val="nil"/>
              <w:right w:val="nil"/>
            </w:tcBorders>
            <w:vAlign w:val="center"/>
            <w:hideMark/>
          </w:tcPr>
          <w:p w14:paraId="2FD1ADA2" w14:textId="77777777" w:rsidR="00576FE1" w:rsidRPr="00B80F8B" w:rsidRDefault="00576FE1" w:rsidP="00115CD6">
            <w:pPr>
              <w:spacing w:after="0" w:line="240" w:lineRule="auto"/>
              <w:rPr>
                <w:sz w:val="18"/>
                <w:szCs w:val="18"/>
              </w:rPr>
            </w:pPr>
            <w:r w:rsidRPr="00B80F8B">
              <w:rPr>
                <w:sz w:val="18"/>
                <w:szCs w:val="18"/>
              </w:rPr>
              <w:t> </w:t>
            </w:r>
          </w:p>
        </w:tc>
        <w:tc>
          <w:tcPr>
            <w:tcW w:w="5865" w:type="dxa"/>
            <w:tcBorders>
              <w:top w:val="single" w:sz="4" w:space="0" w:color="auto"/>
              <w:left w:val="nil"/>
              <w:bottom w:val="nil"/>
              <w:right w:val="nil"/>
            </w:tcBorders>
            <w:vAlign w:val="center"/>
            <w:hideMark/>
          </w:tcPr>
          <w:p w14:paraId="19FEF8CB" w14:textId="77777777" w:rsidR="00576FE1" w:rsidRPr="00B80F8B" w:rsidRDefault="00576FE1" w:rsidP="00115CD6">
            <w:pPr>
              <w:spacing w:after="0" w:line="240" w:lineRule="auto"/>
              <w:rPr>
                <w:sz w:val="18"/>
                <w:szCs w:val="18"/>
              </w:rPr>
            </w:pPr>
            <w:r w:rsidRPr="00B80F8B">
              <w:rPr>
                <w:sz w:val="18"/>
                <w:szCs w:val="18"/>
              </w:rPr>
              <w:t> </w:t>
            </w:r>
          </w:p>
        </w:tc>
      </w:tr>
      <w:tr w:rsidR="00576FE1" w:rsidRPr="00B80F8B" w14:paraId="6098188C" w14:textId="77777777" w:rsidTr="00115CD6">
        <w:trPr>
          <w:trHeight w:val="158"/>
          <w:jc w:val="center"/>
        </w:trPr>
        <w:tc>
          <w:tcPr>
            <w:tcW w:w="2287" w:type="dxa"/>
            <w:tcBorders>
              <w:top w:val="nil"/>
              <w:left w:val="nil"/>
              <w:bottom w:val="nil"/>
              <w:right w:val="nil"/>
            </w:tcBorders>
            <w:vAlign w:val="center"/>
            <w:hideMark/>
          </w:tcPr>
          <w:p w14:paraId="12204F29" w14:textId="77777777" w:rsidR="00576FE1" w:rsidRPr="00B80F8B" w:rsidRDefault="00576FE1" w:rsidP="00115CD6">
            <w:pPr>
              <w:spacing w:after="0" w:line="240" w:lineRule="auto"/>
              <w:rPr>
                <w:sz w:val="18"/>
                <w:szCs w:val="18"/>
              </w:rPr>
            </w:pPr>
            <w:r w:rsidRPr="00B80F8B">
              <w:rPr>
                <w:sz w:val="18"/>
                <w:szCs w:val="18"/>
              </w:rPr>
              <w:t>PP analysis</w:t>
            </w:r>
          </w:p>
        </w:tc>
        <w:tc>
          <w:tcPr>
            <w:tcW w:w="3100" w:type="dxa"/>
            <w:tcBorders>
              <w:top w:val="nil"/>
              <w:left w:val="nil"/>
              <w:bottom w:val="nil"/>
              <w:right w:val="nil"/>
            </w:tcBorders>
            <w:vAlign w:val="center"/>
            <w:hideMark/>
          </w:tcPr>
          <w:p w14:paraId="7C89A19F" w14:textId="77777777" w:rsidR="00576FE1" w:rsidRPr="00B80F8B" w:rsidRDefault="00576FE1" w:rsidP="00115CD6">
            <w:pPr>
              <w:spacing w:after="0" w:line="240" w:lineRule="auto"/>
              <w:rPr>
                <w:sz w:val="18"/>
                <w:szCs w:val="18"/>
                <w:lang w:val="en-GB"/>
              </w:rPr>
            </w:pPr>
            <w:r w:rsidRPr="00B80F8B">
              <w:rPr>
                <w:sz w:val="18"/>
                <w:szCs w:val="18"/>
                <w:lang w:val="en-GB"/>
              </w:rPr>
              <w:t>Intervention &gt; control arm (PP)</w:t>
            </w:r>
          </w:p>
        </w:tc>
        <w:tc>
          <w:tcPr>
            <w:tcW w:w="2363" w:type="dxa"/>
            <w:tcBorders>
              <w:top w:val="nil"/>
              <w:left w:val="nil"/>
              <w:bottom w:val="nil"/>
              <w:right w:val="nil"/>
            </w:tcBorders>
            <w:vAlign w:val="center"/>
            <w:hideMark/>
          </w:tcPr>
          <w:p w14:paraId="470A46C6" w14:textId="77777777" w:rsidR="00576FE1" w:rsidRPr="00B80F8B" w:rsidRDefault="00576FE1" w:rsidP="00115CD6">
            <w:pPr>
              <w:spacing w:after="0" w:line="240" w:lineRule="auto"/>
              <w:rPr>
                <w:sz w:val="18"/>
                <w:szCs w:val="18"/>
              </w:rPr>
            </w:pPr>
            <w:r w:rsidRPr="00B80F8B">
              <w:rPr>
                <w:sz w:val="18"/>
                <w:szCs w:val="18"/>
              </w:rPr>
              <w:t>All outcomes</w:t>
            </w:r>
          </w:p>
        </w:tc>
        <w:tc>
          <w:tcPr>
            <w:tcW w:w="5865" w:type="dxa"/>
            <w:tcBorders>
              <w:top w:val="nil"/>
              <w:left w:val="nil"/>
              <w:bottom w:val="nil"/>
              <w:right w:val="nil"/>
            </w:tcBorders>
            <w:vAlign w:val="center"/>
            <w:hideMark/>
          </w:tcPr>
          <w:p w14:paraId="7049F710" w14:textId="77777777" w:rsidR="00576FE1" w:rsidRPr="00B80F8B" w:rsidRDefault="00576FE1" w:rsidP="00115CD6">
            <w:pPr>
              <w:spacing w:after="0" w:line="240" w:lineRule="auto"/>
              <w:rPr>
                <w:sz w:val="18"/>
                <w:szCs w:val="18"/>
                <w:lang w:val="en-GB"/>
              </w:rPr>
            </w:pPr>
            <w:r w:rsidRPr="00B80F8B">
              <w:rPr>
                <w:sz w:val="18"/>
                <w:szCs w:val="18"/>
                <w:lang w:val="en-GB"/>
              </w:rPr>
              <w:t>Kaplan-Meier survival analysis (Log-Rank test)/Chi-squared test</w:t>
            </w:r>
          </w:p>
        </w:tc>
      </w:tr>
      <w:tr w:rsidR="00576FE1" w:rsidRPr="00B80F8B" w14:paraId="0F479C05" w14:textId="77777777" w:rsidTr="00115CD6">
        <w:trPr>
          <w:trHeight w:val="798"/>
          <w:jc w:val="center"/>
        </w:trPr>
        <w:tc>
          <w:tcPr>
            <w:tcW w:w="2287" w:type="dxa"/>
            <w:tcBorders>
              <w:top w:val="nil"/>
              <w:left w:val="nil"/>
              <w:bottom w:val="nil"/>
              <w:right w:val="nil"/>
            </w:tcBorders>
            <w:vAlign w:val="center"/>
            <w:hideMark/>
          </w:tcPr>
          <w:p w14:paraId="45F296E3" w14:textId="77777777" w:rsidR="00576FE1" w:rsidRPr="00B80F8B" w:rsidRDefault="00576FE1" w:rsidP="00115CD6">
            <w:pPr>
              <w:spacing w:after="0" w:line="240" w:lineRule="auto"/>
              <w:rPr>
                <w:sz w:val="18"/>
                <w:szCs w:val="18"/>
                <w:lang w:val="en-GB"/>
              </w:rPr>
            </w:pPr>
            <w:r w:rsidRPr="00B80F8B">
              <w:rPr>
                <w:sz w:val="18"/>
                <w:szCs w:val="18"/>
                <w:lang w:val="en-GB"/>
              </w:rPr>
              <w:t>Adjusting for baseline and stratified randomization factors</w:t>
            </w:r>
          </w:p>
        </w:tc>
        <w:tc>
          <w:tcPr>
            <w:tcW w:w="3100" w:type="dxa"/>
            <w:tcBorders>
              <w:top w:val="nil"/>
              <w:left w:val="nil"/>
              <w:bottom w:val="nil"/>
              <w:right w:val="nil"/>
            </w:tcBorders>
            <w:vAlign w:val="center"/>
            <w:hideMark/>
          </w:tcPr>
          <w:p w14:paraId="06936F1D" w14:textId="77777777" w:rsidR="00576FE1" w:rsidRPr="00B80F8B" w:rsidRDefault="00576FE1" w:rsidP="00115CD6">
            <w:pPr>
              <w:spacing w:after="0" w:line="240" w:lineRule="auto"/>
              <w:rPr>
                <w:sz w:val="18"/>
                <w:szCs w:val="18"/>
                <w:lang w:val="en-GB"/>
              </w:rPr>
            </w:pPr>
            <w:r w:rsidRPr="00B80F8B">
              <w:rPr>
                <w:sz w:val="18"/>
                <w:szCs w:val="18"/>
                <w:lang w:val="en-GB"/>
              </w:rPr>
              <w:t>Intervention &gt; control arm (ITT)</w:t>
            </w:r>
          </w:p>
        </w:tc>
        <w:tc>
          <w:tcPr>
            <w:tcW w:w="2363" w:type="dxa"/>
            <w:tcBorders>
              <w:top w:val="nil"/>
              <w:left w:val="nil"/>
              <w:bottom w:val="nil"/>
              <w:right w:val="nil"/>
            </w:tcBorders>
            <w:vAlign w:val="center"/>
            <w:hideMark/>
          </w:tcPr>
          <w:p w14:paraId="611A6D8C" w14:textId="77777777" w:rsidR="00576FE1" w:rsidRPr="00B80F8B" w:rsidRDefault="00576FE1" w:rsidP="00115CD6">
            <w:pPr>
              <w:spacing w:after="0" w:line="240" w:lineRule="auto"/>
              <w:rPr>
                <w:sz w:val="18"/>
                <w:szCs w:val="18"/>
              </w:rPr>
            </w:pPr>
            <w:r w:rsidRPr="00B80F8B">
              <w:rPr>
                <w:sz w:val="18"/>
                <w:szCs w:val="18"/>
              </w:rPr>
              <w:t>Time to event endpoints</w:t>
            </w:r>
          </w:p>
        </w:tc>
        <w:tc>
          <w:tcPr>
            <w:tcW w:w="5865" w:type="dxa"/>
            <w:tcBorders>
              <w:top w:val="nil"/>
              <w:left w:val="nil"/>
              <w:bottom w:val="nil"/>
              <w:right w:val="nil"/>
            </w:tcBorders>
            <w:vAlign w:val="center"/>
            <w:hideMark/>
          </w:tcPr>
          <w:p w14:paraId="4DE96EAC" w14:textId="77777777" w:rsidR="00576FE1" w:rsidRPr="00B80F8B" w:rsidRDefault="00576FE1" w:rsidP="00115CD6">
            <w:pPr>
              <w:spacing w:after="0" w:line="240" w:lineRule="auto"/>
              <w:rPr>
                <w:sz w:val="18"/>
                <w:szCs w:val="18"/>
              </w:rPr>
            </w:pPr>
            <w:r w:rsidRPr="00B80F8B">
              <w:rPr>
                <w:sz w:val="18"/>
                <w:szCs w:val="18"/>
              </w:rPr>
              <w:t>Multivariable Cox regression models</w:t>
            </w:r>
          </w:p>
        </w:tc>
      </w:tr>
      <w:tr w:rsidR="00576FE1" w:rsidRPr="00B80F8B" w14:paraId="52CCF0BC" w14:textId="77777777" w:rsidTr="00115CD6">
        <w:trPr>
          <w:trHeight w:val="765"/>
          <w:jc w:val="center"/>
        </w:trPr>
        <w:tc>
          <w:tcPr>
            <w:tcW w:w="2287" w:type="dxa"/>
            <w:tcBorders>
              <w:top w:val="nil"/>
              <w:left w:val="nil"/>
              <w:bottom w:val="single" w:sz="4" w:space="0" w:color="auto"/>
              <w:right w:val="nil"/>
            </w:tcBorders>
            <w:hideMark/>
          </w:tcPr>
          <w:p w14:paraId="493935FF" w14:textId="77777777" w:rsidR="00576FE1" w:rsidRPr="00B80F8B" w:rsidRDefault="00576FE1" w:rsidP="00115CD6">
            <w:pPr>
              <w:spacing w:after="0" w:line="240" w:lineRule="auto"/>
              <w:rPr>
                <w:sz w:val="18"/>
                <w:szCs w:val="18"/>
                <w:lang w:val="en-GB"/>
              </w:rPr>
            </w:pPr>
            <w:r w:rsidRPr="00B80F8B">
              <w:rPr>
                <w:sz w:val="18"/>
                <w:szCs w:val="18"/>
                <w:lang w:val="en-GB"/>
              </w:rPr>
              <w:t>Adjusting for baseline and stratified randomization factors</w:t>
            </w:r>
          </w:p>
        </w:tc>
        <w:tc>
          <w:tcPr>
            <w:tcW w:w="3100" w:type="dxa"/>
            <w:tcBorders>
              <w:top w:val="nil"/>
              <w:left w:val="nil"/>
              <w:bottom w:val="single" w:sz="4" w:space="0" w:color="auto"/>
              <w:right w:val="nil"/>
            </w:tcBorders>
            <w:hideMark/>
          </w:tcPr>
          <w:p w14:paraId="32D94ABC" w14:textId="77777777" w:rsidR="00576FE1" w:rsidRPr="00B80F8B" w:rsidRDefault="00576FE1" w:rsidP="00115CD6">
            <w:pPr>
              <w:spacing w:after="0" w:line="240" w:lineRule="auto"/>
              <w:rPr>
                <w:sz w:val="18"/>
                <w:szCs w:val="18"/>
                <w:lang w:val="en-GB"/>
              </w:rPr>
            </w:pPr>
            <w:r w:rsidRPr="00B80F8B">
              <w:rPr>
                <w:sz w:val="18"/>
                <w:szCs w:val="18"/>
                <w:lang w:val="en-GB"/>
              </w:rPr>
              <w:t>Intervention &gt; control arm (ITT)</w:t>
            </w:r>
          </w:p>
        </w:tc>
        <w:tc>
          <w:tcPr>
            <w:tcW w:w="2363" w:type="dxa"/>
            <w:tcBorders>
              <w:top w:val="nil"/>
              <w:left w:val="nil"/>
              <w:bottom w:val="single" w:sz="4" w:space="0" w:color="auto"/>
              <w:right w:val="nil"/>
            </w:tcBorders>
            <w:hideMark/>
          </w:tcPr>
          <w:p w14:paraId="5514D2A1" w14:textId="77777777" w:rsidR="00576FE1" w:rsidRPr="00B80F8B" w:rsidRDefault="00576FE1" w:rsidP="00115CD6">
            <w:pPr>
              <w:spacing w:after="0" w:line="240" w:lineRule="auto"/>
              <w:rPr>
                <w:sz w:val="18"/>
                <w:szCs w:val="18"/>
              </w:rPr>
            </w:pPr>
            <w:r w:rsidRPr="00B80F8B">
              <w:rPr>
                <w:sz w:val="18"/>
                <w:szCs w:val="18"/>
              </w:rPr>
              <w:t>Binary endpoints</w:t>
            </w:r>
          </w:p>
        </w:tc>
        <w:tc>
          <w:tcPr>
            <w:tcW w:w="5865" w:type="dxa"/>
            <w:tcBorders>
              <w:top w:val="nil"/>
              <w:left w:val="nil"/>
              <w:bottom w:val="single" w:sz="4" w:space="0" w:color="auto"/>
              <w:right w:val="nil"/>
            </w:tcBorders>
            <w:hideMark/>
          </w:tcPr>
          <w:p w14:paraId="1AE15D81" w14:textId="77777777" w:rsidR="00576FE1" w:rsidRPr="00B80F8B" w:rsidRDefault="00576FE1" w:rsidP="00115CD6">
            <w:pPr>
              <w:spacing w:after="0" w:line="240" w:lineRule="auto"/>
              <w:rPr>
                <w:sz w:val="18"/>
                <w:szCs w:val="18"/>
              </w:rPr>
            </w:pPr>
            <w:r w:rsidRPr="00B80F8B">
              <w:rPr>
                <w:sz w:val="18"/>
                <w:szCs w:val="18"/>
              </w:rPr>
              <w:t>Multivariable logistic regression models</w:t>
            </w:r>
          </w:p>
        </w:tc>
      </w:tr>
    </w:tbl>
    <w:p w14:paraId="1B3C3218" w14:textId="77777777" w:rsidR="00576FE1" w:rsidRPr="003363FD" w:rsidRDefault="00576FE1" w:rsidP="00576FE1">
      <w:pPr>
        <w:tabs>
          <w:tab w:val="left" w:pos="142"/>
        </w:tabs>
        <w:rPr>
          <w:lang w:val="en-GB"/>
        </w:rPr>
        <w:sectPr w:rsidR="00576FE1" w:rsidRPr="003363FD" w:rsidSect="00B80F8B">
          <w:pgSz w:w="16838" w:h="11906" w:orient="landscape"/>
          <w:pgMar w:top="1134" w:right="1418" w:bottom="851" w:left="1134" w:header="709" w:footer="709" w:gutter="0"/>
          <w:cols w:space="708"/>
          <w:docGrid w:linePitch="360"/>
        </w:sectPr>
      </w:pPr>
      <w:r>
        <w:rPr>
          <w:b/>
          <w:lang w:val="en-GB"/>
        </w:rPr>
        <w:tab/>
      </w:r>
      <w:r>
        <w:rPr>
          <w:lang w:val="en-GB"/>
        </w:rPr>
        <w:tab/>
      </w:r>
    </w:p>
    <w:p w14:paraId="01EBBB28" w14:textId="466DD6C9" w:rsidR="00576FE1" w:rsidRDefault="00576FE1" w:rsidP="002221CF">
      <w:pPr>
        <w:pStyle w:val="Descripcin"/>
        <w:keepNext/>
        <w:outlineLvl w:val="0"/>
      </w:pPr>
      <w:bookmarkStart w:id="635" w:name="_Ref52424830"/>
      <w:bookmarkStart w:id="636" w:name="_Toc52046473"/>
      <w:bookmarkStart w:id="637" w:name="_Ref52424775"/>
      <w:bookmarkStart w:id="638" w:name="_Toc52446206"/>
      <w:bookmarkStart w:id="639" w:name="_Toc52468163"/>
      <w:r>
        <w:lastRenderedPageBreak/>
        <w:t xml:space="preserve">Table </w:t>
      </w:r>
      <w:r>
        <w:fldChar w:fldCharType="begin"/>
      </w:r>
      <w:r>
        <w:instrText xml:space="preserve"> SEQ Table \* ARABIC </w:instrText>
      </w:r>
      <w:r>
        <w:fldChar w:fldCharType="separate"/>
      </w:r>
      <w:r w:rsidR="00773549">
        <w:rPr>
          <w:noProof/>
        </w:rPr>
        <w:t>5</w:t>
      </w:r>
      <w:r>
        <w:fldChar w:fldCharType="end"/>
      </w:r>
      <w:bookmarkEnd w:id="635"/>
      <w:r>
        <w:t xml:space="preserve">. </w:t>
      </w:r>
      <w:r w:rsidRPr="00311374">
        <w:t xml:space="preserve">PARSIFAL trial </w:t>
      </w:r>
      <w:r w:rsidR="00BE21BA">
        <w:t>p</w:t>
      </w:r>
      <w:r w:rsidR="002E4060">
        <w:t xml:space="preserve">atient </w:t>
      </w:r>
      <w:r w:rsidR="00BE21BA">
        <w:t>d</w:t>
      </w:r>
      <w:r w:rsidR="002E4060">
        <w:t>isposition</w:t>
      </w:r>
      <w:r w:rsidRPr="00311374">
        <w:t>.</w:t>
      </w:r>
      <w:bookmarkEnd w:id="636"/>
      <w:bookmarkEnd w:id="637"/>
      <w:bookmarkEnd w:id="638"/>
      <w:bookmarkEnd w:id="639"/>
    </w:p>
    <w:tbl>
      <w:tblPr>
        <w:tblStyle w:val="Tablaconcuadrcula"/>
        <w:tblW w:w="87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1701"/>
        <w:gridCol w:w="1560"/>
        <w:gridCol w:w="1474"/>
      </w:tblGrid>
      <w:tr w:rsidR="004723AE" w14:paraId="6DCC91D2" w14:textId="77777777" w:rsidTr="0047771E">
        <w:trPr>
          <w:trHeight w:val="612"/>
          <w:tblHeader/>
        </w:trPr>
        <w:tc>
          <w:tcPr>
            <w:tcW w:w="3969" w:type="dxa"/>
            <w:tcBorders>
              <w:top w:val="single" w:sz="4" w:space="0" w:color="auto"/>
              <w:bottom w:val="single" w:sz="4" w:space="0" w:color="auto"/>
            </w:tcBorders>
            <w:vAlign w:val="center"/>
          </w:tcPr>
          <w:p w14:paraId="00E370EF" w14:textId="20B59152" w:rsidR="004723AE" w:rsidRDefault="004723AE" w:rsidP="002418FB">
            <w:pPr>
              <w:spacing w:after="0" w:line="240" w:lineRule="auto"/>
              <w:jc w:val="left"/>
            </w:pPr>
            <w:r w:rsidRPr="00D66743">
              <w:rPr>
                <w:b/>
                <w:bCs/>
                <w:color w:val="000000"/>
                <w:sz w:val="18"/>
                <w:szCs w:val="18"/>
              </w:rPr>
              <w:t>Randomization Arm</w:t>
            </w:r>
          </w:p>
        </w:tc>
        <w:tc>
          <w:tcPr>
            <w:tcW w:w="1701" w:type="dxa"/>
            <w:tcBorders>
              <w:top w:val="single" w:sz="4" w:space="0" w:color="auto"/>
              <w:bottom w:val="single" w:sz="4" w:space="0" w:color="auto"/>
            </w:tcBorders>
            <w:vAlign w:val="center"/>
          </w:tcPr>
          <w:p w14:paraId="7094B0BE" w14:textId="77777777" w:rsidR="004723AE" w:rsidRPr="00D66743" w:rsidRDefault="004723AE" w:rsidP="002418FB">
            <w:pPr>
              <w:keepNext/>
              <w:adjustRightInd w:val="0"/>
              <w:spacing w:after="0" w:line="240" w:lineRule="auto"/>
              <w:jc w:val="center"/>
              <w:rPr>
                <w:b/>
                <w:bCs/>
                <w:color w:val="000000"/>
                <w:sz w:val="18"/>
                <w:szCs w:val="18"/>
              </w:rPr>
            </w:pPr>
            <w:r w:rsidRPr="00D66743">
              <w:rPr>
                <w:b/>
                <w:bCs/>
                <w:color w:val="000000"/>
                <w:sz w:val="18"/>
                <w:szCs w:val="18"/>
              </w:rPr>
              <w:t>Palbociclib-</w:t>
            </w:r>
          </w:p>
          <w:p w14:paraId="30702D1C" w14:textId="134D6931" w:rsidR="004723AE" w:rsidRDefault="004723AE" w:rsidP="002418FB">
            <w:pPr>
              <w:spacing w:after="0" w:line="240" w:lineRule="auto"/>
              <w:jc w:val="center"/>
            </w:pPr>
            <w:proofErr w:type="spellStart"/>
            <w:r w:rsidRPr="00D66743">
              <w:rPr>
                <w:b/>
                <w:bCs/>
                <w:color w:val="000000"/>
                <w:sz w:val="18"/>
                <w:szCs w:val="18"/>
              </w:rPr>
              <w:t>Fulvestrant</w:t>
            </w:r>
            <w:proofErr w:type="spellEnd"/>
          </w:p>
        </w:tc>
        <w:tc>
          <w:tcPr>
            <w:tcW w:w="1560" w:type="dxa"/>
            <w:tcBorders>
              <w:top w:val="single" w:sz="4" w:space="0" w:color="auto"/>
              <w:bottom w:val="single" w:sz="4" w:space="0" w:color="auto"/>
            </w:tcBorders>
            <w:vAlign w:val="center"/>
          </w:tcPr>
          <w:p w14:paraId="1BC937EC" w14:textId="77777777" w:rsidR="004723AE" w:rsidRPr="00D66743" w:rsidRDefault="004723AE" w:rsidP="002418FB">
            <w:pPr>
              <w:keepNext/>
              <w:adjustRightInd w:val="0"/>
              <w:spacing w:after="0" w:line="240" w:lineRule="auto"/>
              <w:jc w:val="center"/>
              <w:rPr>
                <w:b/>
                <w:bCs/>
                <w:color w:val="000000"/>
                <w:sz w:val="18"/>
                <w:szCs w:val="18"/>
              </w:rPr>
            </w:pPr>
            <w:r w:rsidRPr="00D66743">
              <w:rPr>
                <w:b/>
                <w:bCs/>
                <w:color w:val="000000"/>
                <w:sz w:val="18"/>
                <w:szCs w:val="18"/>
              </w:rPr>
              <w:t>Palbociclib-</w:t>
            </w:r>
          </w:p>
          <w:p w14:paraId="5A7F4C0F" w14:textId="11731847" w:rsidR="004723AE" w:rsidRDefault="004723AE" w:rsidP="002418FB">
            <w:pPr>
              <w:spacing w:after="0" w:line="240" w:lineRule="auto"/>
              <w:jc w:val="center"/>
            </w:pPr>
            <w:r w:rsidRPr="00D66743">
              <w:rPr>
                <w:b/>
                <w:bCs/>
                <w:color w:val="000000"/>
                <w:sz w:val="18"/>
                <w:szCs w:val="18"/>
              </w:rPr>
              <w:t>Letrozole</w:t>
            </w:r>
          </w:p>
        </w:tc>
        <w:tc>
          <w:tcPr>
            <w:tcW w:w="1474" w:type="dxa"/>
            <w:tcBorders>
              <w:top w:val="single" w:sz="4" w:space="0" w:color="auto"/>
              <w:bottom w:val="single" w:sz="4" w:space="0" w:color="auto"/>
            </w:tcBorders>
            <w:vAlign w:val="center"/>
          </w:tcPr>
          <w:p w14:paraId="6095CC54" w14:textId="07771079" w:rsidR="004723AE" w:rsidRDefault="004723AE" w:rsidP="002418FB">
            <w:pPr>
              <w:spacing w:after="0" w:line="240" w:lineRule="auto"/>
              <w:jc w:val="center"/>
            </w:pPr>
            <w:r w:rsidRPr="00D66743">
              <w:rPr>
                <w:b/>
                <w:bCs/>
                <w:color w:val="000000"/>
                <w:sz w:val="18"/>
                <w:szCs w:val="18"/>
              </w:rPr>
              <w:t>Overall</w:t>
            </w:r>
          </w:p>
        </w:tc>
      </w:tr>
      <w:tr w:rsidR="004723AE" w14:paraId="641C2B42" w14:textId="77777777" w:rsidTr="00092882">
        <w:trPr>
          <w:trHeight w:val="345"/>
        </w:trPr>
        <w:tc>
          <w:tcPr>
            <w:tcW w:w="3969" w:type="dxa"/>
            <w:tcBorders>
              <w:top w:val="single" w:sz="4" w:space="0" w:color="auto"/>
            </w:tcBorders>
            <w:vAlign w:val="center"/>
          </w:tcPr>
          <w:p w14:paraId="5C03274A" w14:textId="7DBF99AA" w:rsidR="004723AE" w:rsidRDefault="004723AE" w:rsidP="002418FB">
            <w:pPr>
              <w:spacing w:after="0" w:line="240" w:lineRule="auto"/>
              <w:jc w:val="left"/>
            </w:pPr>
            <w:r w:rsidRPr="0019543B">
              <w:rPr>
                <w:bCs/>
                <w:color w:val="000000"/>
                <w:sz w:val="18"/>
                <w:szCs w:val="18"/>
              </w:rPr>
              <w:t>Screening Population</w:t>
            </w:r>
          </w:p>
        </w:tc>
        <w:tc>
          <w:tcPr>
            <w:tcW w:w="1701" w:type="dxa"/>
            <w:tcBorders>
              <w:top w:val="single" w:sz="4" w:space="0" w:color="auto"/>
            </w:tcBorders>
            <w:vAlign w:val="center"/>
          </w:tcPr>
          <w:p w14:paraId="0007216C" w14:textId="3A77194D" w:rsidR="004723AE" w:rsidRDefault="004723AE" w:rsidP="002418FB">
            <w:pPr>
              <w:spacing w:after="0" w:line="240" w:lineRule="auto"/>
              <w:jc w:val="center"/>
            </w:pPr>
            <w:r>
              <w:rPr>
                <w:color w:val="000000"/>
                <w:sz w:val="18"/>
                <w:szCs w:val="18"/>
              </w:rPr>
              <w:t>NA</w:t>
            </w:r>
          </w:p>
        </w:tc>
        <w:tc>
          <w:tcPr>
            <w:tcW w:w="1560" w:type="dxa"/>
            <w:tcBorders>
              <w:top w:val="single" w:sz="4" w:space="0" w:color="auto"/>
            </w:tcBorders>
            <w:vAlign w:val="center"/>
          </w:tcPr>
          <w:p w14:paraId="2C99D00D" w14:textId="06127345" w:rsidR="004723AE" w:rsidRDefault="004723AE" w:rsidP="002418FB">
            <w:pPr>
              <w:spacing w:after="0" w:line="240" w:lineRule="auto"/>
              <w:jc w:val="center"/>
            </w:pPr>
            <w:r>
              <w:rPr>
                <w:color w:val="000000"/>
                <w:sz w:val="18"/>
                <w:szCs w:val="18"/>
              </w:rPr>
              <w:t>NA</w:t>
            </w:r>
          </w:p>
        </w:tc>
        <w:tc>
          <w:tcPr>
            <w:tcW w:w="1474" w:type="dxa"/>
            <w:tcBorders>
              <w:top w:val="single" w:sz="4" w:space="0" w:color="auto"/>
            </w:tcBorders>
            <w:vAlign w:val="center"/>
          </w:tcPr>
          <w:p w14:paraId="23CF55D2" w14:textId="0CDCDECF" w:rsidR="004723AE" w:rsidRDefault="004723AE" w:rsidP="002418FB">
            <w:pPr>
              <w:spacing w:after="0" w:line="240" w:lineRule="auto"/>
              <w:jc w:val="center"/>
            </w:pPr>
            <w:r w:rsidRPr="00D66743">
              <w:rPr>
                <w:color w:val="000000"/>
                <w:sz w:val="18"/>
                <w:szCs w:val="18"/>
              </w:rPr>
              <w:t>552</w:t>
            </w:r>
          </w:p>
        </w:tc>
      </w:tr>
      <w:tr w:rsidR="004723AE" w14:paraId="30801561" w14:textId="77777777" w:rsidTr="00092882">
        <w:trPr>
          <w:trHeight w:val="345"/>
        </w:trPr>
        <w:tc>
          <w:tcPr>
            <w:tcW w:w="3969" w:type="dxa"/>
            <w:vAlign w:val="center"/>
          </w:tcPr>
          <w:p w14:paraId="27B4783E" w14:textId="105C5C48" w:rsidR="004723AE" w:rsidRDefault="004723AE" w:rsidP="002418FB">
            <w:pPr>
              <w:spacing w:after="0" w:line="240" w:lineRule="auto"/>
              <w:jc w:val="left"/>
            </w:pPr>
            <w:r w:rsidRPr="00D66743">
              <w:rPr>
                <w:color w:val="000000"/>
                <w:sz w:val="18"/>
                <w:szCs w:val="18"/>
              </w:rPr>
              <w:t>Randomized</w:t>
            </w:r>
          </w:p>
        </w:tc>
        <w:tc>
          <w:tcPr>
            <w:tcW w:w="1701" w:type="dxa"/>
            <w:vAlign w:val="center"/>
          </w:tcPr>
          <w:p w14:paraId="5175A043" w14:textId="424CE8A8" w:rsidR="004723AE" w:rsidRDefault="004723AE" w:rsidP="002418FB">
            <w:pPr>
              <w:spacing w:after="0" w:line="240" w:lineRule="auto"/>
              <w:jc w:val="center"/>
            </w:pPr>
            <w:r w:rsidRPr="00D66743">
              <w:rPr>
                <w:color w:val="000000"/>
                <w:sz w:val="18"/>
                <w:szCs w:val="18"/>
              </w:rPr>
              <w:t>243 (100.0%)</w:t>
            </w:r>
          </w:p>
        </w:tc>
        <w:tc>
          <w:tcPr>
            <w:tcW w:w="1560" w:type="dxa"/>
            <w:vAlign w:val="center"/>
          </w:tcPr>
          <w:p w14:paraId="28921DF5" w14:textId="1B865F35" w:rsidR="004723AE" w:rsidRDefault="004723AE" w:rsidP="002418FB">
            <w:pPr>
              <w:spacing w:after="0" w:line="240" w:lineRule="auto"/>
              <w:jc w:val="center"/>
            </w:pPr>
            <w:r w:rsidRPr="00D66743">
              <w:rPr>
                <w:color w:val="000000"/>
                <w:sz w:val="18"/>
                <w:szCs w:val="18"/>
              </w:rPr>
              <w:t>243 (100.0%)</w:t>
            </w:r>
          </w:p>
        </w:tc>
        <w:tc>
          <w:tcPr>
            <w:tcW w:w="1474" w:type="dxa"/>
            <w:vAlign w:val="center"/>
          </w:tcPr>
          <w:p w14:paraId="0893FDE6" w14:textId="0CFF367E" w:rsidR="004723AE" w:rsidRDefault="004723AE" w:rsidP="002418FB">
            <w:pPr>
              <w:spacing w:after="0" w:line="240" w:lineRule="auto"/>
              <w:jc w:val="center"/>
            </w:pPr>
            <w:r w:rsidRPr="00D66743">
              <w:rPr>
                <w:color w:val="000000"/>
                <w:sz w:val="18"/>
                <w:szCs w:val="18"/>
              </w:rPr>
              <w:t>486 (88.0%)</w:t>
            </w:r>
          </w:p>
        </w:tc>
      </w:tr>
      <w:tr w:rsidR="004723AE" w14:paraId="0F4514CE" w14:textId="77777777" w:rsidTr="00092882">
        <w:trPr>
          <w:trHeight w:val="345"/>
        </w:trPr>
        <w:tc>
          <w:tcPr>
            <w:tcW w:w="3969" w:type="dxa"/>
            <w:vAlign w:val="center"/>
          </w:tcPr>
          <w:p w14:paraId="3CC10640" w14:textId="3CD0F45D" w:rsidR="004723AE" w:rsidRDefault="004723AE" w:rsidP="002418FB">
            <w:pPr>
              <w:spacing w:after="0" w:line="240" w:lineRule="auto"/>
              <w:jc w:val="left"/>
            </w:pPr>
            <w:r w:rsidRPr="00D66743">
              <w:rPr>
                <w:color w:val="000000"/>
                <w:sz w:val="18"/>
                <w:szCs w:val="18"/>
              </w:rPr>
              <w:t>Excluded</w:t>
            </w:r>
            <w:r>
              <w:rPr>
                <w:color w:val="000000"/>
                <w:sz w:val="18"/>
                <w:szCs w:val="18"/>
              </w:rPr>
              <w:t>:</w:t>
            </w:r>
          </w:p>
        </w:tc>
        <w:tc>
          <w:tcPr>
            <w:tcW w:w="1701" w:type="dxa"/>
            <w:vAlign w:val="center"/>
          </w:tcPr>
          <w:p w14:paraId="5419A130" w14:textId="12344A29" w:rsidR="004723AE" w:rsidRDefault="004723AE" w:rsidP="002418FB">
            <w:pPr>
              <w:spacing w:after="0" w:line="240" w:lineRule="auto"/>
              <w:jc w:val="center"/>
            </w:pPr>
            <w:r w:rsidRPr="00D66743">
              <w:rPr>
                <w:color w:val="000000"/>
                <w:sz w:val="18"/>
                <w:szCs w:val="18"/>
              </w:rPr>
              <w:t>0 (0.0%)</w:t>
            </w:r>
          </w:p>
        </w:tc>
        <w:tc>
          <w:tcPr>
            <w:tcW w:w="1560" w:type="dxa"/>
            <w:vAlign w:val="center"/>
          </w:tcPr>
          <w:p w14:paraId="76498367" w14:textId="7B0DD232" w:rsidR="004723AE" w:rsidRDefault="004723AE" w:rsidP="002418FB">
            <w:pPr>
              <w:spacing w:after="0" w:line="240" w:lineRule="auto"/>
              <w:jc w:val="center"/>
            </w:pPr>
            <w:r w:rsidRPr="00D66743">
              <w:rPr>
                <w:color w:val="000000"/>
                <w:sz w:val="18"/>
                <w:szCs w:val="18"/>
              </w:rPr>
              <w:t>0 (0.0%)</w:t>
            </w:r>
          </w:p>
        </w:tc>
        <w:tc>
          <w:tcPr>
            <w:tcW w:w="1474" w:type="dxa"/>
            <w:vAlign w:val="center"/>
          </w:tcPr>
          <w:p w14:paraId="7D4305DE" w14:textId="5C45B70E" w:rsidR="004723AE" w:rsidRDefault="004723AE" w:rsidP="002418FB">
            <w:pPr>
              <w:spacing w:after="0" w:line="240" w:lineRule="auto"/>
              <w:jc w:val="center"/>
            </w:pPr>
            <w:r w:rsidRPr="00D66743">
              <w:rPr>
                <w:color w:val="000000"/>
                <w:sz w:val="18"/>
                <w:szCs w:val="18"/>
              </w:rPr>
              <w:t>66 (12.0%)</w:t>
            </w:r>
          </w:p>
        </w:tc>
      </w:tr>
      <w:tr w:rsidR="004723AE" w14:paraId="01927682" w14:textId="77777777" w:rsidTr="002418FB">
        <w:trPr>
          <w:trHeight w:val="363"/>
        </w:trPr>
        <w:tc>
          <w:tcPr>
            <w:tcW w:w="3969" w:type="dxa"/>
            <w:vAlign w:val="center"/>
          </w:tcPr>
          <w:p w14:paraId="683BDFC0" w14:textId="541D6B7A" w:rsidR="004723AE" w:rsidRDefault="00D33491" w:rsidP="002418FB">
            <w:pPr>
              <w:spacing w:after="0" w:line="240" w:lineRule="auto"/>
              <w:jc w:val="left"/>
            </w:pPr>
            <w:r w:rsidRPr="00D33491">
              <w:rPr>
                <w:i/>
                <w:color w:val="000000"/>
                <w:sz w:val="16"/>
                <w:szCs w:val="16"/>
              </w:rPr>
              <w:t>-</w:t>
            </w:r>
            <w:r>
              <w:rPr>
                <w:i/>
                <w:color w:val="000000"/>
                <w:sz w:val="16"/>
                <w:szCs w:val="16"/>
              </w:rPr>
              <w:t xml:space="preserve"> </w:t>
            </w:r>
            <w:r w:rsidR="004723AE" w:rsidRPr="00D33491">
              <w:rPr>
                <w:i/>
                <w:color w:val="000000"/>
                <w:sz w:val="16"/>
                <w:szCs w:val="16"/>
              </w:rPr>
              <w:t>Non-fulfillment Selection Criteria</w:t>
            </w:r>
          </w:p>
        </w:tc>
        <w:tc>
          <w:tcPr>
            <w:tcW w:w="1701" w:type="dxa"/>
            <w:vAlign w:val="center"/>
          </w:tcPr>
          <w:p w14:paraId="5C03BC70" w14:textId="2024B7F0" w:rsidR="004723AE" w:rsidRDefault="004723AE" w:rsidP="002418FB">
            <w:pPr>
              <w:spacing w:after="0" w:line="240" w:lineRule="auto"/>
              <w:jc w:val="center"/>
            </w:pPr>
            <w:r w:rsidRPr="000E5778">
              <w:rPr>
                <w:i/>
                <w:color w:val="000000"/>
                <w:sz w:val="16"/>
                <w:szCs w:val="16"/>
              </w:rPr>
              <w:t>0 (0.0%)</w:t>
            </w:r>
          </w:p>
        </w:tc>
        <w:tc>
          <w:tcPr>
            <w:tcW w:w="1560" w:type="dxa"/>
            <w:vAlign w:val="center"/>
          </w:tcPr>
          <w:p w14:paraId="1660FFEA" w14:textId="3BB136BF" w:rsidR="004723AE" w:rsidRDefault="004723AE" w:rsidP="002418FB">
            <w:pPr>
              <w:spacing w:after="0" w:line="240" w:lineRule="auto"/>
              <w:jc w:val="center"/>
            </w:pPr>
            <w:r w:rsidRPr="000E5778">
              <w:rPr>
                <w:i/>
                <w:color w:val="000000"/>
                <w:sz w:val="16"/>
                <w:szCs w:val="16"/>
              </w:rPr>
              <w:t>0 (0.0%)</w:t>
            </w:r>
          </w:p>
        </w:tc>
        <w:tc>
          <w:tcPr>
            <w:tcW w:w="1474" w:type="dxa"/>
            <w:vAlign w:val="center"/>
          </w:tcPr>
          <w:p w14:paraId="224664B7" w14:textId="188E1EF2" w:rsidR="004723AE" w:rsidRDefault="004723AE" w:rsidP="002418FB">
            <w:pPr>
              <w:spacing w:after="0" w:line="240" w:lineRule="auto"/>
              <w:jc w:val="center"/>
            </w:pPr>
            <w:r w:rsidRPr="000E5778">
              <w:rPr>
                <w:i/>
                <w:color w:val="000000"/>
                <w:sz w:val="16"/>
                <w:szCs w:val="16"/>
              </w:rPr>
              <w:t>59 (10.7%)</w:t>
            </w:r>
          </w:p>
        </w:tc>
      </w:tr>
      <w:tr w:rsidR="004723AE" w14:paraId="46D63AB1" w14:textId="77777777" w:rsidTr="00092882">
        <w:trPr>
          <w:trHeight w:val="319"/>
        </w:trPr>
        <w:tc>
          <w:tcPr>
            <w:tcW w:w="3969" w:type="dxa"/>
            <w:vAlign w:val="center"/>
          </w:tcPr>
          <w:p w14:paraId="6AD90B47" w14:textId="2D642E4F" w:rsidR="004723AE" w:rsidRDefault="00D33491" w:rsidP="002418FB">
            <w:pPr>
              <w:spacing w:after="0" w:line="240" w:lineRule="auto"/>
              <w:jc w:val="left"/>
            </w:pPr>
            <w:r>
              <w:rPr>
                <w:i/>
                <w:color w:val="000000"/>
                <w:sz w:val="16"/>
                <w:szCs w:val="16"/>
              </w:rPr>
              <w:t xml:space="preserve">- </w:t>
            </w:r>
            <w:r w:rsidR="004723AE" w:rsidRPr="000E5778">
              <w:rPr>
                <w:i/>
                <w:color w:val="000000"/>
                <w:sz w:val="16"/>
                <w:szCs w:val="16"/>
              </w:rPr>
              <w:t>Withdrawal of consent</w:t>
            </w:r>
          </w:p>
        </w:tc>
        <w:tc>
          <w:tcPr>
            <w:tcW w:w="1701" w:type="dxa"/>
            <w:vAlign w:val="center"/>
          </w:tcPr>
          <w:p w14:paraId="23928986" w14:textId="59253626" w:rsidR="004723AE" w:rsidRDefault="004723AE" w:rsidP="002418FB">
            <w:pPr>
              <w:spacing w:after="0" w:line="240" w:lineRule="auto"/>
              <w:jc w:val="center"/>
            </w:pPr>
            <w:r w:rsidRPr="000E5778">
              <w:rPr>
                <w:i/>
                <w:color w:val="000000"/>
                <w:sz w:val="16"/>
                <w:szCs w:val="16"/>
              </w:rPr>
              <w:t>0 (0.0%)</w:t>
            </w:r>
          </w:p>
        </w:tc>
        <w:tc>
          <w:tcPr>
            <w:tcW w:w="1560" w:type="dxa"/>
            <w:vAlign w:val="center"/>
          </w:tcPr>
          <w:p w14:paraId="47B299E5" w14:textId="039B449F" w:rsidR="004723AE" w:rsidRDefault="004723AE" w:rsidP="002418FB">
            <w:pPr>
              <w:spacing w:after="0" w:line="240" w:lineRule="auto"/>
              <w:jc w:val="center"/>
            </w:pPr>
            <w:r w:rsidRPr="000E5778">
              <w:rPr>
                <w:i/>
                <w:color w:val="000000"/>
                <w:sz w:val="16"/>
                <w:szCs w:val="16"/>
              </w:rPr>
              <w:t>0 (0.0%)</w:t>
            </w:r>
          </w:p>
        </w:tc>
        <w:tc>
          <w:tcPr>
            <w:tcW w:w="1474" w:type="dxa"/>
            <w:vAlign w:val="center"/>
          </w:tcPr>
          <w:p w14:paraId="29C6B338" w14:textId="76A4420E" w:rsidR="004723AE" w:rsidRDefault="004723AE" w:rsidP="002418FB">
            <w:pPr>
              <w:spacing w:after="0" w:line="240" w:lineRule="auto"/>
              <w:jc w:val="center"/>
            </w:pPr>
            <w:r w:rsidRPr="000E5778">
              <w:rPr>
                <w:i/>
                <w:color w:val="000000"/>
                <w:sz w:val="16"/>
                <w:szCs w:val="16"/>
              </w:rPr>
              <w:t>6 (1.1%)</w:t>
            </w:r>
          </w:p>
        </w:tc>
      </w:tr>
      <w:tr w:rsidR="004723AE" w14:paraId="298DEE9E" w14:textId="77777777" w:rsidTr="002418FB">
        <w:trPr>
          <w:trHeight w:val="401"/>
        </w:trPr>
        <w:tc>
          <w:tcPr>
            <w:tcW w:w="3969" w:type="dxa"/>
            <w:vAlign w:val="center"/>
          </w:tcPr>
          <w:p w14:paraId="23967FDB" w14:textId="01BCC01E" w:rsidR="004723AE" w:rsidRDefault="00D33491" w:rsidP="002418FB">
            <w:pPr>
              <w:spacing w:after="0" w:line="240" w:lineRule="auto"/>
              <w:jc w:val="left"/>
            </w:pPr>
            <w:r>
              <w:rPr>
                <w:i/>
                <w:color w:val="000000"/>
                <w:sz w:val="16"/>
                <w:szCs w:val="16"/>
              </w:rPr>
              <w:t xml:space="preserve">- </w:t>
            </w:r>
            <w:r w:rsidR="004723AE" w:rsidRPr="000E5778">
              <w:rPr>
                <w:i/>
                <w:color w:val="000000"/>
                <w:sz w:val="16"/>
                <w:szCs w:val="16"/>
              </w:rPr>
              <w:t>Patient Refused to Participate in Clinical Trial</w:t>
            </w:r>
          </w:p>
        </w:tc>
        <w:tc>
          <w:tcPr>
            <w:tcW w:w="1701" w:type="dxa"/>
            <w:vAlign w:val="center"/>
          </w:tcPr>
          <w:p w14:paraId="5FB3A915" w14:textId="530DBCE5" w:rsidR="004723AE" w:rsidRDefault="004723AE" w:rsidP="002418FB">
            <w:pPr>
              <w:spacing w:after="0" w:line="240" w:lineRule="auto"/>
              <w:jc w:val="center"/>
            </w:pPr>
            <w:r w:rsidRPr="000E5778">
              <w:rPr>
                <w:i/>
                <w:color w:val="000000"/>
                <w:sz w:val="16"/>
                <w:szCs w:val="16"/>
              </w:rPr>
              <w:t>0 (0.0%)</w:t>
            </w:r>
          </w:p>
        </w:tc>
        <w:tc>
          <w:tcPr>
            <w:tcW w:w="1560" w:type="dxa"/>
            <w:vAlign w:val="center"/>
          </w:tcPr>
          <w:p w14:paraId="0A6A7122" w14:textId="51146E1D" w:rsidR="004723AE" w:rsidRDefault="004723AE" w:rsidP="002418FB">
            <w:pPr>
              <w:spacing w:after="0" w:line="240" w:lineRule="auto"/>
              <w:jc w:val="center"/>
            </w:pPr>
            <w:r w:rsidRPr="000E5778">
              <w:rPr>
                <w:i/>
                <w:color w:val="000000"/>
                <w:sz w:val="16"/>
                <w:szCs w:val="16"/>
              </w:rPr>
              <w:t>0 (0.0%)</w:t>
            </w:r>
          </w:p>
        </w:tc>
        <w:tc>
          <w:tcPr>
            <w:tcW w:w="1474" w:type="dxa"/>
            <w:vAlign w:val="center"/>
          </w:tcPr>
          <w:p w14:paraId="3082EB69" w14:textId="17D12EF8" w:rsidR="004723AE" w:rsidRDefault="004723AE" w:rsidP="002418FB">
            <w:pPr>
              <w:spacing w:after="0" w:line="240" w:lineRule="auto"/>
              <w:jc w:val="center"/>
            </w:pPr>
            <w:r w:rsidRPr="000E5778">
              <w:rPr>
                <w:i/>
                <w:color w:val="000000"/>
                <w:sz w:val="16"/>
                <w:szCs w:val="16"/>
              </w:rPr>
              <w:t>1 (0.2%)</w:t>
            </w:r>
          </w:p>
        </w:tc>
      </w:tr>
      <w:tr w:rsidR="004723AE" w14:paraId="0B049B42" w14:textId="77777777" w:rsidTr="00092882">
        <w:trPr>
          <w:trHeight w:val="345"/>
        </w:trPr>
        <w:tc>
          <w:tcPr>
            <w:tcW w:w="3969" w:type="dxa"/>
            <w:vAlign w:val="center"/>
          </w:tcPr>
          <w:p w14:paraId="4507E436" w14:textId="4F03B12A" w:rsidR="004723AE" w:rsidRDefault="004723AE" w:rsidP="002418FB">
            <w:pPr>
              <w:spacing w:after="0" w:line="240" w:lineRule="auto"/>
              <w:jc w:val="left"/>
            </w:pPr>
            <w:r>
              <w:rPr>
                <w:color w:val="000000"/>
                <w:sz w:val="18"/>
                <w:szCs w:val="18"/>
              </w:rPr>
              <w:t>Safety population</w:t>
            </w:r>
          </w:p>
        </w:tc>
        <w:tc>
          <w:tcPr>
            <w:tcW w:w="1701" w:type="dxa"/>
            <w:vAlign w:val="center"/>
          </w:tcPr>
          <w:p w14:paraId="5ACACA07" w14:textId="5BB086A0" w:rsidR="004723AE" w:rsidRDefault="004723AE" w:rsidP="002418FB">
            <w:pPr>
              <w:spacing w:after="0" w:line="240" w:lineRule="auto"/>
              <w:jc w:val="center"/>
            </w:pPr>
            <w:r w:rsidRPr="00D66743">
              <w:rPr>
                <w:color w:val="000000"/>
                <w:sz w:val="18"/>
                <w:szCs w:val="18"/>
              </w:rPr>
              <w:t>242 (99.6%)</w:t>
            </w:r>
          </w:p>
        </w:tc>
        <w:tc>
          <w:tcPr>
            <w:tcW w:w="1560" w:type="dxa"/>
            <w:vAlign w:val="center"/>
          </w:tcPr>
          <w:p w14:paraId="30B5434A" w14:textId="1E299752" w:rsidR="004723AE" w:rsidRDefault="004723AE" w:rsidP="002418FB">
            <w:pPr>
              <w:spacing w:after="0" w:line="240" w:lineRule="auto"/>
              <w:jc w:val="center"/>
            </w:pPr>
            <w:r w:rsidRPr="00D66743">
              <w:rPr>
                <w:color w:val="000000"/>
                <w:sz w:val="18"/>
                <w:szCs w:val="18"/>
              </w:rPr>
              <w:t>241 (99.2%)</w:t>
            </w:r>
          </w:p>
        </w:tc>
        <w:tc>
          <w:tcPr>
            <w:tcW w:w="1474" w:type="dxa"/>
            <w:vAlign w:val="center"/>
          </w:tcPr>
          <w:p w14:paraId="34E33212" w14:textId="3C9EED8C" w:rsidR="004723AE" w:rsidRDefault="004723AE" w:rsidP="002418FB">
            <w:pPr>
              <w:spacing w:after="0" w:line="240" w:lineRule="auto"/>
              <w:jc w:val="center"/>
            </w:pPr>
            <w:r w:rsidRPr="00D66743">
              <w:rPr>
                <w:color w:val="000000"/>
                <w:sz w:val="18"/>
                <w:szCs w:val="18"/>
              </w:rPr>
              <w:t>483 (99.4%)</w:t>
            </w:r>
          </w:p>
        </w:tc>
      </w:tr>
      <w:tr w:rsidR="004723AE" w14:paraId="0871C54E" w14:textId="77777777" w:rsidTr="002418FB">
        <w:trPr>
          <w:trHeight w:val="369"/>
        </w:trPr>
        <w:tc>
          <w:tcPr>
            <w:tcW w:w="3969" w:type="dxa"/>
            <w:vAlign w:val="center"/>
          </w:tcPr>
          <w:p w14:paraId="36E65563" w14:textId="0FAAF736" w:rsidR="004723AE" w:rsidRDefault="004723AE" w:rsidP="002418FB">
            <w:pPr>
              <w:spacing w:after="0" w:line="240" w:lineRule="auto"/>
              <w:jc w:val="left"/>
              <w:rPr>
                <w:color w:val="000000"/>
                <w:sz w:val="18"/>
                <w:szCs w:val="18"/>
              </w:rPr>
            </w:pPr>
            <w:r>
              <w:rPr>
                <w:color w:val="000000"/>
                <w:sz w:val="18"/>
                <w:szCs w:val="18"/>
              </w:rPr>
              <w:t xml:space="preserve">Treated: </w:t>
            </w:r>
            <w:r w:rsidRPr="00D66743">
              <w:rPr>
                <w:color w:val="000000"/>
                <w:sz w:val="18"/>
                <w:szCs w:val="18"/>
              </w:rPr>
              <w:t>Palbociclib-Letrozole</w:t>
            </w:r>
          </w:p>
        </w:tc>
        <w:tc>
          <w:tcPr>
            <w:tcW w:w="1701" w:type="dxa"/>
            <w:vAlign w:val="center"/>
          </w:tcPr>
          <w:p w14:paraId="3D6692E7" w14:textId="2CDA9D19" w:rsidR="004723AE" w:rsidRPr="00D66743" w:rsidRDefault="004723AE" w:rsidP="002418FB">
            <w:pPr>
              <w:spacing w:after="0" w:line="240" w:lineRule="auto"/>
              <w:jc w:val="center"/>
              <w:rPr>
                <w:color w:val="000000"/>
                <w:sz w:val="18"/>
                <w:szCs w:val="18"/>
              </w:rPr>
            </w:pPr>
            <w:r w:rsidRPr="00D66743">
              <w:rPr>
                <w:color w:val="000000"/>
                <w:sz w:val="18"/>
                <w:szCs w:val="18"/>
              </w:rPr>
              <w:t>1 (0.4%)</w:t>
            </w:r>
          </w:p>
        </w:tc>
        <w:tc>
          <w:tcPr>
            <w:tcW w:w="1560" w:type="dxa"/>
            <w:vAlign w:val="center"/>
          </w:tcPr>
          <w:p w14:paraId="231E7CE4" w14:textId="59C990B0" w:rsidR="004723AE" w:rsidRPr="00D66743" w:rsidRDefault="004723AE" w:rsidP="002418FB">
            <w:pPr>
              <w:spacing w:after="0" w:line="240" w:lineRule="auto"/>
              <w:jc w:val="center"/>
              <w:rPr>
                <w:color w:val="000000"/>
                <w:sz w:val="18"/>
                <w:szCs w:val="18"/>
              </w:rPr>
            </w:pPr>
            <w:r w:rsidRPr="00D66743">
              <w:rPr>
                <w:color w:val="000000"/>
                <w:sz w:val="18"/>
                <w:szCs w:val="18"/>
              </w:rPr>
              <w:t>241 (99.2%)</w:t>
            </w:r>
          </w:p>
        </w:tc>
        <w:tc>
          <w:tcPr>
            <w:tcW w:w="1474" w:type="dxa"/>
            <w:vAlign w:val="center"/>
          </w:tcPr>
          <w:p w14:paraId="63A9E98D" w14:textId="24C08A27" w:rsidR="004723AE" w:rsidRPr="00D66743" w:rsidRDefault="004723AE" w:rsidP="002418FB">
            <w:pPr>
              <w:spacing w:after="0" w:line="240" w:lineRule="auto"/>
              <w:jc w:val="center"/>
              <w:rPr>
                <w:color w:val="000000"/>
                <w:sz w:val="18"/>
                <w:szCs w:val="18"/>
              </w:rPr>
            </w:pPr>
            <w:r w:rsidRPr="00D66743">
              <w:rPr>
                <w:color w:val="000000"/>
                <w:sz w:val="18"/>
                <w:szCs w:val="18"/>
              </w:rPr>
              <w:t>242 (49.8%)</w:t>
            </w:r>
          </w:p>
        </w:tc>
      </w:tr>
      <w:tr w:rsidR="004723AE" w14:paraId="3854116D" w14:textId="77777777" w:rsidTr="002418FB">
        <w:trPr>
          <w:trHeight w:val="417"/>
        </w:trPr>
        <w:tc>
          <w:tcPr>
            <w:tcW w:w="3969" w:type="dxa"/>
            <w:vAlign w:val="center"/>
          </w:tcPr>
          <w:p w14:paraId="5F0AF4C4" w14:textId="0C2D5DDD" w:rsidR="004723AE" w:rsidRDefault="004723AE" w:rsidP="002418FB">
            <w:pPr>
              <w:spacing w:after="0" w:line="240" w:lineRule="auto"/>
              <w:jc w:val="left"/>
              <w:rPr>
                <w:color w:val="000000"/>
                <w:sz w:val="18"/>
                <w:szCs w:val="18"/>
              </w:rPr>
            </w:pPr>
            <w:r>
              <w:rPr>
                <w:color w:val="000000"/>
                <w:sz w:val="18"/>
                <w:szCs w:val="18"/>
              </w:rPr>
              <w:t xml:space="preserve">Treated: </w:t>
            </w:r>
            <w:r w:rsidRPr="00D66743">
              <w:rPr>
                <w:color w:val="000000"/>
                <w:sz w:val="18"/>
                <w:szCs w:val="18"/>
              </w:rPr>
              <w:t>Palbociclib-</w:t>
            </w:r>
            <w:proofErr w:type="spellStart"/>
            <w:r w:rsidRPr="00D66743">
              <w:rPr>
                <w:color w:val="000000"/>
                <w:sz w:val="18"/>
                <w:szCs w:val="18"/>
              </w:rPr>
              <w:t>Fulvestrant</w:t>
            </w:r>
            <w:proofErr w:type="spellEnd"/>
          </w:p>
        </w:tc>
        <w:tc>
          <w:tcPr>
            <w:tcW w:w="1701" w:type="dxa"/>
            <w:vAlign w:val="center"/>
          </w:tcPr>
          <w:p w14:paraId="425CED87" w14:textId="4376A3E7" w:rsidR="004723AE" w:rsidRPr="00D66743" w:rsidRDefault="004723AE" w:rsidP="002418FB">
            <w:pPr>
              <w:spacing w:after="0" w:line="240" w:lineRule="auto"/>
              <w:jc w:val="center"/>
              <w:rPr>
                <w:color w:val="000000"/>
                <w:sz w:val="18"/>
                <w:szCs w:val="18"/>
              </w:rPr>
            </w:pPr>
            <w:r w:rsidRPr="00D66743">
              <w:rPr>
                <w:color w:val="000000"/>
                <w:sz w:val="18"/>
                <w:szCs w:val="18"/>
              </w:rPr>
              <w:t>241 (99.2%)</w:t>
            </w:r>
          </w:p>
        </w:tc>
        <w:tc>
          <w:tcPr>
            <w:tcW w:w="1560" w:type="dxa"/>
            <w:vAlign w:val="center"/>
          </w:tcPr>
          <w:p w14:paraId="02112438" w14:textId="397AACBC" w:rsidR="004723AE" w:rsidRPr="00D66743" w:rsidRDefault="004723AE" w:rsidP="002418FB">
            <w:pPr>
              <w:spacing w:after="0" w:line="240" w:lineRule="auto"/>
              <w:jc w:val="center"/>
              <w:rPr>
                <w:color w:val="000000"/>
                <w:sz w:val="18"/>
                <w:szCs w:val="18"/>
              </w:rPr>
            </w:pPr>
            <w:r w:rsidRPr="00D66743">
              <w:rPr>
                <w:color w:val="000000"/>
                <w:sz w:val="18"/>
                <w:szCs w:val="18"/>
              </w:rPr>
              <w:t>0 (0.0%)</w:t>
            </w:r>
          </w:p>
        </w:tc>
        <w:tc>
          <w:tcPr>
            <w:tcW w:w="1474" w:type="dxa"/>
            <w:vAlign w:val="center"/>
          </w:tcPr>
          <w:p w14:paraId="66A73974" w14:textId="32417DA4" w:rsidR="004723AE" w:rsidRPr="00D66743" w:rsidRDefault="004723AE" w:rsidP="002418FB">
            <w:pPr>
              <w:spacing w:after="0" w:line="240" w:lineRule="auto"/>
              <w:jc w:val="center"/>
              <w:rPr>
                <w:color w:val="000000"/>
                <w:sz w:val="18"/>
                <w:szCs w:val="18"/>
              </w:rPr>
            </w:pPr>
            <w:r w:rsidRPr="00D66743">
              <w:rPr>
                <w:color w:val="000000"/>
                <w:sz w:val="18"/>
                <w:szCs w:val="18"/>
              </w:rPr>
              <w:t>241 (49.6%)</w:t>
            </w:r>
          </w:p>
        </w:tc>
      </w:tr>
      <w:tr w:rsidR="004723AE" w14:paraId="797FA29D" w14:textId="77777777" w:rsidTr="002418FB">
        <w:trPr>
          <w:trHeight w:val="422"/>
        </w:trPr>
        <w:tc>
          <w:tcPr>
            <w:tcW w:w="3969" w:type="dxa"/>
            <w:vAlign w:val="center"/>
          </w:tcPr>
          <w:p w14:paraId="5073F03F" w14:textId="1D35C524" w:rsidR="004723AE" w:rsidRDefault="004723AE" w:rsidP="002418FB">
            <w:pPr>
              <w:spacing w:after="0" w:line="240" w:lineRule="auto"/>
              <w:jc w:val="left"/>
              <w:rPr>
                <w:color w:val="000000"/>
                <w:sz w:val="18"/>
                <w:szCs w:val="18"/>
              </w:rPr>
            </w:pPr>
            <w:r>
              <w:rPr>
                <w:color w:val="000000"/>
                <w:sz w:val="18"/>
                <w:szCs w:val="18"/>
              </w:rPr>
              <w:t>Withdrawn prior to treatment:</w:t>
            </w:r>
          </w:p>
        </w:tc>
        <w:tc>
          <w:tcPr>
            <w:tcW w:w="1701" w:type="dxa"/>
            <w:vAlign w:val="center"/>
          </w:tcPr>
          <w:p w14:paraId="0AD46F6A" w14:textId="32D8B0C0" w:rsidR="004723AE" w:rsidRPr="00D66743" w:rsidRDefault="004723AE" w:rsidP="002418FB">
            <w:pPr>
              <w:spacing w:after="0" w:line="240" w:lineRule="auto"/>
              <w:jc w:val="center"/>
              <w:rPr>
                <w:color w:val="000000"/>
                <w:sz w:val="18"/>
                <w:szCs w:val="18"/>
              </w:rPr>
            </w:pPr>
            <w:r w:rsidRPr="00D66743">
              <w:rPr>
                <w:color w:val="000000"/>
                <w:sz w:val="18"/>
                <w:szCs w:val="18"/>
              </w:rPr>
              <w:t>1 (0.4%)</w:t>
            </w:r>
          </w:p>
        </w:tc>
        <w:tc>
          <w:tcPr>
            <w:tcW w:w="1560" w:type="dxa"/>
            <w:vAlign w:val="center"/>
          </w:tcPr>
          <w:p w14:paraId="12C2F6C6" w14:textId="3E0171D8" w:rsidR="004723AE" w:rsidRPr="00D66743" w:rsidRDefault="004723AE" w:rsidP="002418FB">
            <w:pPr>
              <w:spacing w:after="0" w:line="240" w:lineRule="auto"/>
              <w:jc w:val="center"/>
              <w:rPr>
                <w:color w:val="000000"/>
                <w:sz w:val="18"/>
                <w:szCs w:val="18"/>
              </w:rPr>
            </w:pPr>
            <w:r w:rsidRPr="00D66743">
              <w:rPr>
                <w:color w:val="000000"/>
                <w:sz w:val="18"/>
                <w:szCs w:val="18"/>
              </w:rPr>
              <w:t>2 (0.8%)</w:t>
            </w:r>
          </w:p>
        </w:tc>
        <w:tc>
          <w:tcPr>
            <w:tcW w:w="1474" w:type="dxa"/>
            <w:vAlign w:val="center"/>
          </w:tcPr>
          <w:p w14:paraId="5C81C56C" w14:textId="587938DE" w:rsidR="004723AE" w:rsidRPr="00D66743" w:rsidRDefault="004723AE" w:rsidP="002418FB">
            <w:pPr>
              <w:spacing w:after="0" w:line="240" w:lineRule="auto"/>
              <w:jc w:val="center"/>
              <w:rPr>
                <w:color w:val="000000"/>
                <w:sz w:val="18"/>
                <w:szCs w:val="18"/>
              </w:rPr>
            </w:pPr>
            <w:r w:rsidRPr="00D66743">
              <w:rPr>
                <w:color w:val="000000"/>
                <w:sz w:val="18"/>
                <w:szCs w:val="18"/>
              </w:rPr>
              <w:t>3 (0.6%)</w:t>
            </w:r>
          </w:p>
        </w:tc>
      </w:tr>
      <w:tr w:rsidR="004723AE" w14:paraId="5E78FDBC" w14:textId="77777777" w:rsidTr="002418FB">
        <w:trPr>
          <w:trHeight w:val="287"/>
        </w:trPr>
        <w:tc>
          <w:tcPr>
            <w:tcW w:w="3969" w:type="dxa"/>
            <w:vAlign w:val="center"/>
          </w:tcPr>
          <w:p w14:paraId="002D57B1" w14:textId="1DAD713A" w:rsidR="004723AE" w:rsidRDefault="00D33491" w:rsidP="002418FB">
            <w:pPr>
              <w:spacing w:after="0" w:line="240" w:lineRule="auto"/>
              <w:jc w:val="left"/>
              <w:rPr>
                <w:color w:val="000000"/>
                <w:sz w:val="18"/>
                <w:szCs w:val="18"/>
              </w:rPr>
            </w:pPr>
            <w:r>
              <w:rPr>
                <w:i/>
                <w:color w:val="000000"/>
                <w:sz w:val="16"/>
                <w:szCs w:val="16"/>
              </w:rPr>
              <w:t xml:space="preserve">- </w:t>
            </w:r>
            <w:r w:rsidR="004723AE" w:rsidRPr="000E5778">
              <w:rPr>
                <w:i/>
                <w:color w:val="000000"/>
                <w:sz w:val="16"/>
                <w:szCs w:val="16"/>
              </w:rPr>
              <w:t>Brain Metastases (identified prior to treatment)</w:t>
            </w:r>
          </w:p>
        </w:tc>
        <w:tc>
          <w:tcPr>
            <w:tcW w:w="1701" w:type="dxa"/>
            <w:vAlign w:val="center"/>
          </w:tcPr>
          <w:p w14:paraId="6689C138" w14:textId="147FA10E" w:rsidR="004723AE" w:rsidRPr="00D66743" w:rsidRDefault="004723AE" w:rsidP="002418FB">
            <w:pPr>
              <w:spacing w:after="0" w:line="240" w:lineRule="auto"/>
              <w:jc w:val="center"/>
              <w:rPr>
                <w:color w:val="000000"/>
                <w:sz w:val="18"/>
                <w:szCs w:val="18"/>
              </w:rPr>
            </w:pPr>
            <w:r w:rsidRPr="000E5778">
              <w:rPr>
                <w:i/>
                <w:color w:val="000000"/>
                <w:sz w:val="16"/>
                <w:szCs w:val="16"/>
              </w:rPr>
              <w:t>0 (0.0%)</w:t>
            </w:r>
          </w:p>
        </w:tc>
        <w:tc>
          <w:tcPr>
            <w:tcW w:w="1560" w:type="dxa"/>
            <w:vAlign w:val="center"/>
          </w:tcPr>
          <w:p w14:paraId="4DC669B8" w14:textId="7F524C7B" w:rsidR="004723AE" w:rsidRPr="00D66743" w:rsidRDefault="004723AE" w:rsidP="002418FB">
            <w:pPr>
              <w:spacing w:after="0" w:line="240" w:lineRule="auto"/>
              <w:jc w:val="center"/>
              <w:rPr>
                <w:color w:val="000000"/>
                <w:sz w:val="18"/>
                <w:szCs w:val="18"/>
              </w:rPr>
            </w:pPr>
            <w:r w:rsidRPr="000E5778">
              <w:rPr>
                <w:i/>
                <w:color w:val="000000"/>
                <w:sz w:val="16"/>
                <w:szCs w:val="16"/>
              </w:rPr>
              <w:t>1 (0.4%)</w:t>
            </w:r>
          </w:p>
        </w:tc>
        <w:tc>
          <w:tcPr>
            <w:tcW w:w="1474" w:type="dxa"/>
            <w:vAlign w:val="center"/>
          </w:tcPr>
          <w:p w14:paraId="4FD2A10B" w14:textId="134D05F2" w:rsidR="004723AE" w:rsidRPr="00D66743" w:rsidRDefault="004723AE" w:rsidP="002418FB">
            <w:pPr>
              <w:spacing w:after="0" w:line="240" w:lineRule="auto"/>
              <w:jc w:val="center"/>
              <w:rPr>
                <w:color w:val="000000"/>
                <w:sz w:val="18"/>
                <w:szCs w:val="18"/>
              </w:rPr>
            </w:pPr>
            <w:r w:rsidRPr="000E5778">
              <w:rPr>
                <w:i/>
                <w:color w:val="000000"/>
                <w:sz w:val="16"/>
                <w:szCs w:val="16"/>
              </w:rPr>
              <w:t>1 (0.2%)</w:t>
            </w:r>
          </w:p>
        </w:tc>
      </w:tr>
      <w:tr w:rsidR="004723AE" w14:paraId="5CEA93DE" w14:textId="77777777" w:rsidTr="00092882">
        <w:trPr>
          <w:trHeight w:val="319"/>
        </w:trPr>
        <w:tc>
          <w:tcPr>
            <w:tcW w:w="3969" w:type="dxa"/>
            <w:vAlign w:val="center"/>
          </w:tcPr>
          <w:p w14:paraId="05BE6D37" w14:textId="16972CF4" w:rsidR="004723AE" w:rsidRDefault="00D33491" w:rsidP="002418FB">
            <w:pPr>
              <w:spacing w:after="0" w:line="240" w:lineRule="auto"/>
              <w:jc w:val="left"/>
              <w:rPr>
                <w:color w:val="000000"/>
                <w:sz w:val="18"/>
                <w:szCs w:val="18"/>
              </w:rPr>
            </w:pPr>
            <w:r>
              <w:rPr>
                <w:i/>
                <w:color w:val="000000"/>
                <w:sz w:val="16"/>
                <w:szCs w:val="16"/>
              </w:rPr>
              <w:t xml:space="preserve">- </w:t>
            </w:r>
            <w:r w:rsidR="004723AE" w:rsidRPr="000E5778">
              <w:rPr>
                <w:i/>
                <w:color w:val="000000"/>
                <w:sz w:val="16"/>
                <w:szCs w:val="16"/>
              </w:rPr>
              <w:t>Medical decision</w:t>
            </w:r>
          </w:p>
        </w:tc>
        <w:tc>
          <w:tcPr>
            <w:tcW w:w="1701" w:type="dxa"/>
            <w:vAlign w:val="center"/>
          </w:tcPr>
          <w:p w14:paraId="75707D1E" w14:textId="7E944330" w:rsidR="004723AE" w:rsidRPr="00D66743" w:rsidRDefault="004723AE" w:rsidP="002418FB">
            <w:pPr>
              <w:spacing w:after="0" w:line="240" w:lineRule="auto"/>
              <w:jc w:val="center"/>
              <w:rPr>
                <w:color w:val="000000"/>
                <w:sz w:val="18"/>
                <w:szCs w:val="18"/>
              </w:rPr>
            </w:pPr>
            <w:r w:rsidRPr="000E5778">
              <w:rPr>
                <w:i/>
                <w:color w:val="000000"/>
                <w:sz w:val="16"/>
                <w:szCs w:val="16"/>
              </w:rPr>
              <w:t>0 (0.0%)</w:t>
            </w:r>
          </w:p>
        </w:tc>
        <w:tc>
          <w:tcPr>
            <w:tcW w:w="1560" w:type="dxa"/>
            <w:vAlign w:val="center"/>
          </w:tcPr>
          <w:p w14:paraId="777CD331" w14:textId="18E2868B" w:rsidR="004723AE" w:rsidRPr="00D66743" w:rsidRDefault="004723AE" w:rsidP="002418FB">
            <w:pPr>
              <w:spacing w:after="0" w:line="240" w:lineRule="auto"/>
              <w:jc w:val="center"/>
              <w:rPr>
                <w:color w:val="000000"/>
                <w:sz w:val="18"/>
                <w:szCs w:val="18"/>
              </w:rPr>
            </w:pPr>
            <w:r w:rsidRPr="000E5778">
              <w:rPr>
                <w:i/>
                <w:color w:val="000000"/>
                <w:sz w:val="16"/>
                <w:szCs w:val="16"/>
              </w:rPr>
              <w:t>1 (0.4%)</w:t>
            </w:r>
          </w:p>
        </w:tc>
        <w:tc>
          <w:tcPr>
            <w:tcW w:w="1474" w:type="dxa"/>
            <w:vAlign w:val="center"/>
          </w:tcPr>
          <w:p w14:paraId="0ABF0334" w14:textId="455050F2" w:rsidR="004723AE" w:rsidRPr="00D66743" w:rsidRDefault="004723AE" w:rsidP="002418FB">
            <w:pPr>
              <w:spacing w:after="0" w:line="240" w:lineRule="auto"/>
              <w:jc w:val="center"/>
              <w:rPr>
                <w:color w:val="000000"/>
                <w:sz w:val="18"/>
                <w:szCs w:val="18"/>
              </w:rPr>
            </w:pPr>
            <w:r w:rsidRPr="000E5778">
              <w:rPr>
                <w:i/>
                <w:color w:val="000000"/>
                <w:sz w:val="16"/>
                <w:szCs w:val="16"/>
              </w:rPr>
              <w:t>1 (0.2%)</w:t>
            </w:r>
          </w:p>
        </w:tc>
      </w:tr>
      <w:tr w:rsidR="004723AE" w14:paraId="1B475679" w14:textId="77777777" w:rsidTr="00092882">
        <w:trPr>
          <w:trHeight w:val="319"/>
        </w:trPr>
        <w:tc>
          <w:tcPr>
            <w:tcW w:w="3969" w:type="dxa"/>
            <w:vAlign w:val="center"/>
          </w:tcPr>
          <w:p w14:paraId="11B65B95" w14:textId="5B164D17" w:rsidR="004723AE" w:rsidRDefault="00D33491" w:rsidP="002418FB">
            <w:pPr>
              <w:spacing w:after="0" w:line="240" w:lineRule="auto"/>
              <w:jc w:val="left"/>
              <w:rPr>
                <w:color w:val="000000"/>
                <w:sz w:val="18"/>
                <w:szCs w:val="18"/>
              </w:rPr>
            </w:pPr>
            <w:r>
              <w:rPr>
                <w:i/>
                <w:color w:val="000000"/>
                <w:sz w:val="16"/>
                <w:szCs w:val="16"/>
              </w:rPr>
              <w:t xml:space="preserve">- </w:t>
            </w:r>
            <w:r w:rsidR="004723AE" w:rsidRPr="000E5778">
              <w:rPr>
                <w:i/>
                <w:color w:val="000000"/>
                <w:sz w:val="16"/>
                <w:szCs w:val="16"/>
              </w:rPr>
              <w:t>Patient withdrew consent</w:t>
            </w:r>
          </w:p>
        </w:tc>
        <w:tc>
          <w:tcPr>
            <w:tcW w:w="1701" w:type="dxa"/>
            <w:vAlign w:val="center"/>
          </w:tcPr>
          <w:p w14:paraId="1BE41D33" w14:textId="2E73AB05" w:rsidR="004723AE" w:rsidRPr="00D66743" w:rsidRDefault="004723AE" w:rsidP="002418FB">
            <w:pPr>
              <w:spacing w:after="0" w:line="240" w:lineRule="auto"/>
              <w:jc w:val="center"/>
              <w:rPr>
                <w:color w:val="000000"/>
                <w:sz w:val="18"/>
                <w:szCs w:val="18"/>
              </w:rPr>
            </w:pPr>
            <w:r w:rsidRPr="000E5778">
              <w:rPr>
                <w:i/>
                <w:color w:val="000000"/>
                <w:sz w:val="16"/>
                <w:szCs w:val="16"/>
              </w:rPr>
              <w:t>1 (0.4%)</w:t>
            </w:r>
          </w:p>
        </w:tc>
        <w:tc>
          <w:tcPr>
            <w:tcW w:w="1560" w:type="dxa"/>
            <w:vAlign w:val="center"/>
          </w:tcPr>
          <w:p w14:paraId="1940FE9A" w14:textId="26749A76" w:rsidR="004723AE" w:rsidRPr="00D66743" w:rsidRDefault="004723AE" w:rsidP="002418FB">
            <w:pPr>
              <w:spacing w:after="0" w:line="240" w:lineRule="auto"/>
              <w:jc w:val="center"/>
              <w:rPr>
                <w:color w:val="000000"/>
                <w:sz w:val="18"/>
                <w:szCs w:val="18"/>
              </w:rPr>
            </w:pPr>
            <w:r w:rsidRPr="000E5778">
              <w:rPr>
                <w:i/>
                <w:color w:val="000000"/>
                <w:sz w:val="16"/>
                <w:szCs w:val="16"/>
              </w:rPr>
              <w:t>0 (0.0%)</w:t>
            </w:r>
          </w:p>
        </w:tc>
        <w:tc>
          <w:tcPr>
            <w:tcW w:w="1474" w:type="dxa"/>
            <w:vAlign w:val="center"/>
          </w:tcPr>
          <w:p w14:paraId="6D7421F3" w14:textId="62566AD2" w:rsidR="004723AE" w:rsidRPr="00D66743" w:rsidRDefault="004723AE" w:rsidP="002418FB">
            <w:pPr>
              <w:spacing w:after="0" w:line="240" w:lineRule="auto"/>
              <w:jc w:val="center"/>
              <w:rPr>
                <w:color w:val="000000"/>
                <w:sz w:val="18"/>
                <w:szCs w:val="18"/>
              </w:rPr>
            </w:pPr>
            <w:r w:rsidRPr="000E5778">
              <w:rPr>
                <w:i/>
                <w:color w:val="000000"/>
                <w:sz w:val="16"/>
                <w:szCs w:val="16"/>
              </w:rPr>
              <w:t>1 (0.2%)</w:t>
            </w:r>
          </w:p>
        </w:tc>
      </w:tr>
      <w:tr w:rsidR="004723AE" w14:paraId="244DC11D" w14:textId="77777777" w:rsidTr="002418FB">
        <w:trPr>
          <w:trHeight w:val="357"/>
        </w:trPr>
        <w:tc>
          <w:tcPr>
            <w:tcW w:w="3969" w:type="dxa"/>
            <w:vAlign w:val="center"/>
          </w:tcPr>
          <w:p w14:paraId="011B276A" w14:textId="284CDED8" w:rsidR="004723AE" w:rsidRDefault="004723AE" w:rsidP="002418FB">
            <w:pPr>
              <w:spacing w:after="0" w:line="240" w:lineRule="auto"/>
              <w:jc w:val="left"/>
              <w:rPr>
                <w:color w:val="000000"/>
                <w:sz w:val="18"/>
                <w:szCs w:val="18"/>
              </w:rPr>
            </w:pPr>
            <w:r>
              <w:rPr>
                <w:color w:val="000000"/>
                <w:sz w:val="18"/>
                <w:szCs w:val="18"/>
              </w:rPr>
              <w:t>Intent-to-Treat population</w:t>
            </w:r>
          </w:p>
        </w:tc>
        <w:tc>
          <w:tcPr>
            <w:tcW w:w="1701" w:type="dxa"/>
            <w:vAlign w:val="center"/>
          </w:tcPr>
          <w:p w14:paraId="09C3C88E" w14:textId="280DD52B" w:rsidR="004723AE" w:rsidRPr="00D66743" w:rsidRDefault="004723AE" w:rsidP="002418FB">
            <w:pPr>
              <w:spacing w:after="0" w:line="240" w:lineRule="auto"/>
              <w:jc w:val="center"/>
              <w:rPr>
                <w:color w:val="000000"/>
                <w:sz w:val="18"/>
                <w:szCs w:val="18"/>
              </w:rPr>
            </w:pPr>
            <w:r w:rsidRPr="00D66743">
              <w:rPr>
                <w:color w:val="000000"/>
                <w:sz w:val="18"/>
                <w:szCs w:val="18"/>
              </w:rPr>
              <w:t>243 (100.0%)</w:t>
            </w:r>
          </w:p>
        </w:tc>
        <w:tc>
          <w:tcPr>
            <w:tcW w:w="1560" w:type="dxa"/>
            <w:vAlign w:val="center"/>
          </w:tcPr>
          <w:p w14:paraId="36F1A829" w14:textId="35B79E26" w:rsidR="004723AE" w:rsidRPr="00D66743" w:rsidRDefault="004723AE" w:rsidP="002418FB">
            <w:pPr>
              <w:spacing w:after="0" w:line="240" w:lineRule="auto"/>
              <w:jc w:val="center"/>
              <w:rPr>
                <w:color w:val="000000"/>
                <w:sz w:val="18"/>
                <w:szCs w:val="18"/>
              </w:rPr>
            </w:pPr>
            <w:r w:rsidRPr="00D66743">
              <w:rPr>
                <w:color w:val="000000"/>
                <w:sz w:val="18"/>
                <w:szCs w:val="18"/>
              </w:rPr>
              <w:t>243 (100.0%)</w:t>
            </w:r>
          </w:p>
        </w:tc>
        <w:tc>
          <w:tcPr>
            <w:tcW w:w="1474" w:type="dxa"/>
            <w:vAlign w:val="center"/>
          </w:tcPr>
          <w:p w14:paraId="6FCCF130" w14:textId="603AF53D" w:rsidR="004723AE" w:rsidRPr="00D66743" w:rsidRDefault="004723AE" w:rsidP="002418FB">
            <w:pPr>
              <w:spacing w:after="0" w:line="240" w:lineRule="auto"/>
              <w:jc w:val="center"/>
              <w:rPr>
                <w:color w:val="000000"/>
                <w:sz w:val="18"/>
                <w:szCs w:val="18"/>
              </w:rPr>
            </w:pPr>
            <w:r w:rsidRPr="00D66743">
              <w:rPr>
                <w:color w:val="000000"/>
                <w:sz w:val="18"/>
                <w:szCs w:val="18"/>
              </w:rPr>
              <w:t>486 (100.0%)</w:t>
            </w:r>
          </w:p>
        </w:tc>
      </w:tr>
      <w:tr w:rsidR="004723AE" w14:paraId="03740492" w14:textId="77777777" w:rsidTr="00092882">
        <w:trPr>
          <w:trHeight w:val="570"/>
        </w:trPr>
        <w:tc>
          <w:tcPr>
            <w:tcW w:w="3969" w:type="dxa"/>
            <w:vAlign w:val="center"/>
          </w:tcPr>
          <w:p w14:paraId="15ED6295" w14:textId="50DF1268" w:rsidR="004723AE" w:rsidRDefault="004723AE" w:rsidP="002418FB">
            <w:pPr>
              <w:spacing w:after="0" w:line="240" w:lineRule="auto"/>
              <w:jc w:val="left"/>
              <w:rPr>
                <w:color w:val="000000"/>
                <w:sz w:val="18"/>
                <w:szCs w:val="18"/>
              </w:rPr>
            </w:pPr>
            <w:r w:rsidRPr="0019543B">
              <w:rPr>
                <w:bCs/>
                <w:color w:val="000000"/>
                <w:sz w:val="18"/>
                <w:szCs w:val="18"/>
                <w:lang w:val="en-GB"/>
              </w:rPr>
              <w:t>Follow-up Time (months) -</w:t>
            </w:r>
            <w:r>
              <w:rPr>
                <w:b/>
                <w:bCs/>
                <w:color w:val="000000"/>
                <w:sz w:val="18"/>
                <w:szCs w:val="18"/>
                <w:lang w:val="en-GB"/>
              </w:rPr>
              <w:t xml:space="preserve"> </w:t>
            </w:r>
            <w:r w:rsidRPr="0019543B">
              <w:rPr>
                <w:color w:val="000000"/>
                <w:sz w:val="18"/>
                <w:szCs w:val="18"/>
                <w:lang w:val="en-GB"/>
              </w:rPr>
              <w:t>Mean (</w:t>
            </w:r>
            <w:r>
              <w:rPr>
                <w:color w:val="000000"/>
                <w:sz w:val="18"/>
                <w:szCs w:val="18"/>
                <w:lang w:val="en-GB"/>
              </w:rPr>
              <w:t>95% CI</w:t>
            </w:r>
            <w:r w:rsidRPr="0019543B">
              <w:rPr>
                <w:color w:val="000000"/>
                <w:sz w:val="18"/>
                <w:szCs w:val="18"/>
                <w:lang w:val="en-GB"/>
              </w:rPr>
              <w:t>)</w:t>
            </w:r>
          </w:p>
        </w:tc>
        <w:tc>
          <w:tcPr>
            <w:tcW w:w="1701" w:type="dxa"/>
            <w:vAlign w:val="center"/>
          </w:tcPr>
          <w:p w14:paraId="667B1951" w14:textId="7A4CB221" w:rsidR="00D33491" w:rsidRDefault="004723AE" w:rsidP="002418FB">
            <w:pPr>
              <w:spacing w:after="0" w:line="240" w:lineRule="auto"/>
              <w:jc w:val="center"/>
              <w:rPr>
                <w:color w:val="000000"/>
                <w:sz w:val="18"/>
                <w:szCs w:val="18"/>
              </w:rPr>
            </w:pPr>
            <w:r w:rsidRPr="00D66743">
              <w:rPr>
                <w:color w:val="000000"/>
                <w:sz w:val="18"/>
                <w:szCs w:val="18"/>
              </w:rPr>
              <w:t>30.6</w:t>
            </w:r>
          </w:p>
          <w:p w14:paraId="4EEBAAD2" w14:textId="586A8DB9" w:rsidR="004723AE" w:rsidRPr="00D66743" w:rsidRDefault="004723AE" w:rsidP="002418FB">
            <w:pPr>
              <w:spacing w:after="0" w:line="240" w:lineRule="auto"/>
              <w:jc w:val="center"/>
              <w:rPr>
                <w:color w:val="000000"/>
                <w:sz w:val="18"/>
                <w:szCs w:val="18"/>
              </w:rPr>
            </w:pPr>
            <w:r w:rsidRPr="00D66743">
              <w:rPr>
                <w:color w:val="000000"/>
                <w:sz w:val="18"/>
                <w:szCs w:val="18"/>
              </w:rPr>
              <w:t>(29.0; 32.1)</w:t>
            </w:r>
          </w:p>
        </w:tc>
        <w:tc>
          <w:tcPr>
            <w:tcW w:w="1560" w:type="dxa"/>
            <w:vAlign w:val="center"/>
          </w:tcPr>
          <w:p w14:paraId="75B60E5C" w14:textId="0B01F9C3" w:rsidR="00D33491" w:rsidRDefault="004723AE" w:rsidP="002418FB">
            <w:pPr>
              <w:spacing w:after="0" w:line="240" w:lineRule="auto"/>
              <w:jc w:val="center"/>
              <w:rPr>
                <w:color w:val="000000"/>
                <w:sz w:val="18"/>
                <w:szCs w:val="18"/>
              </w:rPr>
            </w:pPr>
            <w:r w:rsidRPr="00D66743">
              <w:rPr>
                <w:color w:val="000000"/>
                <w:sz w:val="18"/>
                <w:szCs w:val="18"/>
              </w:rPr>
              <w:t>30.4</w:t>
            </w:r>
          </w:p>
          <w:p w14:paraId="42051913" w14:textId="0ACBE30D" w:rsidR="004723AE" w:rsidRPr="00D66743" w:rsidRDefault="004723AE" w:rsidP="002418FB">
            <w:pPr>
              <w:spacing w:after="0" w:line="240" w:lineRule="auto"/>
              <w:jc w:val="center"/>
              <w:rPr>
                <w:color w:val="000000"/>
                <w:sz w:val="18"/>
                <w:szCs w:val="18"/>
              </w:rPr>
            </w:pPr>
            <w:r w:rsidRPr="00D66743">
              <w:rPr>
                <w:color w:val="000000"/>
                <w:sz w:val="18"/>
                <w:szCs w:val="18"/>
              </w:rPr>
              <w:t>(28.9; 31.9)</w:t>
            </w:r>
          </w:p>
        </w:tc>
        <w:tc>
          <w:tcPr>
            <w:tcW w:w="1474" w:type="dxa"/>
            <w:vAlign w:val="center"/>
          </w:tcPr>
          <w:p w14:paraId="2ECFBE2F" w14:textId="65D76AE8" w:rsidR="00D33491" w:rsidRDefault="004723AE" w:rsidP="002418FB">
            <w:pPr>
              <w:spacing w:after="0" w:line="240" w:lineRule="auto"/>
              <w:jc w:val="center"/>
              <w:rPr>
                <w:color w:val="000000"/>
                <w:sz w:val="18"/>
                <w:szCs w:val="18"/>
              </w:rPr>
            </w:pPr>
            <w:r w:rsidRPr="00D66743">
              <w:rPr>
                <w:color w:val="000000"/>
                <w:sz w:val="18"/>
                <w:szCs w:val="18"/>
              </w:rPr>
              <w:t>30.5</w:t>
            </w:r>
          </w:p>
          <w:p w14:paraId="589FBF20" w14:textId="4AD23254" w:rsidR="004723AE" w:rsidRPr="00D66743" w:rsidRDefault="004723AE" w:rsidP="002418FB">
            <w:pPr>
              <w:spacing w:after="0" w:line="240" w:lineRule="auto"/>
              <w:jc w:val="center"/>
              <w:rPr>
                <w:color w:val="000000"/>
                <w:sz w:val="18"/>
                <w:szCs w:val="18"/>
              </w:rPr>
            </w:pPr>
            <w:r w:rsidRPr="00D66743">
              <w:rPr>
                <w:color w:val="000000"/>
                <w:sz w:val="18"/>
                <w:szCs w:val="18"/>
              </w:rPr>
              <w:t>(29.4; 31.6)</w:t>
            </w:r>
          </w:p>
        </w:tc>
      </w:tr>
      <w:tr w:rsidR="004723AE" w14:paraId="3214A5A0" w14:textId="77777777" w:rsidTr="002418FB">
        <w:trPr>
          <w:trHeight w:val="413"/>
        </w:trPr>
        <w:tc>
          <w:tcPr>
            <w:tcW w:w="3969" w:type="dxa"/>
            <w:vAlign w:val="center"/>
          </w:tcPr>
          <w:p w14:paraId="132BBBC5" w14:textId="7CE19ABA" w:rsidR="004723AE" w:rsidRDefault="004723AE" w:rsidP="002418FB">
            <w:pPr>
              <w:spacing w:after="0" w:line="240" w:lineRule="auto"/>
              <w:jc w:val="left"/>
              <w:rPr>
                <w:color w:val="000000"/>
                <w:sz w:val="18"/>
                <w:szCs w:val="18"/>
              </w:rPr>
            </w:pPr>
            <w:r>
              <w:rPr>
                <w:color w:val="000000"/>
                <w:sz w:val="18"/>
                <w:szCs w:val="18"/>
              </w:rPr>
              <w:t>Per-Protocol population</w:t>
            </w:r>
          </w:p>
        </w:tc>
        <w:tc>
          <w:tcPr>
            <w:tcW w:w="1701" w:type="dxa"/>
            <w:vAlign w:val="center"/>
          </w:tcPr>
          <w:p w14:paraId="0FCF4352" w14:textId="1087B8C7" w:rsidR="004723AE" w:rsidRPr="00D66743" w:rsidRDefault="004723AE" w:rsidP="002418FB">
            <w:pPr>
              <w:spacing w:after="0" w:line="240" w:lineRule="auto"/>
              <w:jc w:val="center"/>
              <w:rPr>
                <w:color w:val="000000"/>
                <w:sz w:val="18"/>
                <w:szCs w:val="18"/>
              </w:rPr>
            </w:pPr>
            <w:r w:rsidRPr="00D66743">
              <w:rPr>
                <w:color w:val="000000"/>
                <w:sz w:val="18"/>
                <w:szCs w:val="18"/>
              </w:rPr>
              <w:t>229 (94.2%)</w:t>
            </w:r>
          </w:p>
        </w:tc>
        <w:tc>
          <w:tcPr>
            <w:tcW w:w="1560" w:type="dxa"/>
            <w:vAlign w:val="center"/>
          </w:tcPr>
          <w:p w14:paraId="1D565099" w14:textId="41C85753" w:rsidR="004723AE" w:rsidRPr="00D66743" w:rsidRDefault="004723AE" w:rsidP="002418FB">
            <w:pPr>
              <w:spacing w:after="0" w:line="240" w:lineRule="auto"/>
              <w:jc w:val="center"/>
              <w:rPr>
                <w:color w:val="000000"/>
                <w:sz w:val="18"/>
                <w:szCs w:val="18"/>
              </w:rPr>
            </w:pPr>
            <w:r w:rsidRPr="00D66743">
              <w:rPr>
                <w:color w:val="000000"/>
                <w:sz w:val="18"/>
                <w:szCs w:val="18"/>
              </w:rPr>
              <w:t>233 (95.9%)</w:t>
            </w:r>
          </w:p>
        </w:tc>
        <w:tc>
          <w:tcPr>
            <w:tcW w:w="1474" w:type="dxa"/>
            <w:vAlign w:val="center"/>
          </w:tcPr>
          <w:p w14:paraId="135EACB7" w14:textId="3DCAEB5C" w:rsidR="004723AE" w:rsidRPr="00D66743" w:rsidRDefault="004723AE" w:rsidP="002418FB">
            <w:pPr>
              <w:spacing w:after="0" w:line="240" w:lineRule="auto"/>
              <w:jc w:val="center"/>
              <w:rPr>
                <w:color w:val="000000"/>
                <w:sz w:val="18"/>
                <w:szCs w:val="18"/>
              </w:rPr>
            </w:pPr>
            <w:r w:rsidRPr="00D66743">
              <w:rPr>
                <w:color w:val="000000"/>
                <w:sz w:val="18"/>
                <w:szCs w:val="18"/>
              </w:rPr>
              <w:t>462 (95.1%)</w:t>
            </w:r>
          </w:p>
        </w:tc>
      </w:tr>
      <w:tr w:rsidR="004723AE" w14:paraId="650CF1E8" w14:textId="77777777" w:rsidTr="002418FB">
        <w:trPr>
          <w:trHeight w:val="433"/>
        </w:trPr>
        <w:tc>
          <w:tcPr>
            <w:tcW w:w="3969" w:type="dxa"/>
            <w:vAlign w:val="center"/>
          </w:tcPr>
          <w:p w14:paraId="0A33FA5B" w14:textId="0DC65379" w:rsidR="004723AE" w:rsidRDefault="004723AE" w:rsidP="002418FB">
            <w:pPr>
              <w:spacing w:after="0" w:line="240" w:lineRule="auto"/>
              <w:jc w:val="left"/>
              <w:rPr>
                <w:color w:val="000000"/>
                <w:sz w:val="18"/>
                <w:szCs w:val="18"/>
              </w:rPr>
            </w:pPr>
            <w:r>
              <w:rPr>
                <w:color w:val="000000"/>
                <w:sz w:val="18"/>
                <w:szCs w:val="18"/>
              </w:rPr>
              <w:t>Protocol deviations &amp; special cases:</w:t>
            </w:r>
          </w:p>
        </w:tc>
        <w:tc>
          <w:tcPr>
            <w:tcW w:w="1701" w:type="dxa"/>
            <w:vAlign w:val="center"/>
          </w:tcPr>
          <w:p w14:paraId="071823F8" w14:textId="0C7CFCA9" w:rsidR="004723AE" w:rsidRPr="00D66743" w:rsidRDefault="004723AE" w:rsidP="002418FB">
            <w:pPr>
              <w:spacing w:after="0" w:line="240" w:lineRule="auto"/>
              <w:jc w:val="center"/>
              <w:rPr>
                <w:color w:val="000000"/>
                <w:sz w:val="18"/>
                <w:szCs w:val="18"/>
              </w:rPr>
            </w:pPr>
            <w:r w:rsidRPr="00D66743">
              <w:rPr>
                <w:color w:val="000000"/>
                <w:sz w:val="18"/>
                <w:szCs w:val="18"/>
              </w:rPr>
              <w:t>14 (5.8%)</w:t>
            </w:r>
          </w:p>
        </w:tc>
        <w:tc>
          <w:tcPr>
            <w:tcW w:w="1560" w:type="dxa"/>
            <w:vAlign w:val="center"/>
          </w:tcPr>
          <w:p w14:paraId="44288955" w14:textId="31F59F9C" w:rsidR="004723AE" w:rsidRPr="00D66743" w:rsidRDefault="004723AE" w:rsidP="002418FB">
            <w:pPr>
              <w:spacing w:after="0" w:line="240" w:lineRule="auto"/>
              <w:jc w:val="center"/>
              <w:rPr>
                <w:color w:val="000000"/>
                <w:sz w:val="18"/>
                <w:szCs w:val="18"/>
              </w:rPr>
            </w:pPr>
            <w:r w:rsidRPr="00D66743">
              <w:rPr>
                <w:color w:val="000000"/>
                <w:sz w:val="18"/>
                <w:szCs w:val="18"/>
              </w:rPr>
              <w:t>10 (4.1%)</w:t>
            </w:r>
          </w:p>
        </w:tc>
        <w:tc>
          <w:tcPr>
            <w:tcW w:w="1474" w:type="dxa"/>
            <w:vAlign w:val="center"/>
          </w:tcPr>
          <w:p w14:paraId="62294A1C" w14:textId="36F8F0B3" w:rsidR="004723AE" w:rsidRPr="00D66743" w:rsidRDefault="004723AE" w:rsidP="002418FB">
            <w:pPr>
              <w:spacing w:after="0" w:line="240" w:lineRule="auto"/>
              <w:jc w:val="center"/>
              <w:rPr>
                <w:color w:val="000000"/>
                <w:sz w:val="18"/>
                <w:szCs w:val="18"/>
              </w:rPr>
            </w:pPr>
            <w:r w:rsidRPr="00D66743">
              <w:rPr>
                <w:color w:val="000000"/>
                <w:sz w:val="18"/>
                <w:szCs w:val="18"/>
              </w:rPr>
              <w:t>24 (4.9%)</w:t>
            </w:r>
          </w:p>
        </w:tc>
      </w:tr>
      <w:tr w:rsidR="004723AE" w14:paraId="4FD9F22B" w14:textId="77777777" w:rsidTr="002418FB">
        <w:trPr>
          <w:trHeight w:val="283"/>
        </w:trPr>
        <w:tc>
          <w:tcPr>
            <w:tcW w:w="3969" w:type="dxa"/>
            <w:vAlign w:val="center"/>
          </w:tcPr>
          <w:p w14:paraId="24CBAE91" w14:textId="3B45C0A1" w:rsidR="004723AE" w:rsidRPr="00D33491" w:rsidRDefault="00D33491" w:rsidP="002418FB">
            <w:pPr>
              <w:spacing w:after="0" w:line="240" w:lineRule="auto"/>
              <w:jc w:val="left"/>
              <w:rPr>
                <w:i/>
                <w:color w:val="000000"/>
                <w:sz w:val="18"/>
                <w:szCs w:val="18"/>
              </w:rPr>
            </w:pPr>
            <w:r w:rsidRPr="00D33491">
              <w:rPr>
                <w:i/>
                <w:color w:val="000000"/>
                <w:sz w:val="16"/>
                <w:szCs w:val="16"/>
              </w:rPr>
              <w:t xml:space="preserve">- </w:t>
            </w:r>
            <w:r w:rsidR="004723AE" w:rsidRPr="00D33491">
              <w:rPr>
                <w:i/>
                <w:color w:val="000000"/>
                <w:sz w:val="16"/>
                <w:szCs w:val="16"/>
              </w:rPr>
              <w:t>No post-baseline tumor assessment</w:t>
            </w:r>
          </w:p>
        </w:tc>
        <w:tc>
          <w:tcPr>
            <w:tcW w:w="1701" w:type="dxa"/>
            <w:vAlign w:val="center"/>
          </w:tcPr>
          <w:p w14:paraId="34F4BF6D" w14:textId="5D31946D" w:rsidR="004723AE" w:rsidRPr="00D33491" w:rsidRDefault="004723AE" w:rsidP="002418FB">
            <w:pPr>
              <w:spacing w:after="0" w:line="240" w:lineRule="auto"/>
              <w:jc w:val="center"/>
              <w:rPr>
                <w:i/>
                <w:color w:val="000000"/>
                <w:sz w:val="18"/>
                <w:szCs w:val="18"/>
              </w:rPr>
            </w:pPr>
            <w:r w:rsidRPr="00D33491">
              <w:rPr>
                <w:i/>
                <w:color w:val="000000"/>
                <w:sz w:val="16"/>
                <w:szCs w:val="16"/>
              </w:rPr>
              <w:t>4 (1.6%)</w:t>
            </w:r>
          </w:p>
        </w:tc>
        <w:tc>
          <w:tcPr>
            <w:tcW w:w="1560" w:type="dxa"/>
            <w:vAlign w:val="center"/>
          </w:tcPr>
          <w:p w14:paraId="2C608EC4" w14:textId="5217F47C" w:rsidR="004723AE" w:rsidRPr="00D33491" w:rsidRDefault="004723AE" w:rsidP="002418FB">
            <w:pPr>
              <w:spacing w:after="0" w:line="240" w:lineRule="auto"/>
              <w:jc w:val="center"/>
              <w:rPr>
                <w:i/>
                <w:color w:val="000000"/>
                <w:sz w:val="18"/>
                <w:szCs w:val="18"/>
              </w:rPr>
            </w:pPr>
            <w:r w:rsidRPr="00D33491">
              <w:rPr>
                <w:i/>
                <w:color w:val="000000"/>
                <w:sz w:val="16"/>
                <w:szCs w:val="16"/>
              </w:rPr>
              <w:t>4 (1.6%)</w:t>
            </w:r>
          </w:p>
        </w:tc>
        <w:tc>
          <w:tcPr>
            <w:tcW w:w="1474" w:type="dxa"/>
            <w:vAlign w:val="center"/>
          </w:tcPr>
          <w:p w14:paraId="0F51CAB3" w14:textId="7C0B1F8C" w:rsidR="004723AE" w:rsidRPr="00D33491" w:rsidRDefault="004723AE" w:rsidP="002418FB">
            <w:pPr>
              <w:spacing w:after="0" w:line="240" w:lineRule="auto"/>
              <w:jc w:val="center"/>
              <w:rPr>
                <w:i/>
                <w:color w:val="000000"/>
                <w:sz w:val="18"/>
                <w:szCs w:val="18"/>
              </w:rPr>
            </w:pPr>
            <w:r w:rsidRPr="00D33491">
              <w:rPr>
                <w:i/>
                <w:color w:val="000000"/>
                <w:sz w:val="16"/>
                <w:szCs w:val="16"/>
              </w:rPr>
              <w:t>8 (1.6%)</w:t>
            </w:r>
          </w:p>
        </w:tc>
      </w:tr>
      <w:tr w:rsidR="004723AE" w14:paraId="7936399C" w14:textId="77777777" w:rsidTr="00092882">
        <w:trPr>
          <w:trHeight w:val="332"/>
        </w:trPr>
        <w:tc>
          <w:tcPr>
            <w:tcW w:w="3969" w:type="dxa"/>
            <w:vAlign w:val="center"/>
          </w:tcPr>
          <w:p w14:paraId="79A050F9" w14:textId="6A33AA60" w:rsidR="004723AE" w:rsidRPr="00D33491" w:rsidRDefault="00D33491" w:rsidP="002418FB">
            <w:pPr>
              <w:spacing w:after="0" w:line="240" w:lineRule="auto"/>
              <w:jc w:val="left"/>
              <w:rPr>
                <w:i/>
                <w:color w:val="000000"/>
                <w:sz w:val="18"/>
                <w:szCs w:val="18"/>
              </w:rPr>
            </w:pPr>
            <w:r w:rsidRPr="00D33491">
              <w:rPr>
                <w:i/>
                <w:color w:val="000000"/>
                <w:sz w:val="16"/>
                <w:szCs w:val="16"/>
              </w:rPr>
              <w:t xml:space="preserve">- </w:t>
            </w:r>
            <w:r w:rsidR="004723AE" w:rsidRPr="00D33491">
              <w:rPr>
                <w:i/>
                <w:color w:val="000000"/>
                <w:sz w:val="16"/>
                <w:szCs w:val="16"/>
              </w:rPr>
              <w:t>IMP underdose</w:t>
            </w:r>
          </w:p>
        </w:tc>
        <w:tc>
          <w:tcPr>
            <w:tcW w:w="1701" w:type="dxa"/>
            <w:vAlign w:val="center"/>
          </w:tcPr>
          <w:p w14:paraId="164F49F5" w14:textId="3A50DFB4" w:rsidR="004723AE" w:rsidRPr="00D33491" w:rsidRDefault="004723AE" w:rsidP="002418FB">
            <w:pPr>
              <w:spacing w:after="0" w:line="240" w:lineRule="auto"/>
              <w:jc w:val="center"/>
              <w:rPr>
                <w:i/>
                <w:color w:val="000000"/>
                <w:sz w:val="18"/>
                <w:szCs w:val="18"/>
              </w:rPr>
            </w:pPr>
            <w:r w:rsidRPr="00D33491">
              <w:rPr>
                <w:i/>
                <w:color w:val="000000"/>
                <w:sz w:val="16"/>
                <w:szCs w:val="16"/>
              </w:rPr>
              <w:t>4 (1.6%)</w:t>
            </w:r>
          </w:p>
        </w:tc>
        <w:tc>
          <w:tcPr>
            <w:tcW w:w="1560" w:type="dxa"/>
            <w:vAlign w:val="center"/>
          </w:tcPr>
          <w:p w14:paraId="7AD50C40" w14:textId="4BA2C42C" w:rsidR="004723AE" w:rsidRPr="00D33491" w:rsidRDefault="004723AE" w:rsidP="002418FB">
            <w:pPr>
              <w:spacing w:after="0" w:line="240" w:lineRule="auto"/>
              <w:jc w:val="center"/>
              <w:rPr>
                <w:i/>
                <w:color w:val="000000"/>
                <w:sz w:val="18"/>
                <w:szCs w:val="18"/>
              </w:rPr>
            </w:pPr>
            <w:r w:rsidRPr="00D33491">
              <w:rPr>
                <w:i/>
                <w:color w:val="000000"/>
                <w:sz w:val="16"/>
                <w:szCs w:val="16"/>
              </w:rPr>
              <w:t>2 (0.8%)</w:t>
            </w:r>
          </w:p>
        </w:tc>
        <w:tc>
          <w:tcPr>
            <w:tcW w:w="1474" w:type="dxa"/>
            <w:vAlign w:val="center"/>
          </w:tcPr>
          <w:p w14:paraId="5A43E1B1" w14:textId="3E4CA646" w:rsidR="004723AE" w:rsidRPr="00D33491" w:rsidRDefault="004723AE" w:rsidP="002418FB">
            <w:pPr>
              <w:spacing w:after="0" w:line="240" w:lineRule="auto"/>
              <w:jc w:val="center"/>
              <w:rPr>
                <w:i/>
                <w:color w:val="000000"/>
                <w:sz w:val="18"/>
                <w:szCs w:val="18"/>
              </w:rPr>
            </w:pPr>
            <w:r w:rsidRPr="00D33491">
              <w:rPr>
                <w:i/>
                <w:color w:val="000000"/>
                <w:sz w:val="16"/>
                <w:szCs w:val="16"/>
              </w:rPr>
              <w:t>6 (1.2%)</w:t>
            </w:r>
          </w:p>
        </w:tc>
      </w:tr>
      <w:tr w:rsidR="004723AE" w14:paraId="35962AC3" w14:textId="77777777" w:rsidTr="002418FB">
        <w:trPr>
          <w:trHeight w:val="377"/>
        </w:trPr>
        <w:tc>
          <w:tcPr>
            <w:tcW w:w="3969" w:type="dxa"/>
            <w:vAlign w:val="center"/>
          </w:tcPr>
          <w:p w14:paraId="5E6FC15D" w14:textId="6D56A0F4" w:rsidR="004723AE" w:rsidRPr="00D33491" w:rsidRDefault="00D33491" w:rsidP="002418FB">
            <w:pPr>
              <w:spacing w:after="0" w:line="240" w:lineRule="auto"/>
              <w:jc w:val="left"/>
              <w:rPr>
                <w:i/>
                <w:color w:val="000000"/>
                <w:sz w:val="18"/>
                <w:szCs w:val="18"/>
              </w:rPr>
            </w:pPr>
            <w:r w:rsidRPr="00D33491">
              <w:rPr>
                <w:i/>
                <w:color w:val="000000"/>
                <w:sz w:val="16"/>
                <w:szCs w:val="16"/>
              </w:rPr>
              <w:t xml:space="preserve">- </w:t>
            </w:r>
            <w:r w:rsidR="004723AE" w:rsidRPr="00D33491">
              <w:rPr>
                <w:i/>
                <w:color w:val="000000"/>
                <w:sz w:val="16"/>
                <w:szCs w:val="16"/>
              </w:rPr>
              <w:t>DFI to previous endocrine therapy &lt;12 months</w:t>
            </w:r>
          </w:p>
        </w:tc>
        <w:tc>
          <w:tcPr>
            <w:tcW w:w="1701" w:type="dxa"/>
            <w:vAlign w:val="center"/>
          </w:tcPr>
          <w:p w14:paraId="0059FE28" w14:textId="438301E3" w:rsidR="004723AE" w:rsidRPr="00D33491" w:rsidRDefault="004723AE" w:rsidP="002418FB">
            <w:pPr>
              <w:spacing w:after="0" w:line="240" w:lineRule="auto"/>
              <w:jc w:val="center"/>
              <w:rPr>
                <w:i/>
                <w:color w:val="000000"/>
                <w:sz w:val="18"/>
                <w:szCs w:val="18"/>
              </w:rPr>
            </w:pPr>
            <w:r w:rsidRPr="00D33491">
              <w:rPr>
                <w:i/>
                <w:color w:val="000000"/>
                <w:sz w:val="16"/>
                <w:szCs w:val="16"/>
              </w:rPr>
              <w:t>2 (0.8%)</w:t>
            </w:r>
          </w:p>
        </w:tc>
        <w:tc>
          <w:tcPr>
            <w:tcW w:w="1560" w:type="dxa"/>
            <w:vAlign w:val="center"/>
          </w:tcPr>
          <w:p w14:paraId="1777F131" w14:textId="13EC31F1" w:rsidR="004723AE" w:rsidRPr="00D33491" w:rsidRDefault="004723AE" w:rsidP="002418FB">
            <w:pPr>
              <w:spacing w:after="0" w:line="240" w:lineRule="auto"/>
              <w:jc w:val="center"/>
              <w:rPr>
                <w:i/>
                <w:color w:val="000000"/>
                <w:sz w:val="18"/>
                <w:szCs w:val="18"/>
              </w:rPr>
            </w:pPr>
            <w:r w:rsidRPr="00D33491">
              <w:rPr>
                <w:i/>
                <w:color w:val="000000"/>
                <w:sz w:val="16"/>
                <w:szCs w:val="16"/>
              </w:rPr>
              <w:t>3 (1.2%)</w:t>
            </w:r>
          </w:p>
        </w:tc>
        <w:tc>
          <w:tcPr>
            <w:tcW w:w="1474" w:type="dxa"/>
            <w:vAlign w:val="center"/>
          </w:tcPr>
          <w:p w14:paraId="6F6CA22A" w14:textId="6744A12C" w:rsidR="004723AE" w:rsidRPr="00D33491" w:rsidRDefault="004723AE" w:rsidP="002418FB">
            <w:pPr>
              <w:spacing w:after="0" w:line="240" w:lineRule="auto"/>
              <w:jc w:val="center"/>
              <w:rPr>
                <w:i/>
                <w:color w:val="000000"/>
                <w:sz w:val="18"/>
                <w:szCs w:val="18"/>
              </w:rPr>
            </w:pPr>
            <w:r w:rsidRPr="00D33491">
              <w:rPr>
                <w:i/>
                <w:color w:val="000000"/>
                <w:sz w:val="16"/>
                <w:szCs w:val="16"/>
              </w:rPr>
              <w:t>5 (1.0%)</w:t>
            </w:r>
          </w:p>
        </w:tc>
      </w:tr>
      <w:tr w:rsidR="004723AE" w14:paraId="5740B872" w14:textId="77777777" w:rsidTr="0047771E">
        <w:trPr>
          <w:trHeight w:val="283"/>
        </w:trPr>
        <w:tc>
          <w:tcPr>
            <w:tcW w:w="3969" w:type="dxa"/>
            <w:vAlign w:val="center"/>
          </w:tcPr>
          <w:p w14:paraId="2F25526B" w14:textId="7CA429CB" w:rsidR="004723AE" w:rsidRPr="00D33491" w:rsidRDefault="00D33491" w:rsidP="002418FB">
            <w:pPr>
              <w:spacing w:after="0" w:line="240" w:lineRule="auto"/>
              <w:jc w:val="left"/>
              <w:rPr>
                <w:i/>
                <w:color w:val="000000"/>
                <w:sz w:val="18"/>
                <w:szCs w:val="18"/>
              </w:rPr>
            </w:pPr>
            <w:r w:rsidRPr="00D33491">
              <w:rPr>
                <w:i/>
                <w:color w:val="000000"/>
                <w:sz w:val="16"/>
                <w:szCs w:val="16"/>
              </w:rPr>
              <w:t xml:space="preserve">- </w:t>
            </w:r>
            <w:r w:rsidR="004723AE" w:rsidRPr="00D33491">
              <w:rPr>
                <w:i/>
                <w:color w:val="000000"/>
                <w:sz w:val="16"/>
                <w:szCs w:val="16"/>
              </w:rPr>
              <w:t>IMP administration dosing schedule</w:t>
            </w:r>
          </w:p>
        </w:tc>
        <w:tc>
          <w:tcPr>
            <w:tcW w:w="1701" w:type="dxa"/>
            <w:vAlign w:val="center"/>
          </w:tcPr>
          <w:p w14:paraId="45D7940F" w14:textId="35262AC7" w:rsidR="004723AE" w:rsidRPr="00D33491" w:rsidRDefault="004723AE" w:rsidP="002418FB">
            <w:pPr>
              <w:spacing w:after="0" w:line="240" w:lineRule="auto"/>
              <w:jc w:val="center"/>
              <w:rPr>
                <w:i/>
                <w:color w:val="000000"/>
                <w:sz w:val="18"/>
                <w:szCs w:val="18"/>
              </w:rPr>
            </w:pPr>
            <w:r w:rsidRPr="00D33491">
              <w:rPr>
                <w:i/>
                <w:color w:val="000000"/>
                <w:sz w:val="16"/>
                <w:szCs w:val="16"/>
              </w:rPr>
              <w:t>4 (1.6%)</w:t>
            </w:r>
          </w:p>
        </w:tc>
        <w:tc>
          <w:tcPr>
            <w:tcW w:w="1560" w:type="dxa"/>
            <w:vAlign w:val="center"/>
          </w:tcPr>
          <w:p w14:paraId="7A57DE56" w14:textId="1443F242" w:rsidR="004723AE" w:rsidRPr="00D33491" w:rsidRDefault="004723AE" w:rsidP="002418FB">
            <w:pPr>
              <w:spacing w:after="0" w:line="240" w:lineRule="auto"/>
              <w:jc w:val="center"/>
              <w:rPr>
                <w:i/>
                <w:color w:val="000000"/>
                <w:sz w:val="18"/>
                <w:szCs w:val="18"/>
              </w:rPr>
            </w:pPr>
            <w:r w:rsidRPr="00D33491">
              <w:rPr>
                <w:i/>
                <w:color w:val="000000"/>
                <w:sz w:val="16"/>
                <w:szCs w:val="16"/>
              </w:rPr>
              <w:t>1 (0.4%)</w:t>
            </w:r>
          </w:p>
        </w:tc>
        <w:tc>
          <w:tcPr>
            <w:tcW w:w="1474" w:type="dxa"/>
            <w:vAlign w:val="center"/>
          </w:tcPr>
          <w:p w14:paraId="17F96FBF" w14:textId="0DB178EA" w:rsidR="004723AE" w:rsidRPr="00D33491" w:rsidRDefault="004723AE" w:rsidP="002418FB">
            <w:pPr>
              <w:spacing w:after="0" w:line="240" w:lineRule="auto"/>
              <w:jc w:val="center"/>
              <w:rPr>
                <w:i/>
                <w:color w:val="000000"/>
                <w:sz w:val="18"/>
                <w:szCs w:val="18"/>
              </w:rPr>
            </w:pPr>
            <w:r w:rsidRPr="00D33491">
              <w:rPr>
                <w:i/>
                <w:color w:val="000000"/>
                <w:sz w:val="16"/>
                <w:szCs w:val="16"/>
              </w:rPr>
              <w:t>5 (1.0%)</w:t>
            </w:r>
          </w:p>
        </w:tc>
      </w:tr>
      <w:tr w:rsidR="004723AE" w14:paraId="1B529695" w14:textId="77777777" w:rsidTr="0047771E">
        <w:trPr>
          <w:trHeight w:val="415"/>
        </w:trPr>
        <w:tc>
          <w:tcPr>
            <w:tcW w:w="3969" w:type="dxa"/>
            <w:vAlign w:val="center"/>
          </w:tcPr>
          <w:p w14:paraId="60C46F17" w14:textId="52121FEB" w:rsidR="004723AE" w:rsidRPr="00D33491" w:rsidRDefault="00D33491" w:rsidP="002418FB">
            <w:pPr>
              <w:spacing w:after="0" w:line="240" w:lineRule="auto"/>
              <w:jc w:val="left"/>
              <w:rPr>
                <w:i/>
                <w:color w:val="000000"/>
                <w:sz w:val="18"/>
                <w:szCs w:val="18"/>
              </w:rPr>
            </w:pPr>
            <w:r w:rsidRPr="00D33491">
              <w:rPr>
                <w:i/>
                <w:color w:val="000000"/>
                <w:sz w:val="16"/>
                <w:szCs w:val="16"/>
              </w:rPr>
              <w:t xml:space="preserve">- </w:t>
            </w:r>
            <w:r w:rsidR="004723AE" w:rsidRPr="00D33491">
              <w:rPr>
                <w:i/>
                <w:color w:val="000000"/>
                <w:sz w:val="16"/>
                <w:szCs w:val="16"/>
              </w:rPr>
              <w:t>IMP not administered but randomization completed</w:t>
            </w:r>
          </w:p>
        </w:tc>
        <w:tc>
          <w:tcPr>
            <w:tcW w:w="1701" w:type="dxa"/>
            <w:vAlign w:val="center"/>
          </w:tcPr>
          <w:p w14:paraId="6AE6A4BD" w14:textId="60F6AD6A" w:rsidR="004723AE" w:rsidRPr="00D33491" w:rsidRDefault="004723AE" w:rsidP="002418FB">
            <w:pPr>
              <w:spacing w:after="0" w:line="240" w:lineRule="auto"/>
              <w:jc w:val="center"/>
              <w:rPr>
                <w:i/>
                <w:color w:val="000000"/>
                <w:sz w:val="18"/>
                <w:szCs w:val="18"/>
              </w:rPr>
            </w:pPr>
            <w:r w:rsidRPr="00D33491">
              <w:rPr>
                <w:i/>
                <w:color w:val="000000"/>
                <w:sz w:val="16"/>
                <w:szCs w:val="16"/>
              </w:rPr>
              <w:t>1 (0.4%)</w:t>
            </w:r>
          </w:p>
        </w:tc>
        <w:tc>
          <w:tcPr>
            <w:tcW w:w="1560" w:type="dxa"/>
            <w:vAlign w:val="center"/>
          </w:tcPr>
          <w:p w14:paraId="2D4AC944" w14:textId="7267ABD3" w:rsidR="004723AE" w:rsidRPr="00D33491" w:rsidRDefault="004723AE" w:rsidP="002418FB">
            <w:pPr>
              <w:spacing w:after="0" w:line="240" w:lineRule="auto"/>
              <w:jc w:val="center"/>
              <w:rPr>
                <w:i/>
                <w:color w:val="000000"/>
                <w:sz w:val="18"/>
                <w:szCs w:val="18"/>
              </w:rPr>
            </w:pPr>
            <w:r w:rsidRPr="00D33491">
              <w:rPr>
                <w:i/>
                <w:color w:val="000000"/>
                <w:sz w:val="16"/>
                <w:szCs w:val="16"/>
              </w:rPr>
              <w:t>2 (0.8%)</w:t>
            </w:r>
          </w:p>
        </w:tc>
        <w:tc>
          <w:tcPr>
            <w:tcW w:w="1474" w:type="dxa"/>
            <w:vAlign w:val="center"/>
          </w:tcPr>
          <w:p w14:paraId="2918110B" w14:textId="0E37A236" w:rsidR="004723AE" w:rsidRPr="00D33491" w:rsidRDefault="004723AE" w:rsidP="002418FB">
            <w:pPr>
              <w:spacing w:after="0" w:line="240" w:lineRule="auto"/>
              <w:jc w:val="center"/>
              <w:rPr>
                <w:i/>
                <w:color w:val="000000"/>
                <w:sz w:val="18"/>
                <w:szCs w:val="18"/>
              </w:rPr>
            </w:pPr>
            <w:r w:rsidRPr="00D33491">
              <w:rPr>
                <w:i/>
                <w:color w:val="000000"/>
                <w:sz w:val="16"/>
                <w:szCs w:val="16"/>
              </w:rPr>
              <w:t>3 (0.6%)</w:t>
            </w:r>
          </w:p>
        </w:tc>
      </w:tr>
      <w:tr w:rsidR="004723AE" w14:paraId="03FB7EF3" w14:textId="77777777" w:rsidTr="0047771E">
        <w:trPr>
          <w:trHeight w:val="323"/>
        </w:trPr>
        <w:tc>
          <w:tcPr>
            <w:tcW w:w="3969" w:type="dxa"/>
            <w:vAlign w:val="center"/>
          </w:tcPr>
          <w:p w14:paraId="6B71DD90" w14:textId="3A98FC25" w:rsidR="004723AE" w:rsidRPr="00D33491" w:rsidRDefault="00D33491" w:rsidP="002418FB">
            <w:pPr>
              <w:spacing w:after="0" w:line="240" w:lineRule="auto"/>
              <w:jc w:val="left"/>
              <w:rPr>
                <w:i/>
                <w:color w:val="000000"/>
                <w:sz w:val="18"/>
                <w:szCs w:val="18"/>
              </w:rPr>
            </w:pPr>
            <w:r w:rsidRPr="00D33491">
              <w:rPr>
                <w:i/>
                <w:color w:val="000000"/>
                <w:sz w:val="16"/>
                <w:szCs w:val="16"/>
              </w:rPr>
              <w:t xml:space="preserve">- </w:t>
            </w:r>
            <w:r w:rsidR="004723AE" w:rsidRPr="00D33491">
              <w:rPr>
                <w:i/>
                <w:color w:val="000000"/>
                <w:sz w:val="16"/>
                <w:szCs w:val="16"/>
              </w:rPr>
              <w:t>No baseline tumor assessment</w:t>
            </w:r>
          </w:p>
        </w:tc>
        <w:tc>
          <w:tcPr>
            <w:tcW w:w="1701" w:type="dxa"/>
            <w:vAlign w:val="center"/>
          </w:tcPr>
          <w:p w14:paraId="0A4DC342" w14:textId="20AF6AE9" w:rsidR="004723AE" w:rsidRPr="00D33491" w:rsidRDefault="004723AE" w:rsidP="002418FB">
            <w:pPr>
              <w:spacing w:after="0" w:line="240" w:lineRule="auto"/>
              <w:jc w:val="center"/>
              <w:rPr>
                <w:i/>
                <w:color w:val="000000"/>
                <w:sz w:val="18"/>
                <w:szCs w:val="18"/>
              </w:rPr>
            </w:pPr>
            <w:r w:rsidRPr="00D33491">
              <w:rPr>
                <w:i/>
                <w:color w:val="000000"/>
                <w:sz w:val="16"/>
                <w:szCs w:val="16"/>
              </w:rPr>
              <w:t>1 (0.4%)</w:t>
            </w:r>
          </w:p>
        </w:tc>
        <w:tc>
          <w:tcPr>
            <w:tcW w:w="1560" w:type="dxa"/>
            <w:vAlign w:val="center"/>
          </w:tcPr>
          <w:p w14:paraId="64486010" w14:textId="04A541D8" w:rsidR="004723AE" w:rsidRPr="00D33491" w:rsidRDefault="004723AE" w:rsidP="002418FB">
            <w:pPr>
              <w:spacing w:after="0" w:line="240" w:lineRule="auto"/>
              <w:jc w:val="center"/>
              <w:rPr>
                <w:i/>
                <w:color w:val="000000"/>
                <w:sz w:val="18"/>
                <w:szCs w:val="18"/>
              </w:rPr>
            </w:pPr>
            <w:r w:rsidRPr="00D33491">
              <w:rPr>
                <w:i/>
                <w:color w:val="000000"/>
                <w:sz w:val="16"/>
                <w:szCs w:val="16"/>
              </w:rPr>
              <w:t>2 (0.8%)</w:t>
            </w:r>
          </w:p>
        </w:tc>
        <w:tc>
          <w:tcPr>
            <w:tcW w:w="1474" w:type="dxa"/>
            <w:vAlign w:val="center"/>
          </w:tcPr>
          <w:p w14:paraId="479A42A5" w14:textId="52DB9CBC" w:rsidR="004723AE" w:rsidRPr="00D33491" w:rsidRDefault="004723AE" w:rsidP="002418FB">
            <w:pPr>
              <w:spacing w:after="0" w:line="240" w:lineRule="auto"/>
              <w:jc w:val="center"/>
              <w:rPr>
                <w:i/>
                <w:color w:val="000000"/>
                <w:sz w:val="18"/>
                <w:szCs w:val="18"/>
              </w:rPr>
            </w:pPr>
            <w:r w:rsidRPr="00D33491">
              <w:rPr>
                <w:i/>
                <w:color w:val="000000"/>
                <w:sz w:val="16"/>
                <w:szCs w:val="16"/>
              </w:rPr>
              <w:t>3 (0.6%)</w:t>
            </w:r>
          </w:p>
        </w:tc>
      </w:tr>
      <w:tr w:rsidR="004723AE" w14:paraId="004E9C5E" w14:textId="77777777" w:rsidTr="0047771E">
        <w:trPr>
          <w:trHeight w:val="383"/>
        </w:trPr>
        <w:tc>
          <w:tcPr>
            <w:tcW w:w="3969" w:type="dxa"/>
            <w:vAlign w:val="center"/>
          </w:tcPr>
          <w:p w14:paraId="43E4E389" w14:textId="25943A31" w:rsidR="004723AE" w:rsidRPr="00D33491" w:rsidRDefault="00D33491" w:rsidP="002418FB">
            <w:pPr>
              <w:spacing w:after="0" w:line="240" w:lineRule="auto"/>
              <w:jc w:val="left"/>
              <w:rPr>
                <w:i/>
                <w:color w:val="000000"/>
                <w:sz w:val="18"/>
                <w:szCs w:val="18"/>
              </w:rPr>
            </w:pPr>
            <w:r w:rsidRPr="00D33491">
              <w:rPr>
                <w:i/>
                <w:color w:val="000000"/>
                <w:sz w:val="16"/>
                <w:szCs w:val="16"/>
              </w:rPr>
              <w:t xml:space="preserve">- </w:t>
            </w:r>
            <w:r w:rsidR="004723AE" w:rsidRPr="00D33491">
              <w:rPr>
                <w:i/>
                <w:color w:val="000000"/>
                <w:sz w:val="16"/>
                <w:szCs w:val="16"/>
              </w:rPr>
              <w:t>Tumor lesion must have ER+ Her2-</w:t>
            </w:r>
          </w:p>
        </w:tc>
        <w:tc>
          <w:tcPr>
            <w:tcW w:w="1701" w:type="dxa"/>
            <w:vAlign w:val="center"/>
          </w:tcPr>
          <w:p w14:paraId="3EF9E68C" w14:textId="28310F74" w:rsidR="004723AE" w:rsidRPr="00D33491" w:rsidRDefault="004723AE" w:rsidP="002418FB">
            <w:pPr>
              <w:spacing w:after="0" w:line="240" w:lineRule="auto"/>
              <w:jc w:val="center"/>
              <w:rPr>
                <w:i/>
                <w:color w:val="000000"/>
                <w:sz w:val="18"/>
                <w:szCs w:val="18"/>
              </w:rPr>
            </w:pPr>
            <w:r w:rsidRPr="00D33491">
              <w:rPr>
                <w:i/>
                <w:color w:val="000000"/>
                <w:sz w:val="16"/>
                <w:szCs w:val="16"/>
              </w:rPr>
              <w:t>1 (0.4%)</w:t>
            </w:r>
          </w:p>
        </w:tc>
        <w:tc>
          <w:tcPr>
            <w:tcW w:w="1560" w:type="dxa"/>
            <w:vAlign w:val="center"/>
          </w:tcPr>
          <w:p w14:paraId="140E524B" w14:textId="7D2A950D" w:rsidR="004723AE" w:rsidRPr="00D33491" w:rsidRDefault="004723AE" w:rsidP="002418FB">
            <w:pPr>
              <w:spacing w:after="0" w:line="240" w:lineRule="auto"/>
              <w:jc w:val="center"/>
              <w:rPr>
                <w:i/>
                <w:color w:val="000000"/>
                <w:sz w:val="18"/>
                <w:szCs w:val="18"/>
              </w:rPr>
            </w:pPr>
            <w:r w:rsidRPr="00D33491">
              <w:rPr>
                <w:i/>
                <w:color w:val="000000"/>
                <w:sz w:val="16"/>
                <w:szCs w:val="16"/>
              </w:rPr>
              <w:t>0 (0.0%)</w:t>
            </w:r>
          </w:p>
        </w:tc>
        <w:tc>
          <w:tcPr>
            <w:tcW w:w="1474" w:type="dxa"/>
            <w:vAlign w:val="center"/>
          </w:tcPr>
          <w:p w14:paraId="0477BB07" w14:textId="65A5119A" w:rsidR="004723AE" w:rsidRPr="00D33491" w:rsidRDefault="004723AE" w:rsidP="002418FB">
            <w:pPr>
              <w:spacing w:after="0" w:line="240" w:lineRule="auto"/>
              <w:jc w:val="center"/>
              <w:rPr>
                <w:i/>
                <w:color w:val="000000"/>
                <w:sz w:val="18"/>
                <w:szCs w:val="18"/>
              </w:rPr>
            </w:pPr>
            <w:r w:rsidRPr="00D33491">
              <w:rPr>
                <w:i/>
                <w:color w:val="000000"/>
                <w:sz w:val="16"/>
                <w:szCs w:val="16"/>
              </w:rPr>
              <w:t>1 (0.2%)</w:t>
            </w:r>
          </w:p>
        </w:tc>
      </w:tr>
      <w:tr w:rsidR="004723AE" w14:paraId="3051DF50" w14:textId="77777777" w:rsidTr="00092882">
        <w:trPr>
          <w:trHeight w:val="319"/>
        </w:trPr>
        <w:tc>
          <w:tcPr>
            <w:tcW w:w="3969" w:type="dxa"/>
            <w:vAlign w:val="center"/>
          </w:tcPr>
          <w:p w14:paraId="6E3023E0" w14:textId="67E4B814" w:rsidR="004723AE" w:rsidRPr="00D33491" w:rsidRDefault="00D33491" w:rsidP="002418FB">
            <w:pPr>
              <w:spacing w:after="0" w:line="240" w:lineRule="auto"/>
              <w:jc w:val="left"/>
              <w:rPr>
                <w:i/>
                <w:color w:val="000000"/>
                <w:sz w:val="18"/>
                <w:szCs w:val="18"/>
              </w:rPr>
            </w:pPr>
            <w:r w:rsidRPr="00D33491">
              <w:rPr>
                <w:i/>
                <w:color w:val="000000"/>
                <w:sz w:val="16"/>
                <w:szCs w:val="16"/>
              </w:rPr>
              <w:t xml:space="preserve">- </w:t>
            </w:r>
            <w:r w:rsidR="004723AE" w:rsidRPr="00D33491">
              <w:rPr>
                <w:i/>
                <w:color w:val="000000"/>
                <w:sz w:val="16"/>
                <w:szCs w:val="16"/>
              </w:rPr>
              <w:t>Adequate organ function</w:t>
            </w:r>
          </w:p>
        </w:tc>
        <w:tc>
          <w:tcPr>
            <w:tcW w:w="1701" w:type="dxa"/>
            <w:vAlign w:val="center"/>
          </w:tcPr>
          <w:p w14:paraId="47DD3672" w14:textId="28735859" w:rsidR="004723AE" w:rsidRPr="00D33491" w:rsidRDefault="004723AE" w:rsidP="002418FB">
            <w:pPr>
              <w:spacing w:after="0" w:line="240" w:lineRule="auto"/>
              <w:jc w:val="center"/>
              <w:rPr>
                <w:i/>
                <w:color w:val="000000"/>
                <w:sz w:val="18"/>
                <w:szCs w:val="18"/>
              </w:rPr>
            </w:pPr>
            <w:r w:rsidRPr="00D33491">
              <w:rPr>
                <w:i/>
                <w:color w:val="000000"/>
                <w:sz w:val="16"/>
                <w:szCs w:val="16"/>
              </w:rPr>
              <w:t>1 (0.4%)</w:t>
            </w:r>
          </w:p>
        </w:tc>
        <w:tc>
          <w:tcPr>
            <w:tcW w:w="1560" w:type="dxa"/>
            <w:vAlign w:val="center"/>
          </w:tcPr>
          <w:p w14:paraId="0C7E86D0" w14:textId="6C1110F1" w:rsidR="004723AE" w:rsidRPr="00D33491" w:rsidRDefault="004723AE" w:rsidP="002418FB">
            <w:pPr>
              <w:spacing w:after="0" w:line="240" w:lineRule="auto"/>
              <w:jc w:val="center"/>
              <w:rPr>
                <w:i/>
                <w:color w:val="000000"/>
                <w:sz w:val="18"/>
                <w:szCs w:val="18"/>
              </w:rPr>
            </w:pPr>
            <w:r w:rsidRPr="00D33491">
              <w:rPr>
                <w:i/>
                <w:color w:val="000000"/>
                <w:sz w:val="16"/>
                <w:szCs w:val="16"/>
              </w:rPr>
              <w:t>0 (0.0%)</w:t>
            </w:r>
          </w:p>
        </w:tc>
        <w:tc>
          <w:tcPr>
            <w:tcW w:w="1474" w:type="dxa"/>
            <w:vAlign w:val="center"/>
          </w:tcPr>
          <w:p w14:paraId="6D069368" w14:textId="65C3D9BF" w:rsidR="004723AE" w:rsidRPr="00D33491" w:rsidRDefault="004723AE" w:rsidP="002418FB">
            <w:pPr>
              <w:spacing w:after="0" w:line="240" w:lineRule="auto"/>
              <w:jc w:val="center"/>
              <w:rPr>
                <w:i/>
                <w:color w:val="000000"/>
                <w:sz w:val="18"/>
                <w:szCs w:val="18"/>
              </w:rPr>
            </w:pPr>
            <w:r w:rsidRPr="00D33491">
              <w:rPr>
                <w:i/>
                <w:color w:val="000000"/>
                <w:sz w:val="16"/>
                <w:szCs w:val="16"/>
              </w:rPr>
              <w:t>1 (0.2%)</w:t>
            </w:r>
          </w:p>
        </w:tc>
      </w:tr>
      <w:tr w:rsidR="004723AE" w14:paraId="48A30DDF" w14:textId="77777777" w:rsidTr="0047771E">
        <w:trPr>
          <w:trHeight w:val="393"/>
        </w:trPr>
        <w:tc>
          <w:tcPr>
            <w:tcW w:w="3969" w:type="dxa"/>
            <w:vAlign w:val="center"/>
          </w:tcPr>
          <w:p w14:paraId="28FB7B0D" w14:textId="6C29CB01" w:rsidR="004723AE" w:rsidRPr="00D33491" w:rsidRDefault="00D33491" w:rsidP="002418FB">
            <w:pPr>
              <w:spacing w:after="0" w:line="240" w:lineRule="auto"/>
              <w:jc w:val="left"/>
              <w:rPr>
                <w:i/>
                <w:color w:val="000000"/>
                <w:sz w:val="18"/>
                <w:szCs w:val="18"/>
              </w:rPr>
            </w:pPr>
            <w:r w:rsidRPr="00D33491">
              <w:rPr>
                <w:i/>
                <w:color w:val="000000"/>
                <w:sz w:val="16"/>
                <w:szCs w:val="16"/>
              </w:rPr>
              <w:t xml:space="preserve">- </w:t>
            </w:r>
            <w:r w:rsidR="004723AE" w:rsidRPr="00D33491">
              <w:rPr>
                <w:i/>
                <w:color w:val="000000"/>
                <w:sz w:val="16"/>
                <w:szCs w:val="16"/>
              </w:rPr>
              <w:t>No other malignancies within 5 last years</w:t>
            </w:r>
          </w:p>
        </w:tc>
        <w:tc>
          <w:tcPr>
            <w:tcW w:w="1701" w:type="dxa"/>
            <w:vAlign w:val="center"/>
          </w:tcPr>
          <w:p w14:paraId="52AC6CF3" w14:textId="07C0459B" w:rsidR="004723AE" w:rsidRPr="00D33491" w:rsidRDefault="004723AE" w:rsidP="002418FB">
            <w:pPr>
              <w:spacing w:after="0" w:line="240" w:lineRule="auto"/>
              <w:jc w:val="center"/>
              <w:rPr>
                <w:i/>
                <w:color w:val="000000"/>
                <w:sz w:val="18"/>
                <w:szCs w:val="18"/>
              </w:rPr>
            </w:pPr>
            <w:r w:rsidRPr="00D33491">
              <w:rPr>
                <w:i/>
                <w:color w:val="000000"/>
                <w:sz w:val="16"/>
                <w:szCs w:val="16"/>
              </w:rPr>
              <w:t>1 (0.4%)</w:t>
            </w:r>
          </w:p>
        </w:tc>
        <w:tc>
          <w:tcPr>
            <w:tcW w:w="1560" w:type="dxa"/>
            <w:vAlign w:val="center"/>
          </w:tcPr>
          <w:p w14:paraId="3BDC8E34" w14:textId="763B023A" w:rsidR="004723AE" w:rsidRPr="00D33491" w:rsidRDefault="004723AE" w:rsidP="002418FB">
            <w:pPr>
              <w:spacing w:after="0" w:line="240" w:lineRule="auto"/>
              <w:jc w:val="center"/>
              <w:rPr>
                <w:i/>
                <w:color w:val="000000"/>
                <w:sz w:val="18"/>
                <w:szCs w:val="18"/>
              </w:rPr>
            </w:pPr>
            <w:r w:rsidRPr="00D33491">
              <w:rPr>
                <w:i/>
                <w:color w:val="000000"/>
                <w:sz w:val="16"/>
                <w:szCs w:val="16"/>
              </w:rPr>
              <w:t>0 (0.0%)</w:t>
            </w:r>
          </w:p>
        </w:tc>
        <w:tc>
          <w:tcPr>
            <w:tcW w:w="1474" w:type="dxa"/>
            <w:vAlign w:val="center"/>
          </w:tcPr>
          <w:p w14:paraId="17483843" w14:textId="50D170BE" w:rsidR="004723AE" w:rsidRPr="00D33491" w:rsidRDefault="004723AE" w:rsidP="002418FB">
            <w:pPr>
              <w:spacing w:after="0" w:line="240" w:lineRule="auto"/>
              <w:jc w:val="center"/>
              <w:rPr>
                <w:i/>
                <w:color w:val="000000"/>
                <w:sz w:val="18"/>
                <w:szCs w:val="18"/>
              </w:rPr>
            </w:pPr>
            <w:r w:rsidRPr="00D33491">
              <w:rPr>
                <w:i/>
                <w:color w:val="000000"/>
                <w:sz w:val="16"/>
                <w:szCs w:val="16"/>
              </w:rPr>
              <w:t>1 (0.2%)</w:t>
            </w:r>
          </w:p>
        </w:tc>
      </w:tr>
      <w:tr w:rsidR="004723AE" w14:paraId="2B557C02" w14:textId="77777777" w:rsidTr="0047771E">
        <w:trPr>
          <w:trHeight w:val="440"/>
        </w:trPr>
        <w:tc>
          <w:tcPr>
            <w:tcW w:w="3969" w:type="dxa"/>
            <w:vAlign w:val="center"/>
          </w:tcPr>
          <w:p w14:paraId="45C47305" w14:textId="56751AF6" w:rsidR="004723AE" w:rsidRPr="00D33491" w:rsidRDefault="00D33491" w:rsidP="002418FB">
            <w:pPr>
              <w:spacing w:after="0" w:line="240" w:lineRule="auto"/>
              <w:jc w:val="left"/>
              <w:rPr>
                <w:i/>
                <w:color w:val="000000"/>
                <w:sz w:val="18"/>
                <w:szCs w:val="18"/>
              </w:rPr>
            </w:pPr>
            <w:r w:rsidRPr="00D33491">
              <w:rPr>
                <w:i/>
                <w:color w:val="000000"/>
                <w:sz w:val="16"/>
                <w:szCs w:val="16"/>
              </w:rPr>
              <w:t xml:space="preserve">- </w:t>
            </w:r>
            <w:r w:rsidR="004723AE" w:rsidRPr="00D33491">
              <w:rPr>
                <w:i/>
                <w:color w:val="000000"/>
                <w:sz w:val="16"/>
                <w:szCs w:val="16"/>
              </w:rPr>
              <w:t>IMP administered not corresponding to randomization arm</w:t>
            </w:r>
          </w:p>
        </w:tc>
        <w:tc>
          <w:tcPr>
            <w:tcW w:w="1701" w:type="dxa"/>
            <w:vAlign w:val="center"/>
          </w:tcPr>
          <w:p w14:paraId="1C7D53C5" w14:textId="3FC2A6DA" w:rsidR="004723AE" w:rsidRPr="00D33491" w:rsidRDefault="004723AE" w:rsidP="002418FB">
            <w:pPr>
              <w:spacing w:after="0" w:line="240" w:lineRule="auto"/>
              <w:jc w:val="center"/>
              <w:rPr>
                <w:i/>
                <w:color w:val="000000"/>
                <w:sz w:val="18"/>
                <w:szCs w:val="18"/>
              </w:rPr>
            </w:pPr>
            <w:r w:rsidRPr="00D33491">
              <w:rPr>
                <w:i/>
                <w:color w:val="000000"/>
                <w:sz w:val="16"/>
                <w:szCs w:val="16"/>
              </w:rPr>
              <w:t>1 (0.4%)</w:t>
            </w:r>
          </w:p>
        </w:tc>
        <w:tc>
          <w:tcPr>
            <w:tcW w:w="1560" w:type="dxa"/>
            <w:vAlign w:val="center"/>
          </w:tcPr>
          <w:p w14:paraId="0F0374F3" w14:textId="2987E2C5" w:rsidR="004723AE" w:rsidRPr="00D33491" w:rsidRDefault="004723AE" w:rsidP="002418FB">
            <w:pPr>
              <w:spacing w:after="0" w:line="240" w:lineRule="auto"/>
              <w:jc w:val="center"/>
              <w:rPr>
                <w:i/>
                <w:color w:val="000000"/>
                <w:sz w:val="18"/>
                <w:szCs w:val="18"/>
              </w:rPr>
            </w:pPr>
            <w:r w:rsidRPr="00D33491">
              <w:rPr>
                <w:i/>
                <w:color w:val="000000"/>
                <w:sz w:val="16"/>
                <w:szCs w:val="16"/>
              </w:rPr>
              <w:t>0 (0.0%)</w:t>
            </w:r>
          </w:p>
        </w:tc>
        <w:tc>
          <w:tcPr>
            <w:tcW w:w="1474" w:type="dxa"/>
            <w:vAlign w:val="center"/>
          </w:tcPr>
          <w:p w14:paraId="12AA5397" w14:textId="5D1376C8" w:rsidR="004723AE" w:rsidRPr="00D33491" w:rsidRDefault="004723AE" w:rsidP="002418FB">
            <w:pPr>
              <w:spacing w:after="0" w:line="240" w:lineRule="auto"/>
              <w:jc w:val="center"/>
              <w:rPr>
                <w:i/>
                <w:color w:val="000000"/>
                <w:sz w:val="18"/>
                <w:szCs w:val="18"/>
              </w:rPr>
            </w:pPr>
            <w:r w:rsidRPr="00D33491">
              <w:rPr>
                <w:i/>
                <w:color w:val="000000"/>
                <w:sz w:val="16"/>
                <w:szCs w:val="16"/>
              </w:rPr>
              <w:t>1 (0.2%)</w:t>
            </w:r>
          </w:p>
        </w:tc>
      </w:tr>
      <w:tr w:rsidR="004723AE" w14:paraId="59C33859" w14:textId="77777777" w:rsidTr="0047771E">
        <w:trPr>
          <w:trHeight w:val="419"/>
        </w:trPr>
        <w:tc>
          <w:tcPr>
            <w:tcW w:w="3969" w:type="dxa"/>
            <w:vAlign w:val="center"/>
          </w:tcPr>
          <w:p w14:paraId="2A81B4BE" w14:textId="07957A8D" w:rsidR="004723AE" w:rsidRPr="00D33491" w:rsidRDefault="00D33491" w:rsidP="002418FB">
            <w:pPr>
              <w:spacing w:after="0" w:line="240" w:lineRule="auto"/>
              <w:jc w:val="left"/>
              <w:rPr>
                <w:i/>
                <w:color w:val="000000"/>
                <w:sz w:val="18"/>
                <w:szCs w:val="18"/>
              </w:rPr>
            </w:pPr>
            <w:r w:rsidRPr="00D33491">
              <w:rPr>
                <w:i/>
                <w:color w:val="000000"/>
                <w:sz w:val="16"/>
                <w:szCs w:val="16"/>
              </w:rPr>
              <w:t xml:space="preserve">- </w:t>
            </w:r>
            <w:r w:rsidR="004723AE" w:rsidRPr="00D33491">
              <w:rPr>
                <w:i/>
                <w:color w:val="000000"/>
                <w:sz w:val="16"/>
                <w:szCs w:val="16"/>
              </w:rPr>
              <w:t>Prohibited medication was taken</w:t>
            </w:r>
          </w:p>
        </w:tc>
        <w:tc>
          <w:tcPr>
            <w:tcW w:w="1701" w:type="dxa"/>
            <w:vAlign w:val="center"/>
          </w:tcPr>
          <w:p w14:paraId="4CFFB7C3" w14:textId="53B82D5B" w:rsidR="004723AE" w:rsidRPr="00D33491" w:rsidRDefault="004723AE" w:rsidP="002418FB">
            <w:pPr>
              <w:spacing w:after="0" w:line="240" w:lineRule="auto"/>
              <w:jc w:val="center"/>
              <w:rPr>
                <w:i/>
                <w:color w:val="000000"/>
                <w:sz w:val="18"/>
                <w:szCs w:val="18"/>
              </w:rPr>
            </w:pPr>
            <w:r w:rsidRPr="00D33491">
              <w:rPr>
                <w:i/>
                <w:color w:val="000000"/>
                <w:sz w:val="16"/>
                <w:szCs w:val="16"/>
              </w:rPr>
              <w:t>1 (0.4%)</w:t>
            </w:r>
          </w:p>
        </w:tc>
        <w:tc>
          <w:tcPr>
            <w:tcW w:w="1560" w:type="dxa"/>
            <w:vAlign w:val="center"/>
          </w:tcPr>
          <w:p w14:paraId="09398C69" w14:textId="5BB0E388" w:rsidR="004723AE" w:rsidRPr="00D33491" w:rsidRDefault="004723AE" w:rsidP="002418FB">
            <w:pPr>
              <w:spacing w:after="0" w:line="240" w:lineRule="auto"/>
              <w:jc w:val="center"/>
              <w:rPr>
                <w:i/>
                <w:color w:val="000000"/>
                <w:sz w:val="18"/>
                <w:szCs w:val="18"/>
              </w:rPr>
            </w:pPr>
            <w:r w:rsidRPr="00D33491">
              <w:rPr>
                <w:i/>
                <w:color w:val="000000"/>
                <w:sz w:val="16"/>
                <w:szCs w:val="16"/>
              </w:rPr>
              <w:t>0 (0.0%)</w:t>
            </w:r>
          </w:p>
        </w:tc>
        <w:tc>
          <w:tcPr>
            <w:tcW w:w="1474" w:type="dxa"/>
            <w:vAlign w:val="center"/>
          </w:tcPr>
          <w:p w14:paraId="7FCC4014" w14:textId="2C15D2B1" w:rsidR="004723AE" w:rsidRPr="00D33491" w:rsidRDefault="004723AE" w:rsidP="002418FB">
            <w:pPr>
              <w:spacing w:after="0" w:line="240" w:lineRule="auto"/>
              <w:jc w:val="center"/>
              <w:rPr>
                <w:i/>
                <w:color w:val="000000"/>
                <w:sz w:val="18"/>
                <w:szCs w:val="18"/>
              </w:rPr>
            </w:pPr>
            <w:r w:rsidRPr="00D33491">
              <w:rPr>
                <w:i/>
                <w:color w:val="000000"/>
                <w:sz w:val="16"/>
                <w:szCs w:val="16"/>
              </w:rPr>
              <w:t>1 (0.2%)</w:t>
            </w:r>
          </w:p>
        </w:tc>
      </w:tr>
      <w:tr w:rsidR="004723AE" w14:paraId="12858B16" w14:textId="77777777" w:rsidTr="0047771E">
        <w:trPr>
          <w:trHeight w:val="283"/>
        </w:trPr>
        <w:tc>
          <w:tcPr>
            <w:tcW w:w="3969" w:type="dxa"/>
            <w:vAlign w:val="center"/>
          </w:tcPr>
          <w:p w14:paraId="2253B49F" w14:textId="373B6156" w:rsidR="004723AE" w:rsidRPr="00D33491" w:rsidRDefault="00D33491" w:rsidP="002418FB">
            <w:pPr>
              <w:spacing w:after="0" w:line="240" w:lineRule="auto"/>
              <w:jc w:val="left"/>
              <w:rPr>
                <w:i/>
                <w:color w:val="000000"/>
                <w:sz w:val="18"/>
                <w:szCs w:val="18"/>
              </w:rPr>
            </w:pPr>
            <w:r w:rsidRPr="00D33491">
              <w:rPr>
                <w:i/>
                <w:color w:val="000000"/>
                <w:sz w:val="16"/>
                <w:szCs w:val="16"/>
              </w:rPr>
              <w:t xml:space="preserve">- </w:t>
            </w:r>
            <w:r w:rsidR="004723AE" w:rsidRPr="00D33491">
              <w:rPr>
                <w:i/>
                <w:color w:val="000000"/>
                <w:sz w:val="16"/>
                <w:szCs w:val="16"/>
              </w:rPr>
              <w:t>Exemestane during 2 cycles instead of Letrozole</w:t>
            </w:r>
          </w:p>
        </w:tc>
        <w:tc>
          <w:tcPr>
            <w:tcW w:w="1701" w:type="dxa"/>
            <w:vAlign w:val="center"/>
          </w:tcPr>
          <w:p w14:paraId="00450923" w14:textId="34901DFF" w:rsidR="004723AE" w:rsidRPr="00D33491" w:rsidRDefault="004723AE" w:rsidP="002418FB">
            <w:pPr>
              <w:spacing w:after="0" w:line="240" w:lineRule="auto"/>
              <w:jc w:val="center"/>
              <w:rPr>
                <w:i/>
                <w:color w:val="000000"/>
                <w:sz w:val="18"/>
                <w:szCs w:val="18"/>
              </w:rPr>
            </w:pPr>
            <w:r w:rsidRPr="00D33491">
              <w:rPr>
                <w:i/>
                <w:color w:val="000000"/>
                <w:sz w:val="16"/>
                <w:szCs w:val="16"/>
              </w:rPr>
              <w:t>0 (0.0%)</w:t>
            </w:r>
          </w:p>
        </w:tc>
        <w:tc>
          <w:tcPr>
            <w:tcW w:w="1560" w:type="dxa"/>
            <w:vAlign w:val="center"/>
          </w:tcPr>
          <w:p w14:paraId="737C413A" w14:textId="17DB96A2" w:rsidR="004723AE" w:rsidRPr="00D33491" w:rsidRDefault="004723AE" w:rsidP="002418FB">
            <w:pPr>
              <w:spacing w:after="0" w:line="240" w:lineRule="auto"/>
              <w:jc w:val="center"/>
              <w:rPr>
                <w:i/>
                <w:color w:val="000000"/>
                <w:sz w:val="18"/>
                <w:szCs w:val="18"/>
              </w:rPr>
            </w:pPr>
            <w:r w:rsidRPr="00D33491">
              <w:rPr>
                <w:i/>
                <w:color w:val="000000"/>
                <w:sz w:val="16"/>
                <w:szCs w:val="16"/>
              </w:rPr>
              <w:t>1 (0.4%)</w:t>
            </w:r>
          </w:p>
        </w:tc>
        <w:tc>
          <w:tcPr>
            <w:tcW w:w="1474" w:type="dxa"/>
            <w:vAlign w:val="center"/>
          </w:tcPr>
          <w:p w14:paraId="00DF5326" w14:textId="5E2E73E8" w:rsidR="004723AE" w:rsidRPr="00D33491" w:rsidRDefault="004723AE" w:rsidP="002418FB">
            <w:pPr>
              <w:spacing w:after="0" w:line="240" w:lineRule="auto"/>
              <w:jc w:val="center"/>
              <w:rPr>
                <w:i/>
                <w:color w:val="000000"/>
                <w:sz w:val="18"/>
                <w:szCs w:val="18"/>
              </w:rPr>
            </w:pPr>
            <w:r w:rsidRPr="00D33491">
              <w:rPr>
                <w:i/>
                <w:color w:val="000000"/>
                <w:sz w:val="16"/>
                <w:szCs w:val="16"/>
              </w:rPr>
              <w:t>1 (0.2%)</w:t>
            </w:r>
          </w:p>
        </w:tc>
      </w:tr>
      <w:tr w:rsidR="004723AE" w14:paraId="6657A805" w14:textId="77777777" w:rsidTr="0047771E">
        <w:trPr>
          <w:trHeight w:val="277"/>
        </w:trPr>
        <w:tc>
          <w:tcPr>
            <w:tcW w:w="3969" w:type="dxa"/>
            <w:vAlign w:val="center"/>
          </w:tcPr>
          <w:p w14:paraId="545EB34A" w14:textId="7C11FA01" w:rsidR="004723AE" w:rsidRPr="00D33491" w:rsidRDefault="00D33491" w:rsidP="002418FB">
            <w:pPr>
              <w:spacing w:after="0" w:line="240" w:lineRule="auto"/>
              <w:jc w:val="left"/>
              <w:rPr>
                <w:i/>
                <w:color w:val="000000"/>
                <w:sz w:val="18"/>
                <w:szCs w:val="18"/>
              </w:rPr>
            </w:pPr>
            <w:r w:rsidRPr="00D33491">
              <w:rPr>
                <w:i/>
                <w:color w:val="000000"/>
                <w:sz w:val="16"/>
                <w:szCs w:val="16"/>
              </w:rPr>
              <w:t xml:space="preserve">- </w:t>
            </w:r>
            <w:r w:rsidR="004723AE" w:rsidRPr="00D33491">
              <w:rPr>
                <w:i/>
                <w:color w:val="000000"/>
                <w:sz w:val="16"/>
                <w:szCs w:val="16"/>
              </w:rPr>
              <w:t>Patient did not meet all selection criteria</w:t>
            </w:r>
          </w:p>
        </w:tc>
        <w:tc>
          <w:tcPr>
            <w:tcW w:w="1701" w:type="dxa"/>
            <w:vAlign w:val="center"/>
          </w:tcPr>
          <w:p w14:paraId="501102BC" w14:textId="1798A348" w:rsidR="004723AE" w:rsidRPr="00D33491" w:rsidRDefault="004723AE" w:rsidP="002418FB">
            <w:pPr>
              <w:spacing w:after="0" w:line="240" w:lineRule="auto"/>
              <w:jc w:val="center"/>
              <w:rPr>
                <w:i/>
                <w:color w:val="000000"/>
                <w:sz w:val="18"/>
                <w:szCs w:val="18"/>
              </w:rPr>
            </w:pPr>
            <w:r w:rsidRPr="00D33491">
              <w:rPr>
                <w:i/>
                <w:color w:val="000000"/>
                <w:sz w:val="16"/>
                <w:szCs w:val="16"/>
              </w:rPr>
              <w:t>0 (0.0%)</w:t>
            </w:r>
          </w:p>
        </w:tc>
        <w:tc>
          <w:tcPr>
            <w:tcW w:w="1560" w:type="dxa"/>
            <w:vAlign w:val="center"/>
          </w:tcPr>
          <w:p w14:paraId="37A2D2DE" w14:textId="55BCB947" w:rsidR="004723AE" w:rsidRPr="00D33491" w:rsidRDefault="004723AE" w:rsidP="002418FB">
            <w:pPr>
              <w:spacing w:after="0" w:line="240" w:lineRule="auto"/>
              <w:jc w:val="center"/>
              <w:rPr>
                <w:i/>
                <w:color w:val="000000"/>
                <w:sz w:val="18"/>
                <w:szCs w:val="18"/>
              </w:rPr>
            </w:pPr>
            <w:r w:rsidRPr="00D33491">
              <w:rPr>
                <w:i/>
                <w:color w:val="000000"/>
                <w:sz w:val="16"/>
                <w:szCs w:val="16"/>
              </w:rPr>
              <w:t>1 (0.4%)</w:t>
            </w:r>
          </w:p>
        </w:tc>
        <w:tc>
          <w:tcPr>
            <w:tcW w:w="1474" w:type="dxa"/>
            <w:vAlign w:val="center"/>
          </w:tcPr>
          <w:p w14:paraId="7C80700D" w14:textId="441CB481" w:rsidR="004723AE" w:rsidRPr="00D33491" w:rsidRDefault="004723AE" w:rsidP="002418FB">
            <w:pPr>
              <w:spacing w:after="0" w:line="240" w:lineRule="auto"/>
              <w:jc w:val="center"/>
              <w:rPr>
                <w:i/>
                <w:color w:val="000000"/>
                <w:sz w:val="18"/>
                <w:szCs w:val="18"/>
              </w:rPr>
            </w:pPr>
            <w:r w:rsidRPr="00D33491">
              <w:rPr>
                <w:i/>
                <w:color w:val="000000"/>
                <w:sz w:val="16"/>
                <w:szCs w:val="16"/>
              </w:rPr>
              <w:t>1 (0.2%)</w:t>
            </w:r>
          </w:p>
        </w:tc>
      </w:tr>
      <w:tr w:rsidR="004723AE" w14:paraId="6D8F8D45" w14:textId="77777777" w:rsidTr="00092882">
        <w:trPr>
          <w:trHeight w:val="345"/>
        </w:trPr>
        <w:tc>
          <w:tcPr>
            <w:tcW w:w="3969" w:type="dxa"/>
            <w:vAlign w:val="center"/>
          </w:tcPr>
          <w:p w14:paraId="4736A45D" w14:textId="026BD9E8" w:rsidR="004723AE" w:rsidRDefault="004723AE" w:rsidP="002418FB">
            <w:pPr>
              <w:spacing w:after="0" w:line="240" w:lineRule="auto"/>
              <w:jc w:val="left"/>
              <w:rPr>
                <w:color w:val="000000"/>
                <w:sz w:val="18"/>
                <w:szCs w:val="18"/>
              </w:rPr>
            </w:pPr>
            <w:r>
              <w:rPr>
                <w:color w:val="000000"/>
                <w:sz w:val="18"/>
                <w:szCs w:val="18"/>
              </w:rPr>
              <w:t>Study terminated</w:t>
            </w:r>
          </w:p>
        </w:tc>
        <w:tc>
          <w:tcPr>
            <w:tcW w:w="1701" w:type="dxa"/>
            <w:vAlign w:val="center"/>
          </w:tcPr>
          <w:p w14:paraId="164C56CF" w14:textId="7E9341D0" w:rsidR="004723AE" w:rsidRPr="00D66743" w:rsidRDefault="004723AE" w:rsidP="002418FB">
            <w:pPr>
              <w:spacing w:after="0" w:line="240" w:lineRule="auto"/>
              <w:jc w:val="center"/>
              <w:rPr>
                <w:color w:val="000000"/>
                <w:sz w:val="18"/>
                <w:szCs w:val="18"/>
              </w:rPr>
            </w:pPr>
            <w:r w:rsidRPr="00D66743">
              <w:rPr>
                <w:color w:val="000000"/>
                <w:sz w:val="18"/>
                <w:szCs w:val="18"/>
              </w:rPr>
              <w:t>72 (29.6%)</w:t>
            </w:r>
          </w:p>
        </w:tc>
        <w:tc>
          <w:tcPr>
            <w:tcW w:w="1560" w:type="dxa"/>
            <w:vAlign w:val="center"/>
          </w:tcPr>
          <w:p w14:paraId="09AB0092" w14:textId="7250D308" w:rsidR="004723AE" w:rsidRPr="00D66743" w:rsidRDefault="004723AE" w:rsidP="002418FB">
            <w:pPr>
              <w:spacing w:after="0" w:line="240" w:lineRule="auto"/>
              <w:jc w:val="center"/>
              <w:rPr>
                <w:color w:val="000000"/>
                <w:sz w:val="18"/>
                <w:szCs w:val="18"/>
              </w:rPr>
            </w:pPr>
            <w:r w:rsidRPr="00D66743">
              <w:rPr>
                <w:color w:val="000000"/>
                <w:sz w:val="18"/>
                <w:szCs w:val="18"/>
              </w:rPr>
              <w:t>88 (36.2%)</w:t>
            </w:r>
          </w:p>
        </w:tc>
        <w:tc>
          <w:tcPr>
            <w:tcW w:w="1474" w:type="dxa"/>
            <w:vAlign w:val="center"/>
          </w:tcPr>
          <w:p w14:paraId="00418B74" w14:textId="21BCBE3D" w:rsidR="004723AE" w:rsidRPr="00D66743" w:rsidRDefault="004723AE" w:rsidP="002418FB">
            <w:pPr>
              <w:spacing w:after="0" w:line="240" w:lineRule="auto"/>
              <w:jc w:val="center"/>
              <w:rPr>
                <w:color w:val="000000"/>
                <w:sz w:val="18"/>
                <w:szCs w:val="18"/>
              </w:rPr>
            </w:pPr>
            <w:r w:rsidRPr="00D66743">
              <w:rPr>
                <w:color w:val="000000"/>
                <w:sz w:val="18"/>
                <w:szCs w:val="18"/>
              </w:rPr>
              <w:t>160 (32.9%)</w:t>
            </w:r>
          </w:p>
        </w:tc>
      </w:tr>
      <w:tr w:rsidR="004723AE" w14:paraId="12244FB7" w14:textId="77777777" w:rsidTr="0047771E">
        <w:trPr>
          <w:trHeight w:val="509"/>
        </w:trPr>
        <w:tc>
          <w:tcPr>
            <w:tcW w:w="3969" w:type="dxa"/>
            <w:vAlign w:val="center"/>
          </w:tcPr>
          <w:p w14:paraId="52307C66" w14:textId="60DAE607" w:rsidR="004723AE" w:rsidRDefault="004723AE" w:rsidP="002418FB">
            <w:pPr>
              <w:spacing w:after="0" w:line="240" w:lineRule="auto"/>
              <w:jc w:val="left"/>
              <w:rPr>
                <w:color w:val="000000"/>
                <w:sz w:val="18"/>
                <w:szCs w:val="18"/>
              </w:rPr>
            </w:pPr>
            <w:r>
              <w:rPr>
                <w:color w:val="000000"/>
                <w:sz w:val="18"/>
                <w:szCs w:val="18"/>
              </w:rPr>
              <w:t>Treatment discontinuation:</w:t>
            </w:r>
          </w:p>
        </w:tc>
        <w:tc>
          <w:tcPr>
            <w:tcW w:w="1701" w:type="dxa"/>
            <w:vAlign w:val="center"/>
          </w:tcPr>
          <w:p w14:paraId="2921356A" w14:textId="48B77967" w:rsidR="004723AE" w:rsidRPr="00D66743" w:rsidRDefault="004723AE" w:rsidP="002418FB">
            <w:pPr>
              <w:spacing w:after="0" w:line="240" w:lineRule="auto"/>
              <w:jc w:val="center"/>
              <w:rPr>
                <w:color w:val="000000"/>
                <w:sz w:val="18"/>
                <w:szCs w:val="18"/>
              </w:rPr>
            </w:pPr>
            <w:r w:rsidRPr="00D66743">
              <w:rPr>
                <w:color w:val="000000"/>
                <w:sz w:val="18"/>
                <w:szCs w:val="18"/>
              </w:rPr>
              <w:t>171 (70.4%)</w:t>
            </w:r>
          </w:p>
        </w:tc>
        <w:tc>
          <w:tcPr>
            <w:tcW w:w="1560" w:type="dxa"/>
            <w:vAlign w:val="center"/>
          </w:tcPr>
          <w:p w14:paraId="7A0AED9C" w14:textId="41B93C9C" w:rsidR="004723AE" w:rsidRPr="00D66743" w:rsidRDefault="004723AE" w:rsidP="002418FB">
            <w:pPr>
              <w:spacing w:after="0" w:line="240" w:lineRule="auto"/>
              <w:jc w:val="center"/>
              <w:rPr>
                <w:color w:val="000000"/>
                <w:sz w:val="18"/>
                <w:szCs w:val="18"/>
              </w:rPr>
            </w:pPr>
            <w:r w:rsidRPr="00D66743">
              <w:rPr>
                <w:color w:val="000000"/>
                <w:sz w:val="18"/>
                <w:szCs w:val="18"/>
              </w:rPr>
              <w:t>155 (63.8%)</w:t>
            </w:r>
          </w:p>
        </w:tc>
        <w:tc>
          <w:tcPr>
            <w:tcW w:w="1474" w:type="dxa"/>
            <w:vAlign w:val="center"/>
          </w:tcPr>
          <w:p w14:paraId="104A6C2A" w14:textId="7A56FE7E" w:rsidR="004723AE" w:rsidRPr="00D66743" w:rsidRDefault="004723AE" w:rsidP="002418FB">
            <w:pPr>
              <w:spacing w:after="0" w:line="240" w:lineRule="auto"/>
              <w:jc w:val="center"/>
              <w:rPr>
                <w:color w:val="000000"/>
                <w:sz w:val="18"/>
                <w:szCs w:val="18"/>
              </w:rPr>
            </w:pPr>
            <w:r w:rsidRPr="00D66743">
              <w:rPr>
                <w:color w:val="000000"/>
                <w:sz w:val="18"/>
                <w:szCs w:val="18"/>
              </w:rPr>
              <w:t>326 (67.1%)</w:t>
            </w:r>
          </w:p>
        </w:tc>
      </w:tr>
      <w:tr w:rsidR="004723AE" w14:paraId="0E39FD7E" w14:textId="77777777" w:rsidTr="00092882">
        <w:trPr>
          <w:trHeight w:val="319"/>
        </w:trPr>
        <w:tc>
          <w:tcPr>
            <w:tcW w:w="3969" w:type="dxa"/>
            <w:vAlign w:val="center"/>
          </w:tcPr>
          <w:p w14:paraId="45B9CE94" w14:textId="0C084C80" w:rsidR="004723AE" w:rsidRDefault="002418FB" w:rsidP="002418FB">
            <w:pPr>
              <w:spacing w:after="0" w:line="240" w:lineRule="auto"/>
              <w:jc w:val="left"/>
              <w:rPr>
                <w:color w:val="000000"/>
                <w:sz w:val="18"/>
                <w:szCs w:val="18"/>
              </w:rPr>
            </w:pPr>
            <w:r>
              <w:rPr>
                <w:i/>
                <w:color w:val="000000"/>
                <w:sz w:val="16"/>
                <w:szCs w:val="16"/>
              </w:rPr>
              <w:t xml:space="preserve">- </w:t>
            </w:r>
            <w:r w:rsidR="004723AE" w:rsidRPr="000E5778">
              <w:rPr>
                <w:i/>
                <w:color w:val="000000"/>
                <w:sz w:val="16"/>
                <w:szCs w:val="16"/>
              </w:rPr>
              <w:t>Disease progression</w:t>
            </w:r>
          </w:p>
        </w:tc>
        <w:tc>
          <w:tcPr>
            <w:tcW w:w="1701" w:type="dxa"/>
            <w:vAlign w:val="center"/>
          </w:tcPr>
          <w:p w14:paraId="0436D9DD" w14:textId="77461E80" w:rsidR="004723AE" w:rsidRPr="00D66743" w:rsidRDefault="004723AE" w:rsidP="002418FB">
            <w:pPr>
              <w:spacing w:after="0" w:line="240" w:lineRule="auto"/>
              <w:jc w:val="center"/>
              <w:rPr>
                <w:color w:val="000000"/>
                <w:sz w:val="18"/>
                <w:szCs w:val="18"/>
              </w:rPr>
            </w:pPr>
            <w:r w:rsidRPr="000E5778">
              <w:rPr>
                <w:i/>
                <w:color w:val="000000"/>
                <w:sz w:val="16"/>
                <w:szCs w:val="16"/>
              </w:rPr>
              <w:t>122 (50.2%)</w:t>
            </w:r>
          </w:p>
        </w:tc>
        <w:tc>
          <w:tcPr>
            <w:tcW w:w="1560" w:type="dxa"/>
            <w:vAlign w:val="center"/>
          </w:tcPr>
          <w:p w14:paraId="47509B72" w14:textId="580D0E68" w:rsidR="004723AE" w:rsidRPr="00D66743" w:rsidRDefault="004723AE" w:rsidP="002418FB">
            <w:pPr>
              <w:spacing w:after="0" w:line="240" w:lineRule="auto"/>
              <w:jc w:val="center"/>
              <w:rPr>
                <w:color w:val="000000"/>
                <w:sz w:val="18"/>
                <w:szCs w:val="18"/>
              </w:rPr>
            </w:pPr>
            <w:r w:rsidRPr="000E5778">
              <w:rPr>
                <w:i/>
                <w:color w:val="000000"/>
                <w:sz w:val="16"/>
                <w:szCs w:val="16"/>
              </w:rPr>
              <w:t>122 (50.2%)</w:t>
            </w:r>
          </w:p>
        </w:tc>
        <w:tc>
          <w:tcPr>
            <w:tcW w:w="1474" w:type="dxa"/>
            <w:vAlign w:val="center"/>
          </w:tcPr>
          <w:p w14:paraId="7A684C09" w14:textId="07EE9A01" w:rsidR="004723AE" w:rsidRPr="00D66743" w:rsidRDefault="004723AE" w:rsidP="002418FB">
            <w:pPr>
              <w:spacing w:after="0" w:line="240" w:lineRule="auto"/>
              <w:jc w:val="center"/>
              <w:rPr>
                <w:color w:val="000000"/>
                <w:sz w:val="18"/>
                <w:szCs w:val="18"/>
              </w:rPr>
            </w:pPr>
            <w:r w:rsidRPr="000E5778">
              <w:rPr>
                <w:i/>
                <w:color w:val="000000"/>
                <w:sz w:val="16"/>
                <w:szCs w:val="16"/>
              </w:rPr>
              <w:t>244 (50.2%)</w:t>
            </w:r>
          </w:p>
        </w:tc>
      </w:tr>
      <w:tr w:rsidR="004723AE" w14:paraId="7871DE8E" w14:textId="77777777" w:rsidTr="00092882">
        <w:trPr>
          <w:trHeight w:val="319"/>
        </w:trPr>
        <w:tc>
          <w:tcPr>
            <w:tcW w:w="3969" w:type="dxa"/>
            <w:vAlign w:val="center"/>
          </w:tcPr>
          <w:p w14:paraId="2963143C" w14:textId="45FD95B9" w:rsidR="004723AE" w:rsidRDefault="002418FB" w:rsidP="002418FB">
            <w:pPr>
              <w:spacing w:after="0" w:line="240" w:lineRule="auto"/>
              <w:jc w:val="left"/>
              <w:rPr>
                <w:color w:val="000000"/>
                <w:sz w:val="18"/>
                <w:szCs w:val="18"/>
              </w:rPr>
            </w:pPr>
            <w:r>
              <w:rPr>
                <w:i/>
                <w:color w:val="000000"/>
                <w:sz w:val="16"/>
                <w:szCs w:val="16"/>
              </w:rPr>
              <w:t xml:space="preserve">- </w:t>
            </w:r>
            <w:r w:rsidR="004723AE" w:rsidRPr="000E5778">
              <w:rPr>
                <w:i/>
                <w:color w:val="000000"/>
                <w:sz w:val="16"/>
                <w:szCs w:val="16"/>
              </w:rPr>
              <w:t>Patient withdrew consent</w:t>
            </w:r>
          </w:p>
        </w:tc>
        <w:tc>
          <w:tcPr>
            <w:tcW w:w="1701" w:type="dxa"/>
            <w:vAlign w:val="center"/>
          </w:tcPr>
          <w:p w14:paraId="590C1019" w14:textId="20335BFA" w:rsidR="004723AE" w:rsidRPr="00D66743" w:rsidRDefault="004723AE" w:rsidP="002418FB">
            <w:pPr>
              <w:spacing w:after="0" w:line="240" w:lineRule="auto"/>
              <w:jc w:val="center"/>
              <w:rPr>
                <w:color w:val="000000"/>
                <w:sz w:val="18"/>
                <w:szCs w:val="18"/>
              </w:rPr>
            </w:pPr>
            <w:r w:rsidRPr="000E5778">
              <w:rPr>
                <w:i/>
                <w:color w:val="000000"/>
                <w:sz w:val="16"/>
                <w:szCs w:val="16"/>
              </w:rPr>
              <w:t>12 (4.9%)</w:t>
            </w:r>
          </w:p>
        </w:tc>
        <w:tc>
          <w:tcPr>
            <w:tcW w:w="1560" w:type="dxa"/>
            <w:vAlign w:val="center"/>
          </w:tcPr>
          <w:p w14:paraId="3ED261CE" w14:textId="6D5C46DB" w:rsidR="004723AE" w:rsidRPr="00D66743" w:rsidRDefault="004723AE" w:rsidP="002418FB">
            <w:pPr>
              <w:spacing w:after="0" w:line="240" w:lineRule="auto"/>
              <w:jc w:val="center"/>
              <w:rPr>
                <w:color w:val="000000"/>
                <w:sz w:val="18"/>
                <w:szCs w:val="18"/>
              </w:rPr>
            </w:pPr>
            <w:r w:rsidRPr="000E5778">
              <w:rPr>
                <w:i/>
                <w:color w:val="000000"/>
                <w:sz w:val="16"/>
                <w:szCs w:val="16"/>
              </w:rPr>
              <w:t>8 (3.3%)</w:t>
            </w:r>
          </w:p>
        </w:tc>
        <w:tc>
          <w:tcPr>
            <w:tcW w:w="1474" w:type="dxa"/>
            <w:vAlign w:val="center"/>
          </w:tcPr>
          <w:p w14:paraId="27FEE3B2" w14:textId="081732E1" w:rsidR="004723AE" w:rsidRPr="00D66743" w:rsidRDefault="004723AE" w:rsidP="002418FB">
            <w:pPr>
              <w:spacing w:after="0" w:line="240" w:lineRule="auto"/>
              <w:jc w:val="center"/>
              <w:rPr>
                <w:color w:val="000000"/>
                <w:sz w:val="18"/>
                <w:szCs w:val="18"/>
              </w:rPr>
            </w:pPr>
            <w:r w:rsidRPr="000E5778">
              <w:rPr>
                <w:i/>
                <w:color w:val="000000"/>
                <w:sz w:val="16"/>
                <w:szCs w:val="16"/>
              </w:rPr>
              <w:t>20 (4.1%)</w:t>
            </w:r>
          </w:p>
        </w:tc>
      </w:tr>
      <w:tr w:rsidR="004723AE" w14:paraId="6BB50194" w14:textId="77777777" w:rsidTr="00092882">
        <w:trPr>
          <w:trHeight w:val="319"/>
        </w:trPr>
        <w:tc>
          <w:tcPr>
            <w:tcW w:w="3969" w:type="dxa"/>
            <w:vAlign w:val="center"/>
          </w:tcPr>
          <w:p w14:paraId="3DFA5566" w14:textId="58829CE1" w:rsidR="004723AE" w:rsidRDefault="002418FB" w:rsidP="002418FB">
            <w:pPr>
              <w:spacing w:after="0" w:line="240" w:lineRule="auto"/>
              <w:jc w:val="left"/>
              <w:rPr>
                <w:color w:val="000000"/>
                <w:sz w:val="18"/>
                <w:szCs w:val="18"/>
              </w:rPr>
            </w:pPr>
            <w:r>
              <w:rPr>
                <w:i/>
                <w:color w:val="000000"/>
                <w:sz w:val="16"/>
                <w:szCs w:val="16"/>
              </w:rPr>
              <w:t xml:space="preserve">- </w:t>
            </w:r>
            <w:r w:rsidR="004723AE" w:rsidRPr="000E5778">
              <w:rPr>
                <w:i/>
                <w:color w:val="000000"/>
                <w:sz w:val="16"/>
                <w:szCs w:val="16"/>
              </w:rPr>
              <w:t>Adverse Event</w:t>
            </w:r>
          </w:p>
        </w:tc>
        <w:tc>
          <w:tcPr>
            <w:tcW w:w="1701" w:type="dxa"/>
            <w:vAlign w:val="center"/>
          </w:tcPr>
          <w:p w14:paraId="47AAFBF3" w14:textId="24594EA8" w:rsidR="004723AE" w:rsidRPr="00D66743" w:rsidRDefault="004723AE" w:rsidP="002418FB">
            <w:pPr>
              <w:spacing w:after="0" w:line="240" w:lineRule="auto"/>
              <w:jc w:val="center"/>
              <w:rPr>
                <w:color w:val="000000"/>
                <w:sz w:val="18"/>
                <w:szCs w:val="18"/>
              </w:rPr>
            </w:pPr>
            <w:r w:rsidRPr="000E5778">
              <w:rPr>
                <w:i/>
                <w:color w:val="000000"/>
                <w:sz w:val="16"/>
                <w:szCs w:val="16"/>
              </w:rPr>
              <w:t>13 (5.3%)</w:t>
            </w:r>
          </w:p>
        </w:tc>
        <w:tc>
          <w:tcPr>
            <w:tcW w:w="1560" w:type="dxa"/>
            <w:vAlign w:val="center"/>
          </w:tcPr>
          <w:p w14:paraId="05908793" w14:textId="112B5994" w:rsidR="004723AE" w:rsidRPr="00D66743" w:rsidRDefault="004723AE" w:rsidP="002418FB">
            <w:pPr>
              <w:spacing w:after="0" w:line="240" w:lineRule="auto"/>
              <w:jc w:val="center"/>
              <w:rPr>
                <w:color w:val="000000"/>
                <w:sz w:val="18"/>
                <w:szCs w:val="18"/>
              </w:rPr>
            </w:pPr>
            <w:r w:rsidRPr="000E5778">
              <w:rPr>
                <w:i/>
                <w:color w:val="000000"/>
                <w:sz w:val="16"/>
                <w:szCs w:val="16"/>
              </w:rPr>
              <w:t>5 (2.1%)</w:t>
            </w:r>
          </w:p>
        </w:tc>
        <w:tc>
          <w:tcPr>
            <w:tcW w:w="1474" w:type="dxa"/>
            <w:vAlign w:val="center"/>
          </w:tcPr>
          <w:p w14:paraId="14ADD444" w14:textId="47182E60" w:rsidR="004723AE" w:rsidRPr="00D66743" w:rsidRDefault="004723AE" w:rsidP="002418FB">
            <w:pPr>
              <w:spacing w:after="0" w:line="240" w:lineRule="auto"/>
              <w:jc w:val="center"/>
              <w:rPr>
                <w:color w:val="000000"/>
                <w:sz w:val="18"/>
                <w:szCs w:val="18"/>
              </w:rPr>
            </w:pPr>
            <w:r w:rsidRPr="000E5778">
              <w:rPr>
                <w:i/>
                <w:color w:val="000000"/>
                <w:sz w:val="16"/>
                <w:szCs w:val="16"/>
              </w:rPr>
              <w:t>18 (3.7%)</w:t>
            </w:r>
          </w:p>
        </w:tc>
      </w:tr>
      <w:tr w:rsidR="004723AE" w14:paraId="21F6B36F" w14:textId="77777777" w:rsidTr="00092882">
        <w:trPr>
          <w:trHeight w:val="319"/>
        </w:trPr>
        <w:tc>
          <w:tcPr>
            <w:tcW w:w="3969" w:type="dxa"/>
            <w:vAlign w:val="center"/>
          </w:tcPr>
          <w:p w14:paraId="2419263A" w14:textId="327F59B3" w:rsidR="004723AE" w:rsidRDefault="002418FB" w:rsidP="002418FB">
            <w:pPr>
              <w:spacing w:after="0" w:line="240" w:lineRule="auto"/>
              <w:jc w:val="left"/>
              <w:rPr>
                <w:color w:val="000000"/>
                <w:sz w:val="18"/>
                <w:szCs w:val="18"/>
              </w:rPr>
            </w:pPr>
            <w:r>
              <w:rPr>
                <w:i/>
                <w:color w:val="000000"/>
                <w:sz w:val="16"/>
                <w:szCs w:val="16"/>
              </w:rPr>
              <w:lastRenderedPageBreak/>
              <w:t xml:space="preserve">- </w:t>
            </w:r>
            <w:r w:rsidR="004723AE" w:rsidRPr="000E5778">
              <w:rPr>
                <w:i/>
                <w:color w:val="000000"/>
                <w:sz w:val="16"/>
                <w:szCs w:val="16"/>
              </w:rPr>
              <w:t>Death</w:t>
            </w:r>
          </w:p>
        </w:tc>
        <w:tc>
          <w:tcPr>
            <w:tcW w:w="1701" w:type="dxa"/>
            <w:vAlign w:val="center"/>
          </w:tcPr>
          <w:p w14:paraId="73DC4E57" w14:textId="7B437B08" w:rsidR="004723AE" w:rsidRPr="00D66743" w:rsidRDefault="004723AE" w:rsidP="002418FB">
            <w:pPr>
              <w:spacing w:after="0" w:line="240" w:lineRule="auto"/>
              <w:jc w:val="center"/>
              <w:rPr>
                <w:color w:val="000000"/>
                <w:sz w:val="18"/>
                <w:szCs w:val="18"/>
              </w:rPr>
            </w:pPr>
            <w:r w:rsidRPr="000E5778">
              <w:rPr>
                <w:i/>
                <w:color w:val="000000"/>
                <w:sz w:val="16"/>
                <w:szCs w:val="16"/>
              </w:rPr>
              <w:t>8 (3.3%)</w:t>
            </w:r>
          </w:p>
        </w:tc>
        <w:tc>
          <w:tcPr>
            <w:tcW w:w="1560" w:type="dxa"/>
            <w:vAlign w:val="center"/>
          </w:tcPr>
          <w:p w14:paraId="65B6668D" w14:textId="66D3D585" w:rsidR="004723AE" w:rsidRPr="00D66743" w:rsidRDefault="004723AE" w:rsidP="002418FB">
            <w:pPr>
              <w:spacing w:after="0" w:line="240" w:lineRule="auto"/>
              <w:jc w:val="center"/>
              <w:rPr>
                <w:color w:val="000000"/>
                <w:sz w:val="18"/>
                <w:szCs w:val="18"/>
              </w:rPr>
            </w:pPr>
            <w:r w:rsidRPr="000E5778">
              <w:rPr>
                <w:i/>
                <w:color w:val="000000"/>
                <w:sz w:val="16"/>
                <w:szCs w:val="16"/>
              </w:rPr>
              <w:t>2 (0.8%)</w:t>
            </w:r>
          </w:p>
        </w:tc>
        <w:tc>
          <w:tcPr>
            <w:tcW w:w="1474" w:type="dxa"/>
            <w:vAlign w:val="center"/>
          </w:tcPr>
          <w:p w14:paraId="21890E4F" w14:textId="67B333A5" w:rsidR="004723AE" w:rsidRPr="00D66743" w:rsidRDefault="004723AE" w:rsidP="002418FB">
            <w:pPr>
              <w:spacing w:after="0" w:line="240" w:lineRule="auto"/>
              <w:jc w:val="center"/>
              <w:rPr>
                <w:color w:val="000000"/>
                <w:sz w:val="18"/>
                <w:szCs w:val="18"/>
              </w:rPr>
            </w:pPr>
            <w:r w:rsidRPr="000E5778">
              <w:rPr>
                <w:i/>
                <w:color w:val="000000"/>
                <w:sz w:val="16"/>
                <w:szCs w:val="16"/>
              </w:rPr>
              <w:t>10 (2.1%)</w:t>
            </w:r>
          </w:p>
        </w:tc>
      </w:tr>
      <w:tr w:rsidR="004723AE" w14:paraId="2D9F8D7A" w14:textId="77777777" w:rsidTr="00092882">
        <w:trPr>
          <w:trHeight w:val="319"/>
        </w:trPr>
        <w:tc>
          <w:tcPr>
            <w:tcW w:w="3969" w:type="dxa"/>
            <w:vAlign w:val="center"/>
          </w:tcPr>
          <w:p w14:paraId="0F9B01BA" w14:textId="063863FB" w:rsidR="004723AE" w:rsidRDefault="002418FB" w:rsidP="002418FB">
            <w:pPr>
              <w:spacing w:after="0" w:line="240" w:lineRule="auto"/>
              <w:jc w:val="left"/>
              <w:rPr>
                <w:color w:val="000000"/>
                <w:sz w:val="18"/>
                <w:szCs w:val="18"/>
              </w:rPr>
            </w:pPr>
            <w:r>
              <w:rPr>
                <w:i/>
                <w:color w:val="000000"/>
                <w:sz w:val="16"/>
                <w:szCs w:val="16"/>
              </w:rPr>
              <w:t xml:space="preserve">- </w:t>
            </w:r>
            <w:r w:rsidR="004723AE" w:rsidRPr="000E5778">
              <w:rPr>
                <w:i/>
                <w:color w:val="000000"/>
                <w:sz w:val="16"/>
                <w:szCs w:val="16"/>
              </w:rPr>
              <w:t>Investigator’s decision</w:t>
            </w:r>
          </w:p>
        </w:tc>
        <w:tc>
          <w:tcPr>
            <w:tcW w:w="1701" w:type="dxa"/>
            <w:vAlign w:val="center"/>
          </w:tcPr>
          <w:p w14:paraId="489DF691" w14:textId="523C4DF9" w:rsidR="004723AE" w:rsidRPr="00D66743" w:rsidRDefault="004723AE" w:rsidP="002418FB">
            <w:pPr>
              <w:spacing w:after="0" w:line="240" w:lineRule="auto"/>
              <w:jc w:val="center"/>
              <w:rPr>
                <w:color w:val="000000"/>
                <w:sz w:val="18"/>
                <w:szCs w:val="18"/>
              </w:rPr>
            </w:pPr>
            <w:r w:rsidRPr="000E5778">
              <w:rPr>
                <w:i/>
                <w:color w:val="000000"/>
                <w:sz w:val="16"/>
                <w:szCs w:val="16"/>
              </w:rPr>
              <w:t>4 (1.6%)</w:t>
            </w:r>
          </w:p>
        </w:tc>
        <w:tc>
          <w:tcPr>
            <w:tcW w:w="1560" w:type="dxa"/>
            <w:vAlign w:val="center"/>
          </w:tcPr>
          <w:p w14:paraId="6F08E2C7" w14:textId="6E8825C4" w:rsidR="004723AE" w:rsidRPr="00D66743" w:rsidRDefault="004723AE" w:rsidP="002418FB">
            <w:pPr>
              <w:spacing w:after="0" w:line="240" w:lineRule="auto"/>
              <w:jc w:val="center"/>
              <w:rPr>
                <w:color w:val="000000"/>
                <w:sz w:val="18"/>
                <w:szCs w:val="18"/>
              </w:rPr>
            </w:pPr>
            <w:r w:rsidRPr="000E5778">
              <w:rPr>
                <w:i/>
                <w:color w:val="000000"/>
                <w:sz w:val="16"/>
                <w:szCs w:val="16"/>
              </w:rPr>
              <w:t>1 (0.4%)</w:t>
            </w:r>
          </w:p>
        </w:tc>
        <w:tc>
          <w:tcPr>
            <w:tcW w:w="1474" w:type="dxa"/>
            <w:vAlign w:val="center"/>
          </w:tcPr>
          <w:p w14:paraId="42F0DEC9" w14:textId="781DC803" w:rsidR="004723AE" w:rsidRPr="00D66743" w:rsidRDefault="004723AE" w:rsidP="002418FB">
            <w:pPr>
              <w:spacing w:after="0" w:line="240" w:lineRule="auto"/>
              <w:jc w:val="center"/>
              <w:rPr>
                <w:color w:val="000000"/>
                <w:sz w:val="18"/>
                <w:szCs w:val="18"/>
              </w:rPr>
            </w:pPr>
            <w:r w:rsidRPr="000E5778">
              <w:rPr>
                <w:i/>
                <w:color w:val="000000"/>
                <w:sz w:val="16"/>
                <w:szCs w:val="16"/>
              </w:rPr>
              <w:t>5 (1.0%)</w:t>
            </w:r>
          </w:p>
        </w:tc>
      </w:tr>
      <w:tr w:rsidR="004723AE" w14:paraId="4506CB6C" w14:textId="77777777" w:rsidTr="00092882">
        <w:trPr>
          <w:trHeight w:val="332"/>
        </w:trPr>
        <w:tc>
          <w:tcPr>
            <w:tcW w:w="3969" w:type="dxa"/>
            <w:vAlign w:val="center"/>
          </w:tcPr>
          <w:p w14:paraId="524648B8" w14:textId="078F4901" w:rsidR="004723AE" w:rsidRDefault="002418FB" w:rsidP="002418FB">
            <w:pPr>
              <w:spacing w:after="0" w:line="240" w:lineRule="auto"/>
              <w:jc w:val="left"/>
              <w:rPr>
                <w:color w:val="000000"/>
                <w:sz w:val="18"/>
                <w:szCs w:val="18"/>
              </w:rPr>
            </w:pPr>
            <w:r>
              <w:rPr>
                <w:i/>
                <w:color w:val="000000"/>
                <w:sz w:val="16"/>
                <w:szCs w:val="16"/>
              </w:rPr>
              <w:t xml:space="preserve">- </w:t>
            </w:r>
            <w:r w:rsidR="004723AE" w:rsidRPr="000E5778">
              <w:rPr>
                <w:i/>
                <w:color w:val="000000"/>
                <w:sz w:val="16"/>
                <w:szCs w:val="16"/>
              </w:rPr>
              <w:t>Protocol deviations</w:t>
            </w:r>
          </w:p>
        </w:tc>
        <w:tc>
          <w:tcPr>
            <w:tcW w:w="1701" w:type="dxa"/>
            <w:vAlign w:val="center"/>
          </w:tcPr>
          <w:p w14:paraId="6D60A6AA" w14:textId="6EE682B8" w:rsidR="004723AE" w:rsidRPr="00D66743" w:rsidRDefault="004723AE" w:rsidP="002418FB">
            <w:pPr>
              <w:spacing w:after="0" w:line="240" w:lineRule="auto"/>
              <w:jc w:val="center"/>
              <w:rPr>
                <w:color w:val="000000"/>
                <w:sz w:val="18"/>
                <w:szCs w:val="18"/>
              </w:rPr>
            </w:pPr>
            <w:r w:rsidRPr="000E5778">
              <w:rPr>
                <w:i/>
                <w:color w:val="000000"/>
                <w:sz w:val="16"/>
                <w:szCs w:val="16"/>
              </w:rPr>
              <w:t>2 (0.8%)</w:t>
            </w:r>
          </w:p>
        </w:tc>
        <w:tc>
          <w:tcPr>
            <w:tcW w:w="1560" w:type="dxa"/>
            <w:vAlign w:val="center"/>
          </w:tcPr>
          <w:p w14:paraId="2FE6B036" w14:textId="1C31C0AF" w:rsidR="004723AE" w:rsidRPr="00D66743" w:rsidRDefault="004723AE" w:rsidP="002418FB">
            <w:pPr>
              <w:spacing w:after="0" w:line="240" w:lineRule="auto"/>
              <w:jc w:val="center"/>
              <w:rPr>
                <w:color w:val="000000"/>
                <w:sz w:val="18"/>
                <w:szCs w:val="18"/>
              </w:rPr>
            </w:pPr>
            <w:r w:rsidRPr="000E5778">
              <w:rPr>
                <w:i/>
                <w:color w:val="000000"/>
                <w:sz w:val="16"/>
                <w:szCs w:val="16"/>
              </w:rPr>
              <w:t>1 (0.4%)</w:t>
            </w:r>
          </w:p>
        </w:tc>
        <w:tc>
          <w:tcPr>
            <w:tcW w:w="1474" w:type="dxa"/>
            <w:vAlign w:val="center"/>
          </w:tcPr>
          <w:p w14:paraId="4002C32F" w14:textId="3BB9CC85" w:rsidR="004723AE" w:rsidRPr="00D66743" w:rsidRDefault="004723AE" w:rsidP="002418FB">
            <w:pPr>
              <w:spacing w:after="0" w:line="240" w:lineRule="auto"/>
              <w:jc w:val="center"/>
              <w:rPr>
                <w:color w:val="000000"/>
                <w:sz w:val="18"/>
                <w:szCs w:val="18"/>
              </w:rPr>
            </w:pPr>
            <w:r w:rsidRPr="000E5778">
              <w:rPr>
                <w:i/>
                <w:color w:val="000000"/>
                <w:sz w:val="16"/>
                <w:szCs w:val="16"/>
              </w:rPr>
              <w:t>3 (0.6%)</w:t>
            </w:r>
          </w:p>
        </w:tc>
      </w:tr>
      <w:tr w:rsidR="004723AE" w14:paraId="6B7C620C" w14:textId="77777777" w:rsidTr="00092882">
        <w:trPr>
          <w:trHeight w:val="319"/>
        </w:trPr>
        <w:tc>
          <w:tcPr>
            <w:tcW w:w="3969" w:type="dxa"/>
            <w:vAlign w:val="center"/>
          </w:tcPr>
          <w:p w14:paraId="0343E395" w14:textId="065DF9F5" w:rsidR="004723AE" w:rsidRDefault="002418FB" w:rsidP="002418FB">
            <w:pPr>
              <w:spacing w:after="0" w:line="240" w:lineRule="auto"/>
              <w:jc w:val="left"/>
              <w:rPr>
                <w:color w:val="000000"/>
                <w:sz w:val="18"/>
                <w:szCs w:val="18"/>
              </w:rPr>
            </w:pPr>
            <w:r>
              <w:rPr>
                <w:i/>
                <w:color w:val="000000"/>
                <w:sz w:val="16"/>
                <w:szCs w:val="16"/>
              </w:rPr>
              <w:t xml:space="preserve">- </w:t>
            </w:r>
            <w:r w:rsidR="004723AE" w:rsidRPr="000E5778">
              <w:rPr>
                <w:i/>
                <w:color w:val="000000"/>
                <w:sz w:val="16"/>
                <w:szCs w:val="16"/>
              </w:rPr>
              <w:t>Lost to follow-up</w:t>
            </w:r>
          </w:p>
        </w:tc>
        <w:tc>
          <w:tcPr>
            <w:tcW w:w="1701" w:type="dxa"/>
            <w:vAlign w:val="center"/>
          </w:tcPr>
          <w:p w14:paraId="5E7E71B7" w14:textId="1898BF2A" w:rsidR="004723AE" w:rsidRPr="00D66743" w:rsidRDefault="004723AE" w:rsidP="002418FB">
            <w:pPr>
              <w:spacing w:after="0" w:line="240" w:lineRule="auto"/>
              <w:jc w:val="center"/>
              <w:rPr>
                <w:color w:val="000000"/>
                <w:sz w:val="18"/>
                <w:szCs w:val="18"/>
              </w:rPr>
            </w:pPr>
            <w:r w:rsidRPr="000E5778">
              <w:rPr>
                <w:i/>
                <w:color w:val="000000"/>
                <w:sz w:val="16"/>
                <w:szCs w:val="16"/>
              </w:rPr>
              <w:t>1 (0.4%)</w:t>
            </w:r>
          </w:p>
        </w:tc>
        <w:tc>
          <w:tcPr>
            <w:tcW w:w="1560" w:type="dxa"/>
            <w:vAlign w:val="center"/>
          </w:tcPr>
          <w:p w14:paraId="33DD683A" w14:textId="36EA5A04" w:rsidR="004723AE" w:rsidRPr="00D66743" w:rsidRDefault="004723AE" w:rsidP="002418FB">
            <w:pPr>
              <w:spacing w:after="0" w:line="240" w:lineRule="auto"/>
              <w:jc w:val="center"/>
              <w:rPr>
                <w:color w:val="000000"/>
                <w:sz w:val="18"/>
                <w:szCs w:val="18"/>
              </w:rPr>
            </w:pPr>
            <w:r w:rsidRPr="000E5778">
              <w:rPr>
                <w:i/>
                <w:color w:val="000000"/>
                <w:sz w:val="16"/>
                <w:szCs w:val="16"/>
              </w:rPr>
              <w:t>1 (0.4%)</w:t>
            </w:r>
          </w:p>
        </w:tc>
        <w:tc>
          <w:tcPr>
            <w:tcW w:w="1474" w:type="dxa"/>
            <w:vAlign w:val="center"/>
          </w:tcPr>
          <w:p w14:paraId="4FF45562" w14:textId="578C284A" w:rsidR="004723AE" w:rsidRPr="00D66743" w:rsidRDefault="004723AE" w:rsidP="002418FB">
            <w:pPr>
              <w:spacing w:after="0" w:line="240" w:lineRule="auto"/>
              <w:jc w:val="center"/>
              <w:rPr>
                <w:color w:val="000000"/>
                <w:sz w:val="18"/>
                <w:szCs w:val="18"/>
              </w:rPr>
            </w:pPr>
            <w:r w:rsidRPr="000E5778">
              <w:rPr>
                <w:i/>
                <w:color w:val="000000"/>
                <w:sz w:val="16"/>
                <w:szCs w:val="16"/>
              </w:rPr>
              <w:t>2 (0.4%)</w:t>
            </w:r>
          </w:p>
        </w:tc>
      </w:tr>
      <w:tr w:rsidR="004723AE" w14:paraId="3BB4C629" w14:textId="77777777" w:rsidTr="00092882">
        <w:trPr>
          <w:trHeight w:val="319"/>
        </w:trPr>
        <w:tc>
          <w:tcPr>
            <w:tcW w:w="3969" w:type="dxa"/>
            <w:vAlign w:val="center"/>
          </w:tcPr>
          <w:p w14:paraId="35DECD0B" w14:textId="3CD9AA5D" w:rsidR="004723AE" w:rsidRDefault="002418FB" w:rsidP="002418FB">
            <w:pPr>
              <w:spacing w:after="0" w:line="240" w:lineRule="auto"/>
              <w:jc w:val="left"/>
              <w:rPr>
                <w:color w:val="000000"/>
                <w:sz w:val="18"/>
                <w:szCs w:val="18"/>
              </w:rPr>
            </w:pPr>
            <w:r>
              <w:rPr>
                <w:i/>
                <w:color w:val="000000"/>
                <w:sz w:val="16"/>
                <w:szCs w:val="16"/>
              </w:rPr>
              <w:t xml:space="preserve">- </w:t>
            </w:r>
            <w:r w:rsidR="004723AE" w:rsidRPr="000E5778">
              <w:rPr>
                <w:i/>
                <w:color w:val="000000"/>
                <w:sz w:val="16"/>
                <w:szCs w:val="16"/>
              </w:rPr>
              <w:t>Other</w:t>
            </w:r>
          </w:p>
        </w:tc>
        <w:tc>
          <w:tcPr>
            <w:tcW w:w="1701" w:type="dxa"/>
            <w:vAlign w:val="center"/>
          </w:tcPr>
          <w:p w14:paraId="3F6CF83C" w14:textId="0F5BBF64" w:rsidR="004723AE" w:rsidRPr="00D66743" w:rsidRDefault="004723AE" w:rsidP="002418FB">
            <w:pPr>
              <w:spacing w:after="0" w:line="240" w:lineRule="auto"/>
              <w:jc w:val="center"/>
              <w:rPr>
                <w:color w:val="000000"/>
                <w:sz w:val="18"/>
                <w:szCs w:val="18"/>
              </w:rPr>
            </w:pPr>
            <w:r w:rsidRPr="000E5778">
              <w:rPr>
                <w:i/>
                <w:color w:val="000000"/>
                <w:sz w:val="16"/>
                <w:szCs w:val="16"/>
              </w:rPr>
              <w:t>9 (3.7%)</w:t>
            </w:r>
          </w:p>
        </w:tc>
        <w:tc>
          <w:tcPr>
            <w:tcW w:w="1560" w:type="dxa"/>
            <w:vAlign w:val="center"/>
          </w:tcPr>
          <w:p w14:paraId="527BFC73" w14:textId="4DCA162D" w:rsidR="004723AE" w:rsidRPr="00D66743" w:rsidRDefault="004723AE" w:rsidP="002418FB">
            <w:pPr>
              <w:spacing w:after="0" w:line="240" w:lineRule="auto"/>
              <w:jc w:val="center"/>
              <w:rPr>
                <w:color w:val="000000"/>
                <w:sz w:val="18"/>
                <w:szCs w:val="18"/>
              </w:rPr>
            </w:pPr>
            <w:r w:rsidRPr="000E5778">
              <w:rPr>
                <w:i/>
                <w:color w:val="000000"/>
                <w:sz w:val="16"/>
                <w:szCs w:val="16"/>
              </w:rPr>
              <w:t>15 (6.2%)</w:t>
            </w:r>
          </w:p>
        </w:tc>
        <w:tc>
          <w:tcPr>
            <w:tcW w:w="1474" w:type="dxa"/>
            <w:vAlign w:val="center"/>
          </w:tcPr>
          <w:p w14:paraId="79909BC5" w14:textId="5CC194B0" w:rsidR="004723AE" w:rsidRPr="00D66743" w:rsidRDefault="004723AE" w:rsidP="002418FB">
            <w:pPr>
              <w:spacing w:after="0" w:line="240" w:lineRule="auto"/>
              <w:jc w:val="center"/>
              <w:rPr>
                <w:color w:val="000000"/>
                <w:sz w:val="18"/>
                <w:szCs w:val="18"/>
              </w:rPr>
            </w:pPr>
            <w:r w:rsidRPr="000E5778">
              <w:rPr>
                <w:i/>
                <w:color w:val="000000"/>
                <w:sz w:val="16"/>
                <w:szCs w:val="16"/>
              </w:rPr>
              <w:t>24 (4.9%)</w:t>
            </w:r>
          </w:p>
        </w:tc>
      </w:tr>
    </w:tbl>
    <w:p w14:paraId="501F56C4" w14:textId="77777777" w:rsidR="00764782" w:rsidRDefault="008154B9" w:rsidP="00800E62">
      <w:pPr>
        <w:spacing w:after="0" w:line="240" w:lineRule="auto"/>
        <w:rPr>
          <w:i/>
          <w:sz w:val="18"/>
          <w:szCs w:val="18"/>
          <w:lang w:val="en-GB"/>
        </w:rPr>
      </w:pPr>
      <w:r>
        <w:rPr>
          <w:i/>
          <w:sz w:val="18"/>
          <w:szCs w:val="18"/>
          <w:lang w:val="en-GB"/>
        </w:rPr>
        <w:t>IMP</w:t>
      </w:r>
      <w:r w:rsidR="00764782">
        <w:rPr>
          <w:i/>
          <w:sz w:val="18"/>
          <w:szCs w:val="18"/>
          <w:lang w:val="en-GB"/>
        </w:rPr>
        <w:t>:</w:t>
      </w:r>
      <w:r w:rsidR="00F3702F">
        <w:rPr>
          <w:i/>
          <w:sz w:val="18"/>
          <w:szCs w:val="18"/>
          <w:lang w:val="en-GB"/>
        </w:rPr>
        <w:t xml:space="preserve"> </w:t>
      </w:r>
      <w:r w:rsidR="00367B80">
        <w:rPr>
          <w:i/>
          <w:sz w:val="18"/>
          <w:szCs w:val="18"/>
          <w:lang w:val="en-GB"/>
        </w:rPr>
        <w:t>investigational medicinal product. DFI</w:t>
      </w:r>
      <w:r w:rsidR="00764782">
        <w:rPr>
          <w:i/>
          <w:sz w:val="18"/>
          <w:szCs w:val="18"/>
          <w:lang w:val="en-GB"/>
        </w:rPr>
        <w:t xml:space="preserve">: </w:t>
      </w:r>
      <w:r w:rsidR="00367B80">
        <w:rPr>
          <w:i/>
          <w:sz w:val="18"/>
          <w:szCs w:val="18"/>
          <w:lang w:val="en-GB"/>
        </w:rPr>
        <w:t>disease free interval.</w:t>
      </w:r>
      <w:r>
        <w:rPr>
          <w:i/>
          <w:sz w:val="18"/>
          <w:szCs w:val="18"/>
          <w:lang w:val="en-GB"/>
        </w:rPr>
        <w:t xml:space="preserve"> </w:t>
      </w:r>
      <w:r w:rsidR="00576FE1" w:rsidRPr="003363FD">
        <w:rPr>
          <w:i/>
          <w:sz w:val="18"/>
          <w:szCs w:val="18"/>
          <w:lang w:val="en-GB"/>
        </w:rPr>
        <w:t xml:space="preserve"> </w:t>
      </w:r>
    </w:p>
    <w:p w14:paraId="1B352F3B" w14:textId="675326C1" w:rsidR="00576FE1" w:rsidRPr="00CB5252" w:rsidRDefault="00576FE1" w:rsidP="00800E62">
      <w:pPr>
        <w:spacing w:after="0" w:line="240" w:lineRule="auto"/>
        <w:rPr>
          <w:i/>
          <w:sz w:val="18"/>
          <w:szCs w:val="18"/>
          <w:lang w:val="en-GB"/>
        </w:rPr>
      </w:pPr>
      <w:r w:rsidRPr="003363FD">
        <w:rPr>
          <w:i/>
          <w:sz w:val="18"/>
          <w:szCs w:val="18"/>
          <w:lang w:val="en-GB"/>
        </w:rPr>
        <w:t>(</w:t>
      </w:r>
      <w:r w:rsidRPr="003363FD">
        <w:rPr>
          <w:i/>
          <w:sz w:val="18"/>
          <w:szCs w:val="18"/>
          <w:u w:val="single"/>
          <w:lang w:val="en-GB"/>
        </w:rPr>
        <w:t>Cross reference</w:t>
      </w:r>
      <w:r w:rsidRPr="003363FD">
        <w:rPr>
          <w:i/>
          <w:sz w:val="18"/>
          <w:szCs w:val="18"/>
          <w:lang w:val="en-GB"/>
        </w:rPr>
        <w:t xml:space="preserve">: Table 4 of Final Analysis Statistical Report dated </w:t>
      </w:r>
      <w:r w:rsidR="001B1571">
        <w:rPr>
          <w:i/>
          <w:sz w:val="18"/>
          <w:szCs w:val="18"/>
          <w:lang w:val="en-GB"/>
        </w:rPr>
        <w:t>4</w:t>
      </w:r>
      <w:r w:rsidR="001B1571" w:rsidRPr="001B1571">
        <w:rPr>
          <w:i/>
          <w:sz w:val="18"/>
          <w:szCs w:val="18"/>
          <w:vertAlign w:val="superscript"/>
          <w:lang w:val="en-GB"/>
        </w:rPr>
        <w:t>th</w:t>
      </w:r>
      <w:r w:rsidR="001B1571">
        <w:rPr>
          <w:i/>
          <w:sz w:val="18"/>
          <w:szCs w:val="18"/>
          <w:lang w:val="en-GB"/>
        </w:rPr>
        <w:t xml:space="preserve"> September</w:t>
      </w:r>
      <w:r w:rsidRPr="003363FD">
        <w:rPr>
          <w:i/>
          <w:sz w:val="18"/>
          <w:szCs w:val="18"/>
          <w:lang w:val="en-GB"/>
        </w:rPr>
        <w:t xml:space="preserve"> 2020).</w:t>
      </w:r>
    </w:p>
    <w:p w14:paraId="3DB0AFCD" w14:textId="77777777" w:rsidR="00576FE1" w:rsidRDefault="00576FE1" w:rsidP="00576FE1">
      <w:pPr>
        <w:rPr>
          <w:b/>
        </w:rPr>
        <w:sectPr w:rsidR="00576FE1" w:rsidSect="00B80F8B">
          <w:pgSz w:w="11906" w:h="16838"/>
          <w:pgMar w:top="1418" w:right="1701" w:bottom="1134" w:left="1701" w:header="708" w:footer="708" w:gutter="0"/>
          <w:cols w:space="708"/>
          <w:docGrid w:linePitch="360"/>
        </w:sectPr>
      </w:pPr>
    </w:p>
    <w:p w14:paraId="224B2C0E" w14:textId="2F559207" w:rsidR="008154B9" w:rsidRDefault="008154B9" w:rsidP="00800E62">
      <w:pPr>
        <w:pStyle w:val="Descripcin"/>
        <w:keepNext/>
        <w:ind w:firstLine="142"/>
        <w:outlineLvl w:val="0"/>
      </w:pPr>
      <w:bookmarkStart w:id="640" w:name="_Ref52426530"/>
      <w:bookmarkStart w:id="641" w:name="_Toc52446207"/>
      <w:bookmarkStart w:id="642" w:name="_Toc52468164"/>
      <w:r>
        <w:lastRenderedPageBreak/>
        <w:t xml:space="preserve">Table </w:t>
      </w:r>
      <w:r>
        <w:fldChar w:fldCharType="begin"/>
      </w:r>
      <w:r>
        <w:instrText xml:space="preserve"> SEQ Table \* ARABIC </w:instrText>
      </w:r>
      <w:r>
        <w:fldChar w:fldCharType="separate"/>
      </w:r>
      <w:r>
        <w:rPr>
          <w:noProof/>
        </w:rPr>
        <w:t>6</w:t>
      </w:r>
      <w:r>
        <w:fldChar w:fldCharType="end"/>
      </w:r>
      <w:bookmarkEnd w:id="640"/>
      <w:r>
        <w:t xml:space="preserve">. </w:t>
      </w:r>
      <w:r w:rsidRPr="00AC395B">
        <w:t>Summary of baseline characteristics (Intent-to-Treat population).</w:t>
      </w:r>
      <w:bookmarkEnd w:id="641"/>
      <w:bookmarkEnd w:id="642"/>
    </w:p>
    <w:tbl>
      <w:tblPr>
        <w:tblW w:w="8273" w:type="dxa"/>
        <w:jc w:val="center"/>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2119"/>
        <w:gridCol w:w="2268"/>
        <w:gridCol w:w="2119"/>
        <w:gridCol w:w="1767"/>
      </w:tblGrid>
      <w:tr w:rsidR="00576FE1" w:rsidRPr="00201B8E" w14:paraId="5C8C0939" w14:textId="77777777" w:rsidTr="00115CD6">
        <w:trPr>
          <w:cantSplit/>
          <w:trHeight w:val="533"/>
          <w:tblHeader/>
          <w:jc w:val="center"/>
        </w:trPr>
        <w:tc>
          <w:tcPr>
            <w:tcW w:w="2119" w:type="dxa"/>
            <w:tcBorders>
              <w:top w:val="single" w:sz="4" w:space="0" w:color="auto"/>
              <w:bottom w:val="single" w:sz="4" w:space="0" w:color="auto"/>
            </w:tcBorders>
            <w:shd w:val="clear" w:color="auto" w:fill="auto"/>
            <w:tcMar>
              <w:left w:w="60" w:type="dxa"/>
              <w:right w:w="60" w:type="dxa"/>
            </w:tcMar>
            <w:vAlign w:val="center"/>
          </w:tcPr>
          <w:p w14:paraId="2339E7A7" w14:textId="77777777" w:rsidR="00576FE1" w:rsidRPr="00201B8E" w:rsidRDefault="00576FE1" w:rsidP="00115CD6">
            <w:pPr>
              <w:keepNext/>
              <w:adjustRightInd w:val="0"/>
              <w:spacing w:before="40" w:after="40" w:line="240" w:lineRule="auto"/>
              <w:rPr>
                <w:b/>
                <w:bCs/>
                <w:color w:val="000000"/>
                <w:sz w:val="18"/>
                <w:szCs w:val="18"/>
                <w:lang w:val="en-GB"/>
              </w:rPr>
            </w:pPr>
          </w:p>
        </w:tc>
        <w:tc>
          <w:tcPr>
            <w:tcW w:w="2268" w:type="dxa"/>
            <w:tcBorders>
              <w:top w:val="single" w:sz="4" w:space="0" w:color="auto"/>
              <w:bottom w:val="single" w:sz="4" w:space="0" w:color="auto"/>
            </w:tcBorders>
            <w:shd w:val="clear" w:color="auto" w:fill="auto"/>
            <w:tcMar>
              <w:left w:w="60" w:type="dxa"/>
              <w:right w:w="60" w:type="dxa"/>
            </w:tcMar>
            <w:vAlign w:val="center"/>
          </w:tcPr>
          <w:p w14:paraId="7F78C0CA" w14:textId="77777777" w:rsidR="00576FE1" w:rsidRPr="00201B8E" w:rsidRDefault="00576FE1" w:rsidP="00115CD6">
            <w:pPr>
              <w:keepNext/>
              <w:adjustRightInd w:val="0"/>
              <w:spacing w:before="40" w:after="40" w:line="240" w:lineRule="auto"/>
              <w:jc w:val="center"/>
              <w:rPr>
                <w:b/>
                <w:bCs/>
                <w:color w:val="000000"/>
                <w:sz w:val="18"/>
                <w:szCs w:val="18"/>
              </w:rPr>
            </w:pPr>
            <w:r>
              <w:rPr>
                <w:b/>
                <w:bCs/>
                <w:color w:val="000000"/>
                <w:sz w:val="18"/>
                <w:szCs w:val="18"/>
              </w:rPr>
              <w:t>Palbociclib-</w:t>
            </w:r>
            <w:proofErr w:type="spellStart"/>
            <w:r w:rsidRPr="00201B8E">
              <w:rPr>
                <w:b/>
                <w:bCs/>
                <w:color w:val="000000"/>
                <w:sz w:val="18"/>
                <w:szCs w:val="18"/>
              </w:rPr>
              <w:t>Fulvestrant</w:t>
            </w:r>
            <w:proofErr w:type="spellEnd"/>
            <w:r w:rsidRPr="00201B8E">
              <w:rPr>
                <w:b/>
                <w:bCs/>
                <w:color w:val="000000"/>
                <w:sz w:val="18"/>
                <w:szCs w:val="18"/>
              </w:rPr>
              <w:t xml:space="preserve"> </w:t>
            </w:r>
          </w:p>
          <w:p w14:paraId="5688FE64" w14:textId="77777777" w:rsidR="00576FE1" w:rsidRPr="00CB5252" w:rsidRDefault="00576FE1" w:rsidP="00115CD6">
            <w:pPr>
              <w:keepNext/>
              <w:adjustRightInd w:val="0"/>
              <w:spacing w:before="40" w:after="40" w:line="240" w:lineRule="auto"/>
              <w:jc w:val="center"/>
              <w:rPr>
                <w:bCs/>
                <w:color w:val="000000"/>
                <w:sz w:val="18"/>
                <w:szCs w:val="18"/>
              </w:rPr>
            </w:pPr>
            <w:r w:rsidRPr="00CB5252">
              <w:rPr>
                <w:bCs/>
                <w:color w:val="000000"/>
                <w:sz w:val="18"/>
                <w:szCs w:val="18"/>
              </w:rPr>
              <w:t>(N=243)</w:t>
            </w:r>
          </w:p>
        </w:tc>
        <w:tc>
          <w:tcPr>
            <w:tcW w:w="2119" w:type="dxa"/>
            <w:tcBorders>
              <w:top w:val="single" w:sz="4" w:space="0" w:color="auto"/>
              <w:bottom w:val="single" w:sz="4" w:space="0" w:color="auto"/>
            </w:tcBorders>
            <w:shd w:val="clear" w:color="auto" w:fill="auto"/>
            <w:tcMar>
              <w:left w:w="60" w:type="dxa"/>
              <w:right w:w="60" w:type="dxa"/>
            </w:tcMar>
            <w:vAlign w:val="center"/>
          </w:tcPr>
          <w:p w14:paraId="609429A7" w14:textId="77777777" w:rsidR="00576FE1" w:rsidRPr="00201B8E" w:rsidRDefault="00576FE1" w:rsidP="00115CD6">
            <w:pPr>
              <w:keepNext/>
              <w:adjustRightInd w:val="0"/>
              <w:spacing w:before="40" w:after="40" w:line="240" w:lineRule="auto"/>
              <w:jc w:val="center"/>
              <w:rPr>
                <w:b/>
                <w:bCs/>
                <w:color w:val="000000"/>
                <w:sz w:val="18"/>
                <w:szCs w:val="18"/>
              </w:rPr>
            </w:pPr>
            <w:r>
              <w:rPr>
                <w:b/>
                <w:bCs/>
                <w:color w:val="000000"/>
                <w:sz w:val="18"/>
                <w:szCs w:val="18"/>
              </w:rPr>
              <w:t>Palbociclib-</w:t>
            </w:r>
            <w:r w:rsidRPr="00201B8E">
              <w:rPr>
                <w:b/>
                <w:bCs/>
                <w:color w:val="000000"/>
                <w:sz w:val="18"/>
                <w:szCs w:val="18"/>
              </w:rPr>
              <w:t xml:space="preserve">Letrozole </w:t>
            </w:r>
          </w:p>
          <w:p w14:paraId="2F0ED804" w14:textId="77777777" w:rsidR="00576FE1" w:rsidRPr="00CB5252" w:rsidRDefault="00576FE1" w:rsidP="00115CD6">
            <w:pPr>
              <w:keepNext/>
              <w:adjustRightInd w:val="0"/>
              <w:spacing w:before="40" w:after="40" w:line="240" w:lineRule="auto"/>
              <w:jc w:val="center"/>
              <w:rPr>
                <w:bCs/>
                <w:color w:val="000000"/>
                <w:sz w:val="18"/>
                <w:szCs w:val="18"/>
              </w:rPr>
            </w:pPr>
            <w:r w:rsidRPr="00CB5252">
              <w:rPr>
                <w:bCs/>
                <w:color w:val="000000"/>
                <w:sz w:val="18"/>
                <w:szCs w:val="18"/>
              </w:rPr>
              <w:t>(N=243)</w:t>
            </w:r>
          </w:p>
        </w:tc>
        <w:tc>
          <w:tcPr>
            <w:tcW w:w="1767" w:type="dxa"/>
            <w:tcBorders>
              <w:top w:val="single" w:sz="4" w:space="0" w:color="auto"/>
              <w:bottom w:val="single" w:sz="4" w:space="0" w:color="auto"/>
            </w:tcBorders>
            <w:shd w:val="clear" w:color="auto" w:fill="auto"/>
            <w:tcMar>
              <w:left w:w="60" w:type="dxa"/>
              <w:right w:w="60" w:type="dxa"/>
            </w:tcMar>
            <w:vAlign w:val="center"/>
          </w:tcPr>
          <w:p w14:paraId="6781DDF4" w14:textId="77777777" w:rsidR="00576FE1" w:rsidRPr="00201B8E" w:rsidRDefault="00576FE1" w:rsidP="00115CD6">
            <w:pPr>
              <w:keepNext/>
              <w:adjustRightInd w:val="0"/>
              <w:spacing w:before="40" w:after="40" w:line="240" w:lineRule="auto"/>
              <w:jc w:val="center"/>
              <w:rPr>
                <w:b/>
                <w:bCs/>
                <w:color w:val="000000"/>
                <w:sz w:val="18"/>
                <w:szCs w:val="18"/>
              </w:rPr>
            </w:pPr>
            <w:r w:rsidRPr="00201B8E">
              <w:rPr>
                <w:b/>
                <w:bCs/>
                <w:color w:val="000000"/>
                <w:sz w:val="18"/>
                <w:szCs w:val="18"/>
              </w:rPr>
              <w:t xml:space="preserve">Overall </w:t>
            </w:r>
          </w:p>
          <w:p w14:paraId="7C2CC4EF" w14:textId="77777777" w:rsidR="00576FE1" w:rsidRPr="00CB5252" w:rsidRDefault="00576FE1" w:rsidP="00115CD6">
            <w:pPr>
              <w:keepNext/>
              <w:adjustRightInd w:val="0"/>
              <w:spacing w:before="40" w:after="40" w:line="240" w:lineRule="auto"/>
              <w:jc w:val="center"/>
              <w:rPr>
                <w:bCs/>
                <w:color w:val="000000"/>
                <w:sz w:val="18"/>
                <w:szCs w:val="18"/>
              </w:rPr>
            </w:pPr>
            <w:r w:rsidRPr="00CB5252">
              <w:rPr>
                <w:bCs/>
                <w:color w:val="000000"/>
                <w:sz w:val="18"/>
                <w:szCs w:val="18"/>
              </w:rPr>
              <w:t>(N=486)</w:t>
            </w:r>
          </w:p>
        </w:tc>
      </w:tr>
      <w:tr w:rsidR="00576FE1" w:rsidRPr="00201B8E" w14:paraId="621DB41E" w14:textId="77777777" w:rsidTr="00115CD6">
        <w:trPr>
          <w:cantSplit/>
          <w:trHeight w:val="280"/>
          <w:jc w:val="center"/>
        </w:trPr>
        <w:tc>
          <w:tcPr>
            <w:tcW w:w="0" w:type="auto"/>
            <w:gridSpan w:val="4"/>
            <w:tcBorders>
              <w:top w:val="single" w:sz="4" w:space="0" w:color="auto"/>
            </w:tcBorders>
            <w:shd w:val="clear" w:color="auto" w:fill="auto"/>
            <w:tcMar>
              <w:left w:w="60" w:type="dxa"/>
              <w:right w:w="60" w:type="dxa"/>
            </w:tcMar>
            <w:vAlign w:val="center"/>
          </w:tcPr>
          <w:p w14:paraId="034AA80D" w14:textId="77777777" w:rsidR="00576FE1" w:rsidRPr="00201B8E" w:rsidRDefault="00576FE1" w:rsidP="00115CD6">
            <w:pPr>
              <w:keepNext/>
              <w:adjustRightInd w:val="0"/>
              <w:spacing w:before="40" w:after="40" w:line="240" w:lineRule="auto"/>
              <w:rPr>
                <w:b/>
                <w:bCs/>
                <w:color w:val="000000"/>
                <w:sz w:val="18"/>
                <w:szCs w:val="18"/>
              </w:rPr>
            </w:pPr>
            <w:r w:rsidRPr="00201B8E">
              <w:rPr>
                <w:b/>
                <w:bCs/>
                <w:color w:val="000000"/>
                <w:sz w:val="18"/>
                <w:szCs w:val="18"/>
              </w:rPr>
              <w:t>Age (years)</w:t>
            </w:r>
          </w:p>
        </w:tc>
      </w:tr>
      <w:tr w:rsidR="00576FE1" w:rsidRPr="00201B8E" w14:paraId="24808228" w14:textId="77777777" w:rsidTr="00115CD6">
        <w:trPr>
          <w:cantSplit/>
          <w:trHeight w:val="293"/>
          <w:jc w:val="center"/>
        </w:trPr>
        <w:tc>
          <w:tcPr>
            <w:tcW w:w="2119" w:type="dxa"/>
            <w:shd w:val="clear" w:color="auto" w:fill="auto"/>
            <w:tcMar>
              <w:left w:w="60" w:type="dxa"/>
              <w:right w:w="60" w:type="dxa"/>
            </w:tcMar>
            <w:vAlign w:val="center"/>
          </w:tcPr>
          <w:p w14:paraId="2893C1FD"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N</w:t>
            </w:r>
          </w:p>
        </w:tc>
        <w:tc>
          <w:tcPr>
            <w:tcW w:w="2268" w:type="dxa"/>
            <w:shd w:val="clear" w:color="auto" w:fill="auto"/>
            <w:tcMar>
              <w:left w:w="60" w:type="dxa"/>
              <w:right w:w="60" w:type="dxa"/>
            </w:tcMar>
            <w:vAlign w:val="center"/>
          </w:tcPr>
          <w:p w14:paraId="4785BE4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243</w:t>
            </w:r>
          </w:p>
        </w:tc>
        <w:tc>
          <w:tcPr>
            <w:tcW w:w="2119" w:type="dxa"/>
            <w:shd w:val="clear" w:color="auto" w:fill="auto"/>
            <w:tcMar>
              <w:left w:w="60" w:type="dxa"/>
              <w:right w:w="60" w:type="dxa"/>
            </w:tcMar>
            <w:vAlign w:val="center"/>
          </w:tcPr>
          <w:p w14:paraId="70E1B2E9"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243</w:t>
            </w:r>
          </w:p>
        </w:tc>
        <w:tc>
          <w:tcPr>
            <w:tcW w:w="1767" w:type="dxa"/>
            <w:shd w:val="clear" w:color="auto" w:fill="auto"/>
            <w:tcMar>
              <w:left w:w="60" w:type="dxa"/>
              <w:right w:w="60" w:type="dxa"/>
            </w:tcMar>
            <w:vAlign w:val="center"/>
          </w:tcPr>
          <w:p w14:paraId="1D997DEC"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486</w:t>
            </w:r>
          </w:p>
        </w:tc>
      </w:tr>
      <w:tr w:rsidR="00576FE1" w:rsidRPr="00201B8E" w14:paraId="315EDEF9" w14:textId="77777777" w:rsidTr="00115CD6">
        <w:trPr>
          <w:cantSplit/>
          <w:trHeight w:val="280"/>
          <w:jc w:val="center"/>
        </w:trPr>
        <w:tc>
          <w:tcPr>
            <w:tcW w:w="2119" w:type="dxa"/>
            <w:shd w:val="clear" w:color="auto" w:fill="auto"/>
            <w:tcMar>
              <w:left w:w="60" w:type="dxa"/>
              <w:right w:w="60" w:type="dxa"/>
            </w:tcMar>
            <w:vAlign w:val="center"/>
          </w:tcPr>
          <w:p w14:paraId="710DED94"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Mean (SD)</w:t>
            </w:r>
          </w:p>
        </w:tc>
        <w:tc>
          <w:tcPr>
            <w:tcW w:w="2268" w:type="dxa"/>
            <w:shd w:val="clear" w:color="auto" w:fill="auto"/>
            <w:tcMar>
              <w:left w:w="60" w:type="dxa"/>
              <w:right w:w="60" w:type="dxa"/>
            </w:tcMar>
            <w:vAlign w:val="center"/>
          </w:tcPr>
          <w:p w14:paraId="3E6037A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62.3 (11.4)</w:t>
            </w:r>
          </w:p>
        </w:tc>
        <w:tc>
          <w:tcPr>
            <w:tcW w:w="2119" w:type="dxa"/>
            <w:shd w:val="clear" w:color="auto" w:fill="auto"/>
            <w:tcMar>
              <w:left w:w="60" w:type="dxa"/>
              <w:right w:w="60" w:type="dxa"/>
            </w:tcMar>
            <w:vAlign w:val="center"/>
          </w:tcPr>
          <w:p w14:paraId="0C45043A"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61.9 (10.7)</w:t>
            </w:r>
          </w:p>
        </w:tc>
        <w:tc>
          <w:tcPr>
            <w:tcW w:w="1767" w:type="dxa"/>
            <w:shd w:val="clear" w:color="auto" w:fill="auto"/>
            <w:tcMar>
              <w:left w:w="60" w:type="dxa"/>
              <w:right w:w="60" w:type="dxa"/>
            </w:tcMar>
            <w:vAlign w:val="center"/>
          </w:tcPr>
          <w:p w14:paraId="4EBFDBC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62.1 (11.0)</w:t>
            </w:r>
          </w:p>
        </w:tc>
      </w:tr>
      <w:tr w:rsidR="00576FE1" w:rsidRPr="00201B8E" w14:paraId="79B9348E" w14:textId="77777777" w:rsidTr="00115CD6">
        <w:trPr>
          <w:cantSplit/>
          <w:trHeight w:val="293"/>
          <w:jc w:val="center"/>
        </w:trPr>
        <w:tc>
          <w:tcPr>
            <w:tcW w:w="2119" w:type="dxa"/>
            <w:shd w:val="clear" w:color="auto" w:fill="auto"/>
            <w:tcMar>
              <w:left w:w="60" w:type="dxa"/>
              <w:right w:w="60" w:type="dxa"/>
            </w:tcMar>
            <w:vAlign w:val="center"/>
          </w:tcPr>
          <w:p w14:paraId="1F9CB819"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Median (Min, Max)</w:t>
            </w:r>
          </w:p>
        </w:tc>
        <w:tc>
          <w:tcPr>
            <w:tcW w:w="2268" w:type="dxa"/>
            <w:shd w:val="clear" w:color="auto" w:fill="auto"/>
            <w:tcMar>
              <w:left w:w="60" w:type="dxa"/>
              <w:right w:w="60" w:type="dxa"/>
            </w:tcMar>
            <w:vAlign w:val="center"/>
          </w:tcPr>
          <w:p w14:paraId="5A4F4F0D"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64.0 (25.0, 88.0)</w:t>
            </w:r>
          </w:p>
        </w:tc>
        <w:tc>
          <w:tcPr>
            <w:tcW w:w="2119" w:type="dxa"/>
            <w:shd w:val="clear" w:color="auto" w:fill="auto"/>
            <w:tcMar>
              <w:left w:w="60" w:type="dxa"/>
              <w:right w:w="60" w:type="dxa"/>
            </w:tcMar>
            <w:vAlign w:val="center"/>
          </w:tcPr>
          <w:p w14:paraId="2F9899DD"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62.0 (35.0, 90.0)</w:t>
            </w:r>
          </w:p>
        </w:tc>
        <w:tc>
          <w:tcPr>
            <w:tcW w:w="1767" w:type="dxa"/>
            <w:shd w:val="clear" w:color="auto" w:fill="auto"/>
            <w:tcMar>
              <w:left w:w="60" w:type="dxa"/>
              <w:right w:w="60" w:type="dxa"/>
            </w:tcMar>
            <w:vAlign w:val="center"/>
          </w:tcPr>
          <w:p w14:paraId="0C537B9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63.0 (25.0, 90.0)</w:t>
            </w:r>
          </w:p>
        </w:tc>
      </w:tr>
      <w:tr w:rsidR="00576FE1" w:rsidRPr="00201B8E" w14:paraId="169A7C82" w14:textId="77777777" w:rsidTr="00115CD6">
        <w:trPr>
          <w:cantSplit/>
          <w:trHeight w:val="280"/>
          <w:jc w:val="center"/>
        </w:trPr>
        <w:tc>
          <w:tcPr>
            <w:tcW w:w="2119" w:type="dxa"/>
            <w:shd w:val="clear" w:color="auto" w:fill="auto"/>
            <w:tcMar>
              <w:left w:w="60" w:type="dxa"/>
              <w:right w:w="60" w:type="dxa"/>
            </w:tcMar>
            <w:vAlign w:val="center"/>
          </w:tcPr>
          <w:p w14:paraId="51223095"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P25, P75</w:t>
            </w:r>
          </w:p>
        </w:tc>
        <w:tc>
          <w:tcPr>
            <w:tcW w:w="2268" w:type="dxa"/>
            <w:shd w:val="clear" w:color="auto" w:fill="auto"/>
            <w:tcMar>
              <w:left w:w="60" w:type="dxa"/>
              <w:right w:w="60" w:type="dxa"/>
            </w:tcMar>
            <w:vAlign w:val="center"/>
          </w:tcPr>
          <w:p w14:paraId="27AEADD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55.0, 70.0</w:t>
            </w:r>
          </w:p>
        </w:tc>
        <w:tc>
          <w:tcPr>
            <w:tcW w:w="2119" w:type="dxa"/>
            <w:shd w:val="clear" w:color="auto" w:fill="auto"/>
            <w:tcMar>
              <w:left w:w="60" w:type="dxa"/>
              <w:right w:w="60" w:type="dxa"/>
            </w:tcMar>
            <w:vAlign w:val="center"/>
          </w:tcPr>
          <w:p w14:paraId="7350695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54.0, 70.0</w:t>
            </w:r>
          </w:p>
        </w:tc>
        <w:tc>
          <w:tcPr>
            <w:tcW w:w="1767" w:type="dxa"/>
            <w:shd w:val="clear" w:color="auto" w:fill="auto"/>
            <w:tcMar>
              <w:left w:w="60" w:type="dxa"/>
              <w:right w:w="60" w:type="dxa"/>
            </w:tcMar>
            <w:vAlign w:val="center"/>
          </w:tcPr>
          <w:p w14:paraId="6EE65D69"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54.0, 70.0</w:t>
            </w:r>
          </w:p>
        </w:tc>
      </w:tr>
      <w:tr w:rsidR="00576FE1" w:rsidRPr="00201B8E" w14:paraId="0F8F0587" w14:textId="77777777" w:rsidTr="00115CD6">
        <w:trPr>
          <w:cantSplit/>
          <w:trHeight w:val="293"/>
          <w:jc w:val="center"/>
        </w:trPr>
        <w:tc>
          <w:tcPr>
            <w:tcW w:w="0" w:type="auto"/>
            <w:gridSpan w:val="4"/>
            <w:shd w:val="clear" w:color="auto" w:fill="auto"/>
            <w:tcMar>
              <w:left w:w="60" w:type="dxa"/>
              <w:right w:w="60" w:type="dxa"/>
            </w:tcMar>
            <w:vAlign w:val="center"/>
          </w:tcPr>
          <w:p w14:paraId="3FA74857" w14:textId="77777777" w:rsidR="00576FE1" w:rsidRPr="00201B8E" w:rsidRDefault="00576FE1" w:rsidP="00115CD6">
            <w:pPr>
              <w:keepNext/>
              <w:adjustRightInd w:val="0"/>
              <w:spacing w:before="40" w:after="40" w:line="240" w:lineRule="auto"/>
              <w:rPr>
                <w:b/>
                <w:bCs/>
                <w:color w:val="000000"/>
                <w:sz w:val="18"/>
                <w:szCs w:val="18"/>
              </w:rPr>
            </w:pPr>
            <w:r w:rsidRPr="00201B8E">
              <w:rPr>
                <w:b/>
                <w:bCs/>
                <w:color w:val="000000"/>
                <w:sz w:val="18"/>
                <w:szCs w:val="18"/>
              </w:rPr>
              <w:t>Race</w:t>
            </w:r>
          </w:p>
        </w:tc>
      </w:tr>
      <w:tr w:rsidR="00576FE1" w:rsidRPr="00201B8E" w14:paraId="0FAB73B8" w14:textId="77777777" w:rsidTr="00115CD6">
        <w:trPr>
          <w:cantSplit/>
          <w:trHeight w:val="280"/>
          <w:jc w:val="center"/>
        </w:trPr>
        <w:tc>
          <w:tcPr>
            <w:tcW w:w="2119" w:type="dxa"/>
            <w:shd w:val="clear" w:color="auto" w:fill="auto"/>
            <w:tcMar>
              <w:left w:w="60" w:type="dxa"/>
              <w:right w:w="60" w:type="dxa"/>
            </w:tcMar>
            <w:vAlign w:val="center"/>
          </w:tcPr>
          <w:p w14:paraId="7CD3D04D"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Caucasian</w:t>
            </w:r>
          </w:p>
        </w:tc>
        <w:tc>
          <w:tcPr>
            <w:tcW w:w="2268" w:type="dxa"/>
            <w:shd w:val="clear" w:color="auto" w:fill="auto"/>
            <w:tcMar>
              <w:left w:w="60" w:type="dxa"/>
              <w:right w:w="60" w:type="dxa"/>
            </w:tcMar>
            <w:vAlign w:val="center"/>
          </w:tcPr>
          <w:p w14:paraId="64EB060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231 (97.9%)</w:t>
            </w:r>
          </w:p>
        </w:tc>
        <w:tc>
          <w:tcPr>
            <w:tcW w:w="2119" w:type="dxa"/>
            <w:shd w:val="clear" w:color="auto" w:fill="auto"/>
            <w:tcMar>
              <w:left w:w="60" w:type="dxa"/>
              <w:right w:w="60" w:type="dxa"/>
            </w:tcMar>
            <w:vAlign w:val="center"/>
          </w:tcPr>
          <w:p w14:paraId="2752C4F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230 (99.1%)</w:t>
            </w:r>
          </w:p>
        </w:tc>
        <w:tc>
          <w:tcPr>
            <w:tcW w:w="1767" w:type="dxa"/>
            <w:shd w:val="clear" w:color="auto" w:fill="auto"/>
            <w:tcMar>
              <w:left w:w="60" w:type="dxa"/>
              <w:right w:w="60" w:type="dxa"/>
            </w:tcMar>
            <w:vAlign w:val="center"/>
          </w:tcPr>
          <w:p w14:paraId="2D5ACE5C"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461 (98.5%)</w:t>
            </w:r>
          </w:p>
        </w:tc>
      </w:tr>
      <w:tr w:rsidR="00576FE1" w:rsidRPr="00201B8E" w14:paraId="4D2314F4" w14:textId="77777777" w:rsidTr="00115CD6">
        <w:trPr>
          <w:cantSplit/>
          <w:trHeight w:val="293"/>
          <w:jc w:val="center"/>
        </w:trPr>
        <w:tc>
          <w:tcPr>
            <w:tcW w:w="2119" w:type="dxa"/>
            <w:shd w:val="clear" w:color="auto" w:fill="auto"/>
            <w:tcMar>
              <w:left w:w="60" w:type="dxa"/>
              <w:right w:w="60" w:type="dxa"/>
            </w:tcMar>
            <w:vAlign w:val="center"/>
          </w:tcPr>
          <w:p w14:paraId="3F831A95"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Black</w:t>
            </w:r>
          </w:p>
        </w:tc>
        <w:tc>
          <w:tcPr>
            <w:tcW w:w="2268" w:type="dxa"/>
            <w:shd w:val="clear" w:color="auto" w:fill="auto"/>
            <w:tcMar>
              <w:left w:w="60" w:type="dxa"/>
              <w:right w:w="60" w:type="dxa"/>
            </w:tcMar>
            <w:vAlign w:val="center"/>
          </w:tcPr>
          <w:p w14:paraId="239F9D9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 (1.3%)</w:t>
            </w:r>
          </w:p>
        </w:tc>
        <w:tc>
          <w:tcPr>
            <w:tcW w:w="2119" w:type="dxa"/>
            <w:shd w:val="clear" w:color="auto" w:fill="auto"/>
            <w:tcMar>
              <w:left w:w="60" w:type="dxa"/>
              <w:right w:w="60" w:type="dxa"/>
            </w:tcMar>
            <w:vAlign w:val="center"/>
          </w:tcPr>
          <w:p w14:paraId="3D6CC2E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 (0.4%)</w:t>
            </w:r>
          </w:p>
        </w:tc>
        <w:tc>
          <w:tcPr>
            <w:tcW w:w="1767" w:type="dxa"/>
            <w:shd w:val="clear" w:color="auto" w:fill="auto"/>
            <w:tcMar>
              <w:left w:w="60" w:type="dxa"/>
              <w:right w:w="60" w:type="dxa"/>
            </w:tcMar>
            <w:vAlign w:val="center"/>
          </w:tcPr>
          <w:p w14:paraId="107E021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 (0.9%)</w:t>
            </w:r>
          </w:p>
        </w:tc>
      </w:tr>
      <w:tr w:rsidR="00576FE1" w:rsidRPr="00201B8E" w14:paraId="1E02E5DD" w14:textId="77777777" w:rsidTr="00115CD6">
        <w:trPr>
          <w:cantSplit/>
          <w:trHeight w:val="280"/>
          <w:jc w:val="center"/>
        </w:trPr>
        <w:tc>
          <w:tcPr>
            <w:tcW w:w="2119" w:type="dxa"/>
            <w:shd w:val="clear" w:color="auto" w:fill="auto"/>
            <w:tcMar>
              <w:left w:w="60" w:type="dxa"/>
              <w:right w:w="60" w:type="dxa"/>
            </w:tcMar>
            <w:vAlign w:val="center"/>
          </w:tcPr>
          <w:p w14:paraId="55E7C45C"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Asian</w:t>
            </w:r>
          </w:p>
        </w:tc>
        <w:tc>
          <w:tcPr>
            <w:tcW w:w="2268" w:type="dxa"/>
            <w:shd w:val="clear" w:color="auto" w:fill="auto"/>
            <w:tcMar>
              <w:left w:w="60" w:type="dxa"/>
              <w:right w:w="60" w:type="dxa"/>
            </w:tcMar>
            <w:vAlign w:val="center"/>
          </w:tcPr>
          <w:p w14:paraId="3764D09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 (0.8%)</w:t>
            </w:r>
          </w:p>
        </w:tc>
        <w:tc>
          <w:tcPr>
            <w:tcW w:w="2119" w:type="dxa"/>
            <w:shd w:val="clear" w:color="auto" w:fill="auto"/>
            <w:tcMar>
              <w:left w:w="60" w:type="dxa"/>
              <w:right w:w="60" w:type="dxa"/>
            </w:tcMar>
            <w:vAlign w:val="center"/>
          </w:tcPr>
          <w:p w14:paraId="31A3228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 (0.4%)</w:t>
            </w:r>
          </w:p>
        </w:tc>
        <w:tc>
          <w:tcPr>
            <w:tcW w:w="1767" w:type="dxa"/>
            <w:shd w:val="clear" w:color="auto" w:fill="auto"/>
            <w:tcMar>
              <w:left w:w="60" w:type="dxa"/>
              <w:right w:w="60" w:type="dxa"/>
            </w:tcMar>
            <w:vAlign w:val="center"/>
          </w:tcPr>
          <w:p w14:paraId="5A70373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 (0.6%)</w:t>
            </w:r>
          </w:p>
        </w:tc>
      </w:tr>
      <w:tr w:rsidR="00576FE1" w:rsidRPr="00201B8E" w14:paraId="435C3372" w14:textId="77777777" w:rsidTr="00115CD6">
        <w:trPr>
          <w:cantSplit/>
          <w:trHeight w:val="293"/>
          <w:jc w:val="center"/>
        </w:trPr>
        <w:tc>
          <w:tcPr>
            <w:tcW w:w="2119" w:type="dxa"/>
            <w:shd w:val="clear" w:color="auto" w:fill="auto"/>
            <w:tcMar>
              <w:left w:w="60" w:type="dxa"/>
              <w:right w:w="60" w:type="dxa"/>
            </w:tcMar>
            <w:vAlign w:val="center"/>
          </w:tcPr>
          <w:p w14:paraId="7039218E"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Missing</w:t>
            </w:r>
          </w:p>
        </w:tc>
        <w:tc>
          <w:tcPr>
            <w:tcW w:w="2268" w:type="dxa"/>
            <w:shd w:val="clear" w:color="auto" w:fill="auto"/>
            <w:tcMar>
              <w:left w:w="60" w:type="dxa"/>
              <w:right w:w="60" w:type="dxa"/>
            </w:tcMar>
            <w:vAlign w:val="center"/>
          </w:tcPr>
          <w:p w14:paraId="5AC92F5C"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7</w:t>
            </w:r>
          </w:p>
        </w:tc>
        <w:tc>
          <w:tcPr>
            <w:tcW w:w="2119" w:type="dxa"/>
            <w:shd w:val="clear" w:color="auto" w:fill="auto"/>
            <w:tcMar>
              <w:left w:w="60" w:type="dxa"/>
              <w:right w:w="60" w:type="dxa"/>
            </w:tcMar>
            <w:vAlign w:val="center"/>
          </w:tcPr>
          <w:p w14:paraId="732AB01D"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11</w:t>
            </w:r>
          </w:p>
        </w:tc>
        <w:tc>
          <w:tcPr>
            <w:tcW w:w="1767" w:type="dxa"/>
            <w:shd w:val="clear" w:color="auto" w:fill="auto"/>
            <w:tcMar>
              <w:left w:w="60" w:type="dxa"/>
              <w:right w:w="60" w:type="dxa"/>
            </w:tcMar>
            <w:vAlign w:val="center"/>
          </w:tcPr>
          <w:p w14:paraId="47B3449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18</w:t>
            </w:r>
          </w:p>
        </w:tc>
      </w:tr>
      <w:tr w:rsidR="00576FE1" w:rsidRPr="00201B8E" w14:paraId="67E31423" w14:textId="77777777" w:rsidTr="00115CD6">
        <w:trPr>
          <w:cantSplit/>
          <w:trHeight w:val="280"/>
          <w:jc w:val="center"/>
        </w:trPr>
        <w:tc>
          <w:tcPr>
            <w:tcW w:w="0" w:type="auto"/>
            <w:gridSpan w:val="4"/>
            <w:shd w:val="clear" w:color="auto" w:fill="auto"/>
            <w:tcMar>
              <w:left w:w="60" w:type="dxa"/>
              <w:right w:w="60" w:type="dxa"/>
            </w:tcMar>
            <w:vAlign w:val="center"/>
          </w:tcPr>
          <w:p w14:paraId="432E7248" w14:textId="77777777" w:rsidR="00576FE1" w:rsidRPr="00201B8E" w:rsidRDefault="00576FE1" w:rsidP="00115CD6">
            <w:pPr>
              <w:keepNext/>
              <w:adjustRightInd w:val="0"/>
              <w:spacing w:before="40" w:after="40" w:line="240" w:lineRule="auto"/>
              <w:rPr>
                <w:b/>
                <w:bCs/>
                <w:color w:val="000000"/>
                <w:sz w:val="18"/>
                <w:szCs w:val="18"/>
              </w:rPr>
            </w:pPr>
            <w:r w:rsidRPr="00201B8E">
              <w:rPr>
                <w:b/>
                <w:bCs/>
                <w:color w:val="000000"/>
                <w:sz w:val="18"/>
                <w:szCs w:val="18"/>
              </w:rPr>
              <w:t>Country (number of centers)</w:t>
            </w:r>
          </w:p>
        </w:tc>
      </w:tr>
      <w:tr w:rsidR="00576FE1" w:rsidRPr="00201B8E" w14:paraId="3BEA9C68" w14:textId="77777777" w:rsidTr="00115CD6">
        <w:trPr>
          <w:cantSplit/>
          <w:trHeight w:val="293"/>
          <w:jc w:val="center"/>
        </w:trPr>
        <w:tc>
          <w:tcPr>
            <w:tcW w:w="2119" w:type="dxa"/>
            <w:shd w:val="clear" w:color="auto" w:fill="auto"/>
            <w:tcMar>
              <w:left w:w="60" w:type="dxa"/>
              <w:right w:w="60" w:type="dxa"/>
            </w:tcMar>
            <w:vAlign w:val="center"/>
          </w:tcPr>
          <w:p w14:paraId="0D8876B5"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Spain (19)</w:t>
            </w:r>
          </w:p>
        </w:tc>
        <w:tc>
          <w:tcPr>
            <w:tcW w:w="2268" w:type="dxa"/>
            <w:shd w:val="clear" w:color="auto" w:fill="auto"/>
            <w:tcMar>
              <w:left w:w="60" w:type="dxa"/>
              <w:right w:w="60" w:type="dxa"/>
            </w:tcMar>
            <w:vAlign w:val="center"/>
          </w:tcPr>
          <w:p w14:paraId="473EB81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130 (53.5%)</w:t>
            </w:r>
          </w:p>
        </w:tc>
        <w:tc>
          <w:tcPr>
            <w:tcW w:w="2119" w:type="dxa"/>
            <w:shd w:val="clear" w:color="auto" w:fill="auto"/>
            <w:tcMar>
              <w:left w:w="60" w:type="dxa"/>
              <w:right w:w="60" w:type="dxa"/>
            </w:tcMar>
            <w:vAlign w:val="center"/>
          </w:tcPr>
          <w:p w14:paraId="4C2A6A3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125 (51.4%)</w:t>
            </w:r>
          </w:p>
        </w:tc>
        <w:tc>
          <w:tcPr>
            <w:tcW w:w="1767" w:type="dxa"/>
            <w:shd w:val="clear" w:color="auto" w:fill="auto"/>
            <w:tcMar>
              <w:left w:w="60" w:type="dxa"/>
              <w:right w:w="60" w:type="dxa"/>
            </w:tcMar>
            <w:vAlign w:val="center"/>
          </w:tcPr>
          <w:p w14:paraId="1239512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255 (52.5%)</w:t>
            </w:r>
          </w:p>
        </w:tc>
      </w:tr>
      <w:tr w:rsidR="00576FE1" w:rsidRPr="00201B8E" w14:paraId="25E797EF" w14:textId="77777777" w:rsidTr="00115CD6">
        <w:trPr>
          <w:cantSplit/>
          <w:trHeight w:val="280"/>
          <w:jc w:val="center"/>
        </w:trPr>
        <w:tc>
          <w:tcPr>
            <w:tcW w:w="2119" w:type="dxa"/>
            <w:shd w:val="clear" w:color="auto" w:fill="auto"/>
            <w:tcMar>
              <w:left w:w="60" w:type="dxa"/>
              <w:right w:w="60" w:type="dxa"/>
            </w:tcMar>
            <w:vAlign w:val="center"/>
          </w:tcPr>
          <w:p w14:paraId="327F22D1"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France (5)</w:t>
            </w:r>
          </w:p>
        </w:tc>
        <w:tc>
          <w:tcPr>
            <w:tcW w:w="2268" w:type="dxa"/>
            <w:shd w:val="clear" w:color="auto" w:fill="auto"/>
            <w:tcMar>
              <w:left w:w="60" w:type="dxa"/>
              <w:right w:w="60" w:type="dxa"/>
            </w:tcMar>
            <w:vAlign w:val="center"/>
          </w:tcPr>
          <w:p w14:paraId="5267680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36 (14.8%)</w:t>
            </w:r>
          </w:p>
        </w:tc>
        <w:tc>
          <w:tcPr>
            <w:tcW w:w="2119" w:type="dxa"/>
            <w:shd w:val="clear" w:color="auto" w:fill="auto"/>
            <w:tcMar>
              <w:left w:w="60" w:type="dxa"/>
              <w:right w:w="60" w:type="dxa"/>
            </w:tcMar>
            <w:vAlign w:val="center"/>
          </w:tcPr>
          <w:p w14:paraId="640E5537"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34 (14.0%)</w:t>
            </w:r>
          </w:p>
        </w:tc>
        <w:tc>
          <w:tcPr>
            <w:tcW w:w="1767" w:type="dxa"/>
            <w:shd w:val="clear" w:color="auto" w:fill="auto"/>
            <w:tcMar>
              <w:left w:w="60" w:type="dxa"/>
              <w:right w:w="60" w:type="dxa"/>
            </w:tcMar>
            <w:vAlign w:val="center"/>
          </w:tcPr>
          <w:p w14:paraId="14E8112D"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70 (14.4%)</w:t>
            </w:r>
          </w:p>
        </w:tc>
      </w:tr>
      <w:tr w:rsidR="00576FE1" w:rsidRPr="00201B8E" w14:paraId="0F16E6F5" w14:textId="77777777" w:rsidTr="00115CD6">
        <w:trPr>
          <w:cantSplit/>
          <w:trHeight w:val="293"/>
          <w:jc w:val="center"/>
        </w:trPr>
        <w:tc>
          <w:tcPr>
            <w:tcW w:w="2119" w:type="dxa"/>
            <w:shd w:val="clear" w:color="auto" w:fill="auto"/>
            <w:tcMar>
              <w:left w:w="60" w:type="dxa"/>
              <w:right w:w="60" w:type="dxa"/>
            </w:tcMar>
            <w:vAlign w:val="center"/>
          </w:tcPr>
          <w:p w14:paraId="40BC6239"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UK (6)</w:t>
            </w:r>
          </w:p>
        </w:tc>
        <w:tc>
          <w:tcPr>
            <w:tcW w:w="2268" w:type="dxa"/>
            <w:shd w:val="clear" w:color="auto" w:fill="auto"/>
            <w:tcMar>
              <w:left w:w="60" w:type="dxa"/>
              <w:right w:w="60" w:type="dxa"/>
            </w:tcMar>
            <w:vAlign w:val="center"/>
          </w:tcPr>
          <w:p w14:paraId="1610F99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25 (10.3%)</w:t>
            </w:r>
          </w:p>
        </w:tc>
        <w:tc>
          <w:tcPr>
            <w:tcW w:w="2119" w:type="dxa"/>
            <w:shd w:val="clear" w:color="auto" w:fill="auto"/>
            <w:tcMar>
              <w:left w:w="60" w:type="dxa"/>
              <w:right w:w="60" w:type="dxa"/>
            </w:tcMar>
            <w:vAlign w:val="center"/>
          </w:tcPr>
          <w:p w14:paraId="24445B12"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29 (11.9%)</w:t>
            </w:r>
          </w:p>
        </w:tc>
        <w:tc>
          <w:tcPr>
            <w:tcW w:w="1767" w:type="dxa"/>
            <w:shd w:val="clear" w:color="auto" w:fill="auto"/>
            <w:tcMar>
              <w:left w:w="60" w:type="dxa"/>
              <w:right w:w="60" w:type="dxa"/>
            </w:tcMar>
            <w:vAlign w:val="center"/>
          </w:tcPr>
          <w:p w14:paraId="6D667802"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54 (11.1%)</w:t>
            </w:r>
          </w:p>
        </w:tc>
      </w:tr>
      <w:tr w:rsidR="00576FE1" w:rsidRPr="00201B8E" w14:paraId="3A083E56" w14:textId="77777777" w:rsidTr="00115CD6">
        <w:trPr>
          <w:cantSplit/>
          <w:trHeight w:val="280"/>
          <w:jc w:val="center"/>
        </w:trPr>
        <w:tc>
          <w:tcPr>
            <w:tcW w:w="2119" w:type="dxa"/>
            <w:shd w:val="clear" w:color="auto" w:fill="auto"/>
            <w:tcMar>
              <w:left w:w="60" w:type="dxa"/>
              <w:right w:w="60" w:type="dxa"/>
            </w:tcMar>
            <w:vAlign w:val="center"/>
          </w:tcPr>
          <w:p w14:paraId="7CA6ECCA"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Italy (9)</w:t>
            </w:r>
          </w:p>
        </w:tc>
        <w:tc>
          <w:tcPr>
            <w:tcW w:w="2268" w:type="dxa"/>
            <w:shd w:val="clear" w:color="auto" w:fill="auto"/>
            <w:tcMar>
              <w:left w:w="60" w:type="dxa"/>
              <w:right w:w="60" w:type="dxa"/>
            </w:tcMar>
            <w:vAlign w:val="center"/>
          </w:tcPr>
          <w:p w14:paraId="2AD6EC8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17 (7.0%)</w:t>
            </w:r>
          </w:p>
        </w:tc>
        <w:tc>
          <w:tcPr>
            <w:tcW w:w="2119" w:type="dxa"/>
            <w:shd w:val="clear" w:color="auto" w:fill="auto"/>
            <w:tcMar>
              <w:left w:w="60" w:type="dxa"/>
              <w:right w:w="60" w:type="dxa"/>
            </w:tcMar>
            <w:vAlign w:val="center"/>
          </w:tcPr>
          <w:p w14:paraId="123CEDA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21 (8.6%)</w:t>
            </w:r>
          </w:p>
        </w:tc>
        <w:tc>
          <w:tcPr>
            <w:tcW w:w="1767" w:type="dxa"/>
            <w:shd w:val="clear" w:color="auto" w:fill="auto"/>
            <w:tcMar>
              <w:left w:w="60" w:type="dxa"/>
              <w:right w:w="60" w:type="dxa"/>
            </w:tcMar>
            <w:vAlign w:val="center"/>
          </w:tcPr>
          <w:p w14:paraId="46760E1D"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38 (7.8%)</w:t>
            </w:r>
          </w:p>
        </w:tc>
      </w:tr>
      <w:tr w:rsidR="00576FE1" w:rsidRPr="00201B8E" w14:paraId="57E6706A" w14:textId="77777777" w:rsidTr="00115CD6">
        <w:trPr>
          <w:cantSplit/>
          <w:trHeight w:val="293"/>
          <w:jc w:val="center"/>
        </w:trPr>
        <w:tc>
          <w:tcPr>
            <w:tcW w:w="2119" w:type="dxa"/>
            <w:shd w:val="clear" w:color="auto" w:fill="auto"/>
            <w:tcMar>
              <w:left w:w="60" w:type="dxa"/>
              <w:right w:w="60" w:type="dxa"/>
            </w:tcMar>
            <w:vAlign w:val="center"/>
          </w:tcPr>
          <w:p w14:paraId="694C2DE0"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Russia (4)</w:t>
            </w:r>
          </w:p>
        </w:tc>
        <w:tc>
          <w:tcPr>
            <w:tcW w:w="2268" w:type="dxa"/>
            <w:shd w:val="clear" w:color="auto" w:fill="auto"/>
            <w:tcMar>
              <w:left w:w="60" w:type="dxa"/>
              <w:right w:w="60" w:type="dxa"/>
            </w:tcMar>
            <w:vAlign w:val="center"/>
          </w:tcPr>
          <w:p w14:paraId="2A88D2E7"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15 (6.2%)</w:t>
            </w:r>
          </w:p>
        </w:tc>
        <w:tc>
          <w:tcPr>
            <w:tcW w:w="2119" w:type="dxa"/>
            <w:shd w:val="clear" w:color="auto" w:fill="auto"/>
            <w:tcMar>
              <w:left w:w="60" w:type="dxa"/>
              <w:right w:w="60" w:type="dxa"/>
            </w:tcMar>
            <w:vAlign w:val="center"/>
          </w:tcPr>
          <w:p w14:paraId="5E0FAA4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16 (6.6%)</w:t>
            </w:r>
          </w:p>
        </w:tc>
        <w:tc>
          <w:tcPr>
            <w:tcW w:w="1767" w:type="dxa"/>
            <w:shd w:val="clear" w:color="auto" w:fill="auto"/>
            <w:tcMar>
              <w:left w:w="60" w:type="dxa"/>
              <w:right w:w="60" w:type="dxa"/>
            </w:tcMar>
            <w:vAlign w:val="center"/>
          </w:tcPr>
          <w:p w14:paraId="1A0549A1"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31 (6.4%)</w:t>
            </w:r>
          </w:p>
        </w:tc>
      </w:tr>
      <w:tr w:rsidR="00576FE1" w:rsidRPr="00201B8E" w14:paraId="1ADE6356" w14:textId="77777777" w:rsidTr="00115CD6">
        <w:trPr>
          <w:cantSplit/>
          <w:trHeight w:val="280"/>
          <w:jc w:val="center"/>
        </w:trPr>
        <w:tc>
          <w:tcPr>
            <w:tcW w:w="2119" w:type="dxa"/>
            <w:shd w:val="clear" w:color="auto" w:fill="auto"/>
            <w:tcMar>
              <w:left w:w="60" w:type="dxa"/>
              <w:right w:w="60" w:type="dxa"/>
            </w:tcMar>
            <w:vAlign w:val="center"/>
          </w:tcPr>
          <w:p w14:paraId="3E7384EC"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Germany (2)</w:t>
            </w:r>
          </w:p>
        </w:tc>
        <w:tc>
          <w:tcPr>
            <w:tcW w:w="2268" w:type="dxa"/>
            <w:shd w:val="clear" w:color="auto" w:fill="auto"/>
            <w:tcMar>
              <w:left w:w="60" w:type="dxa"/>
              <w:right w:w="60" w:type="dxa"/>
            </w:tcMar>
            <w:vAlign w:val="center"/>
          </w:tcPr>
          <w:p w14:paraId="70BF399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13 (5.3%)</w:t>
            </w:r>
          </w:p>
        </w:tc>
        <w:tc>
          <w:tcPr>
            <w:tcW w:w="2119" w:type="dxa"/>
            <w:shd w:val="clear" w:color="auto" w:fill="auto"/>
            <w:tcMar>
              <w:left w:w="60" w:type="dxa"/>
              <w:right w:w="60" w:type="dxa"/>
            </w:tcMar>
            <w:vAlign w:val="center"/>
          </w:tcPr>
          <w:p w14:paraId="7310FFE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11 (4.5%)</w:t>
            </w:r>
          </w:p>
        </w:tc>
        <w:tc>
          <w:tcPr>
            <w:tcW w:w="1767" w:type="dxa"/>
            <w:shd w:val="clear" w:color="auto" w:fill="auto"/>
            <w:tcMar>
              <w:left w:w="60" w:type="dxa"/>
              <w:right w:w="60" w:type="dxa"/>
            </w:tcMar>
            <w:vAlign w:val="center"/>
          </w:tcPr>
          <w:p w14:paraId="6E35A3E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24 (4.9%)</w:t>
            </w:r>
          </w:p>
        </w:tc>
      </w:tr>
      <w:tr w:rsidR="00576FE1" w:rsidRPr="00201B8E" w14:paraId="2C1BEA80" w14:textId="77777777" w:rsidTr="00115CD6">
        <w:trPr>
          <w:cantSplit/>
          <w:trHeight w:val="293"/>
          <w:jc w:val="center"/>
        </w:trPr>
        <w:tc>
          <w:tcPr>
            <w:tcW w:w="2119" w:type="dxa"/>
            <w:shd w:val="clear" w:color="auto" w:fill="auto"/>
            <w:tcMar>
              <w:left w:w="60" w:type="dxa"/>
              <w:right w:w="60" w:type="dxa"/>
            </w:tcMar>
            <w:vAlign w:val="center"/>
          </w:tcPr>
          <w:p w14:paraId="6095A28C"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Czech Republic (2)</w:t>
            </w:r>
          </w:p>
        </w:tc>
        <w:tc>
          <w:tcPr>
            <w:tcW w:w="2268" w:type="dxa"/>
            <w:shd w:val="clear" w:color="auto" w:fill="auto"/>
            <w:tcMar>
              <w:left w:w="60" w:type="dxa"/>
              <w:right w:w="60" w:type="dxa"/>
            </w:tcMar>
            <w:vAlign w:val="center"/>
          </w:tcPr>
          <w:p w14:paraId="6789B99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7 (2.9%)</w:t>
            </w:r>
          </w:p>
        </w:tc>
        <w:tc>
          <w:tcPr>
            <w:tcW w:w="2119" w:type="dxa"/>
            <w:shd w:val="clear" w:color="auto" w:fill="auto"/>
            <w:tcMar>
              <w:left w:w="60" w:type="dxa"/>
              <w:right w:w="60" w:type="dxa"/>
            </w:tcMar>
            <w:vAlign w:val="center"/>
          </w:tcPr>
          <w:p w14:paraId="29A0A7F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7 (2.9%)</w:t>
            </w:r>
          </w:p>
        </w:tc>
        <w:tc>
          <w:tcPr>
            <w:tcW w:w="1767" w:type="dxa"/>
            <w:shd w:val="clear" w:color="auto" w:fill="auto"/>
            <w:tcMar>
              <w:left w:w="60" w:type="dxa"/>
              <w:right w:w="60" w:type="dxa"/>
            </w:tcMar>
            <w:vAlign w:val="center"/>
          </w:tcPr>
          <w:p w14:paraId="1357D891"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14 (2.9%)</w:t>
            </w:r>
          </w:p>
        </w:tc>
      </w:tr>
      <w:tr w:rsidR="00576FE1" w:rsidRPr="00201B8E" w14:paraId="06B40A28" w14:textId="77777777" w:rsidTr="00115CD6">
        <w:trPr>
          <w:cantSplit/>
          <w:trHeight w:val="280"/>
          <w:jc w:val="center"/>
        </w:trPr>
        <w:tc>
          <w:tcPr>
            <w:tcW w:w="0" w:type="auto"/>
            <w:gridSpan w:val="4"/>
            <w:shd w:val="clear" w:color="auto" w:fill="auto"/>
            <w:tcMar>
              <w:left w:w="60" w:type="dxa"/>
              <w:right w:w="60" w:type="dxa"/>
            </w:tcMar>
            <w:vAlign w:val="center"/>
          </w:tcPr>
          <w:p w14:paraId="45FFF057" w14:textId="77777777" w:rsidR="00576FE1" w:rsidRPr="00201B8E" w:rsidRDefault="00576FE1" w:rsidP="00115CD6">
            <w:pPr>
              <w:keepNext/>
              <w:adjustRightInd w:val="0"/>
              <w:spacing w:before="40" w:after="40" w:line="240" w:lineRule="auto"/>
              <w:rPr>
                <w:b/>
                <w:bCs/>
                <w:color w:val="000000"/>
                <w:sz w:val="18"/>
                <w:szCs w:val="18"/>
              </w:rPr>
            </w:pPr>
            <w:r w:rsidRPr="00201B8E">
              <w:rPr>
                <w:b/>
                <w:bCs/>
                <w:color w:val="000000"/>
                <w:sz w:val="18"/>
                <w:szCs w:val="18"/>
              </w:rPr>
              <w:t>ECOG Performance Status</w:t>
            </w:r>
          </w:p>
        </w:tc>
      </w:tr>
      <w:tr w:rsidR="00576FE1" w:rsidRPr="00201B8E" w14:paraId="684D4538" w14:textId="77777777" w:rsidTr="00115CD6">
        <w:trPr>
          <w:cantSplit/>
          <w:trHeight w:val="293"/>
          <w:jc w:val="center"/>
        </w:trPr>
        <w:tc>
          <w:tcPr>
            <w:tcW w:w="2119" w:type="dxa"/>
            <w:shd w:val="clear" w:color="auto" w:fill="auto"/>
            <w:tcMar>
              <w:left w:w="60" w:type="dxa"/>
              <w:right w:w="60" w:type="dxa"/>
            </w:tcMar>
            <w:vAlign w:val="center"/>
          </w:tcPr>
          <w:p w14:paraId="43F65E1F"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0</w:t>
            </w:r>
          </w:p>
        </w:tc>
        <w:tc>
          <w:tcPr>
            <w:tcW w:w="2268" w:type="dxa"/>
            <w:shd w:val="clear" w:color="auto" w:fill="auto"/>
            <w:tcMar>
              <w:left w:w="60" w:type="dxa"/>
              <w:right w:w="60" w:type="dxa"/>
            </w:tcMar>
            <w:vAlign w:val="center"/>
          </w:tcPr>
          <w:p w14:paraId="5D85B0F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151 (62.1%)</w:t>
            </w:r>
          </w:p>
        </w:tc>
        <w:tc>
          <w:tcPr>
            <w:tcW w:w="2119" w:type="dxa"/>
            <w:shd w:val="clear" w:color="auto" w:fill="auto"/>
            <w:tcMar>
              <w:left w:w="60" w:type="dxa"/>
              <w:right w:w="60" w:type="dxa"/>
            </w:tcMar>
            <w:vAlign w:val="center"/>
          </w:tcPr>
          <w:p w14:paraId="6CE1D3A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124 (51.0%)</w:t>
            </w:r>
          </w:p>
        </w:tc>
        <w:tc>
          <w:tcPr>
            <w:tcW w:w="1767" w:type="dxa"/>
            <w:shd w:val="clear" w:color="auto" w:fill="auto"/>
            <w:tcMar>
              <w:left w:w="60" w:type="dxa"/>
              <w:right w:w="60" w:type="dxa"/>
            </w:tcMar>
            <w:vAlign w:val="center"/>
          </w:tcPr>
          <w:p w14:paraId="2E82BB0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275 (56.6%)</w:t>
            </w:r>
          </w:p>
        </w:tc>
      </w:tr>
      <w:tr w:rsidR="00576FE1" w:rsidRPr="00201B8E" w14:paraId="4E720AA1" w14:textId="77777777" w:rsidTr="00115CD6">
        <w:trPr>
          <w:cantSplit/>
          <w:trHeight w:val="293"/>
          <w:jc w:val="center"/>
        </w:trPr>
        <w:tc>
          <w:tcPr>
            <w:tcW w:w="2119" w:type="dxa"/>
            <w:shd w:val="clear" w:color="auto" w:fill="auto"/>
            <w:tcMar>
              <w:left w:w="60" w:type="dxa"/>
              <w:right w:w="60" w:type="dxa"/>
            </w:tcMar>
            <w:vAlign w:val="center"/>
          </w:tcPr>
          <w:p w14:paraId="77655B18"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1</w:t>
            </w:r>
          </w:p>
        </w:tc>
        <w:tc>
          <w:tcPr>
            <w:tcW w:w="2268" w:type="dxa"/>
            <w:shd w:val="clear" w:color="auto" w:fill="auto"/>
            <w:tcMar>
              <w:left w:w="60" w:type="dxa"/>
              <w:right w:w="60" w:type="dxa"/>
            </w:tcMar>
            <w:vAlign w:val="center"/>
          </w:tcPr>
          <w:p w14:paraId="06649B3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80 (32.9%)</w:t>
            </w:r>
          </w:p>
        </w:tc>
        <w:tc>
          <w:tcPr>
            <w:tcW w:w="2119" w:type="dxa"/>
            <w:shd w:val="clear" w:color="auto" w:fill="auto"/>
            <w:tcMar>
              <w:left w:w="60" w:type="dxa"/>
              <w:right w:w="60" w:type="dxa"/>
            </w:tcMar>
            <w:vAlign w:val="center"/>
          </w:tcPr>
          <w:p w14:paraId="5CA23077"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107 (44.0%)</w:t>
            </w:r>
          </w:p>
        </w:tc>
        <w:tc>
          <w:tcPr>
            <w:tcW w:w="1767" w:type="dxa"/>
            <w:shd w:val="clear" w:color="auto" w:fill="auto"/>
            <w:tcMar>
              <w:left w:w="60" w:type="dxa"/>
              <w:right w:w="60" w:type="dxa"/>
            </w:tcMar>
            <w:vAlign w:val="center"/>
          </w:tcPr>
          <w:p w14:paraId="552A2FA1"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187 (38.5%)</w:t>
            </w:r>
          </w:p>
        </w:tc>
      </w:tr>
      <w:tr w:rsidR="00576FE1" w:rsidRPr="00201B8E" w14:paraId="73729336" w14:textId="77777777" w:rsidTr="00115CD6">
        <w:trPr>
          <w:cantSplit/>
          <w:trHeight w:val="280"/>
          <w:jc w:val="center"/>
        </w:trPr>
        <w:tc>
          <w:tcPr>
            <w:tcW w:w="2119" w:type="dxa"/>
            <w:shd w:val="clear" w:color="auto" w:fill="auto"/>
            <w:tcMar>
              <w:left w:w="60" w:type="dxa"/>
              <w:right w:w="60" w:type="dxa"/>
            </w:tcMar>
            <w:vAlign w:val="center"/>
          </w:tcPr>
          <w:p w14:paraId="080EA5D9"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2</w:t>
            </w:r>
          </w:p>
        </w:tc>
        <w:tc>
          <w:tcPr>
            <w:tcW w:w="2268" w:type="dxa"/>
            <w:shd w:val="clear" w:color="auto" w:fill="auto"/>
            <w:tcMar>
              <w:left w:w="60" w:type="dxa"/>
              <w:right w:w="60" w:type="dxa"/>
            </w:tcMar>
            <w:vAlign w:val="center"/>
          </w:tcPr>
          <w:p w14:paraId="34FD23C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12 (4.9%)</w:t>
            </w:r>
          </w:p>
        </w:tc>
        <w:tc>
          <w:tcPr>
            <w:tcW w:w="2119" w:type="dxa"/>
            <w:shd w:val="clear" w:color="auto" w:fill="auto"/>
            <w:tcMar>
              <w:left w:w="60" w:type="dxa"/>
              <w:right w:w="60" w:type="dxa"/>
            </w:tcMar>
            <w:vAlign w:val="center"/>
          </w:tcPr>
          <w:p w14:paraId="6E51D6F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12 (4.9%)</w:t>
            </w:r>
          </w:p>
        </w:tc>
        <w:tc>
          <w:tcPr>
            <w:tcW w:w="1767" w:type="dxa"/>
            <w:shd w:val="clear" w:color="auto" w:fill="auto"/>
            <w:tcMar>
              <w:left w:w="60" w:type="dxa"/>
              <w:right w:w="60" w:type="dxa"/>
            </w:tcMar>
            <w:vAlign w:val="center"/>
          </w:tcPr>
          <w:p w14:paraId="54AFB2F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24 (4.9%)</w:t>
            </w:r>
          </w:p>
        </w:tc>
      </w:tr>
      <w:tr w:rsidR="00576FE1" w:rsidRPr="00201B8E" w14:paraId="797A4A1A" w14:textId="77777777" w:rsidTr="00115CD6">
        <w:trPr>
          <w:cantSplit/>
          <w:trHeight w:val="293"/>
          <w:jc w:val="center"/>
        </w:trPr>
        <w:tc>
          <w:tcPr>
            <w:tcW w:w="0" w:type="auto"/>
            <w:gridSpan w:val="4"/>
            <w:shd w:val="clear" w:color="auto" w:fill="auto"/>
            <w:tcMar>
              <w:left w:w="60" w:type="dxa"/>
              <w:right w:w="60" w:type="dxa"/>
            </w:tcMar>
            <w:vAlign w:val="center"/>
          </w:tcPr>
          <w:p w14:paraId="0D866FC3" w14:textId="77777777" w:rsidR="00576FE1" w:rsidRPr="00201B8E" w:rsidRDefault="00576FE1" w:rsidP="00115CD6">
            <w:pPr>
              <w:keepNext/>
              <w:adjustRightInd w:val="0"/>
              <w:spacing w:before="40" w:after="40" w:line="240" w:lineRule="auto"/>
              <w:rPr>
                <w:b/>
                <w:bCs/>
                <w:color w:val="000000"/>
                <w:sz w:val="18"/>
                <w:szCs w:val="18"/>
              </w:rPr>
            </w:pPr>
            <w:r w:rsidRPr="00201B8E">
              <w:rPr>
                <w:b/>
                <w:bCs/>
                <w:color w:val="000000"/>
                <w:sz w:val="18"/>
                <w:szCs w:val="18"/>
              </w:rPr>
              <w:t>Menopausal Status</w:t>
            </w:r>
          </w:p>
        </w:tc>
      </w:tr>
      <w:tr w:rsidR="00576FE1" w:rsidRPr="00201B8E" w14:paraId="743451EC" w14:textId="77777777" w:rsidTr="00115CD6">
        <w:trPr>
          <w:cantSplit/>
          <w:trHeight w:val="280"/>
          <w:jc w:val="center"/>
        </w:trPr>
        <w:tc>
          <w:tcPr>
            <w:tcW w:w="2119" w:type="dxa"/>
            <w:shd w:val="clear" w:color="auto" w:fill="auto"/>
            <w:tcMar>
              <w:left w:w="60" w:type="dxa"/>
              <w:right w:w="60" w:type="dxa"/>
            </w:tcMar>
            <w:vAlign w:val="center"/>
          </w:tcPr>
          <w:p w14:paraId="6379C579"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Postmenopausal</w:t>
            </w:r>
          </w:p>
        </w:tc>
        <w:tc>
          <w:tcPr>
            <w:tcW w:w="2268" w:type="dxa"/>
            <w:shd w:val="clear" w:color="auto" w:fill="auto"/>
            <w:tcMar>
              <w:left w:w="60" w:type="dxa"/>
              <w:right w:w="60" w:type="dxa"/>
            </w:tcMar>
            <w:vAlign w:val="center"/>
          </w:tcPr>
          <w:p w14:paraId="5199A0E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226 (93.0%)</w:t>
            </w:r>
          </w:p>
        </w:tc>
        <w:tc>
          <w:tcPr>
            <w:tcW w:w="2119" w:type="dxa"/>
            <w:shd w:val="clear" w:color="auto" w:fill="auto"/>
            <w:tcMar>
              <w:left w:w="60" w:type="dxa"/>
              <w:right w:w="60" w:type="dxa"/>
            </w:tcMar>
            <w:vAlign w:val="center"/>
          </w:tcPr>
          <w:p w14:paraId="0DBD9D2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223 (91.8%)</w:t>
            </w:r>
          </w:p>
        </w:tc>
        <w:tc>
          <w:tcPr>
            <w:tcW w:w="1767" w:type="dxa"/>
            <w:shd w:val="clear" w:color="auto" w:fill="auto"/>
            <w:tcMar>
              <w:left w:w="60" w:type="dxa"/>
              <w:right w:w="60" w:type="dxa"/>
            </w:tcMar>
            <w:vAlign w:val="center"/>
          </w:tcPr>
          <w:p w14:paraId="3E418FB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449 (92.4%)</w:t>
            </w:r>
          </w:p>
        </w:tc>
      </w:tr>
      <w:tr w:rsidR="00576FE1" w:rsidRPr="00201B8E" w14:paraId="79E7128E" w14:textId="77777777" w:rsidTr="00115CD6">
        <w:trPr>
          <w:cantSplit/>
          <w:trHeight w:val="293"/>
          <w:jc w:val="center"/>
        </w:trPr>
        <w:tc>
          <w:tcPr>
            <w:tcW w:w="2119" w:type="dxa"/>
            <w:shd w:val="clear" w:color="auto" w:fill="auto"/>
            <w:tcMar>
              <w:left w:w="60" w:type="dxa"/>
              <w:right w:w="60" w:type="dxa"/>
            </w:tcMar>
            <w:vAlign w:val="center"/>
          </w:tcPr>
          <w:p w14:paraId="1637CC23"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Pre or Perimenopausal</w:t>
            </w:r>
          </w:p>
        </w:tc>
        <w:tc>
          <w:tcPr>
            <w:tcW w:w="2268" w:type="dxa"/>
            <w:shd w:val="clear" w:color="auto" w:fill="auto"/>
            <w:tcMar>
              <w:left w:w="60" w:type="dxa"/>
              <w:right w:w="60" w:type="dxa"/>
            </w:tcMar>
            <w:vAlign w:val="center"/>
          </w:tcPr>
          <w:p w14:paraId="759F28DD"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17 (7.0%)</w:t>
            </w:r>
          </w:p>
        </w:tc>
        <w:tc>
          <w:tcPr>
            <w:tcW w:w="2119" w:type="dxa"/>
            <w:shd w:val="clear" w:color="auto" w:fill="auto"/>
            <w:tcMar>
              <w:left w:w="60" w:type="dxa"/>
              <w:right w:w="60" w:type="dxa"/>
            </w:tcMar>
            <w:vAlign w:val="center"/>
          </w:tcPr>
          <w:p w14:paraId="75EF916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20 (8.2%)</w:t>
            </w:r>
          </w:p>
        </w:tc>
        <w:tc>
          <w:tcPr>
            <w:tcW w:w="1767" w:type="dxa"/>
            <w:shd w:val="clear" w:color="auto" w:fill="auto"/>
            <w:tcMar>
              <w:left w:w="60" w:type="dxa"/>
              <w:right w:w="60" w:type="dxa"/>
            </w:tcMar>
            <w:vAlign w:val="center"/>
          </w:tcPr>
          <w:p w14:paraId="02AB1F9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37 (7.6%)</w:t>
            </w:r>
          </w:p>
        </w:tc>
      </w:tr>
      <w:tr w:rsidR="00576FE1" w:rsidRPr="00201B8E" w14:paraId="496A406F" w14:textId="77777777" w:rsidTr="00115CD6">
        <w:trPr>
          <w:cantSplit/>
          <w:trHeight w:val="280"/>
          <w:jc w:val="center"/>
        </w:trPr>
        <w:tc>
          <w:tcPr>
            <w:tcW w:w="0" w:type="auto"/>
            <w:gridSpan w:val="4"/>
            <w:shd w:val="clear" w:color="auto" w:fill="auto"/>
            <w:tcMar>
              <w:left w:w="60" w:type="dxa"/>
              <w:right w:w="60" w:type="dxa"/>
            </w:tcMar>
            <w:vAlign w:val="center"/>
          </w:tcPr>
          <w:p w14:paraId="30BFCEB8" w14:textId="77777777" w:rsidR="00576FE1" w:rsidRPr="00201B8E" w:rsidRDefault="00576FE1" w:rsidP="00115CD6">
            <w:pPr>
              <w:keepNext/>
              <w:adjustRightInd w:val="0"/>
              <w:spacing w:before="40" w:after="40" w:line="240" w:lineRule="auto"/>
              <w:rPr>
                <w:b/>
                <w:bCs/>
                <w:color w:val="000000"/>
                <w:sz w:val="18"/>
                <w:szCs w:val="18"/>
              </w:rPr>
            </w:pPr>
            <w:r w:rsidRPr="00201B8E">
              <w:rPr>
                <w:b/>
                <w:bCs/>
                <w:color w:val="000000"/>
                <w:sz w:val="18"/>
                <w:szCs w:val="18"/>
              </w:rPr>
              <w:t>Estrogen Receptor (ER)</w:t>
            </w:r>
          </w:p>
        </w:tc>
      </w:tr>
      <w:tr w:rsidR="00576FE1" w:rsidRPr="00201B8E" w14:paraId="23AA5DD3" w14:textId="77777777" w:rsidTr="00115CD6">
        <w:trPr>
          <w:cantSplit/>
          <w:trHeight w:val="293"/>
          <w:jc w:val="center"/>
        </w:trPr>
        <w:tc>
          <w:tcPr>
            <w:tcW w:w="2119" w:type="dxa"/>
            <w:shd w:val="clear" w:color="auto" w:fill="auto"/>
            <w:tcMar>
              <w:left w:w="60" w:type="dxa"/>
              <w:right w:w="60" w:type="dxa"/>
            </w:tcMar>
            <w:vAlign w:val="center"/>
          </w:tcPr>
          <w:p w14:paraId="0C36C921"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 &gt; 10%</w:t>
            </w:r>
          </w:p>
        </w:tc>
        <w:tc>
          <w:tcPr>
            <w:tcW w:w="2268" w:type="dxa"/>
            <w:shd w:val="clear" w:color="auto" w:fill="auto"/>
            <w:tcMar>
              <w:left w:w="60" w:type="dxa"/>
              <w:right w:w="60" w:type="dxa"/>
            </w:tcMar>
            <w:vAlign w:val="center"/>
          </w:tcPr>
          <w:p w14:paraId="2CCEB28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240 (98.8%)</w:t>
            </w:r>
          </w:p>
        </w:tc>
        <w:tc>
          <w:tcPr>
            <w:tcW w:w="2119" w:type="dxa"/>
            <w:shd w:val="clear" w:color="auto" w:fill="auto"/>
            <w:tcMar>
              <w:left w:w="60" w:type="dxa"/>
              <w:right w:w="60" w:type="dxa"/>
            </w:tcMar>
            <w:vAlign w:val="center"/>
          </w:tcPr>
          <w:p w14:paraId="10A4DAF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242 (99.6%)</w:t>
            </w:r>
          </w:p>
        </w:tc>
        <w:tc>
          <w:tcPr>
            <w:tcW w:w="1767" w:type="dxa"/>
            <w:shd w:val="clear" w:color="auto" w:fill="auto"/>
            <w:tcMar>
              <w:left w:w="60" w:type="dxa"/>
              <w:right w:w="60" w:type="dxa"/>
            </w:tcMar>
            <w:vAlign w:val="center"/>
          </w:tcPr>
          <w:p w14:paraId="1F6FEB8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482 (99.2%)</w:t>
            </w:r>
          </w:p>
        </w:tc>
      </w:tr>
      <w:tr w:rsidR="00576FE1" w:rsidRPr="00201B8E" w14:paraId="6F68536D" w14:textId="77777777" w:rsidTr="00115CD6">
        <w:trPr>
          <w:cantSplit/>
          <w:trHeight w:val="280"/>
          <w:jc w:val="center"/>
        </w:trPr>
        <w:tc>
          <w:tcPr>
            <w:tcW w:w="2119" w:type="dxa"/>
            <w:shd w:val="clear" w:color="auto" w:fill="auto"/>
            <w:tcMar>
              <w:left w:w="60" w:type="dxa"/>
              <w:right w:w="60" w:type="dxa"/>
            </w:tcMar>
            <w:vAlign w:val="center"/>
          </w:tcPr>
          <w:p w14:paraId="59DE36B3"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Low [+], 1 to 10%</w:t>
            </w:r>
          </w:p>
        </w:tc>
        <w:tc>
          <w:tcPr>
            <w:tcW w:w="2268" w:type="dxa"/>
            <w:shd w:val="clear" w:color="auto" w:fill="auto"/>
            <w:tcMar>
              <w:left w:w="60" w:type="dxa"/>
              <w:right w:w="60" w:type="dxa"/>
            </w:tcMar>
            <w:vAlign w:val="center"/>
          </w:tcPr>
          <w:p w14:paraId="3CE56312"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 (1.2%)</w:t>
            </w:r>
          </w:p>
        </w:tc>
        <w:tc>
          <w:tcPr>
            <w:tcW w:w="2119" w:type="dxa"/>
            <w:shd w:val="clear" w:color="auto" w:fill="auto"/>
            <w:tcMar>
              <w:left w:w="60" w:type="dxa"/>
              <w:right w:w="60" w:type="dxa"/>
            </w:tcMar>
            <w:vAlign w:val="center"/>
          </w:tcPr>
          <w:p w14:paraId="47166E8C"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 (0.4%)</w:t>
            </w:r>
          </w:p>
        </w:tc>
        <w:tc>
          <w:tcPr>
            <w:tcW w:w="1767" w:type="dxa"/>
            <w:shd w:val="clear" w:color="auto" w:fill="auto"/>
            <w:tcMar>
              <w:left w:w="60" w:type="dxa"/>
              <w:right w:w="60" w:type="dxa"/>
            </w:tcMar>
            <w:vAlign w:val="center"/>
          </w:tcPr>
          <w:p w14:paraId="429BD5DD"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 (0.8%)</w:t>
            </w:r>
          </w:p>
        </w:tc>
      </w:tr>
      <w:tr w:rsidR="00576FE1" w:rsidRPr="00201B8E" w14:paraId="3A87B775" w14:textId="77777777" w:rsidTr="00115CD6">
        <w:trPr>
          <w:cantSplit/>
          <w:trHeight w:val="293"/>
          <w:jc w:val="center"/>
        </w:trPr>
        <w:tc>
          <w:tcPr>
            <w:tcW w:w="0" w:type="auto"/>
            <w:gridSpan w:val="4"/>
            <w:shd w:val="clear" w:color="auto" w:fill="auto"/>
            <w:tcMar>
              <w:left w:w="60" w:type="dxa"/>
              <w:right w:w="60" w:type="dxa"/>
            </w:tcMar>
            <w:vAlign w:val="center"/>
          </w:tcPr>
          <w:p w14:paraId="10557C21" w14:textId="77777777" w:rsidR="00576FE1" w:rsidRPr="00201B8E" w:rsidRDefault="00576FE1" w:rsidP="00115CD6">
            <w:pPr>
              <w:keepNext/>
              <w:adjustRightInd w:val="0"/>
              <w:spacing w:before="40" w:after="40" w:line="240" w:lineRule="auto"/>
              <w:rPr>
                <w:b/>
                <w:bCs/>
                <w:color w:val="000000"/>
                <w:sz w:val="18"/>
                <w:szCs w:val="18"/>
              </w:rPr>
            </w:pPr>
            <w:r w:rsidRPr="00201B8E">
              <w:rPr>
                <w:b/>
                <w:bCs/>
                <w:color w:val="000000"/>
                <w:sz w:val="18"/>
                <w:szCs w:val="18"/>
              </w:rPr>
              <w:t>Progesterone receptor (</w:t>
            </w:r>
            <w:proofErr w:type="spellStart"/>
            <w:r w:rsidRPr="00201B8E">
              <w:rPr>
                <w:b/>
                <w:bCs/>
                <w:color w:val="000000"/>
                <w:sz w:val="18"/>
                <w:szCs w:val="18"/>
              </w:rPr>
              <w:t>PgR</w:t>
            </w:r>
            <w:proofErr w:type="spellEnd"/>
            <w:r w:rsidRPr="00201B8E">
              <w:rPr>
                <w:b/>
                <w:bCs/>
                <w:color w:val="000000"/>
                <w:sz w:val="18"/>
                <w:szCs w:val="18"/>
              </w:rPr>
              <w:t>)</w:t>
            </w:r>
          </w:p>
        </w:tc>
      </w:tr>
      <w:tr w:rsidR="00576FE1" w:rsidRPr="00201B8E" w14:paraId="29258CB1" w14:textId="77777777" w:rsidTr="00115CD6">
        <w:trPr>
          <w:cantSplit/>
          <w:trHeight w:val="280"/>
          <w:jc w:val="center"/>
        </w:trPr>
        <w:tc>
          <w:tcPr>
            <w:tcW w:w="2119" w:type="dxa"/>
            <w:shd w:val="clear" w:color="auto" w:fill="auto"/>
            <w:tcMar>
              <w:left w:w="60" w:type="dxa"/>
              <w:right w:w="60" w:type="dxa"/>
            </w:tcMar>
            <w:vAlign w:val="center"/>
          </w:tcPr>
          <w:p w14:paraId="0395E98F"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 &gt; 10%</w:t>
            </w:r>
          </w:p>
        </w:tc>
        <w:tc>
          <w:tcPr>
            <w:tcW w:w="2268" w:type="dxa"/>
            <w:shd w:val="clear" w:color="auto" w:fill="auto"/>
            <w:tcMar>
              <w:left w:w="60" w:type="dxa"/>
              <w:right w:w="60" w:type="dxa"/>
            </w:tcMar>
            <w:vAlign w:val="center"/>
          </w:tcPr>
          <w:p w14:paraId="292DD59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172 (74.1%)</w:t>
            </w:r>
          </w:p>
        </w:tc>
        <w:tc>
          <w:tcPr>
            <w:tcW w:w="2119" w:type="dxa"/>
            <w:shd w:val="clear" w:color="auto" w:fill="auto"/>
            <w:tcMar>
              <w:left w:w="60" w:type="dxa"/>
              <w:right w:w="60" w:type="dxa"/>
            </w:tcMar>
            <w:vAlign w:val="center"/>
          </w:tcPr>
          <w:p w14:paraId="5E66BB2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183 (80.6%)</w:t>
            </w:r>
          </w:p>
        </w:tc>
        <w:tc>
          <w:tcPr>
            <w:tcW w:w="1767" w:type="dxa"/>
            <w:shd w:val="clear" w:color="auto" w:fill="auto"/>
            <w:tcMar>
              <w:left w:w="60" w:type="dxa"/>
              <w:right w:w="60" w:type="dxa"/>
            </w:tcMar>
            <w:vAlign w:val="center"/>
          </w:tcPr>
          <w:p w14:paraId="26265F5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355 (77.3%)</w:t>
            </w:r>
          </w:p>
        </w:tc>
      </w:tr>
      <w:tr w:rsidR="00576FE1" w:rsidRPr="00201B8E" w14:paraId="5B72DA49" w14:textId="77777777" w:rsidTr="00115CD6">
        <w:trPr>
          <w:cantSplit/>
          <w:trHeight w:val="293"/>
          <w:jc w:val="center"/>
        </w:trPr>
        <w:tc>
          <w:tcPr>
            <w:tcW w:w="2119" w:type="dxa"/>
            <w:shd w:val="clear" w:color="auto" w:fill="auto"/>
            <w:tcMar>
              <w:left w:w="60" w:type="dxa"/>
              <w:right w:w="60" w:type="dxa"/>
            </w:tcMar>
            <w:vAlign w:val="center"/>
          </w:tcPr>
          <w:p w14:paraId="2093193A"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Low [+], 1 to 10%</w:t>
            </w:r>
          </w:p>
        </w:tc>
        <w:tc>
          <w:tcPr>
            <w:tcW w:w="2268" w:type="dxa"/>
            <w:shd w:val="clear" w:color="auto" w:fill="auto"/>
            <w:tcMar>
              <w:left w:w="60" w:type="dxa"/>
              <w:right w:w="60" w:type="dxa"/>
            </w:tcMar>
            <w:vAlign w:val="center"/>
          </w:tcPr>
          <w:p w14:paraId="463B7F0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60 (25.9%)</w:t>
            </w:r>
          </w:p>
        </w:tc>
        <w:tc>
          <w:tcPr>
            <w:tcW w:w="2119" w:type="dxa"/>
            <w:shd w:val="clear" w:color="auto" w:fill="auto"/>
            <w:tcMar>
              <w:left w:w="60" w:type="dxa"/>
              <w:right w:w="60" w:type="dxa"/>
            </w:tcMar>
            <w:vAlign w:val="center"/>
          </w:tcPr>
          <w:p w14:paraId="7384981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44 (19.4%)</w:t>
            </w:r>
          </w:p>
        </w:tc>
        <w:tc>
          <w:tcPr>
            <w:tcW w:w="1767" w:type="dxa"/>
            <w:shd w:val="clear" w:color="auto" w:fill="auto"/>
            <w:tcMar>
              <w:left w:w="60" w:type="dxa"/>
              <w:right w:w="60" w:type="dxa"/>
            </w:tcMar>
            <w:vAlign w:val="center"/>
          </w:tcPr>
          <w:p w14:paraId="40CB89D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104 (22.7%)</w:t>
            </w:r>
          </w:p>
        </w:tc>
      </w:tr>
      <w:tr w:rsidR="00576FE1" w:rsidRPr="00201B8E" w14:paraId="00F66288" w14:textId="77777777" w:rsidTr="00115CD6">
        <w:trPr>
          <w:cantSplit/>
          <w:trHeight w:val="280"/>
          <w:jc w:val="center"/>
        </w:trPr>
        <w:tc>
          <w:tcPr>
            <w:tcW w:w="2119" w:type="dxa"/>
            <w:shd w:val="clear" w:color="auto" w:fill="auto"/>
            <w:tcMar>
              <w:left w:w="60" w:type="dxa"/>
              <w:right w:w="60" w:type="dxa"/>
            </w:tcMar>
            <w:vAlign w:val="center"/>
          </w:tcPr>
          <w:p w14:paraId="602D07AC"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missing</w:t>
            </w:r>
          </w:p>
        </w:tc>
        <w:tc>
          <w:tcPr>
            <w:tcW w:w="2268" w:type="dxa"/>
            <w:shd w:val="clear" w:color="auto" w:fill="auto"/>
            <w:tcMar>
              <w:left w:w="60" w:type="dxa"/>
              <w:right w:w="60" w:type="dxa"/>
            </w:tcMar>
            <w:vAlign w:val="center"/>
          </w:tcPr>
          <w:p w14:paraId="3A8C3391"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11</w:t>
            </w:r>
          </w:p>
        </w:tc>
        <w:tc>
          <w:tcPr>
            <w:tcW w:w="2119" w:type="dxa"/>
            <w:shd w:val="clear" w:color="auto" w:fill="auto"/>
            <w:tcMar>
              <w:left w:w="60" w:type="dxa"/>
              <w:right w:w="60" w:type="dxa"/>
            </w:tcMar>
            <w:vAlign w:val="center"/>
          </w:tcPr>
          <w:p w14:paraId="2FA3129A"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16</w:t>
            </w:r>
          </w:p>
        </w:tc>
        <w:tc>
          <w:tcPr>
            <w:tcW w:w="1767" w:type="dxa"/>
            <w:shd w:val="clear" w:color="auto" w:fill="auto"/>
            <w:tcMar>
              <w:left w:w="60" w:type="dxa"/>
              <w:right w:w="60" w:type="dxa"/>
            </w:tcMar>
            <w:vAlign w:val="center"/>
          </w:tcPr>
          <w:p w14:paraId="1E0D580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27</w:t>
            </w:r>
          </w:p>
        </w:tc>
      </w:tr>
      <w:tr w:rsidR="00576FE1" w:rsidRPr="008E7B22" w14:paraId="224BC48E" w14:textId="77777777" w:rsidTr="00115CD6">
        <w:trPr>
          <w:cantSplit/>
          <w:trHeight w:val="293"/>
          <w:jc w:val="center"/>
        </w:trPr>
        <w:tc>
          <w:tcPr>
            <w:tcW w:w="0" w:type="auto"/>
            <w:gridSpan w:val="4"/>
            <w:shd w:val="clear" w:color="auto" w:fill="auto"/>
            <w:tcMar>
              <w:left w:w="60" w:type="dxa"/>
              <w:right w:w="60" w:type="dxa"/>
            </w:tcMar>
            <w:vAlign w:val="center"/>
          </w:tcPr>
          <w:p w14:paraId="072E9D0E" w14:textId="77777777" w:rsidR="00576FE1" w:rsidRPr="00201B8E" w:rsidRDefault="00576FE1" w:rsidP="00115CD6">
            <w:pPr>
              <w:keepNext/>
              <w:adjustRightInd w:val="0"/>
              <w:spacing w:before="40" w:after="40" w:line="240" w:lineRule="auto"/>
              <w:rPr>
                <w:b/>
                <w:bCs/>
                <w:color w:val="000000"/>
                <w:sz w:val="18"/>
                <w:szCs w:val="18"/>
                <w:lang w:val="en-GB"/>
              </w:rPr>
            </w:pPr>
            <w:r w:rsidRPr="00201B8E">
              <w:rPr>
                <w:b/>
                <w:bCs/>
                <w:color w:val="000000"/>
                <w:sz w:val="18"/>
                <w:szCs w:val="18"/>
                <w:lang w:val="en-GB"/>
              </w:rPr>
              <w:t>Human Epidermal Growth Factor Receptor 2 (HER2)</w:t>
            </w:r>
          </w:p>
        </w:tc>
      </w:tr>
      <w:tr w:rsidR="00576FE1" w:rsidRPr="00201B8E" w14:paraId="15E705C1" w14:textId="77777777" w:rsidTr="00115CD6">
        <w:trPr>
          <w:cantSplit/>
          <w:trHeight w:val="280"/>
          <w:jc w:val="center"/>
        </w:trPr>
        <w:tc>
          <w:tcPr>
            <w:tcW w:w="2119" w:type="dxa"/>
            <w:shd w:val="clear" w:color="auto" w:fill="auto"/>
            <w:tcMar>
              <w:left w:w="60" w:type="dxa"/>
              <w:right w:w="60" w:type="dxa"/>
            </w:tcMar>
            <w:vAlign w:val="center"/>
          </w:tcPr>
          <w:p w14:paraId="4FC04FD8"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lang w:val="en-GB"/>
              </w:rPr>
              <w:t xml:space="preserve">    </w:t>
            </w:r>
            <w:r w:rsidRPr="00201B8E">
              <w:rPr>
                <w:color w:val="000000"/>
                <w:sz w:val="18"/>
                <w:szCs w:val="18"/>
              </w:rPr>
              <w:t>Negative</w:t>
            </w:r>
          </w:p>
        </w:tc>
        <w:tc>
          <w:tcPr>
            <w:tcW w:w="2268" w:type="dxa"/>
            <w:shd w:val="clear" w:color="auto" w:fill="auto"/>
            <w:tcMar>
              <w:left w:w="60" w:type="dxa"/>
              <w:right w:w="60" w:type="dxa"/>
            </w:tcMar>
            <w:vAlign w:val="center"/>
          </w:tcPr>
          <w:p w14:paraId="1FC3E1E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243 (100.0%)</w:t>
            </w:r>
          </w:p>
        </w:tc>
        <w:tc>
          <w:tcPr>
            <w:tcW w:w="2119" w:type="dxa"/>
            <w:shd w:val="clear" w:color="auto" w:fill="auto"/>
            <w:tcMar>
              <w:left w:w="60" w:type="dxa"/>
              <w:right w:w="60" w:type="dxa"/>
            </w:tcMar>
            <w:vAlign w:val="center"/>
          </w:tcPr>
          <w:p w14:paraId="38BE4791"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243 (100.0%)</w:t>
            </w:r>
          </w:p>
        </w:tc>
        <w:tc>
          <w:tcPr>
            <w:tcW w:w="1767" w:type="dxa"/>
            <w:shd w:val="clear" w:color="auto" w:fill="auto"/>
            <w:tcMar>
              <w:left w:w="60" w:type="dxa"/>
              <w:right w:w="60" w:type="dxa"/>
            </w:tcMar>
            <w:vAlign w:val="center"/>
          </w:tcPr>
          <w:p w14:paraId="76CC47A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486 (100.0%)</w:t>
            </w:r>
          </w:p>
        </w:tc>
      </w:tr>
      <w:tr w:rsidR="00576FE1" w:rsidRPr="008E7B22" w14:paraId="23CA98B3" w14:textId="77777777" w:rsidTr="00115CD6">
        <w:trPr>
          <w:cantSplit/>
          <w:trHeight w:val="293"/>
          <w:jc w:val="center"/>
        </w:trPr>
        <w:tc>
          <w:tcPr>
            <w:tcW w:w="0" w:type="auto"/>
            <w:gridSpan w:val="4"/>
            <w:shd w:val="clear" w:color="auto" w:fill="auto"/>
            <w:tcMar>
              <w:left w:w="60" w:type="dxa"/>
              <w:right w:w="60" w:type="dxa"/>
            </w:tcMar>
            <w:vAlign w:val="center"/>
          </w:tcPr>
          <w:p w14:paraId="5AD47648" w14:textId="77777777" w:rsidR="00576FE1" w:rsidRPr="00201B8E" w:rsidRDefault="00576FE1" w:rsidP="00115CD6">
            <w:pPr>
              <w:keepNext/>
              <w:adjustRightInd w:val="0"/>
              <w:spacing w:before="40" w:after="40" w:line="240" w:lineRule="auto"/>
              <w:rPr>
                <w:b/>
                <w:bCs/>
                <w:color w:val="000000"/>
                <w:sz w:val="18"/>
                <w:szCs w:val="18"/>
                <w:lang w:val="en-GB"/>
              </w:rPr>
            </w:pPr>
            <w:r w:rsidRPr="00201B8E">
              <w:rPr>
                <w:b/>
                <w:bCs/>
                <w:color w:val="000000"/>
                <w:sz w:val="18"/>
                <w:szCs w:val="18"/>
                <w:lang w:val="en-GB"/>
              </w:rPr>
              <w:t>Disease Stage at Initial Diagnostic</w:t>
            </w:r>
          </w:p>
        </w:tc>
      </w:tr>
      <w:tr w:rsidR="00576FE1" w:rsidRPr="00201B8E" w14:paraId="02ABA29B" w14:textId="77777777" w:rsidTr="00115CD6">
        <w:trPr>
          <w:cantSplit/>
          <w:trHeight w:val="280"/>
          <w:jc w:val="center"/>
        </w:trPr>
        <w:tc>
          <w:tcPr>
            <w:tcW w:w="2119" w:type="dxa"/>
            <w:shd w:val="clear" w:color="auto" w:fill="auto"/>
            <w:tcMar>
              <w:left w:w="60" w:type="dxa"/>
              <w:right w:w="60" w:type="dxa"/>
            </w:tcMar>
            <w:vAlign w:val="center"/>
          </w:tcPr>
          <w:p w14:paraId="2E50DE20"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lang w:val="en-GB"/>
              </w:rPr>
              <w:t xml:space="preserve">    </w:t>
            </w:r>
            <w:r w:rsidRPr="00201B8E">
              <w:rPr>
                <w:color w:val="000000"/>
                <w:sz w:val="18"/>
                <w:szCs w:val="18"/>
              </w:rPr>
              <w:t>I</w:t>
            </w:r>
          </w:p>
        </w:tc>
        <w:tc>
          <w:tcPr>
            <w:tcW w:w="2268" w:type="dxa"/>
            <w:shd w:val="clear" w:color="auto" w:fill="auto"/>
            <w:tcMar>
              <w:left w:w="60" w:type="dxa"/>
              <w:right w:w="60" w:type="dxa"/>
            </w:tcMar>
            <w:vAlign w:val="center"/>
          </w:tcPr>
          <w:p w14:paraId="6F6635F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35 (14.4%)</w:t>
            </w:r>
          </w:p>
        </w:tc>
        <w:tc>
          <w:tcPr>
            <w:tcW w:w="2119" w:type="dxa"/>
            <w:shd w:val="clear" w:color="auto" w:fill="auto"/>
            <w:tcMar>
              <w:left w:w="60" w:type="dxa"/>
              <w:right w:w="60" w:type="dxa"/>
            </w:tcMar>
            <w:vAlign w:val="center"/>
          </w:tcPr>
          <w:p w14:paraId="3F30EB0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42 (17.3%)</w:t>
            </w:r>
          </w:p>
        </w:tc>
        <w:tc>
          <w:tcPr>
            <w:tcW w:w="1767" w:type="dxa"/>
            <w:shd w:val="clear" w:color="auto" w:fill="auto"/>
            <w:tcMar>
              <w:left w:w="60" w:type="dxa"/>
              <w:right w:w="60" w:type="dxa"/>
            </w:tcMar>
            <w:vAlign w:val="center"/>
          </w:tcPr>
          <w:p w14:paraId="52B4F1C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77 (15.8%)</w:t>
            </w:r>
          </w:p>
        </w:tc>
      </w:tr>
      <w:tr w:rsidR="00576FE1" w:rsidRPr="00201B8E" w14:paraId="5BD17E9E" w14:textId="77777777" w:rsidTr="00115CD6">
        <w:trPr>
          <w:cantSplit/>
          <w:trHeight w:val="293"/>
          <w:jc w:val="center"/>
        </w:trPr>
        <w:tc>
          <w:tcPr>
            <w:tcW w:w="2119" w:type="dxa"/>
            <w:shd w:val="clear" w:color="auto" w:fill="auto"/>
            <w:tcMar>
              <w:left w:w="60" w:type="dxa"/>
              <w:right w:w="60" w:type="dxa"/>
            </w:tcMar>
            <w:vAlign w:val="center"/>
          </w:tcPr>
          <w:p w14:paraId="0D89C2D8"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II</w:t>
            </w:r>
          </w:p>
        </w:tc>
        <w:tc>
          <w:tcPr>
            <w:tcW w:w="2268" w:type="dxa"/>
            <w:shd w:val="clear" w:color="auto" w:fill="auto"/>
            <w:tcMar>
              <w:left w:w="60" w:type="dxa"/>
              <w:right w:w="60" w:type="dxa"/>
            </w:tcMar>
            <w:vAlign w:val="center"/>
          </w:tcPr>
          <w:p w14:paraId="7904843A"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72 (29.6%)</w:t>
            </w:r>
          </w:p>
        </w:tc>
        <w:tc>
          <w:tcPr>
            <w:tcW w:w="2119" w:type="dxa"/>
            <w:shd w:val="clear" w:color="auto" w:fill="auto"/>
            <w:tcMar>
              <w:left w:w="60" w:type="dxa"/>
              <w:right w:w="60" w:type="dxa"/>
            </w:tcMar>
            <w:vAlign w:val="center"/>
          </w:tcPr>
          <w:p w14:paraId="3D5198E9"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70 (28.8%)</w:t>
            </w:r>
          </w:p>
        </w:tc>
        <w:tc>
          <w:tcPr>
            <w:tcW w:w="1767" w:type="dxa"/>
            <w:shd w:val="clear" w:color="auto" w:fill="auto"/>
            <w:tcMar>
              <w:left w:w="60" w:type="dxa"/>
              <w:right w:w="60" w:type="dxa"/>
            </w:tcMar>
            <w:vAlign w:val="center"/>
          </w:tcPr>
          <w:p w14:paraId="7E63F59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142 (29.2%)</w:t>
            </w:r>
          </w:p>
        </w:tc>
      </w:tr>
      <w:tr w:rsidR="00576FE1" w:rsidRPr="00201B8E" w14:paraId="0EF410E3" w14:textId="77777777" w:rsidTr="00115CD6">
        <w:trPr>
          <w:cantSplit/>
          <w:trHeight w:val="280"/>
          <w:jc w:val="center"/>
        </w:trPr>
        <w:tc>
          <w:tcPr>
            <w:tcW w:w="2119" w:type="dxa"/>
            <w:shd w:val="clear" w:color="auto" w:fill="auto"/>
            <w:tcMar>
              <w:left w:w="60" w:type="dxa"/>
              <w:right w:w="60" w:type="dxa"/>
            </w:tcMar>
            <w:vAlign w:val="center"/>
          </w:tcPr>
          <w:p w14:paraId="0EF34872"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III</w:t>
            </w:r>
          </w:p>
        </w:tc>
        <w:tc>
          <w:tcPr>
            <w:tcW w:w="2268" w:type="dxa"/>
            <w:shd w:val="clear" w:color="auto" w:fill="auto"/>
            <w:tcMar>
              <w:left w:w="60" w:type="dxa"/>
              <w:right w:w="60" w:type="dxa"/>
            </w:tcMar>
            <w:vAlign w:val="center"/>
          </w:tcPr>
          <w:p w14:paraId="262EF71C"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31 (12.8%)</w:t>
            </w:r>
          </w:p>
        </w:tc>
        <w:tc>
          <w:tcPr>
            <w:tcW w:w="2119" w:type="dxa"/>
            <w:shd w:val="clear" w:color="auto" w:fill="auto"/>
            <w:tcMar>
              <w:left w:w="60" w:type="dxa"/>
              <w:right w:w="60" w:type="dxa"/>
            </w:tcMar>
            <w:vAlign w:val="center"/>
          </w:tcPr>
          <w:p w14:paraId="72CAC1C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24 (9.9%)</w:t>
            </w:r>
          </w:p>
        </w:tc>
        <w:tc>
          <w:tcPr>
            <w:tcW w:w="1767" w:type="dxa"/>
            <w:shd w:val="clear" w:color="auto" w:fill="auto"/>
            <w:tcMar>
              <w:left w:w="60" w:type="dxa"/>
              <w:right w:w="60" w:type="dxa"/>
            </w:tcMar>
            <w:vAlign w:val="center"/>
          </w:tcPr>
          <w:p w14:paraId="677858D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55 (11.3%)</w:t>
            </w:r>
          </w:p>
        </w:tc>
      </w:tr>
      <w:tr w:rsidR="00576FE1" w:rsidRPr="00201B8E" w14:paraId="4E332509" w14:textId="77777777" w:rsidTr="00115CD6">
        <w:trPr>
          <w:cantSplit/>
          <w:trHeight w:val="293"/>
          <w:jc w:val="center"/>
        </w:trPr>
        <w:tc>
          <w:tcPr>
            <w:tcW w:w="2119" w:type="dxa"/>
            <w:shd w:val="clear" w:color="auto" w:fill="auto"/>
            <w:tcMar>
              <w:left w:w="60" w:type="dxa"/>
              <w:right w:w="60" w:type="dxa"/>
            </w:tcMar>
            <w:vAlign w:val="center"/>
          </w:tcPr>
          <w:p w14:paraId="44388877"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IV</w:t>
            </w:r>
          </w:p>
        </w:tc>
        <w:tc>
          <w:tcPr>
            <w:tcW w:w="2268" w:type="dxa"/>
            <w:shd w:val="clear" w:color="auto" w:fill="auto"/>
            <w:tcMar>
              <w:left w:w="60" w:type="dxa"/>
              <w:right w:w="60" w:type="dxa"/>
            </w:tcMar>
            <w:vAlign w:val="center"/>
          </w:tcPr>
          <w:p w14:paraId="47D81951"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102 (42.0%)</w:t>
            </w:r>
          </w:p>
        </w:tc>
        <w:tc>
          <w:tcPr>
            <w:tcW w:w="2119" w:type="dxa"/>
            <w:shd w:val="clear" w:color="auto" w:fill="auto"/>
            <w:tcMar>
              <w:left w:w="60" w:type="dxa"/>
              <w:right w:w="60" w:type="dxa"/>
            </w:tcMar>
            <w:vAlign w:val="center"/>
          </w:tcPr>
          <w:p w14:paraId="48501B5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96 (39.5%)</w:t>
            </w:r>
          </w:p>
        </w:tc>
        <w:tc>
          <w:tcPr>
            <w:tcW w:w="1767" w:type="dxa"/>
            <w:shd w:val="clear" w:color="auto" w:fill="auto"/>
            <w:tcMar>
              <w:left w:w="60" w:type="dxa"/>
              <w:right w:w="60" w:type="dxa"/>
            </w:tcMar>
            <w:vAlign w:val="center"/>
          </w:tcPr>
          <w:p w14:paraId="44355CBA"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198 (40.7%)</w:t>
            </w:r>
          </w:p>
        </w:tc>
      </w:tr>
      <w:tr w:rsidR="00576FE1" w:rsidRPr="00201B8E" w14:paraId="7E8D64AD" w14:textId="77777777" w:rsidTr="00115CD6">
        <w:trPr>
          <w:cantSplit/>
          <w:trHeight w:val="280"/>
          <w:jc w:val="center"/>
        </w:trPr>
        <w:tc>
          <w:tcPr>
            <w:tcW w:w="2119" w:type="dxa"/>
            <w:shd w:val="clear" w:color="auto" w:fill="auto"/>
            <w:tcMar>
              <w:left w:w="60" w:type="dxa"/>
              <w:right w:w="60" w:type="dxa"/>
            </w:tcMar>
            <w:vAlign w:val="center"/>
          </w:tcPr>
          <w:p w14:paraId="1B209F77"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Unknown</w:t>
            </w:r>
          </w:p>
        </w:tc>
        <w:tc>
          <w:tcPr>
            <w:tcW w:w="2268" w:type="dxa"/>
            <w:shd w:val="clear" w:color="auto" w:fill="auto"/>
            <w:tcMar>
              <w:left w:w="60" w:type="dxa"/>
              <w:right w:w="60" w:type="dxa"/>
            </w:tcMar>
            <w:vAlign w:val="center"/>
          </w:tcPr>
          <w:p w14:paraId="4D925FDD"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 (1.2%)</w:t>
            </w:r>
          </w:p>
        </w:tc>
        <w:tc>
          <w:tcPr>
            <w:tcW w:w="2119" w:type="dxa"/>
            <w:shd w:val="clear" w:color="auto" w:fill="auto"/>
            <w:tcMar>
              <w:left w:w="60" w:type="dxa"/>
              <w:right w:w="60" w:type="dxa"/>
            </w:tcMar>
            <w:vAlign w:val="center"/>
          </w:tcPr>
          <w:p w14:paraId="03746DA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11 (4.5%)</w:t>
            </w:r>
          </w:p>
        </w:tc>
        <w:tc>
          <w:tcPr>
            <w:tcW w:w="1767" w:type="dxa"/>
            <w:shd w:val="clear" w:color="auto" w:fill="auto"/>
            <w:tcMar>
              <w:left w:w="60" w:type="dxa"/>
              <w:right w:w="60" w:type="dxa"/>
            </w:tcMar>
            <w:vAlign w:val="center"/>
          </w:tcPr>
          <w:p w14:paraId="249EE39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14 (2.9%)</w:t>
            </w:r>
          </w:p>
        </w:tc>
      </w:tr>
      <w:tr w:rsidR="00576FE1" w:rsidRPr="00201B8E" w14:paraId="1ADF4568" w14:textId="77777777" w:rsidTr="00115CD6">
        <w:trPr>
          <w:cantSplit/>
          <w:trHeight w:val="293"/>
          <w:jc w:val="center"/>
        </w:trPr>
        <w:tc>
          <w:tcPr>
            <w:tcW w:w="0" w:type="auto"/>
            <w:gridSpan w:val="4"/>
            <w:shd w:val="clear" w:color="auto" w:fill="auto"/>
            <w:tcMar>
              <w:left w:w="60" w:type="dxa"/>
              <w:right w:w="60" w:type="dxa"/>
            </w:tcMar>
            <w:vAlign w:val="center"/>
          </w:tcPr>
          <w:p w14:paraId="115C3EBB" w14:textId="77777777" w:rsidR="00576FE1" w:rsidRPr="00201B8E" w:rsidRDefault="00576FE1" w:rsidP="00115CD6">
            <w:pPr>
              <w:keepNext/>
              <w:adjustRightInd w:val="0"/>
              <w:spacing w:before="40" w:after="40" w:line="240" w:lineRule="auto"/>
              <w:rPr>
                <w:b/>
                <w:bCs/>
                <w:color w:val="000000"/>
                <w:sz w:val="18"/>
                <w:szCs w:val="18"/>
              </w:rPr>
            </w:pPr>
            <w:r w:rsidRPr="00201B8E">
              <w:rPr>
                <w:b/>
                <w:bCs/>
                <w:color w:val="000000"/>
                <w:sz w:val="18"/>
                <w:szCs w:val="18"/>
              </w:rPr>
              <w:t>Diagnosis of Advance</w:t>
            </w:r>
            <w:r>
              <w:rPr>
                <w:b/>
                <w:bCs/>
                <w:color w:val="000000"/>
                <w:sz w:val="18"/>
                <w:szCs w:val="18"/>
              </w:rPr>
              <w:t>d</w:t>
            </w:r>
            <w:r w:rsidRPr="00201B8E">
              <w:rPr>
                <w:b/>
                <w:bCs/>
                <w:color w:val="000000"/>
                <w:sz w:val="18"/>
                <w:szCs w:val="18"/>
              </w:rPr>
              <w:t xml:space="preserve"> Cancer</w:t>
            </w:r>
          </w:p>
        </w:tc>
      </w:tr>
      <w:tr w:rsidR="00576FE1" w:rsidRPr="00201B8E" w14:paraId="1660262D" w14:textId="77777777" w:rsidTr="00115CD6">
        <w:trPr>
          <w:cantSplit/>
          <w:trHeight w:val="293"/>
          <w:jc w:val="center"/>
        </w:trPr>
        <w:tc>
          <w:tcPr>
            <w:tcW w:w="2119" w:type="dxa"/>
            <w:shd w:val="clear" w:color="auto" w:fill="auto"/>
            <w:tcMar>
              <w:left w:w="60" w:type="dxa"/>
              <w:right w:w="60" w:type="dxa"/>
            </w:tcMar>
            <w:vAlign w:val="center"/>
          </w:tcPr>
          <w:p w14:paraId="02766679"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Distant</w:t>
            </w:r>
          </w:p>
        </w:tc>
        <w:tc>
          <w:tcPr>
            <w:tcW w:w="2268" w:type="dxa"/>
            <w:shd w:val="clear" w:color="auto" w:fill="auto"/>
            <w:tcMar>
              <w:left w:w="60" w:type="dxa"/>
              <w:right w:w="60" w:type="dxa"/>
            </w:tcMar>
            <w:vAlign w:val="center"/>
          </w:tcPr>
          <w:p w14:paraId="1345F292"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242 (99.6%)</w:t>
            </w:r>
          </w:p>
        </w:tc>
        <w:tc>
          <w:tcPr>
            <w:tcW w:w="2119" w:type="dxa"/>
            <w:shd w:val="clear" w:color="auto" w:fill="auto"/>
            <w:tcMar>
              <w:left w:w="60" w:type="dxa"/>
              <w:right w:w="60" w:type="dxa"/>
            </w:tcMar>
            <w:vAlign w:val="center"/>
          </w:tcPr>
          <w:p w14:paraId="7D7790D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243 (100.0%)</w:t>
            </w:r>
          </w:p>
        </w:tc>
        <w:tc>
          <w:tcPr>
            <w:tcW w:w="1767" w:type="dxa"/>
            <w:shd w:val="clear" w:color="auto" w:fill="auto"/>
            <w:tcMar>
              <w:left w:w="60" w:type="dxa"/>
              <w:right w:w="60" w:type="dxa"/>
            </w:tcMar>
            <w:vAlign w:val="center"/>
          </w:tcPr>
          <w:p w14:paraId="6EFDB6F1"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485 (99.8%)</w:t>
            </w:r>
          </w:p>
        </w:tc>
      </w:tr>
      <w:tr w:rsidR="00576FE1" w:rsidRPr="00201B8E" w14:paraId="73D06148" w14:textId="77777777" w:rsidTr="00115CD6">
        <w:trPr>
          <w:cantSplit/>
          <w:trHeight w:val="280"/>
          <w:jc w:val="center"/>
        </w:trPr>
        <w:tc>
          <w:tcPr>
            <w:tcW w:w="2119" w:type="dxa"/>
            <w:shd w:val="clear" w:color="auto" w:fill="auto"/>
            <w:tcMar>
              <w:left w:w="60" w:type="dxa"/>
              <w:right w:w="60" w:type="dxa"/>
            </w:tcMar>
            <w:vAlign w:val="center"/>
          </w:tcPr>
          <w:p w14:paraId="01A5521C"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Regional</w:t>
            </w:r>
          </w:p>
        </w:tc>
        <w:tc>
          <w:tcPr>
            <w:tcW w:w="2268" w:type="dxa"/>
            <w:shd w:val="clear" w:color="auto" w:fill="auto"/>
            <w:tcMar>
              <w:left w:w="60" w:type="dxa"/>
              <w:right w:w="60" w:type="dxa"/>
            </w:tcMar>
            <w:vAlign w:val="center"/>
          </w:tcPr>
          <w:p w14:paraId="3E4BB3C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 (0.4%)</w:t>
            </w:r>
          </w:p>
        </w:tc>
        <w:tc>
          <w:tcPr>
            <w:tcW w:w="2119" w:type="dxa"/>
            <w:shd w:val="clear" w:color="auto" w:fill="auto"/>
            <w:tcMar>
              <w:left w:w="60" w:type="dxa"/>
              <w:right w:w="60" w:type="dxa"/>
            </w:tcMar>
            <w:vAlign w:val="center"/>
          </w:tcPr>
          <w:p w14:paraId="793C5DDD"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0 (0.0%)</w:t>
            </w:r>
          </w:p>
        </w:tc>
        <w:tc>
          <w:tcPr>
            <w:tcW w:w="1767" w:type="dxa"/>
            <w:shd w:val="clear" w:color="auto" w:fill="auto"/>
            <w:tcMar>
              <w:left w:w="60" w:type="dxa"/>
              <w:right w:w="60" w:type="dxa"/>
            </w:tcMar>
            <w:vAlign w:val="center"/>
          </w:tcPr>
          <w:p w14:paraId="1BE9CFAA"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 (0.2%)</w:t>
            </w:r>
          </w:p>
        </w:tc>
      </w:tr>
      <w:tr w:rsidR="00576FE1" w:rsidRPr="00201B8E" w14:paraId="1C1A3274" w14:textId="77777777" w:rsidTr="00115CD6">
        <w:trPr>
          <w:cantSplit/>
          <w:trHeight w:val="293"/>
          <w:jc w:val="center"/>
        </w:trPr>
        <w:tc>
          <w:tcPr>
            <w:tcW w:w="0" w:type="auto"/>
            <w:gridSpan w:val="4"/>
            <w:shd w:val="clear" w:color="auto" w:fill="auto"/>
            <w:tcMar>
              <w:left w:w="60" w:type="dxa"/>
              <w:right w:w="60" w:type="dxa"/>
            </w:tcMar>
            <w:vAlign w:val="center"/>
          </w:tcPr>
          <w:p w14:paraId="1C30EDA9" w14:textId="77777777" w:rsidR="00576FE1" w:rsidRPr="00201B8E" w:rsidRDefault="00576FE1" w:rsidP="00115CD6">
            <w:pPr>
              <w:keepNext/>
              <w:adjustRightInd w:val="0"/>
              <w:spacing w:before="40" w:after="40" w:line="240" w:lineRule="auto"/>
              <w:rPr>
                <w:b/>
                <w:bCs/>
                <w:color w:val="000000"/>
                <w:sz w:val="18"/>
                <w:szCs w:val="18"/>
              </w:rPr>
            </w:pPr>
            <w:r w:rsidRPr="00201B8E">
              <w:rPr>
                <w:b/>
                <w:bCs/>
                <w:color w:val="000000"/>
                <w:sz w:val="18"/>
                <w:szCs w:val="18"/>
              </w:rPr>
              <w:lastRenderedPageBreak/>
              <w:t>Metastatic Disease Diagnosis</w:t>
            </w:r>
          </w:p>
        </w:tc>
      </w:tr>
      <w:tr w:rsidR="00576FE1" w:rsidRPr="00201B8E" w14:paraId="7C960B3F" w14:textId="77777777" w:rsidTr="00115CD6">
        <w:trPr>
          <w:cantSplit/>
          <w:trHeight w:val="280"/>
          <w:jc w:val="center"/>
        </w:trPr>
        <w:tc>
          <w:tcPr>
            <w:tcW w:w="2119" w:type="dxa"/>
            <w:shd w:val="clear" w:color="auto" w:fill="auto"/>
            <w:tcMar>
              <w:left w:w="60" w:type="dxa"/>
              <w:right w:w="60" w:type="dxa"/>
            </w:tcMar>
            <w:vAlign w:val="center"/>
          </w:tcPr>
          <w:p w14:paraId="340E5F9D"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De novo</w:t>
            </w:r>
          </w:p>
        </w:tc>
        <w:tc>
          <w:tcPr>
            <w:tcW w:w="2268" w:type="dxa"/>
            <w:shd w:val="clear" w:color="auto" w:fill="auto"/>
            <w:tcMar>
              <w:left w:w="60" w:type="dxa"/>
              <w:right w:w="60" w:type="dxa"/>
            </w:tcMar>
            <w:vAlign w:val="center"/>
          </w:tcPr>
          <w:p w14:paraId="2676CADA"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102 (42.0%)</w:t>
            </w:r>
          </w:p>
        </w:tc>
        <w:tc>
          <w:tcPr>
            <w:tcW w:w="2119" w:type="dxa"/>
            <w:shd w:val="clear" w:color="auto" w:fill="auto"/>
            <w:tcMar>
              <w:left w:w="60" w:type="dxa"/>
              <w:right w:w="60" w:type="dxa"/>
            </w:tcMar>
            <w:vAlign w:val="center"/>
          </w:tcPr>
          <w:p w14:paraId="3650C53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96 (39.5%)</w:t>
            </w:r>
          </w:p>
        </w:tc>
        <w:tc>
          <w:tcPr>
            <w:tcW w:w="1767" w:type="dxa"/>
            <w:shd w:val="clear" w:color="auto" w:fill="auto"/>
            <w:tcMar>
              <w:left w:w="60" w:type="dxa"/>
              <w:right w:w="60" w:type="dxa"/>
            </w:tcMar>
            <w:vAlign w:val="center"/>
          </w:tcPr>
          <w:p w14:paraId="53ABB04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198 (40.7%)</w:t>
            </w:r>
          </w:p>
        </w:tc>
      </w:tr>
      <w:tr w:rsidR="00576FE1" w:rsidRPr="00201B8E" w14:paraId="020D9408" w14:textId="77777777" w:rsidTr="00115CD6">
        <w:trPr>
          <w:cantSplit/>
          <w:trHeight w:val="293"/>
          <w:jc w:val="center"/>
        </w:trPr>
        <w:tc>
          <w:tcPr>
            <w:tcW w:w="2119" w:type="dxa"/>
            <w:shd w:val="clear" w:color="auto" w:fill="auto"/>
            <w:tcMar>
              <w:left w:w="60" w:type="dxa"/>
              <w:right w:w="60" w:type="dxa"/>
            </w:tcMar>
            <w:vAlign w:val="center"/>
          </w:tcPr>
          <w:p w14:paraId="233A7B55"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Non-de novo</w:t>
            </w:r>
          </w:p>
        </w:tc>
        <w:tc>
          <w:tcPr>
            <w:tcW w:w="2268" w:type="dxa"/>
            <w:shd w:val="clear" w:color="auto" w:fill="auto"/>
            <w:tcMar>
              <w:left w:w="60" w:type="dxa"/>
              <w:right w:w="60" w:type="dxa"/>
            </w:tcMar>
            <w:vAlign w:val="center"/>
          </w:tcPr>
          <w:p w14:paraId="159A20B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141 (58.0%)</w:t>
            </w:r>
          </w:p>
        </w:tc>
        <w:tc>
          <w:tcPr>
            <w:tcW w:w="2119" w:type="dxa"/>
            <w:shd w:val="clear" w:color="auto" w:fill="auto"/>
            <w:tcMar>
              <w:left w:w="60" w:type="dxa"/>
              <w:right w:w="60" w:type="dxa"/>
            </w:tcMar>
            <w:vAlign w:val="center"/>
          </w:tcPr>
          <w:p w14:paraId="54E57567"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147 (60.5%)</w:t>
            </w:r>
          </w:p>
        </w:tc>
        <w:tc>
          <w:tcPr>
            <w:tcW w:w="1767" w:type="dxa"/>
            <w:shd w:val="clear" w:color="auto" w:fill="auto"/>
            <w:tcMar>
              <w:left w:w="60" w:type="dxa"/>
              <w:right w:w="60" w:type="dxa"/>
            </w:tcMar>
            <w:vAlign w:val="center"/>
          </w:tcPr>
          <w:p w14:paraId="01D5CC5C"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288 (59.3%)</w:t>
            </w:r>
          </w:p>
        </w:tc>
      </w:tr>
      <w:tr w:rsidR="00576FE1" w:rsidRPr="008E7B22" w14:paraId="0E1C9B91" w14:textId="77777777" w:rsidTr="00115CD6">
        <w:trPr>
          <w:cantSplit/>
          <w:trHeight w:val="280"/>
          <w:jc w:val="center"/>
        </w:trPr>
        <w:tc>
          <w:tcPr>
            <w:tcW w:w="0" w:type="auto"/>
            <w:gridSpan w:val="4"/>
            <w:shd w:val="clear" w:color="auto" w:fill="auto"/>
            <w:tcMar>
              <w:left w:w="60" w:type="dxa"/>
              <w:right w:w="60" w:type="dxa"/>
            </w:tcMar>
            <w:vAlign w:val="center"/>
          </w:tcPr>
          <w:p w14:paraId="5DF4A9A2" w14:textId="77777777" w:rsidR="00576FE1" w:rsidRPr="00201B8E" w:rsidRDefault="00576FE1" w:rsidP="00115CD6">
            <w:pPr>
              <w:keepNext/>
              <w:adjustRightInd w:val="0"/>
              <w:spacing w:before="40" w:after="40" w:line="240" w:lineRule="auto"/>
              <w:rPr>
                <w:b/>
                <w:bCs/>
                <w:color w:val="000000"/>
                <w:sz w:val="18"/>
                <w:szCs w:val="18"/>
                <w:lang w:val="en-GB"/>
              </w:rPr>
            </w:pPr>
            <w:r w:rsidRPr="00201B8E">
              <w:rPr>
                <w:b/>
                <w:bCs/>
                <w:color w:val="000000"/>
                <w:sz w:val="18"/>
                <w:szCs w:val="18"/>
                <w:lang w:val="en-GB"/>
              </w:rPr>
              <w:t>Time Disease-Free Interval (years)</w:t>
            </w:r>
          </w:p>
        </w:tc>
      </w:tr>
      <w:tr w:rsidR="00576FE1" w:rsidRPr="00201B8E" w14:paraId="4C68C3BF" w14:textId="77777777" w:rsidTr="00115CD6">
        <w:trPr>
          <w:cantSplit/>
          <w:trHeight w:val="293"/>
          <w:jc w:val="center"/>
        </w:trPr>
        <w:tc>
          <w:tcPr>
            <w:tcW w:w="2119" w:type="dxa"/>
            <w:shd w:val="clear" w:color="auto" w:fill="auto"/>
            <w:tcMar>
              <w:left w:w="60" w:type="dxa"/>
              <w:right w:w="60" w:type="dxa"/>
            </w:tcMar>
            <w:vAlign w:val="center"/>
          </w:tcPr>
          <w:p w14:paraId="7A88D533"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lang w:val="en-GB"/>
              </w:rPr>
              <w:t xml:space="preserve">    </w:t>
            </w:r>
            <w:r w:rsidRPr="00201B8E">
              <w:rPr>
                <w:color w:val="000000"/>
                <w:sz w:val="18"/>
                <w:szCs w:val="18"/>
              </w:rPr>
              <w:t>N</w:t>
            </w:r>
          </w:p>
        </w:tc>
        <w:tc>
          <w:tcPr>
            <w:tcW w:w="2268" w:type="dxa"/>
            <w:shd w:val="clear" w:color="auto" w:fill="auto"/>
            <w:tcMar>
              <w:left w:w="60" w:type="dxa"/>
              <w:right w:w="60" w:type="dxa"/>
            </w:tcMar>
            <w:vAlign w:val="center"/>
          </w:tcPr>
          <w:p w14:paraId="6E68095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129</w:t>
            </w:r>
          </w:p>
        </w:tc>
        <w:tc>
          <w:tcPr>
            <w:tcW w:w="2119" w:type="dxa"/>
            <w:shd w:val="clear" w:color="auto" w:fill="auto"/>
            <w:tcMar>
              <w:left w:w="60" w:type="dxa"/>
              <w:right w:w="60" w:type="dxa"/>
            </w:tcMar>
            <w:vAlign w:val="center"/>
          </w:tcPr>
          <w:p w14:paraId="283AA279"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133</w:t>
            </w:r>
          </w:p>
        </w:tc>
        <w:tc>
          <w:tcPr>
            <w:tcW w:w="1767" w:type="dxa"/>
            <w:shd w:val="clear" w:color="auto" w:fill="auto"/>
            <w:tcMar>
              <w:left w:w="60" w:type="dxa"/>
              <w:right w:w="60" w:type="dxa"/>
            </w:tcMar>
            <w:vAlign w:val="center"/>
          </w:tcPr>
          <w:p w14:paraId="6C77D66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262</w:t>
            </w:r>
          </w:p>
        </w:tc>
      </w:tr>
      <w:tr w:rsidR="00576FE1" w:rsidRPr="00201B8E" w14:paraId="2A233903" w14:textId="77777777" w:rsidTr="00115CD6">
        <w:trPr>
          <w:cantSplit/>
          <w:trHeight w:val="280"/>
          <w:jc w:val="center"/>
        </w:trPr>
        <w:tc>
          <w:tcPr>
            <w:tcW w:w="2119" w:type="dxa"/>
            <w:shd w:val="clear" w:color="auto" w:fill="auto"/>
            <w:tcMar>
              <w:left w:w="60" w:type="dxa"/>
              <w:right w:w="60" w:type="dxa"/>
            </w:tcMar>
            <w:vAlign w:val="center"/>
          </w:tcPr>
          <w:p w14:paraId="6A2A5552"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Mean (SD)</w:t>
            </w:r>
          </w:p>
        </w:tc>
        <w:tc>
          <w:tcPr>
            <w:tcW w:w="2268" w:type="dxa"/>
            <w:shd w:val="clear" w:color="auto" w:fill="auto"/>
            <w:tcMar>
              <w:left w:w="60" w:type="dxa"/>
              <w:right w:w="60" w:type="dxa"/>
            </w:tcMar>
            <w:vAlign w:val="center"/>
          </w:tcPr>
          <w:p w14:paraId="751809F2"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6.3 (5.5)</w:t>
            </w:r>
          </w:p>
        </w:tc>
        <w:tc>
          <w:tcPr>
            <w:tcW w:w="2119" w:type="dxa"/>
            <w:shd w:val="clear" w:color="auto" w:fill="auto"/>
            <w:tcMar>
              <w:left w:w="60" w:type="dxa"/>
              <w:right w:w="60" w:type="dxa"/>
            </w:tcMar>
            <w:vAlign w:val="center"/>
          </w:tcPr>
          <w:p w14:paraId="36427CF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6.0 (5.2)</w:t>
            </w:r>
          </w:p>
        </w:tc>
        <w:tc>
          <w:tcPr>
            <w:tcW w:w="1767" w:type="dxa"/>
            <w:shd w:val="clear" w:color="auto" w:fill="auto"/>
            <w:tcMar>
              <w:left w:w="60" w:type="dxa"/>
              <w:right w:w="60" w:type="dxa"/>
            </w:tcMar>
            <w:vAlign w:val="center"/>
          </w:tcPr>
          <w:p w14:paraId="2FC16A99"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6.1 (5.4)</w:t>
            </w:r>
          </w:p>
        </w:tc>
      </w:tr>
      <w:tr w:rsidR="00576FE1" w:rsidRPr="00201B8E" w14:paraId="2DDF017B" w14:textId="77777777" w:rsidTr="00115CD6">
        <w:trPr>
          <w:cantSplit/>
          <w:trHeight w:val="293"/>
          <w:jc w:val="center"/>
        </w:trPr>
        <w:tc>
          <w:tcPr>
            <w:tcW w:w="2119" w:type="dxa"/>
            <w:shd w:val="clear" w:color="auto" w:fill="auto"/>
            <w:tcMar>
              <w:left w:w="60" w:type="dxa"/>
              <w:right w:w="60" w:type="dxa"/>
            </w:tcMar>
            <w:vAlign w:val="center"/>
          </w:tcPr>
          <w:p w14:paraId="244F023B"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Median (Min, Max)</w:t>
            </w:r>
          </w:p>
        </w:tc>
        <w:tc>
          <w:tcPr>
            <w:tcW w:w="2268" w:type="dxa"/>
            <w:shd w:val="clear" w:color="auto" w:fill="auto"/>
            <w:tcMar>
              <w:left w:w="60" w:type="dxa"/>
              <w:right w:w="60" w:type="dxa"/>
            </w:tcMar>
            <w:vAlign w:val="center"/>
          </w:tcPr>
          <w:p w14:paraId="0615589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4.3 (0.0, 30.7)</w:t>
            </w:r>
          </w:p>
        </w:tc>
        <w:tc>
          <w:tcPr>
            <w:tcW w:w="2119" w:type="dxa"/>
            <w:shd w:val="clear" w:color="auto" w:fill="auto"/>
            <w:tcMar>
              <w:left w:w="60" w:type="dxa"/>
              <w:right w:w="60" w:type="dxa"/>
            </w:tcMar>
            <w:vAlign w:val="center"/>
          </w:tcPr>
          <w:p w14:paraId="7BF56E4D"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5.0 (0.0, 24.6)</w:t>
            </w:r>
          </w:p>
        </w:tc>
        <w:tc>
          <w:tcPr>
            <w:tcW w:w="1767" w:type="dxa"/>
            <w:shd w:val="clear" w:color="auto" w:fill="auto"/>
            <w:tcMar>
              <w:left w:w="60" w:type="dxa"/>
              <w:right w:w="60" w:type="dxa"/>
            </w:tcMar>
            <w:vAlign w:val="center"/>
          </w:tcPr>
          <w:p w14:paraId="1195761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4.6 (0.0, 30.7)</w:t>
            </w:r>
          </w:p>
        </w:tc>
      </w:tr>
      <w:tr w:rsidR="00576FE1" w:rsidRPr="00201B8E" w14:paraId="6700C7DC" w14:textId="77777777" w:rsidTr="00115CD6">
        <w:trPr>
          <w:cantSplit/>
          <w:trHeight w:val="280"/>
          <w:jc w:val="center"/>
        </w:trPr>
        <w:tc>
          <w:tcPr>
            <w:tcW w:w="2119" w:type="dxa"/>
            <w:shd w:val="clear" w:color="auto" w:fill="auto"/>
            <w:tcMar>
              <w:left w:w="60" w:type="dxa"/>
              <w:right w:w="60" w:type="dxa"/>
            </w:tcMar>
            <w:vAlign w:val="center"/>
          </w:tcPr>
          <w:p w14:paraId="5F4891F7"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P25, P75</w:t>
            </w:r>
          </w:p>
        </w:tc>
        <w:tc>
          <w:tcPr>
            <w:tcW w:w="2268" w:type="dxa"/>
            <w:shd w:val="clear" w:color="auto" w:fill="auto"/>
            <w:tcMar>
              <w:left w:w="60" w:type="dxa"/>
              <w:right w:w="60" w:type="dxa"/>
            </w:tcMar>
            <w:vAlign w:val="center"/>
          </w:tcPr>
          <w:p w14:paraId="7E14991A"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2.5, 8.9</w:t>
            </w:r>
          </w:p>
        </w:tc>
        <w:tc>
          <w:tcPr>
            <w:tcW w:w="2119" w:type="dxa"/>
            <w:shd w:val="clear" w:color="auto" w:fill="auto"/>
            <w:tcMar>
              <w:left w:w="60" w:type="dxa"/>
              <w:right w:w="60" w:type="dxa"/>
            </w:tcMar>
            <w:vAlign w:val="center"/>
          </w:tcPr>
          <w:p w14:paraId="77427B9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2.1, 8.3</w:t>
            </w:r>
          </w:p>
        </w:tc>
        <w:tc>
          <w:tcPr>
            <w:tcW w:w="1767" w:type="dxa"/>
            <w:shd w:val="clear" w:color="auto" w:fill="auto"/>
            <w:tcMar>
              <w:left w:w="60" w:type="dxa"/>
              <w:right w:w="60" w:type="dxa"/>
            </w:tcMar>
            <w:vAlign w:val="center"/>
          </w:tcPr>
          <w:p w14:paraId="4C8D624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2.3, 8.4</w:t>
            </w:r>
          </w:p>
        </w:tc>
      </w:tr>
      <w:tr w:rsidR="00576FE1" w:rsidRPr="00201B8E" w14:paraId="392493E9" w14:textId="77777777" w:rsidTr="00115CD6">
        <w:trPr>
          <w:cantSplit/>
          <w:trHeight w:val="293"/>
          <w:jc w:val="center"/>
        </w:trPr>
        <w:tc>
          <w:tcPr>
            <w:tcW w:w="0" w:type="auto"/>
            <w:gridSpan w:val="4"/>
            <w:shd w:val="clear" w:color="auto" w:fill="auto"/>
            <w:tcMar>
              <w:left w:w="60" w:type="dxa"/>
              <w:right w:w="60" w:type="dxa"/>
            </w:tcMar>
            <w:vAlign w:val="center"/>
          </w:tcPr>
          <w:p w14:paraId="2400435A" w14:textId="77777777" w:rsidR="00576FE1" w:rsidRPr="00201B8E" w:rsidRDefault="00576FE1" w:rsidP="00115CD6">
            <w:pPr>
              <w:keepNext/>
              <w:adjustRightInd w:val="0"/>
              <w:spacing w:before="40" w:after="40" w:line="240" w:lineRule="auto"/>
              <w:rPr>
                <w:b/>
                <w:bCs/>
                <w:color w:val="000000"/>
                <w:sz w:val="18"/>
                <w:szCs w:val="18"/>
              </w:rPr>
            </w:pPr>
            <w:r w:rsidRPr="00201B8E">
              <w:rPr>
                <w:b/>
                <w:bCs/>
                <w:color w:val="000000"/>
                <w:sz w:val="18"/>
                <w:szCs w:val="18"/>
              </w:rPr>
              <w:t>Visceral Disease</w:t>
            </w:r>
          </w:p>
        </w:tc>
      </w:tr>
      <w:tr w:rsidR="00576FE1" w:rsidRPr="00201B8E" w14:paraId="3741D6D6" w14:textId="77777777" w:rsidTr="00115CD6">
        <w:trPr>
          <w:cantSplit/>
          <w:trHeight w:val="280"/>
          <w:jc w:val="center"/>
        </w:trPr>
        <w:tc>
          <w:tcPr>
            <w:tcW w:w="2119" w:type="dxa"/>
            <w:shd w:val="clear" w:color="auto" w:fill="auto"/>
            <w:tcMar>
              <w:left w:w="60" w:type="dxa"/>
              <w:right w:w="60" w:type="dxa"/>
            </w:tcMar>
            <w:vAlign w:val="center"/>
          </w:tcPr>
          <w:p w14:paraId="4B4B1EAC"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Non-visceral</w:t>
            </w:r>
          </w:p>
        </w:tc>
        <w:tc>
          <w:tcPr>
            <w:tcW w:w="2268" w:type="dxa"/>
            <w:shd w:val="clear" w:color="auto" w:fill="auto"/>
            <w:tcMar>
              <w:left w:w="60" w:type="dxa"/>
              <w:right w:w="60" w:type="dxa"/>
            </w:tcMar>
            <w:vAlign w:val="center"/>
          </w:tcPr>
          <w:p w14:paraId="1BE47BD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128 (52.7%)</w:t>
            </w:r>
          </w:p>
        </w:tc>
        <w:tc>
          <w:tcPr>
            <w:tcW w:w="2119" w:type="dxa"/>
            <w:shd w:val="clear" w:color="auto" w:fill="auto"/>
            <w:tcMar>
              <w:left w:w="60" w:type="dxa"/>
              <w:right w:w="60" w:type="dxa"/>
            </w:tcMar>
            <w:vAlign w:val="center"/>
          </w:tcPr>
          <w:p w14:paraId="276F81E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125 (51.4%)</w:t>
            </w:r>
          </w:p>
        </w:tc>
        <w:tc>
          <w:tcPr>
            <w:tcW w:w="1767" w:type="dxa"/>
            <w:shd w:val="clear" w:color="auto" w:fill="auto"/>
            <w:tcMar>
              <w:left w:w="60" w:type="dxa"/>
              <w:right w:w="60" w:type="dxa"/>
            </w:tcMar>
            <w:vAlign w:val="center"/>
          </w:tcPr>
          <w:p w14:paraId="7BD8625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253 (52.1%)</w:t>
            </w:r>
          </w:p>
        </w:tc>
      </w:tr>
      <w:tr w:rsidR="00576FE1" w:rsidRPr="00201B8E" w14:paraId="13B36EB6" w14:textId="77777777" w:rsidTr="00115CD6">
        <w:trPr>
          <w:cantSplit/>
          <w:trHeight w:val="293"/>
          <w:jc w:val="center"/>
        </w:trPr>
        <w:tc>
          <w:tcPr>
            <w:tcW w:w="2119" w:type="dxa"/>
            <w:shd w:val="clear" w:color="auto" w:fill="auto"/>
            <w:tcMar>
              <w:left w:w="60" w:type="dxa"/>
              <w:right w:w="60" w:type="dxa"/>
            </w:tcMar>
            <w:vAlign w:val="center"/>
          </w:tcPr>
          <w:p w14:paraId="73DB95CC"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Visceral</w:t>
            </w:r>
          </w:p>
        </w:tc>
        <w:tc>
          <w:tcPr>
            <w:tcW w:w="2268" w:type="dxa"/>
            <w:shd w:val="clear" w:color="auto" w:fill="auto"/>
            <w:tcMar>
              <w:left w:w="60" w:type="dxa"/>
              <w:right w:w="60" w:type="dxa"/>
            </w:tcMar>
            <w:vAlign w:val="center"/>
          </w:tcPr>
          <w:p w14:paraId="4A0EACF1"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115 (47.3%)</w:t>
            </w:r>
          </w:p>
        </w:tc>
        <w:tc>
          <w:tcPr>
            <w:tcW w:w="2119" w:type="dxa"/>
            <w:shd w:val="clear" w:color="auto" w:fill="auto"/>
            <w:tcMar>
              <w:left w:w="60" w:type="dxa"/>
              <w:right w:w="60" w:type="dxa"/>
            </w:tcMar>
            <w:vAlign w:val="center"/>
          </w:tcPr>
          <w:p w14:paraId="300D80E1"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118 (48.6%)</w:t>
            </w:r>
          </w:p>
        </w:tc>
        <w:tc>
          <w:tcPr>
            <w:tcW w:w="1767" w:type="dxa"/>
            <w:shd w:val="clear" w:color="auto" w:fill="auto"/>
            <w:tcMar>
              <w:left w:w="60" w:type="dxa"/>
              <w:right w:w="60" w:type="dxa"/>
            </w:tcMar>
            <w:vAlign w:val="center"/>
          </w:tcPr>
          <w:p w14:paraId="1115FDB9"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233 (47.9%)</w:t>
            </w:r>
          </w:p>
        </w:tc>
      </w:tr>
      <w:tr w:rsidR="00576FE1" w:rsidRPr="008E7B22" w14:paraId="6C542DC1" w14:textId="77777777" w:rsidTr="00115CD6">
        <w:trPr>
          <w:cantSplit/>
          <w:trHeight w:val="280"/>
          <w:jc w:val="center"/>
        </w:trPr>
        <w:tc>
          <w:tcPr>
            <w:tcW w:w="0" w:type="auto"/>
            <w:gridSpan w:val="4"/>
            <w:shd w:val="clear" w:color="auto" w:fill="auto"/>
            <w:tcMar>
              <w:left w:w="60" w:type="dxa"/>
              <w:right w:w="60" w:type="dxa"/>
            </w:tcMar>
            <w:vAlign w:val="center"/>
          </w:tcPr>
          <w:p w14:paraId="65AB010D" w14:textId="77777777" w:rsidR="00576FE1" w:rsidRPr="002F1C62" w:rsidRDefault="00576FE1" w:rsidP="00115CD6">
            <w:pPr>
              <w:keepNext/>
              <w:adjustRightInd w:val="0"/>
              <w:spacing w:before="40" w:after="40" w:line="240" w:lineRule="auto"/>
              <w:rPr>
                <w:color w:val="000000"/>
                <w:sz w:val="18"/>
                <w:szCs w:val="18"/>
                <w:lang w:val="en-GB"/>
              </w:rPr>
            </w:pPr>
            <w:r w:rsidRPr="00201B8E">
              <w:rPr>
                <w:b/>
                <w:bCs/>
                <w:color w:val="000000"/>
                <w:sz w:val="18"/>
                <w:szCs w:val="18"/>
                <w:lang w:val="en-GB"/>
              </w:rPr>
              <w:t>Number of Disease Sites Categorized</w:t>
            </w:r>
          </w:p>
        </w:tc>
      </w:tr>
      <w:tr w:rsidR="00576FE1" w:rsidRPr="00201B8E" w14:paraId="10ECBC53" w14:textId="77777777" w:rsidTr="00115CD6">
        <w:trPr>
          <w:cantSplit/>
          <w:trHeight w:val="293"/>
          <w:jc w:val="center"/>
        </w:trPr>
        <w:tc>
          <w:tcPr>
            <w:tcW w:w="2119" w:type="dxa"/>
            <w:shd w:val="clear" w:color="auto" w:fill="auto"/>
            <w:tcMar>
              <w:left w:w="60" w:type="dxa"/>
              <w:right w:w="60" w:type="dxa"/>
            </w:tcMar>
            <w:vAlign w:val="center"/>
          </w:tcPr>
          <w:p w14:paraId="746C43BD"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lang w:val="en-GB"/>
              </w:rPr>
              <w:t xml:space="preserve">    </w:t>
            </w:r>
            <w:r w:rsidRPr="00201B8E">
              <w:rPr>
                <w:color w:val="000000"/>
                <w:sz w:val="18"/>
                <w:szCs w:val="18"/>
              </w:rPr>
              <w:t>1 to 2</w:t>
            </w:r>
          </w:p>
        </w:tc>
        <w:tc>
          <w:tcPr>
            <w:tcW w:w="2268" w:type="dxa"/>
            <w:shd w:val="clear" w:color="auto" w:fill="auto"/>
            <w:tcMar>
              <w:left w:w="60" w:type="dxa"/>
              <w:right w:w="60" w:type="dxa"/>
            </w:tcMar>
            <w:vAlign w:val="center"/>
          </w:tcPr>
          <w:p w14:paraId="786FA8F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141 (58.0%)</w:t>
            </w:r>
          </w:p>
        </w:tc>
        <w:tc>
          <w:tcPr>
            <w:tcW w:w="2119" w:type="dxa"/>
            <w:shd w:val="clear" w:color="auto" w:fill="auto"/>
            <w:tcMar>
              <w:left w:w="60" w:type="dxa"/>
              <w:right w:w="60" w:type="dxa"/>
            </w:tcMar>
            <w:vAlign w:val="center"/>
          </w:tcPr>
          <w:p w14:paraId="6EB1D69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133 (54.7%)</w:t>
            </w:r>
          </w:p>
        </w:tc>
        <w:tc>
          <w:tcPr>
            <w:tcW w:w="1767" w:type="dxa"/>
            <w:shd w:val="clear" w:color="auto" w:fill="auto"/>
            <w:tcMar>
              <w:left w:w="60" w:type="dxa"/>
              <w:right w:w="60" w:type="dxa"/>
            </w:tcMar>
            <w:vAlign w:val="center"/>
          </w:tcPr>
          <w:p w14:paraId="3781FDA7"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274 (56.4%)</w:t>
            </w:r>
          </w:p>
        </w:tc>
      </w:tr>
      <w:tr w:rsidR="00576FE1" w:rsidRPr="00201B8E" w14:paraId="1E9C11D4" w14:textId="77777777" w:rsidTr="00115CD6">
        <w:trPr>
          <w:cantSplit/>
          <w:trHeight w:val="280"/>
          <w:jc w:val="center"/>
        </w:trPr>
        <w:tc>
          <w:tcPr>
            <w:tcW w:w="2119" w:type="dxa"/>
            <w:shd w:val="clear" w:color="auto" w:fill="auto"/>
            <w:tcMar>
              <w:left w:w="60" w:type="dxa"/>
              <w:right w:w="60" w:type="dxa"/>
            </w:tcMar>
            <w:vAlign w:val="center"/>
          </w:tcPr>
          <w:p w14:paraId="650168A8"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&gt;=3</w:t>
            </w:r>
          </w:p>
        </w:tc>
        <w:tc>
          <w:tcPr>
            <w:tcW w:w="2268" w:type="dxa"/>
            <w:shd w:val="clear" w:color="auto" w:fill="auto"/>
            <w:tcMar>
              <w:left w:w="60" w:type="dxa"/>
              <w:right w:w="60" w:type="dxa"/>
            </w:tcMar>
            <w:vAlign w:val="center"/>
          </w:tcPr>
          <w:p w14:paraId="0218F131"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102 (42.0%)</w:t>
            </w:r>
          </w:p>
        </w:tc>
        <w:tc>
          <w:tcPr>
            <w:tcW w:w="2119" w:type="dxa"/>
            <w:shd w:val="clear" w:color="auto" w:fill="auto"/>
            <w:tcMar>
              <w:left w:w="60" w:type="dxa"/>
              <w:right w:w="60" w:type="dxa"/>
            </w:tcMar>
            <w:vAlign w:val="center"/>
          </w:tcPr>
          <w:p w14:paraId="11E9977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110 (45.3%)</w:t>
            </w:r>
          </w:p>
        </w:tc>
        <w:tc>
          <w:tcPr>
            <w:tcW w:w="1767" w:type="dxa"/>
            <w:shd w:val="clear" w:color="auto" w:fill="auto"/>
            <w:tcMar>
              <w:left w:w="60" w:type="dxa"/>
              <w:right w:w="60" w:type="dxa"/>
            </w:tcMar>
            <w:vAlign w:val="center"/>
          </w:tcPr>
          <w:p w14:paraId="49640EE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212 (43.6%)</w:t>
            </w:r>
          </w:p>
        </w:tc>
      </w:tr>
      <w:tr w:rsidR="00576FE1" w:rsidRPr="00201B8E" w14:paraId="0635ED0B" w14:textId="77777777" w:rsidTr="00115CD6">
        <w:trPr>
          <w:cantSplit/>
          <w:trHeight w:val="293"/>
          <w:jc w:val="center"/>
        </w:trPr>
        <w:tc>
          <w:tcPr>
            <w:tcW w:w="0" w:type="auto"/>
            <w:gridSpan w:val="4"/>
            <w:shd w:val="clear" w:color="auto" w:fill="auto"/>
            <w:tcMar>
              <w:left w:w="60" w:type="dxa"/>
              <w:right w:w="60" w:type="dxa"/>
            </w:tcMar>
            <w:vAlign w:val="center"/>
          </w:tcPr>
          <w:p w14:paraId="6464B30D" w14:textId="77777777" w:rsidR="00576FE1" w:rsidRPr="00201B8E" w:rsidRDefault="00576FE1" w:rsidP="00115CD6">
            <w:pPr>
              <w:keepNext/>
              <w:adjustRightInd w:val="0"/>
              <w:spacing w:before="40" w:after="40" w:line="240" w:lineRule="auto"/>
              <w:rPr>
                <w:b/>
                <w:bCs/>
                <w:color w:val="000000"/>
                <w:sz w:val="18"/>
                <w:szCs w:val="18"/>
              </w:rPr>
            </w:pPr>
            <w:r w:rsidRPr="00201B8E">
              <w:rPr>
                <w:b/>
                <w:bCs/>
                <w:color w:val="000000"/>
                <w:sz w:val="18"/>
                <w:szCs w:val="18"/>
              </w:rPr>
              <w:t>Disease Site</w:t>
            </w:r>
          </w:p>
        </w:tc>
      </w:tr>
      <w:tr w:rsidR="00576FE1" w:rsidRPr="00201B8E" w14:paraId="283F6D82" w14:textId="77777777" w:rsidTr="00115CD6">
        <w:trPr>
          <w:cantSplit/>
          <w:trHeight w:val="280"/>
          <w:jc w:val="center"/>
        </w:trPr>
        <w:tc>
          <w:tcPr>
            <w:tcW w:w="2119" w:type="dxa"/>
            <w:shd w:val="clear" w:color="auto" w:fill="auto"/>
            <w:tcMar>
              <w:left w:w="60" w:type="dxa"/>
              <w:right w:w="60" w:type="dxa"/>
            </w:tcMar>
            <w:vAlign w:val="center"/>
          </w:tcPr>
          <w:p w14:paraId="5DD36103"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Bone</w:t>
            </w:r>
          </w:p>
        </w:tc>
        <w:tc>
          <w:tcPr>
            <w:tcW w:w="2268" w:type="dxa"/>
            <w:shd w:val="clear" w:color="auto" w:fill="auto"/>
            <w:tcMar>
              <w:left w:w="60" w:type="dxa"/>
              <w:right w:w="60" w:type="dxa"/>
            </w:tcMar>
            <w:vAlign w:val="center"/>
          </w:tcPr>
          <w:p w14:paraId="113D9BC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178 (73.3%)</w:t>
            </w:r>
          </w:p>
        </w:tc>
        <w:tc>
          <w:tcPr>
            <w:tcW w:w="2119" w:type="dxa"/>
            <w:shd w:val="clear" w:color="auto" w:fill="auto"/>
            <w:tcMar>
              <w:left w:w="60" w:type="dxa"/>
              <w:right w:w="60" w:type="dxa"/>
            </w:tcMar>
            <w:vAlign w:val="center"/>
          </w:tcPr>
          <w:p w14:paraId="038D625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181 (74.5%)</w:t>
            </w:r>
          </w:p>
        </w:tc>
        <w:tc>
          <w:tcPr>
            <w:tcW w:w="1767" w:type="dxa"/>
            <w:shd w:val="clear" w:color="auto" w:fill="auto"/>
            <w:tcMar>
              <w:left w:w="60" w:type="dxa"/>
              <w:right w:w="60" w:type="dxa"/>
            </w:tcMar>
            <w:vAlign w:val="center"/>
          </w:tcPr>
          <w:p w14:paraId="620300B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359 (73.9%)</w:t>
            </w:r>
          </w:p>
        </w:tc>
      </w:tr>
      <w:tr w:rsidR="00576FE1" w:rsidRPr="00201B8E" w14:paraId="1E3B027E" w14:textId="77777777" w:rsidTr="00115CD6">
        <w:trPr>
          <w:cantSplit/>
          <w:trHeight w:val="293"/>
          <w:jc w:val="center"/>
        </w:trPr>
        <w:tc>
          <w:tcPr>
            <w:tcW w:w="2119" w:type="dxa"/>
            <w:shd w:val="clear" w:color="auto" w:fill="auto"/>
            <w:tcMar>
              <w:left w:w="60" w:type="dxa"/>
              <w:right w:w="60" w:type="dxa"/>
            </w:tcMar>
            <w:vAlign w:val="center"/>
          </w:tcPr>
          <w:p w14:paraId="2458E5D3"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Lymph nodes</w:t>
            </w:r>
          </w:p>
        </w:tc>
        <w:tc>
          <w:tcPr>
            <w:tcW w:w="2268" w:type="dxa"/>
            <w:shd w:val="clear" w:color="auto" w:fill="auto"/>
            <w:tcMar>
              <w:left w:w="60" w:type="dxa"/>
              <w:right w:w="60" w:type="dxa"/>
            </w:tcMar>
            <w:vAlign w:val="center"/>
          </w:tcPr>
          <w:p w14:paraId="0175A21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97 (39.9%)</w:t>
            </w:r>
          </w:p>
        </w:tc>
        <w:tc>
          <w:tcPr>
            <w:tcW w:w="2119" w:type="dxa"/>
            <w:shd w:val="clear" w:color="auto" w:fill="auto"/>
            <w:tcMar>
              <w:left w:w="60" w:type="dxa"/>
              <w:right w:w="60" w:type="dxa"/>
            </w:tcMar>
            <w:vAlign w:val="center"/>
          </w:tcPr>
          <w:p w14:paraId="18D7854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108 (44.4%)</w:t>
            </w:r>
          </w:p>
        </w:tc>
        <w:tc>
          <w:tcPr>
            <w:tcW w:w="1767" w:type="dxa"/>
            <w:shd w:val="clear" w:color="auto" w:fill="auto"/>
            <w:tcMar>
              <w:left w:w="60" w:type="dxa"/>
              <w:right w:w="60" w:type="dxa"/>
            </w:tcMar>
            <w:vAlign w:val="center"/>
          </w:tcPr>
          <w:p w14:paraId="1F1FB3A2"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205 (42.2%)</w:t>
            </w:r>
          </w:p>
        </w:tc>
      </w:tr>
      <w:tr w:rsidR="00576FE1" w:rsidRPr="00201B8E" w14:paraId="0367E183" w14:textId="77777777" w:rsidTr="00115CD6">
        <w:trPr>
          <w:cantSplit/>
          <w:trHeight w:val="280"/>
          <w:jc w:val="center"/>
        </w:trPr>
        <w:tc>
          <w:tcPr>
            <w:tcW w:w="2119" w:type="dxa"/>
            <w:shd w:val="clear" w:color="auto" w:fill="auto"/>
            <w:tcMar>
              <w:left w:w="60" w:type="dxa"/>
              <w:right w:w="60" w:type="dxa"/>
            </w:tcMar>
            <w:vAlign w:val="center"/>
          </w:tcPr>
          <w:p w14:paraId="58DB532F"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Lung</w:t>
            </w:r>
          </w:p>
        </w:tc>
        <w:tc>
          <w:tcPr>
            <w:tcW w:w="2268" w:type="dxa"/>
            <w:shd w:val="clear" w:color="auto" w:fill="auto"/>
            <w:tcMar>
              <w:left w:w="60" w:type="dxa"/>
              <w:right w:w="60" w:type="dxa"/>
            </w:tcMar>
            <w:vAlign w:val="center"/>
          </w:tcPr>
          <w:p w14:paraId="71130521"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65 (26.7%)</w:t>
            </w:r>
          </w:p>
        </w:tc>
        <w:tc>
          <w:tcPr>
            <w:tcW w:w="2119" w:type="dxa"/>
            <w:shd w:val="clear" w:color="auto" w:fill="auto"/>
            <w:tcMar>
              <w:left w:w="60" w:type="dxa"/>
              <w:right w:w="60" w:type="dxa"/>
            </w:tcMar>
            <w:vAlign w:val="center"/>
          </w:tcPr>
          <w:p w14:paraId="01B8BD6D"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76 (31.3%)</w:t>
            </w:r>
          </w:p>
        </w:tc>
        <w:tc>
          <w:tcPr>
            <w:tcW w:w="1767" w:type="dxa"/>
            <w:shd w:val="clear" w:color="auto" w:fill="auto"/>
            <w:tcMar>
              <w:left w:w="60" w:type="dxa"/>
              <w:right w:w="60" w:type="dxa"/>
            </w:tcMar>
            <w:vAlign w:val="center"/>
          </w:tcPr>
          <w:p w14:paraId="2747AA9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141 (29.0%)</w:t>
            </w:r>
          </w:p>
        </w:tc>
      </w:tr>
      <w:tr w:rsidR="00576FE1" w:rsidRPr="00201B8E" w14:paraId="49291E67" w14:textId="77777777" w:rsidTr="00115CD6">
        <w:trPr>
          <w:cantSplit/>
          <w:trHeight w:val="293"/>
          <w:jc w:val="center"/>
        </w:trPr>
        <w:tc>
          <w:tcPr>
            <w:tcW w:w="2119" w:type="dxa"/>
            <w:shd w:val="clear" w:color="auto" w:fill="auto"/>
            <w:tcMar>
              <w:left w:w="60" w:type="dxa"/>
              <w:right w:w="60" w:type="dxa"/>
            </w:tcMar>
            <w:vAlign w:val="center"/>
          </w:tcPr>
          <w:p w14:paraId="43431EBB"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Breast</w:t>
            </w:r>
          </w:p>
        </w:tc>
        <w:tc>
          <w:tcPr>
            <w:tcW w:w="2268" w:type="dxa"/>
            <w:shd w:val="clear" w:color="auto" w:fill="auto"/>
            <w:tcMar>
              <w:left w:w="60" w:type="dxa"/>
              <w:right w:w="60" w:type="dxa"/>
            </w:tcMar>
            <w:vAlign w:val="center"/>
          </w:tcPr>
          <w:p w14:paraId="00FEB1F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55 (22.6%)</w:t>
            </w:r>
          </w:p>
        </w:tc>
        <w:tc>
          <w:tcPr>
            <w:tcW w:w="2119" w:type="dxa"/>
            <w:shd w:val="clear" w:color="auto" w:fill="auto"/>
            <w:tcMar>
              <w:left w:w="60" w:type="dxa"/>
              <w:right w:w="60" w:type="dxa"/>
            </w:tcMar>
            <w:vAlign w:val="center"/>
          </w:tcPr>
          <w:p w14:paraId="45FF30B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57 (23.5%)</w:t>
            </w:r>
          </w:p>
        </w:tc>
        <w:tc>
          <w:tcPr>
            <w:tcW w:w="1767" w:type="dxa"/>
            <w:shd w:val="clear" w:color="auto" w:fill="auto"/>
            <w:tcMar>
              <w:left w:w="60" w:type="dxa"/>
              <w:right w:w="60" w:type="dxa"/>
            </w:tcMar>
            <w:vAlign w:val="center"/>
          </w:tcPr>
          <w:p w14:paraId="69FDD03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112 (23.0%)</w:t>
            </w:r>
          </w:p>
        </w:tc>
      </w:tr>
      <w:tr w:rsidR="00576FE1" w:rsidRPr="00201B8E" w14:paraId="664B3801" w14:textId="77777777" w:rsidTr="00115CD6">
        <w:trPr>
          <w:cantSplit/>
          <w:trHeight w:val="280"/>
          <w:jc w:val="center"/>
        </w:trPr>
        <w:tc>
          <w:tcPr>
            <w:tcW w:w="2119" w:type="dxa"/>
            <w:shd w:val="clear" w:color="auto" w:fill="auto"/>
            <w:tcMar>
              <w:left w:w="60" w:type="dxa"/>
              <w:right w:w="60" w:type="dxa"/>
            </w:tcMar>
            <w:vAlign w:val="center"/>
          </w:tcPr>
          <w:p w14:paraId="49802225"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Liver</w:t>
            </w:r>
          </w:p>
        </w:tc>
        <w:tc>
          <w:tcPr>
            <w:tcW w:w="2268" w:type="dxa"/>
            <w:shd w:val="clear" w:color="auto" w:fill="auto"/>
            <w:tcMar>
              <w:left w:w="60" w:type="dxa"/>
              <w:right w:w="60" w:type="dxa"/>
            </w:tcMar>
            <w:vAlign w:val="center"/>
          </w:tcPr>
          <w:p w14:paraId="53AABF4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46 (18.9%)</w:t>
            </w:r>
          </w:p>
        </w:tc>
        <w:tc>
          <w:tcPr>
            <w:tcW w:w="2119" w:type="dxa"/>
            <w:shd w:val="clear" w:color="auto" w:fill="auto"/>
            <w:tcMar>
              <w:left w:w="60" w:type="dxa"/>
              <w:right w:w="60" w:type="dxa"/>
            </w:tcMar>
            <w:vAlign w:val="center"/>
          </w:tcPr>
          <w:p w14:paraId="5878FED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36 (14.8%)</w:t>
            </w:r>
          </w:p>
        </w:tc>
        <w:tc>
          <w:tcPr>
            <w:tcW w:w="1767" w:type="dxa"/>
            <w:shd w:val="clear" w:color="auto" w:fill="auto"/>
            <w:tcMar>
              <w:left w:w="60" w:type="dxa"/>
              <w:right w:w="60" w:type="dxa"/>
            </w:tcMar>
            <w:vAlign w:val="center"/>
          </w:tcPr>
          <w:p w14:paraId="34D4E46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82 (16.9%)</w:t>
            </w:r>
          </w:p>
        </w:tc>
      </w:tr>
      <w:tr w:rsidR="00576FE1" w:rsidRPr="00201B8E" w14:paraId="3266BB7E" w14:textId="77777777" w:rsidTr="00115CD6">
        <w:trPr>
          <w:cantSplit/>
          <w:trHeight w:val="293"/>
          <w:jc w:val="center"/>
        </w:trPr>
        <w:tc>
          <w:tcPr>
            <w:tcW w:w="2119" w:type="dxa"/>
            <w:shd w:val="clear" w:color="auto" w:fill="auto"/>
            <w:tcMar>
              <w:left w:w="60" w:type="dxa"/>
              <w:right w:w="60" w:type="dxa"/>
            </w:tcMar>
            <w:vAlign w:val="center"/>
          </w:tcPr>
          <w:p w14:paraId="6EB0707A"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Pleura</w:t>
            </w:r>
          </w:p>
        </w:tc>
        <w:tc>
          <w:tcPr>
            <w:tcW w:w="2268" w:type="dxa"/>
            <w:shd w:val="clear" w:color="auto" w:fill="auto"/>
            <w:tcMar>
              <w:left w:w="60" w:type="dxa"/>
              <w:right w:w="60" w:type="dxa"/>
            </w:tcMar>
            <w:vAlign w:val="center"/>
          </w:tcPr>
          <w:p w14:paraId="01D7EAAA"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32 (13.2%)</w:t>
            </w:r>
          </w:p>
        </w:tc>
        <w:tc>
          <w:tcPr>
            <w:tcW w:w="2119" w:type="dxa"/>
            <w:shd w:val="clear" w:color="auto" w:fill="auto"/>
            <w:tcMar>
              <w:left w:w="60" w:type="dxa"/>
              <w:right w:w="60" w:type="dxa"/>
            </w:tcMar>
            <w:vAlign w:val="center"/>
          </w:tcPr>
          <w:p w14:paraId="5352366D"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27 (11.1%)</w:t>
            </w:r>
          </w:p>
        </w:tc>
        <w:tc>
          <w:tcPr>
            <w:tcW w:w="1767" w:type="dxa"/>
            <w:shd w:val="clear" w:color="auto" w:fill="auto"/>
            <w:tcMar>
              <w:left w:w="60" w:type="dxa"/>
              <w:right w:w="60" w:type="dxa"/>
            </w:tcMar>
            <w:vAlign w:val="center"/>
          </w:tcPr>
          <w:p w14:paraId="13FED60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59 (12.1%)</w:t>
            </w:r>
          </w:p>
        </w:tc>
      </w:tr>
      <w:tr w:rsidR="00576FE1" w:rsidRPr="00201B8E" w14:paraId="3EC4A639" w14:textId="77777777" w:rsidTr="00115CD6">
        <w:trPr>
          <w:cantSplit/>
          <w:trHeight w:val="293"/>
          <w:jc w:val="center"/>
        </w:trPr>
        <w:tc>
          <w:tcPr>
            <w:tcW w:w="2119" w:type="dxa"/>
            <w:shd w:val="clear" w:color="auto" w:fill="auto"/>
            <w:tcMar>
              <w:left w:w="60" w:type="dxa"/>
              <w:right w:w="60" w:type="dxa"/>
            </w:tcMar>
            <w:vAlign w:val="center"/>
          </w:tcPr>
          <w:p w14:paraId="2A339389"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Brain</w:t>
            </w:r>
          </w:p>
        </w:tc>
        <w:tc>
          <w:tcPr>
            <w:tcW w:w="2268" w:type="dxa"/>
            <w:shd w:val="clear" w:color="auto" w:fill="auto"/>
            <w:tcMar>
              <w:left w:w="60" w:type="dxa"/>
              <w:right w:w="60" w:type="dxa"/>
            </w:tcMar>
            <w:vAlign w:val="center"/>
          </w:tcPr>
          <w:p w14:paraId="17AFC28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25 (10.3%)</w:t>
            </w:r>
          </w:p>
        </w:tc>
        <w:tc>
          <w:tcPr>
            <w:tcW w:w="2119" w:type="dxa"/>
            <w:shd w:val="clear" w:color="auto" w:fill="auto"/>
            <w:tcMar>
              <w:left w:w="60" w:type="dxa"/>
              <w:right w:w="60" w:type="dxa"/>
            </w:tcMar>
            <w:vAlign w:val="center"/>
          </w:tcPr>
          <w:p w14:paraId="4CC704D2"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26 (10.7%)</w:t>
            </w:r>
          </w:p>
        </w:tc>
        <w:tc>
          <w:tcPr>
            <w:tcW w:w="1767" w:type="dxa"/>
            <w:shd w:val="clear" w:color="auto" w:fill="auto"/>
            <w:tcMar>
              <w:left w:w="60" w:type="dxa"/>
              <w:right w:w="60" w:type="dxa"/>
            </w:tcMar>
            <w:vAlign w:val="center"/>
          </w:tcPr>
          <w:p w14:paraId="0A10BA3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51 (10.5%)</w:t>
            </w:r>
          </w:p>
        </w:tc>
      </w:tr>
      <w:tr w:rsidR="00576FE1" w:rsidRPr="00201B8E" w14:paraId="11B2D8EA" w14:textId="77777777" w:rsidTr="00115CD6">
        <w:trPr>
          <w:cantSplit/>
          <w:trHeight w:val="280"/>
          <w:jc w:val="center"/>
        </w:trPr>
        <w:tc>
          <w:tcPr>
            <w:tcW w:w="2119" w:type="dxa"/>
            <w:shd w:val="clear" w:color="auto" w:fill="auto"/>
            <w:tcMar>
              <w:left w:w="60" w:type="dxa"/>
              <w:right w:w="60" w:type="dxa"/>
            </w:tcMar>
            <w:vAlign w:val="center"/>
          </w:tcPr>
          <w:p w14:paraId="1929B52C"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Thorax</w:t>
            </w:r>
          </w:p>
        </w:tc>
        <w:tc>
          <w:tcPr>
            <w:tcW w:w="2268" w:type="dxa"/>
            <w:shd w:val="clear" w:color="auto" w:fill="auto"/>
            <w:tcMar>
              <w:left w:w="60" w:type="dxa"/>
              <w:right w:w="60" w:type="dxa"/>
            </w:tcMar>
            <w:vAlign w:val="center"/>
          </w:tcPr>
          <w:p w14:paraId="70181201"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22 (9.1%)</w:t>
            </w:r>
          </w:p>
        </w:tc>
        <w:tc>
          <w:tcPr>
            <w:tcW w:w="2119" w:type="dxa"/>
            <w:shd w:val="clear" w:color="auto" w:fill="auto"/>
            <w:tcMar>
              <w:left w:w="60" w:type="dxa"/>
              <w:right w:w="60" w:type="dxa"/>
            </w:tcMar>
            <w:vAlign w:val="center"/>
          </w:tcPr>
          <w:p w14:paraId="667792F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27 (11.1%)</w:t>
            </w:r>
          </w:p>
        </w:tc>
        <w:tc>
          <w:tcPr>
            <w:tcW w:w="1767" w:type="dxa"/>
            <w:shd w:val="clear" w:color="auto" w:fill="auto"/>
            <w:tcMar>
              <w:left w:w="60" w:type="dxa"/>
              <w:right w:w="60" w:type="dxa"/>
            </w:tcMar>
            <w:vAlign w:val="center"/>
          </w:tcPr>
          <w:p w14:paraId="144E0F6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49 (10.1%)</w:t>
            </w:r>
          </w:p>
        </w:tc>
      </w:tr>
      <w:tr w:rsidR="00576FE1" w:rsidRPr="00201B8E" w14:paraId="618E97AC" w14:textId="77777777" w:rsidTr="00115CD6">
        <w:trPr>
          <w:cantSplit/>
          <w:trHeight w:val="293"/>
          <w:jc w:val="center"/>
        </w:trPr>
        <w:tc>
          <w:tcPr>
            <w:tcW w:w="2119" w:type="dxa"/>
            <w:shd w:val="clear" w:color="auto" w:fill="auto"/>
            <w:tcMar>
              <w:left w:w="60" w:type="dxa"/>
              <w:right w:w="60" w:type="dxa"/>
            </w:tcMar>
            <w:vAlign w:val="center"/>
          </w:tcPr>
          <w:p w14:paraId="15383658"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Skin</w:t>
            </w:r>
          </w:p>
        </w:tc>
        <w:tc>
          <w:tcPr>
            <w:tcW w:w="2268" w:type="dxa"/>
            <w:shd w:val="clear" w:color="auto" w:fill="auto"/>
            <w:tcMar>
              <w:left w:w="60" w:type="dxa"/>
              <w:right w:w="60" w:type="dxa"/>
            </w:tcMar>
            <w:vAlign w:val="center"/>
          </w:tcPr>
          <w:p w14:paraId="28897D5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14 (5.8%)</w:t>
            </w:r>
          </w:p>
        </w:tc>
        <w:tc>
          <w:tcPr>
            <w:tcW w:w="2119" w:type="dxa"/>
            <w:shd w:val="clear" w:color="auto" w:fill="auto"/>
            <w:tcMar>
              <w:left w:w="60" w:type="dxa"/>
              <w:right w:w="60" w:type="dxa"/>
            </w:tcMar>
            <w:vAlign w:val="center"/>
          </w:tcPr>
          <w:p w14:paraId="3D99AB3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15 (6.2%)</w:t>
            </w:r>
          </w:p>
        </w:tc>
        <w:tc>
          <w:tcPr>
            <w:tcW w:w="1767" w:type="dxa"/>
            <w:shd w:val="clear" w:color="auto" w:fill="auto"/>
            <w:tcMar>
              <w:left w:w="60" w:type="dxa"/>
              <w:right w:w="60" w:type="dxa"/>
            </w:tcMar>
            <w:vAlign w:val="center"/>
          </w:tcPr>
          <w:p w14:paraId="4B49996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29 (6.0%)</w:t>
            </w:r>
          </w:p>
        </w:tc>
      </w:tr>
      <w:tr w:rsidR="00576FE1" w:rsidRPr="00201B8E" w14:paraId="0469FE3F" w14:textId="77777777" w:rsidTr="00115CD6">
        <w:trPr>
          <w:cantSplit/>
          <w:trHeight w:val="280"/>
          <w:jc w:val="center"/>
        </w:trPr>
        <w:tc>
          <w:tcPr>
            <w:tcW w:w="2119" w:type="dxa"/>
            <w:shd w:val="clear" w:color="auto" w:fill="auto"/>
            <w:tcMar>
              <w:left w:w="60" w:type="dxa"/>
              <w:right w:w="60" w:type="dxa"/>
            </w:tcMar>
            <w:vAlign w:val="center"/>
          </w:tcPr>
          <w:p w14:paraId="365D9579"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Abdomen</w:t>
            </w:r>
          </w:p>
        </w:tc>
        <w:tc>
          <w:tcPr>
            <w:tcW w:w="2268" w:type="dxa"/>
            <w:shd w:val="clear" w:color="auto" w:fill="auto"/>
            <w:tcMar>
              <w:left w:w="60" w:type="dxa"/>
              <w:right w:w="60" w:type="dxa"/>
            </w:tcMar>
            <w:vAlign w:val="center"/>
          </w:tcPr>
          <w:p w14:paraId="3F3C23B1"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7 (2.9%)</w:t>
            </w:r>
          </w:p>
        </w:tc>
        <w:tc>
          <w:tcPr>
            <w:tcW w:w="2119" w:type="dxa"/>
            <w:shd w:val="clear" w:color="auto" w:fill="auto"/>
            <w:tcMar>
              <w:left w:w="60" w:type="dxa"/>
              <w:right w:w="60" w:type="dxa"/>
            </w:tcMar>
            <w:vAlign w:val="center"/>
          </w:tcPr>
          <w:p w14:paraId="013203E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10 (4.1%)</w:t>
            </w:r>
          </w:p>
        </w:tc>
        <w:tc>
          <w:tcPr>
            <w:tcW w:w="1767" w:type="dxa"/>
            <w:shd w:val="clear" w:color="auto" w:fill="auto"/>
            <w:tcMar>
              <w:left w:w="60" w:type="dxa"/>
              <w:right w:w="60" w:type="dxa"/>
            </w:tcMar>
            <w:vAlign w:val="center"/>
          </w:tcPr>
          <w:p w14:paraId="76CBD2FC"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17 (3.5%)</w:t>
            </w:r>
          </w:p>
        </w:tc>
      </w:tr>
      <w:tr w:rsidR="00576FE1" w:rsidRPr="00201B8E" w14:paraId="603804D1" w14:textId="77777777" w:rsidTr="00115CD6">
        <w:trPr>
          <w:cantSplit/>
          <w:trHeight w:val="293"/>
          <w:jc w:val="center"/>
        </w:trPr>
        <w:tc>
          <w:tcPr>
            <w:tcW w:w="2119" w:type="dxa"/>
            <w:shd w:val="clear" w:color="auto" w:fill="auto"/>
            <w:tcMar>
              <w:left w:w="60" w:type="dxa"/>
              <w:right w:w="60" w:type="dxa"/>
            </w:tcMar>
            <w:vAlign w:val="center"/>
          </w:tcPr>
          <w:p w14:paraId="714B56BB"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Peritoneum</w:t>
            </w:r>
          </w:p>
        </w:tc>
        <w:tc>
          <w:tcPr>
            <w:tcW w:w="2268" w:type="dxa"/>
            <w:shd w:val="clear" w:color="auto" w:fill="auto"/>
            <w:tcMar>
              <w:left w:w="60" w:type="dxa"/>
              <w:right w:w="60" w:type="dxa"/>
            </w:tcMar>
            <w:vAlign w:val="center"/>
          </w:tcPr>
          <w:p w14:paraId="724B255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7 (2.9%)</w:t>
            </w:r>
          </w:p>
        </w:tc>
        <w:tc>
          <w:tcPr>
            <w:tcW w:w="2119" w:type="dxa"/>
            <w:shd w:val="clear" w:color="auto" w:fill="auto"/>
            <w:tcMar>
              <w:left w:w="60" w:type="dxa"/>
              <w:right w:w="60" w:type="dxa"/>
            </w:tcMar>
            <w:vAlign w:val="center"/>
          </w:tcPr>
          <w:p w14:paraId="47E4598A"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8 (3.3%)</w:t>
            </w:r>
          </w:p>
        </w:tc>
        <w:tc>
          <w:tcPr>
            <w:tcW w:w="1767" w:type="dxa"/>
            <w:shd w:val="clear" w:color="auto" w:fill="auto"/>
            <w:tcMar>
              <w:left w:w="60" w:type="dxa"/>
              <w:right w:w="60" w:type="dxa"/>
            </w:tcMar>
            <w:vAlign w:val="center"/>
          </w:tcPr>
          <w:p w14:paraId="1E4BE25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15 (3.1%)</w:t>
            </w:r>
          </w:p>
        </w:tc>
      </w:tr>
      <w:tr w:rsidR="00576FE1" w:rsidRPr="00201B8E" w14:paraId="1BFBD78E" w14:textId="77777777" w:rsidTr="00115CD6">
        <w:trPr>
          <w:cantSplit/>
          <w:trHeight w:val="280"/>
          <w:jc w:val="center"/>
        </w:trPr>
        <w:tc>
          <w:tcPr>
            <w:tcW w:w="2119" w:type="dxa"/>
            <w:shd w:val="clear" w:color="auto" w:fill="auto"/>
            <w:tcMar>
              <w:left w:w="60" w:type="dxa"/>
              <w:right w:w="60" w:type="dxa"/>
            </w:tcMar>
            <w:vAlign w:val="center"/>
          </w:tcPr>
          <w:p w14:paraId="601DA981"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Adrenal gland</w:t>
            </w:r>
          </w:p>
        </w:tc>
        <w:tc>
          <w:tcPr>
            <w:tcW w:w="2268" w:type="dxa"/>
            <w:shd w:val="clear" w:color="auto" w:fill="auto"/>
            <w:tcMar>
              <w:left w:w="60" w:type="dxa"/>
              <w:right w:w="60" w:type="dxa"/>
            </w:tcMar>
            <w:vAlign w:val="center"/>
          </w:tcPr>
          <w:p w14:paraId="6CFCA30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 (2.5%)</w:t>
            </w:r>
          </w:p>
        </w:tc>
        <w:tc>
          <w:tcPr>
            <w:tcW w:w="2119" w:type="dxa"/>
            <w:shd w:val="clear" w:color="auto" w:fill="auto"/>
            <w:tcMar>
              <w:left w:w="60" w:type="dxa"/>
              <w:right w:w="60" w:type="dxa"/>
            </w:tcMar>
            <w:vAlign w:val="center"/>
          </w:tcPr>
          <w:p w14:paraId="3308778D"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 (1.2%)</w:t>
            </w:r>
          </w:p>
        </w:tc>
        <w:tc>
          <w:tcPr>
            <w:tcW w:w="1767" w:type="dxa"/>
            <w:shd w:val="clear" w:color="auto" w:fill="auto"/>
            <w:tcMar>
              <w:left w:w="60" w:type="dxa"/>
              <w:right w:w="60" w:type="dxa"/>
            </w:tcMar>
            <w:vAlign w:val="center"/>
          </w:tcPr>
          <w:p w14:paraId="66DF34DC"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9 (1.9%)</w:t>
            </w:r>
          </w:p>
        </w:tc>
      </w:tr>
      <w:tr w:rsidR="00576FE1" w:rsidRPr="00201B8E" w14:paraId="38904D56" w14:textId="77777777" w:rsidTr="00115CD6">
        <w:trPr>
          <w:cantSplit/>
          <w:trHeight w:val="293"/>
          <w:jc w:val="center"/>
        </w:trPr>
        <w:tc>
          <w:tcPr>
            <w:tcW w:w="2119" w:type="dxa"/>
            <w:shd w:val="clear" w:color="auto" w:fill="auto"/>
            <w:tcMar>
              <w:left w:w="60" w:type="dxa"/>
              <w:right w:w="60" w:type="dxa"/>
            </w:tcMar>
            <w:vAlign w:val="center"/>
          </w:tcPr>
          <w:p w14:paraId="27893130"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Kidney</w:t>
            </w:r>
          </w:p>
        </w:tc>
        <w:tc>
          <w:tcPr>
            <w:tcW w:w="2268" w:type="dxa"/>
            <w:shd w:val="clear" w:color="auto" w:fill="auto"/>
            <w:tcMar>
              <w:left w:w="60" w:type="dxa"/>
              <w:right w:w="60" w:type="dxa"/>
            </w:tcMar>
            <w:vAlign w:val="center"/>
          </w:tcPr>
          <w:p w14:paraId="5530C6A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 (1.2%)</w:t>
            </w:r>
          </w:p>
        </w:tc>
        <w:tc>
          <w:tcPr>
            <w:tcW w:w="2119" w:type="dxa"/>
            <w:shd w:val="clear" w:color="auto" w:fill="auto"/>
            <w:tcMar>
              <w:left w:w="60" w:type="dxa"/>
              <w:right w:w="60" w:type="dxa"/>
            </w:tcMar>
            <w:vAlign w:val="center"/>
          </w:tcPr>
          <w:p w14:paraId="4B426BD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0 (0.0%)</w:t>
            </w:r>
          </w:p>
        </w:tc>
        <w:tc>
          <w:tcPr>
            <w:tcW w:w="1767" w:type="dxa"/>
            <w:shd w:val="clear" w:color="auto" w:fill="auto"/>
            <w:tcMar>
              <w:left w:w="60" w:type="dxa"/>
              <w:right w:w="60" w:type="dxa"/>
            </w:tcMar>
            <w:vAlign w:val="center"/>
          </w:tcPr>
          <w:p w14:paraId="4E30935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 (0.6%)</w:t>
            </w:r>
          </w:p>
        </w:tc>
      </w:tr>
      <w:tr w:rsidR="00576FE1" w:rsidRPr="00201B8E" w14:paraId="24A6BE97" w14:textId="77777777" w:rsidTr="00115CD6">
        <w:trPr>
          <w:cantSplit/>
          <w:trHeight w:val="280"/>
          <w:jc w:val="center"/>
        </w:trPr>
        <w:tc>
          <w:tcPr>
            <w:tcW w:w="2119" w:type="dxa"/>
            <w:shd w:val="clear" w:color="auto" w:fill="auto"/>
            <w:tcMar>
              <w:left w:w="60" w:type="dxa"/>
              <w:right w:w="60" w:type="dxa"/>
            </w:tcMar>
            <w:vAlign w:val="center"/>
          </w:tcPr>
          <w:p w14:paraId="12F3BDF4"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Spleen</w:t>
            </w:r>
            <w:r>
              <w:rPr>
                <w:color w:val="000000"/>
                <w:sz w:val="18"/>
                <w:szCs w:val="18"/>
              </w:rPr>
              <w:t xml:space="preserve"> </w:t>
            </w:r>
          </w:p>
        </w:tc>
        <w:tc>
          <w:tcPr>
            <w:tcW w:w="2268" w:type="dxa"/>
            <w:shd w:val="clear" w:color="auto" w:fill="auto"/>
            <w:tcMar>
              <w:left w:w="60" w:type="dxa"/>
              <w:right w:w="60" w:type="dxa"/>
            </w:tcMar>
            <w:vAlign w:val="center"/>
          </w:tcPr>
          <w:p w14:paraId="2BCAE7B9"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 (0.8%)</w:t>
            </w:r>
          </w:p>
        </w:tc>
        <w:tc>
          <w:tcPr>
            <w:tcW w:w="2119" w:type="dxa"/>
            <w:shd w:val="clear" w:color="auto" w:fill="auto"/>
            <w:tcMar>
              <w:left w:w="60" w:type="dxa"/>
              <w:right w:w="60" w:type="dxa"/>
            </w:tcMar>
            <w:vAlign w:val="center"/>
          </w:tcPr>
          <w:p w14:paraId="222872E2"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 (0.4%)</w:t>
            </w:r>
          </w:p>
        </w:tc>
        <w:tc>
          <w:tcPr>
            <w:tcW w:w="1767" w:type="dxa"/>
            <w:shd w:val="clear" w:color="auto" w:fill="auto"/>
            <w:tcMar>
              <w:left w:w="60" w:type="dxa"/>
              <w:right w:w="60" w:type="dxa"/>
            </w:tcMar>
            <w:vAlign w:val="center"/>
          </w:tcPr>
          <w:p w14:paraId="04CC174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 (0.6%)</w:t>
            </w:r>
          </w:p>
        </w:tc>
      </w:tr>
      <w:tr w:rsidR="00576FE1" w:rsidRPr="00201B8E" w14:paraId="680892D8" w14:textId="77777777" w:rsidTr="00115CD6">
        <w:trPr>
          <w:cantSplit/>
          <w:trHeight w:val="293"/>
          <w:jc w:val="center"/>
        </w:trPr>
        <w:tc>
          <w:tcPr>
            <w:tcW w:w="2119" w:type="dxa"/>
            <w:shd w:val="clear" w:color="auto" w:fill="auto"/>
            <w:tcMar>
              <w:left w:w="60" w:type="dxa"/>
              <w:right w:w="60" w:type="dxa"/>
            </w:tcMar>
            <w:vAlign w:val="center"/>
          </w:tcPr>
          <w:p w14:paraId="2BEA63A0" w14:textId="77777777" w:rsidR="00576FE1" w:rsidRPr="00201B8E" w:rsidRDefault="00576FE1" w:rsidP="00115CD6">
            <w:pPr>
              <w:keepNext/>
              <w:adjustRightInd w:val="0"/>
              <w:spacing w:before="40" w:after="40" w:line="240" w:lineRule="auto"/>
              <w:ind w:hanging="209"/>
              <w:rPr>
                <w:color w:val="000000"/>
                <w:sz w:val="18"/>
                <w:szCs w:val="18"/>
              </w:rPr>
            </w:pPr>
            <w:r>
              <w:rPr>
                <w:color w:val="000000"/>
                <w:sz w:val="18"/>
                <w:szCs w:val="18"/>
              </w:rPr>
              <w:t xml:space="preserve">    Other</w:t>
            </w:r>
          </w:p>
        </w:tc>
        <w:tc>
          <w:tcPr>
            <w:tcW w:w="2268" w:type="dxa"/>
            <w:shd w:val="clear" w:color="auto" w:fill="auto"/>
            <w:tcMar>
              <w:left w:w="60" w:type="dxa"/>
              <w:right w:w="60" w:type="dxa"/>
            </w:tcMar>
            <w:vAlign w:val="center"/>
          </w:tcPr>
          <w:p w14:paraId="59FCB083" w14:textId="77777777" w:rsidR="00576FE1" w:rsidRPr="00201B8E" w:rsidRDefault="00576FE1" w:rsidP="00115CD6">
            <w:pPr>
              <w:keepNext/>
              <w:adjustRightInd w:val="0"/>
              <w:spacing w:before="40" w:after="40" w:line="240" w:lineRule="auto"/>
              <w:jc w:val="center"/>
              <w:rPr>
                <w:color w:val="000000"/>
                <w:sz w:val="18"/>
                <w:szCs w:val="18"/>
              </w:rPr>
            </w:pPr>
            <w:r>
              <w:rPr>
                <w:color w:val="000000"/>
                <w:sz w:val="18"/>
                <w:szCs w:val="18"/>
              </w:rPr>
              <w:t xml:space="preserve">  9 (3.7%)</w:t>
            </w:r>
          </w:p>
        </w:tc>
        <w:tc>
          <w:tcPr>
            <w:tcW w:w="2119" w:type="dxa"/>
            <w:shd w:val="clear" w:color="auto" w:fill="auto"/>
            <w:tcMar>
              <w:left w:w="60" w:type="dxa"/>
              <w:right w:w="60" w:type="dxa"/>
            </w:tcMar>
            <w:vAlign w:val="center"/>
          </w:tcPr>
          <w:p w14:paraId="4E0C850E" w14:textId="77777777" w:rsidR="00576FE1" w:rsidRPr="00201B8E" w:rsidRDefault="00576FE1" w:rsidP="00115CD6">
            <w:pPr>
              <w:keepNext/>
              <w:adjustRightInd w:val="0"/>
              <w:spacing w:before="40" w:after="40" w:line="240" w:lineRule="auto"/>
              <w:jc w:val="center"/>
              <w:rPr>
                <w:color w:val="000000"/>
                <w:sz w:val="18"/>
                <w:szCs w:val="18"/>
              </w:rPr>
            </w:pPr>
            <w:r>
              <w:rPr>
                <w:color w:val="000000"/>
                <w:sz w:val="18"/>
                <w:szCs w:val="18"/>
              </w:rPr>
              <w:t>7 (2.9%)</w:t>
            </w:r>
          </w:p>
        </w:tc>
        <w:tc>
          <w:tcPr>
            <w:tcW w:w="1767" w:type="dxa"/>
            <w:shd w:val="clear" w:color="auto" w:fill="auto"/>
            <w:tcMar>
              <w:left w:w="60" w:type="dxa"/>
              <w:right w:w="60" w:type="dxa"/>
            </w:tcMar>
            <w:vAlign w:val="center"/>
          </w:tcPr>
          <w:p w14:paraId="51594067" w14:textId="77777777" w:rsidR="00576FE1" w:rsidRPr="00201B8E" w:rsidRDefault="00576FE1" w:rsidP="00115CD6">
            <w:pPr>
              <w:keepNext/>
              <w:adjustRightInd w:val="0"/>
              <w:spacing w:before="40" w:after="40" w:line="240" w:lineRule="auto"/>
              <w:jc w:val="center"/>
              <w:rPr>
                <w:color w:val="000000"/>
                <w:sz w:val="18"/>
                <w:szCs w:val="18"/>
              </w:rPr>
            </w:pPr>
            <w:r>
              <w:rPr>
                <w:color w:val="000000"/>
                <w:sz w:val="18"/>
                <w:szCs w:val="18"/>
              </w:rPr>
              <w:t>16 (3.2%)</w:t>
            </w:r>
          </w:p>
        </w:tc>
      </w:tr>
      <w:tr w:rsidR="00576FE1" w:rsidRPr="00201B8E" w14:paraId="2750FDB3" w14:textId="77777777" w:rsidTr="00115CD6">
        <w:trPr>
          <w:cantSplit/>
          <w:trHeight w:val="280"/>
          <w:jc w:val="center"/>
        </w:trPr>
        <w:tc>
          <w:tcPr>
            <w:tcW w:w="0" w:type="auto"/>
            <w:gridSpan w:val="4"/>
            <w:shd w:val="clear" w:color="auto" w:fill="auto"/>
            <w:tcMar>
              <w:left w:w="60" w:type="dxa"/>
              <w:right w:w="60" w:type="dxa"/>
            </w:tcMar>
            <w:vAlign w:val="center"/>
          </w:tcPr>
          <w:p w14:paraId="2BF66A19" w14:textId="77777777" w:rsidR="00576FE1" w:rsidRPr="00201B8E" w:rsidRDefault="00576FE1" w:rsidP="00115CD6">
            <w:pPr>
              <w:keepNext/>
              <w:adjustRightInd w:val="0"/>
              <w:spacing w:before="40" w:after="40" w:line="240" w:lineRule="auto"/>
              <w:rPr>
                <w:b/>
                <w:bCs/>
                <w:color w:val="000000"/>
                <w:sz w:val="18"/>
                <w:szCs w:val="18"/>
              </w:rPr>
            </w:pPr>
            <w:r w:rsidRPr="00201B8E">
              <w:rPr>
                <w:b/>
                <w:bCs/>
                <w:color w:val="000000"/>
                <w:sz w:val="18"/>
                <w:szCs w:val="18"/>
              </w:rPr>
              <w:t>Measurable Disease</w:t>
            </w:r>
          </w:p>
        </w:tc>
      </w:tr>
      <w:tr w:rsidR="00576FE1" w:rsidRPr="00201B8E" w14:paraId="3FD543FA" w14:textId="77777777" w:rsidTr="00115CD6">
        <w:trPr>
          <w:cantSplit/>
          <w:trHeight w:val="293"/>
          <w:jc w:val="center"/>
        </w:trPr>
        <w:tc>
          <w:tcPr>
            <w:tcW w:w="2119" w:type="dxa"/>
            <w:shd w:val="clear" w:color="auto" w:fill="auto"/>
            <w:tcMar>
              <w:left w:w="60" w:type="dxa"/>
              <w:right w:w="60" w:type="dxa"/>
            </w:tcMar>
            <w:vAlign w:val="center"/>
          </w:tcPr>
          <w:p w14:paraId="692193D7"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No</w:t>
            </w:r>
          </w:p>
        </w:tc>
        <w:tc>
          <w:tcPr>
            <w:tcW w:w="2268" w:type="dxa"/>
            <w:shd w:val="clear" w:color="auto" w:fill="auto"/>
            <w:tcMar>
              <w:left w:w="60" w:type="dxa"/>
              <w:right w:w="60" w:type="dxa"/>
            </w:tcMar>
            <w:vAlign w:val="center"/>
          </w:tcPr>
          <w:p w14:paraId="48319AD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48 (19.8%)</w:t>
            </w:r>
          </w:p>
        </w:tc>
        <w:tc>
          <w:tcPr>
            <w:tcW w:w="2119" w:type="dxa"/>
            <w:shd w:val="clear" w:color="auto" w:fill="auto"/>
            <w:tcMar>
              <w:left w:w="60" w:type="dxa"/>
              <w:right w:w="60" w:type="dxa"/>
            </w:tcMar>
            <w:vAlign w:val="center"/>
          </w:tcPr>
          <w:p w14:paraId="320CF322"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62 (25.5%)</w:t>
            </w:r>
          </w:p>
        </w:tc>
        <w:tc>
          <w:tcPr>
            <w:tcW w:w="1767" w:type="dxa"/>
            <w:shd w:val="clear" w:color="auto" w:fill="auto"/>
            <w:tcMar>
              <w:left w:w="60" w:type="dxa"/>
              <w:right w:w="60" w:type="dxa"/>
            </w:tcMar>
            <w:vAlign w:val="center"/>
          </w:tcPr>
          <w:p w14:paraId="35D8237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110 (22.6%)</w:t>
            </w:r>
          </w:p>
        </w:tc>
      </w:tr>
      <w:tr w:rsidR="00576FE1" w:rsidRPr="00201B8E" w14:paraId="4DE8AC06" w14:textId="77777777" w:rsidTr="00115CD6">
        <w:trPr>
          <w:cantSplit/>
          <w:trHeight w:val="280"/>
          <w:jc w:val="center"/>
        </w:trPr>
        <w:tc>
          <w:tcPr>
            <w:tcW w:w="2119" w:type="dxa"/>
            <w:shd w:val="clear" w:color="auto" w:fill="auto"/>
            <w:tcMar>
              <w:left w:w="60" w:type="dxa"/>
              <w:right w:w="60" w:type="dxa"/>
            </w:tcMar>
            <w:vAlign w:val="center"/>
          </w:tcPr>
          <w:p w14:paraId="739DAD0D"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Yes</w:t>
            </w:r>
          </w:p>
        </w:tc>
        <w:tc>
          <w:tcPr>
            <w:tcW w:w="2268" w:type="dxa"/>
            <w:shd w:val="clear" w:color="auto" w:fill="auto"/>
            <w:tcMar>
              <w:left w:w="60" w:type="dxa"/>
              <w:right w:w="60" w:type="dxa"/>
            </w:tcMar>
            <w:vAlign w:val="center"/>
          </w:tcPr>
          <w:p w14:paraId="0304C6C2"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195 (80.2%)</w:t>
            </w:r>
          </w:p>
        </w:tc>
        <w:tc>
          <w:tcPr>
            <w:tcW w:w="2119" w:type="dxa"/>
            <w:shd w:val="clear" w:color="auto" w:fill="auto"/>
            <w:tcMar>
              <w:left w:w="60" w:type="dxa"/>
              <w:right w:w="60" w:type="dxa"/>
            </w:tcMar>
            <w:vAlign w:val="center"/>
          </w:tcPr>
          <w:p w14:paraId="6949BDD7"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181 (74.5%)</w:t>
            </w:r>
          </w:p>
        </w:tc>
        <w:tc>
          <w:tcPr>
            <w:tcW w:w="1767" w:type="dxa"/>
            <w:shd w:val="clear" w:color="auto" w:fill="auto"/>
            <w:tcMar>
              <w:left w:w="60" w:type="dxa"/>
              <w:right w:w="60" w:type="dxa"/>
            </w:tcMar>
            <w:vAlign w:val="center"/>
          </w:tcPr>
          <w:p w14:paraId="4D04D83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376 (77.4%)</w:t>
            </w:r>
          </w:p>
        </w:tc>
      </w:tr>
      <w:tr w:rsidR="00576FE1" w:rsidRPr="00201B8E" w14:paraId="3EC76E0B" w14:textId="77777777" w:rsidTr="00115CD6">
        <w:trPr>
          <w:cantSplit/>
          <w:trHeight w:val="293"/>
          <w:jc w:val="center"/>
        </w:trPr>
        <w:tc>
          <w:tcPr>
            <w:tcW w:w="0" w:type="auto"/>
            <w:gridSpan w:val="4"/>
            <w:shd w:val="clear" w:color="auto" w:fill="auto"/>
            <w:tcMar>
              <w:left w:w="60" w:type="dxa"/>
              <w:right w:w="60" w:type="dxa"/>
            </w:tcMar>
            <w:vAlign w:val="center"/>
          </w:tcPr>
          <w:p w14:paraId="721C326D" w14:textId="77777777" w:rsidR="00576FE1" w:rsidRPr="00201B8E" w:rsidRDefault="00576FE1" w:rsidP="00115CD6">
            <w:pPr>
              <w:keepNext/>
              <w:adjustRightInd w:val="0"/>
              <w:spacing w:before="40" w:after="40" w:line="240" w:lineRule="auto"/>
              <w:rPr>
                <w:b/>
                <w:bCs/>
                <w:color w:val="000000"/>
                <w:sz w:val="18"/>
                <w:szCs w:val="18"/>
              </w:rPr>
            </w:pPr>
            <w:r w:rsidRPr="00201B8E">
              <w:rPr>
                <w:b/>
                <w:bCs/>
                <w:color w:val="000000"/>
                <w:sz w:val="18"/>
                <w:szCs w:val="18"/>
              </w:rPr>
              <w:t>Prior Chemotherapy</w:t>
            </w:r>
          </w:p>
        </w:tc>
      </w:tr>
      <w:tr w:rsidR="00576FE1" w:rsidRPr="00201B8E" w14:paraId="6ED38FB3" w14:textId="77777777" w:rsidTr="00115CD6">
        <w:trPr>
          <w:cantSplit/>
          <w:trHeight w:val="280"/>
          <w:jc w:val="center"/>
        </w:trPr>
        <w:tc>
          <w:tcPr>
            <w:tcW w:w="2119" w:type="dxa"/>
            <w:shd w:val="clear" w:color="auto" w:fill="auto"/>
            <w:tcMar>
              <w:left w:w="60" w:type="dxa"/>
              <w:right w:w="60" w:type="dxa"/>
            </w:tcMar>
            <w:vAlign w:val="center"/>
          </w:tcPr>
          <w:p w14:paraId="03D56BF3"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No</w:t>
            </w:r>
          </w:p>
        </w:tc>
        <w:tc>
          <w:tcPr>
            <w:tcW w:w="2268" w:type="dxa"/>
            <w:shd w:val="clear" w:color="auto" w:fill="auto"/>
            <w:tcMar>
              <w:left w:w="60" w:type="dxa"/>
              <w:right w:w="60" w:type="dxa"/>
            </w:tcMar>
            <w:vAlign w:val="center"/>
          </w:tcPr>
          <w:p w14:paraId="2D9AF57D"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149 (61.3%)</w:t>
            </w:r>
          </w:p>
        </w:tc>
        <w:tc>
          <w:tcPr>
            <w:tcW w:w="2119" w:type="dxa"/>
            <w:shd w:val="clear" w:color="auto" w:fill="auto"/>
            <w:tcMar>
              <w:left w:w="60" w:type="dxa"/>
              <w:right w:w="60" w:type="dxa"/>
            </w:tcMar>
            <w:vAlign w:val="center"/>
          </w:tcPr>
          <w:p w14:paraId="2CC8765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155 (63.8%)</w:t>
            </w:r>
          </w:p>
        </w:tc>
        <w:tc>
          <w:tcPr>
            <w:tcW w:w="1767" w:type="dxa"/>
            <w:shd w:val="clear" w:color="auto" w:fill="auto"/>
            <w:tcMar>
              <w:left w:w="60" w:type="dxa"/>
              <w:right w:w="60" w:type="dxa"/>
            </w:tcMar>
            <w:vAlign w:val="center"/>
          </w:tcPr>
          <w:p w14:paraId="21705E0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304 (62.6%)</w:t>
            </w:r>
          </w:p>
        </w:tc>
      </w:tr>
      <w:tr w:rsidR="00576FE1" w:rsidRPr="00201B8E" w14:paraId="6B451FD1" w14:textId="77777777" w:rsidTr="00115CD6">
        <w:trPr>
          <w:cantSplit/>
          <w:trHeight w:val="293"/>
          <w:jc w:val="center"/>
        </w:trPr>
        <w:tc>
          <w:tcPr>
            <w:tcW w:w="2119" w:type="dxa"/>
            <w:shd w:val="clear" w:color="auto" w:fill="auto"/>
            <w:tcMar>
              <w:left w:w="60" w:type="dxa"/>
              <w:right w:w="60" w:type="dxa"/>
            </w:tcMar>
            <w:vAlign w:val="center"/>
          </w:tcPr>
          <w:p w14:paraId="453CB479"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Yes</w:t>
            </w:r>
          </w:p>
        </w:tc>
        <w:tc>
          <w:tcPr>
            <w:tcW w:w="2268" w:type="dxa"/>
            <w:shd w:val="clear" w:color="auto" w:fill="auto"/>
            <w:tcMar>
              <w:left w:w="60" w:type="dxa"/>
              <w:right w:w="60" w:type="dxa"/>
            </w:tcMar>
            <w:vAlign w:val="center"/>
          </w:tcPr>
          <w:p w14:paraId="44E455E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94 (38.7%)</w:t>
            </w:r>
          </w:p>
        </w:tc>
        <w:tc>
          <w:tcPr>
            <w:tcW w:w="2119" w:type="dxa"/>
            <w:shd w:val="clear" w:color="auto" w:fill="auto"/>
            <w:tcMar>
              <w:left w:w="60" w:type="dxa"/>
              <w:right w:w="60" w:type="dxa"/>
            </w:tcMar>
            <w:vAlign w:val="center"/>
          </w:tcPr>
          <w:p w14:paraId="06C077D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88 (36.2%)</w:t>
            </w:r>
          </w:p>
        </w:tc>
        <w:tc>
          <w:tcPr>
            <w:tcW w:w="1767" w:type="dxa"/>
            <w:shd w:val="clear" w:color="auto" w:fill="auto"/>
            <w:tcMar>
              <w:left w:w="60" w:type="dxa"/>
              <w:right w:w="60" w:type="dxa"/>
            </w:tcMar>
            <w:vAlign w:val="center"/>
          </w:tcPr>
          <w:p w14:paraId="20C2C67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182 (37.4%)</w:t>
            </w:r>
          </w:p>
        </w:tc>
      </w:tr>
      <w:tr w:rsidR="00576FE1" w:rsidRPr="00201B8E" w14:paraId="67D6B65A" w14:textId="77777777" w:rsidTr="00115CD6">
        <w:trPr>
          <w:cantSplit/>
          <w:trHeight w:val="280"/>
          <w:jc w:val="center"/>
        </w:trPr>
        <w:tc>
          <w:tcPr>
            <w:tcW w:w="2119" w:type="dxa"/>
            <w:shd w:val="clear" w:color="auto" w:fill="auto"/>
            <w:tcMar>
              <w:left w:w="60" w:type="dxa"/>
              <w:right w:w="60" w:type="dxa"/>
            </w:tcMar>
            <w:vAlign w:val="center"/>
          </w:tcPr>
          <w:p w14:paraId="55E28B89"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Adjuvant</w:t>
            </w:r>
          </w:p>
        </w:tc>
        <w:tc>
          <w:tcPr>
            <w:tcW w:w="2268" w:type="dxa"/>
            <w:shd w:val="clear" w:color="auto" w:fill="auto"/>
            <w:tcMar>
              <w:left w:w="60" w:type="dxa"/>
              <w:right w:w="60" w:type="dxa"/>
            </w:tcMar>
            <w:vAlign w:val="center"/>
          </w:tcPr>
          <w:p w14:paraId="6F0FF549"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73 (30.0%)</w:t>
            </w:r>
          </w:p>
        </w:tc>
        <w:tc>
          <w:tcPr>
            <w:tcW w:w="2119" w:type="dxa"/>
            <w:shd w:val="clear" w:color="auto" w:fill="auto"/>
            <w:tcMar>
              <w:left w:w="60" w:type="dxa"/>
              <w:right w:w="60" w:type="dxa"/>
            </w:tcMar>
            <w:vAlign w:val="center"/>
          </w:tcPr>
          <w:p w14:paraId="5241EEA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71 (29.2%)</w:t>
            </w:r>
          </w:p>
        </w:tc>
        <w:tc>
          <w:tcPr>
            <w:tcW w:w="1767" w:type="dxa"/>
            <w:shd w:val="clear" w:color="auto" w:fill="auto"/>
            <w:tcMar>
              <w:left w:w="60" w:type="dxa"/>
              <w:right w:w="60" w:type="dxa"/>
            </w:tcMar>
            <w:vAlign w:val="center"/>
          </w:tcPr>
          <w:p w14:paraId="466D3D5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144 (29.6%)</w:t>
            </w:r>
          </w:p>
        </w:tc>
      </w:tr>
      <w:tr w:rsidR="00576FE1" w:rsidRPr="00201B8E" w14:paraId="6117E70B" w14:textId="77777777" w:rsidTr="00115CD6">
        <w:trPr>
          <w:cantSplit/>
          <w:trHeight w:val="293"/>
          <w:jc w:val="center"/>
        </w:trPr>
        <w:tc>
          <w:tcPr>
            <w:tcW w:w="2119" w:type="dxa"/>
            <w:shd w:val="clear" w:color="auto" w:fill="auto"/>
            <w:tcMar>
              <w:left w:w="60" w:type="dxa"/>
              <w:right w:w="60" w:type="dxa"/>
            </w:tcMar>
            <w:vAlign w:val="center"/>
          </w:tcPr>
          <w:p w14:paraId="331E77AF"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Neoadjuvant</w:t>
            </w:r>
          </w:p>
        </w:tc>
        <w:tc>
          <w:tcPr>
            <w:tcW w:w="2268" w:type="dxa"/>
            <w:shd w:val="clear" w:color="auto" w:fill="auto"/>
            <w:tcMar>
              <w:left w:w="60" w:type="dxa"/>
              <w:right w:w="60" w:type="dxa"/>
            </w:tcMar>
            <w:vAlign w:val="center"/>
          </w:tcPr>
          <w:p w14:paraId="32E2380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25 (10.3%)</w:t>
            </w:r>
          </w:p>
        </w:tc>
        <w:tc>
          <w:tcPr>
            <w:tcW w:w="2119" w:type="dxa"/>
            <w:shd w:val="clear" w:color="auto" w:fill="auto"/>
            <w:tcMar>
              <w:left w:w="60" w:type="dxa"/>
              <w:right w:w="60" w:type="dxa"/>
            </w:tcMar>
            <w:vAlign w:val="center"/>
          </w:tcPr>
          <w:p w14:paraId="2B8B90DA"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21 (8.6%)</w:t>
            </w:r>
          </w:p>
        </w:tc>
        <w:tc>
          <w:tcPr>
            <w:tcW w:w="1767" w:type="dxa"/>
            <w:shd w:val="clear" w:color="auto" w:fill="auto"/>
            <w:tcMar>
              <w:left w:w="60" w:type="dxa"/>
              <w:right w:w="60" w:type="dxa"/>
            </w:tcMar>
            <w:vAlign w:val="center"/>
          </w:tcPr>
          <w:p w14:paraId="2440B2C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46 (9.5%)</w:t>
            </w:r>
          </w:p>
        </w:tc>
      </w:tr>
      <w:tr w:rsidR="00576FE1" w:rsidRPr="008E7B22" w14:paraId="5110401C" w14:textId="77777777" w:rsidTr="00115CD6">
        <w:trPr>
          <w:cantSplit/>
          <w:trHeight w:val="293"/>
          <w:jc w:val="center"/>
        </w:trPr>
        <w:tc>
          <w:tcPr>
            <w:tcW w:w="0" w:type="auto"/>
            <w:gridSpan w:val="4"/>
            <w:shd w:val="clear" w:color="auto" w:fill="auto"/>
            <w:tcMar>
              <w:left w:w="60" w:type="dxa"/>
              <w:right w:w="60" w:type="dxa"/>
            </w:tcMar>
            <w:vAlign w:val="center"/>
          </w:tcPr>
          <w:p w14:paraId="6D076DE8" w14:textId="77777777" w:rsidR="00576FE1" w:rsidRPr="00201B8E" w:rsidRDefault="00576FE1" w:rsidP="00115CD6">
            <w:pPr>
              <w:keepNext/>
              <w:adjustRightInd w:val="0"/>
              <w:spacing w:before="40" w:after="40" w:line="240" w:lineRule="auto"/>
              <w:rPr>
                <w:b/>
                <w:bCs/>
                <w:color w:val="000000"/>
                <w:sz w:val="18"/>
                <w:szCs w:val="18"/>
                <w:lang w:val="en-GB"/>
              </w:rPr>
            </w:pPr>
            <w:r w:rsidRPr="00201B8E">
              <w:rPr>
                <w:b/>
                <w:bCs/>
                <w:color w:val="000000"/>
                <w:sz w:val="18"/>
                <w:szCs w:val="18"/>
                <w:lang w:val="en-GB"/>
              </w:rPr>
              <w:lastRenderedPageBreak/>
              <w:t>Neo(adjuvant) Prior Chemotherapy Substance</w:t>
            </w:r>
          </w:p>
        </w:tc>
      </w:tr>
      <w:tr w:rsidR="00576FE1" w:rsidRPr="00201B8E" w14:paraId="7B08C8C6" w14:textId="77777777" w:rsidTr="00115CD6">
        <w:trPr>
          <w:cantSplit/>
          <w:trHeight w:val="280"/>
          <w:jc w:val="center"/>
        </w:trPr>
        <w:tc>
          <w:tcPr>
            <w:tcW w:w="2119" w:type="dxa"/>
            <w:shd w:val="clear" w:color="auto" w:fill="auto"/>
            <w:tcMar>
              <w:left w:w="60" w:type="dxa"/>
              <w:right w:w="60" w:type="dxa"/>
            </w:tcMar>
            <w:vAlign w:val="center"/>
          </w:tcPr>
          <w:p w14:paraId="7778627C"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lang w:val="en-GB"/>
              </w:rPr>
              <w:t xml:space="preserve">    </w:t>
            </w:r>
            <w:r w:rsidRPr="00201B8E">
              <w:rPr>
                <w:color w:val="000000"/>
                <w:sz w:val="18"/>
                <w:szCs w:val="18"/>
              </w:rPr>
              <w:t>Cyclophosphamide</w:t>
            </w:r>
          </w:p>
        </w:tc>
        <w:tc>
          <w:tcPr>
            <w:tcW w:w="2268" w:type="dxa"/>
            <w:shd w:val="clear" w:color="auto" w:fill="auto"/>
            <w:tcMar>
              <w:left w:w="60" w:type="dxa"/>
              <w:right w:w="60" w:type="dxa"/>
            </w:tcMar>
            <w:vAlign w:val="center"/>
          </w:tcPr>
          <w:p w14:paraId="606739F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70 (28.8%)</w:t>
            </w:r>
          </w:p>
        </w:tc>
        <w:tc>
          <w:tcPr>
            <w:tcW w:w="2119" w:type="dxa"/>
            <w:shd w:val="clear" w:color="auto" w:fill="auto"/>
            <w:tcMar>
              <w:left w:w="60" w:type="dxa"/>
              <w:right w:w="60" w:type="dxa"/>
            </w:tcMar>
            <w:vAlign w:val="center"/>
          </w:tcPr>
          <w:p w14:paraId="7327899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65 (26.7%)</w:t>
            </w:r>
          </w:p>
        </w:tc>
        <w:tc>
          <w:tcPr>
            <w:tcW w:w="1767" w:type="dxa"/>
            <w:shd w:val="clear" w:color="auto" w:fill="auto"/>
            <w:tcMar>
              <w:left w:w="60" w:type="dxa"/>
              <w:right w:w="60" w:type="dxa"/>
            </w:tcMar>
            <w:vAlign w:val="center"/>
          </w:tcPr>
          <w:p w14:paraId="4ED5CC3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135 (27.8%)</w:t>
            </w:r>
          </w:p>
        </w:tc>
      </w:tr>
      <w:tr w:rsidR="00576FE1" w:rsidRPr="00201B8E" w14:paraId="157658D5" w14:textId="77777777" w:rsidTr="00115CD6">
        <w:trPr>
          <w:cantSplit/>
          <w:trHeight w:val="293"/>
          <w:jc w:val="center"/>
        </w:trPr>
        <w:tc>
          <w:tcPr>
            <w:tcW w:w="2119" w:type="dxa"/>
            <w:shd w:val="clear" w:color="auto" w:fill="auto"/>
            <w:tcMar>
              <w:left w:w="60" w:type="dxa"/>
              <w:right w:w="60" w:type="dxa"/>
            </w:tcMar>
            <w:vAlign w:val="center"/>
          </w:tcPr>
          <w:p w14:paraId="1B0B4FDD"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Fluorouracil</w:t>
            </w:r>
          </w:p>
        </w:tc>
        <w:tc>
          <w:tcPr>
            <w:tcW w:w="2268" w:type="dxa"/>
            <w:shd w:val="clear" w:color="auto" w:fill="auto"/>
            <w:tcMar>
              <w:left w:w="60" w:type="dxa"/>
              <w:right w:w="60" w:type="dxa"/>
            </w:tcMar>
            <w:vAlign w:val="center"/>
          </w:tcPr>
          <w:p w14:paraId="1C03958C"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49 (20.2%)</w:t>
            </w:r>
          </w:p>
        </w:tc>
        <w:tc>
          <w:tcPr>
            <w:tcW w:w="2119" w:type="dxa"/>
            <w:shd w:val="clear" w:color="auto" w:fill="auto"/>
            <w:tcMar>
              <w:left w:w="60" w:type="dxa"/>
              <w:right w:w="60" w:type="dxa"/>
            </w:tcMar>
            <w:vAlign w:val="center"/>
          </w:tcPr>
          <w:p w14:paraId="508CE18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38 (15.6%)</w:t>
            </w:r>
          </w:p>
        </w:tc>
        <w:tc>
          <w:tcPr>
            <w:tcW w:w="1767" w:type="dxa"/>
            <w:shd w:val="clear" w:color="auto" w:fill="auto"/>
            <w:tcMar>
              <w:left w:w="60" w:type="dxa"/>
              <w:right w:w="60" w:type="dxa"/>
            </w:tcMar>
            <w:vAlign w:val="center"/>
          </w:tcPr>
          <w:p w14:paraId="47B5687D"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87 (17.9%)</w:t>
            </w:r>
          </w:p>
        </w:tc>
      </w:tr>
      <w:tr w:rsidR="00576FE1" w:rsidRPr="00201B8E" w14:paraId="76E9916C" w14:textId="77777777" w:rsidTr="00115CD6">
        <w:trPr>
          <w:cantSplit/>
          <w:trHeight w:val="280"/>
          <w:jc w:val="center"/>
        </w:trPr>
        <w:tc>
          <w:tcPr>
            <w:tcW w:w="2119" w:type="dxa"/>
            <w:shd w:val="clear" w:color="auto" w:fill="auto"/>
            <w:tcMar>
              <w:left w:w="60" w:type="dxa"/>
              <w:right w:w="60" w:type="dxa"/>
            </w:tcMar>
            <w:vAlign w:val="center"/>
          </w:tcPr>
          <w:p w14:paraId="783A998D"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Doxorubicin</w:t>
            </w:r>
          </w:p>
        </w:tc>
        <w:tc>
          <w:tcPr>
            <w:tcW w:w="2268" w:type="dxa"/>
            <w:shd w:val="clear" w:color="auto" w:fill="auto"/>
            <w:tcMar>
              <w:left w:w="60" w:type="dxa"/>
              <w:right w:w="60" w:type="dxa"/>
            </w:tcMar>
            <w:vAlign w:val="center"/>
          </w:tcPr>
          <w:p w14:paraId="7B219C92"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32 (13.2%)</w:t>
            </w:r>
          </w:p>
        </w:tc>
        <w:tc>
          <w:tcPr>
            <w:tcW w:w="2119" w:type="dxa"/>
            <w:shd w:val="clear" w:color="auto" w:fill="auto"/>
            <w:tcMar>
              <w:left w:w="60" w:type="dxa"/>
              <w:right w:w="60" w:type="dxa"/>
            </w:tcMar>
            <w:vAlign w:val="center"/>
          </w:tcPr>
          <w:p w14:paraId="53809209"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33 (13.6%)</w:t>
            </w:r>
          </w:p>
        </w:tc>
        <w:tc>
          <w:tcPr>
            <w:tcW w:w="1767" w:type="dxa"/>
            <w:shd w:val="clear" w:color="auto" w:fill="auto"/>
            <w:tcMar>
              <w:left w:w="60" w:type="dxa"/>
              <w:right w:w="60" w:type="dxa"/>
            </w:tcMar>
            <w:vAlign w:val="center"/>
          </w:tcPr>
          <w:p w14:paraId="066F4CF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65 (13.4%)</w:t>
            </w:r>
          </w:p>
        </w:tc>
      </w:tr>
      <w:tr w:rsidR="00576FE1" w:rsidRPr="00201B8E" w14:paraId="1CA49AD2" w14:textId="77777777" w:rsidTr="00115CD6">
        <w:trPr>
          <w:cantSplit/>
          <w:trHeight w:val="293"/>
          <w:jc w:val="center"/>
        </w:trPr>
        <w:tc>
          <w:tcPr>
            <w:tcW w:w="2119" w:type="dxa"/>
            <w:shd w:val="clear" w:color="auto" w:fill="auto"/>
            <w:tcMar>
              <w:left w:w="60" w:type="dxa"/>
              <w:right w:w="60" w:type="dxa"/>
            </w:tcMar>
            <w:vAlign w:val="center"/>
          </w:tcPr>
          <w:p w14:paraId="797CE4AD"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w:t>
            </w:r>
            <w:proofErr w:type="spellStart"/>
            <w:r w:rsidRPr="00201B8E">
              <w:rPr>
                <w:color w:val="000000"/>
                <w:sz w:val="18"/>
                <w:szCs w:val="18"/>
              </w:rPr>
              <w:t>Epirubicin</w:t>
            </w:r>
            <w:proofErr w:type="spellEnd"/>
          </w:p>
        </w:tc>
        <w:tc>
          <w:tcPr>
            <w:tcW w:w="2268" w:type="dxa"/>
            <w:shd w:val="clear" w:color="auto" w:fill="auto"/>
            <w:tcMar>
              <w:left w:w="60" w:type="dxa"/>
              <w:right w:w="60" w:type="dxa"/>
            </w:tcMar>
            <w:vAlign w:val="center"/>
          </w:tcPr>
          <w:p w14:paraId="475DB83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31 (12.8%)</w:t>
            </w:r>
          </w:p>
        </w:tc>
        <w:tc>
          <w:tcPr>
            <w:tcW w:w="2119" w:type="dxa"/>
            <w:shd w:val="clear" w:color="auto" w:fill="auto"/>
            <w:tcMar>
              <w:left w:w="60" w:type="dxa"/>
              <w:right w:w="60" w:type="dxa"/>
            </w:tcMar>
            <w:vAlign w:val="center"/>
          </w:tcPr>
          <w:p w14:paraId="7170B0BA"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30 (12.3%)</w:t>
            </w:r>
          </w:p>
        </w:tc>
        <w:tc>
          <w:tcPr>
            <w:tcW w:w="1767" w:type="dxa"/>
            <w:shd w:val="clear" w:color="auto" w:fill="auto"/>
            <w:tcMar>
              <w:left w:w="60" w:type="dxa"/>
              <w:right w:w="60" w:type="dxa"/>
            </w:tcMar>
            <w:vAlign w:val="center"/>
          </w:tcPr>
          <w:p w14:paraId="0B38C9D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61 (12.6%)</w:t>
            </w:r>
          </w:p>
        </w:tc>
      </w:tr>
      <w:tr w:rsidR="00576FE1" w:rsidRPr="00201B8E" w14:paraId="19F03025" w14:textId="77777777" w:rsidTr="00115CD6">
        <w:trPr>
          <w:cantSplit/>
          <w:trHeight w:val="280"/>
          <w:jc w:val="center"/>
        </w:trPr>
        <w:tc>
          <w:tcPr>
            <w:tcW w:w="2119" w:type="dxa"/>
            <w:shd w:val="clear" w:color="auto" w:fill="auto"/>
            <w:tcMar>
              <w:left w:w="60" w:type="dxa"/>
              <w:right w:w="60" w:type="dxa"/>
            </w:tcMar>
            <w:vAlign w:val="center"/>
          </w:tcPr>
          <w:p w14:paraId="71D42FF8"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Docetaxel</w:t>
            </w:r>
          </w:p>
        </w:tc>
        <w:tc>
          <w:tcPr>
            <w:tcW w:w="2268" w:type="dxa"/>
            <w:shd w:val="clear" w:color="auto" w:fill="auto"/>
            <w:tcMar>
              <w:left w:w="60" w:type="dxa"/>
              <w:right w:w="60" w:type="dxa"/>
            </w:tcMar>
            <w:vAlign w:val="center"/>
          </w:tcPr>
          <w:p w14:paraId="74413A72"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26 (10.7%)</w:t>
            </w:r>
          </w:p>
        </w:tc>
        <w:tc>
          <w:tcPr>
            <w:tcW w:w="2119" w:type="dxa"/>
            <w:shd w:val="clear" w:color="auto" w:fill="auto"/>
            <w:tcMar>
              <w:left w:w="60" w:type="dxa"/>
              <w:right w:w="60" w:type="dxa"/>
            </w:tcMar>
            <w:vAlign w:val="center"/>
          </w:tcPr>
          <w:p w14:paraId="056C234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26 (10.7%)</w:t>
            </w:r>
          </w:p>
        </w:tc>
        <w:tc>
          <w:tcPr>
            <w:tcW w:w="1767" w:type="dxa"/>
            <w:shd w:val="clear" w:color="auto" w:fill="auto"/>
            <w:tcMar>
              <w:left w:w="60" w:type="dxa"/>
              <w:right w:w="60" w:type="dxa"/>
            </w:tcMar>
            <w:vAlign w:val="center"/>
          </w:tcPr>
          <w:p w14:paraId="2091F1A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52 (10.7%)</w:t>
            </w:r>
          </w:p>
        </w:tc>
      </w:tr>
      <w:tr w:rsidR="00576FE1" w:rsidRPr="00201B8E" w14:paraId="4290C1FB" w14:textId="77777777" w:rsidTr="00115CD6">
        <w:trPr>
          <w:cantSplit/>
          <w:trHeight w:val="293"/>
          <w:jc w:val="center"/>
        </w:trPr>
        <w:tc>
          <w:tcPr>
            <w:tcW w:w="2119" w:type="dxa"/>
            <w:shd w:val="clear" w:color="auto" w:fill="auto"/>
            <w:tcMar>
              <w:left w:w="60" w:type="dxa"/>
              <w:right w:w="60" w:type="dxa"/>
            </w:tcMar>
            <w:vAlign w:val="center"/>
          </w:tcPr>
          <w:p w14:paraId="2E73AFD1"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Methotrexate</w:t>
            </w:r>
          </w:p>
        </w:tc>
        <w:tc>
          <w:tcPr>
            <w:tcW w:w="2268" w:type="dxa"/>
            <w:shd w:val="clear" w:color="auto" w:fill="auto"/>
            <w:tcMar>
              <w:left w:w="60" w:type="dxa"/>
              <w:right w:w="60" w:type="dxa"/>
            </w:tcMar>
            <w:vAlign w:val="center"/>
          </w:tcPr>
          <w:p w14:paraId="272CBD7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18 (7.4%)</w:t>
            </w:r>
          </w:p>
        </w:tc>
        <w:tc>
          <w:tcPr>
            <w:tcW w:w="2119" w:type="dxa"/>
            <w:shd w:val="clear" w:color="auto" w:fill="auto"/>
            <w:tcMar>
              <w:left w:w="60" w:type="dxa"/>
              <w:right w:w="60" w:type="dxa"/>
            </w:tcMar>
            <w:vAlign w:val="center"/>
          </w:tcPr>
          <w:p w14:paraId="7A6E5912"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10 (4.1%)</w:t>
            </w:r>
          </w:p>
        </w:tc>
        <w:tc>
          <w:tcPr>
            <w:tcW w:w="1767" w:type="dxa"/>
            <w:shd w:val="clear" w:color="auto" w:fill="auto"/>
            <w:tcMar>
              <w:left w:w="60" w:type="dxa"/>
              <w:right w:w="60" w:type="dxa"/>
            </w:tcMar>
            <w:vAlign w:val="center"/>
          </w:tcPr>
          <w:p w14:paraId="765C009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28 (5.8%)</w:t>
            </w:r>
          </w:p>
        </w:tc>
      </w:tr>
      <w:tr w:rsidR="00576FE1" w:rsidRPr="00201B8E" w14:paraId="48BDB27F" w14:textId="77777777" w:rsidTr="00115CD6">
        <w:trPr>
          <w:cantSplit/>
          <w:trHeight w:val="280"/>
          <w:jc w:val="center"/>
        </w:trPr>
        <w:tc>
          <w:tcPr>
            <w:tcW w:w="2119" w:type="dxa"/>
            <w:shd w:val="clear" w:color="auto" w:fill="auto"/>
            <w:tcMar>
              <w:left w:w="60" w:type="dxa"/>
              <w:right w:w="60" w:type="dxa"/>
            </w:tcMar>
            <w:vAlign w:val="center"/>
          </w:tcPr>
          <w:p w14:paraId="466E9B84"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Paclitaxel</w:t>
            </w:r>
          </w:p>
        </w:tc>
        <w:tc>
          <w:tcPr>
            <w:tcW w:w="2268" w:type="dxa"/>
            <w:shd w:val="clear" w:color="auto" w:fill="auto"/>
            <w:tcMar>
              <w:left w:w="60" w:type="dxa"/>
              <w:right w:w="60" w:type="dxa"/>
            </w:tcMar>
            <w:vAlign w:val="center"/>
          </w:tcPr>
          <w:p w14:paraId="1C50EEEC"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12 (4.9%)</w:t>
            </w:r>
          </w:p>
        </w:tc>
        <w:tc>
          <w:tcPr>
            <w:tcW w:w="2119" w:type="dxa"/>
            <w:shd w:val="clear" w:color="auto" w:fill="auto"/>
            <w:tcMar>
              <w:left w:w="60" w:type="dxa"/>
              <w:right w:w="60" w:type="dxa"/>
            </w:tcMar>
            <w:vAlign w:val="center"/>
          </w:tcPr>
          <w:p w14:paraId="67EA90A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15 (6.2%)</w:t>
            </w:r>
          </w:p>
        </w:tc>
        <w:tc>
          <w:tcPr>
            <w:tcW w:w="1767" w:type="dxa"/>
            <w:shd w:val="clear" w:color="auto" w:fill="auto"/>
            <w:tcMar>
              <w:left w:w="60" w:type="dxa"/>
              <w:right w:w="60" w:type="dxa"/>
            </w:tcMar>
            <w:vAlign w:val="center"/>
          </w:tcPr>
          <w:p w14:paraId="2CBC23F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27 (5.6%)</w:t>
            </w:r>
          </w:p>
        </w:tc>
      </w:tr>
      <w:tr w:rsidR="00576FE1" w:rsidRPr="00201B8E" w14:paraId="729E0B25" w14:textId="77777777" w:rsidTr="00115CD6">
        <w:trPr>
          <w:cantSplit/>
          <w:trHeight w:val="493"/>
          <w:jc w:val="center"/>
        </w:trPr>
        <w:tc>
          <w:tcPr>
            <w:tcW w:w="2119" w:type="dxa"/>
            <w:shd w:val="clear" w:color="auto" w:fill="auto"/>
            <w:tcMar>
              <w:left w:w="60" w:type="dxa"/>
              <w:right w:w="60" w:type="dxa"/>
            </w:tcMar>
            <w:vAlign w:val="center"/>
          </w:tcPr>
          <w:p w14:paraId="30758934"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Combinations of antineoplastic agents</w:t>
            </w:r>
          </w:p>
        </w:tc>
        <w:tc>
          <w:tcPr>
            <w:tcW w:w="2268" w:type="dxa"/>
            <w:shd w:val="clear" w:color="auto" w:fill="auto"/>
            <w:tcMar>
              <w:left w:w="60" w:type="dxa"/>
              <w:right w:w="60" w:type="dxa"/>
            </w:tcMar>
            <w:vAlign w:val="center"/>
          </w:tcPr>
          <w:p w14:paraId="281D6C47"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8 (3.3%)</w:t>
            </w:r>
          </w:p>
        </w:tc>
        <w:tc>
          <w:tcPr>
            <w:tcW w:w="2119" w:type="dxa"/>
            <w:shd w:val="clear" w:color="auto" w:fill="auto"/>
            <w:tcMar>
              <w:left w:w="60" w:type="dxa"/>
              <w:right w:w="60" w:type="dxa"/>
            </w:tcMar>
            <w:vAlign w:val="center"/>
          </w:tcPr>
          <w:p w14:paraId="0BCFB83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7 (2.9%)</w:t>
            </w:r>
          </w:p>
        </w:tc>
        <w:tc>
          <w:tcPr>
            <w:tcW w:w="1767" w:type="dxa"/>
            <w:shd w:val="clear" w:color="auto" w:fill="auto"/>
            <w:tcMar>
              <w:left w:w="60" w:type="dxa"/>
              <w:right w:w="60" w:type="dxa"/>
            </w:tcMar>
            <w:vAlign w:val="center"/>
          </w:tcPr>
          <w:p w14:paraId="3ADAAFF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15 (3.1%)</w:t>
            </w:r>
          </w:p>
        </w:tc>
      </w:tr>
      <w:tr w:rsidR="00576FE1" w:rsidRPr="00201B8E" w14:paraId="2065E05C" w14:textId="77777777" w:rsidTr="00115CD6">
        <w:trPr>
          <w:cantSplit/>
          <w:trHeight w:val="493"/>
          <w:jc w:val="center"/>
        </w:trPr>
        <w:tc>
          <w:tcPr>
            <w:tcW w:w="2119" w:type="dxa"/>
            <w:shd w:val="clear" w:color="auto" w:fill="auto"/>
            <w:tcMar>
              <w:left w:w="60" w:type="dxa"/>
              <w:right w:w="60" w:type="dxa"/>
            </w:tcMar>
            <w:vAlign w:val="center"/>
          </w:tcPr>
          <w:p w14:paraId="341E77EA"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Fluorouracil, combinations</w:t>
            </w:r>
          </w:p>
        </w:tc>
        <w:tc>
          <w:tcPr>
            <w:tcW w:w="2268" w:type="dxa"/>
            <w:shd w:val="clear" w:color="auto" w:fill="auto"/>
            <w:tcMar>
              <w:left w:w="60" w:type="dxa"/>
              <w:right w:w="60" w:type="dxa"/>
            </w:tcMar>
            <w:vAlign w:val="center"/>
          </w:tcPr>
          <w:p w14:paraId="0FEB0E0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 (1.2%)</w:t>
            </w:r>
          </w:p>
        </w:tc>
        <w:tc>
          <w:tcPr>
            <w:tcW w:w="2119" w:type="dxa"/>
            <w:shd w:val="clear" w:color="auto" w:fill="auto"/>
            <w:tcMar>
              <w:left w:w="60" w:type="dxa"/>
              <w:right w:w="60" w:type="dxa"/>
            </w:tcMar>
            <w:vAlign w:val="center"/>
          </w:tcPr>
          <w:p w14:paraId="4785B0A1"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 (0.4%)</w:t>
            </w:r>
          </w:p>
        </w:tc>
        <w:tc>
          <w:tcPr>
            <w:tcW w:w="1767" w:type="dxa"/>
            <w:shd w:val="clear" w:color="auto" w:fill="auto"/>
            <w:tcMar>
              <w:left w:w="60" w:type="dxa"/>
              <w:right w:w="60" w:type="dxa"/>
            </w:tcMar>
            <w:vAlign w:val="center"/>
          </w:tcPr>
          <w:p w14:paraId="6ED5F00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 (0.8%)</w:t>
            </w:r>
          </w:p>
        </w:tc>
      </w:tr>
      <w:tr w:rsidR="00576FE1" w:rsidRPr="00201B8E" w14:paraId="6EB6B8B4" w14:textId="77777777" w:rsidTr="00115CD6">
        <w:trPr>
          <w:cantSplit/>
          <w:trHeight w:val="493"/>
          <w:jc w:val="center"/>
        </w:trPr>
        <w:tc>
          <w:tcPr>
            <w:tcW w:w="2119" w:type="dxa"/>
            <w:shd w:val="clear" w:color="auto" w:fill="auto"/>
            <w:tcMar>
              <w:left w:w="60" w:type="dxa"/>
              <w:right w:w="60" w:type="dxa"/>
            </w:tcMar>
            <w:vAlign w:val="center"/>
          </w:tcPr>
          <w:p w14:paraId="7F5CFCAA"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Anthracyclines and related substances</w:t>
            </w:r>
          </w:p>
        </w:tc>
        <w:tc>
          <w:tcPr>
            <w:tcW w:w="2268" w:type="dxa"/>
            <w:shd w:val="clear" w:color="auto" w:fill="auto"/>
            <w:tcMar>
              <w:left w:w="60" w:type="dxa"/>
              <w:right w:w="60" w:type="dxa"/>
            </w:tcMar>
            <w:vAlign w:val="center"/>
          </w:tcPr>
          <w:p w14:paraId="2D55FE6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 (0.4%)</w:t>
            </w:r>
          </w:p>
        </w:tc>
        <w:tc>
          <w:tcPr>
            <w:tcW w:w="2119" w:type="dxa"/>
            <w:shd w:val="clear" w:color="auto" w:fill="auto"/>
            <w:tcMar>
              <w:left w:w="60" w:type="dxa"/>
              <w:right w:w="60" w:type="dxa"/>
            </w:tcMar>
            <w:vAlign w:val="center"/>
          </w:tcPr>
          <w:p w14:paraId="570D2D4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 (0.8%)</w:t>
            </w:r>
          </w:p>
        </w:tc>
        <w:tc>
          <w:tcPr>
            <w:tcW w:w="1767" w:type="dxa"/>
            <w:shd w:val="clear" w:color="auto" w:fill="auto"/>
            <w:tcMar>
              <w:left w:w="60" w:type="dxa"/>
              <w:right w:w="60" w:type="dxa"/>
            </w:tcMar>
            <w:vAlign w:val="center"/>
          </w:tcPr>
          <w:p w14:paraId="2F8DD1C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 (0.6%)</w:t>
            </w:r>
          </w:p>
        </w:tc>
      </w:tr>
      <w:tr w:rsidR="00576FE1" w:rsidRPr="00201B8E" w14:paraId="4A71454B" w14:textId="77777777" w:rsidTr="00115CD6">
        <w:trPr>
          <w:cantSplit/>
          <w:trHeight w:val="293"/>
          <w:jc w:val="center"/>
        </w:trPr>
        <w:tc>
          <w:tcPr>
            <w:tcW w:w="2119" w:type="dxa"/>
            <w:shd w:val="clear" w:color="auto" w:fill="auto"/>
            <w:tcMar>
              <w:left w:w="60" w:type="dxa"/>
              <w:right w:w="60" w:type="dxa"/>
            </w:tcMar>
            <w:vAlign w:val="center"/>
          </w:tcPr>
          <w:p w14:paraId="72D8CEAB"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Capecitabine</w:t>
            </w:r>
          </w:p>
        </w:tc>
        <w:tc>
          <w:tcPr>
            <w:tcW w:w="2268" w:type="dxa"/>
            <w:shd w:val="clear" w:color="auto" w:fill="auto"/>
            <w:tcMar>
              <w:left w:w="60" w:type="dxa"/>
              <w:right w:w="60" w:type="dxa"/>
            </w:tcMar>
            <w:vAlign w:val="center"/>
          </w:tcPr>
          <w:p w14:paraId="027D6AF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 (0.8%)</w:t>
            </w:r>
          </w:p>
        </w:tc>
        <w:tc>
          <w:tcPr>
            <w:tcW w:w="2119" w:type="dxa"/>
            <w:shd w:val="clear" w:color="auto" w:fill="auto"/>
            <w:tcMar>
              <w:left w:w="60" w:type="dxa"/>
              <w:right w:w="60" w:type="dxa"/>
            </w:tcMar>
            <w:vAlign w:val="center"/>
          </w:tcPr>
          <w:p w14:paraId="207C338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 (0.4%)</w:t>
            </w:r>
          </w:p>
        </w:tc>
        <w:tc>
          <w:tcPr>
            <w:tcW w:w="1767" w:type="dxa"/>
            <w:shd w:val="clear" w:color="auto" w:fill="auto"/>
            <w:tcMar>
              <w:left w:w="60" w:type="dxa"/>
              <w:right w:w="60" w:type="dxa"/>
            </w:tcMar>
            <w:vAlign w:val="center"/>
          </w:tcPr>
          <w:p w14:paraId="57D2BB8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 (0.6%)</w:t>
            </w:r>
          </w:p>
        </w:tc>
      </w:tr>
      <w:tr w:rsidR="00576FE1" w:rsidRPr="00201B8E" w14:paraId="0DB98257" w14:textId="77777777" w:rsidTr="00115CD6">
        <w:trPr>
          <w:cantSplit/>
          <w:trHeight w:val="280"/>
          <w:jc w:val="center"/>
        </w:trPr>
        <w:tc>
          <w:tcPr>
            <w:tcW w:w="2119" w:type="dxa"/>
            <w:shd w:val="clear" w:color="auto" w:fill="auto"/>
            <w:tcMar>
              <w:left w:w="60" w:type="dxa"/>
              <w:right w:w="60" w:type="dxa"/>
            </w:tcMar>
            <w:vAlign w:val="center"/>
          </w:tcPr>
          <w:p w14:paraId="767C35DE" w14:textId="77777777" w:rsidR="00576FE1" w:rsidRPr="00201B8E" w:rsidRDefault="00576FE1" w:rsidP="00115CD6">
            <w:pPr>
              <w:keepNext/>
              <w:adjustRightInd w:val="0"/>
              <w:spacing w:before="40" w:after="40" w:line="240" w:lineRule="auto"/>
              <w:ind w:hanging="209"/>
              <w:rPr>
                <w:color w:val="000000"/>
                <w:sz w:val="18"/>
                <w:szCs w:val="18"/>
              </w:rPr>
            </w:pPr>
            <w:r>
              <w:rPr>
                <w:color w:val="000000"/>
                <w:sz w:val="18"/>
                <w:szCs w:val="18"/>
              </w:rPr>
              <w:t xml:space="preserve">    Other</w:t>
            </w:r>
          </w:p>
        </w:tc>
        <w:tc>
          <w:tcPr>
            <w:tcW w:w="2268" w:type="dxa"/>
            <w:shd w:val="clear" w:color="auto" w:fill="auto"/>
            <w:tcMar>
              <w:left w:w="60" w:type="dxa"/>
              <w:right w:w="60" w:type="dxa"/>
            </w:tcMar>
            <w:vAlign w:val="center"/>
          </w:tcPr>
          <w:p w14:paraId="162B8DDF" w14:textId="77777777" w:rsidR="00576FE1" w:rsidRPr="00201B8E" w:rsidRDefault="00576FE1" w:rsidP="00115CD6">
            <w:pPr>
              <w:keepNext/>
              <w:adjustRightInd w:val="0"/>
              <w:spacing w:before="40" w:after="40" w:line="240" w:lineRule="auto"/>
              <w:jc w:val="center"/>
              <w:rPr>
                <w:color w:val="000000"/>
                <w:sz w:val="18"/>
                <w:szCs w:val="18"/>
              </w:rPr>
            </w:pPr>
            <w:r>
              <w:rPr>
                <w:color w:val="000000"/>
                <w:sz w:val="18"/>
                <w:szCs w:val="18"/>
              </w:rPr>
              <w:t>5 (2.1%)</w:t>
            </w:r>
          </w:p>
        </w:tc>
        <w:tc>
          <w:tcPr>
            <w:tcW w:w="2119" w:type="dxa"/>
            <w:shd w:val="clear" w:color="auto" w:fill="auto"/>
            <w:tcMar>
              <w:left w:w="60" w:type="dxa"/>
              <w:right w:w="60" w:type="dxa"/>
            </w:tcMar>
            <w:vAlign w:val="center"/>
          </w:tcPr>
          <w:p w14:paraId="1FEE602E" w14:textId="77777777" w:rsidR="00576FE1" w:rsidRPr="00201B8E" w:rsidRDefault="00576FE1" w:rsidP="00115CD6">
            <w:pPr>
              <w:keepNext/>
              <w:adjustRightInd w:val="0"/>
              <w:spacing w:before="40" w:after="40" w:line="240" w:lineRule="auto"/>
              <w:jc w:val="center"/>
              <w:rPr>
                <w:color w:val="000000"/>
                <w:sz w:val="18"/>
                <w:szCs w:val="18"/>
              </w:rPr>
            </w:pPr>
            <w:r>
              <w:rPr>
                <w:color w:val="000000"/>
                <w:sz w:val="18"/>
                <w:szCs w:val="18"/>
              </w:rPr>
              <w:t>5 (2.1%)</w:t>
            </w:r>
          </w:p>
        </w:tc>
        <w:tc>
          <w:tcPr>
            <w:tcW w:w="1767" w:type="dxa"/>
            <w:shd w:val="clear" w:color="auto" w:fill="auto"/>
            <w:tcMar>
              <w:left w:w="60" w:type="dxa"/>
              <w:right w:w="60" w:type="dxa"/>
            </w:tcMar>
            <w:vAlign w:val="center"/>
          </w:tcPr>
          <w:p w14:paraId="16EC9915" w14:textId="77777777" w:rsidR="00576FE1" w:rsidRPr="00201B8E" w:rsidRDefault="00576FE1" w:rsidP="00115CD6">
            <w:pPr>
              <w:keepNext/>
              <w:adjustRightInd w:val="0"/>
              <w:spacing w:before="40" w:after="40" w:line="240" w:lineRule="auto"/>
              <w:jc w:val="center"/>
              <w:rPr>
                <w:color w:val="000000"/>
                <w:sz w:val="18"/>
                <w:szCs w:val="18"/>
              </w:rPr>
            </w:pPr>
            <w:r>
              <w:rPr>
                <w:color w:val="000000"/>
                <w:sz w:val="18"/>
                <w:szCs w:val="18"/>
              </w:rPr>
              <w:t>10 (2.1%)</w:t>
            </w:r>
          </w:p>
        </w:tc>
      </w:tr>
      <w:tr w:rsidR="00576FE1" w:rsidRPr="00201B8E" w14:paraId="7E1E9D8C" w14:textId="77777777" w:rsidTr="00115CD6">
        <w:trPr>
          <w:cantSplit/>
          <w:trHeight w:val="293"/>
          <w:jc w:val="center"/>
        </w:trPr>
        <w:tc>
          <w:tcPr>
            <w:tcW w:w="0" w:type="auto"/>
            <w:gridSpan w:val="4"/>
            <w:shd w:val="clear" w:color="auto" w:fill="auto"/>
            <w:tcMar>
              <w:left w:w="60" w:type="dxa"/>
              <w:right w:w="60" w:type="dxa"/>
            </w:tcMar>
            <w:vAlign w:val="center"/>
          </w:tcPr>
          <w:p w14:paraId="20C9F091" w14:textId="77777777" w:rsidR="00576FE1" w:rsidRPr="00201B8E" w:rsidRDefault="00576FE1" w:rsidP="00115CD6">
            <w:pPr>
              <w:keepNext/>
              <w:adjustRightInd w:val="0"/>
              <w:spacing w:before="40" w:after="40" w:line="240" w:lineRule="auto"/>
              <w:rPr>
                <w:b/>
                <w:bCs/>
                <w:color w:val="000000"/>
                <w:sz w:val="18"/>
                <w:szCs w:val="18"/>
              </w:rPr>
            </w:pPr>
            <w:r w:rsidRPr="00201B8E">
              <w:rPr>
                <w:b/>
                <w:bCs/>
                <w:color w:val="000000"/>
                <w:sz w:val="18"/>
                <w:szCs w:val="18"/>
              </w:rPr>
              <w:t>Prior Endocrine Therapy</w:t>
            </w:r>
          </w:p>
        </w:tc>
      </w:tr>
      <w:tr w:rsidR="00576FE1" w:rsidRPr="00201B8E" w14:paraId="3307F628" w14:textId="77777777" w:rsidTr="00115CD6">
        <w:trPr>
          <w:cantSplit/>
          <w:trHeight w:val="280"/>
          <w:jc w:val="center"/>
        </w:trPr>
        <w:tc>
          <w:tcPr>
            <w:tcW w:w="2119" w:type="dxa"/>
            <w:shd w:val="clear" w:color="auto" w:fill="auto"/>
            <w:tcMar>
              <w:left w:w="60" w:type="dxa"/>
              <w:right w:w="60" w:type="dxa"/>
            </w:tcMar>
            <w:vAlign w:val="center"/>
          </w:tcPr>
          <w:p w14:paraId="778F10DF"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Adjuvant</w:t>
            </w:r>
          </w:p>
        </w:tc>
        <w:tc>
          <w:tcPr>
            <w:tcW w:w="2268" w:type="dxa"/>
            <w:shd w:val="clear" w:color="auto" w:fill="auto"/>
            <w:tcMar>
              <w:left w:w="60" w:type="dxa"/>
              <w:right w:w="60" w:type="dxa"/>
            </w:tcMar>
            <w:vAlign w:val="center"/>
          </w:tcPr>
          <w:p w14:paraId="4687358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116 (47.7%)</w:t>
            </w:r>
          </w:p>
        </w:tc>
        <w:tc>
          <w:tcPr>
            <w:tcW w:w="2119" w:type="dxa"/>
            <w:shd w:val="clear" w:color="auto" w:fill="auto"/>
            <w:tcMar>
              <w:left w:w="60" w:type="dxa"/>
              <w:right w:w="60" w:type="dxa"/>
            </w:tcMar>
            <w:vAlign w:val="center"/>
          </w:tcPr>
          <w:p w14:paraId="4C1D088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117 (48.1%)</w:t>
            </w:r>
          </w:p>
        </w:tc>
        <w:tc>
          <w:tcPr>
            <w:tcW w:w="1767" w:type="dxa"/>
            <w:shd w:val="clear" w:color="auto" w:fill="auto"/>
            <w:tcMar>
              <w:left w:w="60" w:type="dxa"/>
              <w:right w:w="60" w:type="dxa"/>
            </w:tcMar>
            <w:vAlign w:val="center"/>
          </w:tcPr>
          <w:p w14:paraId="10DE163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233 (47.9%)</w:t>
            </w:r>
          </w:p>
        </w:tc>
      </w:tr>
      <w:tr w:rsidR="00576FE1" w:rsidRPr="00201B8E" w14:paraId="31A7DE4E" w14:textId="77777777" w:rsidTr="00115CD6">
        <w:trPr>
          <w:cantSplit/>
          <w:trHeight w:val="293"/>
          <w:jc w:val="center"/>
        </w:trPr>
        <w:tc>
          <w:tcPr>
            <w:tcW w:w="2119" w:type="dxa"/>
            <w:shd w:val="clear" w:color="auto" w:fill="auto"/>
            <w:tcMar>
              <w:left w:w="60" w:type="dxa"/>
              <w:right w:w="60" w:type="dxa"/>
            </w:tcMar>
            <w:vAlign w:val="center"/>
          </w:tcPr>
          <w:p w14:paraId="537B27C2"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Neoadjuvant</w:t>
            </w:r>
          </w:p>
        </w:tc>
        <w:tc>
          <w:tcPr>
            <w:tcW w:w="2268" w:type="dxa"/>
            <w:shd w:val="clear" w:color="auto" w:fill="auto"/>
            <w:tcMar>
              <w:left w:w="60" w:type="dxa"/>
              <w:right w:w="60" w:type="dxa"/>
            </w:tcMar>
            <w:vAlign w:val="center"/>
          </w:tcPr>
          <w:p w14:paraId="36B12567"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0 (0.0%)</w:t>
            </w:r>
          </w:p>
        </w:tc>
        <w:tc>
          <w:tcPr>
            <w:tcW w:w="2119" w:type="dxa"/>
            <w:shd w:val="clear" w:color="auto" w:fill="auto"/>
            <w:tcMar>
              <w:left w:w="60" w:type="dxa"/>
              <w:right w:w="60" w:type="dxa"/>
            </w:tcMar>
            <w:vAlign w:val="center"/>
          </w:tcPr>
          <w:p w14:paraId="44F4B7C9"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5 (2.1%)</w:t>
            </w:r>
          </w:p>
        </w:tc>
        <w:tc>
          <w:tcPr>
            <w:tcW w:w="1767" w:type="dxa"/>
            <w:shd w:val="clear" w:color="auto" w:fill="auto"/>
            <w:tcMar>
              <w:left w:w="60" w:type="dxa"/>
              <w:right w:w="60" w:type="dxa"/>
            </w:tcMar>
            <w:vAlign w:val="center"/>
          </w:tcPr>
          <w:p w14:paraId="7B3B6BEA"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5 (1.0%)</w:t>
            </w:r>
          </w:p>
        </w:tc>
      </w:tr>
      <w:tr w:rsidR="00576FE1" w:rsidRPr="008E7B22" w14:paraId="21952968" w14:textId="77777777" w:rsidTr="00115CD6">
        <w:trPr>
          <w:cantSplit/>
          <w:trHeight w:val="280"/>
          <w:jc w:val="center"/>
        </w:trPr>
        <w:tc>
          <w:tcPr>
            <w:tcW w:w="0" w:type="auto"/>
            <w:gridSpan w:val="4"/>
            <w:shd w:val="clear" w:color="auto" w:fill="auto"/>
            <w:tcMar>
              <w:left w:w="60" w:type="dxa"/>
              <w:right w:w="60" w:type="dxa"/>
            </w:tcMar>
            <w:vAlign w:val="center"/>
          </w:tcPr>
          <w:p w14:paraId="10081833" w14:textId="77777777" w:rsidR="00576FE1" w:rsidRPr="00201B8E" w:rsidRDefault="00576FE1" w:rsidP="00115CD6">
            <w:pPr>
              <w:keepNext/>
              <w:adjustRightInd w:val="0"/>
              <w:spacing w:before="40" w:after="40" w:line="240" w:lineRule="auto"/>
              <w:rPr>
                <w:b/>
                <w:bCs/>
                <w:color w:val="000000"/>
                <w:sz w:val="18"/>
                <w:szCs w:val="18"/>
                <w:lang w:val="en-GB"/>
              </w:rPr>
            </w:pPr>
            <w:r w:rsidRPr="00201B8E">
              <w:rPr>
                <w:b/>
                <w:bCs/>
                <w:color w:val="000000"/>
                <w:sz w:val="18"/>
                <w:szCs w:val="18"/>
                <w:lang w:val="en-GB"/>
              </w:rPr>
              <w:t>Neo(adjuvant) Prior Endocrine Therapy Substance</w:t>
            </w:r>
          </w:p>
        </w:tc>
      </w:tr>
      <w:tr w:rsidR="00576FE1" w:rsidRPr="00201B8E" w14:paraId="6D351B36" w14:textId="77777777" w:rsidTr="00115CD6">
        <w:trPr>
          <w:cantSplit/>
          <w:trHeight w:val="293"/>
          <w:jc w:val="center"/>
        </w:trPr>
        <w:tc>
          <w:tcPr>
            <w:tcW w:w="2119" w:type="dxa"/>
            <w:shd w:val="clear" w:color="auto" w:fill="auto"/>
            <w:tcMar>
              <w:left w:w="60" w:type="dxa"/>
              <w:right w:w="60" w:type="dxa"/>
            </w:tcMar>
            <w:vAlign w:val="center"/>
          </w:tcPr>
          <w:p w14:paraId="72623C31"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lang w:val="en-GB"/>
              </w:rPr>
              <w:t xml:space="preserve">    </w:t>
            </w:r>
            <w:r w:rsidRPr="00201B8E">
              <w:rPr>
                <w:color w:val="000000"/>
                <w:sz w:val="18"/>
                <w:szCs w:val="18"/>
              </w:rPr>
              <w:t>Tamoxifen</w:t>
            </w:r>
          </w:p>
        </w:tc>
        <w:tc>
          <w:tcPr>
            <w:tcW w:w="2268" w:type="dxa"/>
            <w:shd w:val="clear" w:color="auto" w:fill="auto"/>
            <w:tcMar>
              <w:left w:w="60" w:type="dxa"/>
              <w:right w:w="60" w:type="dxa"/>
            </w:tcMar>
            <w:vAlign w:val="center"/>
          </w:tcPr>
          <w:p w14:paraId="3DAC139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87 (35.8%)</w:t>
            </w:r>
          </w:p>
        </w:tc>
        <w:tc>
          <w:tcPr>
            <w:tcW w:w="2119" w:type="dxa"/>
            <w:shd w:val="clear" w:color="auto" w:fill="auto"/>
            <w:tcMar>
              <w:left w:w="60" w:type="dxa"/>
              <w:right w:w="60" w:type="dxa"/>
            </w:tcMar>
            <w:vAlign w:val="center"/>
          </w:tcPr>
          <w:p w14:paraId="0D78885C"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90 (37.0%)</w:t>
            </w:r>
          </w:p>
        </w:tc>
        <w:tc>
          <w:tcPr>
            <w:tcW w:w="1767" w:type="dxa"/>
            <w:shd w:val="clear" w:color="auto" w:fill="auto"/>
            <w:tcMar>
              <w:left w:w="60" w:type="dxa"/>
              <w:right w:w="60" w:type="dxa"/>
            </w:tcMar>
            <w:vAlign w:val="center"/>
          </w:tcPr>
          <w:p w14:paraId="6413F89A"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177 (36.4%)</w:t>
            </w:r>
          </w:p>
        </w:tc>
      </w:tr>
      <w:tr w:rsidR="00576FE1" w:rsidRPr="00201B8E" w14:paraId="418EAB54" w14:textId="77777777" w:rsidTr="00115CD6">
        <w:trPr>
          <w:cantSplit/>
          <w:trHeight w:val="293"/>
          <w:jc w:val="center"/>
        </w:trPr>
        <w:tc>
          <w:tcPr>
            <w:tcW w:w="2119" w:type="dxa"/>
            <w:shd w:val="clear" w:color="auto" w:fill="auto"/>
            <w:tcMar>
              <w:left w:w="60" w:type="dxa"/>
              <w:right w:w="60" w:type="dxa"/>
            </w:tcMar>
            <w:vAlign w:val="center"/>
          </w:tcPr>
          <w:p w14:paraId="2961DCB5"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Letrozole</w:t>
            </w:r>
          </w:p>
        </w:tc>
        <w:tc>
          <w:tcPr>
            <w:tcW w:w="2268" w:type="dxa"/>
            <w:shd w:val="clear" w:color="auto" w:fill="auto"/>
            <w:tcMar>
              <w:left w:w="60" w:type="dxa"/>
              <w:right w:w="60" w:type="dxa"/>
            </w:tcMar>
            <w:vAlign w:val="center"/>
          </w:tcPr>
          <w:p w14:paraId="2A5CC96C"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37 (15.2%)</w:t>
            </w:r>
          </w:p>
        </w:tc>
        <w:tc>
          <w:tcPr>
            <w:tcW w:w="2119" w:type="dxa"/>
            <w:shd w:val="clear" w:color="auto" w:fill="auto"/>
            <w:tcMar>
              <w:left w:w="60" w:type="dxa"/>
              <w:right w:w="60" w:type="dxa"/>
            </w:tcMar>
            <w:vAlign w:val="center"/>
          </w:tcPr>
          <w:p w14:paraId="44A7FA8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24 (9.9%)</w:t>
            </w:r>
          </w:p>
        </w:tc>
        <w:tc>
          <w:tcPr>
            <w:tcW w:w="1767" w:type="dxa"/>
            <w:shd w:val="clear" w:color="auto" w:fill="auto"/>
            <w:tcMar>
              <w:left w:w="60" w:type="dxa"/>
              <w:right w:w="60" w:type="dxa"/>
            </w:tcMar>
            <w:vAlign w:val="center"/>
          </w:tcPr>
          <w:p w14:paraId="7B42825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61 (12.6%)</w:t>
            </w:r>
          </w:p>
        </w:tc>
      </w:tr>
      <w:tr w:rsidR="00576FE1" w:rsidRPr="00201B8E" w14:paraId="6595E508" w14:textId="77777777" w:rsidTr="00115CD6">
        <w:trPr>
          <w:cantSplit/>
          <w:trHeight w:val="280"/>
          <w:jc w:val="center"/>
        </w:trPr>
        <w:tc>
          <w:tcPr>
            <w:tcW w:w="2119" w:type="dxa"/>
            <w:shd w:val="clear" w:color="auto" w:fill="auto"/>
            <w:tcMar>
              <w:left w:w="60" w:type="dxa"/>
              <w:right w:w="60" w:type="dxa"/>
            </w:tcMar>
            <w:vAlign w:val="center"/>
          </w:tcPr>
          <w:p w14:paraId="194F950D"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Anastrozole</w:t>
            </w:r>
          </w:p>
        </w:tc>
        <w:tc>
          <w:tcPr>
            <w:tcW w:w="2268" w:type="dxa"/>
            <w:shd w:val="clear" w:color="auto" w:fill="auto"/>
            <w:tcMar>
              <w:left w:w="60" w:type="dxa"/>
              <w:right w:w="60" w:type="dxa"/>
            </w:tcMar>
            <w:vAlign w:val="center"/>
          </w:tcPr>
          <w:p w14:paraId="1D15DDE7"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22 (9.1%)</w:t>
            </w:r>
          </w:p>
        </w:tc>
        <w:tc>
          <w:tcPr>
            <w:tcW w:w="2119" w:type="dxa"/>
            <w:shd w:val="clear" w:color="auto" w:fill="auto"/>
            <w:tcMar>
              <w:left w:w="60" w:type="dxa"/>
              <w:right w:w="60" w:type="dxa"/>
            </w:tcMar>
            <w:vAlign w:val="center"/>
          </w:tcPr>
          <w:p w14:paraId="6AEEBA0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16 (6.6%)</w:t>
            </w:r>
          </w:p>
        </w:tc>
        <w:tc>
          <w:tcPr>
            <w:tcW w:w="1767" w:type="dxa"/>
            <w:shd w:val="clear" w:color="auto" w:fill="auto"/>
            <w:tcMar>
              <w:left w:w="60" w:type="dxa"/>
              <w:right w:w="60" w:type="dxa"/>
            </w:tcMar>
            <w:vAlign w:val="center"/>
          </w:tcPr>
          <w:p w14:paraId="6362EFC9"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38 (7.8%)</w:t>
            </w:r>
          </w:p>
        </w:tc>
      </w:tr>
      <w:tr w:rsidR="00576FE1" w:rsidRPr="00201B8E" w14:paraId="5C7F103D" w14:textId="77777777" w:rsidTr="00115CD6">
        <w:trPr>
          <w:cantSplit/>
          <w:trHeight w:val="293"/>
          <w:jc w:val="center"/>
        </w:trPr>
        <w:tc>
          <w:tcPr>
            <w:tcW w:w="2119" w:type="dxa"/>
            <w:shd w:val="clear" w:color="auto" w:fill="auto"/>
            <w:tcMar>
              <w:left w:w="60" w:type="dxa"/>
              <w:right w:w="60" w:type="dxa"/>
            </w:tcMar>
            <w:vAlign w:val="center"/>
          </w:tcPr>
          <w:p w14:paraId="42805D24"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Exemestane</w:t>
            </w:r>
          </w:p>
        </w:tc>
        <w:tc>
          <w:tcPr>
            <w:tcW w:w="2268" w:type="dxa"/>
            <w:shd w:val="clear" w:color="auto" w:fill="auto"/>
            <w:tcMar>
              <w:left w:w="60" w:type="dxa"/>
              <w:right w:w="60" w:type="dxa"/>
            </w:tcMar>
            <w:vAlign w:val="center"/>
          </w:tcPr>
          <w:p w14:paraId="518203D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10 (4.1%)</w:t>
            </w:r>
          </w:p>
        </w:tc>
        <w:tc>
          <w:tcPr>
            <w:tcW w:w="2119" w:type="dxa"/>
            <w:shd w:val="clear" w:color="auto" w:fill="auto"/>
            <w:tcMar>
              <w:left w:w="60" w:type="dxa"/>
              <w:right w:w="60" w:type="dxa"/>
            </w:tcMar>
            <w:vAlign w:val="center"/>
          </w:tcPr>
          <w:p w14:paraId="03DB5B0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13 (5.3%)</w:t>
            </w:r>
          </w:p>
        </w:tc>
        <w:tc>
          <w:tcPr>
            <w:tcW w:w="1767" w:type="dxa"/>
            <w:shd w:val="clear" w:color="auto" w:fill="auto"/>
            <w:tcMar>
              <w:left w:w="60" w:type="dxa"/>
              <w:right w:w="60" w:type="dxa"/>
            </w:tcMar>
            <w:vAlign w:val="center"/>
          </w:tcPr>
          <w:p w14:paraId="113FED4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23 (4.7%)</w:t>
            </w:r>
          </w:p>
        </w:tc>
      </w:tr>
      <w:tr w:rsidR="00576FE1" w:rsidRPr="00201B8E" w14:paraId="799A8E22" w14:textId="77777777" w:rsidTr="00115CD6">
        <w:trPr>
          <w:cantSplit/>
          <w:trHeight w:val="280"/>
          <w:jc w:val="center"/>
        </w:trPr>
        <w:tc>
          <w:tcPr>
            <w:tcW w:w="2119" w:type="dxa"/>
            <w:shd w:val="clear" w:color="auto" w:fill="auto"/>
            <w:tcMar>
              <w:left w:w="60" w:type="dxa"/>
              <w:right w:w="60" w:type="dxa"/>
            </w:tcMar>
            <w:vAlign w:val="center"/>
          </w:tcPr>
          <w:p w14:paraId="119EE4A1"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w:t>
            </w:r>
            <w:proofErr w:type="spellStart"/>
            <w:r w:rsidRPr="00201B8E">
              <w:rPr>
                <w:color w:val="000000"/>
                <w:sz w:val="18"/>
                <w:szCs w:val="18"/>
              </w:rPr>
              <w:t>Phenglutarimide</w:t>
            </w:r>
            <w:proofErr w:type="spellEnd"/>
          </w:p>
        </w:tc>
        <w:tc>
          <w:tcPr>
            <w:tcW w:w="2268" w:type="dxa"/>
            <w:shd w:val="clear" w:color="auto" w:fill="auto"/>
            <w:tcMar>
              <w:left w:w="60" w:type="dxa"/>
              <w:right w:w="60" w:type="dxa"/>
            </w:tcMar>
            <w:vAlign w:val="center"/>
          </w:tcPr>
          <w:p w14:paraId="17B5C09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8 (3.3%)</w:t>
            </w:r>
          </w:p>
        </w:tc>
        <w:tc>
          <w:tcPr>
            <w:tcW w:w="2119" w:type="dxa"/>
            <w:shd w:val="clear" w:color="auto" w:fill="auto"/>
            <w:tcMar>
              <w:left w:w="60" w:type="dxa"/>
              <w:right w:w="60" w:type="dxa"/>
            </w:tcMar>
            <w:vAlign w:val="center"/>
          </w:tcPr>
          <w:p w14:paraId="32AB35D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8 (3.3%)</w:t>
            </w:r>
          </w:p>
        </w:tc>
        <w:tc>
          <w:tcPr>
            <w:tcW w:w="1767" w:type="dxa"/>
            <w:shd w:val="clear" w:color="auto" w:fill="auto"/>
            <w:tcMar>
              <w:left w:w="60" w:type="dxa"/>
              <w:right w:w="60" w:type="dxa"/>
            </w:tcMar>
            <w:vAlign w:val="center"/>
          </w:tcPr>
          <w:p w14:paraId="6D3DDED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16 (3.3%)</w:t>
            </w:r>
          </w:p>
        </w:tc>
      </w:tr>
      <w:tr w:rsidR="00576FE1" w:rsidRPr="00201B8E" w14:paraId="443149D2" w14:textId="77777777" w:rsidTr="00115CD6">
        <w:trPr>
          <w:cantSplit/>
          <w:trHeight w:val="293"/>
          <w:jc w:val="center"/>
        </w:trPr>
        <w:tc>
          <w:tcPr>
            <w:tcW w:w="2119" w:type="dxa"/>
            <w:shd w:val="clear" w:color="auto" w:fill="auto"/>
            <w:tcMar>
              <w:left w:w="60" w:type="dxa"/>
              <w:right w:w="60" w:type="dxa"/>
            </w:tcMar>
            <w:vAlign w:val="center"/>
          </w:tcPr>
          <w:p w14:paraId="394B98D3"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w:t>
            </w:r>
            <w:proofErr w:type="spellStart"/>
            <w:r w:rsidRPr="00201B8E">
              <w:rPr>
                <w:color w:val="000000"/>
                <w:sz w:val="18"/>
                <w:szCs w:val="18"/>
              </w:rPr>
              <w:t>Goserelin</w:t>
            </w:r>
            <w:proofErr w:type="spellEnd"/>
          </w:p>
        </w:tc>
        <w:tc>
          <w:tcPr>
            <w:tcW w:w="2268" w:type="dxa"/>
            <w:shd w:val="clear" w:color="auto" w:fill="auto"/>
            <w:tcMar>
              <w:left w:w="60" w:type="dxa"/>
              <w:right w:w="60" w:type="dxa"/>
            </w:tcMar>
            <w:vAlign w:val="center"/>
          </w:tcPr>
          <w:p w14:paraId="2432B4D7"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5 (2.1%)</w:t>
            </w:r>
          </w:p>
        </w:tc>
        <w:tc>
          <w:tcPr>
            <w:tcW w:w="2119" w:type="dxa"/>
            <w:shd w:val="clear" w:color="auto" w:fill="auto"/>
            <w:tcMar>
              <w:left w:w="60" w:type="dxa"/>
              <w:right w:w="60" w:type="dxa"/>
            </w:tcMar>
            <w:vAlign w:val="center"/>
          </w:tcPr>
          <w:p w14:paraId="48505BF2"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7 (2.9%)</w:t>
            </w:r>
          </w:p>
        </w:tc>
        <w:tc>
          <w:tcPr>
            <w:tcW w:w="1767" w:type="dxa"/>
            <w:shd w:val="clear" w:color="auto" w:fill="auto"/>
            <w:tcMar>
              <w:left w:w="60" w:type="dxa"/>
              <w:right w:w="60" w:type="dxa"/>
            </w:tcMar>
            <w:vAlign w:val="center"/>
          </w:tcPr>
          <w:p w14:paraId="4DE4237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12 (2.5%)</w:t>
            </w:r>
          </w:p>
        </w:tc>
      </w:tr>
      <w:tr w:rsidR="00576FE1" w:rsidRPr="00201B8E" w14:paraId="19B303D0" w14:textId="77777777" w:rsidTr="00115CD6">
        <w:trPr>
          <w:cantSplit/>
          <w:trHeight w:val="280"/>
          <w:jc w:val="center"/>
        </w:trPr>
        <w:tc>
          <w:tcPr>
            <w:tcW w:w="2119" w:type="dxa"/>
            <w:shd w:val="clear" w:color="auto" w:fill="auto"/>
            <w:tcMar>
              <w:left w:w="60" w:type="dxa"/>
              <w:right w:w="60" w:type="dxa"/>
            </w:tcMar>
            <w:vAlign w:val="center"/>
          </w:tcPr>
          <w:p w14:paraId="31E9E2F8"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w:t>
            </w:r>
            <w:r>
              <w:rPr>
                <w:color w:val="000000"/>
                <w:sz w:val="18"/>
                <w:szCs w:val="18"/>
              </w:rPr>
              <w:t xml:space="preserve">Other </w:t>
            </w:r>
          </w:p>
        </w:tc>
        <w:tc>
          <w:tcPr>
            <w:tcW w:w="2268" w:type="dxa"/>
            <w:shd w:val="clear" w:color="auto" w:fill="auto"/>
            <w:tcMar>
              <w:left w:w="60" w:type="dxa"/>
              <w:right w:w="60" w:type="dxa"/>
            </w:tcMar>
            <w:vAlign w:val="center"/>
          </w:tcPr>
          <w:p w14:paraId="74B50A39" w14:textId="77777777" w:rsidR="00576FE1" w:rsidRPr="00201B8E" w:rsidRDefault="00576FE1" w:rsidP="00115CD6">
            <w:pPr>
              <w:keepNext/>
              <w:adjustRightInd w:val="0"/>
              <w:spacing w:before="40" w:after="40" w:line="240" w:lineRule="auto"/>
              <w:jc w:val="center"/>
              <w:rPr>
                <w:color w:val="000000"/>
                <w:sz w:val="18"/>
                <w:szCs w:val="18"/>
              </w:rPr>
            </w:pPr>
            <w:r>
              <w:rPr>
                <w:color w:val="000000"/>
                <w:sz w:val="18"/>
                <w:szCs w:val="18"/>
              </w:rPr>
              <w:t xml:space="preserve">3 </w:t>
            </w:r>
            <w:r w:rsidRPr="00201B8E">
              <w:rPr>
                <w:color w:val="000000"/>
                <w:sz w:val="18"/>
                <w:szCs w:val="18"/>
              </w:rPr>
              <w:t>(</w:t>
            </w:r>
            <w:r>
              <w:rPr>
                <w:color w:val="000000"/>
                <w:sz w:val="18"/>
                <w:szCs w:val="18"/>
              </w:rPr>
              <w:t>1</w:t>
            </w:r>
            <w:r w:rsidRPr="00201B8E">
              <w:rPr>
                <w:color w:val="000000"/>
                <w:sz w:val="18"/>
                <w:szCs w:val="18"/>
              </w:rPr>
              <w:t>.</w:t>
            </w:r>
            <w:r>
              <w:rPr>
                <w:color w:val="000000"/>
                <w:sz w:val="18"/>
                <w:szCs w:val="18"/>
              </w:rPr>
              <w:t>2</w:t>
            </w:r>
            <w:r w:rsidRPr="00201B8E">
              <w:rPr>
                <w:color w:val="000000"/>
                <w:sz w:val="18"/>
                <w:szCs w:val="18"/>
              </w:rPr>
              <w:t>%)</w:t>
            </w:r>
          </w:p>
        </w:tc>
        <w:tc>
          <w:tcPr>
            <w:tcW w:w="2119" w:type="dxa"/>
            <w:shd w:val="clear" w:color="auto" w:fill="auto"/>
            <w:tcMar>
              <w:left w:w="60" w:type="dxa"/>
              <w:right w:w="60" w:type="dxa"/>
            </w:tcMar>
            <w:vAlign w:val="center"/>
          </w:tcPr>
          <w:p w14:paraId="60562D82" w14:textId="77777777" w:rsidR="00576FE1" w:rsidRPr="00201B8E" w:rsidRDefault="00576FE1" w:rsidP="00115CD6">
            <w:pPr>
              <w:keepNext/>
              <w:adjustRightInd w:val="0"/>
              <w:spacing w:before="40" w:after="40" w:line="240" w:lineRule="auto"/>
              <w:jc w:val="center"/>
              <w:rPr>
                <w:color w:val="000000"/>
                <w:sz w:val="18"/>
                <w:szCs w:val="18"/>
              </w:rPr>
            </w:pPr>
            <w:r>
              <w:rPr>
                <w:color w:val="000000"/>
                <w:sz w:val="18"/>
                <w:szCs w:val="18"/>
              </w:rPr>
              <w:t xml:space="preserve">4 </w:t>
            </w:r>
            <w:r w:rsidRPr="00201B8E">
              <w:rPr>
                <w:color w:val="000000"/>
                <w:sz w:val="18"/>
                <w:szCs w:val="18"/>
              </w:rPr>
              <w:t>(</w:t>
            </w:r>
            <w:r>
              <w:rPr>
                <w:color w:val="000000"/>
                <w:sz w:val="18"/>
                <w:szCs w:val="18"/>
              </w:rPr>
              <w:t>1</w:t>
            </w:r>
            <w:r w:rsidRPr="00201B8E">
              <w:rPr>
                <w:color w:val="000000"/>
                <w:sz w:val="18"/>
                <w:szCs w:val="18"/>
              </w:rPr>
              <w:t>.</w:t>
            </w:r>
            <w:r>
              <w:rPr>
                <w:color w:val="000000"/>
                <w:sz w:val="18"/>
                <w:szCs w:val="18"/>
              </w:rPr>
              <w:t>6</w:t>
            </w:r>
            <w:r w:rsidRPr="00201B8E">
              <w:rPr>
                <w:color w:val="000000"/>
                <w:sz w:val="18"/>
                <w:szCs w:val="18"/>
              </w:rPr>
              <w:t>%)</w:t>
            </w:r>
          </w:p>
        </w:tc>
        <w:tc>
          <w:tcPr>
            <w:tcW w:w="1767" w:type="dxa"/>
            <w:shd w:val="clear" w:color="auto" w:fill="auto"/>
            <w:tcMar>
              <w:left w:w="60" w:type="dxa"/>
              <w:right w:w="60" w:type="dxa"/>
            </w:tcMar>
            <w:vAlign w:val="center"/>
          </w:tcPr>
          <w:p w14:paraId="651CB75B" w14:textId="77777777" w:rsidR="00576FE1" w:rsidRPr="00201B8E" w:rsidRDefault="00576FE1" w:rsidP="00115CD6">
            <w:pPr>
              <w:keepNext/>
              <w:adjustRightInd w:val="0"/>
              <w:spacing w:before="40" w:after="40" w:line="240" w:lineRule="auto"/>
              <w:jc w:val="center"/>
              <w:rPr>
                <w:color w:val="000000"/>
                <w:sz w:val="18"/>
                <w:szCs w:val="18"/>
              </w:rPr>
            </w:pPr>
            <w:r>
              <w:rPr>
                <w:color w:val="000000"/>
                <w:sz w:val="18"/>
                <w:szCs w:val="18"/>
              </w:rPr>
              <w:t>7</w:t>
            </w:r>
            <w:r w:rsidRPr="00201B8E">
              <w:rPr>
                <w:color w:val="000000"/>
                <w:sz w:val="18"/>
                <w:szCs w:val="18"/>
              </w:rPr>
              <w:t xml:space="preserve"> (</w:t>
            </w:r>
            <w:r>
              <w:rPr>
                <w:color w:val="000000"/>
                <w:sz w:val="18"/>
                <w:szCs w:val="18"/>
              </w:rPr>
              <w:t>1</w:t>
            </w:r>
            <w:r w:rsidRPr="00201B8E">
              <w:rPr>
                <w:color w:val="000000"/>
                <w:sz w:val="18"/>
                <w:szCs w:val="18"/>
              </w:rPr>
              <w:t>.4%)</w:t>
            </w:r>
          </w:p>
        </w:tc>
      </w:tr>
      <w:tr w:rsidR="00576FE1" w:rsidRPr="008E7B22" w14:paraId="14B3C314" w14:textId="77777777" w:rsidTr="00115CD6">
        <w:trPr>
          <w:cantSplit/>
          <w:trHeight w:val="293"/>
          <w:jc w:val="center"/>
        </w:trPr>
        <w:tc>
          <w:tcPr>
            <w:tcW w:w="0" w:type="auto"/>
            <w:gridSpan w:val="4"/>
            <w:shd w:val="clear" w:color="auto" w:fill="auto"/>
            <w:tcMar>
              <w:left w:w="60" w:type="dxa"/>
              <w:right w:w="60" w:type="dxa"/>
            </w:tcMar>
            <w:vAlign w:val="center"/>
          </w:tcPr>
          <w:p w14:paraId="03A60FAB" w14:textId="77777777" w:rsidR="00576FE1" w:rsidRPr="00201B8E" w:rsidRDefault="00576FE1" w:rsidP="00115CD6">
            <w:pPr>
              <w:keepNext/>
              <w:adjustRightInd w:val="0"/>
              <w:spacing w:before="40" w:after="40" w:line="240" w:lineRule="auto"/>
              <w:rPr>
                <w:b/>
                <w:bCs/>
                <w:color w:val="000000"/>
                <w:sz w:val="18"/>
                <w:szCs w:val="18"/>
                <w:lang w:val="en-GB"/>
              </w:rPr>
            </w:pPr>
            <w:r w:rsidRPr="00201B8E">
              <w:rPr>
                <w:b/>
                <w:bCs/>
                <w:color w:val="000000"/>
                <w:sz w:val="18"/>
                <w:szCs w:val="18"/>
                <w:lang w:val="en-GB"/>
              </w:rPr>
              <w:t>Neo(adjuvant) Prior Endocrine Therapy Tamoxifen and/or Aromatase Inhibitors</w:t>
            </w:r>
          </w:p>
        </w:tc>
      </w:tr>
      <w:tr w:rsidR="00576FE1" w:rsidRPr="00201B8E" w14:paraId="17DAE40D" w14:textId="77777777" w:rsidTr="00115CD6">
        <w:trPr>
          <w:cantSplit/>
          <w:trHeight w:val="280"/>
          <w:jc w:val="center"/>
        </w:trPr>
        <w:tc>
          <w:tcPr>
            <w:tcW w:w="2119" w:type="dxa"/>
            <w:shd w:val="clear" w:color="auto" w:fill="auto"/>
            <w:tcMar>
              <w:left w:w="60" w:type="dxa"/>
              <w:right w:w="60" w:type="dxa"/>
            </w:tcMar>
            <w:vAlign w:val="center"/>
          </w:tcPr>
          <w:p w14:paraId="4F4F9355"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lang w:val="en-GB"/>
              </w:rPr>
              <w:t xml:space="preserve">    </w:t>
            </w:r>
            <w:r w:rsidRPr="00201B8E">
              <w:rPr>
                <w:color w:val="000000"/>
                <w:sz w:val="18"/>
                <w:szCs w:val="18"/>
              </w:rPr>
              <w:t>Tamoxifen only</w:t>
            </w:r>
          </w:p>
        </w:tc>
        <w:tc>
          <w:tcPr>
            <w:tcW w:w="2268" w:type="dxa"/>
            <w:shd w:val="clear" w:color="auto" w:fill="auto"/>
            <w:tcMar>
              <w:left w:w="60" w:type="dxa"/>
              <w:right w:w="60" w:type="dxa"/>
            </w:tcMar>
            <w:vAlign w:val="center"/>
          </w:tcPr>
          <w:p w14:paraId="3AD3FF2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49 (20.2%)</w:t>
            </w:r>
          </w:p>
        </w:tc>
        <w:tc>
          <w:tcPr>
            <w:tcW w:w="2119" w:type="dxa"/>
            <w:shd w:val="clear" w:color="auto" w:fill="auto"/>
            <w:tcMar>
              <w:left w:w="60" w:type="dxa"/>
              <w:right w:w="60" w:type="dxa"/>
            </w:tcMar>
            <w:vAlign w:val="center"/>
          </w:tcPr>
          <w:p w14:paraId="71EFEB0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59 (24.3%)</w:t>
            </w:r>
          </w:p>
        </w:tc>
        <w:tc>
          <w:tcPr>
            <w:tcW w:w="1767" w:type="dxa"/>
            <w:shd w:val="clear" w:color="auto" w:fill="auto"/>
            <w:tcMar>
              <w:left w:w="60" w:type="dxa"/>
              <w:right w:w="60" w:type="dxa"/>
            </w:tcMar>
            <w:vAlign w:val="center"/>
          </w:tcPr>
          <w:p w14:paraId="1C19764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108 (22.2%)</w:t>
            </w:r>
          </w:p>
        </w:tc>
      </w:tr>
      <w:tr w:rsidR="00576FE1" w:rsidRPr="00201B8E" w14:paraId="174DA34E" w14:textId="77777777" w:rsidTr="00115CD6">
        <w:trPr>
          <w:cantSplit/>
          <w:trHeight w:val="493"/>
          <w:jc w:val="center"/>
        </w:trPr>
        <w:tc>
          <w:tcPr>
            <w:tcW w:w="2119" w:type="dxa"/>
            <w:shd w:val="clear" w:color="auto" w:fill="auto"/>
            <w:tcMar>
              <w:left w:w="60" w:type="dxa"/>
              <w:right w:w="60" w:type="dxa"/>
            </w:tcMar>
            <w:vAlign w:val="center"/>
          </w:tcPr>
          <w:p w14:paraId="436B75ED"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Aromatase inhibitors </w:t>
            </w:r>
            <w:r>
              <w:rPr>
                <w:color w:val="000000"/>
                <w:sz w:val="18"/>
                <w:szCs w:val="18"/>
              </w:rPr>
              <w:t xml:space="preserve">   </w:t>
            </w:r>
            <w:r w:rsidRPr="00201B8E">
              <w:rPr>
                <w:color w:val="000000"/>
                <w:sz w:val="18"/>
                <w:szCs w:val="18"/>
              </w:rPr>
              <w:t>only</w:t>
            </w:r>
          </w:p>
        </w:tc>
        <w:tc>
          <w:tcPr>
            <w:tcW w:w="2268" w:type="dxa"/>
            <w:shd w:val="clear" w:color="auto" w:fill="auto"/>
            <w:tcMar>
              <w:left w:w="60" w:type="dxa"/>
              <w:right w:w="60" w:type="dxa"/>
            </w:tcMar>
            <w:vAlign w:val="center"/>
          </w:tcPr>
          <w:p w14:paraId="0C97EF9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26 (10.7%)</w:t>
            </w:r>
          </w:p>
        </w:tc>
        <w:tc>
          <w:tcPr>
            <w:tcW w:w="2119" w:type="dxa"/>
            <w:shd w:val="clear" w:color="auto" w:fill="auto"/>
            <w:tcMar>
              <w:left w:w="60" w:type="dxa"/>
              <w:right w:w="60" w:type="dxa"/>
            </w:tcMar>
            <w:vAlign w:val="center"/>
          </w:tcPr>
          <w:p w14:paraId="3BCE9226"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20 (8.2%)</w:t>
            </w:r>
          </w:p>
        </w:tc>
        <w:tc>
          <w:tcPr>
            <w:tcW w:w="1767" w:type="dxa"/>
            <w:shd w:val="clear" w:color="auto" w:fill="auto"/>
            <w:tcMar>
              <w:left w:w="60" w:type="dxa"/>
              <w:right w:w="60" w:type="dxa"/>
            </w:tcMar>
            <w:vAlign w:val="center"/>
          </w:tcPr>
          <w:p w14:paraId="7EC99B09"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46 (9.5%)</w:t>
            </w:r>
          </w:p>
        </w:tc>
      </w:tr>
      <w:tr w:rsidR="00576FE1" w:rsidRPr="00201B8E" w14:paraId="3CE96F38" w14:textId="77777777" w:rsidTr="00115CD6">
        <w:trPr>
          <w:cantSplit/>
          <w:trHeight w:val="293"/>
          <w:jc w:val="center"/>
        </w:trPr>
        <w:tc>
          <w:tcPr>
            <w:tcW w:w="2119" w:type="dxa"/>
            <w:shd w:val="clear" w:color="auto" w:fill="auto"/>
            <w:tcMar>
              <w:left w:w="60" w:type="dxa"/>
              <w:right w:w="60" w:type="dxa"/>
            </w:tcMar>
            <w:vAlign w:val="center"/>
          </w:tcPr>
          <w:p w14:paraId="187EA4B4"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Both</w:t>
            </w:r>
          </w:p>
        </w:tc>
        <w:tc>
          <w:tcPr>
            <w:tcW w:w="2268" w:type="dxa"/>
            <w:shd w:val="clear" w:color="auto" w:fill="auto"/>
            <w:tcMar>
              <w:left w:w="60" w:type="dxa"/>
              <w:right w:w="60" w:type="dxa"/>
            </w:tcMar>
            <w:vAlign w:val="center"/>
          </w:tcPr>
          <w:p w14:paraId="4D815E2A"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38 (15.6%)</w:t>
            </w:r>
          </w:p>
        </w:tc>
        <w:tc>
          <w:tcPr>
            <w:tcW w:w="2119" w:type="dxa"/>
            <w:shd w:val="clear" w:color="auto" w:fill="auto"/>
            <w:tcMar>
              <w:left w:w="60" w:type="dxa"/>
              <w:right w:w="60" w:type="dxa"/>
            </w:tcMar>
            <w:vAlign w:val="center"/>
          </w:tcPr>
          <w:p w14:paraId="770643C0"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31 (12.8%)</w:t>
            </w:r>
          </w:p>
        </w:tc>
        <w:tc>
          <w:tcPr>
            <w:tcW w:w="1767" w:type="dxa"/>
            <w:shd w:val="clear" w:color="auto" w:fill="auto"/>
            <w:tcMar>
              <w:left w:w="60" w:type="dxa"/>
              <w:right w:w="60" w:type="dxa"/>
            </w:tcMar>
            <w:vAlign w:val="center"/>
          </w:tcPr>
          <w:p w14:paraId="46621C6E"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69 (14.2%)</w:t>
            </w:r>
          </w:p>
        </w:tc>
      </w:tr>
      <w:tr w:rsidR="00576FE1" w:rsidRPr="00201B8E" w14:paraId="6020DAFE" w14:textId="77777777" w:rsidTr="00115CD6">
        <w:trPr>
          <w:cantSplit/>
          <w:trHeight w:val="280"/>
          <w:jc w:val="center"/>
        </w:trPr>
        <w:tc>
          <w:tcPr>
            <w:tcW w:w="2119" w:type="dxa"/>
            <w:shd w:val="clear" w:color="auto" w:fill="auto"/>
            <w:tcMar>
              <w:left w:w="60" w:type="dxa"/>
              <w:right w:w="60" w:type="dxa"/>
            </w:tcMar>
            <w:vAlign w:val="center"/>
          </w:tcPr>
          <w:p w14:paraId="625C8737"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Neither of them</w:t>
            </w:r>
          </w:p>
        </w:tc>
        <w:tc>
          <w:tcPr>
            <w:tcW w:w="2268" w:type="dxa"/>
            <w:shd w:val="clear" w:color="auto" w:fill="auto"/>
            <w:tcMar>
              <w:left w:w="60" w:type="dxa"/>
              <w:right w:w="60" w:type="dxa"/>
            </w:tcMar>
            <w:vAlign w:val="center"/>
          </w:tcPr>
          <w:p w14:paraId="12BC3AF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130 (53.5%)</w:t>
            </w:r>
          </w:p>
        </w:tc>
        <w:tc>
          <w:tcPr>
            <w:tcW w:w="2119" w:type="dxa"/>
            <w:shd w:val="clear" w:color="auto" w:fill="auto"/>
            <w:tcMar>
              <w:left w:w="60" w:type="dxa"/>
              <w:right w:w="60" w:type="dxa"/>
            </w:tcMar>
            <w:vAlign w:val="center"/>
          </w:tcPr>
          <w:p w14:paraId="5A2E3A51"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133 (54.7%)</w:t>
            </w:r>
          </w:p>
        </w:tc>
        <w:tc>
          <w:tcPr>
            <w:tcW w:w="1767" w:type="dxa"/>
            <w:shd w:val="clear" w:color="auto" w:fill="auto"/>
            <w:tcMar>
              <w:left w:w="60" w:type="dxa"/>
              <w:right w:w="60" w:type="dxa"/>
            </w:tcMar>
            <w:vAlign w:val="center"/>
          </w:tcPr>
          <w:p w14:paraId="3A801E8D"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263 (54.1%)</w:t>
            </w:r>
          </w:p>
        </w:tc>
      </w:tr>
      <w:tr w:rsidR="00576FE1" w:rsidRPr="00201B8E" w14:paraId="6C76914A" w14:textId="77777777" w:rsidTr="00115CD6">
        <w:trPr>
          <w:cantSplit/>
          <w:trHeight w:val="293"/>
          <w:jc w:val="center"/>
        </w:trPr>
        <w:tc>
          <w:tcPr>
            <w:tcW w:w="0" w:type="auto"/>
            <w:gridSpan w:val="4"/>
            <w:shd w:val="clear" w:color="auto" w:fill="auto"/>
            <w:tcMar>
              <w:left w:w="60" w:type="dxa"/>
              <w:right w:w="60" w:type="dxa"/>
            </w:tcMar>
            <w:vAlign w:val="center"/>
          </w:tcPr>
          <w:p w14:paraId="677E1EF5" w14:textId="77777777" w:rsidR="00576FE1" w:rsidRPr="00201B8E" w:rsidRDefault="00576FE1" w:rsidP="00115CD6">
            <w:pPr>
              <w:keepNext/>
              <w:adjustRightInd w:val="0"/>
              <w:spacing w:before="40" w:after="40" w:line="240" w:lineRule="auto"/>
              <w:rPr>
                <w:b/>
                <w:bCs/>
                <w:color w:val="000000"/>
                <w:sz w:val="18"/>
                <w:szCs w:val="18"/>
              </w:rPr>
            </w:pPr>
            <w:r w:rsidRPr="00201B8E">
              <w:rPr>
                <w:b/>
                <w:bCs/>
                <w:color w:val="000000"/>
                <w:sz w:val="18"/>
                <w:szCs w:val="18"/>
              </w:rPr>
              <w:t>Prior Target Therapy</w:t>
            </w:r>
          </w:p>
        </w:tc>
      </w:tr>
      <w:tr w:rsidR="00576FE1" w:rsidRPr="00201B8E" w14:paraId="3D6D2D26" w14:textId="77777777" w:rsidTr="00115CD6">
        <w:trPr>
          <w:cantSplit/>
          <w:trHeight w:val="280"/>
          <w:jc w:val="center"/>
        </w:trPr>
        <w:tc>
          <w:tcPr>
            <w:tcW w:w="2119" w:type="dxa"/>
            <w:shd w:val="clear" w:color="auto" w:fill="auto"/>
            <w:tcMar>
              <w:left w:w="60" w:type="dxa"/>
              <w:right w:w="60" w:type="dxa"/>
            </w:tcMar>
            <w:vAlign w:val="center"/>
          </w:tcPr>
          <w:p w14:paraId="1BB0C07E"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rPr>
              <w:t xml:space="preserve">    Adjuvant</w:t>
            </w:r>
          </w:p>
        </w:tc>
        <w:tc>
          <w:tcPr>
            <w:tcW w:w="2268" w:type="dxa"/>
            <w:shd w:val="clear" w:color="auto" w:fill="auto"/>
            <w:tcMar>
              <w:left w:w="60" w:type="dxa"/>
              <w:right w:w="60" w:type="dxa"/>
            </w:tcMar>
            <w:vAlign w:val="center"/>
          </w:tcPr>
          <w:p w14:paraId="66D557F2"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0 (0.0%)</w:t>
            </w:r>
          </w:p>
        </w:tc>
        <w:tc>
          <w:tcPr>
            <w:tcW w:w="2119" w:type="dxa"/>
            <w:shd w:val="clear" w:color="auto" w:fill="auto"/>
            <w:tcMar>
              <w:left w:w="60" w:type="dxa"/>
              <w:right w:w="60" w:type="dxa"/>
            </w:tcMar>
            <w:vAlign w:val="center"/>
          </w:tcPr>
          <w:p w14:paraId="219BC54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 (1.2%)</w:t>
            </w:r>
          </w:p>
        </w:tc>
        <w:tc>
          <w:tcPr>
            <w:tcW w:w="1767" w:type="dxa"/>
            <w:shd w:val="clear" w:color="auto" w:fill="auto"/>
            <w:tcMar>
              <w:left w:w="60" w:type="dxa"/>
              <w:right w:w="60" w:type="dxa"/>
            </w:tcMar>
            <w:vAlign w:val="center"/>
          </w:tcPr>
          <w:p w14:paraId="6FEBA02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 (0.6%)</w:t>
            </w:r>
          </w:p>
        </w:tc>
      </w:tr>
      <w:tr w:rsidR="00576FE1" w:rsidRPr="00201B8E" w14:paraId="6A73B265" w14:textId="77777777" w:rsidTr="00115CD6">
        <w:trPr>
          <w:cantSplit/>
          <w:trHeight w:val="293"/>
          <w:jc w:val="center"/>
        </w:trPr>
        <w:tc>
          <w:tcPr>
            <w:tcW w:w="2119" w:type="dxa"/>
            <w:shd w:val="clear" w:color="auto" w:fill="auto"/>
            <w:tcMar>
              <w:left w:w="60" w:type="dxa"/>
              <w:right w:w="60" w:type="dxa"/>
            </w:tcMar>
            <w:vAlign w:val="center"/>
          </w:tcPr>
          <w:p w14:paraId="2069F13C"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Neoadjuvant</w:t>
            </w:r>
          </w:p>
        </w:tc>
        <w:tc>
          <w:tcPr>
            <w:tcW w:w="2268" w:type="dxa"/>
            <w:shd w:val="clear" w:color="auto" w:fill="auto"/>
            <w:tcMar>
              <w:left w:w="60" w:type="dxa"/>
              <w:right w:w="60" w:type="dxa"/>
            </w:tcMar>
            <w:vAlign w:val="center"/>
          </w:tcPr>
          <w:p w14:paraId="1B5849E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 (0.4%)</w:t>
            </w:r>
          </w:p>
        </w:tc>
        <w:tc>
          <w:tcPr>
            <w:tcW w:w="2119" w:type="dxa"/>
            <w:shd w:val="clear" w:color="auto" w:fill="auto"/>
            <w:tcMar>
              <w:left w:w="60" w:type="dxa"/>
              <w:right w:w="60" w:type="dxa"/>
            </w:tcMar>
            <w:vAlign w:val="center"/>
          </w:tcPr>
          <w:p w14:paraId="2517610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0 (0.0%)</w:t>
            </w:r>
          </w:p>
        </w:tc>
        <w:tc>
          <w:tcPr>
            <w:tcW w:w="1767" w:type="dxa"/>
            <w:shd w:val="clear" w:color="auto" w:fill="auto"/>
            <w:tcMar>
              <w:left w:w="60" w:type="dxa"/>
              <w:right w:w="60" w:type="dxa"/>
            </w:tcMar>
            <w:vAlign w:val="center"/>
          </w:tcPr>
          <w:p w14:paraId="0CF33CE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 (0.2%)</w:t>
            </w:r>
          </w:p>
        </w:tc>
      </w:tr>
      <w:tr w:rsidR="00576FE1" w:rsidRPr="008E7B22" w14:paraId="6B47864E" w14:textId="77777777" w:rsidTr="00115CD6">
        <w:trPr>
          <w:cantSplit/>
          <w:trHeight w:val="280"/>
          <w:jc w:val="center"/>
        </w:trPr>
        <w:tc>
          <w:tcPr>
            <w:tcW w:w="0" w:type="auto"/>
            <w:gridSpan w:val="4"/>
            <w:shd w:val="clear" w:color="auto" w:fill="auto"/>
            <w:tcMar>
              <w:left w:w="60" w:type="dxa"/>
              <w:right w:w="60" w:type="dxa"/>
            </w:tcMar>
            <w:vAlign w:val="center"/>
          </w:tcPr>
          <w:p w14:paraId="738FB60A" w14:textId="77777777" w:rsidR="00576FE1" w:rsidRPr="00201B8E" w:rsidRDefault="00576FE1" w:rsidP="00115CD6">
            <w:pPr>
              <w:keepNext/>
              <w:adjustRightInd w:val="0"/>
              <w:spacing w:before="40" w:after="40" w:line="240" w:lineRule="auto"/>
              <w:rPr>
                <w:b/>
                <w:bCs/>
                <w:color w:val="000000"/>
                <w:sz w:val="18"/>
                <w:szCs w:val="18"/>
                <w:lang w:val="en-GB"/>
              </w:rPr>
            </w:pPr>
            <w:r w:rsidRPr="00201B8E">
              <w:rPr>
                <w:b/>
                <w:bCs/>
                <w:color w:val="000000"/>
                <w:sz w:val="18"/>
                <w:szCs w:val="18"/>
                <w:lang w:val="en-GB"/>
              </w:rPr>
              <w:t>Neo(adjuvant) Prior Target Therapy Substance</w:t>
            </w:r>
          </w:p>
        </w:tc>
      </w:tr>
      <w:tr w:rsidR="00576FE1" w:rsidRPr="00201B8E" w14:paraId="20855313" w14:textId="77777777" w:rsidTr="00115CD6">
        <w:trPr>
          <w:cantSplit/>
          <w:trHeight w:val="493"/>
          <w:jc w:val="center"/>
        </w:trPr>
        <w:tc>
          <w:tcPr>
            <w:tcW w:w="2119" w:type="dxa"/>
            <w:shd w:val="clear" w:color="auto" w:fill="auto"/>
            <w:tcMar>
              <w:left w:w="60" w:type="dxa"/>
              <w:right w:w="60" w:type="dxa"/>
            </w:tcMar>
            <w:vAlign w:val="center"/>
          </w:tcPr>
          <w:p w14:paraId="31F85519" w14:textId="77777777" w:rsidR="00576FE1" w:rsidRPr="00201B8E" w:rsidRDefault="00576FE1" w:rsidP="00115CD6">
            <w:pPr>
              <w:keepNext/>
              <w:adjustRightInd w:val="0"/>
              <w:spacing w:before="40" w:after="40" w:line="240" w:lineRule="auto"/>
              <w:ind w:hanging="209"/>
              <w:rPr>
                <w:color w:val="000000"/>
                <w:sz w:val="18"/>
                <w:szCs w:val="18"/>
              </w:rPr>
            </w:pPr>
            <w:r w:rsidRPr="00201B8E">
              <w:rPr>
                <w:color w:val="000000"/>
                <w:sz w:val="18"/>
                <w:szCs w:val="18"/>
                <w:lang w:val="en-GB"/>
              </w:rPr>
              <w:t xml:space="preserve">    </w:t>
            </w:r>
            <w:r w:rsidRPr="00201B8E">
              <w:rPr>
                <w:color w:val="000000"/>
                <w:sz w:val="18"/>
                <w:szCs w:val="18"/>
              </w:rPr>
              <w:t>Therapeutic radiopharmaceuticals</w:t>
            </w:r>
          </w:p>
        </w:tc>
        <w:tc>
          <w:tcPr>
            <w:tcW w:w="2268" w:type="dxa"/>
            <w:shd w:val="clear" w:color="auto" w:fill="auto"/>
            <w:tcMar>
              <w:left w:w="60" w:type="dxa"/>
              <w:right w:w="60" w:type="dxa"/>
            </w:tcMar>
            <w:vAlign w:val="center"/>
          </w:tcPr>
          <w:p w14:paraId="1EE5762D"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0 (0.0%)</w:t>
            </w:r>
          </w:p>
        </w:tc>
        <w:tc>
          <w:tcPr>
            <w:tcW w:w="2119" w:type="dxa"/>
            <w:shd w:val="clear" w:color="auto" w:fill="auto"/>
            <w:tcMar>
              <w:left w:w="60" w:type="dxa"/>
              <w:right w:w="60" w:type="dxa"/>
            </w:tcMar>
            <w:vAlign w:val="center"/>
          </w:tcPr>
          <w:p w14:paraId="63F36ADF"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 (1.2%)</w:t>
            </w:r>
          </w:p>
        </w:tc>
        <w:tc>
          <w:tcPr>
            <w:tcW w:w="1767" w:type="dxa"/>
            <w:shd w:val="clear" w:color="auto" w:fill="auto"/>
            <w:tcMar>
              <w:left w:w="60" w:type="dxa"/>
              <w:right w:w="60" w:type="dxa"/>
            </w:tcMar>
            <w:vAlign w:val="center"/>
          </w:tcPr>
          <w:p w14:paraId="0C57D4A4"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 (0.6%)</w:t>
            </w:r>
          </w:p>
        </w:tc>
      </w:tr>
      <w:tr w:rsidR="00576FE1" w:rsidRPr="00201B8E" w14:paraId="3022AFF5" w14:textId="77777777" w:rsidTr="00115CD6">
        <w:trPr>
          <w:cantSplit/>
          <w:trHeight w:val="293"/>
          <w:jc w:val="center"/>
        </w:trPr>
        <w:tc>
          <w:tcPr>
            <w:tcW w:w="2119" w:type="dxa"/>
            <w:shd w:val="clear" w:color="auto" w:fill="auto"/>
            <w:tcMar>
              <w:left w:w="60" w:type="dxa"/>
              <w:right w:w="60" w:type="dxa"/>
            </w:tcMar>
            <w:vAlign w:val="center"/>
          </w:tcPr>
          <w:p w14:paraId="35D0BBEC" w14:textId="77777777" w:rsidR="00576FE1" w:rsidRPr="00201B8E" w:rsidRDefault="00576FE1" w:rsidP="00115CD6">
            <w:pPr>
              <w:adjustRightInd w:val="0"/>
              <w:spacing w:before="40" w:after="40" w:line="240" w:lineRule="auto"/>
              <w:ind w:hanging="209"/>
              <w:rPr>
                <w:color w:val="000000"/>
                <w:sz w:val="18"/>
                <w:szCs w:val="18"/>
              </w:rPr>
            </w:pPr>
            <w:r w:rsidRPr="00201B8E">
              <w:rPr>
                <w:color w:val="000000"/>
                <w:sz w:val="18"/>
                <w:szCs w:val="18"/>
              </w:rPr>
              <w:t xml:space="preserve">    Paclitaxel</w:t>
            </w:r>
          </w:p>
        </w:tc>
        <w:tc>
          <w:tcPr>
            <w:tcW w:w="2268" w:type="dxa"/>
            <w:shd w:val="clear" w:color="auto" w:fill="auto"/>
            <w:tcMar>
              <w:left w:w="60" w:type="dxa"/>
              <w:right w:w="60" w:type="dxa"/>
            </w:tcMar>
            <w:vAlign w:val="center"/>
          </w:tcPr>
          <w:p w14:paraId="23C6132B"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 (0.4%)</w:t>
            </w:r>
          </w:p>
        </w:tc>
        <w:tc>
          <w:tcPr>
            <w:tcW w:w="2119" w:type="dxa"/>
            <w:shd w:val="clear" w:color="auto" w:fill="auto"/>
            <w:tcMar>
              <w:left w:w="60" w:type="dxa"/>
              <w:right w:w="60" w:type="dxa"/>
            </w:tcMar>
            <w:vAlign w:val="center"/>
          </w:tcPr>
          <w:p w14:paraId="00DA289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0 (0.0%)</w:t>
            </w:r>
          </w:p>
        </w:tc>
        <w:tc>
          <w:tcPr>
            <w:tcW w:w="1767" w:type="dxa"/>
            <w:shd w:val="clear" w:color="auto" w:fill="auto"/>
            <w:tcMar>
              <w:left w:w="60" w:type="dxa"/>
              <w:right w:w="60" w:type="dxa"/>
            </w:tcMar>
            <w:vAlign w:val="center"/>
          </w:tcPr>
          <w:p w14:paraId="4C533B9C"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 (0.2%)</w:t>
            </w:r>
          </w:p>
        </w:tc>
      </w:tr>
      <w:tr w:rsidR="00576FE1" w:rsidRPr="008E7B22" w14:paraId="4D4DBA8A" w14:textId="77777777" w:rsidTr="00115CD6">
        <w:trPr>
          <w:cantSplit/>
          <w:trHeight w:val="280"/>
          <w:jc w:val="center"/>
        </w:trPr>
        <w:tc>
          <w:tcPr>
            <w:tcW w:w="0" w:type="auto"/>
            <w:gridSpan w:val="4"/>
            <w:shd w:val="clear" w:color="auto" w:fill="auto"/>
            <w:tcMar>
              <w:left w:w="60" w:type="dxa"/>
              <w:right w:w="60" w:type="dxa"/>
            </w:tcMar>
            <w:vAlign w:val="center"/>
          </w:tcPr>
          <w:p w14:paraId="3DC5189B" w14:textId="77777777" w:rsidR="00576FE1" w:rsidRPr="00201B8E" w:rsidRDefault="00576FE1" w:rsidP="00115CD6">
            <w:pPr>
              <w:keepNext/>
              <w:adjustRightInd w:val="0"/>
              <w:spacing w:before="40" w:after="40" w:line="240" w:lineRule="auto"/>
              <w:rPr>
                <w:b/>
                <w:bCs/>
                <w:color w:val="000000"/>
                <w:sz w:val="18"/>
                <w:szCs w:val="18"/>
                <w:lang w:val="en-GB"/>
              </w:rPr>
            </w:pPr>
            <w:r w:rsidRPr="00201B8E">
              <w:rPr>
                <w:b/>
                <w:bCs/>
                <w:color w:val="000000"/>
                <w:sz w:val="18"/>
                <w:szCs w:val="18"/>
                <w:lang w:val="en-GB"/>
              </w:rPr>
              <w:t>Prior Medication with Analgesics or Corticoids</w:t>
            </w:r>
          </w:p>
        </w:tc>
      </w:tr>
      <w:tr w:rsidR="00576FE1" w:rsidRPr="00201B8E" w14:paraId="0242712D" w14:textId="77777777" w:rsidTr="00115CD6">
        <w:trPr>
          <w:cantSplit/>
          <w:trHeight w:val="293"/>
          <w:jc w:val="center"/>
        </w:trPr>
        <w:tc>
          <w:tcPr>
            <w:tcW w:w="2119" w:type="dxa"/>
            <w:shd w:val="clear" w:color="auto" w:fill="auto"/>
            <w:tcMar>
              <w:left w:w="60" w:type="dxa"/>
              <w:right w:w="60" w:type="dxa"/>
            </w:tcMar>
            <w:vAlign w:val="center"/>
          </w:tcPr>
          <w:p w14:paraId="39FA1DDE" w14:textId="77777777" w:rsidR="00576FE1" w:rsidRPr="00201B8E" w:rsidRDefault="00576FE1" w:rsidP="00115CD6">
            <w:pPr>
              <w:keepNext/>
              <w:tabs>
                <w:tab w:val="left" w:pos="0"/>
              </w:tabs>
              <w:adjustRightInd w:val="0"/>
              <w:spacing w:before="40" w:after="40" w:line="240" w:lineRule="auto"/>
              <w:ind w:hanging="209"/>
              <w:rPr>
                <w:color w:val="000000"/>
                <w:sz w:val="18"/>
                <w:szCs w:val="18"/>
              </w:rPr>
            </w:pPr>
            <w:r w:rsidRPr="00201B8E">
              <w:rPr>
                <w:color w:val="000000"/>
                <w:sz w:val="18"/>
                <w:szCs w:val="18"/>
                <w:lang w:val="en-GB"/>
              </w:rPr>
              <w:t xml:space="preserve">    </w:t>
            </w:r>
            <w:r w:rsidRPr="00201B8E">
              <w:rPr>
                <w:color w:val="000000"/>
                <w:sz w:val="18"/>
                <w:szCs w:val="18"/>
              </w:rPr>
              <w:t>No</w:t>
            </w:r>
          </w:p>
        </w:tc>
        <w:tc>
          <w:tcPr>
            <w:tcW w:w="2268" w:type="dxa"/>
            <w:shd w:val="clear" w:color="auto" w:fill="auto"/>
            <w:tcMar>
              <w:left w:w="60" w:type="dxa"/>
              <w:right w:w="60" w:type="dxa"/>
            </w:tcMar>
            <w:vAlign w:val="center"/>
          </w:tcPr>
          <w:p w14:paraId="4B58B067"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155 (63.8%)</w:t>
            </w:r>
          </w:p>
        </w:tc>
        <w:tc>
          <w:tcPr>
            <w:tcW w:w="2119" w:type="dxa"/>
            <w:shd w:val="clear" w:color="auto" w:fill="auto"/>
            <w:tcMar>
              <w:left w:w="60" w:type="dxa"/>
              <w:right w:w="60" w:type="dxa"/>
            </w:tcMar>
            <w:vAlign w:val="center"/>
          </w:tcPr>
          <w:p w14:paraId="247448B2"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148 (60.9%)</w:t>
            </w:r>
          </w:p>
        </w:tc>
        <w:tc>
          <w:tcPr>
            <w:tcW w:w="1767" w:type="dxa"/>
            <w:shd w:val="clear" w:color="auto" w:fill="auto"/>
            <w:tcMar>
              <w:left w:w="60" w:type="dxa"/>
              <w:right w:w="60" w:type="dxa"/>
            </w:tcMar>
            <w:vAlign w:val="center"/>
          </w:tcPr>
          <w:p w14:paraId="1C159003"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303 (62.3%)</w:t>
            </w:r>
          </w:p>
        </w:tc>
      </w:tr>
      <w:tr w:rsidR="00576FE1" w:rsidRPr="00201B8E" w14:paraId="0D354049" w14:textId="77777777" w:rsidTr="00115CD6">
        <w:trPr>
          <w:cantSplit/>
          <w:trHeight w:val="280"/>
          <w:jc w:val="center"/>
        </w:trPr>
        <w:tc>
          <w:tcPr>
            <w:tcW w:w="2119" w:type="dxa"/>
            <w:shd w:val="clear" w:color="auto" w:fill="auto"/>
            <w:tcMar>
              <w:left w:w="60" w:type="dxa"/>
              <w:right w:w="60" w:type="dxa"/>
            </w:tcMar>
            <w:vAlign w:val="center"/>
          </w:tcPr>
          <w:p w14:paraId="49FC73A9" w14:textId="77777777" w:rsidR="00576FE1" w:rsidRPr="00201B8E" w:rsidRDefault="00576FE1" w:rsidP="00115CD6">
            <w:pPr>
              <w:keepNext/>
              <w:tabs>
                <w:tab w:val="left" w:pos="0"/>
              </w:tabs>
              <w:adjustRightInd w:val="0"/>
              <w:spacing w:before="40" w:after="40" w:line="240" w:lineRule="auto"/>
              <w:ind w:hanging="209"/>
              <w:rPr>
                <w:color w:val="000000"/>
                <w:sz w:val="18"/>
                <w:szCs w:val="18"/>
              </w:rPr>
            </w:pPr>
            <w:r w:rsidRPr="00201B8E">
              <w:rPr>
                <w:color w:val="000000"/>
                <w:sz w:val="18"/>
                <w:szCs w:val="18"/>
              </w:rPr>
              <w:t xml:space="preserve">    Yes</w:t>
            </w:r>
          </w:p>
        </w:tc>
        <w:tc>
          <w:tcPr>
            <w:tcW w:w="2268" w:type="dxa"/>
            <w:shd w:val="clear" w:color="auto" w:fill="auto"/>
            <w:tcMar>
              <w:left w:w="60" w:type="dxa"/>
              <w:right w:w="60" w:type="dxa"/>
            </w:tcMar>
            <w:vAlign w:val="center"/>
          </w:tcPr>
          <w:p w14:paraId="74EDE998"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88 (36.2%)</w:t>
            </w:r>
          </w:p>
        </w:tc>
        <w:tc>
          <w:tcPr>
            <w:tcW w:w="2119" w:type="dxa"/>
            <w:shd w:val="clear" w:color="auto" w:fill="auto"/>
            <w:tcMar>
              <w:left w:w="60" w:type="dxa"/>
              <w:right w:w="60" w:type="dxa"/>
            </w:tcMar>
            <w:vAlign w:val="center"/>
          </w:tcPr>
          <w:p w14:paraId="66275CD5"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95 (39.1%)</w:t>
            </w:r>
          </w:p>
        </w:tc>
        <w:tc>
          <w:tcPr>
            <w:tcW w:w="1767" w:type="dxa"/>
            <w:shd w:val="clear" w:color="auto" w:fill="auto"/>
            <w:tcMar>
              <w:left w:w="60" w:type="dxa"/>
              <w:right w:w="60" w:type="dxa"/>
            </w:tcMar>
            <w:vAlign w:val="center"/>
          </w:tcPr>
          <w:p w14:paraId="0F2157E2" w14:textId="77777777" w:rsidR="00576FE1" w:rsidRPr="00201B8E" w:rsidRDefault="00576FE1" w:rsidP="00115CD6">
            <w:pPr>
              <w:keepNext/>
              <w:adjustRightInd w:val="0"/>
              <w:spacing w:before="40" w:after="40" w:line="240" w:lineRule="auto"/>
              <w:jc w:val="center"/>
              <w:rPr>
                <w:color w:val="000000"/>
                <w:sz w:val="18"/>
                <w:szCs w:val="18"/>
              </w:rPr>
            </w:pPr>
            <w:r w:rsidRPr="00201B8E">
              <w:rPr>
                <w:color w:val="000000"/>
                <w:sz w:val="18"/>
                <w:szCs w:val="18"/>
              </w:rPr>
              <w:t>183 (37.7%)</w:t>
            </w:r>
          </w:p>
        </w:tc>
      </w:tr>
    </w:tbl>
    <w:p w14:paraId="4EEFF96D" w14:textId="41999A82" w:rsidR="00576FE1" w:rsidRPr="003667D8" w:rsidRDefault="00576FE1" w:rsidP="00800E62">
      <w:pPr>
        <w:pStyle w:val="TableNote"/>
        <w:ind w:hanging="45"/>
        <w:rPr>
          <w:rFonts w:ascii="Arial" w:hAnsi="Arial" w:cs="Arial"/>
          <w:i/>
          <w:iCs/>
          <w:sz w:val="18"/>
          <w:szCs w:val="18"/>
        </w:rPr>
      </w:pPr>
      <w:r w:rsidRPr="003667D8">
        <w:rPr>
          <w:rFonts w:ascii="Arial" w:hAnsi="Arial" w:cs="Arial"/>
          <w:i/>
          <w:iCs/>
          <w:sz w:val="18"/>
          <w:szCs w:val="18"/>
        </w:rPr>
        <w:t>Note: Values represent number (%) of subjects.</w:t>
      </w:r>
    </w:p>
    <w:p w14:paraId="67409A52" w14:textId="0A96479F" w:rsidR="00576FE1" w:rsidRDefault="00576FE1" w:rsidP="00800E62">
      <w:pPr>
        <w:ind w:left="142"/>
      </w:pPr>
      <w:r w:rsidRPr="003363FD">
        <w:rPr>
          <w:i/>
          <w:sz w:val="18"/>
          <w:szCs w:val="18"/>
          <w:lang w:val="en-GB"/>
        </w:rPr>
        <w:t>(</w:t>
      </w:r>
      <w:r w:rsidRPr="003363FD">
        <w:rPr>
          <w:i/>
          <w:sz w:val="18"/>
          <w:szCs w:val="18"/>
          <w:u w:val="single"/>
          <w:lang w:val="en-GB"/>
        </w:rPr>
        <w:t>Cross reference</w:t>
      </w:r>
      <w:r w:rsidRPr="003363FD">
        <w:rPr>
          <w:i/>
          <w:sz w:val="18"/>
          <w:szCs w:val="18"/>
          <w:lang w:val="en-GB"/>
        </w:rPr>
        <w:t xml:space="preserve">: Table </w:t>
      </w:r>
      <w:r>
        <w:rPr>
          <w:i/>
          <w:sz w:val="18"/>
          <w:szCs w:val="18"/>
          <w:lang w:val="en-GB"/>
        </w:rPr>
        <w:t>5</w:t>
      </w:r>
      <w:r w:rsidRPr="003363FD">
        <w:rPr>
          <w:i/>
          <w:sz w:val="18"/>
          <w:szCs w:val="18"/>
          <w:lang w:val="en-GB"/>
        </w:rPr>
        <w:t xml:space="preserve"> of Final Analysis Statistical Report dated </w:t>
      </w:r>
      <w:r w:rsidR="001B1571">
        <w:rPr>
          <w:i/>
          <w:sz w:val="18"/>
          <w:szCs w:val="18"/>
          <w:lang w:val="en-GB"/>
        </w:rPr>
        <w:t>4</w:t>
      </w:r>
      <w:r w:rsidR="001B1571" w:rsidRPr="001B1571">
        <w:rPr>
          <w:i/>
          <w:sz w:val="18"/>
          <w:szCs w:val="18"/>
          <w:vertAlign w:val="superscript"/>
          <w:lang w:val="en-GB"/>
        </w:rPr>
        <w:t>th</w:t>
      </w:r>
      <w:r w:rsidR="001B1571">
        <w:rPr>
          <w:i/>
          <w:sz w:val="18"/>
          <w:szCs w:val="18"/>
          <w:lang w:val="en-GB"/>
        </w:rPr>
        <w:t xml:space="preserve"> September</w:t>
      </w:r>
      <w:r w:rsidRPr="003363FD">
        <w:rPr>
          <w:i/>
          <w:sz w:val="18"/>
          <w:szCs w:val="18"/>
          <w:lang w:val="en-GB"/>
        </w:rPr>
        <w:t xml:space="preserve"> 2020).</w:t>
      </w:r>
    </w:p>
    <w:p w14:paraId="346D1FD2" w14:textId="77777777" w:rsidR="00576FE1" w:rsidRDefault="00576FE1" w:rsidP="00576FE1"/>
    <w:p w14:paraId="596A8192" w14:textId="77777777" w:rsidR="00576FE1" w:rsidRDefault="00576FE1" w:rsidP="00576FE1">
      <w:pPr>
        <w:rPr>
          <w:b/>
        </w:rPr>
      </w:pPr>
      <w:r>
        <w:rPr>
          <w:b/>
        </w:rPr>
        <w:br w:type="page"/>
      </w:r>
    </w:p>
    <w:p w14:paraId="5197D307" w14:textId="735E34B5" w:rsidR="00773549" w:rsidRDefault="00773549" w:rsidP="00D33491">
      <w:pPr>
        <w:pStyle w:val="Descripcin"/>
        <w:keepNext/>
        <w:outlineLvl w:val="0"/>
      </w:pPr>
      <w:bookmarkStart w:id="643" w:name="_Ref52426493"/>
      <w:bookmarkStart w:id="644" w:name="_Toc52446208"/>
      <w:bookmarkStart w:id="645" w:name="_Toc52468165"/>
      <w:bookmarkStart w:id="646" w:name="_Toc52046476"/>
      <w:r>
        <w:lastRenderedPageBreak/>
        <w:t xml:space="preserve">Table </w:t>
      </w:r>
      <w:r>
        <w:fldChar w:fldCharType="begin"/>
      </w:r>
      <w:r>
        <w:instrText xml:space="preserve"> SEQ Table \* ARABIC </w:instrText>
      </w:r>
      <w:r>
        <w:fldChar w:fldCharType="separate"/>
      </w:r>
      <w:r>
        <w:rPr>
          <w:noProof/>
        </w:rPr>
        <w:t>7</w:t>
      </w:r>
      <w:r>
        <w:fldChar w:fldCharType="end"/>
      </w:r>
      <w:bookmarkEnd w:id="643"/>
      <w:r>
        <w:t xml:space="preserve">. </w:t>
      </w:r>
      <w:r w:rsidRPr="00D02EBF">
        <w:t>Study drug exposure, dose reductions, delays, interruptions and treatment compliance in the safety population.</w:t>
      </w:r>
      <w:bookmarkEnd w:id="644"/>
      <w:bookmarkEnd w:id="64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11"/>
        <w:gridCol w:w="1449"/>
        <w:gridCol w:w="1497"/>
        <w:gridCol w:w="1652"/>
        <w:gridCol w:w="1490"/>
      </w:tblGrid>
      <w:tr w:rsidR="002E4060" w:rsidRPr="00B97868" w14:paraId="561A3CC4" w14:textId="77777777" w:rsidTr="00D41F59">
        <w:trPr>
          <w:cantSplit/>
          <w:trHeight w:val="618"/>
          <w:jc w:val="center"/>
        </w:trPr>
        <w:tc>
          <w:tcPr>
            <w:tcW w:w="2411" w:type="dxa"/>
            <w:vMerge w:val="restart"/>
            <w:tcBorders>
              <w:top w:val="nil"/>
              <w:left w:val="nil"/>
            </w:tcBorders>
            <w:shd w:val="clear" w:color="auto" w:fill="auto"/>
            <w:tcMar>
              <w:left w:w="60" w:type="dxa"/>
              <w:right w:w="60" w:type="dxa"/>
            </w:tcMar>
            <w:vAlign w:val="center"/>
          </w:tcPr>
          <w:p w14:paraId="47E6DB64" w14:textId="77777777" w:rsidR="002E4060" w:rsidRPr="00B97868" w:rsidRDefault="002E4060" w:rsidP="002E4060">
            <w:pPr>
              <w:keepNext/>
              <w:adjustRightInd w:val="0"/>
              <w:spacing w:before="60" w:after="60" w:line="240" w:lineRule="auto"/>
              <w:rPr>
                <w:b/>
                <w:bCs/>
                <w:sz w:val="18"/>
                <w:szCs w:val="18"/>
                <w:lang w:val="en-GB"/>
              </w:rPr>
            </w:pPr>
          </w:p>
        </w:tc>
        <w:tc>
          <w:tcPr>
            <w:tcW w:w="2946" w:type="dxa"/>
            <w:gridSpan w:val="2"/>
            <w:shd w:val="clear" w:color="auto" w:fill="auto"/>
            <w:vAlign w:val="center"/>
          </w:tcPr>
          <w:p w14:paraId="7E7B7533" w14:textId="77777777" w:rsidR="002E4060" w:rsidRPr="00B97868" w:rsidRDefault="002E4060" w:rsidP="002E4060">
            <w:pPr>
              <w:keepNext/>
              <w:adjustRightInd w:val="0"/>
              <w:spacing w:before="60" w:after="60" w:line="240" w:lineRule="auto"/>
              <w:jc w:val="center"/>
              <w:rPr>
                <w:b/>
                <w:bCs/>
                <w:sz w:val="18"/>
                <w:szCs w:val="18"/>
              </w:rPr>
            </w:pPr>
            <w:r w:rsidRPr="00B97868">
              <w:rPr>
                <w:b/>
                <w:bCs/>
                <w:sz w:val="18"/>
                <w:szCs w:val="18"/>
              </w:rPr>
              <w:t xml:space="preserve">Palbociclib - </w:t>
            </w:r>
            <w:proofErr w:type="spellStart"/>
            <w:r w:rsidRPr="00B97868">
              <w:rPr>
                <w:b/>
                <w:bCs/>
                <w:sz w:val="18"/>
                <w:szCs w:val="18"/>
              </w:rPr>
              <w:t>Fulvestrant</w:t>
            </w:r>
            <w:proofErr w:type="spellEnd"/>
          </w:p>
          <w:p w14:paraId="614C189E" w14:textId="77777777" w:rsidR="002E4060" w:rsidRPr="00B97868" w:rsidRDefault="002E4060" w:rsidP="002E4060">
            <w:pPr>
              <w:keepNext/>
              <w:adjustRightInd w:val="0"/>
              <w:spacing w:before="60" w:after="60" w:line="240" w:lineRule="auto"/>
              <w:jc w:val="center"/>
              <w:rPr>
                <w:b/>
                <w:bCs/>
                <w:sz w:val="18"/>
                <w:szCs w:val="18"/>
              </w:rPr>
            </w:pPr>
            <w:r w:rsidRPr="00B97868">
              <w:rPr>
                <w:b/>
                <w:bCs/>
                <w:sz w:val="18"/>
                <w:szCs w:val="18"/>
              </w:rPr>
              <w:t>(N = 241)</w:t>
            </w:r>
          </w:p>
        </w:tc>
        <w:tc>
          <w:tcPr>
            <w:tcW w:w="3142" w:type="dxa"/>
            <w:gridSpan w:val="2"/>
            <w:shd w:val="clear" w:color="auto" w:fill="auto"/>
            <w:tcMar>
              <w:left w:w="60" w:type="dxa"/>
              <w:right w:w="60" w:type="dxa"/>
            </w:tcMar>
            <w:vAlign w:val="center"/>
          </w:tcPr>
          <w:p w14:paraId="3F593F3D" w14:textId="77777777" w:rsidR="002E4060" w:rsidRPr="00B97868" w:rsidRDefault="002E4060" w:rsidP="002E4060">
            <w:pPr>
              <w:keepNext/>
              <w:adjustRightInd w:val="0"/>
              <w:spacing w:before="60" w:after="60" w:line="240" w:lineRule="auto"/>
              <w:jc w:val="center"/>
              <w:rPr>
                <w:b/>
                <w:bCs/>
                <w:sz w:val="18"/>
                <w:szCs w:val="18"/>
              </w:rPr>
            </w:pPr>
            <w:r w:rsidRPr="00B97868">
              <w:rPr>
                <w:b/>
                <w:bCs/>
                <w:sz w:val="18"/>
                <w:szCs w:val="18"/>
              </w:rPr>
              <w:t>Palbociclib - Letrozole</w:t>
            </w:r>
          </w:p>
          <w:p w14:paraId="5DDBD8D5" w14:textId="77777777" w:rsidR="002E4060" w:rsidRPr="00B97868" w:rsidRDefault="002E4060" w:rsidP="002E4060">
            <w:pPr>
              <w:keepNext/>
              <w:adjustRightInd w:val="0"/>
              <w:spacing w:before="60" w:after="60" w:line="240" w:lineRule="auto"/>
              <w:jc w:val="center"/>
              <w:rPr>
                <w:b/>
                <w:bCs/>
                <w:sz w:val="18"/>
                <w:szCs w:val="18"/>
              </w:rPr>
            </w:pPr>
            <w:r w:rsidRPr="00B97868">
              <w:rPr>
                <w:b/>
                <w:bCs/>
                <w:sz w:val="18"/>
                <w:szCs w:val="18"/>
              </w:rPr>
              <w:t>(N = 242)</w:t>
            </w:r>
          </w:p>
        </w:tc>
      </w:tr>
      <w:tr w:rsidR="002E4060" w:rsidRPr="00B97868" w14:paraId="4E48D591" w14:textId="77777777" w:rsidTr="00D41F59">
        <w:trPr>
          <w:cantSplit/>
          <w:trHeight w:val="233"/>
          <w:jc w:val="center"/>
        </w:trPr>
        <w:tc>
          <w:tcPr>
            <w:tcW w:w="2411" w:type="dxa"/>
            <w:vMerge/>
            <w:tcBorders>
              <w:left w:val="nil"/>
            </w:tcBorders>
            <w:shd w:val="clear" w:color="auto" w:fill="auto"/>
            <w:tcMar>
              <w:left w:w="60" w:type="dxa"/>
              <w:right w:w="60" w:type="dxa"/>
            </w:tcMar>
            <w:vAlign w:val="center"/>
          </w:tcPr>
          <w:p w14:paraId="479A1FCB" w14:textId="77777777" w:rsidR="002E4060" w:rsidRPr="00B97868" w:rsidRDefault="002E4060" w:rsidP="002E4060">
            <w:pPr>
              <w:keepNext/>
              <w:adjustRightInd w:val="0"/>
              <w:spacing w:before="60" w:after="60" w:line="240" w:lineRule="auto"/>
              <w:rPr>
                <w:b/>
                <w:bCs/>
                <w:sz w:val="18"/>
                <w:szCs w:val="18"/>
                <w:lang w:val="en-GB"/>
              </w:rPr>
            </w:pPr>
          </w:p>
        </w:tc>
        <w:tc>
          <w:tcPr>
            <w:tcW w:w="1449" w:type="dxa"/>
            <w:shd w:val="clear" w:color="auto" w:fill="auto"/>
            <w:vAlign w:val="center"/>
          </w:tcPr>
          <w:p w14:paraId="7EC27A7F" w14:textId="77777777" w:rsidR="002E4060" w:rsidRPr="00B97868" w:rsidRDefault="002E4060" w:rsidP="002E4060">
            <w:pPr>
              <w:keepNext/>
              <w:adjustRightInd w:val="0"/>
              <w:spacing w:before="60" w:after="60" w:line="240" w:lineRule="auto"/>
              <w:jc w:val="center"/>
              <w:rPr>
                <w:b/>
                <w:bCs/>
                <w:sz w:val="18"/>
                <w:szCs w:val="18"/>
              </w:rPr>
            </w:pPr>
            <w:r w:rsidRPr="00B97868">
              <w:rPr>
                <w:b/>
                <w:bCs/>
                <w:sz w:val="18"/>
                <w:szCs w:val="18"/>
              </w:rPr>
              <w:t>Palbociclib</w:t>
            </w:r>
          </w:p>
        </w:tc>
        <w:tc>
          <w:tcPr>
            <w:tcW w:w="1497" w:type="dxa"/>
            <w:shd w:val="clear" w:color="auto" w:fill="auto"/>
            <w:vAlign w:val="center"/>
          </w:tcPr>
          <w:p w14:paraId="05E24C7B" w14:textId="77777777" w:rsidR="002E4060" w:rsidRPr="00B97868" w:rsidRDefault="002E4060" w:rsidP="002E4060">
            <w:pPr>
              <w:keepNext/>
              <w:adjustRightInd w:val="0"/>
              <w:spacing w:before="60" w:after="60" w:line="240" w:lineRule="auto"/>
              <w:jc w:val="center"/>
              <w:rPr>
                <w:b/>
                <w:bCs/>
                <w:sz w:val="18"/>
                <w:szCs w:val="18"/>
              </w:rPr>
            </w:pPr>
            <w:proofErr w:type="spellStart"/>
            <w:r w:rsidRPr="00B97868">
              <w:rPr>
                <w:b/>
                <w:bCs/>
                <w:sz w:val="18"/>
                <w:szCs w:val="18"/>
              </w:rPr>
              <w:t>Fulvestrant</w:t>
            </w:r>
            <w:proofErr w:type="spellEnd"/>
          </w:p>
        </w:tc>
        <w:tc>
          <w:tcPr>
            <w:tcW w:w="1652" w:type="dxa"/>
            <w:shd w:val="clear" w:color="auto" w:fill="auto"/>
            <w:tcMar>
              <w:left w:w="60" w:type="dxa"/>
              <w:right w:w="60" w:type="dxa"/>
            </w:tcMar>
            <w:vAlign w:val="center"/>
          </w:tcPr>
          <w:p w14:paraId="559CC55A" w14:textId="77777777" w:rsidR="002E4060" w:rsidRPr="00B97868" w:rsidRDefault="002E4060" w:rsidP="002E4060">
            <w:pPr>
              <w:keepNext/>
              <w:adjustRightInd w:val="0"/>
              <w:spacing w:before="60" w:after="60" w:line="240" w:lineRule="auto"/>
              <w:jc w:val="center"/>
              <w:rPr>
                <w:b/>
                <w:bCs/>
                <w:sz w:val="18"/>
                <w:szCs w:val="18"/>
              </w:rPr>
            </w:pPr>
            <w:r w:rsidRPr="00B97868">
              <w:rPr>
                <w:b/>
                <w:bCs/>
                <w:sz w:val="18"/>
                <w:szCs w:val="18"/>
              </w:rPr>
              <w:t>Palbociclib</w:t>
            </w:r>
          </w:p>
        </w:tc>
        <w:tc>
          <w:tcPr>
            <w:tcW w:w="1490" w:type="dxa"/>
            <w:shd w:val="clear" w:color="auto" w:fill="auto"/>
            <w:vAlign w:val="center"/>
          </w:tcPr>
          <w:p w14:paraId="7A4BF026" w14:textId="77777777" w:rsidR="002E4060" w:rsidRPr="00B97868" w:rsidRDefault="002E4060" w:rsidP="002E4060">
            <w:pPr>
              <w:keepNext/>
              <w:adjustRightInd w:val="0"/>
              <w:spacing w:before="60" w:after="60" w:line="240" w:lineRule="auto"/>
              <w:jc w:val="center"/>
              <w:rPr>
                <w:b/>
                <w:bCs/>
                <w:sz w:val="18"/>
                <w:szCs w:val="18"/>
              </w:rPr>
            </w:pPr>
            <w:r w:rsidRPr="00B97868">
              <w:rPr>
                <w:b/>
                <w:bCs/>
                <w:sz w:val="18"/>
                <w:szCs w:val="18"/>
              </w:rPr>
              <w:t>Letrozole</w:t>
            </w:r>
          </w:p>
        </w:tc>
      </w:tr>
      <w:tr w:rsidR="002E4060" w:rsidRPr="00B97868" w14:paraId="05044949" w14:textId="77777777" w:rsidTr="00D41F59">
        <w:trPr>
          <w:cantSplit/>
          <w:trHeight w:val="288"/>
          <w:jc w:val="center"/>
        </w:trPr>
        <w:tc>
          <w:tcPr>
            <w:tcW w:w="2411" w:type="dxa"/>
            <w:vMerge w:val="restart"/>
            <w:shd w:val="clear" w:color="auto" w:fill="auto"/>
            <w:tcMar>
              <w:left w:w="60" w:type="dxa"/>
              <w:right w:w="60" w:type="dxa"/>
            </w:tcMar>
            <w:vAlign w:val="center"/>
          </w:tcPr>
          <w:p w14:paraId="5B360DF1" w14:textId="77777777" w:rsidR="002E4060" w:rsidRPr="00B97868" w:rsidRDefault="002E4060" w:rsidP="002E4060">
            <w:pPr>
              <w:keepNext/>
              <w:adjustRightInd w:val="0"/>
              <w:spacing w:before="60" w:after="60" w:line="240" w:lineRule="auto"/>
              <w:rPr>
                <w:b/>
                <w:bCs/>
                <w:sz w:val="18"/>
                <w:szCs w:val="18"/>
                <w:lang w:val="en-GB"/>
              </w:rPr>
            </w:pPr>
            <w:r w:rsidRPr="00B97868">
              <w:rPr>
                <w:b/>
                <w:sz w:val="18"/>
                <w:szCs w:val="18"/>
                <w:lang w:val="en-GB"/>
              </w:rPr>
              <w:t xml:space="preserve">Median </w:t>
            </w:r>
            <w:r w:rsidRPr="00B97868">
              <w:rPr>
                <w:b/>
                <w:bCs/>
                <w:sz w:val="18"/>
                <w:szCs w:val="18"/>
                <w:lang w:val="en-GB"/>
              </w:rPr>
              <w:t xml:space="preserve">Relative Dose Intensity </w:t>
            </w:r>
            <w:r w:rsidRPr="00B97868">
              <w:rPr>
                <w:color w:val="000000"/>
                <w:sz w:val="18"/>
                <w:szCs w:val="18"/>
                <w:lang w:val="en-GB"/>
              </w:rPr>
              <w:t>–</w:t>
            </w:r>
            <w:r w:rsidRPr="00B97868">
              <w:rPr>
                <w:b/>
                <w:bCs/>
                <w:sz w:val="18"/>
                <w:szCs w:val="18"/>
                <w:lang w:val="en-GB"/>
              </w:rPr>
              <w:t xml:space="preserve"> </w:t>
            </w:r>
            <w:r w:rsidRPr="00B97868">
              <w:rPr>
                <w:bCs/>
                <w:sz w:val="18"/>
                <w:szCs w:val="18"/>
                <w:lang w:val="en-GB"/>
              </w:rPr>
              <w:t>% (range)</w:t>
            </w:r>
          </w:p>
        </w:tc>
        <w:tc>
          <w:tcPr>
            <w:tcW w:w="2946" w:type="dxa"/>
            <w:gridSpan w:val="2"/>
            <w:shd w:val="clear" w:color="auto" w:fill="auto"/>
            <w:vAlign w:val="center"/>
          </w:tcPr>
          <w:p w14:paraId="43C1B077" w14:textId="77777777" w:rsidR="002E4060" w:rsidRPr="00B97868" w:rsidRDefault="002E4060" w:rsidP="002E4060">
            <w:pPr>
              <w:keepNext/>
              <w:adjustRightInd w:val="0"/>
              <w:spacing w:before="60" w:after="60" w:line="240" w:lineRule="auto"/>
              <w:jc w:val="center"/>
              <w:rPr>
                <w:bCs/>
                <w:sz w:val="18"/>
                <w:szCs w:val="18"/>
              </w:rPr>
            </w:pPr>
            <w:r w:rsidRPr="00B97868">
              <w:rPr>
                <w:bCs/>
                <w:sz w:val="18"/>
                <w:szCs w:val="18"/>
              </w:rPr>
              <w:t>94.2 (54.1)</w:t>
            </w:r>
          </w:p>
        </w:tc>
        <w:tc>
          <w:tcPr>
            <w:tcW w:w="3142" w:type="dxa"/>
            <w:gridSpan w:val="2"/>
            <w:shd w:val="clear" w:color="auto" w:fill="auto"/>
            <w:tcMar>
              <w:left w:w="60" w:type="dxa"/>
              <w:right w:w="60" w:type="dxa"/>
            </w:tcMar>
            <w:vAlign w:val="center"/>
          </w:tcPr>
          <w:p w14:paraId="789B9DDE" w14:textId="77777777" w:rsidR="002E4060" w:rsidRPr="00B97868" w:rsidRDefault="002E4060" w:rsidP="002E4060">
            <w:pPr>
              <w:keepNext/>
              <w:adjustRightInd w:val="0"/>
              <w:spacing w:before="60" w:after="60" w:line="240" w:lineRule="auto"/>
              <w:jc w:val="center"/>
              <w:rPr>
                <w:bCs/>
                <w:sz w:val="18"/>
                <w:szCs w:val="18"/>
              </w:rPr>
            </w:pPr>
            <w:r w:rsidRPr="00B97868">
              <w:rPr>
                <w:bCs/>
                <w:sz w:val="18"/>
                <w:szCs w:val="18"/>
              </w:rPr>
              <w:t>92.7 (84.1)</w:t>
            </w:r>
          </w:p>
        </w:tc>
      </w:tr>
      <w:tr w:rsidR="002E4060" w:rsidRPr="00B97868" w14:paraId="0F9C7F01" w14:textId="77777777" w:rsidTr="00D41F59">
        <w:trPr>
          <w:cantSplit/>
          <w:trHeight w:val="288"/>
          <w:jc w:val="center"/>
        </w:trPr>
        <w:tc>
          <w:tcPr>
            <w:tcW w:w="2411" w:type="dxa"/>
            <w:vMerge/>
            <w:shd w:val="clear" w:color="auto" w:fill="auto"/>
            <w:tcMar>
              <w:left w:w="60" w:type="dxa"/>
              <w:right w:w="60" w:type="dxa"/>
            </w:tcMar>
            <w:vAlign w:val="center"/>
          </w:tcPr>
          <w:p w14:paraId="107C1DE9" w14:textId="77777777" w:rsidR="002E4060" w:rsidRPr="00B97868" w:rsidRDefault="002E4060" w:rsidP="002E4060">
            <w:pPr>
              <w:keepNext/>
              <w:adjustRightInd w:val="0"/>
              <w:spacing w:before="60" w:after="60" w:line="240" w:lineRule="auto"/>
              <w:rPr>
                <w:b/>
                <w:sz w:val="18"/>
                <w:szCs w:val="18"/>
              </w:rPr>
            </w:pPr>
          </w:p>
        </w:tc>
        <w:tc>
          <w:tcPr>
            <w:tcW w:w="1449" w:type="dxa"/>
            <w:shd w:val="clear" w:color="auto" w:fill="auto"/>
            <w:vAlign w:val="center"/>
          </w:tcPr>
          <w:p w14:paraId="04942374" w14:textId="77777777" w:rsidR="002E4060" w:rsidRPr="00B97868" w:rsidRDefault="002E4060" w:rsidP="002E4060">
            <w:pPr>
              <w:keepNext/>
              <w:adjustRightInd w:val="0"/>
              <w:spacing w:before="60" w:after="60" w:line="240" w:lineRule="auto"/>
              <w:jc w:val="center"/>
              <w:rPr>
                <w:sz w:val="18"/>
                <w:szCs w:val="18"/>
              </w:rPr>
            </w:pPr>
            <w:r w:rsidRPr="00B97868">
              <w:rPr>
                <w:bCs/>
                <w:sz w:val="18"/>
                <w:szCs w:val="18"/>
              </w:rPr>
              <w:t>91.7 (106.1)</w:t>
            </w:r>
          </w:p>
        </w:tc>
        <w:tc>
          <w:tcPr>
            <w:tcW w:w="1497" w:type="dxa"/>
            <w:shd w:val="clear" w:color="auto" w:fill="auto"/>
            <w:vAlign w:val="center"/>
          </w:tcPr>
          <w:p w14:paraId="4220C845" w14:textId="77777777" w:rsidR="002E4060" w:rsidRPr="00B97868" w:rsidRDefault="002E4060" w:rsidP="002E4060">
            <w:pPr>
              <w:keepNext/>
              <w:adjustRightInd w:val="0"/>
              <w:spacing w:before="60" w:after="60" w:line="240" w:lineRule="auto"/>
              <w:jc w:val="center"/>
              <w:rPr>
                <w:sz w:val="18"/>
                <w:szCs w:val="18"/>
              </w:rPr>
            </w:pPr>
            <w:r w:rsidRPr="00B97868">
              <w:rPr>
                <w:sz w:val="18"/>
                <w:szCs w:val="18"/>
              </w:rPr>
              <w:t>99.2 (26.8)</w:t>
            </w:r>
          </w:p>
        </w:tc>
        <w:tc>
          <w:tcPr>
            <w:tcW w:w="1652" w:type="dxa"/>
            <w:shd w:val="clear" w:color="auto" w:fill="auto"/>
            <w:tcMar>
              <w:left w:w="60" w:type="dxa"/>
              <w:right w:w="60" w:type="dxa"/>
            </w:tcMar>
            <w:vAlign w:val="center"/>
          </w:tcPr>
          <w:p w14:paraId="7EAFE291" w14:textId="77777777" w:rsidR="002E4060" w:rsidRPr="00B97868" w:rsidRDefault="002E4060" w:rsidP="002E4060">
            <w:pPr>
              <w:keepNext/>
              <w:adjustRightInd w:val="0"/>
              <w:spacing w:before="60" w:after="60" w:line="240" w:lineRule="auto"/>
              <w:jc w:val="center"/>
              <w:rPr>
                <w:sz w:val="18"/>
                <w:szCs w:val="18"/>
              </w:rPr>
            </w:pPr>
            <w:r w:rsidRPr="00B97868">
              <w:rPr>
                <w:sz w:val="18"/>
                <w:szCs w:val="18"/>
              </w:rPr>
              <w:t>90.0 (104.9)</w:t>
            </w:r>
          </w:p>
        </w:tc>
        <w:tc>
          <w:tcPr>
            <w:tcW w:w="1490" w:type="dxa"/>
            <w:shd w:val="clear" w:color="auto" w:fill="auto"/>
            <w:tcMar>
              <w:left w:w="60" w:type="dxa"/>
              <w:right w:w="60" w:type="dxa"/>
            </w:tcMar>
            <w:vAlign w:val="center"/>
          </w:tcPr>
          <w:p w14:paraId="3C93DD45" w14:textId="77777777" w:rsidR="002E4060" w:rsidRPr="00B97868" w:rsidRDefault="002E4060" w:rsidP="002E4060">
            <w:pPr>
              <w:keepNext/>
              <w:adjustRightInd w:val="0"/>
              <w:spacing w:before="60" w:after="60" w:line="240" w:lineRule="auto"/>
              <w:jc w:val="center"/>
              <w:rPr>
                <w:sz w:val="18"/>
                <w:szCs w:val="18"/>
              </w:rPr>
            </w:pPr>
            <w:r w:rsidRPr="00B97868">
              <w:rPr>
                <w:sz w:val="18"/>
                <w:szCs w:val="18"/>
              </w:rPr>
              <w:t>98.8 (106.6)</w:t>
            </w:r>
          </w:p>
        </w:tc>
      </w:tr>
      <w:tr w:rsidR="002E4060" w:rsidRPr="00B97868" w14:paraId="07D97934" w14:textId="77777777" w:rsidTr="00D41F59">
        <w:trPr>
          <w:cantSplit/>
          <w:trHeight w:val="385"/>
          <w:jc w:val="center"/>
        </w:trPr>
        <w:tc>
          <w:tcPr>
            <w:tcW w:w="2411" w:type="dxa"/>
            <w:shd w:val="clear" w:color="auto" w:fill="auto"/>
            <w:tcMar>
              <w:left w:w="60" w:type="dxa"/>
              <w:right w:w="60" w:type="dxa"/>
            </w:tcMar>
            <w:vAlign w:val="center"/>
          </w:tcPr>
          <w:p w14:paraId="01C1022A" w14:textId="77777777" w:rsidR="002E4060" w:rsidRPr="00B97868" w:rsidRDefault="002E4060" w:rsidP="002E4060">
            <w:pPr>
              <w:keepNext/>
              <w:adjustRightInd w:val="0"/>
              <w:spacing w:before="60" w:after="60" w:line="240" w:lineRule="auto"/>
              <w:rPr>
                <w:b/>
                <w:sz w:val="18"/>
                <w:szCs w:val="18"/>
                <w:lang w:val="en-GB"/>
              </w:rPr>
            </w:pPr>
            <w:r w:rsidRPr="00B97868">
              <w:rPr>
                <w:b/>
                <w:sz w:val="18"/>
                <w:szCs w:val="18"/>
                <w:lang w:val="en-GB"/>
              </w:rPr>
              <w:t xml:space="preserve">Median number of cycles </w:t>
            </w:r>
            <w:r w:rsidRPr="00B97868">
              <w:rPr>
                <w:color w:val="000000"/>
                <w:sz w:val="18"/>
                <w:szCs w:val="18"/>
                <w:lang w:val="en-GB"/>
              </w:rPr>
              <w:t>–</w:t>
            </w:r>
            <w:r w:rsidRPr="00B97868">
              <w:rPr>
                <w:sz w:val="18"/>
                <w:szCs w:val="18"/>
                <w:lang w:val="en-GB"/>
              </w:rPr>
              <w:t xml:space="preserve"> N (range)</w:t>
            </w:r>
          </w:p>
        </w:tc>
        <w:tc>
          <w:tcPr>
            <w:tcW w:w="2946" w:type="dxa"/>
            <w:gridSpan w:val="2"/>
            <w:shd w:val="clear" w:color="auto" w:fill="auto"/>
            <w:vAlign w:val="center"/>
          </w:tcPr>
          <w:p w14:paraId="647CAC98" w14:textId="77777777" w:rsidR="002E4060" w:rsidRPr="00B97868" w:rsidRDefault="002E4060" w:rsidP="002E4060">
            <w:pPr>
              <w:keepNext/>
              <w:adjustRightInd w:val="0"/>
              <w:spacing w:before="60" w:after="60" w:line="240" w:lineRule="auto"/>
              <w:jc w:val="center"/>
              <w:rPr>
                <w:sz w:val="18"/>
                <w:szCs w:val="18"/>
              </w:rPr>
            </w:pPr>
            <w:r w:rsidRPr="00B97868">
              <w:rPr>
                <w:sz w:val="18"/>
                <w:szCs w:val="18"/>
              </w:rPr>
              <w:t>26.0 (55.0)</w:t>
            </w:r>
          </w:p>
        </w:tc>
        <w:tc>
          <w:tcPr>
            <w:tcW w:w="3142" w:type="dxa"/>
            <w:gridSpan w:val="2"/>
            <w:shd w:val="clear" w:color="auto" w:fill="auto"/>
            <w:tcMar>
              <w:left w:w="60" w:type="dxa"/>
              <w:right w:w="60" w:type="dxa"/>
            </w:tcMar>
            <w:vAlign w:val="center"/>
          </w:tcPr>
          <w:p w14:paraId="1DF62AED" w14:textId="77777777" w:rsidR="002E4060" w:rsidRPr="00B97868" w:rsidRDefault="002E4060" w:rsidP="002E4060">
            <w:pPr>
              <w:keepNext/>
              <w:adjustRightInd w:val="0"/>
              <w:spacing w:before="60" w:after="60" w:line="240" w:lineRule="auto"/>
              <w:jc w:val="center"/>
              <w:rPr>
                <w:sz w:val="18"/>
                <w:szCs w:val="18"/>
              </w:rPr>
            </w:pPr>
            <w:r w:rsidRPr="00B97868">
              <w:rPr>
                <w:sz w:val="18"/>
                <w:szCs w:val="18"/>
              </w:rPr>
              <w:t>28.0 (55.0)</w:t>
            </w:r>
          </w:p>
        </w:tc>
      </w:tr>
      <w:tr w:rsidR="002E4060" w:rsidRPr="00B97868" w14:paraId="7717E096" w14:textId="77777777" w:rsidTr="00D41F59">
        <w:trPr>
          <w:cantSplit/>
          <w:trHeight w:val="385"/>
          <w:jc w:val="center"/>
        </w:trPr>
        <w:tc>
          <w:tcPr>
            <w:tcW w:w="2411" w:type="dxa"/>
            <w:shd w:val="clear" w:color="auto" w:fill="auto"/>
            <w:tcMar>
              <w:left w:w="60" w:type="dxa"/>
              <w:right w:w="60" w:type="dxa"/>
            </w:tcMar>
            <w:vAlign w:val="center"/>
          </w:tcPr>
          <w:p w14:paraId="3D0B6EB9" w14:textId="77777777" w:rsidR="002E4060" w:rsidRPr="00B97868" w:rsidRDefault="002E4060" w:rsidP="002E4060">
            <w:pPr>
              <w:keepNext/>
              <w:adjustRightInd w:val="0"/>
              <w:spacing w:before="60" w:after="60" w:line="240" w:lineRule="auto"/>
              <w:rPr>
                <w:b/>
                <w:sz w:val="18"/>
                <w:szCs w:val="18"/>
                <w:lang w:val="en-GB"/>
              </w:rPr>
            </w:pPr>
            <w:r w:rsidRPr="00B97868">
              <w:rPr>
                <w:b/>
                <w:sz w:val="18"/>
                <w:szCs w:val="18"/>
                <w:lang w:val="en-GB"/>
              </w:rPr>
              <w:t xml:space="preserve">Median treatment duration </w:t>
            </w:r>
            <w:r w:rsidRPr="00B97868">
              <w:rPr>
                <w:sz w:val="18"/>
                <w:szCs w:val="18"/>
                <w:lang w:val="en-GB"/>
              </w:rPr>
              <w:t>– days (range)</w:t>
            </w:r>
          </w:p>
        </w:tc>
        <w:tc>
          <w:tcPr>
            <w:tcW w:w="1449" w:type="dxa"/>
            <w:shd w:val="clear" w:color="auto" w:fill="auto"/>
            <w:vAlign w:val="center"/>
          </w:tcPr>
          <w:p w14:paraId="7AA376D6" w14:textId="77777777" w:rsidR="002E4060" w:rsidRPr="002578B8" w:rsidRDefault="002E4060" w:rsidP="002E4060">
            <w:pPr>
              <w:keepNext/>
              <w:adjustRightInd w:val="0"/>
              <w:spacing w:before="60" w:after="60" w:line="240" w:lineRule="auto"/>
              <w:jc w:val="center"/>
              <w:rPr>
                <w:sz w:val="18"/>
                <w:szCs w:val="18"/>
              </w:rPr>
            </w:pPr>
            <w:r w:rsidRPr="002578B8">
              <w:rPr>
                <w:color w:val="000000"/>
                <w:sz w:val="18"/>
                <w:szCs w:val="18"/>
              </w:rPr>
              <w:t>738.0 (1,578.0)</w:t>
            </w:r>
          </w:p>
        </w:tc>
        <w:tc>
          <w:tcPr>
            <w:tcW w:w="1497" w:type="dxa"/>
            <w:shd w:val="clear" w:color="auto" w:fill="auto"/>
            <w:vAlign w:val="center"/>
          </w:tcPr>
          <w:p w14:paraId="6C12E274" w14:textId="77777777" w:rsidR="002E4060" w:rsidRPr="002578B8" w:rsidRDefault="002E4060" w:rsidP="002E4060">
            <w:pPr>
              <w:keepNext/>
              <w:adjustRightInd w:val="0"/>
              <w:spacing w:before="60" w:after="60" w:line="240" w:lineRule="auto"/>
              <w:jc w:val="center"/>
              <w:rPr>
                <w:sz w:val="18"/>
                <w:szCs w:val="18"/>
              </w:rPr>
            </w:pPr>
            <w:r w:rsidRPr="002578B8">
              <w:rPr>
                <w:sz w:val="18"/>
                <w:szCs w:val="18"/>
              </w:rPr>
              <w:t>720.0 (1,574.0)</w:t>
            </w:r>
          </w:p>
        </w:tc>
        <w:tc>
          <w:tcPr>
            <w:tcW w:w="1652" w:type="dxa"/>
            <w:shd w:val="clear" w:color="auto" w:fill="auto"/>
            <w:tcMar>
              <w:left w:w="60" w:type="dxa"/>
              <w:right w:w="60" w:type="dxa"/>
            </w:tcMar>
            <w:vAlign w:val="center"/>
          </w:tcPr>
          <w:p w14:paraId="2B867FF1" w14:textId="77777777" w:rsidR="002E4060" w:rsidRPr="002578B8" w:rsidRDefault="002E4060" w:rsidP="002E4060">
            <w:pPr>
              <w:keepNext/>
              <w:adjustRightInd w:val="0"/>
              <w:spacing w:before="60" w:after="60" w:line="240" w:lineRule="auto"/>
              <w:jc w:val="center"/>
              <w:rPr>
                <w:sz w:val="18"/>
                <w:szCs w:val="18"/>
              </w:rPr>
            </w:pPr>
            <w:r w:rsidRPr="002578B8">
              <w:rPr>
                <w:color w:val="000000"/>
                <w:sz w:val="18"/>
                <w:szCs w:val="18"/>
              </w:rPr>
              <w:t>788.0 (1,546.0)</w:t>
            </w:r>
          </w:p>
        </w:tc>
        <w:tc>
          <w:tcPr>
            <w:tcW w:w="1490" w:type="dxa"/>
            <w:shd w:val="clear" w:color="auto" w:fill="auto"/>
            <w:vAlign w:val="center"/>
          </w:tcPr>
          <w:p w14:paraId="61E70782" w14:textId="77777777" w:rsidR="002E4060" w:rsidRPr="002578B8" w:rsidRDefault="002E4060" w:rsidP="002E4060">
            <w:pPr>
              <w:keepNext/>
              <w:adjustRightInd w:val="0"/>
              <w:spacing w:before="60" w:after="60" w:line="240" w:lineRule="auto"/>
              <w:jc w:val="center"/>
              <w:rPr>
                <w:sz w:val="18"/>
                <w:szCs w:val="18"/>
              </w:rPr>
            </w:pPr>
            <w:r w:rsidRPr="002578B8">
              <w:rPr>
                <w:sz w:val="18"/>
                <w:szCs w:val="18"/>
              </w:rPr>
              <w:t>795.5 (1,553.0)</w:t>
            </w:r>
          </w:p>
        </w:tc>
      </w:tr>
      <w:tr w:rsidR="002E4060" w:rsidRPr="00B97868" w14:paraId="0C3CD25C" w14:textId="77777777" w:rsidTr="00D41F59">
        <w:trPr>
          <w:cantSplit/>
          <w:trHeight w:val="426"/>
          <w:jc w:val="center"/>
        </w:trPr>
        <w:tc>
          <w:tcPr>
            <w:tcW w:w="2411" w:type="dxa"/>
            <w:shd w:val="clear" w:color="auto" w:fill="auto"/>
            <w:tcMar>
              <w:left w:w="60" w:type="dxa"/>
              <w:right w:w="60" w:type="dxa"/>
            </w:tcMar>
            <w:vAlign w:val="center"/>
          </w:tcPr>
          <w:p w14:paraId="6A0FDCF1" w14:textId="77777777" w:rsidR="002E4060" w:rsidRPr="00B97868" w:rsidRDefault="002E4060" w:rsidP="002E4060">
            <w:pPr>
              <w:keepNext/>
              <w:adjustRightInd w:val="0"/>
              <w:spacing w:before="60" w:after="60" w:line="240" w:lineRule="auto"/>
              <w:rPr>
                <w:b/>
                <w:sz w:val="18"/>
                <w:szCs w:val="18"/>
                <w:lang w:val="en-GB"/>
              </w:rPr>
            </w:pPr>
            <w:r w:rsidRPr="00B97868">
              <w:rPr>
                <w:b/>
                <w:sz w:val="18"/>
                <w:szCs w:val="18"/>
                <w:lang w:val="en-GB"/>
              </w:rPr>
              <w:t xml:space="preserve">Median days on drug </w:t>
            </w:r>
            <w:r w:rsidRPr="00B97868">
              <w:rPr>
                <w:color w:val="000000"/>
                <w:sz w:val="18"/>
                <w:szCs w:val="18"/>
                <w:lang w:val="en-GB"/>
              </w:rPr>
              <w:t>–</w:t>
            </w:r>
            <w:r w:rsidRPr="00B97868">
              <w:rPr>
                <w:sz w:val="18"/>
                <w:szCs w:val="18"/>
                <w:lang w:val="en-GB"/>
              </w:rPr>
              <w:t xml:space="preserve"> days (range)</w:t>
            </w:r>
          </w:p>
        </w:tc>
        <w:tc>
          <w:tcPr>
            <w:tcW w:w="1449" w:type="dxa"/>
            <w:shd w:val="clear" w:color="auto" w:fill="auto"/>
            <w:vAlign w:val="center"/>
          </w:tcPr>
          <w:p w14:paraId="7D9BEC87" w14:textId="75F9C615" w:rsidR="002E4060" w:rsidRPr="00B97868" w:rsidRDefault="002E4060" w:rsidP="002E4060">
            <w:pPr>
              <w:keepNext/>
              <w:adjustRightInd w:val="0"/>
              <w:spacing w:before="60" w:after="60" w:line="240" w:lineRule="auto"/>
              <w:jc w:val="center"/>
              <w:rPr>
                <w:sz w:val="18"/>
                <w:szCs w:val="18"/>
              </w:rPr>
            </w:pPr>
            <w:r w:rsidRPr="00B97868">
              <w:rPr>
                <w:color w:val="000000"/>
                <w:sz w:val="18"/>
                <w:szCs w:val="18"/>
              </w:rPr>
              <w:t>499.0 (10.0; 1,151.0)</w:t>
            </w:r>
          </w:p>
        </w:tc>
        <w:tc>
          <w:tcPr>
            <w:tcW w:w="1497" w:type="dxa"/>
            <w:shd w:val="clear" w:color="auto" w:fill="auto"/>
            <w:vAlign w:val="center"/>
          </w:tcPr>
          <w:p w14:paraId="61CDF538" w14:textId="0A30FEDB" w:rsidR="002E4060" w:rsidRPr="00B97868" w:rsidRDefault="002E4060" w:rsidP="002E4060">
            <w:pPr>
              <w:keepNext/>
              <w:adjustRightInd w:val="0"/>
              <w:spacing w:before="60" w:after="60" w:line="240" w:lineRule="auto"/>
              <w:jc w:val="center"/>
              <w:rPr>
                <w:sz w:val="18"/>
                <w:szCs w:val="18"/>
              </w:rPr>
            </w:pPr>
            <w:r w:rsidRPr="00B97868">
              <w:rPr>
                <w:color w:val="000000"/>
                <w:sz w:val="18"/>
                <w:szCs w:val="18"/>
              </w:rPr>
              <w:t>27.0 (1.0; 57.0)</w:t>
            </w:r>
          </w:p>
        </w:tc>
        <w:tc>
          <w:tcPr>
            <w:tcW w:w="1652" w:type="dxa"/>
            <w:shd w:val="clear" w:color="auto" w:fill="auto"/>
            <w:tcMar>
              <w:left w:w="60" w:type="dxa"/>
              <w:right w:w="60" w:type="dxa"/>
            </w:tcMar>
            <w:vAlign w:val="center"/>
          </w:tcPr>
          <w:p w14:paraId="3545610D" w14:textId="14ADC857" w:rsidR="002E4060" w:rsidRPr="00B97868" w:rsidRDefault="002E4060" w:rsidP="002E4060">
            <w:pPr>
              <w:keepNext/>
              <w:adjustRightInd w:val="0"/>
              <w:spacing w:before="60" w:after="60" w:line="240" w:lineRule="auto"/>
              <w:jc w:val="center"/>
              <w:rPr>
                <w:sz w:val="18"/>
                <w:szCs w:val="18"/>
              </w:rPr>
            </w:pPr>
            <w:r w:rsidRPr="00B97868">
              <w:rPr>
                <w:color w:val="000000"/>
                <w:sz w:val="18"/>
                <w:szCs w:val="18"/>
              </w:rPr>
              <w:t>553.5 (6.0; 1,171.0)</w:t>
            </w:r>
          </w:p>
        </w:tc>
        <w:tc>
          <w:tcPr>
            <w:tcW w:w="1490" w:type="dxa"/>
            <w:shd w:val="clear" w:color="auto" w:fill="auto"/>
            <w:tcMar>
              <w:left w:w="60" w:type="dxa"/>
              <w:right w:w="60" w:type="dxa"/>
            </w:tcMar>
            <w:vAlign w:val="center"/>
          </w:tcPr>
          <w:p w14:paraId="41A9054A" w14:textId="69EB6E98" w:rsidR="002E4060" w:rsidRPr="00B97868" w:rsidRDefault="002E4060" w:rsidP="002E4060">
            <w:pPr>
              <w:keepNext/>
              <w:adjustRightInd w:val="0"/>
              <w:spacing w:before="60" w:after="60" w:line="240" w:lineRule="auto"/>
              <w:jc w:val="center"/>
              <w:rPr>
                <w:sz w:val="18"/>
                <w:szCs w:val="18"/>
              </w:rPr>
            </w:pPr>
            <w:r w:rsidRPr="00B97868">
              <w:rPr>
                <w:color w:val="000000"/>
                <w:sz w:val="18"/>
                <w:szCs w:val="18"/>
              </w:rPr>
              <w:t>784.0 (6.0; 1,567.0)</w:t>
            </w:r>
          </w:p>
        </w:tc>
      </w:tr>
      <w:tr w:rsidR="002E4060" w:rsidRPr="00B97868" w14:paraId="3AFAA9A7" w14:textId="77777777" w:rsidTr="00D41F59">
        <w:trPr>
          <w:cantSplit/>
          <w:trHeight w:val="385"/>
          <w:jc w:val="center"/>
        </w:trPr>
        <w:tc>
          <w:tcPr>
            <w:tcW w:w="2411" w:type="dxa"/>
            <w:shd w:val="clear" w:color="auto" w:fill="auto"/>
            <w:tcMar>
              <w:left w:w="60" w:type="dxa"/>
              <w:right w:w="60" w:type="dxa"/>
            </w:tcMar>
            <w:vAlign w:val="center"/>
          </w:tcPr>
          <w:p w14:paraId="145ECB2C" w14:textId="77777777" w:rsidR="002E4060" w:rsidRPr="00B97868" w:rsidRDefault="002E4060" w:rsidP="002E4060">
            <w:pPr>
              <w:keepNext/>
              <w:adjustRightInd w:val="0"/>
              <w:spacing w:before="60" w:after="60" w:line="240" w:lineRule="auto"/>
              <w:rPr>
                <w:b/>
                <w:color w:val="000000"/>
                <w:sz w:val="18"/>
                <w:szCs w:val="18"/>
              </w:rPr>
            </w:pPr>
            <w:r w:rsidRPr="00B97868">
              <w:rPr>
                <w:b/>
                <w:color w:val="000000"/>
                <w:sz w:val="18"/>
                <w:szCs w:val="18"/>
              </w:rPr>
              <w:t xml:space="preserve">Dose reductions </w:t>
            </w:r>
            <w:r w:rsidRPr="00B97868">
              <w:rPr>
                <w:color w:val="000000"/>
                <w:sz w:val="18"/>
                <w:szCs w:val="18"/>
                <w:lang w:val="en-GB"/>
              </w:rPr>
              <w:t>–</w:t>
            </w:r>
            <w:r w:rsidRPr="00B97868">
              <w:rPr>
                <w:b/>
                <w:color w:val="000000"/>
                <w:sz w:val="18"/>
                <w:szCs w:val="18"/>
              </w:rPr>
              <w:t xml:space="preserve"> </w:t>
            </w:r>
            <w:r w:rsidRPr="00AD276A">
              <w:rPr>
                <w:color w:val="000000"/>
                <w:sz w:val="18"/>
                <w:szCs w:val="18"/>
              </w:rPr>
              <w:t>N (%) [95% CI]</w:t>
            </w:r>
          </w:p>
        </w:tc>
        <w:tc>
          <w:tcPr>
            <w:tcW w:w="2946" w:type="dxa"/>
            <w:gridSpan w:val="2"/>
            <w:shd w:val="clear" w:color="auto" w:fill="auto"/>
            <w:vAlign w:val="center"/>
          </w:tcPr>
          <w:p w14:paraId="13A50FDC" w14:textId="3DE966C3" w:rsidR="002E4060" w:rsidRPr="00B97868" w:rsidRDefault="002E4060" w:rsidP="002E4060">
            <w:pPr>
              <w:keepNext/>
              <w:adjustRightInd w:val="0"/>
              <w:spacing w:before="60" w:after="60" w:line="240" w:lineRule="auto"/>
              <w:jc w:val="center"/>
              <w:rPr>
                <w:color w:val="000000"/>
                <w:sz w:val="18"/>
                <w:szCs w:val="18"/>
              </w:rPr>
            </w:pPr>
            <w:r w:rsidRPr="00B97868">
              <w:rPr>
                <w:color w:val="000000"/>
                <w:sz w:val="18"/>
                <w:szCs w:val="18"/>
              </w:rPr>
              <w:t>85 (35.3%)</w:t>
            </w:r>
            <w:r>
              <w:rPr>
                <w:color w:val="000000"/>
                <w:sz w:val="18"/>
                <w:szCs w:val="18"/>
              </w:rPr>
              <w:t xml:space="preserve"> </w:t>
            </w:r>
            <w:r w:rsidRPr="00B97868">
              <w:rPr>
                <w:color w:val="000000"/>
                <w:sz w:val="18"/>
                <w:szCs w:val="18"/>
              </w:rPr>
              <w:t>[29.2%; 41.7%]</w:t>
            </w:r>
          </w:p>
        </w:tc>
        <w:tc>
          <w:tcPr>
            <w:tcW w:w="3142" w:type="dxa"/>
            <w:gridSpan w:val="2"/>
            <w:shd w:val="clear" w:color="auto" w:fill="auto"/>
            <w:tcMar>
              <w:left w:w="60" w:type="dxa"/>
              <w:right w:w="60" w:type="dxa"/>
            </w:tcMar>
            <w:vAlign w:val="center"/>
          </w:tcPr>
          <w:p w14:paraId="3E5E193A" w14:textId="15254AEA" w:rsidR="002E4060" w:rsidRPr="00B97868" w:rsidRDefault="002E4060" w:rsidP="002E4060">
            <w:pPr>
              <w:keepNext/>
              <w:adjustRightInd w:val="0"/>
              <w:spacing w:before="60" w:after="60" w:line="240" w:lineRule="auto"/>
              <w:jc w:val="center"/>
              <w:rPr>
                <w:color w:val="000000"/>
                <w:sz w:val="18"/>
                <w:szCs w:val="18"/>
              </w:rPr>
            </w:pPr>
            <w:r w:rsidRPr="00B97868">
              <w:rPr>
                <w:color w:val="000000"/>
                <w:sz w:val="18"/>
                <w:szCs w:val="18"/>
              </w:rPr>
              <w:t>108</w:t>
            </w:r>
            <w:r>
              <w:rPr>
                <w:color w:val="000000"/>
                <w:sz w:val="18"/>
                <w:szCs w:val="18"/>
              </w:rPr>
              <w:t xml:space="preserve"> </w:t>
            </w:r>
            <w:r w:rsidRPr="00B97868">
              <w:rPr>
                <w:color w:val="000000"/>
                <w:sz w:val="18"/>
                <w:szCs w:val="18"/>
              </w:rPr>
              <w:t>(44.6%) [38.3%; 51.1%]</w:t>
            </w:r>
          </w:p>
        </w:tc>
      </w:tr>
      <w:tr w:rsidR="002E4060" w:rsidRPr="00B97868" w14:paraId="4494F8E4" w14:textId="77777777" w:rsidTr="00D41F59">
        <w:trPr>
          <w:cantSplit/>
          <w:trHeight w:val="385"/>
          <w:jc w:val="center"/>
        </w:trPr>
        <w:tc>
          <w:tcPr>
            <w:tcW w:w="2411" w:type="dxa"/>
            <w:shd w:val="clear" w:color="auto" w:fill="auto"/>
            <w:tcMar>
              <w:left w:w="60" w:type="dxa"/>
              <w:right w:w="60" w:type="dxa"/>
            </w:tcMar>
            <w:vAlign w:val="center"/>
          </w:tcPr>
          <w:p w14:paraId="3D4B2E81" w14:textId="77777777" w:rsidR="002E4060" w:rsidRPr="00B97868" w:rsidRDefault="002E4060" w:rsidP="002E4060">
            <w:pPr>
              <w:keepNext/>
              <w:adjustRightInd w:val="0"/>
              <w:spacing w:before="60" w:after="60" w:line="240" w:lineRule="auto"/>
              <w:rPr>
                <w:b/>
                <w:color w:val="000000"/>
                <w:sz w:val="18"/>
                <w:szCs w:val="18"/>
                <w:lang w:val="en-GB"/>
              </w:rPr>
            </w:pPr>
            <w:r w:rsidRPr="00B97868">
              <w:rPr>
                <w:b/>
                <w:color w:val="000000"/>
                <w:sz w:val="18"/>
                <w:szCs w:val="18"/>
                <w:lang w:val="en-GB"/>
              </w:rPr>
              <w:t xml:space="preserve">At least 1 cycle delayed </w:t>
            </w:r>
            <w:r w:rsidRPr="00B97868">
              <w:rPr>
                <w:color w:val="000000"/>
                <w:sz w:val="18"/>
                <w:szCs w:val="18"/>
                <w:lang w:val="en-GB"/>
              </w:rPr>
              <w:t>- N (%) [95% CI]</w:t>
            </w:r>
          </w:p>
        </w:tc>
        <w:tc>
          <w:tcPr>
            <w:tcW w:w="2946" w:type="dxa"/>
            <w:gridSpan w:val="2"/>
            <w:shd w:val="clear" w:color="auto" w:fill="auto"/>
            <w:vAlign w:val="center"/>
          </w:tcPr>
          <w:p w14:paraId="0843E59B" w14:textId="48C4984E" w:rsidR="002E4060" w:rsidRPr="00B97868" w:rsidRDefault="002E4060" w:rsidP="002E4060">
            <w:pPr>
              <w:keepNext/>
              <w:adjustRightInd w:val="0"/>
              <w:spacing w:before="60" w:after="60" w:line="240" w:lineRule="auto"/>
              <w:jc w:val="center"/>
              <w:rPr>
                <w:color w:val="000000"/>
                <w:sz w:val="18"/>
                <w:szCs w:val="18"/>
              </w:rPr>
            </w:pPr>
            <w:r w:rsidRPr="00B97868">
              <w:rPr>
                <w:color w:val="000000"/>
                <w:sz w:val="18"/>
                <w:szCs w:val="18"/>
              </w:rPr>
              <w:t>118 (49.0%) [42.5%; 55.5%]</w:t>
            </w:r>
          </w:p>
        </w:tc>
        <w:tc>
          <w:tcPr>
            <w:tcW w:w="3142" w:type="dxa"/>
            <w:gridSpan w:val="2"/>
            <w:shd w:val="clear" w:color="auto" w:fill="auto"/>
            <w:tcMar>
              <w:left w:w="60" w:type="dxa"/>
              <w:right w:w="60" w:type="dxa"/>
            </w:tcMar>
            <w:vAlign w:val="center"/>
          </w:tcPr>
          <w:p w14:paraId="2FCC1D83" w14:textId="76D6E05F" w:rsidR="002E4060" w:rsidRPr="00B97868" w:rsidRDefault="002E4060" w:rsidP="002E4060">
            <w:pPr>
              <w:keepNext/>
              <w:adjustRightInd w:val="0"/>
              <w:spacing w:before="60" w:after="60" w:line="240" w:lineRule="auto"/>
              <w:jc w:val="center"/>
              <w:rPr>
                <w:color w:val="000000"/>
                <w:sz w:val="18"/>
                <w:szCs w:val="18"/>
              </w:rPr>
            </w:pPr>
            <w:r w:rsidRPr="00B97868">
              <w:rPr>
                <w:color w:val="000000"/>
                <w:sz w:val="18"/>
                <w:szCs w:val="18"/>
              </w:rPr>
              <w:t>123 (50.8%) [44.3%; 57.3%]</w:t>
            </w:r>
          </w:p>
        </w:tc>
      </w:tr>
      <w:tr w:rsidR="002E4060" w:rsidRPr="00B97868" w14:paraId="5CA71F12" w14:textId="77777777" w:rsidTr="00D41F59">
        <w:trPr>
          <w:cantSplit/>
          <w:trHeight w:val="411"/>
          <w:jc w:val="center"/>
        </w:trPr>
        <w:tc>
          <w:tcPr>
            <w:tcW w:w="2411" w:type="dxa"/>
            <w:shd w:val="clear" w:color="auto" w:fill="auto"/>
            <w:tcMar>
              <w:left w:w="60" w:type="dxa"/>
              <w:right w:w="60" w:type="dxa"/>
            </w:tcMar>
            <w:vAlign w:val="center"/>
          </w:tcPr>
          <w:p w14:paraId="221D158D" w14:textId="77777777" w:rsidR="002E4060" w:rsidRPr="00B97868" w:rsidRDefault="002E4060" w:rsidP="002E4060">
            <w:pPr>
              <w:keepNext/>
              <w:adjustRightInd w:val="0"/>
              <w:spacing w:before="60" w:after="60" w:line="240" w:lineRule="auto"/>
              <w:rPr>
                <w:b/>
                <w:color w:val="000000"/>
                <w:sz w:val="18"/>
                <w:szCs w:val="18"/>
                <w:lang w:val="en-GB"/>
              </w:rPr>
            </w:pPr>
            <w:r w:rsidRPr="00B97868">
              <w:rPr>
                <w:b/>
                <w:color w:val="000000"/>
                <w:sz w:val="18"/>
                <w:szCs w:val="18"/>
                <w:lang w:val="en-GB"/>
              </w:rPr>
              <w:t>M</w:t>
            </w:r>
            <w:r>
              <w:rPr>
                <w:b/>
                <w:color w:val="000000"/>
                <w:sz w:val="18"/>
                <w:szCs w:val="18"/>
                <w:lang w:val="en-GB"/>
              </w:rPr>
              <w:t>ean</w:t>
            </w:r>
            <w:r w:rsidRPr="00B97868">
              <w:rPr>
                <w:b/>
                <w:color w:val="000000"/>
                <w:sz w:val="18"/>
                <w:szCs w:val="18"/>
                <w:lang w:val="en-GB"/>
              </w:rPr>
              <w:t xml:space="preserve"> dose interruptions </w:t>
            </w:r>
            <w:r w:rsidRPr="00B97868">
              <w:rPr>
                <w:color w:val="000000"/>
                <w:sz w:val="18"/>
                <w:szCs w:val="18"/>
                <w:lang w:val="en-GB"/>
              </w:rPr>
              <w:t>– days (range)</w:t>
            </w:r>
          </w:p>
        </w:tc>
        <w:tc>
          <w:tcPr>
            <w:tcW w:w="1449" w:type="dxa"/>
            <w:shd w:val="clear" w:color="auto" w:fill="auto"/>
            <w:vAlign w:val="center"/>
          </w:tcPr>
          <w:p w14:paraId="50D08A14" w14:textId="2C6A87A9" w:rsidR="002E4060" w:rsidRPr="00B97868" w:rsidRDefault="002E4060" w:rsidP="002E4060">
            <w:pPr>
              <w:keepNext/>
              <w:adjustRightInd w:val="0"/>
              <w:spacing w:before="60" w:after="60" w:line="240" w:lineRule="auto"/>
              <w:jc w:val="center"/>
              <w:rPr>
                <w:color w:val="000000"/>
                <w:sz w:val="18"/>
                <w:szCs w:val="18"/>
                <w:lang w:val="en-GB"/>
              </w:rPr>
            </w:pPr>
            <w:r w:rsidRPr="00280688">
              <w:rPr>
                <w:color w:val="000000"/>
                <w:sz w:val="18"/>
                <w:szCs w:val="18"/>
              </w:rPr>
              <w:t xml:space="preserve">45.5 </w:t>
            </w:r>
            <w:r w:rsidRPr="00B97868">
              <w:rPr>
                <w:color w:val="000000"/>
                <w:sz w:val="18"/>
                <w:szCs w:val="18"/>
              </w:rPr>
              <w:t>(0.0; 900.0)</w:t>
            </w:r>
          </w:p>
        </w:tc>
        <w:tc>
          <w:tcPr>
            <w:tcW w:w="1497" w:type="dxa"/>
            <w:shd w:val="clear" w:color="auto" w:fill="auto"/>
            <w:vAlign w:val="center"/>
          </w:tcPr>
          <w:p w14:paraId="6B4E0285" w14:textId="0DE32EA5" w:rsidR="002E4060" w:rsidRPr="00B97868" w:rsidRDefault="002E4060" w:rsidP="002E4060">
            <w:pPr>
              <w:keepNext/>
              <w:adjustRightInd w:val="0"/>
              <w:spacing w:before="60" w:after="60" w:line="240" w:lineRule="auto"/>
              <w:jc w:val="center"/>
              <w:rPr>
                <w:color w:val="000000"/>
                <w:sz w:val="18"/>
                <w:szCs w:val="18"/>
                <w:lang w:val="en-GB"/>
              </w:rPr>
            </w:pPr>
            <w:r w:rsidRPr="00280688">
              <w:rPr>
                <w:color w:val="000000"/>
                <w:sz w:val="18"/>
                <w:szCs w:val="18"/>
              </w:rPr>
              <w:t xml:space="preserve">0.1 </w:t>
            </w:r>
            <w:r w:rsidRPr="00B97868">
              <w:rPr>
                <w:color w:val="000000"/>
                <w:sz w:val="18"/>
                <w:szCs w:val="18"/>
              </w:rPr>
              <w:t>(0.0; 1.0)</w:t>
            </w:r>
          </w:p>
        </w:tc>
        <w:tc>
          <w:tcPr>
            <w:tcW w:w="1652" w:type="dxa"/>
            <w:shd w:val="clear" w:color="auto" w:fill="auto"/>
            <w:tcMar>
              <w:left w:w="60" w:type="dxa"/>
              <w:right w:w="60" w:type="dxa"/>
            </w:tcMar>
            <w:vAlign w:val="center"/>
          </w:tcPr>
          <w:p w14:paraId="2AC39FAE" w14:textId="5F813805" w:rsidR="002E4060" w:rsidRPr="00B97868" w:rsidRDefault="002E4060" w:rsidP="002E4060">
            <w:pPr>
              <w:adjustRightInd w:val="0"/>
              <w:spacing w:before="60" w:after="60" w:line="240" w:lineRule="auto"/>
              <w:jc w:val="center"/>
              <w:rPr>
                <w:color w:val="000000"/>
                <w:sz w:val="18"/>
                <w:szCs w:val="18"/>
                <w:lang w:val="en-GB"/>
              </w:rPr>
            </w:pPr>
            <w:r w:rsidRPr="00280688">
              <w:rPr>
                <w:color w:val="000000"/>
                <w:sz w:val="18"/>
                <w:szCs w:val="18"/>
              </w:rPr>
              <w:t xml:space="preserve">34.1 </w:t>
            </w:r>
            <w:r w:rsidRPr="00B97868">
              <w:rPr>
                <w:color w:val="000000"/>
                <w:sz w:val="18"/>
                <w:szCs w:val="18"/>
              </w:rPr>
              <w:t>(0.0; 254.0)</w:t>
            </w:r>
          </w:p>
        </w:tc>
        <w:tc>
          <w:tcPr>
            <w:tcW w:w="1490" w:type="dxa"/>
            <w:shd w:val="clear" w:color="auto" w:fill="auto"/>
            <w:vAlign w:val="center"/>
          </w:tcPr>
          <w:p w14:paraId="2DD19753" w14:textId="7B4F0DFA" w:rsidR="002E4060" w:rsidRPr="00B97868" w:rsidRDefault="002E4060" w:rsidP="002E4060">
            <w:pPr>
              <w:adjustRightInd w:val="0"/>
              <w:spacing w:before="60" w:after="60" w:line="240" w:lineRule="auto"/>
              <w:jc w:val="center"/>
              <w:rPr>
                <w:color w:val="000000"/>
                <w:sz w:val="18"/>
                <w:szCs w:val="18"/>
                <w:lang w:val="en-GB"/>
              </w:rPr>
            </w:pPr>
            <w:r w:rsidRPr="00280688">
              <w:rPr>
                <w:color w:val="000000"/>
                <w:sz w:val="18"/>
                <w:szCs w:val="18"/>
              </w:rPr>
              <w:t xml:space="preserve">5.8 </w:t>
            </w:r>
            <w:r w:rsidRPr="00B97868">
              <w:rPr>
                <w:color w:val="000000"/>
                <w:sz w:val="18"/>
                <w:szCs w:val="18"/>
              </w:rPr>
              <w:t>(0.0; 61.0)</w:t>
            </w:r>
          </w:p>
        </w:tc>
      </w:tr>
      <w:tr w:rsidR="002E4060" w:rsidRPr="00B97868" w14:paraId="2E353126" w14:textId="77777777" w:rsidTr="00D41F59">
        <w:trPr>
          <w:cantSplit/>
          <w:trHeight w:val="417"/>
          <w:jc w:val="center"/>
        </w:trPr>
        <w:tc>
          <w:tcPr>
            <w:tcW w:w="2411" w:type="dxa"/>
            <w:shd w:val="clear" w:color="auto" w:fill="auto"/>
            <w:tcMar>
              <w:left w:w="60" w:type="dxa"/>
              <w:right w:w="60" w:type="dxa"/>
            </w:tcMar>
            <w:vAlign w:val="center"/>
          </w:tcPr>
          <w:p w14:paraId="125FE02A" w14:textId="77777777" w:rsidR="002E4060" w:rsidRPr="00B97868" w:rsidRDefault="002E4060" w:rsidP="002E4060">
            <w:pPr>
              <w:keepNext/>
              <w:adjustRightInd w:val="0"/>
              <w:spacing w:before="60" w:after="60" w:line="240" w:lineRule="auto"/>
              <w:rPr>
                <w:b/>
                <w:color w:val="000000"/>
                <w:sz w:val="18"/>
                <w:szCs w:val="18"/>
                <w:lang w:val="en-GB"/>
              </w:rPr>
            </w:pPr>
            <w:r w:rsidRPr="00B97868">
              <w:rPr>
                <w:b/>
                <w:color w:val="000000"/>
                <w:sz w:val="18"/>
                <w:szCs w:val="18"/>
                <w:lang w:val="en-GB"/>
              </w:rPr>
              <w:t>M</w:t>
            </w:r>
            <w:r>
              <w:rPr>
                <w:b/>
                <w:color w:val="000000"/>
                <w:sz w:val="18"/>
                <w:szCs w:val="18"/>
                <w:lang w:val="en-GB"/>
              </w:rPr>
              <w:t>ean</w:t>
            </w:r>
            <w:r w:rsidRPr="00B97868">
              <w:rPr>
                <w:b/>
                <w:color w:val="000000"/>
                <w:sz w:val="18"/>
                <w:szCs w:val="18"/>
                <w:lang w:val="en-GB"/>
              </w:rPr>
              <w:t xml:space="preserve"> dose reductions </w:t>
            </w:r>
            <w:r w:rsidRPr="00B97868">
              <w:rPr>
                <w:color w:val="000000"/>
                <w:sz w:val="18"/>
                <w:szCs w:val="18"/>
                <w:lang w:val="en-GB"/>
              </w:rPr>
              <w:t>– days (range)</w:t>
            </w:r>
          </w:p>
        </w:tc>
        <w:tc>
          <w:tcPr>
            <w:tcW w:w="1449" w:type="dxa"/>
            <w:shd w:val="clear" w:color="auto" w:fill="auto"/>
            <w:vAlign w:val="center"/>
          </w:tcPr>
          <w:p w14:paraId="032770F2" w14:textId="22D81AD2" w:rsidR="002E4060" w:rsidRPr="00B97868" w:rsidRDefault="002E4060" w:rsidP="002E4060">
            <w:pPr>
              <w:keepNext/>
              <w:adjustRightInd w:val="0"/>
              <w:spacing w:before="60" w:after="60" w:line="240" w:lineRule="auto"/>
              <w:jc w:val="center"/>
              <w:rPr>
                <w:color w:val="000000"/>
                <w:sz w:val="18"/>
                <w:szCs w:val="18"/>
                <w:lang w:val="en-GB"/>
              </w:rPr>
            </w:pPr>
            <w:r w:rsidRPr="00280688">
              <w:rPr>
                <w:color w:val="000000"/>
                <w:sz w:val="18"/>
                <w:szCs w:val="18"/>
              </w:rPr>
              <w:t xml:space="preserve">6.1 </w:t>
            </w:r>
            <w:r w:rsidRPr="00B97868">
              <w:rPr>
                <w:color w:val="000000"/>
                <w:sz w:val="18"/>
                <w:szCs w:val="18"/>
              </w:rPr>
              <w:t>(0.0; 42.0)</w:t>
            </w:r>
          </w:p>
        </w:tc>
        <w:tc>
          <w:tcPr>
            <w:tcW w:w="1497" w:type="dxa"/>
            <w:shd w:val="clear" w:color="auto" w:fill="auto"/>
            <w:vAlign w:val="center"/>
          </w:tcPr>
          <w:p w14:paraId="1B24A48C" w14:textId="5789AC73" w:rsidR="002E4060" w:rsidRPr="00B97868" w:rsidRDefault="002E4060" w:rsidP="002E4060">
            <w:pPr>
              <w:keepNext/>
              <w:adjustRightInd w:val="0"/>
              <w:spacing w:before="60" w:after="60" w:line="240" w:lineRule="auto"/>
              <w:jc w:val="center"/>
              <w:rPr>
                <w:color w:val="000000"/>
                <w:sz w:val="18"/>
                <w:szCs w:val="18"/>
                <w:lang w:val="en-GB"/>
              </w:rPr>
            </w:pPr>
            <w:r w:rsidRPr="00B97868">
              <w:rPr>
                <w:color w:val="000000"/>
                <w:sz w:val="18"/>
                <w:szCs w:val="18"/>
              </w:rPr>
              <w:t>0.0 (0.0; 1.0)</w:t>
            </w:r>
          </w:p>
        </w:tc>
        <w:tc>
          <w:tcPr>
            <w:tcW w:w="1652" w:type="dxa"/>
            <w:shd w:val="clear" w:color="auto" w:fill="auto"/>
            <w:tcMar>
              <w:left w:w="60" w:type="dxa"/>
              <w:right w:w="60" w:type="dxa"/>
            </w:tcMar>
            <w:vAlign w:val="center"/>
          </w:tcPr>
          <w:p w14:paraId="67C93DEA" w14:textId="57A9A087" w:rsidR="002E4060" w:rsidRPr="00B97868" w:rsidRDefault="002E4060" w:rsidP="002E4060">
            <w:pPr>
              <w:adjustRightInd w:val="0"/>
              <w:spacing w:before="60" w:after="60" w:line="240" w:lineRule="auto"/>
              <w:jc w:val="center"/>
              <w:rPr>
                <w:color w:val="000000"/>
                <w:sz w:val="18"/>
                <w:szCs w:val="18"/>
                <w:lang w:val="en-GB"/>
              </w:rPr>
            </w:pPr>
            <w:r w:rsidRPr="00280688">
              <w:rPr>
                <w:color w:val="000000"/>
                <w:sz w:val="18"/>
                <w:szCs w:val="18"/>
              </w:rPr>
              <w:t xml:space="preserve">7.8 </w:t>
            </w:r>
            <w:r w:rsidRPr="00B97868">
              <w:rPr>
                <w:color w:val="000000"/>
                <w:sz w:val="18"/>
                <w:szCs w:val="18"/>
              </w:rPr>
              <w:t>(0.0; 56.0)</w:t>
            </w:r>
          </w:p>
        </w:tc>
        <w:tc>
          <w:tcPr>
            <w:tcW w:w="1490" w:type="dxa"/>
            <w:shd w:val="clear" w:color="auto" w:fill="auto"/>
            <w:vAlign w:val="center"/>
          </w:tcPr>
          <w:p w14:paraId="2E592D8C" w14:textId="21803256" w:rsidR="002E4060" w:rsidRPr="00B97868" w:rsidRDefault="002E4060" w:rsidP="002E4060">
            <w:pPr>
              <w:adjustRightInd w:val="0"/>
              <w:spacing w:before="60" w:after="60" w:line="240" w:lineRule="auto"/>
              <w:jc w:val="center"/>
              <w:rPr>
                <w:color w:val="000000"/>
                <w:sz w:val="18"/>
                <w:szCs w:val="18"/>
                <w:lang w:val="en-GB"/>
              </w:rPr>
            </w:pPr>
            <w:r w:rsidRPr="00B97868">
              <w:rPr>
                <w:color w:val="000000"/>
                <w:sz w:val="18"/>
                <w:szCs w:val="18"/>
              </w:rPr>
              <w:t>0.0 (0.0; 0.0)</w:t>
            </w:r>
          </w:p>
        </w:tc>
      </w:tr>
      <w:tr w:rsidR="002E4060" w:rsidRPr="00B97868" w14:paraId="63E255B3" w14:textId="77777777" w:rsidTr="00D41F59">
        <w:trPr>
          <w:cantSplit/>
          <w:trHeight w:val="396"/>
          <w:jc w:val="center"/>
        </w:trPr>
        <w:tc>
          <w:tcPr>
            <w:tcW w:w="2411" w:type="dxa"/>
            <w:shd w:val="clear" w:color="auto" w:fill="auto"/>
            <w:tcMar>
              <w:left w:w="60" w:type="dxa"/>
              <w:right w:w="60" w:type="dxa"/>
            </w:tcMar>
            <w:vAlign w:val="center"/>
          </w:tcPr>
          <w:p w14:paraId="49AB37C0" w14:textId="77777777" w:rsidR="002E4060" w:rsidRPr="00B97868" w:rsidRDefault="002E4060" w:rsidP="002E4060">
            <w:pPr>
              <w:keepNext/>
              <w:adjustRightInd w:val="0"/>
              <w:spacing w:before="60" w:after="60" w:line="240" w:lineRule="auto"/>
              <w:rPr>
                <w:b/>
                <w:color w:val="000000"/>
                <w:sz w:val="18"/>
                <w:szCs w:val="18"/>
                <w:lang w:val="en-GB"/>
              </w:rPr>
            </w:pPr>
            <w:r w:rsidRPr="00B97868">
              <w:rPr>
                <w:b/>
                <w:color w:val="000000"/>
                <w:sz w:val="18"/>
                <w:szCs w:val="18"/>
                <w:lang w:val="en-GB"/>
              </w:rPr>
              <w:t>Me</w:t>
            </w:r>
            <w:r>
              <w:rPr>
                <w:b/>
                <w:color w:val="000000"/>
                <w:sz w:val="18"/>
                <w:szCs w:val="18"/>
                <w:lang w:val="en-GB"/>
              </w:rPr>
              <w:t>an</w:t>
            </w:r>
            <w:r w:rsidRPr="00B97868">
              <w:rPr>
                <w:b/>
                <w:color w:val="000000"/>
                <w:sz w:val="18"/>
                <w:szCs w:val="18"/>
                <w:lang w:val="en-GB"/>
              </w:rPr>
              <w:t xml:space="preserve"> Dose intensity (compliance) </w:t>
            </w:r>
            <w:r w:rsidRPr="00B97868">
              <w:rPr>
                <w:color w:val="000000"/>
                <w:sz w:val="18"/>
                <w:szCs w:val="18"/>
                <w:lang w:val="en-GB"/>
              </w:rPr>
              <w:t>- % (range)</w:t>
            </w:r>
          </w:p>
        </w:tc>
        <w:tc>
          <w:tcPr>
            <w:tcW w:w="1449" w:type="dxa"/>
            <w:shd w:val="clear" w:color="auto" w:fill="auto"/>
            <w:vAlign w:val="center"/>
          </w:tcPr>
          <w:p w14:paraId="48869C63" w14:textId="4E17D82C" w:rsidR="002E4060" w:rsidRPr="00B97868" w:rsidRDefault="002E4060" w:rsidP="002E4060">
            <w:pPr>
              <w:keepNext/>
              <w:adjustRightInd w:val="0"/>
              <w:spacing w:before="60" w:after="60" w:line="240" w:lineRule="auto"/>
              <w:jc w:val="center"/>
              <w:rPr>
                <w:color w:val="000000"/>
                <w:sz w:val="18"/>
                <w:szCs w:val="18"/>
                <w:lang w:val="en-GB"/>
              </w:rPr>
            </w:pPr>
            <w:r w:rsidRPr="00366448">
              <w:rPr>
                <w:color w:val="000000"/>
                <w:sz w:val="18"/>
                <w:szCs w:val="18"/>
              </w:rPr>
              <w:t xml:space="preserve">84.5 </w:t>
            </w:r>
            <w:r w:rsidRPr="00B97868">
              <w:rPr>
                <w:color w:val="000000"/>
                <w:sz w:val="18"/>
                <w:szCs w:val="18"/>
              </w:rPr>
              <w:t>(2.5; 108.5)</w:t>
            </w:r>
          </w:p>
        </w:tc>
        <w:tc>
          <w:tcPr>
            <w:tcW w:w="1497" w:type="dxa"/>
            <w:shd w:val="clear" w:color="auto" w:fill="auto"/>
            <w:vAlign w:val="center"/>
          </w:tcPr>
          <w:p w14:paraId="6F2A616C" w14:textId="03CCDC0A" w:rsidR="002E4060" w:rsidRPr="00B97868" w:rsidRDefault="002E4060" w:rsidP="002E4060">
            <w:pPr>
              <w:keepNext/>
              <w:adjustRightInd w:val="0"/>
              <w:spacing w:before="60" w:after="60" w:line="240" w:lineRule="auto"/>
              <w:jc w:val="center"/>
              <w:rPr>
                <w:color w:val="000000"/>
                <w:sz w:val="18"/>
                <w:szCs w:val="18"/>
                <w:lang w:val="en-GB"/>
              </w:rPr>
            </w:pPr>
            <w:r w:rsidRPr="00366448">
              <w:rPr>
                <w:color w:val="000000"/>
                <w:sz w:val="18"/>
                <w:szCs w:val="18"/>
              </w:rPr>
              <w:t xml:space="preserve">97.7 </w:t>
            </w:r>
            <w:r w:rsidRPr="00B97868">
              <w:rPr>
                <w:color w:val="000000"/>
                <w:sz w:val="18"/>
                <w:szCs w:val="18"/>
              </w:rPr>
              <w:t>(78.8; 105.6)</w:t>
            </w:r>
          </w:p>
        </w:tc>
        <w:tc>
          <w:tcPr>
            <w:tcW w:w="1652" w:type="dxa"/>
            <w:shd w:val="clear" w:color="auto" w:fill="auto"/>
            <w:tcMar>
              <w:left w:w="60" w:type="dxa"/>
              <w:right w:w="60" w:type="dxa"/>
            </w:tcMar>
            <w:vAlign w:val="center"/>
          </w:tcPr>
          <w:p w14:paraId="47E855CF" w14:textId="65222D1E" w:rsidR="002E4060" w:rsidRPr="00B97868" w:rsidRDefault="002E4060" w:rsidP="002E4060">
            <w:pPr>
              <w:adjustRightInd w:val="0"/>
              <w:spacing w:before="60" w:after="60" w:line="240" w:lineRule="auto"/>
              <w:jc w:val="center"/>
              <w:rPr>
                <w:color w:val="000000"/>
                <w:sz w:val="18"/>
                <w:szCs w:val="18"/>
                <w:lang w:val="en-GB"/>
              </w:rPr>
            </w:pPr>
            <w:r w:rsidRPr="00366448">
              <w:rPr>
                <w:color w:val="000000"/>
                <w:sz w:val="18"/>
                <w:szCs w:val="18"/>
              </w:rPr>
              <w:t xml:space="preserve">85.9 </w:t>
            </w:r>
            <w:r w:rsidRPr="00B97868">
              <w:rPr>
                <w:color w:val="000000"/>
                <w:sz w:val="18"/>
                <w:szCs w:val="18"/>
              </w:rPr>
              <w:t>(12.3; 117.2)</w:t>
            </w:r>
          </w:p>
        </w:tc>
        <w:tc>
          <w:tcPr>
            <w:tcW w:w="1490" w:type="dxa"/>
            <w:shd w:val="clear" w:color="auto" w:fill="auto"/>
            <w:vAlign w:val="center"/>
          </w:tcPr>
          <w:p w14:paraId="3730BD7E" w14:textId="6B29CEA8" w:rsidR="002E4060" w:rsidRPr="00B97868" w:rsidRDefault="002E4060" w:rsidP="002E4060">
            <w:pPr>
              <w:adjustRightInd w:val="0"/>
              <w:spacing w:before="60" w:after="60" w:line="240" w:lineRule="auto"/>
              <w:jc w:val="center"/>
              <w:rPr>
                <w:color w:val="000000"/>
                <w:sz w:val="18"/>
                <w:szCs w:val="18"/>
                <w:lang w:val="en-GB"/>
              </w:rPr>
            </w:pPr>
            <w:r w:rsidRPr="00366448">
              <w:rPr>
                <w:color w:val="000000"/>
                <w:sz w:val="18"/>
                <w:szCs w:val="18"/>
              </w:rPr>
              <w:t xml:space="preserve">96.8 </w:t>
            </w:r>
            <w:r w:rsidRPr="00B97868">
              <w:rPr>
                <w:color w:val="000000"/>
                <w:sz w:val="18"/>
                <w:szCs w:val="18"/>
              </w:rPr>
              <w:t>(40.0</w:t>
            </w:r>
            <w:r w:rsidRPr="00DE10AB">
              <w:rPr>
                <w:color w:val="000000"/>
                <w:sz w:val="18"/>
                <w:szCs w:val="18"/>
              </w:rPr>
              <w:t>;</w:t>
            </w:r>
            <w:r w:rsidRPr="00B97868">
              <w:rPr>
                <w:color w:val="000000"/>
                <w:sz w:val="18"/>
                <w:szCs w:val="18"/>
              </w:rPr>
              <w:t xml:space="preserve"> 146.6)</w:t>
            </w:r>
          </w:p>
        </w:tc>
      </w:tr>
      <w:tr w:rsidR="002E4060" w:rsidRPr="00B97868" w14:paraId="19B6AD40" w14:textId="77777777" w:rsidTr="00D41F59">
        <w:trPr>
          <w:cantSplit/>
          <w:trHeight w:val="371"/>
          <w:jc w:val="center"/>
        </w:trPr>
        <w:tc>
          <w:tcPr>
            <w:tcW w:w="2411" w:type="dxa"/>
            <w:shd w:val="clear" w:color="auto" w:fill="auto"/>
            <w:tcMar>
              <w:left w:w="60" w:type="dxa"/>
              <w:right w:w="60" w:type="dxa"/>
            </w:tcMar>
            <w:vAlign w:val="center"/>
          </w:tcPr>
          <w:p w14:paraId="7CFEA670" w14:textId="77777777" w:rsidR="002E4060" w:rsidRPr="00B97868" w:rsidRDefault="002E4060" w:rsidP="002E4060">
            <w:pPr>
              <w:keepNext/>
              <w:adjustRightInd w:val="0"/>
              <w:spacing w:before="60" w:after="60" w:line="240" w:lineRule="auto"/>
              <w:rPr>
                <w:b/>
                <w:color w:val="000000"/>
                <w:sz w:val="18"/>
                <w:szCs w:val="18"/>
                <w:lang w:val="en-GB"/>
              </w:rPr>
            </w:pPr>
            <w:r w:rsidRPr="00B97868">
              <w:rPr>
                <w:b/>
                <w:color w:val="000000"/>
                <w:sz w:val="18"/>
                <w:szCs w:val="18"/>
                <w:lang w:val="en-GB"/>
              </w:rPr>
              <w:t xml:space="preserve">Daily dose intensity </w:t>
            </w:r>
            <w:r w:rsidRPr="00B97868">
              <w:rPr>
                <w:color w:val="000000"/>
                <w:sz w:val="18"/>
                <w:szCs w:val="18"/>
                <w:lang w:val="en-GB"/>
              </w:rPr>
              <w:t xml:space="preserve">– </w:t>
            </w:r>
            <w:r w:rsidRPr="00B97868">
              <w:rPr>
                <w:bCs/>
                <w:color w:val="000000"/>
                <w:sz w:val="18"/>
                <w:szCs w:val="18"/>
                <w:lang w:val="en-GB"/>
              </w:rPr>
              <w:t>mg or mg/5mL (range)</w:t>
            </w:r>
            <w:r w:rsidRPr="00B97868">
              <w:rPr>
                <w:b/>
                <w:color w:val="000000"/>
                <w:sz w:val="18"/>
                <w:szCs w:val="18"/>
                <w:lang w:val="en-GB"/>
              </w:rPr>
              <w:t xml:space="preserve"> </w:t>
            </w:r>
          </w:p>
        </w:tc>
        <w:tc>
          <w:tcPr>
            <w:tcW w:w="1449" w:type="dxa"/>
            <w:shd w:val="clear" w:color="auto" w:fill="auto"/>
            <w:vAlign w:val="center"/>
          </w:tcPr>
          <w:p w14:paraId="504424E7" w14:textId="3DE9FF6A" w:rsidR="002E4060" w:rsidRPr="00B97868" w:rsidRDefault="002E4060" w:rsidP="002E4060">
            <w:pPr>
              <w:keepNext/>
              <w:adjustRightInd w:val="0"/>
              <w:spacing w:before="60" w:after="60" w:line="240" w:lineRule="auto"/>
              <w:jc w:val="center"/>
              <w:rPr>
                <w:color w:val="000000"/>
                <w:sz w:val="18"/>
                <w:szCs w:val="18"/>
                <w:lang w:val="en-GB"/>
              </w:rPr>
            </w:pPr>
            <w:r w:rsidRPr="00B97868">
              <w:rPr>
                <w:color w:val="000000"/>
                <w:sz w:val="18"/>
                <w:szCs w:val="18"/>
              </w:rPr>
              <w:t>114.6 (3.1; 135.7)</w:t>
            </w:r>
          </w:p>
        </w:tc>
        <w:tc>
          <w:tcPr>
            <w:tcW w:w="1497" w:type="dxa"/>
            <w:shd w:val="clear" w:color="auto" w:fill="auto"/>
            <w:vAlign w:val="center"/>
          </w:tcPr>
          <w:p w14:paraId="61488277" w14:textId="54F84D10" w:rsidR="002E4060" w:rsidRPr="00B97868" w:rsidRDefault="002E4060" w:rsidP="002E4060">
            <w:pPr>
              <w:keepNext/>
              <w:adjustRightInd w:val="0"/>
              <w:spacing w:before="60" w:after="60" w:line="240" w:lineRule="auto"/>
              <w:jc w:val="center"/>
              <w:rPr>
                <w:color w:val="000000"/>
                <w:sz w:val="18"/>
                <w:szCs w:val="18"/>
                <w:lang w:val="en-GB"/>
              </w:rPr>
            </w:pPr>
            <w:r w:rsidRPr="00B97868">
              <w:rPr>
                <w:color w:val="000000"/>
                <w:sz w:val="18"/>
                <w:szCs w:val="18"/>
              </w:rPr>
              <w:t>496.1 (393.9; 527.8)</w:t>
            </w:r>
          </w:p>
        </w:tc>
        <w:tc>
          <w:tcPr>
            <w:tcW w:w="1652" w:type="dxa"/>
            <w:shd w:val="clear" w:color="auto" w:fill="auto"/>
            <w:tcMar>
              <w:left w:w="60" w:type="dxa"/>
              <w:right w:w="60" w:type="dxa"/>
            </w:tcMar>
            <w:vAlign w:val="center"/>
          </w:tcPr>
          <w:p w14:paraId="35C1F330" w14:textId="54B14A8F" w:rsidR="002E4060" w:rsidRPr="00B97868" w:rsidRDefault="002E4060" w:rsidP="002E4060">
            <w:pPr>
              <w:adjustRightInd w:val="0"/>
              <w:spacing w:before="60" w:after="60" w:line="240" w:lineRule="auto"/>
              <w:jc w:val="center"/>
              <w:rPr>
                <w:color w:val="000000"/>
                <w:sz w:val="18"/>
                <w:szCs w:val="18"/>
                <w:lang w:val="en-GB"/>
              </w:rPr>
            </w:pPr>
            <w:r w:rsidRPr="00B97868">
              <w:rPr>
                <w:color w:val="000000"/>
                <w:sz w:val="18"/>
                <w:szCs w:val="18"/>
              </w:rPr>
              <w:t>112.5 (15.4; 146.5)</w:t>
            </w:r>
          </w:p>
        </w:tc>
        <w:tc>
          <w:tcPr>
            <w:tcW w:w="1490" w:type="dxa"/>
            <w:shd w:val="clear" w:color="auto" w:fill="auto"/>
            <w:vAlign w:val="center"/>
          </w:tcPr>
          <w:p w14:paraId="6C9B37C0" w14:textId="3086316F" w:rsidR="002E4060" w:rsidRPr="00B97868" w:rsidRDefault="002E4060" w:rsidP="002E4060">
            <w:pPr>
              <w:adjustRightInd w:val="0"/>
              <w:spacing w:before="60" w:after="60" w:line="240" w:lineRule="auto"/>
              <w:jc w:val="center"/>
              <w:rPr>
                <w:color w:val="000000"/>
                <w:sz w:val="18"/>
                <w:szCs w:val="18"/>
                <w:lang w:val="en-GB"/>
              </w:rPr>
            </w:pPr>
            <w:r w:rsidRPr="00B97868">
              <w:rPr>
                <w:color w:val="000000"/>
                <w:sz w:val="18"/>
                <w:szCs w:val="18"/>
              </w:rPr>
              <w:t>2.5 (1.0;</w:t>
            </w:r>
            <w:r>
              <w:rPr>
                <w:color w:val="000000"/>
                <w:sz w:val="18"/>
                <w:szCs w:val="18"/>
              </w:rPr>
              <w:t xml:space="preserve"> </w:t>
            </w:r>
            <w:r w:rsidRPr="00B97868">
              <w:rPr>
                <w:color w:val="000000"/>
                <w:sz w:val="18"/>
                <w:szCs w:val="18"/>
              </w:rPr>
              <w:t>3.7)</w:t>
            </w:r>
          </w:p>
        </w:tc>
      </w:tr>
    </w:tbl>
    <w:p w14:paraId="54A2B779" w14:textId="118A084B" w:rsidR="002E4060" w:rsidRPr="00D33491" w:rsidRDefault="00D41F59" w:rsidP="00367B80">
      <w:pPr>
        <w:pStyle w:val="Descripcin"/>
        <w:keepNext/>
        <w:rPr>
          <w:b w:val="0"/>
          <w:bCs w:val="0"/>
          <w:i/>
          <w:iCs/>
          <w:sz w:val="18"/>
          <w:szCs w:val="18"/>
        </w:rPr>
      </w:pPr>
      <w:r w:rsidRPr="00D33491">
        <w:rPr>
          <w:b w:val="0"/>
          <w:bCs w:val="0"/>
          <w:i/>
          <w:iCs/>
          <w:sz w:val="18"/>
          <w:szCs w:val="18"/>
        </w:rPr>
        <w:t>(Cross reference: Tables 148, 151, 153, 156 of Final Analysis Statistical Report dated 4th September 2020)</w:t>
      </w:r>
      <w:r w:rsidR="00764782">
        <w:rPr>
          <w:b w:val="0"/>
          <w:bCs w:val="0"/>
          <w:i/>
          <w:iCs/>
          <w:sz w:val="18"/>
          <w:szCs w:val="18"/>
        </w:rPr>
        <w:t>.</w:t>
      </w:r>
    </w:p>
    <w:p w14:paraId="2D8DF625" w14:textId="77777777" w:rsidR="002E4060" w:rsidRDefault="002E4060" w:rsidP="00367B80"/>
    <w:p w14:paraId="35BDF40F" w14:textId="77777777" w:rsidR="00D33491" w:rsidRDefault="00D33491">
      <w:pPr>
        <w:spacing w:after="0" w:line="240" w:lineRule="auto"/>
        <w:jc w:val="left"/>
        <w:rPr>
          <w:b/>
          <w:bCs/>
        </w:rPr>
      </w:pPr>
      <w:bookmarkStart w:id="647" w:name="_Ref52426559"/>
      <w:r>
        <w:br w:type="page"/>
      </w:r>
    </w:p>
    <w:p w14:paraId="65F9A66A" w14:textId="6BA861D4" w:rsidR="00576FE1" w:rsidRDefault="00576FE1" w:rsidP="002221CF">
      <w:pPr>
        <w:pStyle w:val="Descripcin"/>
        <w:keepNext/>
        <w:outlineLvl w:val="0"/>
      </w:pPr>
      <w:bookmarkStart w:id="648" w:name="_Toc52446209"/>
      <w:bookmarkStart w:id="649" w:name="_Toc52468166"/>
      <w:r>
        <w:lastRenderedPageBreak/>
        <w:t xml:space="preserve">Table </w:t>
      </w:r>
      <w:r>
        <w:fldChar w:fldCharType="begin"/>
      </w:r>
      <w:r>
        <w:instrText xml:space="preserve"> SEQ Table \* ARABIC </w:instrText>
      </w:r>
      <w:r>
        <w:fldChar w:fldCharType="separate"/>
      </w:r>
      <w:r w:rsidR="002221CF">
        <w:rPr>
          <w:noProof/>
        </w:rPr>
        <w:t>8</w:t>
      </w:r>
      <w:r>
        <w:fldChar w:fldCharType="end"/>
      </w:r>
      <w:bookmarkEnd w:id="647"/>
      <w:r>
        <w:t xml:space="preserve">. </w:t>
      </w:r>
      <w:r w:rsidRPr="00B045D1">
        <w:t>List of concomitant medication used by &gt; 10 patients (Safety population).</w:t>
      </w:r>
      <w:bookmarkEnd w:id="646"/>
      <w:bookmarkEnd w:id="648"/>
      <w:bookmarkEnd w:id="649"/>
    </w:p>
    <w:tbl>
      <w:tblPr>
        <w:tblpPr w:leftFromText="141" w:rightFromText="141" w:vertAnchor="text" w:horzAnchor="margin" w:tblpY="437"/>
        <w:tblW w:w="8926" w:type="dxa"/>
        <w:tblBorders>
          <w:top w:val="single" w:sz="4" w:space="0" w:color="auto"/>
          <w:bottom w:val="single" w:sz="4" w:space="0" w:color="auto"/>
          <w:insideH w:val="single" w:sz="4" w:space="0" w:color="auto"/>
        </w:tblBorders>
        <w:tblCellMar>
          <w:left w:w="0" w:type="dxa"/>
          <w:right w:w="0" w:type="dxa"/>
        </w:tblCellMar>
        <w:tblLook w:val="0000" w:firstRow="0" w:lastRow="0" w:firstColumn="0" w:lastColumn="0" w:noHBand="0" w:noVBand="0"/>
      </w:tblPr>
      <w:tblGrid>
        <w:gridCol w:w="5098"/>
        <w:gridCol w:w="1418"/>
        <w:gridCol w:w="1276"/>
        <w:gridCol w:w="1134"/>
      </w:tblGrid>
      <w:tr w:rsidR="00576FE1" w:rsidRPr="006562F7" w14:paraId="4AD81C9F" w14:textId="77777777" w:rsidTr="0047771E">
        <w:trPr>
          <w:cantSplit/>
          <w:tblHeader/>
        </w:trPr>
        <w:tc>
          <w:tcPr>
            <w:tcW w:w="5098" w:type="dxa"/>
            <w:tcBorders>
              <w:bottom w:val="single" w:sz="4" w:space="0" w:color="auto"/>
            </w:tcBorders>
            <w:shd w:val="clear" w:color="auto" w:fill="FFFFFF"/>
            <w:tcMar>
              <w:left w:w="60" w:type="dxa"/>
              <w:right w:w="60" w:type="dxa"/>
            </w:tcMar>
            <w:vAlign w:val="center"/>
          </w:tcPr>
          <w:p w14:paraId="35720B52" w14:textId="77777777" w:rsidR="00576FE1" w:rsidRPr="004C7EFF" w:rsidRDefault="00576FE1" w:rsidP="00115CD6">
            <w:pPr>
              <w:keepNext/>
              <w:adjustRightInd w:val="0"/>
              <w:spacing w:after="0" w:line="240" w:lineRule="auto"/>
              <w:rPr>
                <w:b/>
                <w:bCs/>
                <w:color w:val="000000"/>
                <w:sz w:val="18"/>
                <w:szCs w:val="18"/>
              </w:rPr>
            </w:pPr>
            <w:r w:rsidRPr="004C7EFF">
              <w:rPr>
                <w:b/>
                <w:bCs/>
                <w:color w:val="000000"/>
                <w:sz w:val="18"/>
                <w:szCs w:val="18"/>
              </w:rPr>
              <w:t>Concomitant medication (ATC Name)</w:t>
            </w:r>
          </w:p>
        </w:tc>
        <w:tc>
          <w:tcPr>
            <w:tcW w:w="1418" w:type="dxa"/>
            <w:tcBorders>
              <w:bottom w:val="single" w:sz="4" w:space="0" w:color="auto"/>
            </w:tcBorders>
            <w:shd w:val="clear" w:color="auto" w:fill="FFFFFF"/>
            <w:tcMar>
              <w:left w:w="60" w:type="dxa"/>
              <w:right w:w="60" w:type="dxa"/>
            </w:tcMar>
            <w:vAlign w:val="center"/>
          </w:tcPr>
          <w:p w14:paraId="73292852" w14:textId="77777777" w:rsidR="00576FE1" w:rsidRPr="004C7EFF" w:rsidRDefault="00576FE1" w:rsidP="00115CD6">
            <w:pPr>
              <w:keepNext/>
              <w:adjustRightInd w:val="0"/>
              <w:spacing w:after="0" w:line="240" w:lineRule="auto"/>
              <w:jc w:val="center"/>
              <w:rPr>
                <w:b/>
                <w:bCs/>
                <w:color w:val="000000"/>
                <w:sz w:val="18"/>
                <w:szCs w:val="18"/>
              </w:rPr>
            </w:pPr>
            <w:r w:rsidRPr="004C7EFF">
              <w:rPr>
                <w:b/>
                <w:bCs/>
                <w:color w:val="000000"/>
                <w:sz w:val="18"/>
                <w:szCs w:val="18"/>
              </w:rPr>
              <w:t>Palbociclib-</w:t>
            </w:r>
          </w:p>
          <w:p w14:paraId="0CFCC256" w14:textId="77777777" w:rsidR="00576FE1" w:rsidRPr="004C7EFF" w:rsidRDefault="00576FE1" w:rsidP="00115CD6">
            <w:pPr>
              <w:keepNext/>
              <w:adjustRightInd w:val="0"/>
              <w:spacing w:after="0" w:line="240" w:lineRule="auto"/>
              <w:jc w:val="center"/>
              <w:rPr>
                <w:b/>
                <w:bCs/>
                <w:color w:val="000000"/>
                <w:sz w:val="18"/>
                <w:szCs w:val="18"/>
              </w:rPr>
            </w:pPr>
            <w:proofErr w:type="spellStart"/>
            <w:r w:rsidRPr="004C7EFF">
              <w:rPr>
                <w:b/>
                <w:bCs/>
                <w:color w:val="000000"/>
                <w:sz w:val="18"/>
                <w:szCs w:val="18"/>
              </w:rPr>
              <w:t>Fulvestrant</w:t>
            </w:r>
            <w:proofErr w:type="spellEnd"/>
            <w:r w:rsidRPr="004C7EFF">
              <w:rPr>
                <w:b/>
                <w:bCs/>
                <w:color w:val="000000"/>
                <w:sz w:val="18"/>
                <w:szCs w:val="18"/>
              </w:rPr>
              <w:t xml:space="preserve"> </w:t>
            </w:r>
          </w:p>
          <w:p w14:paraId="57B80A20" w14:textId="77777777" w:rsidR="00576FE1" w:rsidRPr="004C7EFF" w:rsidRDefault="00576FE1" w:rsidP="00115CD6">
            <w:pPr>
              <w:keepNext/>
              <w:adjustRightInd w:val="0"/>
              <w:spacing w:after="0" w:line="240" w:lineRule="auto"/>
              <w:jc w:val="center"/>
              <w:rPr>
                <w:b/>
                <w:bCs/>
                <w:color w:val="000000"/>
                <w:sz w:val="18"/>
                <w:szCs w:val="18"/>
              </w:rPr>
            </w:pPr>
            <w:r w:rsidRPr="004C7EFF">
              <w:rPr>
                <w:b/>
                <w:bCs/>
                <w:color w:val="000000"/>
                <w:sz w:val="18"/>
                <w:szCs w:val="18"/>
              </w:rPr>
              <w:t>(N=241)</w:t>
            </w:r>
          </w:p>
        </w:tc>
        <w:tc>
          <w:tcPr>
            <w:tcW w:w="1276" w:type="dxa"/>
            <w:tcBorders>
              <w:bottom w:val="single" w:sz="4" w:space="0" w:color="auto"/>
            </w:tcBorders>
            <w:shd w:val="clear" w:color="auto" w:fill="FFFFFF"/>
            <w:tcMar>
              <w:left w:w="60" w:type="dxa"/>
              <w:right w:w="60" w:type="dxa"/>
            </w:tcMar>
            <w:vAlign w:val="center"/>
          </w:tcPr>
          <w:p w14:paraId="4A693FE5" w14:textId="77777777" w:rsidR="00576FE1" w:rsidRPr="004C7EFF" w:rsidRDefault="00576FE1" w:rsidP="00115CD6">
            <w:pPr>
              <w:keepNext/>
              <w:adjustRightInd w:val="0"/>
              <w:spacing w:after="0" w:line="240" w:lineRule="auto"/>
              <w:jc w:val="center"/>
              <w:rPr>
                <w:b/>
                <w:bCs/>
                <w:color w:val="000000"/>
                <w:sz w:val="18"/>
                <w:szCs w:val="18"/>
              </w:rPr>
            </w:pPr>
            <w:r w:rsidRPr="004C7EFF">
              <w:rPr>
                <w:b/>
                <w:bCs/>
                <w:color w:val="000000"/>
                <w:sz w:val="18"/>
                <w:szCs w:val="18"/>
              </w:rPr>
              <w:t>Palbociclib-</w:t>
            </w:r>
          </w:p>
          <w:p w14:paraId="42C51EF7" w14:textId="77777777" w:rsidR="00576FE1" w:rsidRPr="004C7EFF" w:rsidRDefault="00576FE1" w:rsidP="00115CD6">
            <w:pPr>
              <w:keepNext/>
              <w:adjustRightInd w:val="0"/>
              <w:spacing w:after="0" w:line="240" w:lineRule="auto"/>
              <w:jc w:val="center"/>
              <w:rPr>
                <w:b/>
                <w:bCs/>
                <w:color w:val="000000"/>
                <w:sz w:val="18"/>
                <w:szCs w:val="18"/>
              </w:rPr>
            </w:pPr>
            <w:r w:rsidRPr="004C7EFF">
              <w:rPr>
                <w:b/>
                <w:bCs/>
                <w:color w:val="000000"/>
                <w:sz w:val="18"/>
                <w:szCs w:val="18"/>
              </w:rPr>
              <w:t xml:space="preserve">Letrozole </w:t>
            </w:r>
          </w:p>
          <w:p w14:paraId="1F41BD5A" w14:textId="77777777" w:rsidR="00576FE1" w:rsidRPr="004C7EFF" w:rsidRDefault="00576FE1" w:rsidP="00115CD6">
            <w:pPr>
              <w:keepNext/>
              <w:adjustRightInd w:val="0"/>
              <w:spacing w:after="0" w:line="240" w:lineRule="auto"/>
              <w:jc w:val="center"/>
              <w:rPr>
                <w:b/>
                <w:bCs/>
                <w:color w:val="000000"/>
                <w:sz w:val="18"/>
                <w:szCs w:val="18"/>
              </w:rPr>
            </w:pPr>
            <w:r w:rsidRPr="004C7EFF">
              <w:rPr>
                <w:b/>
                <w:bCs/>
                <w:color w:val="000000"/>
                <w:sz w:val="18"/>
                <w:szCs w:val="18"/>
              </w:rPr>
              <w:t>(N=242)</w:t>
            </w:r>
          </w:p>
        </w:tc>
        <w:tc>
          <w:tcPr>
            <w:tcW w:w="1134" w:type="dxa"/>
            <w:tcBorders>
              <w:bottom w:val="single" w:sz="4" w:space="0" w:color="auto"/>
            </w:tcBorders>
            <w:shd w:val="clear" w:color="auto" w:fill="FFFFFF"/>
            <w:tcMar>
              <w:left w:w="60" w:type="dxa"/>
              <w:right w:w="60" w:type="dxa"/>
            </w:tcMar>
            <w:vAlign w:val="center"/>
          </w:tcPr>
          <w:p w14:paraId="3809F472" w14:textId="77777777" w:rsidR="00576FE1" w:rsidRPr="004C7EFF" w:rsidRDefault="00576FE1" w:rsidP="00115CD6">
            <w:pPr>
              <w:keepNext/>
              <w:adjustRightInd w:val="0"/>
              <w:spacing w:after="0" w:line="240" w:lineRule="auto"/>
              <w:jc w:val="center"/>
              <w:rPr>
                <w:b/>
                <w:bCs/>
                <w:color w:val="000000"/>
                <w:sz w:val="18"/>
                <w:szCs w:val="18"/>
              </w:rPr>
            </w:pPr>
            <w:r w:rsidRPr="004C7EFF">
              <w:rPr>
                <w:b/>
                <w:bCs/>
                <w:color w:val="000000"/>
                <w:sz w:val="18"/>
                <w:szCs w:val="18"/>
              </w:rPr>
              <w:t xml:space="preserve">Overall </w:t>
            </w:r>
          </w:p>
          <w:p w14:paraId="70F38F94" w14:textId="77777777" w:rsidR="00576FE1" w:rsidRPr="004C7EFF" w:rsidRDefault="00576FE1" w:rsidP="00115CD6">
            <w:pPr>
              <w:keepNext/>
              <w:adjustRightInd w:val="0"/>
              <w:spacing w:after="0" w:line="240" w:lineRule="auto"/>
              <w:jc w:val="center"/>
              <w:rPr>
                <w:b/>
                <w:bCs/>
                <w:color w:val="000000"/>
                <w:sz w:val="18"/>
                <w:szCs w:val="18"/>
              </w:rPr>
            </w:pPr>
            <w:r w:rsidRPr="004C7EFF">
              <w:rPr>
                <w:b/>
                <w:bCs/>
                <w:color w:val="000000"/>
                <w:sz w:val="18"/>
                <w:szCs w:val="18"/>
              </w:rPr>
              <w:t>(N=483)</w:t>
            </w:r>
          </w:p>
        </w:tc>
      </w:tr>
      <w:tr w:rsidR="00576FE1" w:rsidRPr="006562F7" w14:paraId="5FAE4964" w14:textId="77777777" w:rsidTr="0047771E">
        <w:trPr>
          <w:cantSplit/>
        </w:trPr>
        <w:tc>
          <w:tcPr>
            <w:tcW w:w="5098" w:type="dxa"/>
            <w:tcBorders>
              <w:bottom w:val="dotted" w:sz="4" w:space="0" w:color="auto"/>
            </w:tcBorders>
            <w:shd w:val="clear" w:color="auto" w:fill="FFFFFF"/>
            <w:tcMar>
              <w:left w:w="60" w:type="dxa"/>
              <w:right w:w="60" w:type="dxa"/>
            </w:tcMar>
            <w:vAlign w:val="center"/>
          </w:tcPr>
          <w:p w14:paraId="5FCEE357" w14:textId="77777777" w:rsidR="00576FE1" w:rsidRPr="004C7EFF" w:rsidRDefault="00576FE1" w:rsidP="00115CD6">
            <w:pPr>
              <w:keepNext/>
              <w:adjustRightInd w:val="0"/>
              <w:spacing w:after="0" w:line="240" w:lineRule="auto"/>
              <w:rPr>
                <w:b/>
                <w:color w:val="000000"/>
                <w:sz w:val="18"/>
                <w:szCs w:val="18"/>
              </w:rPr>
            </w:pPr>
            <w:r w:rsidRPr="004C7EFF">
              <w:rPr>
                <w:b/>
                <w:color w:val="000000"/>
                <w:sz w:val="18"/>
                <w:szCs w:val="18"/>
              </w:rPr>
              <w:t>Concomitant medication</w:t>
            </w:r>
          </w:p>
        </w:tc>
        <w:tc>
          <w:tcPr>
            <w:tcW w:w="1418" w:type="dxa"/>
            <w:tcBorders>
              <w:bottom w:val="dotted" w:sz="4" w:space="0" w:color="auto"/>
            </w:tcBorders>
            <w:shd w:val="clear" w:color="auto" w:fill="FFFFFF"/>
            <w:tcMar>
              <w:left w:w="60" w:type="dxa"/>
              <w:right w:w="60" w:type="dxa"/>
            </w:tcMar>
            <w:vAlign w:val="center"/>
          </w:tcPr>
          <w:p w14:paraId="1EF469CF" w14:textId="77777777" w:rsidR="00576FE1" w:rsidRPr="004C7EFF" w:rsidRDefault="00576FE1" w:rsidP="00115CD6">
            <w:pPr>
              <w:keepNext/>
              <w:adjustRightInd w:val="0"/>
              <w:spacing w:after="0" w:line="240" w:lineRule="auto"/>
              <w:jc w:val="center"/>
              <w:rPr>
                <w:b/>
                <w:color w:val="000000"/>
                <w:sz w:val="18"/>
                <w:szCs w:val="18"/>
              </w:rPr>
            </w:pPr>
            <w:r w:rsidRPr="004C7EFF">
              <w:rPr>
                <w:b/>
                <w:color w:val="000000"/>
                <w:sz w:val="18"/>
                <w:szCs w:val="18"/>
              </w:rPr>
              <w:t>231 (95.9%)</w:t>
            </w:r>
          </w:p>
        </w:tc>
        <w:tc>
          <w:tcPr>
            <w:tcW w:w="1276" w:type="dxa"/>
            <w:tcBorders>
              <w:bottom w:val="dotted" w:sz="4" w:space="0" w:color="auto"/>
            </w:tcBorders>
            <w:shd w:val="clear" w:color="auto" w:fill="FFFFFF"/>
            <w:tcMar>
              <w:left w:w="60" w:type="dxa"/>
              <w:right w:w="60" w:type="dxa"/>
            </w:tcMar>
            <w:vAlign w:val="center"/>
          </w:tcPr>
          <w:p w14:paraId="218BDE94" w14:textId="77777777" w:rsidR="00576FE1" w:rsidRPr="004C7EFF" w:rsidRDefault="00576FE1" w:rsidP="00115CD6">
            <w:pPr>
              <w:keepNext/>
              <w:adjustRightInd w:val="0"/>
              <w:spacing w:after="0" w:line="240" w:lineRule="auto"/>
              <w:jc w:val="center"/>
              <w:rPr>
                <w:b/>
                <w:color w:val="000000"/>
                <w:sz w:val="18"/>
                <w:szCs w:val="18"/>
              </w:rPr>
            </w:pPr>
            <w:r w:rsidRPr="004C7EFF">
              <w:rPr>
                <w:b/>
                <w:color w:val="000000"/>
                <w:sz w:val="18"/>
                <w:szCs w:val="18"/>
              </w:rPr>
              <w:t>232 (95.9%)</w:t>
            </w:r>
          </w:p>
        </w:tc>
        <w:tc>
          <w:tcPr>
            <w:tcW w:w="1134" w:type="dxa"/>
            <w:tcBorders>
              <w:bottom w:val="dotted" w:sz="4" w:space="0" w:color="auto"/>
            </w:tcBorders>
            <w:shd w:val="clear" w:color="auto" w:fill="FFFFFF"/>
            <w:tcMar>
              <w:left w:w="60" w:type="dxa"/>
              <w:right w:w="60" w:type="dxa"/>
            </w:tcMar>
            <w:vAlign w:val="center"/>
          </w:tcPr>
          <w:p w14:paraId="0DE685F9" w14:textId="77777777" w:rsidR="00576FE1" w:rsidRPr="004C7EFF" w:rsidRDefault="00576FE1" w:rsidP="00115CD6">
            <w:pPr>
              <w:keepNext/>
              <w:adjustRightInd w:val="0"/>
              <w:spacing w:after="0" w:line="240" w:lineRule="auto"/>
              <w:jc w:val="center"/>
              <w:rPr>
                <w:b/>
                <w:color w:val="000000"/>
                <w:sz w:val="18"/>
                <w:szCs w:val="18"/>
              </w:rPr>
            </w:pPr>
            <w:r w:rsidRPr="004C7EFF">
              <w:rPr>
                <w:b/>
                <w:color w:val="000000"/>
                <w:sz w:val="18"/>
                <w:szCs w:val="18"/>
              </w:rPr>
              <w:t>463 (95.9%)</w:t>
            </w:r>
          </w:p>
        </w:tc>
      </w:tr>
      <w:tr w:rsidR="00576FE1" w:rsidRPr="006562F7" w14:paraId="540DDAAC"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3C427A6A"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Paracetamol</w:t>
            </w:r>
          </w:p>
        </w:tc>
        <w:tc>
          <w:tcPr>
            <w:tcW w:w="1418" w:type="dxa"/>
            <w:tcBorders>
              <w:top w:val="dotted" w:sz="4" w:space="0" w:color="auto"/>
              <w:bottom w:val="dotted" w:sz="4" w:space="0" w:color="auto"/>
            </w:tcBorders>
            <w:shd w:val="clear" w:color="auto" w:fill="FFFFFF"/>
            <w:tcMar>
              <w:left w:w="60" w:type="dxa"/>
              <w:right w:w="60" w:type="dxa"/>
            </w:tcMar>
            <w:vAlign w:val="center"/>
          </w:tcPr>
          <w:p w14:paraId="5D5EFC5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104 (43.2%)</w:t>
            </w:r>
          </w:p>
        </w:tc>
        <w:tc>
          <w:tcPr>
            <w:tcW w:w="1276" w:type="dxa"/>
            <w:tcBorders>
              <w:top w:val="dotted" w:sz="4" w:space="0" w:color="auto"/>
              <w:bottom w:val="dotted" w:sz="4" w:space="0" w:color="auto"/>
            </w:tcBorders>
            <w:shd w:val="clear" w:color="auto" w:fill="FFFFFF"/>
            <w:tcMar>
              <w:left w:w="60" w:type="dxa"/>
              <w:right w:w="60" w:type="dxa"/>
            </w:tcMar>
            <w:vAlign w:val="center"/>
          </w:tcPr>
          <w:p w14:paraId="20045D0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108 (44.6%)</w:t>
            </w:r>
          </w:p>
        </w:tc>
        <w:tc>
          <w:tcPr>
            <w:tcW w:w="1134" w:type="dxa"/>
            <w:tcBorders>
              <w:top w:val="dotted" w:sz="4" w:space="0" w:color="auto"/>
              <w:bottom w:val="dotted" w:sz="4" w:space="0" w:color="auto"/>
            </w:tcBorders>
            <w:shd w:val="clear" w:color="auto" w:fill="FFFFFF"/>
            <w:tcMar>
              <w:left w:w="60" w:type="dxa"/>
              <w:right w:w="60" w:type="dxa"/>
            </w:tcMar>
            <w:vAlign w:val="center"/>
          </w:tcPr>
          <w:p w14:paraId="62723FF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212 (43.9%)</w:t>
            </w:r>
          </w:p>
        </w:tc>
      </w:tr>
      <w:tr w:rsidR="00576FE1" w:rsidRPr="006562F7" w14:paraId="47C772EC"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328AEBCD"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Omeprazole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1684DFD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60 (24.9%)</w:t>
            </w:r>
          </w:p>
        </w:tc>
        <w:tc>
          <w:tcPr>
            <w:tcW w:w="1276" w:type="dxa"/>
            <w:tcBorders>
              <w:top w:val="dotted" w:sz="4" w:space="0" w:color="auto"/>
              <w:bottom w:val="dotted" w:sz="4" w:space="0" w:color="auto"/>
            </w:tcBorders>
            <w:shd w:val="clear" w:color="auto" w:fill="FFFFFF"/>
            <w:tcMar>
              <w:left w:w="60" w:type="dxa"/>
              <w:right w:w="60" w:type="dxa"/>
            </w:tcMar>
            <w:vAlign w:val="center"/>
          </w:tcPr>
          <w:p w14:paraId="028C99DF"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51 (21.1%)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66F7B429"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111 (23.0%)</w:t>
            </w:r>
          </w:p>
        </w:tc>
      </w:tr>
      <w:tr w:rsidR="00576FE1" w:rsidRPr="006562F7" w14:paraId="1E672720"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49909309"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Denosumab</w:t>
            </w:r>
          </w:p>
        </w:tc>
        <w:tc>
          <w:tcPr>
            <w:tcW w:w="1418" w:type="dxa"/>
            <w:tcBorders>
              <w:top w:val="dotted" w:sz="4" w:space="0" w:color="auto"/>
              <w:bottom w:val="dotted" w:sz="4" w:space="0" w:color="auto"/>
            </w:tcBorders>
            <w:shd w:val="clear" w:color="auto" w:fill="FFFFFF"/>
            <w:tcMar>
              <w:left w:w="60" w:type="dxa"/>
              <w:right w:w="60" w:type="dxa"/>
            </w:tcMar>
            <w:vAlign w:val="center"/>
          </w:tcPr>
          <w:p w14:paraId="4A65AF2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58 (24.1%)</w:t>
            </w:r>
          </w:p>
        </w:tc>
        <w:tc>
          <w:tcPr>
            <w:tcW w:w="1276" w:type="dxa"/>
            <w:tcBorders>
              <w:top w:val="dotted" w:sz="4" w:space="0" w:color="auto"/>
              <w:bottom w:val="dotted" w:sz="4" w:space="0" w:color="auto"/>
            </w:tcBorders>
            <w:shd w:val="clear" w:color="auto" w:fill="FFFFFF"/>
            <w:tcMar>
              <w:left w:w="60" w:type="dxa"/>
              <w:right w:w="60" w:type="dxa"/>
            </w:tcMar>
            <w:vAlign w:val="center"/>
          </w:tcPr>
          <w:p w14:paraId="39FDB18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51 (21.1%)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48F742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109 (22.6%)</w:t>
            </w:r>
          </w:p>
        </w:tc>
      </w:tr>
      <w:tr w:rsidR="00576FE1" w:rsidRPr="006562F7" w14:paraId="15F2F744"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7654CA3E"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Ibuprofen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2DDFA1A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55 (22.8%)</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748C07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52 (21.5%)</w:t>
            </w:r>
          </w:p>
        </w:tc>
        <w:tc>
          <w:tcPr>
            <w:tcW w:w="1134" w:type="dxa"/>
            <w:tcBorders>
              <w:top w:val="dotted" w:sz="4" w:space="0" w:color="auto"/>
              <w:bottom w:val="dotted" w:sz="4" w:space="0" w:color="auto"/>
            </w:tcBorders>
            <w:shd w:val="clear" w:color="auto" w:fill="FFFFFF"/>
            <w:tcMar>
              <w:left w:w="60" w:type="dxa"/>
              <w:right w:w="60" w:type="dxa"/>
            </w:tcMar>
            <w:vAlign w:val="center"/>
          </w:tcPr>
          <w:p w14:paraId="3D0C24F7"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107 (22.2%)</w:t>
            </w:r>
          </w:p>
        </w:tc>
      </w:tr>
      <w:tr w:rsidR="00576FE1" w:rsidRPr="006562F7" w14:paraId="5A44AE22"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504B5E2"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Amoxicillin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40C2723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33 (13.7%)</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EA3D2D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46 (19.0%)</w:t>
            </w:r>
          </w:p>
        </w:tc>
        <w:tc>
          <w:tcPr>
            <w:tcW w:w="1134" w:type="dxa"/>
            <w:tcBorders>
              <w:top w:val="dotted" w:sz="4" w:space="0" w:color="auto"/>
              <w:bottom w:val="dotted" w:sz="4" w:space="0" w:color="auto"/>
            </w:tcBorders>
            <w:shd w:val="clear" w:color="auto" w:fill="FFFFFF"/>
            <w:tcMar>
              <w:left w:w="60" w:type="dxa"/>
              <w:right w:w="60" w:type="dxa"/>
            </w:tcMar>
            <w:vAlign w:val="center"/>
          </w:tcPr>
          <w:p w14:paraId="6DDD34EF"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79 (16.4%)</w:t>
            </w:r>
          </w:p>
        </w:tc>
      </w:tr>
      <w:tr w:rsidR="00576FE1" w:rsidRPr="006562F7" w14:paraId="378B87F7"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17D92B31" w14:textId="77777777" w:rsidR="00576FE1" w:rsidRPr="004C7EFF" w:rsidRDefault="00576FE1" w:rsidP="00115CD6">
            <w:pPr>
              <w:keepNext/>
              <w:adjustRightInd w:val="0"/>
              <w:spacing w:after="0" w:line="240" w:lineRule="auto"/>
              <w:rPr>
                <w:color w:val="000000"/>
                <w:sz w:val="18"/>
                <w:szCs w:val="18"/>
                <w:lang w:val="en-GB"/>
              </w:rPr>
            </w:pPr>
            <w:r w:rsidRPr="004C7EFF">
              <w:rPr>
                <w:color w:val="000000"/>
                <w:sz w:val="18"/>
                <w:szCs w:val="18"/>
                <w:lang w:val="en-GB"/>
              </w:rPr>
              <w:t xml:space="preserve">    Amoxicillin and beta-lactamase inhibitor</w:t>
            </w:r>
          </w:p>
        </w:tc>
        <w:tc>
          <w:tcPr>
            <w:tcW w:w="1418" w:type="dxa"/>
            <w:tcBorders>
              <w:top w:val="dotted" w:sz="4" w:space="0" w:color="auto"/>
              <w:bottom w:val="dotted" w:sz="4" w:space="0" w:color="auto"/>
            </w:tcBorders>
            <w:shd w:val="clear" w:color="auto" w:fill="FFFFFF"/>
            <w:tcMar>
              <w:left w:w="60" w:type="dxa"/>
              <w:right w:w="60" w:type="dxa"/>
            </w:tcMar>
            <w:vAlign w:val="center"/>
          </w:tcPr>
          <w:p w14:paraId="015AAC4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34 (14.1%)</w:t>
            </w:r>
          </w:p>
        </w:tc>
        <w:tc>
          <w:tcPr>
            <w:tcW w:w="1276" w:type="dxa"/>
            <w:tcBorders>
              <w:top w:val="dotted" w:sz="4" w:space="0" w:color="auto"/>
              <w:bottom w:val="dotted" w:sz="4" w:space="0" w:color="auto"/>
            </w:tcBorders>
            <w:shd w:val="clear" w:color="auto" w:fill="FFFFFF"/>
            <w:tcMar>
              <w:left w:w="60" w:type="dxa"/>
              <w:right w:w="60" w:type="dxa"/>
            </w:tcMar>
            <w:vAlign w:val="center"/>
          </w:tcPr>
          <w:p w14:paraId="0E90D3F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45 (18.6%)</w:t>
            </w:r>
          </w:p>
        </w:tc>
        <w:tc>
          <w:tcPr>
            <w:tcW w:w="1134" w:type="dxa"/>
            <w:tcBorders>
              <w:top w:val="dotted" w:sz="4" w:space="0" w:color="auto"/>
              <w:bottom w:val="dotted" w:sz="4" w:space="0" w:color="auto"/>
            </w:tcBorders>
            <w:shd w:val="clear" w:color="auto" w:fill="FFFFFF"/>
            <w:tcMar>
              <w:left w:w="60" w:type="dxa"/>
              <w:right w:w="60" w:type="dxa"/>
            </w:tcMar>
            <w:vAlign w:val="center"/>
          </w:tcPr>
          <w:p w14:paraId="6520D4A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79 (16.4%)</w:t>
            </w:r>
          </w:p>
        </w:tc>
      </w:tr>
      <w:tr w:rsidR="00576FE1" w:rsidRPr="006562F7" w14:paraId="001EF356"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7EEBD6CF"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Ranitidine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389CB95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36 (14.9%)</w:t>
            </w:r>
          </w:p>
        </w:tc>
        <w:tc>
          <w:tcPr>
            <w:tcW w:w="1276" w:type="dxa"/>
            <w:tcBorders>
              <w:top w:val="dotted" w:sz="4" w:space="0" w:color="auto"/>
              <w:bottom w:val="dotted" w:sz="4" w:space="0" w:color="auto"/>
            </w:tcBorders>
            <w:shd w:val="clear" w:color="auto" w:fill="FFFFFF"/>
            <w:tcMar>
              <w:left w:w="60" w:type="dxa"/>
              <w:right w:w="60" w:type="dxa"/>
            </w:tcMar>
            <w:vAlign w:val="center"/>
          </w:tcPr>
          <w:p w14:paraId="6F7FE97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42 (17.4%)</w:t>
            </w:r>
          </w:p>
        </w:tc>
        <w:tc>
          <w:tcPr>
            <w:tcW w:w="1134" w:type="dxa"/>
            <w:tcBorders>
              <w:top w:val="dotted" w:sz="4" w:space="0" w:color="auto"/>
              <w:bottom w:val="dotted" w:sz="4" w:space="0" w:color="auto"/>
            </w:tcBorders>
            <w:shd w:val="clear" w:color="auto" w:fill="FFFFFF"/>
            <w:tcMar>
              <w:left w:w="60" w:type="dxa"/>
              <w:right w:w="60" w:type="dxa"/>
            </w:tcMar>
            <w:vAlign w:val="center"/>
          </w:tcPr>
          <w:p w14:paraId="192D764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78 (16.1%)</w:t>
            </w:r>
          </w:p>
        </w:tc>
      </w:tr>
      <w:tr w:rsidR="00576FE1" w:rsidRPr="006562F7" w14:paraId="748E5F38"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3E69DB8C" w14:textId="77777777" w:rsidR="00576FE1" w:rsidRPr="004C7EFF" w:rsidRDefault="00576FE1" w:rsidP="00115CD6">
            <w:pPr>
              <w:keepNext/>
              <w:adjustRightInd w:val="0"/>
              <w:spacing w:after="0" w:line="240" w:lineRule="auto"/>
              <w:rPr>
                <w:color w:val="000000"/>
                <w:sz w:val="18"/>
                <w:szCs w:val="18"/>
                <w:lang w:val="en-GB"/>
              </w:rPr>
            </w:pPr>
            <w:r w:rsidRPr="004C7EFF">
              <w:rPr>
                <w:color w:val="000000"/>
                <w:sz w:val="18"/>
                <w:szCs w:val="18"/>
                <w:lang w:val="en-GB"/>
              </w:rPr>
              <w:t xml:space="preserve">    Calcium, combinations with vitamin d and/or other drugs</w:t>
            </w:r>
          </w:p>
        </w:tc>
        <w:tc>
          <w:tcPr>
            <w:tcW w:w="1418" w:type="dxa"/>
            <w:tcBorders>
              <w:top w:val="dotted" w:sz="4" w:space="0" w:color="auto"/>
              <w:bottom w:val="dotted" w:sz="4" w:space="0" w:color="auto"/>
            </w:tcBorders>
            <w:shd w:val="clear" w:color="auto" w:fill="FFFFFF"/>
            <w:tcMar>
              <w:left w:w="60" w:type="dxa"/>
              <w:right w:w="60" w:type="dxa"/>
            </w:tcMar>
            <w:vAlign w:val="center"/>
          </w:tcPr>
          <w:p w14:paraId="7E18514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42 (17.4%)</w:t>
            </w:r>
          </w:p>
        </w:tc>
        <w:tc>
          <w:tcPr>
            <w:tcW w:w="1276" w:type="dxa"/>
            <w:tcBorders>
              <w:top w:val="dotted" w:sz="4" w:space="0" w:color="auto"/>
              <w:bottom w:val="dotted" w:sz="4" w:space="0" w:color="auto"/>
            </w:tcBorders>
            <w:shd w:val="clear" w:color="auto" w:fill="FFFFFF"/>
            <w:tcMar>
              <w:left w:w="60" w:type="dxa"/>
              <w:right w:w="60" w:type="dxa"/>
            </w:tcMar>
            <w:vAlign w:val="center"/>
          </w:tcPr>
          <w:p w14:paraId="05F289E7"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35 (14.5%)</w:t>
            </w:r>
          </w:p>
        </w:tc>
        <w:tc>
          <w:tcPr>
            <w:tcW w:w="1134" w:type="dxa"/>
            <w:tcBorders>
              <w:top w:val="dotted" w:sz="4" w:space="0" w:color="auto"/>
              <w:bottom w:val="dotted" w:sz="4" w:space="0" w:color="auto"/>
            </w:tcBorders>
            <w:shd w:val="clear" w:color="auto" w:fill="FFFFFF"/>
            <w:tcMar>
              <w:left w:w="60" w:type="dxa"/>
              <w:right w:w="60" w:type="dxa"/>
            </w:tcMar>
            <w:vAlign w:val="center"/>
          </w:tcPr>
          <w:p w14:paraId="44A1217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77 (15.9%)</w:t>
            </w:r>
          </w:p>
        </w:tc>
      </w:tr>
      <w:tr w:rsidR="00576FE1" w:rsidRPr="006562F7" w14:paraId="0B84AF2D"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14E7EAFF"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Metamizole sodium</w:t>
            </w:r>
          </w:p>
        </w:tc>
        <w:tc>
          <w:tcPr>
            <w:tcW w:w="1418" w:type="dxa"/>
            <w:tcBorders>
              <w:top w:val="dotted" w:sz="4" w:space="0" w:color="auto"/>
              <w:bottom w:val="dotted" w:sz="4" w:space="0" w:color="auto"/>
            </w:tcBorders>
            <w:shd w:val="clear" w:color="auto" w:fill="FFFFFF"/>
            <w:tcMar>
              <w:left w:w="60" w:type="dxa"/>
              <w:right w:w="60" w:type="dxa"/>
            </w:tcMar>
            <w:vAlign w:val="center"/>
          </w:tcPr>
          <w:p w14:paraId="202EF1A9"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31 (12.9%)</w:t>
            </w:r>
          </w:p>
        </w:tc>
        <w:tc>
          <w:tcPr>
            <w:tcW w:w="1276" w:type="dxa"/>
            <w:tcBorders>
              <w:top w:val="dotted" w:sz="4" w:space="0" w:color="auto"/>
              <w:bottom w:val="dotted" w:sz="4" w:space="0" w:color="auto"/>
            </w:tcBorders>
            <w:shd w:val="clear" w:color="auto" w:fill="FFFFFF"/>
            <w:tcMar>
              <w:left w:w="60" w:type="dxa"/>
              <w:right w:w="60" w:type="dxa"/>
            </w:tcMar>
            <w:vAlign w:val="center"/>
          </w:tcPr>
          <w:p w14:paraId="43F99CA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41 (16.9%)</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9FAF48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72 (14.9%)</w:t>
            </w:r>
          </w:p>
        </w:tc>
      </w:tr>
      <w:tr w:rsidR="00576FE1" w:rsidRPr="006562F7" w14:paraId="66B527B3"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7C40FEAD"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Levothyroxine sodium</w:t>
            </w:r>
          </w:p>
        </w:tc>
        <w:tc>
          <w:tcPr>
            <w:tcW w:w="1418" w:type="dxa"/>
            <w:tcBorders>
              <w:top w:val="dotted" w:sz="4" w:space="0" w:color="auto"/>
              <w:bottom w:val="dotted" w:sz="4" w:space="0" w:color="auto"/>
            </w:tcBorders>
            <w:shd w:val="clear" w:color="auto" w:fill="FFFFFF"/>
            <w:tcMar>
              <w:left w:w="60" w:type="dxa"/>
              <w:right w:w="60" w:type="dxa"/>
            </w:tcMar>
            <w:vAlign w:val="center"/>
          </w:tcPr>
          <w:p w14:paraId="64772EE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32 (13.3%)</w:t>
            </w:r>
          </w:p>
        </w:tc>
        <w:tc>
          <w:tcPr>
            <w:tcW w:w="1276" w:type="dxa"/>
            <w:tcBorders>
              <w:top w:val="dotted" w:sz="4" w:space="0" w:color="auto"/>
              <w:bottom w:val="dotted" w:sz="4" w:space="0" w:color="auto"/>
            </w:tcBorders>
            <w:shd w:val="clear" w:color="auto" w:fill="FFFFFF"/>
            <w:tcMar>
              <w:left w:w="60" w:type="dxa"/>
              <w:right w:w="60" w:type="dxa"/>
            </w:tcMar>
            <w:vAlign w:val="center"/>
          </w:tcPr>
          <w:p w14:paraId="4B50328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34 (14.0%)</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EAE7B1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66 (13.7%)</w:t>
            </w:r>
          </w:p>
        </w:tc>
      </w:tr>
      <w:tr w:rsidR="00576FE1" w:rsidRPr="006562F7" w14:paraId="46A478B8"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4EC0F204"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Metoclopramide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5B11642F"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32 (13.3%)</w:t>
            </w:r>
          </w:p>
        </w:tc>
        <w:tc>
          <w:tcPr>
            <w:tcW w:w="1276" w:type="dxa"/>
            <w:tcBorders>
              <w:top w:val="dotted" w:sz="4" w:space="0" w:color="auto"/>
              <w:bottom w:val="dotted" w:sz="4" w:space="0" w:color="auto"/>
            </w:tcBorders>
            <w:shd w:val="clear" w:color="auto" w:fill="FFFFFF"/>
            <w:tcMar>
              <w:left w:w="60" w:type="dxa"/>
              <w:right w:w="60" w:type="dxa"/>
            </w:tcMar>
            <w:vAlign w:val="center"/>
          </w:tcPr>
          <w:p w14:paraId="453D4C0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29 (12.0%)</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B9A39B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61 (12.6%)</w:t>
            </w:r>
          </w:p>
        </w:tc>
      </w:tr>
      <w:tr w:rsidR="00576FE1" w:rsidRPr="006562F7" w14:paraId="20234DFF"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EB80BE1"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Lorazepam</w:t>
            </w:r>
          </w:p>
        </w:tc>
        <w:tc>
          <w:tcPr>
            <w:tcW w:w="1418" w:type="dxa"/>
            <w:tcBorders>
              <w:top w:val="dotted" w:sz="4" w:space="0" w:color="auto"/>
              <w:bottom w:val="dotted" w:sz="4" w:space="0" w:color="auto"/>
            </w:tcBorders>
            <w:shd w:val="clear" w:color="auto" w:fill="FFFFFF"/>
            <w:tcMar>
              <w:left w:w="60" w:type="dxa"/>
              <w:right w:w="60" w:type="dxa"/>
            </w:tcMar>
            <w:vAlign w:val="center"/>
          </w:tcPr>
          <w:p w14:paraId="65AC72D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29 (12.0%)</w:t>
            </w:r>
          </w:p>
        </w:tc>
        <w:tc>
          <w:tcPr>
            <w:tcW w:w="1276" w:type="dxa"/>
            <w:tcBorders>
              <w:top w:val="dotted" w:sz="4" w:space="0" w:color="auto"/>
              <w:bottom w:val="dotted" w:sz="4" w:space="0" w:color="auto"/>
            </w:tcBorders>
            <w:shd w:val="clear" w:color="auto" w:fill="FFFFFF"/>
            <w:tcMar>
              <w:left w:w="60" w:type="dxa"/>
              <w:right w:w="60" w:type="dxa"/>
            </w:tcMar>
            <w:vAlign w:val="center"/>
          </w:tcPr>
          <w:p w14:paraId="23BE22C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31 (12.8%)</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0491E7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60 (12.4%)</w:t>
            </w:r>
          </w:p>
        </w:tc>
      </w:tr>
      <w:tr w:rsidR="00576FE1" w:rsidRPr="006562F7" w14:paraId="60F233D6"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0573E60A"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Fentanyl</w:t>
            </w:r>
          </w:p>
        </w:tc>
        <w:tc>
          <w:tcPr>
            <w:tcW w:w="1418" w:type="dxa"/>
            <w:tcBorders>
              <w:top w:val="dotted" w:sz="4" w:space="0" w:color="auto"/>
              <w:bottom w:val="dotted" w:sz="4" w:space="0" w:color="auto"/>
            </w:tcBorders>
            <w:shd w:val="clear" w:color="auto" w:fill="FFFFFF"/>
            <w:tcMar>
              <w:left w:w="60" w:type="dxa"/>
              <w:right w:w="60" w:type="dxa"/>
            </w:tcMar>
            <w:vAlign w:val="center"/>
          </w:tcPr>
          <w:p w14:paraId="4A4CBC2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28 (11.6%)</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CDB696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31 (12.8%)</w:t>
            </w:r>
          </w:p>
        </w:tc>
        <w:tc>
          <w:tcPr>
            <w:tcW w:w="1134" w:type="dxa"/>
            <w:tcBorders>
              <w:top w:val="dotted" w:sz="4" w:space="0" w:color="auto"/>
              <w:bottom w:val="dotted" w:sz="4" w:space="0" w:color="auto"/>
            </w:tcBorders>
            <w:shd w:val="clear" w:color="auto" w:fill="FFFFFF"/>
            <w:tcMar>
              <w:left w:w="60" w:type="dxa"/>
              <w:right w:w="60" w:type="dxa"/>
            </w:tcMar>
            <w:vAlign w:val="center"/>
          </w:tcPr>
          <w:p w14:paraId="08668B1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59 (12.2%)</w:t>
            </w:r>
          </w:p>
        </w:tc>
      </w:tr>
      <w:tr w:rsidR="00576FE1" w:rsidRPr="006562F7" w14:paraId="726EDB48"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46BB9413"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Dexamethasone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252C75F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34 (14.1%)</w:t>
            </w:r>
          </w:p>
        </w:tc>
        <w:tc>
          <w:tcPr>
            <w:tcW w:w="1276" w:type="dxa"/>
            <w:tcBorders>
              <w:top w:val="dotted" w:sz="4" w:space="0" w:color="auto"/>
              <w:bottom w:val="dotted" w:sz="4" w:space="0" w:color="auto"/>
            </w:tcBorders>
            <w:shd w:val="clear" w:color="auto" w:fill="FFFFFF"/>
            <w:tcMar>
              <w:left w:w="60" w:type="dxa"/>
              <w:right w:w="60" w:type="dxa"/>
            </w:tcMar>
            <w:vAlign w:val="center"/>
          </w:tcPr>
          <w:p w14:paraId="35B769F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17 (7.0%)</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869EB2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51 (10.6%)</w:t>
            </w:r>
          </w:p>
        </w:tc>
      </w:tr>
      <w:tr w:rsidR="00576FE1" w:rsidRPr="006562F7" w14:paraId="2CEB1824"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1DF4821"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Acetylsalicylic acid</w:t>
            </w:r>
          </w:p>
        </w:tc>
        <w:tc>
          <w:tcPr>
            <w:tcW w:w="1418" w:type="dxa"/>
            <w:tcBorders>
              <w:top w:val="dotted" w:sz="4" w:space="0" w:color="auto"/>
              <w:bottom w:val="dotted" w:sz="4" w:space="0" w:color="auto"/>
            </w:tcBorders>
            <w:shd w:val="clear" w:color="auto" w:fill="FFFFFF"/>
            <w:tcMar>
              <w:left w:w="60" w:type="dxa"/>
              <w:right w:w="60" w:type="dxa"/>
            </w:tcMar>
            <w:vAlign w:val="center"/>
          </w:tcPr>
          <w:p w14:paraId="0DDECDE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19 (7.9%)</w:t>
            </w:r>
          </w:p>
        </w:tc>
        <w:tc>
          <w:tcPr>
            <w:tcW w:w="1276" w:type="dxa"/>
            <w:tcBorders>
              <w:top w:val="dotted" w:sz="4" w:space="0" w:color="auto"/>
              <w:bottom w:val="dotted" w:sz="4" w:space="0" w:color="auto"/>
            </w:tcBorders>
            <w:shd w:val="clear" w:color="auto" w:fill="FFFFFF"/>
            <w:tcMar>
              <w:left w:w="60" w:type="dxa"/>
              <w:right w:w="60" w:type="dxa"/>
            </w:tcMar>
            <w:vAlign w:val="center"/>
          </w:tcPr>
          <w:p w14:paraId="378E5F2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27 (11.2%)</w:t>
            </w:r>
          </w:p>
        </w:tc>
        <w:tc>
          <w:tcPr>
            <w:tcW w:w="1134" w:type="dxa"/>
            <w:tcBorders>
              <w:top w:val="dotted" w:sz="4" w:space="0" w:color="auto"/>
              <w:bottom w:val="dotted" w:sz="4" w:space="0" w:color="auto"/>
            </w:tcBorders>
            <w:shd w:val="clear" w:color="auto" w:fill="FFFFFF"/>
            <w:tcMar>
              <w:left w:w="60" w:type="dxa"/>
              <w:right w:w="60" w:type="dxa"/>
            </w:tcMar>
            <w:vAlign w:val="center"/>
          </w:tcPr>
          <w:p w14:paraId="6BE435A6"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46 (9.5%)</w:t>
            </w:r>
          </w:p>
        </w:tc>
      </w:tr>
      <w:tr w:rsidR="00576FE1" w:rsidRPr="006562F7" w14:paraId="1B5475CB"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5209FA37"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Morphine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63D0E15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22 (9.1%)</w:t>
            </w:r>
          </w:p>
        </w:tc>
        <w:tc>
          <w:tcPr>
            <w:tcW w:w="1276" w:type="dxa"/>
            <w:tcBorders>
              <w:top w:val="dotted" w:sz="4" w:space="0" w:color="auto"/>
              <w:bottom w:val="dotted" w:sz="4" w:space="0" w:color="auto"/>
            </w:tcBorders>
            <w:shd w:val="clear" w:color="auto" w:fill="FFFFFF"/>
            <w:tcMar>
              <w:left w:w="60" w:type="dxa"/>
              <w:right w:w="60" w:type="dxa"/>
            </w:tcMar>
            <w:vAlign w:val="center"/>
          </w:tcPr>
          <w:p w14:paraId="5F621D9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22 (9.1%)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2156F1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44 (9.1%)</w:t>
            </w:r>
          </w:p>
        </w:tc>
      </w:tr>
      <w:tr w:rsidR="00576FE1" w:rsidRPr="006562F7" w14:paraId="70B79256"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1237A073"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Tramadol</w:t>
            </w:r>
          </w:p>
        </w:tc>
        <w:tc>
          <w:tcPr>
            <w:tcW w:w="1418" w:type="dxa"/>
            <w:tcBorders>
              <w:top w:val="dotted" w:sz="4" w:space="0" w:color="auto"/>
              <w:bottom w:val="dotted" w:sz="4" w:space="0" w:color="auto"/>
            </w:tcBorders>
            <w:shd w:val="clear" w:color="auto" w:fill="FFFFFF"/>
            <w:tcMar>
              <w:left w:w="60" w:type="dxa"/>
              <w:right w:w="60" w:type="dxa"/>
            </w:tcMar>
            <w:vAlign w:val="center"/>
          </w:tcPr>
          <w:p w14:paraId="7B131BF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22 (9.1%)</w:t>
            </w:r>
          </w:p>
        </w:tc>
        <w:tc>
          <w:tcPr>
            <w:tcW w:w="1276" w:type="dxa"/>
            <w:tcBorders>
              <w:top w:val="dotted" w:sz="4" w:space="0" w:color="auto"/>
              <w:bottom w:val="dotted" w:sz="4" w:space="0" w:color="auto"/>
            </w:tcBorders>
            <w:shd w:val="clear" w:color="auto" w:fill="FFFFFF"/>
            <w:tcMar>
              <w:left w:w="60" w:type="dxa"/>
              <w:right w:w="60" w:type="dxa"/>
            </w:tcMar>
            <w:vAlign w:val="center"/>
          </w:tcPr>
          <w:p w14:paraId="2725AC4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22 (9.1%)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6B4FD55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44 (9.1%)</w:t>
            </w:r>
          </w:p>
        </w:tc>
      </w:tr>
      <w:tr w:rsidR="00576FE1" w:rsidRPr="006562F7" w14:paraId="54BDCCF3"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4D75EEA5"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Ciprofloxacin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4050FE1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19 (7.9%)</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E30A38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24 (9.9%)</w:t>
            </w:r>
          </w:p>
        </w:tc>
        <w:tc>
          <w:tcPr>
            <w:tcW w:w="1134" w:type="dxa"/>
            <w:tcBorders>
              <w:top w:val="dotted" w:sz="4" w:space="0" w:color="auto"/>
              <w:bottom w:val="dotted" w:sz="4" w:space="0" w:color="auto"/>
            </w:tcBorders>
            <w:shd w:val="clear" w:color="auto" w:fill="FFFFFF"/>
            <w:tcMar>
              <w:left w:w="60" w:type="dxa"/>
              <w:right w:w="60" w:type="dxa"/>
            </w:tcMar>
            <w:vAlign w:val="center"/>
          </w:tcPr>
          <w:p w14:paraId="2AFD5BF7"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43 (8.9%)</w:t>
            </w:r>
          </w:p>
        </w:tc>
      </w:tr>
      <w:tr w:rsidR="00576FE1" w:rsidRPr="006562F7" w14:paraId="4F94E5A6"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106C654A"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Simvastatin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297687A6"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21 (8.7%)</w:t>
            </w:r>
          </w:p>
        </w:tc>
        <w:tc>
          <w:tcPr>
            <w:tcW w:w="1276" w:type="dxa"/>
            <w:tcBorders>
              <w:top w:val="dotted" w:sz="4" w:space="0" w:color="auto"/>
              <w:bottom w:val="dotted" w:sz="4" w:space="0" w:color="auto"/>
            </w:tcBorders>
            <w:shd w:val="clear" w:color="auto" w:fill="FFFFFF"/>
            <w:tcMar>
              <w:left w:w="60" w:type="dxa"/>
              <w:right w:w="60" w:type="dxa"/>
            </w:tcMar>
            <w:vAlign w:val="center"/>
          </w:tcPr>
          <w:p w14:paraId="433EB4E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22 (9.1%)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7AE2A2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43 (8.9%)</w:t>
            </w:r>
          </w:p>
        </w:tc>
      </w:tr>
      <w:tr w:rsidR="00576FE1" w:rsidRPr="006562F7" w14:paraId="1C233021"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1E3B0153"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w:t>
            </w:r>
            <w:proofErr w:type="spellStart"/>
            <w:r w:rsidRPr="004C7EFF">
              <w:rPr>
                <w:color w:val="000000"/>
                <w:sz w:val="18"/>
                <w:szCs w:val="18"/>
              </w:rPr>
              <w:t>Dexketoprofen</w:t>
            </w:r>
            <w:proofErr w:type="spellEnd"/>
          </w:p>
        </w:tc>
        <w:tc>
          <w:tcPr>
            <w:tcW w:w="1418" w:type="dxa"/>
            <w:tcBorders>
              <w:top w:val="dotted" w:sz="4" w:space="0" w:color="auto"/>
              <w:bottom w:val="dotted" w:sz="4" w:space="0" w:color="auto"/>
            </w:tcBorders>
            <w:shd w:val="clear" w:color="auto" w:fill="FFFFFF"/>
            <w:tcMar>
              <w:left w:w="60" w:type="dxa"/>
              <w:right w:w="60" w:type="dxa"/>
            </w:tcMar>
            <w:vAlign w:val="center"/>
          </w:tcPr>
          <w:p w14:paraId="58AE95D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20 (8.3%)</w:t>
            </w:r>
          </w:p>
        </w:tc>
        <w:tc>
          <w:tcPr>
            <w:tcW w:w="1276" w:type="dxa"/>
            <w:tcBorders>
              <w:top w:val="dotted" w:sz="4" w:space="0" w:color="auto"/>
              <w:bottom w:val="dotted" w:sz="4" w:space="0" w:color="auto"/>
            </w:tcBorders>
            <w:shd w:val="clear" w:color="auto" w:fill="FFFFFF"/>
            <w:tcMar>
              <w:left w:w="60" w:type="dxa"/>
              <w:right w:w="60" w:type="dxa"/>
            </w:tcMar>
            <w:vAlign w:val="center"/>
          </w:tcPr>
          <w:p w14:paraId="3CB6ED9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21 (8.7%)</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0C47757"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41 (8.5%)</w:t>
            </w:r>
          </w:p>
        </w:tc>
      </w:tr>
      <w:tr w:rsidR="00576FE1" w:rsidRPr="006562F7" w14:paraId="15FC8A77"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0CFA2E92"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Enoxaparin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74D93C9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27 (11.2%)</w:t>
            </w:r>
          </w:p>
        </w:tc>
        <w:tc>
          <w:tcPr>
            <w:tcW w:w="1276" w:type="dxa"/>
            <w:tcBorders>
              <w:top w:val="dotted" w:sz="4" w:space="0" w:color="auto"/>
              <w:bottom w:val="dotted" w:sz="4" w:space="0" w:color="auto"/>
            </w:tcBorders>
            <w:shd w:val="clear" w:color="auto" w:fill="FFFFFF"/>
            <w:tcMar>
              <w:left w:w="60" w:type="dxa"/>
              <w:right w:w="60" w:type="dxa"/>
            </w:tcMar>
            <w:vAlign w:val="center"/>
          </w:tcPr>
          <w:p w14:paraId="4CF5D3A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(5.0%)</w:t>
            </w:r>
          </w:p>
        </w:tc>
        <w:tc>
          <w:tcPr>
            <w:tcW w:w="1134" w:type="dxa"/>
            <w:tcBorders>
              <w:top w:val="dotted" w:sz="4" w:space="0" w:color="auto"/>
              <w:bottom w:val="dotted" w:sz="4" w:space="0" w:color="auto"/>
            </w:tcBorders>
            <w:shd w:val="clear" w:color="auto" w:fill="FFFFFF"/>
            <w:tcMar>
              <w:left w:w="60" w:type="dxa"/>
              <w:right w:w="60" w:type="dxa"/>
            </w:tcMar>
            <w:vAlign w:val="center"/>
          </w:tcPr>
          <w:p w14:paraId="0DC692D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39 (8.1%)</w:t>
            </w:r>
          </w:p>
        </w:tc>
      </w:tr>
      <w:tr w:rsidR="00576FE1" w:rsidRPr="006562F7" w14:paraId="71F70B0B"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1458C5D5"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w:t>
            </w:r>
            <w:proofErr w:type="spellStart"/>
            <w:r w:rsidRPr="004C7EFF">
              <w:rPr>
                <w:color w:val="000000"/>
                <w:sz w:val="18"/>
                <w:szCs w:val="18"/>
              </w:rPr>
              <w:t>Colecalciferol</w:t>
            </w:r>
            <w:proofErr w:type="spellEnd"/>
          </w:p>
        </w:tc>
        <w:tc>
          <w:tcPr>
            <w:tcW w:w="1418" w:type="dxa"/>
            <w:tcBorders>
              <w:top w:val="dotted" w:sz="4" w:space="0" w:color="auto"/>
              <w:bottom w:val="dotted" w:sz="4" w:space="0" w:color="auto"/>
            </w:tcBorders>
            <w:shd w:val="clear" w:color="auto" w:fill="FFFFFF"/>
            <w:tcMar>
              <w:left w:w="60" w:type="dxa"/>
              <w:right w:w="60" w:type="dxa"/>
            </w:tcMar>
            <w:vAlign w:val="center"/>
          </w:tcPr>
          <w:p w14:paraId="2CAA449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20 (8.3%)</w:t>
            </w:r>
          </w:p>
        </w:tc>
        <w:tc>
          <w:tcPr>
            <w:tcW w:w="1276" w:type="dxa"/>
            <w:tcBorders>
              <w:top w:val="dotted" w:sz="4" w:space="0" w:color="auto"/>
              <w:bottom w:val="dotted" w:sz="4" w:space="0" w:color="auto"/>
            </w:tcBorders>
            <w:shd w:val="clear" w:color="auto" w:fill="FFFFFF"/>
            <w:tcMar>
              <w:left w:w="60" w:type="dxa"/>
              <w:right w:w="60" w:type="dxa"/>
            </w:tcMar>
            <w:vAlign w:val="center"/>
          </w:tcPr>
          <w:p w14:paraId="1B16F269"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18 (7.4%)</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A5E6289"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38 (7.9%)</w:t>
            </w:r>
          </w:p>
        </w:tc>
      </w:tr>
      <w:tr w:rsidR="00576FE1" w:rsidRPr="006562F7" w14:paraId="221B4B28"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D6F86B4"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Diazepam</w:t>
            </w:r>
          </w:p>
        </w:tc>
        <w:tc>
          <w:tcPr>
            <w:tcW w:w="1418" w:type="dxa"/>
            <w:tcBorders>
              <w:top w:val="dotted" w:sz="4" w:space="0" w:color="auto"/>
              <w:bottom w:val="dotted" w:sz="4" w:space="0" w:color="auto"/>
            </w:tcBorders>
            <w:shd w:val="clear" w:color="auto" w:fill="FFFFFF"/>
            <w:tcMar>
              <w:left w:w="60" w:type="dxa"/>
              <w:right w:w="60" w:type="dxa"/>
            </w:tcMar>
            <w:vAlign w:val="center"/>
          </w:tcPr>
          <w:p w14:paraId="2A8F7BD6"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19 (7.9%)</w:t>
            </w:r>
          </w:p>
        </w:tc>
        <w:tc>
          <w:tcPr>
            <w:tcW w:w="1276" w:type="dxa"/>
            <w:tcBorders>
              <w:top w:val="dotted" w:sz="4" w:space="0" w:color="auto"/>
              <w:bottom w:val="dotted" w:sz="4" w:space="0" w:color="auto"/>
            </w:tcBorders>
            <w:shd w:val="clear" w:color="auto" w:fill="FFFFFF"/>
            <w:tcMar>
              <w:left w:w="60" w:type="dxa"/>
              <w:right w:w="60" w:type="dxa"/>
            </w:tcMar>
            <w:vAlign w:val="center"/>
          </w:tcPr>
          <w:p w14:paraId="5D8E8F6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17 (7.0%)</w:t>
            </w:r>
          </w:p>
        </w:tc>
        <w:tc>
          <w:tcPr>
            <w:tcW w:w="1134" w:type="dxa"/>
            <w:tcBorders>
              <w:top w:val="dotted" w:sz="4" w:space="0" w:color="auto"/>
              <w:bottom w:val="dotted" w:sz="4" w:space="0" w:color="auto"/>
            </w:tcBorders>
            <w:shd w:val="clear" w:color="auto" w:fill="FFFFFF"/>
            <w:tcMar>
              <w:left w:w="60" w:type="dxa"/>
              <w:right w:w="60" w:type="dxa"/>
            </w:tcMar>
            <w:vAlign w:val="center"/>
          </w:tcPr>
          <w:p w14:paraId="4120CB1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36 (7.5%)</w:t>
            </w:r>
          </w:p>
        </w:tc>
      </w:tr>
      <w:tr w:rsidR="00576FE1" w:rsidRPr="006562F7" w14:paraId="7FB73115"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0C1EFA4D"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Levofloxacin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1B751B5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24 (10.0%)</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6A78BE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(5.0%)</w:t>
            </w:r>
          </w:p>
        </w:tc>
        <w:tc>
          <w:tcPr>
            <w:tcW w:w="1134" w:type="dxa"/>
            <w:tcBorders>
              <w:top w:val="dotted" w:sz="4" w:space="0" w:color="auto"/>
              <w:bottom w:val="dotted" w:sz="4" w:space="0" w:color="auto"/>
            </w:tcBorders>
            <w:shd w:val="clear" w:color="auto" w:fill="FFFFFF"/>
            <w:tcMar>
              <w:left w:w="60" w:type="dxa"/>
              <w:right w:w="60" w:type="dxa"/>
            </w:tcMar>
            <w:vAlign w:val="center"/>
          </w:tcPr>
          <w:p w14:paraId="14AE59C9"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36 (7.5%)</w:t>
            </w:r>
          </w:p>
        </w:tc>
      </w:tr>
      <w:tr w:rsidR="00576FE1" w:rsidRPr="006562F7" w14:paraId="6BF8DE02"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31E2F442"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Pregabalin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6AC144B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16 (6.6%)</w:t>
            </w:r>
          </w:p>
        </w:tc>
        <w:tc>
          <w:tcPr>
            <w:tcW w:w="1276" w:type="dxa"/>
            <w:tcBorders>
              <w:top w:val="dotted" w:sz="4" w:space="0" w:color="auto"/>
              <w:bottom w:val="dotted" w:sz="4" w:space="0" w:color="auto"/>
            </w:tcBorders>
            <w:shd w:val="clear" w:color="auto" w:fill="FFFFFF"/>
            <w:tcMar>
              <w:left w:w="60" w:type="dxa"/>
              <w:right w:w="60" w:type="dxa"/>
            </w:tcMar>
            <w:vAlign w:val="center"/>
          </w:tcPr>
          <w:p w14:paraId="137712C7"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19 (7.9%)</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A18296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35 (7.2%)</w:t>
            </w:r>
          </w:p>
        </w:tc>
      </w:tr>
      <w:tr w:rsidR="00576FE1" w:rsidRPr="006562F7" w14:paraId="235AA783"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4569D628"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Pantoprazole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084997DF"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21 (8.7%)</w:t>
            </w:r>
          </w:p>
        </w:tc>
        <w:tc>
          <w:tcPr>
            <w:tcW w:w="1276" w:type="dxa"/>
            <w:tcBorders>
              <w:top w:val="dotted" w:sz="4" w:space="0" w:color="auto"/>
              <w:bottom w:val="dotted" w:sz="4" w:space="0" w:color="auto"/>
            </w:tcBorders>
            <w:shd w:val="clear" w:color="auto" w:fill="FFFFFF"/>
            <w:tcMar>
              <w:left w:w="60" w:type="dxa"/>
              <w:right w:w="60" w:type="dxa"/>
            </w:tcMar>
            <w:vAlign w:val="center"/>
          </w:tcPr>
          <w:p w14:paraId="0A54099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(5.0%)</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5010647"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33 (6.8%)</w:t>
            </w:r>
          </w:p>
        </w:tc>
      </w:tr>
      <w:tr w:rsidR="00576FE1" w:rsidRPr="006562F7" w14:paraId="6A7B7220"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67D91EA2"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Metformin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0F792916"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(5.8%)</w:t>
            </w:r>
          </w:p>
        </w:tc>
        <w:tc>
          <w:tcPr>
            <w:tcW w:w="1276" w:type="dxa"/>
            <w:tcBorders>
              <w:top w:val="dotted" w:sz="4" w:space="0" w:color="auto"/>
              <w:bottom w:val="dotted" w:sz="4" w:space="0" w:color="auto"/>
            </w:tcBorders>
            <w:shd w:val="clear" w:color="auto" w:fill="FFFFFF"/>
            <w:tcMar>
              <w:left w:w="60" w:type="dxa"/>
              <w:right w:w="60" w:type="dxa"/>
            </w:tcMar>
            <w:vAlign w:val="center"/>
          </w:tcPr>
          <w:p w14:paraId="3629EA9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18 (7.4%)</w:t>
            </w:r>
          </w:p>
        </w:tc>
        <w:tc>
          <w:tcPr>
            <w:tcW w:w="1134" w:type="dxa"/>
            <w:tcBorders>
              <w:top w:val="dotted" w:sz="4" w:space="0" w:color="auto"/>
              <w:bottom w:val="dotted" w:sz="4" w:space="0" w:color="auto"/>
            </w:tcBorders>
            <w:shd w:val="clear" w:color="auto" w:fill="FFFFFF"/>
            <w:tcMar>
              <w:left w:w="60" w:type="dxa"/>
              <w:right w:w="60" w:type="dxa"/>
            </w:tcMar>
            <w:vAlign w:val="center"/>
          </w:tcPr>
          <w:p w14:paraId="011A56A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32 (6.6%)</w:t>
            </w:r>
          </w:p>
        </w:tc>
      </w:tr>
      <w:tr w:rsidR="00576FE1" w:rsidRPr="006562F7" w14:paraId="308245F8"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1CD62293"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Oxycodone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5DF9246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16 (6.6%)</w:t>
            </w:r>
          </w:p>
        </w:tc>
        <w:tc>
          <w:tcPr>
            <w:tcW w:w="1276" w:type="dxa"/>
            <w:tcBorders>
              <w:top w:val="dotted" w:sz="4" w:space="0" w:color="auto"/>
              <w:bottom w:val="dotted" w:sz="4" w:space="0" w:color="auto"/>
            </w:tcBorders>
            <w:shd w:val="clear" w:color="auto" w:fill="FFFFFF"/>
            <w:tcMar>
              <w:left w:w="60" w:type="dxa"/>
              <w:right w:w="60" w:type="dxa"/>
            </w:tcMar>
            <w:vAlign w:val="center"/>
          </w:tcPr>
          <w:p w14:paraId="39F5D2A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16 (6.6%)</w:t>
            </w:r>
          </w:p>
        </w:tc>
        <w:tc>
          <w:tcPr>
            <w:tcW w:w="1134" w:type="dxa"/>
            <w:tcBorders>
              <w:top w:val="dotted" w:sz="4" w:space="0" w:color="auto"/>
              <w:bottom w:val="dotted" w:sz="4" w:space="0" w:color="auto"/>
            </w:tcBorders>
            <w:shd w:val="clear" w:color="auto" w:fill="FFFFFF"/>
            <w:tcMar>
              <w:left w:w="60" w:type="dxa"/>
              <w:right w:w="60" w:type="dxa"/>
            </w:tcMar>
            <w:vAlign w:val="center"/>
          </w:tcPr>
          <w:p w14:paraId="269EADE7"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32 (6.6%)</w:t>
            </w:r>
          </w:p>
        </w:tc>
      </w:tr>
      <w:tr w:rsidR="00576FE1" w:rsidRPr="006562F7" w14:paraId="65A58E14"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10C306C6"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Amlodipine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24E79EF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(5.0%)</w:t>
            </w:r>
          </w:p>
        </w:tc>
        <w:tc>
          <w:tcPr>
            <w:tcW w:w="1276" w:type="dxa"/>
            <w:tcBorders>
              <w:top w:val="dotted" w:sz="4" w:space="0" w:color="auto"/>
              <w:bottom w:val="dotted" w:sz="4" w:space="0" w:color="auto"/>
            </w:tcBorders>
            <w:shd w:val="clear" w:color="auto" w:fill="FFFFFF"/>
            <w:tcMar>
              <w:left w:w="60" w:type="dxa"/>
              <w:right w:w="60" w:type="dxa"/>
            </w:tcMar>
            <w:vAlign w:val="center"/>
          </w:tcPr>
          <w:p w14:paraId="64C9423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19 (7.9%)</w:t>
            </w:r>
          </w:p>
        </w:tc>
        <w:tc>
          <w:tcPr>
            <w:tcW w:w="1134" w:type="dxa"/>
            <w:tcBorders>
              <w:top w:val="dotted" w:sz="4" w:space="0" w:color="auto"/>
              <w:bottom w:val="dotted" w:sz="4" w:space="0" w:color="auto"/>
            </w:tcBorders>
            <w:shd w:val="clear" w:color="auto" w:fill="FFFFFF"/>
            <w:tcMar>
              <w:left w:w="60" w:type="dxa"/>
              <w:right w:w="60" w:type="dxa"/>
            </w:tcMar>
            <w:vAlign w:val="center"/>
          </w:tcPr>
          <w:p w14:paraId="17FD25F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31 (6.4%)</w:t>
            </w:r>
          </w:p>
        </w:tc>
      </w:tr>
      <w:tr w:rsidR="00576FE1" w:rsidRPr="006562F7" w14:paraId="090C7F87"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1B4874F4"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Fosfomycin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45BB666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(5.0%)</w:t>
            </w:r>
          </w:p>
        </w:tc>
        <w:tc>
          <w:tcPr>
            <w:tcW w:w="1276" w:type="dxa"/>
            <w:tcBorders>
              <w:top w:val="dotted" w:sz="4" w:space="0" w:color="auto"/>
              <w:bottom w:val="dotted" w:sz="4" w:space="0" w:color="auto"/>
            </w:tcBorders>
            <w:shd w:val="clear" w:color="auto" w:fill="FFFFFF"/>
            <w:tcMar>
              <w:left w:w="60" w:type="dxa"/>
              <w:right w:w="60" w:type="dxa"/>
            </w:tcMar>
            <w:vAlign w:val="center"/>
          </w:tcPr>
          <w:p w14:paraId="4153FB8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19 (7.9%)</w:t>
            </w:r>
          </w:p>
        </w:tc>
        <w:tc>
          <w:tcPr>
            <w:tcW w:w="1134" w:type="dxa"/>
            <w:tcBorders>
              <w:top w:val="dotted" w:sz="4" w:space="0" w:color="auto"/>
              <w:bottom w:val="dotted" w:sz="4" w:space="0" w:color="auto"/>
            </w:tcBorders>
            <w:shd w:val="clear" w:color="auto" w:fill="FFFFFF"/>
            <w:tcMar>
              <w:left w:w="60" w:type="dxa"/>
              <w:right w:w="60" w:type="dxa"/>
            </w:tcMar>
            <w:vAlign w:val="center"/>
          </w:tcPr>
          <w:p w14:paraId="4DE5EEF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31 (6.4%)</w:t>
            </w:r>
          </w:p>
        </w:tc>
      </w:tr>
      <w:tr w:rsidR="00576FE1" w:rsidRPr="006562F7" w14:paraId="0CDBA9B0"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3F8507B4"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w:t>
            </w:r>
            <w:proofErr w:type="spellStart"/>
            <w:r w:rsidRPr="004C7EFF">
              <w:rPr>
                <w:color w:val="000000"/>
                <w:sz w:val="18"/>
                <w:szCs w:val="18"/>
              </w:rPr>
              <w:t>Goserelin</w:t>
            </w:r>
            <w:proofErr w:type="spellEnd"/>
          </w:p>
        </w:tc>
        <w:tc>
          <w:tcPr>
            <w:tcW w:w="1418" w:type="dxa"/>
            <w:tcBorders>
              <w:top w:val="dotted" w:sz="4" w:space="0" w:color="auto"/>
              <w:bottom w:val="dotted" w:sz="4" w:space="0" w:color="auto"/>
            </w:tcBorders>
            <w:shd w:val="clear" w:color="auto" w:fill="FFFFFF"/>
            <w:tcMar>
              <w:left w:w="60" w:type="dxa"/>
              <w:right w:w="60" w:type="dxa"/>
            </w:tcMar>
            <w:vAlign w:val="center"/>
          </w:tcPr>
          <w:p w14:paraId="6D855DE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(5.8%)</w:t>
            </w:r>
          </w:p>
        </w:tc>
        <w:tc>
          <w:tcPr>
            <w:tcW w:w="1276" w:type="dxa"/>
            <w:tcBorders>
              <w:top w:val="dotted" w:sz="4" w:space="0" w:color="auto"/>
              <w:bottom w:val="dotted" w:sz="4" w:space="0" w:color="auto"/>
            </w:tcBorders>
            <w:shd w:val="clear" w:color="auto" w:fill="FFFFFF"/>
            <w:tcMar>
              <w:left w:w="60" w:type="dxa"/>
              <w:right w:w="60" w:type="dxa"/>
            </w:tcMar>
            <w:vAlign w:val="center"/>
          </w:tcPr>
          <w:p w14:paraId="30714FA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17 (7.0%)</w:t>
            </w:r>
          </w:p>
        </w:tc>
        <w:tc>
          <w:tcPr>
            <w:tcW w:w="1134" w:type="dxa"/>
            <w:tcBorders>
              <w:top w:val="dotted" w:sz="4" w:space="0" w:color="auto"/>
              <w:bottom w:val="dotted" w:sz="4" w:space="0" w:color="auto"/>
            </w:tcBorders>
            <w:shd w:val="clear" w:color="auto" w:fill="FFFFFF"/>
            <w:tcMar>
              <w:left w:w="60" w:type="dxa"/>
              <w:right w:w="60" w:type="dxa"/>
            </w:tcMar>
            <w:vAlign w:val="center"/>
          </w:tcPr>
          <w:p w14:paraId="060870C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31 (6.4%)</w:t>
            </w:r>
          </w:p>
        </w:tc>
      </w:tr>
      <w:tr w:rsidR="00576FE1" w:rsidRPr="006562F7" w14:paraId="52A5B8A6"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6209702B"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Zoledronic acid</w:t>
            </w:r>
          </w:p>
        </w:tc>
        <w:tc>
          <w:tcPr>
            <w:tcW w:w="1418" w:type="dxa"/>
            <w:tcBorders>
              <w:top w:val="dotted" w:sz="4" w:space="0" w:color="auto"/>
              <w:bottom w:val="dotted" w:sz="4" w:space="0" w:color="auto"/>
            </w:tcBorders>
            <w:shd w:val="clear" w:color="auto" w:fill="FFFFFF"/>
            <w:tcMar>
              <w:left w:w="60" w:type="dxa"/>
              <w:right w:w="60" w:type="dxa"/>
            </w:tcMar>
            <w:vAlign w:val="center"/>
          </w:tcPr>
          <w:p w14:paraId="1F211A6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13 (5.4%)</w:t>
            </w:r>
          </w:p>
        </w:tc>
        <w:tc>
          <w:tcPr>
            <w:tcW w:w="1276" w:type="dxa"/>
            <w:tcBorders>
              <w:top w:val="dotted" w:sz="4" w:space="0" w:color="auto"/>
              <w:bottom w:val="dotted" w:sz="4" w:space="0" w:color="auto"/>
            </w:tcBorders>
            <w:shd w:val="clear" w:color="auto" w:fill="FFFFFF"/>
            <w:tcMar>
              <w:left w:w="60" w:type="dxa"/>
              <w:right w:w="60" w:type="dxa"/>
            </w:tcMar>
            <w:vAlign w:val="center"/>
          </w:tcPr>
          <w:p w14:paraId="53FEDA2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18 (7.4%)</w:t>
            </w:r>
          </w:p>
        </w:tc>
        <w:tc>
          <w:tcPr>
            <w:tcW w:w="1134" w:type="dxa"/>
            <w:tcBorders>
              <w:top w:val="dotted" w:sz="4" w:space="0" w:color="auto"/>
              <w:bottom w:val="dotted" w:sz="4" w:space="0" w:color="auto"/>
            </w:tcBorders>
            <w:shd w:val="clear" w:color="auto" w:fill="FFFFFF"/>
            <w:tcMar>
              <w:left w:w="60" w:type="dxa"/>
              <w:right w:w="60" w:type="dxa"/>
            </w:tcMar>
            <w:vAlign w:val="center"/>
          </w:tcPr>
          <w:p w14:paraId="7302EF5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31 (6.4%)</w:t>
            </w:r>
          </w:p>
        </w:tc>
      </w:tr>
      <w:tr w:rsidR="00576FE1" w:rsidRPr="006562F7" w14:paraId="607A0B81"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3AA98781"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Atorvastatin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14C0397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(5.8%)</w:t>
            </w:r>
          </w:p>
        </w:tc>
        <w:tc>
          <w:tcPr>
            <w:tcW w:w="1276" w:type="dxa"/>
            <w:tcBorders>
              <w:top w:val="dotted" w:sz="4" w:space="0" w:color="auto"/>
              <w:bottom w:val="dotted" w:sz="4" w:space="0" w:color="auto"/>
            </w:tcBorders>
            <w:shd w:val="clear" w:color="auto" w:fill="FFFFFF"/>
            <w:tcMar>
              <w:left w:w="60" w:type="dxa"/>
              <w:right w:w="60" w:type="dxa"/>
            </w:tcMar>
            <w:vAlign w:val="center"/>
          </w:tcPr>
          <w:p w14:paraId="2D69E07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16 (6.6%)</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1D48187"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30 (6.2%)</w:t>
            </w:r>
          </w:p>
        </w:tc>
      </w:tr>
      <w:tr w:rsidR="00576FE1" w:rsidRPr="006562F7" w14:paraId="3E1C3D3C"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4518508B"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Alprazolam</w:t>
            </w:r>
          </w:p>
        </w:tc>
        <w:tc>
          <w:tcPr>
            <w:tcW w:w="1418" w:type="dxa"/>
            <w:tcBorders>
              <w:top w:val="dotted" w:sz="4" w:space="0" w:color="auto"/>
              <w:bottom w:val="dotted" w:sz="4" w:space="0" w:color="auto"/>
            </w:tcBorders>
            <w:shd w:val="clear" w:color="auto" w:fill="FFFFFF"/>
            <w:tcMar>
              <w:left w:w="60" w:type="dxa"/>
              <w:right w:w="60" w:type="dxa"/>
            </w:tcMar>
            <w:vAlign w:val="center"/>
          </w:tcPr>
          <w:p w14:paraId="50D6C7E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(4.6%)</w:t>
            </w:r>
          </w:p>
        </w:tc>
        <w:tc>
          <w:tcPr>
            <w:tcW w:w="1276" w:type="dxa"/>
            <w:tcBorders>
              <w:top w:val="dotted" w:sz="4" w:space="0" w:color="auto"/>
              <w:bottom w:val="dotted" w:sz="4" w:space="0" w:color="auto"/>
            </w:tcBorders>
            <w:shd w:val="clear" w:color="auto" w:fill="FFFFFF"/>
            <w:tcMar>
              <w:left w:w="60" w:type="dxa"/>
              <w:right w:w="60" w:type="dxa"/>
            </w:tcMar>
            <w:vAlign w:val="center"/>
          </w:tcPr>
          <w:p w14:paraId="5AC0AA5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18 (7.4%)</w:t>
            </w:r>
          </w:p>
        </w:tc>
        <w:tc>
          <w:tcPr>
            <w:tcW w:w="1134" w:type="dxa"/>
            <w:tcBorders>
              <w:top w:val="dotted" w:sz="4" w:space="0" w:color="auto"/>
              <w:bottom w:val="dotted" w:sz="4" w:space="0" w:color="auto"/>
            </w:tcBorders>
            <w:shd w:val="clear" w:color="auto" w:fill="FFFFFF"/>
            <w:tcMar>
              <w:left w:w="60" w:type="dxa"/>
              <w:right w:w="60" w:type="dxa"/>
            </w:tcMar>
            <w:vAlign w:val="center"/>
          </w:tcPr>
          <w:p w14:paraId="2C546E67"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29 (6.0%)</w:t>
            </w:r>
          </w:p>
        </w:tc>
      </w:tr>
      <w:tr w:rsidR="00576FE1" w:rsidRPr="006562F7" w14:paraId="3A09EEA2"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5C65FC24"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Diclofenac</w:t>
            </w:r>
          </w:p>
        </w:tc>
        <w:tc>
          <w:tcPr>
            <w:tcW w:w="1418" w:type="dxa"/>
            <w:tcBorders>
              <w:top w:val="dotted" w:sz="4" w:space="0" w:color="auto"/>
              <w:bottom w:val="dotted" w:sz="4" w:space="0" w:color="auto"/>
            </w:tcBorders>
            <w:shd w:val="clear" w:color="auto" w:fill="FFFFFF"/>
            <w:tcMar>
              <w:left w:w="60" w:type="dxa"/>
              <w:right w:w="60" w:type="dxa"/>
            </w:tcMar>
            <w:vAlign w:val="center"/>
          </w:tcPr>
          <w:p w14:paraId="4F86C6A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18 (7.5%)</w:t>
            </w:r>
          </w:p>
        </w:tc>
        <w:tc>
          <w:tcPr>
            <w:tcW w:w="1276" w:type="dxa"/>
            <w:tcBorders>
              <w:top w:val="dotted" w:sz="4" w:space="0" w:color="auto"/>
              <w:bottom w:val="dotted" w:sz="4" w:space="0" w:color="auto"/>
            </w:tcBorders>
            <w:shd w:val="clear" w:color="auto" w:fill="FFFFFF"/>
            <w:tcMar>
              <w:left w:w="60" w:type="dxa"/>
              <w:right w:w="60" w:type="dxa"/>
            </w:tcMar>
            <w:vAlign w:val="center"/>
          </w:tcPr>
          <w:p w14:paraId="007F926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(4.5%)</w:t>
            </w:r>
          </w:p>
        </w:tc>
        <w:tc>
          <w:tcPr>
            <w:tcW w:w="1134" w:type="dxa"/>
            <w:tcBorders>
              <w:top w:val="dotted" w:sz="4" w:space="0" w:color="auto"/>
              <w:bottom w:val="dotted" w:sz="4" w:space="0" w:color="auto"/>
            </w:tcBorders>
            <w:shd w:val="clear" w:color="auto" w:fill="FFFFFF"/>
            <w:tcMar>
              <w:left w:w="60" w:type="dxa"/>
              <w:right w:w="60" w:type="dxa"/>
            </w:tcMar>
            <w:vAlign w:val="center"/>
          </w:tcPr>
          <w:p w14:paraId="3920CA9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29 (6.0%)</w:t>
            </w:r>
          </w:p>
        </w:tc>
      </w:tr>
      <w:tr w:rsidR="00576FE1" w:rsidRPr="006562F7" w14:paraId="372E1712"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A149CFC"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Enalapril</w:t>
            </w:r>
          </w:p>
        </w:tc>
        <w:tc>
          <w:tcPr>
            <w:tcW w:w="1418" w:type="dxa"/>
            <w:tcBorders>
              <w:top w:val="dotted" w:sz="4" w:space="0" w:color="auto"/>
              <w:bottom w:val="dotted" w:sz="4" w:space="0" w:color="auto"/>
            </w:tcBorders>
            <w:shd w:val="clear" w:color="auto" w:fill="FFFFFF"/>
            <w:tcMar>
              <w:left w:w="60" w:type="dxa"/>
              <w:right w:w="60" w:type="dxa"/>
            </w:tcMar>
            <w:vAlign w:val="center"/>
          </w:tcPr>
          <w:p w14:paraId="73D74B1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(5.8%)</w:t>
            </w:r>
          </w:p>
        </w:tc>
        <w:tc>
          <w:tcPr>
            <w:tcW w:w="1276" w:type="dxa"/>
            <w:tcBorders>
              <w:top w:val="dotted" w:sz="4" w:space="0" w:color="auto"/>
              <w:bottom w:val="dotted" w:sz="4" w:space="0" w:color="auto"/>
            </w:tcBorders>
            <w:shd w:val="clear" w:color="auto" w:fill="FFFFFF"/>
            <w:tcMar>
              <w:left w:w="60" w:type="dxa"/>
              <w:right w:w="60" w:type="dxa"/>
            </w:tcMar>
            <w:vAlign w:val="center"/>
          </w:tcPr>
          <w:p w14:paraId="256949A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(5.8%)</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33BC62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28 (5.8%)</w:t>
            </w:r>
          </w:p>
        </w:tc>
      </w:tr>
      <w:tr w:rsidR="00576FE1" w:rsidRPr="006562F7" w14:paraId="76C0ACF8"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7E37D0E5"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Cetirizine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3E55ECB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(5.8%)</w:t>
            </w:r>
          </w:p>
        </w:tc>
        <w:tc>
          <w:tcPr>
            <w:tcW w:w="1276" w:type="dxa"/>
            <w:tcBorders>
              <w:top w:val="dotted" w:sz="4" w:space="0" w:color="auto"/>
              <w:bottom w:val="dotted" w:sz="4" w:space="0" w:color="auto"/>
            </w:tcBorders>
            <w:shd w:val="clear" w:color="auto" w:fill="FFFFFF"/>
            <w:tcMar>
              <w:left w:w="60" w:type="dxa"/>
              <w:right w:w="60" w:type="dxa"/>
            </w:tcMar>
            <w:vAlign w:val="center"/>
          </w:tcPr>
          <w:p w14:paraId="0166BDF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13 (5.4%)</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D934B6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27 (5.6%)</w:t>
            </w:r>
          </w:p>
        </w:tc>
      </w:tr>
      <w:tr w:rsidR="00576FE1" w:rsidRPr="006562F7" w14:paraId="1DAFA9EC"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58B8A9BE"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Calcium carbonate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3F54BD6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13 (5.4%)</w:t>
            </w:r>
          </w:p>
        </w:tc>
        <w:tc>
          <w:tcPr>
            <w:tcW w:w="1276" w:type="dxa"/>
            <w:tcBorders>
              <w:top w:val="dotted" w:sz="4" w:space="0" w:color="auto"/>
              <w:bottom w:val="dotted" w:sz="4" w:space="0" w:color="auto"/>
            </w:tcBorders>
            <w:shd w:val="clear" w:color="auto" w:fill="FFFFFF"/>
            <w:tcMar>
              <w:left w:w="60" w:type="dxa"/>
              <w:right w:w="60" w:type="dxa"/>
            </w:tcMar>
            <w:vAlign w:val="center"/>
          </w:tcPr>
          <w:p w14:paraId="30F3216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13 (5.4%)</w:t>
            </w:r>
          </w:p>
        </w:tc>
        <w:tc>
          <w:tcPr>
            <w:tcW w:w="1134" w:type="dxa"/>
            <w:tcBorders>
              <w:top w:val="dotted" w:sz="4" w:space="0" w:color="auto"/>
              <w:bottom w:val="dotted" w:sz="4" w:space="0" w:color="auto"/>
            </w:tcBorders>
            <w:shd w:val="clear" w:color="auto" w:fill="FFFFFF"/>
            <w:tcMar>
              <w:left w:w="60" w:type="dxa"/>
              <w:right w:w="60" w:type="dxa"/>
            </w:tcMar>
            <w:vAlign w:val="center"/>
          </w:tcPr>
          <w:p w14:paraId="7A54AE4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26 (5.4%)</w:t>
            </w:r>
          </w:p>
        </w:tc>
      </w:tr>
      <w:tr w:rsidR="00576FE1" w:rsidRPr="006562F7" w14:paraId="60F2CDF8"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77169693"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Acetylcysteine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389B8F6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(5.0%)</w:t>
            </w:r>
          </w:p>
        </w:tc>
        <w:tc>
          <w:tcPr>
            <w:tcW w:w="1276" w:type="dxa"/>
            <w:tcBorders>
              <w:top w:val="dotted" w:sz="4" w:space="0" w:color="auto"/>
              <w:bottom w:val="dotted" w:sz="4" w:space="0" w:color="auto"/>
            </w:tcBorders>
            <w:shd w:val="clear" w:color="auto" w:fill="FFFFFF"/>
            <w:tcMar>
              <w:left w:w="60" w:type="dxa"/>
              <w:right w:w="60" w:type="dxa"/>
            </w:tcMar>
            <w:vAlign w:val="center"/>
          </w:tcPr>
          <w:p w14:paraId="42D9EC3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13 (5.4%)</w:t>
            </w:r>
          </w:p>
        </w:tc>
        <w:tc>
          <w:tcPr>
            <w:tcW w:w="1134" w:type="dxa"/>
            <w:tcBorders>
              <w:top w:val="dotted" w:sz="4" w:space="0" w:color="auto"/>
              <w:bottom w:val="dotted" w:sz="4" w:space="0" w:color="auto"/>
            </w:tcBorders>
            <w:shd w:val="clear" w:color="auto" w:fill="FFFFFF"/>
            <w:tcMar>
              <w:left w:w="60" w:type="dxa"/>
              <w:right w:w="60" w:type="dxa"/>
            </w:tcMar>
            <w:vAlign w:val="center"/>
          </w:tcPr>
          <w:p w14:paraId="3D46D1F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25 (5.2%)</w:t>
            </w:r>
          </w:p>
        </w:tc>
      </w:tr>
      <w:tr w:rsidR="00576FE1" w:rsidRPr="006562F7" w14:paraId="06208445"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5DD494FC"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Other emollients and protectives</w:t>
            </w:r>
          </w:p>
        </w:tc>
        <w:tc>
          <w:tcPr>
            <w:tcW w:w="1418" w:type="dxa"/>
            <w:tcBorders>
              <w:top w:val="dotted" w:sz="4" w:space="0" w:color="auto"/>
              <w:bottom w:val="dotted" w:sz="4" w:space="0" w:color="auto"/>
            </w:tcBorders>
            <w:shd w:val="clear" w:color="auto" w:fill="FFFFFF"/>
            <w:tcMar>
              <w:left w:w="60" w:type="dxa"/>
              <w:right w:w="60" w:type="dxa"/>
            </w:tcMar>
            <w:vAlign w:val="center"/>
          </w:tcPr>
          <w:p w14:paraId="3F6464F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 (4.1%)</w:t>
            </w:r>
          </w:p>
        </w:tc>
        <w:tc>
          <w:tcPr>
            <w:tcW w:w="1276" w:type="dxa"/>
            <w:tcBorders>
              <w:top w:val="dotted" w:sz="4" w:space="0" w:color="auto"/>
              <w:bottom w:val="dotted" w:sz="4" w:space="0" w:color="auto"/>
            </w:tcBorders>
            <w:shd w:val="clear" w:color="auto" w:fill="FFFFFF"/>
            <w:tcMar>
              <w:left w:w="60" w:type="dxa"/>
              <w:right w:w="60" w:type="dxa"/>
            </w:tcMar>
            <w:vAlign w:val="center"/>
          </w:tcPr>
          <w:p w14:paraId="0982DE6F"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(5.8%)</w:t>
            </w:r>
          </w:p>
        </w:tc>
        <w:tc>
          <w:tcPr>
            <w:tcW w:w="1134" w:type="dxa"/>
            <w:tcBorders>
              <w:top w:val="dotted" w:sz="4" w:space="0" w:color="auto"/>
              <w:bottom w:val="dotted" w:sz="4" w:space="0" w:color="auto"/>
            </w:tcBorders>
            <w:shd w:val="clear" w:color="auto" w:fill="FFFFFF"/>
            <w:tcMar>
              <w:left w:w="60" w:type="dxa"/>
              <w:right w:w="60" w:type="dxa"/>
            </w:tcMar>
            <w:vAlign w:val="center"/>
          </w:tcPr>
          <w:p w14:paraId="7C9BF55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24 (5.0%)</w:t>
            </w:r>
          </w:p>
        </w:tc>
      </w:tr>
      <w:tr w:rsidR="00576FE1" w:rsidRPr="006562F7" w14:paraId="682DA1FB"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87F073C"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Prednisone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2C455D2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(5.0%)</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C14025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(5.0%)</w:t>
            </w:r>
          </w:p>
        </w:tc>
        <w:tc>
          <w:tcPr>
            <w:tcW w:w="1134" w:type="dxa"/>
            <w:tcBorders>
              <w:top w:val="dotted" w:sz="4" w:space="0" w:color="auto"/>
              <w:bottom w:val="dotted" w:sz="4" w:space="0" w:color="auto"/>
            </w:tcBorders>
            <w:shd w:val="clear" w:color="auto" w:fill="FFFFFF"/>
            <w:tcMar>
              <w:left w:w="60" w:type="dxa"/>
              <w:right w:w="60" w:type="dxa"/>
            </w:tcMar>
            <w:vAlign w:val="center"/>
          </w:tcPr>
          <w:p w14:paraId="26AA23D6"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24 (5.0%)</w:t>
            </w:r>
          </w:p>
        </w:tc>
      </w:tr>
      <w:tr w:rsidR="00576FE1" w:rsidRPr="006562F7" w14:paraId="6614CDB1"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39AC00D6"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Bisoprolol</w:t>
            </w:r>
          </w:p>
        </w:tc>
        <w:tc>
          <w:tcPr>
            <w:tcW w:w="1418" w:type="dxa"/>
            <w:tcBorders>
              <w:top w:val="dotted" w:sz="4" w:space="0" w:color="auto"/>
              <w:bottom w:val="dotted" w:sz="4" w:space="0" w:color="auto"/>
            </w:tcBorders>
            <w:shd w:val="clear" w:color="auto" w:fill="FFFFFF"/>
            <w:tcMar>
              <w:left w:w="60" w:type="dxa"/>
              <w:right w:w="60" w:type="dxa"/>
            </w:tcMar>
            <w:vAlign w:val="center"/>
          </w:tcPr>
          <w:p w14:paraId="16A8E5B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 (4.1%)</w:t>
            </w:r>
          </w:p>
        </w:tc>
        <w:tc>
          <w:tcPr>
            <w:tcW w:w="1276" w:type="dxa"/>
            <w:tcBorders>
              <w:top w:val="dotted" w:sz="4" w:space="0" w:color="auto"/>
              <w:bottom w:val="dotted" w:sz="4" w:space="0" w:color="auto"/>
            </w:tcBorders>
            <w:shd w:val="clear" w:color="auto" w:fill="FFFFFF"/>
            <w:tcMar>
              <w:left w:w="60" w:type="dxa"/>
              <w:right w:w="60" w:type="dxa"/>
            </w:tcMar>
            <w:vAlign w:val="center"/>
          </w:tcPr>
          <w:p w14:paraId="68824EE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13 (5.4%)</w:t>
            </w:r>
          </w:p>
        </w:tc>
        <w:tc>
          <w:tcPr>
            <w:tcW w:w="1134" w:type="dxa"/>
            <w:tcBorders>
              <w:top w:val="dotted" w:sz="4" w:space="0" w:color="auto"/>
              <w:bottom w:val="dotted" w:sz="4" w:space="0" w:color="auto"/>
            </w:tcBorders>
            <w:shd w:val="clear" w:color="auto" w:fill="FFFFFF"/>
            <w:tcMar>
              <w:left w:w="60" w:type="dxa"/>
              <w:right w:w="60" w:type="dxa"/>
            </w:tcMar>
            <w:vAlign w:val="center"/>
          </w:tcPr>
          <w:p w14:paraId="6A19426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23 (4.8%)</w:t>
            </w:r>
          </w:p>
        </w:tc>
      </w:tr>
      <w:tr w:rsidR="00576FE1" w:rsidRPr="006562F7" w14:paraId="3A8BA0E7"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4723F790"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Hydrochlorothiazide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49DD173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276" w:type="dxa"/>
            <w:tcBorders>
              <w:top w:val="dotted" w:sz="4" w:space="0" w:color="auto"/>
              <w:bottom w:val="dotted" w:sz="4" w:space="0" w:color="auto"/>
            </w:tcBorders>
            <w:shd w:val="clear" w:color="auto" w:fill="FFFFFF"/>
            <w:tcMar>
              <w:left w:w="60" w:type="dxa"/>
              <w:right w:w="60" w:type="dxa"/>
            </w:tcMar>
            <w:vAlign w:val="center"/>
          </w:tcPr>
          <w:p w14:paraId="41D18DC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(5.8%)</w:t>
            </w:r>
          </w:p>
        </w:tc>
        <w:tc>
          <w:tcPr>
            <w:tcW w:w="1134" w:type="dxa"/>
            <w:tcBorders>
              <w:top w:val="dotted" w:sz="4" w:space="0" w:color="auto"/>
              <w:bottom w:val="dotted" w:sz="4" w:space="0" w:color="auto"/>
            </w:tcBorders>
            <w:shd w:val="clear" w:color="auto" w:fill="FFFFFF"/>
            <w:tcMar>
              <w:left w:w="60" w:type="dxa"/>
              <w:right w:w="60" w:type="dxa"/>
            </w:tcMar>
            <w:vAlign w:val="center"/>
          </w:tcPr>
          <w:p w14:paraId="1F37CBA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23 (4.8%)</w:t>
            </w:r>
          </w:p>
        </w:tc>
      </w:tr>
      <w:tr w:rsidR="00576FE1" w:rsidRPr="006562F7" w14:paraId="45B4C403"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19A8875A"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Loperamide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715D3B7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13 (5.4%)</w:t>
            </w:r>
          </w:p>
        </w:tc>
        <w:tc>
          <w:tcPr>
            <w:tcW w:w="1276" w:type="dxa"/>
            <w:tcBorders>
              <w:top w:val="dotted" w:sz="4" w:space="0" w:color="auto"/>
              <w:bottom w:val="dotted" w:sz="4" w:space="0" w:color="auto"/>
            </w:tcBorders>
            <w:shd w:val="clear" w:color="auto" w:fill="FFFFFF"/>
            <w:tcMar>
              <w:left w:w="60" w:type="dxa"/>
              <w:right w:w="60" w:type="dxa"/>
            </w:tcMar>
            <w:vAlign w:val="center"/>
          </w:tcPr>
          <w:p w14:paraId="20BF582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 (4.1%)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67A5262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23 (4.8%)</w:t>
            </w:r>
          </w:p>
        </w:tc>
      </w:tr>
      <w:tr w:rsidR="00576FE1" w:rsidRPr="006562F7" w14:paraId="21833299"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42D082E1"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Macrogol, combinations</w:t>
            </w:r>
          </w:p>
        </w:tc>
        <w:tc>
          <w:tcPr>
            <w:tcW w:w="1418" w:type="dxa"/>
            <w:tcBorders>
              <w:top w:val="dotted" w:sz="4" w:space="0" w:color="auto"/>
              <w:bottom w:val="dotted" w:sz="4" w:space="0" w:color="auto"/>
            </w:tcBorders>
            <w:shd w:val="clear" w:color="auto" w:fill="FFFFFF"/>
            <w:tcMar>
              <w:left w:w="60" w:type="dxa"/>
              <w:right w:w="60" w:type="dxa"/>
            </w:tcMar>
            <w:vAlign w:val="center"/>
          </w:tcPr>
          <w:p w14:paraId="5439B8C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(5.8%)</w:t>
            </w:r>
          </w:p>
        </w:tc>
        <w:tc>
          <w:tcPr>
            <w:tcW w:w="1276" w:type="dxa"/>
            <w:tcBorders>
              <w:top w:val="dotted" w:sz="4" w:space="0" w:color="auto"/>
              <w:bottom w:val="dotted" w:sz="4" w:space="0" w:color="auto"/>
            </w:tcBorders>
            <w:shd w:val="clear" w:color="auto" w:fill="FFFFFF"/>
            <w:tcMar>
              <w:left w:w="60" w:type="dxa"/>
              <w:right w:w="60" w:type="dxa"/>
            </w:tcMar>
            <w:vAlign w:val="center"/>
          </w:tcPr>
          <w:p w14:paraId="45723EE6"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134" w:type="dxa"/>
            <w:tcBorders>
              <w:top w:val="dotted" w:sz="4" w:space="0" w:color="auto"/>
              <w:bottom w:val="dotted" w:sz="4" w:space="0" w:color="auto"/>
            </w:tcBorders>
            <w:shd w:val="clear" w:color="auto" w:fill="FFFFFF"/>
            <w:tcMar>
              <w:left w:w="60" w:type="dxa"/>
              <w:right w:w="60" w:type="dxa"/>
            </w:tcMar>
            <w:vAlign w:val="center"/>
          </w:tcPr>
          <w:p w14:paraId="4AE3D58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23 (4.8%)</w:t>
            </w:r>
          </w:p>
        </w:tc>
      </w:tr>
      <w:tr w:rsidR="00576FE1" w:rsidRPr="006562F7" w14:paraId="79875D3F"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4138E4E9"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Calcifediol</w:t>
            </w:r>
          </w:p>
        </w:tc>
        <w:tc>
          <w:tcPr>
            <w:tcW w:w="1418" w:type="dxa"/>
            <w:tcBorders>
              <w:top w:val="dotted" w:sz="4" w:space="0" w:color="auto"/>
              <w:bottom w:val="dotted" w:sz="4" w:space="0" w:color="auto"/>
            </w:tcBorders>
            <w:shd w:val="clear" w:color="auto" w:fill="FFFFFF"/>
            <w:tcMar>
              <w:left w:w="60" w:type="dxa"/>
              <w:right w:w="60" w:type="dxa"/>
            </w:tcMar>
            <w:vAlign w:val="center"/>
          </w:tcPr>
          <w:p w14:paraId="3EB2838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276" w:type="dxa"/>
            <w:tcBorders>
              <w:top w:val="dotted" w:sz="4" w:space="0" w:color="auto"/>
              <w:bottom w:val="dotted" w:sz="4" w:space="0" w:color="auto"/>
            </w:tcBorders>
            <w:shd w:val="clear" w:color="auto" w:fill="FFFFFF"/>
            <w:tcMar>
              <w:left w:w="60" w:type="dxa"/>
              <w:right w:w="60" w:type="dxa"/>
            </w:tcMar>
            <w:vAlign w:val="center"/>
          </w:tcPr>
          <w:p w14:paraId="616BC2E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(5.8%)</w:t>
            </w:r>
          </w:p>
        </w:tc>
        <w:tc>
          <w:tcPr>
            <w:tcW w:w="1134" w:type="dxa"/>
            <w:tcBorders>
              <w:top w:val="dotted" w:sz="4" w:space="0" w:color="auto"/>
              <w:bottom w:val="dotted" w:sz="4" w:space="0" w:color="auto"/>
            </w:tcBorders>
            <w:shd w:val="clear" w:color="auto" w:fill="FFFFFF"/>
            <w:tcMar>
              <w:left w:w="60" w:type="dxa"/>
              <w:right w:w="60" w:type="dxa"/>
            </w:tcMar>
            <w:vAlign w:val="center"/>
          </w:tcPr>
          <w:p w14:paraId="7E2200D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22 (4.6%)</w:t>
            </w:r>
          </w:p>
        </w:tc>
      </w:tr>
      <w:tr w:rsidR="00576FE1" w:rsidRPr="006562F7" w14:paraId="71D24EAE"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5911209D"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Azithromycin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011D021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(5.0%)</w:t>
            </w:r>
          </w:p>
        </w:tc>
        <w:tc>
          <w:tcPr>
            <w:tcW w:w="1276" w:type="dxa"/>
            <w:tcBorders>
              <w:top w:val="dotted" w:sz="4" w:space="0" w:color="auto"/>
              <w:bottom w:val="dotted" w:sz="4" w:space="0" w:color="auto"/>
            </w:tcBorders>
            <w:shd w:val="clear" w:color="auto" w:fill="FFFFFF"/>
            <w:tcMar>
              <w:left w:w="60" w:type="dxa"/>
              <w:right w:w="60" w:type="dxa"/>
            </w:tcMar>
            <w:vAlign w:val="center"/>
          </w:tcPr>
          <w:p w14:paraId="50E560F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134" w:type="dxa"/>
            <w:tcBorders>
              <w:top w:val="dotted" w:sz="4" w:space="0" w:color="auto"/>
              <w:bottom w:val="dotted" w:sz="4" w:space="0" w:color="auto"/>
            </w:tcBorders>
            <w:shd w:val="clear" w:color="auto" w:fill="FFFFFF"/>
            <w:tcMar>
              <w:left w:w="60" w:type="dxa"/>
              <w:right w:w="60" w:type="dxa"/>
            </w:tcMar>
            <w:vAlign w:val="center"/>
          </w:tcPr>
          <w:p w14:paraId="0AC63B0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21 (4.3%)</w:t>
            </w:r>
          </w:p>
        </w:tc>
      </w:tr>
      <w:tr w:rsidR="00576FE1" w:rsidRPr="006562F7" w14:paraId="52D1AAD3"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C2167B1"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Cefuroxime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1893BC2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13 (5.4%)</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6A60F9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BB1E60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21 (4.3%)</w:t>
            </w:r>
          </w:p>
        </w:tc>
      </w:tr>
      <w:tr w:rsidR="00576FE1" w:rsidRPr="006562F7" w14:paraId="51BAA168"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50934129"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Esomeprazole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3C3799F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(5.0%)</w:t>
            </w:r>
          </w:p>
        </w:tc>
        <w:tc>
          <w:tcPr>
            <w:tcW w:w="1276" w:type="dxa"/>
            <w:tcBorders>
              <w:top w:val="dotted" w:sz="4" w:space="0" w:color="auto"/>
              <w:bottom w:val="dotted" w:sz="4" w:space="0" w:color="auto"/>
            </w:tcBorders>
            <w:shd w:val="clear" w:color="auto" w:fill="FFFFFF"/>
            <w:tcMar>
              <w:left w:w="60" w:type="dxa"/>
              <w:right w:w="60" w:type="dxa"/>
            </w:tcMar>
            <w:vAlign w:val="center"/>
          </w:tcPr>
          <w:p w14:paraId="3C19501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134" w:type="dxa"/>
            <w:tcBorders>
              <w:top w:val="dotted" w:sz="4" w:space="0" w:color="auto"/>
              <w:bottom w:val="dotted" w:sz="4" w:space="0" w:color="auto"/>
            </w:tcBorders>
            <w:shd w:val="clear" w:color="auto" w:fill="FFFFFF"/>
            <w:tcMar>
              <w:left w:w="60" w:type="dxa"/>
              <w:right w:w="60" w:type="dxa"/>
            </w:tcMar>
            <w:vAlign w:val="center"/>
          </w:tcPr>
          <w:p w14:paraId="3221B21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21 (4.3%)</w:t>
            </w:r>
          </w:p>
        </w:tc>
      </w:tr>
      <w:tr w:rsidR="00576FE1" w:rsidRPr="006562F7" w14:paraId="349D9E4B"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7FCEE653"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Furosemide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3F66EC4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13 (5.4%)</w:t>
            </w:r>
          </w:p>
        </w:tc>
        <w:tc>
          <w:tcPr>
            <w:tcW w:w="1276" w:type="dxa"/>
            <w:tcBorders>
              <w:top w:val="dotted" w:sz="4" w:space="0" w:color="auto"/>
              <w:bottom w:val="dotted" w:sz="4" w:space="0" w:color="auto"/>
            </w:tcBorders>
            <w:shd w:val="clear" w:color="auto" w:fill="FFFFFF"/>
            <w:tcMar>
              <w:left w:w="60" w:type="dxa"/>
              <w:right w:w="60" w:type="dxa"/>
            </w:tcMar>
            <w:vAlign w:val="center"/>
          </w:tcPr>
          <w:p w14:paraId="6A83FA0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134" w:type="dxa"/>
            <w:tcBorders>
              <w:top w:val="dotted" w:sz="4" w:space="0" w:color="auto"/>
              <w:bottom w:val="dotted" w:sz="4" w:space="0" w:color="auto"/>
            </w:tcBorders>
            <w:shd w:val="clear" w:color="auto" w:fill="FFFFFF"/>
            <w:tcMar>
              <w:left w:w="60" w:type="dxa"/>
              <w:right w:w="60" w:type="dxa"/>
            </w:tcMar>
            <w:vAlign w:val="center"/>
          </w:tcPr>
          <w:p w14:paraId="641C816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21 (4.3%)</w:t>
            </w:r>
          </w:p>
        </w:tc>
      </w:tr>
      <w:tr w:rsidR="00576FE1" w:rsidRPr="006562F7" w14:paraId="4DBB8839"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1DCE7479"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Macrogol</w:t>
            </w:r>
          </w:p>
        </w:tc>
        <w:tc>
          <w:tcPr>
            <w:tcW w:w="1418" w:type="dxa"/>
            <w:tcBorders>
              <w:top w:val="dotted" w:sz="4" w:space="0" w:color="auto"/>
              <w:bottom w:val="dotted" w:sz="4" w:space="0" w:color="auto"/>
            </w:tcBorders>
            <w:shd w:val="clear" w:color="auto" w:fill="FFFFFF"/>
            <w:tcMar>
              <w:left w:w="60" w:type="dxa"/>
              <w:right w:w="60" w:type="dxa"/>
            </w:tcMar>
            <w:vAlign w:val="center"/>
          </w:tcPr>
          <w:p w14:paraId="1456F58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(5.0%)</w:t>
            </w:r>
          </w:p>
        </w:tc>
        <w:tc>
          <w:tcPr>
            <w:tcW w:w="1276" w:type="dxa"/>
            <w:tcBorders>
              <w:top w:val="dotted" w:sz="4" w:space="0" w:color="auto"/>
              <w:bottom w:val="dotted" w:sz="4" w:space="0" w:color="auto"/>
            </w:tcBorders>
            <w:shd w:val="clear" w:color="auto" w:fill="FFFFFF"/>
            <w:tcMar>
              <w:left w:w="60" w:type="dxa"/>
              <w:right w:w="60" w:type="dxa"/>
            </w:tcMar>
            <w:vAlign w:val="center"/>
          </w:tcPr>
          <w:p w14:paraId="67166FB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134" w:type="dxa"/>
            <w:tcBorders>
              <w:top w:val="dotted" w:sz="4" w:space="0" w:color="auto"/>
              <w:bottom w:val="dotted" w:sz="4" w:space="0" w:color="auto"/>
            </w:tcBorders>
            <w:shd w:val="clear" w:color="auto" w:fill="FFFFFF"/>
            <w:tcMar>
              <w:left w:w="60" w:type="dxa"/>
              <w:right w:w="60" w:type="dxa"/>
            </w:tcMar>
            <w:vAlign w:val="center"/>
          </w:tcPr>
          <w:p w14:paraId="62C8D5B6"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21 (4.3%)</w:t>
            </w:r>
          </w:p>
        </w:tc>
      </w:tr>
      <w:tr w:rsidR="00576FE1" w:rsidRPr="006562F7" w14:paraId="50EB9DBF"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E65DC22"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Other therapeutic products</w:t>
            </w:r>
          </w:p>
        </w:tc>
        <w:tc>
          <w:tcPr>
            <w:tcW w:w="1418" w:type="dxa"/>
            <w:tcBorders>
              <w:top w:val="dotted" w:sz="4" w:space="0" w:color="auto"/>
              <w:bottom w:val="dotted" w:sz="4" w:space="0" w:color="auto"/>
            </w:tcBorders>
            <w:shd w:val="clear" w:color="auto" w:fill="FFFFFF"/>
            <w:tcMar>
              <w:left w:w="60" w:type="dxa"/>
              <w:right w:w="60" w:type="dxa"/>
            </w:tcMar>
            <w:vAlign w:val="center"/>
          </w:tcPr>
          <w:p w14:paraId="14BACDA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(4.6%)</w:t>
            </w:r>
          </w:p>
        </w:tc>
        <w:tc>
          <w:tcPr>
            <w:tcW w:w="1276" w:type="dxa"/>
            <w:tcBorders>
              <w:top w:val="dotted" w:sz="4" w:space="0" w:color="auto"/>
              <w:bottom w:val="dotted" w:sz="4" w:space="0" w:color="auto"/>
            </w:tcBorders>
            <w:shd w:val="clear" w:color="auto" w:fill="FFFFFF"/>
            <w:tcMar>
              <w:left w:w="60" w:type="dxa"/>
              <w:right w:w="60" w:type="dxa"/>
            </w:tcMar>
            <w:vAlign w:val="center"/>
          </w:tcPr>
          <w:p w14:paraId="5D6F8C0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134" w:type="dxa"/>
            <w:tcBorders>
              <w:top w:val="dotted" w:sz="4" w:space="0" w:color="auto"/>
              <w:bottom w:val="dotted" w:sz="4" w:space="0" w:color="auto"/>
            </w:tcBorders>
            <w:shd w:val="clear" w:color="auto" w:fill="FFFFFF"/>
            <w:tcMar>
              <w:left w:w="60" w:type="dxa"/>
              <w:right w:w="60" w:type="dxa"/>
            </w:tcMar>
            <w:vAlign w:val="center"/>
          </w:tcPr>
          <w:p w14:paraId="1B5CC48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20 (4.1%)</w:t>
            </w:r>
          </w:p>
        </w:tc>
      </w:tr>
      <w:tr w:rsidR="00576FE1" w:rsidRPr="006562F7" w14:paraId="3726E1D0"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7A0F7F27"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Prednisolone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3F8DE20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 (4.1%)</w:t>
            </w:r>
          </w:p>
        </w:tc>
        <w:tc>
          <w:tcPr>
            <w:tcW w:w="1276" w:type="dxa"/>
            <w:tcBorders>
              <w:top w:val="dotted" w:sz="4" w:space="0" w:color="auto"/>
              <w:bottom w:val="dotted" w:sz="4" w:space="0" w:color="auto"/>
            </w:tcBorders>
            <w:shd w:val="clear" w:color="auto" w:fill="FFFFFF"/>
            <w:tcMar>
              <w:left w:w="60" w:type="dxa"/>
              <w:right w:w="60" w:type="dxa"/>
            </w:tcMar>
            <w:vAlign w:val="center"/>
          </w:tcPr>
          <w:p w14:paraId="4125A8F9"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 (4.1%)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CD01E4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20 (4.1%)</w:t>
            </w:r>
          </w:p>
        </w:tc>
      </w:tr>
      <w:tr w:rsidR="00576FE1" w:rsidRPr="006562F7" w14:paraId="37DD486E"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69B1B5BD"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Ramipril</w:t>
            </w:r>
          </w:p>
        </w:tc>
        <w:tc>
          <w:tcPr>
            <w:tcW w:w="1418" w:type="dxa"/>
            <w:tcBorders>
              <w:top w:val="dotted" w:sz="4" w:space="0" w:color="auto"/>
              <w:bottom w:val="dotted" w:sz="4" w:space="0" w:color="auto"/>
            </w:tcBorders>
            <w:shd w:val="clear" w:color="auto" w:fill="FFFFFF"/>
            <w:tcMar>
              <w:left w:w="60" w:type="dxa"/>
              <w:right w:w="60" w:type="dxa"/>
            </w:tcMar>
            <w:vAlign w:val="center"/>
          </w:tcPr>
          <w:p w14:paraId="6195F0F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(4.6%)</w:t>
            </w:r>
          </w:p>
        </w:tc>
        <w:tc>
          <w:tcPr>
            <w:tcW w:w="1276" w:type="dxa"/>
            <w:tcBorders>
              <w:top w:val="dotted" w:sz="4" w:space="0" w:color="auto"/>
              <w:bottom w:val="dotted" w:sz="4" w:space="0" w:color="auto"/>
            </w:tcBorders>
            <w:shd w:val="clear" w:color="auto" w:fill="FFFFFF"/>
            <w:tcMar>
              <w:left w:w="60" w:type="dxa"/>
              <w:right w:w="60" w:type="dxa"/>
            </w:tcMar>
            <w:vAlign w:val="center"/>
          </w:tcPr>
          <w:p w14:paraId="50495339"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134" w:type="dxa"/>
            <w:tcBorders>
              <w:top w:val="dotted" w:sz="4" w:space="0" w:color="auto"/>
              <w:bottom w:val="dotted" w:sz="4" w:space="0" w:color="auto"/>
            </w:tcBorders>
            <w:shd w:val="clear" w:color="auto" w:fill="FFFFFF"/>
            <w:tcMar>
              <w:left w:w="60" w:type="dxa"/>
              <w:right w:w="60" w:type="dxa"/>
            </w:tcMar>
            <w:vAlign w:val="center"/>
          </w:tcPr>
          <w:p w14:paraId="280A8D59"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20 (4.1%)</w:t>
            </w:r>
          </w:p>
        </w:tc>
      </w:tr>
      <w:tr w:rsidR="00576FE1" w:rsidRPr="006562F7" w14:paraId="3FEA6CA0"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3F30672C"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Calcium</w:t>
            </w:r>
          </w:p>
        </w:tc>
        <w:tc>
          <w:tcPr>
            <w:tcW w:w="1418" w:type="dxa"/>
            <w:tcBorders>
              <w:top w:val="dotted" w:sz="4" w:space="0" w:color="auto"/>
              <w:bottom w:val="dotted" w:sz="4" w:space="0" w:color="auto"/>
            </w:tcBorders>
            <w:shd w:val="clear" w:color="auto" w:fill="FFFFFF"/>
            <w:tcMar>
              <w:left w:w="60" w:type="dxa"/>
              <w:right w:w="60" w:type="dxa"/>
            </w:tcMar>
            <w:vAlign w:val="center"/>
          </w:tcPr>
          <w:p w14:paraId="3EF2DA3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276" w:type="dxa"/>
            <w:tcBorders>
              <w:top w:val="dotted" w:sz="4" w:space="0" w:color="auto"/>
              <w:bottom w:val="dotted" w:sz="4" w:space="0" w:color="auto"/>
            </w:tcBorders>
            <w:shd w:val="clear" w:color="auto" w:fill="FFFFFF"/>
            <w:tcMar>
              <w:left w:w="60" w:type="dxa"/>
              <w:right w:w="60" w:type="dxa"/>
            </w:tcMar>
            <w:vAlign w:val="center"/>
          </w:tcPr>
          <w:p w14:paraId="05A9C0D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(4.5%)</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C583B5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19 (3.9%)</w:t>
            </w:r>
          </w:p>
        </w:tc>
      </w:tr>
      <w:tr w:rsidR="00576FE1" w:rsidRPr="006562F7" w14:paraId="6CC14232"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1F560A0C"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w:t>
            </w:r>
            <w:proofErr w:type="spellStart"/>
            <w:r w:rsidRPr="004C7EFF">
              <w:rPr>
                <w:color w:val="000000"/>
                <w:sz w:val="18"/>
                <w:szCs w:val="18"/>
              </w:rPr>
              <w:t>Tapentadol</w:t>
            </w:r>
            <w:proofErr w:type="spellEnd"/>
          </w:p>
        </w:tc>
        <w:tc>
          <w:tcPr>
            <w:tcW w:w="1418" w:type="dxa"/>
            <w:tcBorders>
              <w:top w:val="dotted" w:sz="4" w:space="0" w:color="auto"/>
              <w:bottom w:val="dotted" w:sz="4" w:space="0" w:color="auto"/>
            </w:tcBorders>
            <w:shd w:val="clear" w:color="auto" w:fill="FFFFFF"/>
            <w:tcMar>
              <w:left w:w="60" w:type="dxa"/>
              <w:right w:w="60" w:type="dxa"/>
            </w:tcMar>
            <w:vAlign w:val="center"/>
          </w:tcPr>
          <w:p w14:paraId="42CC329F"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276" w:type="dxa"/>
            <w:tcBorders>
              <w:top w:val="dotted" w:sz="4" w:space="0" w:color="auto"/>
              <w:bottom w:val="dotted" w:sz="4" w:space="0" w:color="auto"/>
            </w:tcBorders>
            <w:shd w:val="clear" w:color="auto" w:fill="FFFFFF"/>
            <w:tcMar>
              <w:left w:w="60" w:type="dxa"/>
              <w:right w:w="60" w:type="dxa"/>
            </w:tcMar>
            <w:vAlign w:val="center"/>
          </w:tcPr>
          <w:p w14:paraId="2EBEC37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 (4.1%)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675CC367"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19 (3.9%)</w:t>
            </w:r>
          </w:p>
        </w:tc>
      </w:tr>
      <w:tr w:rsidR="00576FE1" w:rsidRPr="006562F7" w14:paraId="2EF3FEEE"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4D157B10"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lastRenderedPageBreak/>
              <w:t xml:space="preserve">    Vitamin d and analogues</w:t>
            </w:r>
          </w:p>
        </w:tc>
        <w:tc>
          <w:tcPr>
            <w:tcW w:w="1418" w:type="dxa"/>
            <w:tcBorders>
              <w:top w:val="dotted" w:sz="4" w:space="0" w:color="auto"/>
              <w:bottom w:val="dotted" w:sz="4" w:space="0" w:color="auto"/>
            </w:tcBorders>
            <w:shd w:val="clear" w:color="auto" w:fill="FFFFFF"/>
            <w:tcMar>
              <w:left w:w="60" w:type="dxa"/>
              <w:right w:w="60" w:type="dxa"/>
            </w:tcMar>
            <w:vAlign w:val="center"/>
          </w:tcPr>
          <w:p w14:paraId="4C1EFB3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(5.0%)</w:t>
            </w:r>
          </w:p>
        </w:tc>
        <w:tc>
          <w:tcPr>
            <w:tcW w:w="1276" w:type="dxa"/>
            <w:tcBorders>
              <w:top w:val="dotted" w:sz="4" w:space="0" w:color="auto"/>
              <w:bottom w:val="dotted" w:sz="4" w:space="0" w:color="auto"/>
            </w:tcBorders>
            <w:shd w:val="clear" w:color="auto" w:fill="FFFFFF"/>
            <w:tcMar>
              <w:left w:w="60" w:type="dxa"/>
              <w:right w:w="60" w:type="dxa"/>
            </w:tcMar>
            <w:vAlign w:val="center"/>
          </w:tcPr>
          <w:p w14:paraId="5B99389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134" w:type="dxa"/>
            <w:tcBorders>
              <w:top w:val="dotted" w:sz="4" w:space="0" w:color="auto"/>
              <w:bottom w:val="dotted" w:sz="4" w:space="0" w:color="auto"/>
            </w:tcBorders>
            <w:shd w:val="clear" w:color="auto" w:fill="FFFFFF"/>
            <w:tcMar>
              <w:left w:w="60" w:type="dxa"/>
              <w:right w:w="60" w:type="dxa"/>
            </w:tcMar>
            <w:vAlign w:val="center"/>
          </w:tcPr>
          <w:p w14:paraId="201DB6A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19 (3.9%)</w:t>
            </w:r>
          </w:p>
        </w:tc>
      </w:tr>
      <w:tr w:rsidR="00576FE1" w:rsidRPr="006562F7" w14:paraId="14E1917D"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6187AC07"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Codeine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2CDF71E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276" w:type="dxa"/>
            <w:tcBorders>
              <w:top w:val="dotted" w:sz="4" w:space="0" w:color="auto"/>
              <w:bottom w:val="dotted" w:sz="4" w:space="0" w:color="auto"/>
            </w:tcBorders>
            <w:shd w:val="clear" w:color="auto" w:fill="FFFFFF"/>
            <w:tcMar>
              <w:left w:w="60" w:type="dxa"/>
              <w:right w:w="60" w:type="dxa"/>
            </w:tcMar>
            <w:vAlign w:val="center"/>
          </w:tcPr>
          <w:p w14:paraId="1321208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(5.0%)</w:t>
            </w:r>
          </w:p>
        </w:tc>
        <w:tc>
          <w:tcPr>
            <w:tcW w:w="1134" w:type="dxa"/>
            <w:tcBorders>
              <w:top w:val="dotted" w:sz="4" w:space="0" w:color="auto"/>
              <w:bottom w:val="dotted" w:sz="4" w:space="0" w:color="auto"/>
            </w:tcBorders>
            <w:shd w:val="clear" w:color="auto" w:fill="FFFFFF"/>
            <w:tcMar>
              <w:left w:w="60" w:type="dxa"/>
              <w:right w:w="60" w:type="dxa"/>
            </w:tcMar>
            <w:vAlign w:val="center"/>
          </w:tcPr>
          <w:p w14:paraId="78E8C52F"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18 (3.7%)</w:t>
            </w:r>
          </w:p>
        </w:tc>
      </w:tr>
      <w:tr w:rsidR="00576FE1" w:rsidRPr="006562F7" w14:paraId="6D5AFB93"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C97342A"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Citalopram</w:t>
            </w:r>
          </w:p>
        </w:tc>
        <w:tc>
          <w:tcPr>
            <w:tcW w:w="1418" w:type="dxa"/>
            <w:tcBorders>
              <w:top w:val="dotted" w:sz="4" w:space="0" w:color="auto"/>
              <w:bottom w:val="dotted" w:sz="4" w:space="0" w:color="auto"/>
            </w:tcBorders>
            <w:shd w:val="clear" w:color="auto" w:fill="FFFFFF"/>
            <w:tcMar>
              <w:left w:w="60" w:type="dxa"/>
              <w:right w:w="60" w:type="dxa"/>
            </w:tcMar>
            <w:vAlign w:val="center"/>
          </w:tcPr>
          <w:p w14:paraId="3FB8FB3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(4.6%)</w:t>
            </w:r>
          </w:p>
        </w:tc>
        <w:tc>
          <w:tcPr>
            <w:tcW w:w="1276" w:type="dxa"/>
            <w:tcBorders>
              <w:top w:val="dotted" w:sz="4" w:space="0" w:color="auto"/>
              <w:bottom w:val="dotted" w:sz="4" w:space="0" w:color="auto"/>
            </w:tcBorders>
            <w:shd w:val="clear" w:color="auto" w:fill="FFFFFF"/>
            <w:tcMar>
              <w:left w:w="60" w:type="dxa"/>
              <w:right w:w="60" w:type="dxa"/>
            </w:tcMar>
            <w:vAlign w:val="center"/>
          </w:tcPr>
          <w:p w14:paraId="368B0DA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134" w:type="dxa"/>
            <w:tcBorders>
              <w:top w:val="dotted" w:sz="4" w:space="0" w:color="auto"/>
              <w:bottom w:val="dotted" w:sz="4" w:space="0" w:color="auto"/>
            </w:tcBorders>
            <w:shd w:val="clear" w:color="auto" w:fill="FFFFFF"/>
            <w:tcMar>
              <w:left w:w="60" w:type="dxa"/>
              <w:right w:w="60" w:type="dxa"/>
            </w:tcMar>
            <w:vAlign w:val="center"/>
          </w:tcPr>
          <w:p w14:paraId="0F98A0B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17 (3.5%)</w:t>
            </w:r>
          </w:p>
        </w:tc>
      </w:tr>
      <w:tr w:rsidR="00576FE1" w:rsidRPr="006562F7" w14:paraId="3D43E4C5"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567227D8"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Lidocaine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746F639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04D1ED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9A5809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17 (3.5%)</w:t>
            </w:r>
          </w:p>
        </w:tc>
      </w:tr>
      <w:tr w:rsidR="00576FE1" w:rsidRPr="006562F7" w14:paraId="49A3A568"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70AC3C52"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Magnesium</w:t>
            </w:r>
          </w:p>
        </w:tc>
        <w:tc>
          <w:tcPr>
            <w:tcW w:w="1418" w:type="dxa"/>
            <w:tcBorders>
              <w:top w:val="dotted" w:sz="4" w:space="0" w:color="auto"/>
              <w:bottom w:val="dotted" w:sz="4" w:space="0" w:color="auto"/>
            </w:tcBorders>
            <w:shd w:val="clear" w:color="auto" w:fill="FFFFFF"/>
            <w:tcMar>
              <w:left w:w="60" w:type="dxa"/>
              <w:right w:w="60" w:type="dxa"/>
            </w:tcMar>
            <w:vAlign w:val="center"/>
          </w:tcPr>
          <w:p w14:paraId="1A92FF1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276" w:type="dxa"/>
            <w:tcBorders>
              <w:top w:val="dotted" w:sz="4" w:space="0" w:color="auto"/>
              <w:bottom w:val="dotted" w:sz="4" w:space="0" w:color="auto"/>
            </w:tcBorders>
            <w:shd w:val="clear" w:color="auto" w:fill="FFFFFF"/>
            <w:tcMar>
              <w:left w:w="60" w:type="dxa"/>
              <w:right w:w="60" w:type="dxa"/>
            </w:tcMar>
            <w:vAlign w:val="center"/>
          </w:tcPr>
          <w:p w14:paraId="144FEA99"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 (4.1%)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8E7A4A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17 (3.5%)</w:t>
            </w:r>
          </w:p>
        </w:tc>
      </w:tr>
      <w:tr w:rsidR="00576FE1" w:rsidRPr="006562F7" w14:paraId="526CE7F4"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60D565B"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Paroxetine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68B6B726"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276" w:type="dxa"/>
            <w:tcBorders>
              <w:top w:val="dotted" w:sz="4" w:space="0" w:color="auto"/>
              <w:bottom w:val="dotted" w:sz="4" w:space="0" w:color="auto"/>
            </w:tcBorders>
            <w:shd w:val="clear" w:color="auto" w:fill="FFFFFF"/>
            <w:tcMar>
              <w:left w:w="60" w:type="dxa"/>
              <w:right w:w="60" w:type="dxa"/>
            </w:tcMar>
            <w:vAlign w:val="center"/>
          </w:tcPr>
          <w:p w14:paraId="449D21B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B226AE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17 (3.5%)</w:t>
            </w:r>
          </w:p>
        </w:tc>
      </w:tr>
      <w:tr w:rsidR="00576FE1" w:rsidRPr="006562F7" w14:paraId="08797D2F"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370B5E06"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Sulfamethoxazole and trimethoprim</w:t>
            </w:r>
          </w:p>
        </w:tc>
        <w:tc>
          <w:tcPr>
            <w:tcW w:w="1418" w:type="dxa"/>
            <w:tcBorders>
              <w:top w:val="dotted" w:sz="4" w:space="0" w:color="auto"/>
              <w:bottom w:val="dotted" w:sz="4" w:space="0" w:color="auto"/>
            </w:tcBorders>
            <w:shd w:val="clear" w:color="auto" w:fill="FFFFFF"/>
            <w:tcMar>
              <w:left w:w="60" w:type="dxa"/>
              <w:right w:w="60" w:type="dxa"/>
            </w:tcMar>
            <w:vAlign w:val="center"/>
          </w:tcPr>
          <w:p w14:paraId="4A22D29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276" w:type="dxa"/>
            <w:tcBorders>
              <w:top w:val="dotted" w:sz="4" w:space="0" w:color="auto"/>
              <w:bottom w:val="dotted" w:sz="4" w:space="0" w:color="auto"/>
            </w:tcBorders>
            <w:shd w:val="clear" w:color="auto" w:fill="FFFFFF"/>
            <w:tcMar>
              <w:left w:w="60" w:type="dxa"/>
              <w:right w:w="60" w:type="dxa"/>
            </w:tcMar>
            <w:vAlign w:val="center"/>
          </w:tcPr>
          <w:p w14:paraId="34F6A0F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 (4.1%)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748AB61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17 (3.5%)</w:t>
            </w:r>
          </w:p>
        </w:tc>
      </w:tr>
      <w:tr w:rsidR="00576FE1" w:rsidRPr="006562F7" w14:paraId="7375DF2B"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37C43749"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Tramadol and paracetamol</w:t>
            </w:r>
          </w:p>
        </w:tc>
        <w:tc>
          <w:tcPr>
            <w:tcW w:w="1418" w:type="dxa"/>
            <w:tcBorders>
              <w:top w:val="dotted" w:sz="4" w:space="0" w:color="auto"/>
              <w:bottom w:val="dotted" w:sz="4" w:space="0" w:color="auto"/>
            </w:tcBorders>
            <w:shd w:val="clear" w:color="auto" w:fill="FFFFFF"/>
            <w:tcMar>
              <w:left w:w="60" w:type="dxa"/>
              <w:right w:w="60" w:type="dxa"/>
            </w:tcMar>
            <w:vAlign w:val="center"/>
          </w:tcPr>
          <w:p w14:paraId="7D89C2B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276" w:type="dxa"/>
            <w:tcBorders>
              <w:top w:val="dotted" w:sz="4" w:space="0" w:color="auto"/>
              <w:bottom w:val="dotted" w:sz="4" w:space="0" w:color="auto"/>
            </w:tcBorders>
            <w:shd w:val="clear" w:color="auto" w:fill="FFFFFF"/>
            <w:tcMar>
              <w:left w:w="60" w:type="dxa"/>
              <w:right w:w="60" w:type="dxa"/>
            </w:tcMar>
            <w:vAlign w:val="center"/>
          </w:tcPr>
          <w:p w14:paraId="2900909F"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(4.5%)</w:t>
            </w:r>
          </w:p>
        </w:tc>
        <w:tc>
          <w:tcPr>
            <w:tcW w:w="1134" w:type="dxa"/>
            <w:tcBorders>
              <w:top w:val="dotted" w:sz="4" w:space="0" w:color="auto"/>
              <w:bottom w:val="dotted" w:sz="4" w:space="0" w:color="auto"/>
            </w:tcBorders>
            <w:shd w:val="clear" w:color="auto" w:fill="FFFFFF"/>
            <w:tcMar>
              <w:left w:w="60" w:type="dxa"/>
              <w:right w:w="60" w:type="dxa"/>
            </w:tcMar>
            <w:vAlign w:val="center"/>
          </w:tcPr>
          <w:p w14:paraId="15B8F40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17 (3.5%)</w:t>
            </w:r>
          </w:p>
        </w:tc>
      </w:tr>
      <w:tr w:rsidR="00576FE1" w:rsidRPr="006562F7" w14:paraId="0ADF28B8"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0BFF6AC9" w14:textId="77777777" w:rsidR="00576FE1" w:rsidRPr="004C7EFF" w:rsidRDefault="00576FE1" w:rsidP="00115CD6">
            <w:pPr>
              <w:keepNext/>
              <w:adjustRightInd w:val="0"/>
              <w:spacing w:after="0" w:line="240" w:lineRule="auto"/>
              <w:rPr>
                <w:color w:val="000000"/>
                <w:sz w:val="18"/>
                <w:szCs w:val="18"/>
                <w:lang w:val="en-GB"/>
              </w:rPr>
            </w:pPr>
            <w:r w:rsidRPr="004C7EFF">
              <w:rPr>
                <w:color w:val="000000"/>
                <w:sz w:val="18"/>
                <w:szCs w:val="18"/>
                <w:lang w:val="en-GB"/>
              </w:rPr>
              <w:t xml:space="preserve">    All other non-therapeutic products</w:t>
            </w:r>
          </w:p>
        </w:tc>
        <w:tc>
          <w:tcPr>
            <w:tcW w:w="1418" w:type="dxa"/>
            <w:tcBorders>
              <w:top w:val="dotted" w:sz="4" w:space="0" w:color="auto"/>
              <w:bottom w:val="dotted" w:sz="4" w:space="0" w:color="auto"/>
            </w:tcBorders>
            <w:shd w:val="clear" w:color="auto" w:fill="FFFFFF"/>
            <w:tcMar>
              <w:left w:w="60" w:type="dxa"/>
              <w:right w:w="60" w:type="dxa"/>
            </w:tcMar>
            <w:vAlign w:val="center"/>
          </w:tcPr>
          <w:p w14:paraId="60B065B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276" w:type="dxa"/>
            <w:tcBorders>
              <w:top w:val="dotted" w:sz="4" w:space="0" w:color="auto"/>
              <w:bottom w:val="dotted" w:sz="4" w:space="0" w:color="auto"/>
            </w:tcBorders>
            <w:shd w:val="clear" w:color="auto" w:fill="FFFFFF"/>
            <w:tcMar>
              <w:left w:w="60" w:type="dxa"/>
              <w:right w:w="60" w:type="dxa"/>
            </w:tcMar>
            <w:vAlign w:val="center"/>
          </w:tcPr>
          <w:p w14:paraId="6A3B801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134" w:type="dxa"/>
            <w:tcBorders>
              <w:top w:val="dotted" w:sz="4" w:space="0" w:color="auto"/>
              <w:bottom w:val="dotted" w:sz="4" w:space="0" w:color="auto"/>
            </w:tcBorders>
            <w:shd w:val="clear" w:color="auto" w:fill="FFFFFF"/>
            <w:tcMar>
              <w:left w:w="60" w:type="dxa"/>
              <w:right w:w="60" w:type="dxa"/>
            </w:tcMar>
            <w:vAlign w:val="center"/>
          </w:tcPr>
          <w:p w14:paraId="07ACCA7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16 (3.3%)</w:t>
            </w:r>
          </w:p>
        </w:tc>
      </w:tr>
      <w:tr w:rsidR="00576FE1" w:rsidRPr="006562F7" w14:paraId="28D885CC"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E29E240"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Naproxen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17D98F1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276" w:type="dxa"/>
            <w:tcBorders>
              <w:top w:val="dotted" w:sz="4" w:space="0" w:color="auto"/>
              <w:bottom w:val="dotted" w:sz="4" w:space="0" w:color="auto"/>
            </w:tcBorders>
            <w:shd w:val="clear" w:color="auto" w:fill="FFFFFF"/>
            <w:tcMar>
              <w:left w:w="60" w:type="dxa"/>
              <w:right w:w="60" w:type="dxa"/>
            </w:tcMar>
            <w:vAlign w:val="center"/>
          </w:tcPr>
          <w:p w14:paraId="10521C2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134" w:type="dxa"/>
            <w:tcBorders>
              <w:top w:val="dotted" w:sz="4" w:space="0" w:color="auto"/>
              <w:bottom w:val="dotted" w:sz="4" w:space="0" w:color="auto"/>
            </w:tcBorders>
            <w:shd w:val="clear" w:color="auto" w:fill="FFFFFF"/>
            <w:tcMar>
              <w:left w:w="60" w:type="dxa"/>
              <w:right w:w="60" w:type="dxa"/>
            </w:tcMar>
            <w:vAlign w:val="center"/>
          </w:tcPr>
          <w:p w14:paraId="390FA92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16 (3.3%)</w:t>
            </w:r>
          </w:p>
        </w:tc>
      </w:tr>
      <w:tr w:rsidR="00576FE1" w:rsidRPr="006562F7" w14:paraId="2A71392D"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1591B409"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Salbutamol</w:t>
            </w:r>
          </w:p>
        </w:tc>
        <w:tc>
          <w:tcPr>
            <w:tcW w:w="1418" w:type="dxa"/>
            <w:tcBorders>
              <w:top w:val="dotted" w:sz="4" w:space="0" w:color="auto"/>
              <w:bottom w:val="dotted" w:sz="4" w:space="0" w:color="auto"/>
            </w:tcBorders>
            <w:shd w:val="clear" w:color="auto" w:fill="FFFFFF"/>
            <w:tcMar>
              <w:left w:w="60" w:type="dxa"/>
              <w:right w:w="60" w:type="dxa"/>
            </w:tcMar>
            <w:vAlign w:val="center"/>
          </w:tcPr>
          <w:p w14:paraId="11B4775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276" w:type="dxa"/>
            <w:tcBorders>
              <w:top w:val="dotted" w:sz="4" w:space="0" w:color="auto"/>
              <w:bottom w:val="dotted" w:sz="4" w:space="0" w:color="auto"/>
            </w:tcBorders>
            <w:shd w:val="clear" w:color="auto" w:fill="FFFFFF"/>
            <w:tcMar>
              <w:left w:w="60" w:type="dxa"/>
              <w:right w:w="60" w:type="dxa"/>
            </w:tcMar>
            <w:vAlign w:val="center"/>
          </w:tcPr>
          <w:p w14:paraId="535315A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134" w:type="dxa"/>
            <w:tcBorders>
              <w:top w:val="dotted" w:sz="4" w:space="0" w:color="auto"/>
              <w:bottom w:val="dotted" w:sz="4" w:space="0" w:color="auto"/>
            </w:tcBorders>
            <w:shd w:val="clear" w:color="auto" w:fill="FFFFFF"/>
            <w:tcMar>
              <w:left w:w="60" w:type="dxa"/>
              <w:right w:w="60" w:type="dxa"/>
            </w:tcMar>
            <w:vAlign w:val="center"/>
          </w:tcPr>
          <w:p w14:paraId="35737C3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16 (3.3%)</w:t>
            </w:r>
          </w:p>
        </w:tc>
      </w:tr>
      <w:tr w:rsidR="00576FE1" w:rsidRPr="006562F7" w14:paraId="02FCD2C2"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54AB3C1A"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Zolpidem</w:t>
            </w:r>
          </w:p>
        </w:tc>
        <w:tc>
          <w:tcPr>
            <w:tcW w:w="1418" w:type="dxa"/>
            <w:tcBorders>
              <w:top w:val="dotted" w:sz="4" w:space="0" w:color="auto"/>
              <w:bottom w:val="dotted" w:sz="4" w:space="0" w:color="auto"/>
            </w:tcBorders>
            <w:shd w:val="clear" w:color="auto" w:fill="FFFFFF"/>
            <w:tcMar>
              <w:left w:w="60" w:type="dxa"/>
              <w:right w:w="60" w:type="dxa"/>
            </w:tcMar>
            <w:vAlign w:val="center"/>
          </w:tcPr>
          <w:p w14:paraId="482D999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276" w:type="dxa"/>
            <w:tcBorders>
              <w:top w:val="dotted" w:sz="4" w:space="0" w:color="auto"/>
              <w:bottom w:val="dotted" w:sz="4" w:space="0" w:color="auto"/>
            </w:tcBorders>
            <w:shd w:val="clear" w:color="auto" w:fill="FFFFFF"/>
            <w:tcMar>
              <w:left w:w="60" w:type="dxa"/>
              <w:right w:w="60" w:type="dxa"/>
            </w:tcMar>
            <w:vAlign w:val="center"/>
          </w:tcPr>
          <w:p w14:paraId="186A487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 (4.1%)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406BCF4F"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16 (3.3%)</w:t>
            </w:r>
          </w:p>
        </w:tc>
      </w:tr>
      <w:tr w:rsidR="00576FE1" w:rsidRPr="006562F7" w14:paraId="6F566527"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382E13C6"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Amitriptyline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5AB96EB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276" w:type="dxa"/>
            <w:tcBorders>
              <w:top w:val="dotted" w:sz="4" w:space="0" w:color="auto"/>
              <w:bottom w:val="dotted" w:sz="4" w:space="0" w:color="auto"/>
            </w:tcBorders>
            <w:shd w:val="clear" w:color="auto" w:fill="FFFFFF"/>
            <w:tcMar>
              <w:left w:w="60" w:type="dxa"/>
              <w:right w:w="60" w:type="dxa"/>
            </w:tcMar>
            <w:vAlign w:val="center"/>
          </w:tcPr>
          <w:p w14:paraId="16D966E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134" w:type="dxa"/>
            <w:tcBorders>
              <w:top w:val="dotted" w:sz="4" w:space="0" w:color="auto"/>
              <w:bottom w:val="dotted" w:sz="4" w:space="0" w:color="auto"/>
            </w:tcBorders>
            <w:shd w:val="clear" w:color="auto" w:fill="FFFFFF"/>
            <w:tcMar>
              <w:left w:w="60" w:type="dxa"/>
              <w:right w:w="60" w:type="dxa"/>
            </w:tcMar>
            <w:vAlign w:val="center"/>
          </w:tcPr>
          <w:p w14:paraId="2D4C9E0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15 (3.1%)</w:t>
            </w:r>
          </w:p>
        </w:tc>
      </w:tr>
      <w:tr w:rsidR="00576FE1" w:rsidRPr="006562F7" w14:paraId="19271A75"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60736C5F"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Atenolol</w:t>
            </w:r>
          </w:p>
        </w:tc>
        <w:tc>
          <w:tcPr>
            <w:tcW w:w="1418" w:type="dxa"/>
            <w:tcBorders>
              <w:top w:val="dotted" w:sz="4" w:space="0" w:color="auto"/>
              <w:bottom w:val="dotted" w:sz="4" w:space="0" w:color="auto"/>
            </w:tcBorders>
            <w:shd w:val="clear" w:color="auto" w:fill="FFFFFF"/>
            <w:tcMar>
              <w:left w:w="60" w:type="dxa"/>
              <w:right w:w="60" w:type="dxa"/>
            </w:tcMar>
            <w:vAlign w:val="center"/>
          </w:tcPr>
          <w:p w14:paraId="4711653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276" w:type="dxa"/>
            <w:tcBorders>
              <w:top w:val="dotted" w:sz="4" w:space="0" w:color="auto"/>
              <w:bottom w:val="dotted" w:sz="4" w:space="0" w:color="auto"/>
            </w:tcBorders>
            <w:shd w:val="clear" w:color="auto" w:fill="FFFFFF"/>
            <w:tcMar>
              <w:left w:w="60" w:type="dxa"/>
              <w:right w:w="60" w:type="dxa"/>
            </w:tcMar>
            <w:vAlign w:val="center"/>
          </w:tcPr>
          <w:p w14:paraId="016577C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134" w:type="dxa"/>
            <w:tcBorders>
              <w:top w:val="dotted" w:sz="4" w:space="0" w:color="auto"/>
              <w:bottom w:val="dotted" w:sz="4" w:space="0" w:color="auto"/>
            </w:tcBorders>
            <w:shd w:val="clear" w:color="auto" w:fill="FFFFFF"/>
            <w:tcMar>
              <w:left w:w="60" w:type="dxa"/>
              <w:right w:w="60" w:type="dxa"/>
            </w:tcMar>
            <w:vAlign w:val="center"/>
          </w:tcPr>
          <w:p w14:paraId="2CB0E3F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15 (3.1%)</w:t>
            </w:r>
          </w:p>
        </w:tc>
      </w:tr>
      <w:tr w:rsidR="00576FE1" w:rsidRPr="006562F7" w14:paraId="399D271A"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0C2ECCAB"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Loratadine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7A6E62E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7D4D82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134" w:type="dxa"/>
            <w:tcBorders>
              <w:top w:val="dotted" w:sz="4" w:space="0" w:color="auto"/>
              <w:bottom w:val="dotted" w:sz="4" w:space="0" w:color="auto"/>
            </w:tcBorders>
            <w:shd w:val="clear" w:color="auto" w:fill="FFFFFF"/>
            <w:tcMar>
              <w:left w:w="60" w:type="dxa"/>
              <w:right w:w="60" w:type="dxa"/>
            </w:tcMar>
            <w:vAlign w:val="center"/>
          </w:tcPr>
          <w:p w14:paraId="3B7604A6"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15 (3.1%)</w:t>
            </w:r>
          </w:p>
        </w:tc>
      </w:tr>
      <w:tr w:rsidR="00576FE1" w:rsidRPr="006562F7" w14:paraId="4E5C480D"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5CF1DF45"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Ondansetron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460F373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276" w:type="dxa"/>
            <w:tcBorders>
              <w:top w:val="dotted" w:sz="4" w:space="0" w:color="auto"/>
              <w:bottom w:val="dotted" w:sz="4" w:space="0" w:color="auto"/>
            </w:tcBorders>
            <w:shd w:val="clear" w:color="auto" w:fill="FFFFFF"/>
            <w:tcMar>
              <w:left w:w="60" w:type="dxa"/>
              <w:right w:w="60" w:type="dxa"/>
            </w:tcMar>
            <w:vAlign w:val="center"/>
          </w:tcPr>
          <w:p w14:paraId="50C5974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 (4.1%)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4748C93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15 (3.1%)</w:t>
            </w:r>
          </w:p>
        </w:tc>
      </w:tr>
      <w:tr w:rsidR="00576FE1" w:rsidRPr="006562F7" w14:paraId="2505A870"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45450B57"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Paracetamol, combinations excl. </w:t>
            </w:r>
            <w:proofErr w:type="spellStart"/>
            <w:r w:rsidRPr="004C7EFF">
              <w:rPr>
                <w:color w:val="000000"/>
                <w:sz w:val="18"/>
                <w:szCs w:val="18"/>
              </w:rPr>
              <w:t>psycholeptics</w:t>
            </w:r>
            <w:proofErr w:type="spellEnd"/>
          </w:p>
        </w:tc>
        <w:tc>
          <w:tcPr>
            <w:tcW w:w="1418" w:type="dxa"/>
            <w:tcBorders>
              <w:top w:val="dotted" w:sz="4" w:space="0" w:color="auto"/>
              <w:bottom w:val="dotted" w:sz="4" w:space="0" w:color="auto"/>
            </w:tcBorders>
            <w:shd w:val="clear" w:color="auto" w:fill="FFFFFF"/>
            <w:tcMar>
              <w:left w:w="60" w:type="dxa"/>
              <w:right w:w="60" w:type="dxa"/>
            </w:tcMar>
            <w:vAlign w:val="center"/>
          </w:tcPr>
          <w:p w14:paraId="04D0E2A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276" w:type="dxa"/>
            <w:tcBorders>
              <w:top w:val="dotted" w:sz="4" w:space="0" w:color="auto"/>
              <w:bottom w:val="dotted" w:sz="4" w:space="0" w:color="auto"/>
            </w:tcBorders>
            <w:shd w:val="clear" w:color="auto" w:fill="FFFFFF"/>
            <w:tcMar>
              <w:left w:w="60" w:type="dxa"/>
              <w:right w:w="60" w:type="dxa"/>
            </w:tcMar>
            <w:vAlign w:val="center"/>
          </w:tcPr>
          <w:p w14:paraId="5C94A0B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134" w:type="dxa"/>
            <w:tcBorders>
              <w:top w:val="dotted" w:sz="4" w:space="0" w:color="auto"/>
              <w:bottom w:val="dotted" w:sz="4" w:space="0" w:color="auto"/>
            </w:tcBorders>
            <w:shd w:val="clear" w:color="auto" w:fill="FFFFFF"/>
            <w:tcMar>
              <w:left w:w="60" w:type="dxa"/>
              <w:right w:w="60" w:type="dxa"/>
            </w:tcMar>
            <w:vAlign w:val="center"/>
          </w:tcPr>
          <w:p w14:paraId="4CE5C00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15 (3.1%)</w:t>
            </w:r>
          </w:p>
        </w:tc>
      </w:tr>
      <w:tr w:rsidR="00576FE1" w:rsidRPr="006562F7" w14:paraId="05320F84"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651B91E0"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w:t>
            </w:r>
            <w:proofErr w:type="spellStart"/>
            <w:r w:rsidRPr="004C7EFF">
              <w:rPr>
                <w:color w:val="000000"/>
                <w:sz w:val="18"/>
                <w:szCs w:val="18"/>
              </w:rPr>
              <w:t>Betahistine</w:t>
            </w:r>
            <w:proofErr w:type="spellEnd"/>
          </w:p>
        </w:tc>
        <w:tc>
          <w:tcPr>
            <w:tcW w:w="1418" w:type="dxa"/>
            <w:tcBorders>
              <w:top w:val="dotted" w:sz="4" w:space="0" w:color="auto"/>
              <w:bottom w:val="dotted" w:sz="4" w:space="0" w:color="auto"/>
            </w:tcBorders>
            <w:shd w:val="clear" w:color="auto" w:fill="FFFFFF"/>
            <w:tcMar>
              <w:left w:w="60" w:type="dxa"/>
              <w:right w:w="60" w:type="dxa"/>
            </w:tcMar>
            <w:vAlign w:val="center"/>
          </w:tcPr>
          <w:p w14:paraId="6DB8194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276" w:type="dxa"/>
            <w:tcBorders>
              <w:top w:val="dotted" w:sz="4" w:space="0" w:color="auto"/>
              <w:bottom w:val="dotted" w:sz="4" w:space="0" w:color="auto"/>
            </w:tcBorders>
            <w:shd w:val="clear" w:color="auto" w:fill="FFFFFF"/>
            <w:tcMar>
              <w:left w:w="60" w:type="dxa"/>
              <w:right w:w="60" w:type="dxa"/>
            </w:tcMar>
            <w:vAlign w:val="center"/>
          </w:tcPr>
          <w:p w14:paraId="4AAE05D7"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134" w:type="dxa"/>
            <w:tcBorders>
              <w:top w:val="dotted" w:sz="4" w:space="0" w:color="auto"/>
              <w:bottom w:val="dotted" w:sz="4" w:space="0" w:color="auto"/>
            </w:tcBorders>
            <w:shd w:val="clear" w:color="auto" w:fill="FFFFFF"/>
            <w:tcMar>
              <w:left w:w="60" w:type="dxa"/>
              <w:right w:w="60" w:type="dxa"/>
            </w:tcMar>
            <w:vAlign w:val="center"/>
          </w:tcPr>
          <w:p w14:paraId="1122F58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(2.9%)</w:t>
            </w:r>
          </w:p>
        </w:tc>
      </w:tr>
      <w:tr w:rsidR="00576FE1" w:rsidRPr="006562F7" w14:paraId="2C73F82F"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6C89FBC4"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Bromazepam</w:t>
            </w:r>
          </w:p>
        </w:tc>
        <w:tc>
          <w:tcPr>
            <w:tcW w:w="1418" w:type="dxa"/>
            <w:tcBorders>
              <w:top w:val="dotted" w:sz="4" w:space="0" w:color="auto"/>
              <w:bottom w:val="dotted" w:sz="4" w:space="0" w:color="auto"/>
            </w:tcBorders>
            <w:shd w:val="clear" w:color="auto" w:fill="FFFFFF"/>
            <w:tcMar>
              <w:left w:w="60" w:type="dxa"/>
              <w:right w:w="60" w:type="dxa"/>
            </w:tcMar>
            <w:vAlign w:val="center"/>
          </w:tcPr>
          <w:p w14:paraId="048C6C9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276" w:type="dxa"/>
            <w:tcBorders>
              <w:top w:val="dotted" w:sz="4" w:space="0" w:color="auto"/>
              <w:bottom w:val="dotted" w:sz="4" w:space="0" w:color="auto"/>
            </w:tcBorders>
            <w:shd w:val="clear" w:color="auto" w:fill="FFFFFF"/>
            <w:tcMar>
              <w:left w:w="60" w:type="dxa"/>
              <w:right w:w="60" w:type="dxa"/>
            </w:tcMar>
            <w:vAlign w:val="center"/>
          </w:tcPr>
          <w:p w14:paraId="1A2F97C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134" w:type="dxa"/>
            <w:tcBorders>
              <w:top w:val="dotted" w:sz="4" w:space="0" w:color="auto"/>
              <w:bottom w:val="dotted" w:sz="4" w:space="0" w:color="auto"/>
            </w:tcBorders>
            <w:shd w:val="clear" w:color="auto" w:fill="FFFFFF"/>
            <w:tcMar>
              <w:left w:w="60" w:type="dxa"/>
              <w:right w:w="60" w:type="dxa"/>
            </w:tcMar>
            <w:vAlign w:val="center"/>
          </w:tcPr>
          <w:p w14:paraId="2EDE97D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(2.9%)</w:t>
            </w:r>
          </w:p>
        </w:tc>
      </w:tr>
      <w:tr w:rsidR="00576FE1" w:rsidRPr="006562F7" w14:paraId="7F6086C5"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7804FE2F"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Budesonide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72984C7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276" w:type="dxa"/>
            <w:tcBorders>
              <w:top w:val="dotted" w:sz="4" w:space="0" w:color="auto"/>
              <w:bottom w:val="dotted" w:sz="4" w:space="0" w:color="auto"/>
            </w:tcBorders>
            <w:shd w:val="clear" w:color="auto" w:fill="FFFFFF"/>
            <w:tcMar>
              <w:left w:w="60" w:type="dxa"/>
              <w:right w:w="60" w:type="dxa"/>
            </w:tcMar>
            <w:vAlign w:val="center"/>
          </w:tcPr>
          <w:p w14:paraId="57BAEAD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38CF2F9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(2.9%)</w:t>
            </w:r>
          </w:p>
        </w:tc>
      </w:tr>
      <w:tr w:rsidR="00576FE1" w:rsidRPr="006562F7" w14:paraId="11501460"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351F1D24"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Gabapentin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05ADC56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679987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134" w:type="dxa"/>
            <w:tcBorders>
              <w:top w:val="dotted" w:sz="4" w:space="0" w:color="auto"/>
              <w:bottom w:val="dotted" w:sz="4" w:space="0" w:color="auto"/>
            </w:tcBorders>
            <w:shd w:val="clear" w:color="auto" w:fill="FFFFFF"/>
            <w:tcMar>
              <w:left w:w="60" w:type="dxa"/>
              <w:right w:w="60" w:type="dxa"/>
            </w:tcMar>
            <w:vAlign w:val="center"/>
          </w:tcPr>
          <w:p w14:paraId="31D9F31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(2.9%)</w:t>
            </w:r>
          </w:p>
        </w:tc>
      </w:tr>
      <w:tr w:rsidR="00576FE1" w:rsidRPr="006562F7" w14:paraId="22C68500"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482A57E1"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Influenza vaccines</w:t>
            </w:r>
          </w:p>
        </w:tc>
        <w:tc>
          <w:tcPr>
            <w:tcW w:w="1418" w:type="dxa"/>
            <w:tcBorders>
              <w:top w:val="dotted" w:sz="4" w:space="0" w:color="auto"/>
              <w:bottom w:val="dotted" w:sz="4" w:space="0" w:color="auto"/>
            </w:tcBorders>
            <w:shd w:val="clear" w:color="auto" w:fill="FFFFFF"/>
            <w:tcMar>
              <w:left w:w="60" w:type="dxa"/>
              <w:right w:w="60" w:type="dxa"/>
            </w:tcMar>
            <w:vAlign w:val="center"/>
          </w:tcPr>
          <w:p w14:paraId="1B7A24A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276" w:type="dxa"/>
            <w:tcBorders>
              <w:top w:val="dotted" w:sz="4" w:space="0" w:color="auto"/>
              <w:bottom w:val="dotted" w:sz="4" w:space="0" w:color="auto"/>
            </w:tcBorders>
            <w:shd w:val="clear" w:color="auto" w:fill="FFFFFF"/>
            <w:tcMar>
              <w:left w:w="60" w:type="dxa"/>
              <w:right w:w="60" w:type="dxa"/>
            </w:tcMar>
            <w:vAlign w:val="center"/>
          </w:tcPr>
          <w:p w14:paraId="37DC4926"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134" w:type="dxa"/>
            <w:tcBorders>
              <w:top w:val="dotted" w:sz="4" w:space="0" w:color="auto"/>
              <w:bottom w:val="dotted" w:sz="4" w:space="0" w:color="auto"/>
            </w:tcBorders>
            <w:shd w:val="clear" w:color="auto" w:fill="FFFFFF"/>
            <w:tcMar>
              <w:left w:w="60" w:type="dxa"/>
              <w:right w:w="60" w:type="dxa"/>
            </w:tcMar>
            <w:vAlign w:val="center"/>
          </w:tcPr>
          <w:p w14:paraId="18EEF8A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(2.9%)</w:t>
            </w:r>
          </w:p>
        </w:tc>
      </w:tr>
      <w:tr w:rsidR="00576FE1" w:rsidRPr="006562F7" w14:paraId="207D66CE"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34E9126A"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Ipratropium bromide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6C7435EF"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276" w:type="dxa"/>
            <w:tcBorders>
              <w:top w:val="dotted" w:sz="4" w:space="0" w:color="auto"/>
              <w:bottom w:val="dotted" w:sz="4" w:space="0" w:color="auto"/>
            </w:tcBorders>
            <w:shd w:val="clear" w:color="auto" w:fill="FFFFFF"/>
            <w:tcMar>
              <w:left w:w="60" w:type="dxa"/>
              <w:right w:w="60" w:type="dxa"/>
            </w:tcMar>
            <w:vAlign w:val="center"/>
          </w:tcPr>
          <w:p w14:paraId="4146125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134" w:type="dxa"/>
            <w:tcBorders>
              <w:top w:val="dotted" w:sz="4" w:space="0" w:color="auto"/>
              <w:bottom w:val="dotted" w:sz="4" w:space="0" w:color="auto"/>
            </w:tcBorders>
            <w:shd w:val="clear" w:color="auto" w:fill="FFFFFF"/>
            <w:tcMar>
              <w:left w:w="60" w:type="dxa"/>
              <w:right w:w="60" w:type="dxa"/>
            </w:tcMar>
            <w:vAlign w:val="center"/>
          </w:tcPr>
          <w:p w14:paraId="3839E7C6"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(2.9%)</w:t>
            </w:r>
          </w:p>
        </w:tc>
      </w:tr>
      <w:tr w:rsidR="00576FE1" w:rsidRPr="006562F7" w14:paraId="1E1344FB"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05DDB871"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Losartan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25F9851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073AC7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134" w:type="dxa"/>
            <w:tcBorders>
              <w:top w:val="dotted" w:sz="4" w:space="0" w:color="auto"/>
              <w:bottom w:val="dotted" w:sz="4" w:space="0" w:color="auto"/>
            </w:tcBorders>
            <w:shd w:val="clear" w:color="auto" w:fill="FFFFFF"/>
            <w:tcMar>
              <w:left w:w="60" w:type="dxa"/>
              <w:right w:w="60" w:type="dxa"/>
            </w:tcMar>
            <w:vAlign w:val="center"/>
          </w:tcPr>
          <w:p w14:paraId="20ACBE7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(2.9%)</w:t>
            </w:r>
          </w:p>
        </w:tc>
      </w:tr>
      <w:tr w:rsidR="00576FE1" w:rsidRPr="006562F7" w14:paraId="3D38D2A2"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644A06AE"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Methylprednisolone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06EF359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 (1.7%)</w:t>
            </w:r>
          </w:p>
        </w:tc>
        <w:tc>
          <w:tcPr>
            <w:tcW w:w="1276" w:type="dxa"/>
            <w:tcBorders>
              <w:top w:val="dotted" w:sz="4" w:space="0" w:color="auto"/>
              <w:bottom w:val="dotted" w:sz="4" w:space="0" w:color="auto"/>
            </w:tcBorders>
            <w:shd w:val="clear" w:color="auto" w:fill="FFFFFF"/>
            <w:tcMar>
              <w:left w:w="60" w:type="dxa"/>
              <w:right w:w="60" w:type="dxa"/>
            </w:tcMar>
            <w:vAlign w:val="center"/>
          </w:tcPr>
          <w:p w14:paraId="21E7259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 (4.1%)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3B9AD06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14 (2.9%)</w:t>
            </w:r>
          </w:p>
        </w:tc>
      </w:tr>
      <w:tr w:rsidR="00576FE1" w:rsidRPr="006562F7" w14:paraId="34388408"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47F56FEF"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w:t>
            </w:r>
            <w:proofErr w:type="spellStart"/>
            <w:r w:rsidRPr="004C7EFF">
              <w:rPr>
                <w:color w:val="000000"/>
                <w:sz w:val="18"/>
                <w:szCs w:val="18"/>
              </w:rPr>
              <w:t>Aciclovir</w:t>
            </w:r>
            <w:proofErr w:type="spellEnd"/>
          </w:p>
        </w:tc>
        <w:tc>
          <w:tcPr>
            <w:tcW w:w="1418" w:type="dxa"/>
            <w:tcBorders>
              <w:top w:val="dotted" w:sz="4" w:space="0" w:color="auto"/>
              <w:bottom w:val="dotted" w:sz="4" w:space="0" w:color="auto"/>
            </w:tcBorders>
            <w:shd w:val="clear" w:color="auto" w:fill="FFFFFF"/>
            <w:tcMar>
              <w:left w:w="60" w:type="dxa"/>
              <w:right w:w="60" w:type="dxa"/>
            </w:tcMar>
            <w:vAlign w:val="center"/>
          </w:tcPr>
          <w:p w14:paraId="2DD410E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276" w:type="dxa"/>
            <w:tcBorders>
              <w:top w:val="dotted" w:sz="4" w:space="0" w:color="auto"/>
              <w:bottom w:val="dotted" w:sz="4" w:space="0" w:color="auto"/>
            </w:tcBorders>
            <w:shd w:val="clear" w:color="auto" w:fill="FFFFFF"/>
            <w:tcMar>
              <w:left w:w="60" w:type="dxa"/>
              <w:right w:w="60" w:type="dxa"/>
            </w:tcMar>
            <w:vAlign w:val="center"/>
          </w:tcPr>
          <w:p w14:paraId="3B99F33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1C13874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13 (2.7%)</w:t>
            </w:r>
          </w:p>
        </w:tc>
      </w:tr>
      <w:tr w:rsidR="00576FE1" w:rsidRPr="006562F7" w14:paraId="4807D845"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772E0251"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Betamethasone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3B1BCE5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276" w:type="dxa"/>
            <w:tcBorders>
              <w:top w:val="dotted" w:sz="4" w:space="0" w:color="auto"/>
              <w:bottom w:val="dotted" w:sz="4" w:space="0" w:color="auto"/>
            </w:tcBorders>
            <w:shd w:val="clear" w:color="auto" w:fill="FFFFFF"/>
            <w:tcMar>
              <w:left w:w="60" w:type="dxa"/>
              <w:right w:w="60" w:type="dxa"/>
            </w:tcMar>
            <w:vAlign w:val="center"/>
          </w:tcPr>
          <w:p w14:paraId="34C7D59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134" w:type="dxa"/>
            <w:tcBorders>
              <w:top w:val="dotted" w:sz="4" w:space="0" w:color="auto"/>
              <w:bottom w:val="dotted" w:sz="4" w:space="0" w:color="auto"/>
            </w:tcBorders>
            <w:shd w:val="clear" w:color="auto" w:fill="FFFFFF"/>
            <w:tcMar>
              <w:left w:w="60" w:type="dxa"/>
              <w:right w:w="60" w:type="dxa"/>
            </w:tcMar>
            <w:vAlign w:val="center"/>
          </w:tcPr>
          <w:p w14:paraId="715AEB7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13 (2.7%)</w:t>
            </w:r>
          </w:p>
        </w:tc>
      </w:tr>
      <w:tr w:rsidR="00576FE1" w:rsidRPr="006562F7" w14:paraId="11336437"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7000B724"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Escitalopram</w:t>
            </w:r>
          </w:p>
        </w:tc>
        <w:tc>
          <w:tcPr>
            <w:tcW w:w="1418" w:type="dxa"/>
            <w:tcBorders>
              <w:top w:val="dotted" w:sz="4" w:space="0" w:color="auto"/>
              <w:bottom w:val="dotted" w:sz="4" w:space="0" w:color="auto"/>
            </w:tcBorders>
            <w:shd w:val="clear" w:color="auto" w:fill="FFFFFF"/>
            <w:tcMar>
              <w:left w:w="60" w:type="dxa"/>
              <w:right w:w="60" w:type="dxa"/>
            </w:tcMar>
            <w:vAlign w:val="center"/>
          </w:tcPr>
          <w:p w14:paraId="667EC56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276" w:type="dxa"/>
            <w:tcBorders>
              <w:top w:val="dotted" w:sz="4" w:space="0" w:color="auto"/>
              <w:bottom w:val="dotted" w:sz="4" w:space="0" w:color="auto"/>
            </w:tcBorders>
            <w:shd w:val="clear" w:color="auto" w:fill="FFFFFF"/>
            <w:tcMar>
              <w:left w:w="60" w:type="dxa"/>
              <w:right w:w="60" w:type="dxa"/>
            </w:tcMar>
            <w:vAlign w:val="center"/>
          </w:tcPr>
          <w:p w14:paraId="28670A4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 (1.7%)</w:t>
            </w:r>
          </w:p>
        </w:tc>
        <w:tc>
          <w:tcPr>
            <w:tcW w:w="1134" w:type="dxa"/>
            <w:tcBorders>
              <w:top w:val="dotted" w:sz="4" w:space="0" w:color="auto"/>
              <w:bottom w:val="dotted" w:sz="4" w:space="0" w:color="auto"/>
            </w:tcBorders>
            <w:shd w:val="clear" w:color="auto" w:fill="FFFFFF"/>
            <w:tcMar>
              <w:left w:w="60" w:type="dxa"/>
              <w:right w:w="60" w:type="dxa"/>
            </w:tcMar>
            <w:vAlign w:val="center"/>
          </w:tcPr>
          <w:p w14:paraId="14014EA9"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13 (2.7%)</w:t>
            </w:r>
          </w:p>
        </w:tc>
      </w:tr>
      <w:tr w:rsidR="00576FE1" w:rsidRPr="006562F7" w14:paraId="661ABA2C"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7B985C02"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Folic acid</w:t>
            </w:r>
          </w:p>
        </w:tc>
        <w:tc>
          <w:tcPr>
            <w:tcW w:w="1418" w:type="dxa"/>
            <w:tcBorders>
              <w:top w:val="dotted" w:sz="4" w:space="0" w:color="auto"/>
              <w:bottom w:val="dotted" w:sz="4" w:space="0" w:color="auto"/>
            </w:tcBorders>
            <w:shd w:val="clear" w:color="auto" w:fill="FFFFFF"/>
            <w:tcMar>
              <w:left w:w="60" w:type="dxa"/>
              <w:right w:w="60" w:type="dxa"/>
            </w:tcMar>
            <w:vAlign w:val="center"/>
          </w:tcPr>
          <w:p w14:paraId="1F0EA44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276" w:type="dxa"/>
            <w:tcBorders>
              <w:top w:val="dotted" w:sz="4" w:space="0" w:color="auto"/>
              <w:bottom w:val="dotted" w:sz="4" w:space="0" w:color="auto"/>
            </w:tcBorders>
            <w:shd w:val="clear" w:color="auto" w:fill="FFFFFF"/>
            <w:tcMar>
              <w:left w:w="60" w:type="dxa"/>
              <w:right w:w="60" w:type="dxa"/>
            </w:tcMar>
            <w:vAlign w:val="center"/>
          </w:tcPr>
          <w:p w14:paraId="0FBFF7E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2962BC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13 (2.7%)</w:t>
            </w:r>
          </w:p>
        </w:tc>
      </w:tr>
      <w:tr w:rsidR="00576FE1" w:rsidRPr="006562F7" w14:paraId="05FBCEE8"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A65295D"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Metronidazole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05F0A689"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C318FC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134" w:type="dxa"/>
            <w:tcBorders>
              <w:top w:val="dotted" w:sz="4" w:space="0" w:color="auto"/>
              <w:bottom w:val="dotted" w:sz="4" w:space="0" w:color="auto"/>
            </w:tcBorders>
            <w:shd w:val="clear" w:color="auto" w:fill="FFFFFF"/>
            <w:tcMar>
              <w:left w:w="60" w:type="dxa"/>
              <w:right w:w="60" w:type="dxa"/>
            </w:tcMar>
            <w:vAlign w:val="center"/>
          </w:tcPr>
          <w:p w14:paraId="14651C4F"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13 (2.7%)</w:t>
            </w:r>
          </w:p>
        </w:tc>
      </w:tr>
      <w:tr w:rsidR="00576FE1" w:rsidRPr="006562F7" w14:paraId="5494E7CA"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83D4358" w14:textId="77777777" w:rsidR="00576FE1" w:rsidRPr="004C7EFF" w:rsidRDefault="00576FE1" w:rsidP="00115CD6">
            <w:pPr>
              <w:keepNext/>
              <w:adjustRightInd w:val="0"/>
              <w:spacing w:after="0" w:line="240" w:lineRule="auto"/>
              <w:rPr>
                <w:color w:val="000000"/>
                <w:sz w:val="18"/>
                <w:szCs w:val="18"/>
                <w:lang w:val="en-GB"/>
              </w:rPr>
            </w:pPr>
            <w:r w:rsidRPr="004C7EFF">
              <w:rPr>
                <w:color w:val="000000"/>
                <w:sz w:val="18"/>
                <w:szCs w:val="18"/>
                <w:lang w:val="en-GB"/>
              </w:rPr>
              <w:t xml:space="preserve">    Various alimentary tract and metabolism products</w:t>
            </w:r>
          </w:p>
        </w:tc>
        <w:tc>
          <w:tcPr>
            <w:tcW w:w="1418" w:type="dxa"/>
            <w:tcBorders>
              <w:top w:val="dotted" w:sz="4" w:space="0" w:color="auto"/>
              <w:bottom w:val="dotted" w:sz="4" w:space="0" w:color="auto"/>
            </w:tcBorders>
            <w:shd w:val="clear" w:color="auto" w:fill="FFFFFF"/>
            <w:tcMar>
              <w:left w:w="60" w:type="dxa"/>
              <w:right w:w="60" w:type="dxa"/>
            </w:tcMar>
            <w:vAlign w:val="center"/>
          </w:tcPr>
          <w:p w14:paraId="514D4F2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276" w:type="dxa"/>
            <w:tcBorders>
              <w:top w:val="dotted" w:sz="4" w:space="0" w:color="auto"/>
              <w:bottom w:val="dotted" w:sz="4" w:space="0" w:color="auto"/>
            </w:tcBorders>
            <w:shd w:val="clear" w:color="auto" w:fill="FFFFFF"/>
            <w:tcMar>
              <w:left w:w="60" w:type="dxa"/>
              <w:right w:w="60" w:type="dxa"/>
            </w:tcMar>
            <w:vAlign w:val="center"/>
          </w:tcPr>
          <w:p w14:paraId="1DE1556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134" w:type="dxa"/>
            <w:tcBorders>
              <w:top w:val="dotted" w:sz="4" w:space="0" w:color="auto"/>
              <w:bottom w:val="dotted" w:sz="4" w:space="0" w:color="auto"/>
            </w:tcBorders>
            <w:shd w:val="clear" w:color="auto" w:fill="FFFFFF"/>
            <w:tcMar>
              <w:left w:w="60" w:type="dxa"/>
              <w:right w:w="60" w:type="dxa"/>
            </w:tcMar>
            <w:vAlign w:val="center"/>
          </w:tcPr>
          <w:p w14:paraId="6895C43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13 (2.7%)</w:t>
            </w:r>
          </w:p>
        </w:tc>
      </w:tr>
      <w:tr w:rsidR="00576FE1" w:rsidRPr="006562F7" w14:paraId="79434A19"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6F8D159C"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Codeine, combinations excl. </w:t>
            </w:r>
            <w:proofErr w:type="spellStart"/>
            <w:r w:rsidRPr="004C7EFF">
              <w:rPr>
                <w:color w:val="000000"/>
                <w:sz w:val="18"/>
                <w:szCs w:val="18"/>
              </w:rPr>
              <w:t>psycholeptics</w:t>
            </w:r>
            <w:proofErr w:type="spellEnd"/>
          </w:p>
        </w:tc>
        <w:tc>
          <w:tcPr>
            <w:tcW w:w="1418" w:type="dxa"/>
            <w:tcBorders>
              <w:top w:val="dotted" w:sz="4" w:space="0" w:color="auto"/>
              <w:bottom w:val="dotted" w:sz="4" w:space="0" w:color="auto"/>
            </w:tcBorders>
            <w:shd w:val="clear" w:color="auto" w:fill="FFFFFF"/>
            <w:tcMar>
              <w:left w:w="60" w:type="dxa"/>
              <w:right w:w="60" w:type="dxa"/>
            </w:tcMar>
            <w:vAlign w:val="center"/>
          </w:tcPr>
          <w:p w14:paraId="1282EAB9"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276" w:type="dxa"/>
            <w:tcBorders>
              <w:top w:val="dotted" w:sz="4" w:space="0" w:color="auto"/>
              <w:bottom w:val="dotted" w:sz="4" w:space="0" w:color="auto"/>
            </w:tcBorders>
            <w:shd w:val="clear" w:color="auto" w:fill="FFFFFF"/>
            <w:tcMar>
              <w:left w:w="60" w:type="dxa"/>
              <w:right w:w="60" w:type="dxa"/>
            </w:tcMar>
            <w:vAlign w:val="center"/>
          </w:tcPr>
          <w:p w14:paraId="43738829"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423B5547"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(2.5%)</w:t>
            </w:r>
          </w:p>
        </w:tc>
      </w:tr>
      <w:tr w:rsidR="00576FE1" w:rsidRPr="006562F7" w14:paraId="10E1EC9F"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57EA1F6"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Filgrastim</w:t>
            </w:r>
          </w:p>
        </w:tc>
        <w:tc>
          <w:tcPr>
            <w:tcW w:w="1418" w:type="dxa"/>
            <w:tcBorders>
              <w:top w:val="dotted" w:sz="4" w:space="0" w:color="auto"/>
              <w:bottom w:val="dotted" w:sz="4" w:space="0" w:color="auto"/>
            </w:tcBorders>
            <w:shd w:val="clear" w:color="auto" w:fill="FFFFFF"/>
            <w:tcMar>
              <w:left w:w="60" w:type="dxa"/>
              <w:right w:w="60" w:type="dxa"/>
            </w:tcMar>
            <w:vAlign w:val="center"/>
          </w:tcPr>
          <w:p w14:paraId="06181E0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276" w:type="dxa"/>
            <w:tcBorders>
              <w:top w:val="dotted" w:sz="4" w:space="0" w:color="auto"/>
              <w:bottom w:val="dotted" w:sz="4" w:space="0" w:color="auto"/>
            </w:tcBorders>
            <w:shd w:val="clear" w:color="auto" w:fill="FFFFFF"/>
            <w:tcMar>
              <w:left w:w="60" w:type="dxa"/>
              <w:right w:w="60" w:type="dxa"/>
            </w:tcMar>
            <w:vAlign w:val="center"/>
          </w:tcPr>
          <w:p w14:paraId="6644CD3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 (1.2%)</w:t>
            </w:r>
          </w:p>
        </w:tc>
        <w:tc>
          <w:tcPr>
            <w:tcW w:w="1134" w:type="dxa"/>
            <w:tcBorders>
              <w:top w:val="dotted" w:sz="4" w:space="0" w:color="auto"/>
              <w:bottom w:val="dotted" w:sz="4" w:space="0" w:color="auto"/>
            </w:tcBorders>
            <w:shd w:val="clear" w:color="auto" w:fill="FFFFFF"/>
            <w:tcMar>
              <w:left w:w="60" w:type="dxa"/>
              <w:right w:w="60" w:type="dxa"/>
            </w:tcMar>
            <w:vAlign w:val="center"/>
          </w:tcPr>
          <w:p w14:paraId="78813BD9"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(2.5%)</w:t>
            </w:r>
          </w:p>
        </w:tc>
      </w:tr>
      <w:tr w:rsidR="00576FE1" w:rsidRPr="006562F7" w14:paraId="1553B4AE"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463F3BBF"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Lormetazepam</w:t>
            </w:r>
          </w:p>
        </w:tc>
        <w:tc>
          <w:tcPr>
            <w:tcW w:w="1418" w:type="dxa"/>
            <w:tcBorders>
              <w:top w:val="dotted" w:sz="4" w:space="0" w:color="auto"/>
              <w:bottom w:val="dotted" w:sz="4" w:space="0" w:color="auto"/>
            </w:tcBorders>
            <w:shd w:val="clear" w:color="auto" w:fill="FFFFFF"/>
            <w:tcMar>
              <w:left w:w="60" w:type="dxa"/>
              <w:right w:w="60" w:type="dxa"/>
            </w:tcMar>
            <w:vAlign w:val="center"/>
          </w:tcPr>
          <w:p w14:paraId="02E3D9C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A2603B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 (1.7%)</w:t>
            </w:r>
          </w:p>
        </w:tc>
        <w:tc>
          <w:tcPr>
            <w:tcW w:w="1134" w:type="dxa"/>
            <w:tcBorders>
              <w:top w:val="dotted" w:sz="4" w:space="0" w:color="auto"/>
              <w:bottom w:val="dotted" w:sz="4" w:space="0" w:color="auto"/>
            </w:tcBorders>
            <w:shd w:val="clear" w:color="auto" w:fill="FFFFFF"/>
            <w:tcMar>
              <w:left w:w="60" w:type="dxa"/>
              <w:right w:w="60" w:type="dxa"/>
            </w:tcMar>
            <w:vAlign w:val="center"/>
          </w:tcPr>
          <w:p w14:paraId="1F68DF8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(2.5%)</w:t>
            </w:r>
          </w:p>
        </w:tc>
      </w:tr>
      <w:tr w:rsidR="00576FE1" w:rsidRPr="006562F7" w14:paraId="0A7A011B"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47473600"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Nystatin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11EF8016"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276" w:type="dxa"/>
            <w:tcBorders>
              <w:top w:val="dotted" w:sz="4" w:space="0" w:color="auto"/>
              <w:bottom w:val="dotted" w:sz="4" w:space="0" w:color="auto"/>
            </w:tcBorders>
            <w:shd w:val="clear" w:color="auto" w:fill="FFFFFF"/>
            <w:tcMar>
              <w:left w:w="60" w:type="dxa"/>
              <w:right w:w="60" w:type="dxa"/>
            </w:tcMar>
            <w:vAlign w:val="center"/>
          </w:tcPr>
          <w:p w14:paraId="2C11768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34FDDFA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(2.5%)</w:t>
            </w:r>
          </w:p>
        </w:tc>
      </w:tr>
      <w:tr w:rsidR="00576FE1" w:rsidRPr="006562F7" w14:paraId="6D6F2858"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058930D2"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Piperacillin and beta-lactamase inhibitor</w:t>
            </w:r>
          </w:p>
        </w:tc>
        <w:tc>
          <w:tcPr>
            <w:tcW w:w="1418" w:type="dxa"/>
            <w:tcBorders>
              <w:top w:val="dotted" w:sz="4" w:space="0" w:color="auto"/>
              <w:bottom w:val="dotted" w:sz="4" w:space="0" w:color="auto"/>
            </w:tcBorders>
            <w:shd w:val="clear" w:color="auto" w:fill="FFFFFF"/>
            <w:tcMar>
              <w:left w:w="60" w:type="dxa"/>
              <w:right w:w="60" w:type="dxa"/>
            </w:tcMar>
            <w:vAlign w:val="center"/>
          </w:tcPr>
          <w:p w14:paraId="7B228AC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 (1.2%)</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731FD3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9 (3.7%)</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3CCA8A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12 (2.5%)</w:t>
            </w:r>
          </w:p>
        </w:tc>
      </w:tr>
      <w:tr w:rsidR="00576FE1" w:rsidRPr="006562F7" w14:paraId="2513FA0D"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5C6BA6B6"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w:t>
            </w:r>
            <w:proofErr w:type="spellStart"/>
            <w:r w:rsidRPr="004C7EFF">
              <w:rPr>
                <w:color w:val="000000"/>
                <w:sz w:val="18"/>
                <w:szCs w:val="18"/>
              </w:rPr>
              <w:t>Ambroxol</w:t>
            </w:r>
            <w:proofErr w:type="spellEnd"/>
          </w:p>
        </w:tc>
        <w:tc>
          <w:tcPr>
            <w:tcW w:w="1418" w:type="dxa"/>
            <w:tcBorders>
              <w:top w:val="dotted" w:sz="4" w:space="0" w:color="auto"/>
              <w:bottom w:val="dotted" w:sz="4" w:space="0" w:color="auto"/>
            </w:tcBorders>
            <w:shd w:val="clear" w:color="auto" w:fill="FFFFFF"/>
            <w:tcMar>
              <w:left w:w="60" w:type="dxa"/>
              <w:right w:w="60" w:type="dxa"/>
            </w:tcMar>
            <w:vAlign w:val="center"/>
          </w:tcPr>
          <w:p w14:paraId="28E77FF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276" w:type="dxa"/>
            <w:tcBorders>
              <w:top w:val="dotted" w:sz="4" w:space="0" w:color="auto"/>
              <w:bottom w:val="dotted" w:sz="4" w:space="0" w:color="auto"/>
            </w:tcBorders>
            <w:shd w:val="clear" w:color="auto" w:fill="FFFFFF"/>
            <w:tcMar>
              <w:left w:w="60" w:type="dxa"/>
              <w:right w:w="60" w:type="dxa"/>
            </w:tcMar>
            <w:vAlign w:val="center"/>
          </w:tcPr>
          <w:p w14:paraId="542402A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0486090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(2.3%)</w:t>
            </w:r>
          </w:p>
        </w:tc>
      </w:tr>
      <w:tr w:rsidR="00576FE1" w:rsidRPr="006562F7" w14:paraId="28A22A11"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0A6C8F48"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Candesartan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01C1665F"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380FA3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360CEB0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(2.3%)</w:t>
            </w:r>
          </w:p>
        </w:tc>
      </w:tr>
      <w:tr w:rsidR="00576FE1" w:rsidRPr="006562F7" w14:paraId="05A53915"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70348791"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Domperidone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2A41CB2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 (1.7%)</w:t>
            </w:r>
          </w:p>
        </w:tc>
        <w:tc>
          <w:tcPr>
            <w:tcW w:w="1276" w:type="dxa"/>
            <w:tcBorders>
              <w:top w:val="dotted" w:sz="4" w:space="0" w:color="auto"/>
              <w:bottom w:val="dotted" w:sz="4" w:space="0" w:color="auto"/>
            </w:tcBorders>
            <w:shd w:val="clear" w:color="auto" w:fill="FFFFFF"/>
            <w:tcMar>
              <w:left w:w="60" w:type="dxa"/>
              <w:right w:w="60" w:type="dxa"/>
            </w:tcMar>
            <w:vAlign w:val="center"/>
          </w:tcPr>
          <w:p w14:paraId="391A516F"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134" w:type="dxa"/>
            <w:tcBorders>
              <w:top w:val="dotted" w:sz="4" w:space="0" w:color="auto"/>
              <w:bottom w:val="dotted" w:sz="4" w:space="0" w:color="auto"/>
            </w:tcBorders>
            <w:shd w:val="clear" w:color="auto" w:fill="FFFFFF"/>
            <w:tcMar>
              <w:left w:w="60" w:type="dxa"/>
              <w:right w:w="60" w:type="dxa"/>
            </w:tcMar>
            <w:vAlign w:val="center"/>
          </w:tcPr>
          <w:p w14:paraId="41B2DBC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(2.3%)</w:t>
            </w:r>
          </w:p>
        </w:tc>
      </w:tr>
      <w:tr w:rsidR="00576FE1" w:rsidRPr="006562F7" w14:paraId="7F0D91B2"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E8B966C"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Hydrocortisone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3C16852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276" w:type="dxa"/>
            <w:tcBorders>
              <w:top w:val="dotted" w:sz="4" w:space="0" w:color="auto"/>
              <w:bottom w:val="dotted" w:sz="4" w:space="0" w:color="auto"/>
            </w:tcBorders>
            <w:shd w:val="clear" w:color="auto" w:fill="FFFFFF"/>
            <w:tcMar>
              <w:left w:w="60" w:type="dxa"/>
              <w:right w:w="60" w:type="dxa"/>
            </w:tcMar>
            <w:vAlign w:val="center"/>
          </w:tcPr>
          <w:p w14:paraId="46FDF8F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 (1.2%)</w:t>
            </w:r>
          </w:p>
        </w:tc>
        <w:tc>
          <w:tcPr>
            <w:tcW w:w="1134" w:type="dxa"/>
            <w:tcBorders>
              <w:top w:val="dotted" w:sz="4" w:space="0" w:color="auto"/>
              <w:bottom w:val="dotted" w:sz="4" w:space="0" w:color="auto"/>
            </w:tcBorders>
            <w:shd w:val="clear" w:color="auto" w:fill="FFFFFF"/>
            <w:tcMar>
              <w:left w:w="60" w:type="dxa"/>
              <w:right w:w="60" w:type="dxa"/>
            </w:tcMar>
            <w:vAlign w:val="center"/>
          </w:tcPr>
          <w:p w14:paraId="1843E0A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(2.3%)</w:t>
            </w:r>
          </w:p>
        </w:tc>
      </w:tr>
      <w:tr w:rsidR="00576FE1" w:rsidRPr="006562F7" w14:paraId="06A5B8D6"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469B5A9E"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Ketoprofen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50F02A1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276" w:type="dxa"/>
            <w:tcBorders>
              <w:top w:val="dotted" w:sz="4" w:space="0" w:color="auto"/>
              <w:bottom w:val="dotted" w:sz="4" w:space="0" w:color="auto"/>
            </w:tcBorders>
            <w:shd w:val="clear" w:color="auto" w:fill="FFFFFF"/>
            <w:tcMar>
              <w:left w:w="60" w:type="dxa"/>
              <w:right w:w="60" w:type="dxa"/>
            </w:tcMar>
            <w:vAlign w:val="center"/>
          </w:tcPr>
          <w:p w14:paraId="288C04F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134" w:type="dxa"/>
            <w:tcBorders>
              <w:top w:val="dotted" w:sz="4" w:space="0" w:color="auto"/>
              <w:bottom w:val="dotted" w:sz="4" w:space="0" w:color="auto"/>
            </w:tcBorders>
            <w:shd w:val="clear" w:color="auto" w:fill="FFFFFF"/>
            <w:tcMar>
              <w:left w:w="60" w:type="dxa"/>
              <w:right w:w="60" w:type="dxa"/>
            </w:tcMar>
            <w:vAlign w:val="center"/>
          </w:tcPr>
          <w:p w14:paraId="1EA6F8D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(2.3%)</w:t>
            </w:r>
          </w:p>
        </w:tc>
      </w:tr>
      <w:tr w:rsidR="00576FE1" w:rsidRPr="006562F7" w14:paraId="1554C893"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1EB0A3F7"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Lactulose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798EF36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 (1.2%)</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C1B900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134" w:type="dxa"/>
            <w:tcBorders>
              <w:top w:val="dotted" w:sz="4" w:space="0" w:color="auto"/>
              <w:bottom w:val="dotted" w:sz="4" w:space="0" w:color="auto"/>
            </w:tcBorders>
            <w:shd w:val="clear" w:color="auto" w:fill="FFFFFF"/>
            <w:tcMar>
              <w:left w:w="60" w:type="dxa"/>
              <w:right w:w="60" w:type="dxa"/>
            </w:tcMar>
            <w:vAlign w:val="center"/>
          </w:tcPr>
          <w:p w14:paraId="4870400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(2.3%)</w:t>
            </w:r>
          </w:p>
        </w:tc>
      </w:tr>
      <w:tr w:rsidR="00576FE1" w:rsidRPr="006562F7" w14:paraId="7823A8C1"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709F7130"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Lansoprazole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2FC62AB6"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 (1.7%)</w:t>
            </w:r>
          </w:p>
        </w:tc>
        <w:tc>
          <w:tcPr>
            <w:tcW w:w="1276" w:type="dxa"/>
            <w:tcBorders>
              <w:top w:val="dotted" w:sz="4" w:space="0" w:color="auto"/>
              <w:bottom w:val="dotted" w:sz="4" w:space="0" w:color="auto"/>
            </w:tcBorders>
            <w:shd w:val="clear" w:color="auto" w:fill="FFFFFF"/>
            <w:tcMar>
              <w:left w:w="60" w:type="dxa"/>
              <w:right w:w="60" w:type="dxa"/>
            </w:tcMar>
            <w:vAlign w:val="center"/>
          </w:tcPr>
          <w:p w14:paraId="60614DB9"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134" w:type="dxa"/>
            <w:tcBorders>
              <w:top w:val="dotted" w:sz="4" w:space="0" w:color="auto"/>
              <w:bottom w:val="dotted" w:sz="4" w:space="0" w:color="auto"/>
            </w:tcBorders>
            <w:shd w:val="clear" w:color="auto" w:fill="FFFFFF"/>
            <w:tcMar>
              <w:left w:w="60" w:type="dxa"/>
              <w:right w:w="60" w:type="dxa"/>
            </w:tcMar>
            <w:vAlign w:val="center"/>
          </w:tcPr>
          <w:p w14:paraId="0FEFA899"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(2.3%)</w:t>
            </w:r>
          </w:p>
        </w:tc>
      </w:tr>
      <w:tr w:rsidR="00576FE1" w:rsidRPr="006562F7" w14:paraId="62B810AB"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0B0DF6A4"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Lercanidipine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31BBB53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276" w:type="dxa"/>
            <w:tcBorders>
              <w:top w:val="dotted" w:sz="4" w:space="0" w:color="auto"/>
              <w:bottom w:val="dotted" w:sz="4" w:space="0" w:color="auto"/>
            </w:tcBorders>
            <w:shd w:val="clear" w:color="auto" w:fill="FFFFFF"/>
            <w:tcMar>
              <w:left w:w="60" w:type="dxa"/>
              <w:right w:w="60" w:type="dxa"/>
            </w:tcMar>
            <w:vAlign w:val="center"/>
          </w:tcPr>
          <w:p w14:paraId="0924BFD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61DFD33F"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(2.3%)</w:t>
            </w:r>
          </w:p>
        </w:tc>
      </w:tr>
      <w:tr w:rsidR="00576FE1" w:rsidRPr="006562F7" w14:paraId="2A914690"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4A6468D5"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Pravastatin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09167EC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 (1.7%)</w:t>
            </w:r>
          </w:p>
        </w:tc>
        <w:tc>
          <w:tcPr>
            <w:tcW w:w="1276" w:type="dxa"/>
            <w:tcBorders>
              <w:top w:val="dotted" w:sz="4" w:space="0" w:color="auto"/>
              <w:bottom w:val="dotted" w:sz="4" w:space="0" w:color="auto"/>
            </w:tcBorders>
            <w:shd w:val="clear" w:color="auto" w:fill="FFFFFF"/>
            <w:tcMar>
              <w:left w:w="60" w:type="dxa"/>
              <w:right w:w="60" w:type="dxa"/>
            </w:tcMar>
            <w:vAlign w:val="center"/>
          </w:tcPr>
          <w:p w14:paraId="3F09A7F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134" w:type="dxa"/>
            <w:tcBorders>
              <w:top w:val="dotted" w:sz="4" w:space="0" w:color="auto"/>
              <w:bottom w:val="dotted" w:sz="4" w:space="0" w:color="auto"/>
            </w:tcBorders>
            <w:shd w:val="clear" w:color="auto" w:fill="FFFFFF"/>
            <w:tcMar>
              <w:left w:w="60" w:type="dxa"/>
              <w:right w:w="60" w:type="dxa"/>
            </w:tcMar>
            <w:vAlign w:val="center"/>
          </w:tcPr>
          <w:p w14:paraId="707DF0F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(2.3%)</w:t>
            </w:r>
          </w:p>
        </w:tc>
      </w:tr>
      <w:tr w:rsidR="00576FE1" w:rsidRPr="006562F7" w14:paraId="35734CE7"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24CC347"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Rosuvastatin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75EC40C6"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276" w:type="dxa"/>
            <w:tcBorders>
              <w:top w:val="dotted" w:sz="4" w:space="0" w:color="auto"/>
              <w:bottom w:val="dotted" w:sz="4" w:space="0" w:color="auto"/>
            </w:tcBorders>
            <w:shd w:val="clear" w:color="auto" w:fill="FFFFFF"/>
            <w:tcMar>
              <w:left w:w="60" w:type="dxa"/>
              <w:right w:w="60" w:type="dxa"/>
            </w:tcMar>
            <w:vAlign w:val="center"/>
          </w:tcPr>
          <w:p w14:paraId="037DDEC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 (1.7%)</w:t>
            </w:r>
          </w:p>
        </w:tc>
        <w:tc>
          <w:tcPr>
            <w:tcW w:w="1134" w:type="dxa"/>
            <w:tcBorders>
              <w:top w:val="dotted" w:sz="4" w:space="0" w:color="auto"/>
              <w:bottom w:val="dotted" w:sz="4" w:space="0" w:color="auto"/>
            </w:tcBorders>
            <w:shd w:val="clear" w:color="auto" w:fill="FFFFFF"/>
            <w:tcMar>
              <w:left w:w="60" w:type="dxa"/>
              <w:right w:w="60" w:type="dxa"/>
            </w:tcMar>
            <w:vAlign w:val="center"/>
          </w:tcPr>
          <w:p w14:paraId="0ED8FD1F"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(2.3%)</w:t>
            </w:r>
          </w:p>
        </w:tc>
      </w:tr>
      <w:tr w:rsidR="00576FE1" w:rsidRPr="006562F7" w14:paraId="4C518E09"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35A0E11"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Sertraline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50DA54F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4 (1.7%)</w:t>
            </w:r>
          </w:p>
        </w:tc>
        <w:tc>
          <w:tcPr>
            <w:tcW w:w="1276" w:type="dxa"/>
            <w:tcBorders>
              <w:top w:val="dotted" w:sz="4" w:space="0" w:color="auto"/>
              <w:bottom w:val="dotted" w:sz="4" w:space="0" w:color="auto"/>
            </w:tcBorders>
            <w:shd w:val="clear" w:color="auto" w:fill="FFFFFF"/>
            <w:tcMar>
              <w:left w:w="60" w:type="dxa"/>
              <w:right w:w="60" w:type="dxa"/>
            </w:tcMar>
            <w:vAlign w:val="center"/>
          </w:tcPr>
          <w:p w14:paraId="62FADA80"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134" w:type="dxa"/>
            <w:tcBorders>
              <w:top w:val="dotted" w:sz="4" w:space="0" w:color="auto"/>
              <w:bottom w:val="dotted" w:sz="4" w:space="0" w:color="auto"/>
            </w:tcBorders>
            <w:shd w:val="clear" w:color="auto" w:fill="FFFFFF"/>
            <w:tcMar>
              <w:left w:w="60" w:type="dxa"/>
              <w:right w:w="60" w:type="dxa"/>
            </w:tcMar>
            <w:vAlign w:val="center"/>
          </w:tcPr>
          <w:p w14:paraId="4C9D5EF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(2.3%)</w:t>
            </w:r>
          </w:p>
        </w:tc>
      </w:tr>
      <w:tr w:rsidR="00576FE1" w:rsidRPr="006562F7" w14:paraId="12B0E02A"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6FC2DAB7"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Tinzaparin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214D8A7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 (1.2%)</w:t>
            </w:r>
          </w:p>
        </w:tc>
        <w:tc>
          <w:tcPr>
            <w:tcW w:w="1276" w:type="dxa"/>
            <w:tcBorders>
              <w:top w:val="dotted" w:sz="4" w:space="0" w:color="auto"/>
              <w:bottom w:val="dotted" w:sz="4" w:space="0" w:color="auto"/>
            </w:tcBorders>
            <w:shd w:val="clear" w:color="auto" w:fill="FFFFFF"/>
            <w:tcMar>
              <w:left w:w="60" w:type="dxa"/>
              <w:right w:w="60" w:type="dxa"/>
            </w:tcMar>
            <w:vAlign w:val="center"/>
          </w:tcPr>
          <w:p w14:paraId="36C5543D"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134" w:type="dxa"/>
            <w:tcBorders>
              <w:top w:val="dotted" w:sz="4" w:space="0" w:color="auto"/>
              <w:bottom w:val="dotted" w:sz="4" w:space="0" w:color="auto"/>
            </w:tcBorders>
            <w:shd w:val="clear" w:color="auto" w:fill="FFFFFF"/>
            <w:tcMar>
              <w:left w:w="60" w:type="dxa"/>
              <w:right w:w="60" w:type="dxa"/>
            </w:tcMar>
            <w:vAlign w:val="center"/>
          </w:tcPr>
          <w:p w14:paraId="4B3D88A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(2.3%)</w:t>
            </w:r>
          </w:p>
        </w:tc>
      </w:tr>
      <w:tr w:rsidR="00576FE1" w:rsidRPr="006562F7" w14:paraId="52AB87FE"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26946F25"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Valsartan</w:t>
            </w:r>
          </w:p>
        </w:tc>
        <w:tc>
          <w:tcPr>
            <w:tcW w:w="1418" w:type="dxa"/>
            <w:tcBorders>
              <w:top w:val="dotted" w:sz="4" w:space="0" w:color="auto"/>
              <w:bottom w:val="dotted" w:sz="4" w:space="0" w:color="auto"/>
            </w:tcBorders>
            <w:shd w:val="clear" w:color="auto" w:fill="FFFFFF"/>
            <w:tcMar>
              <w:left w:w="60" w:type="dxa"/>
              <w:right w:w="60" w:type="dxa"/>
            </w:tcMar>
            <w:vAlign w:val="center"/>
          </w:tcPr>
          <w:p w14:paraId="2778A7A6"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276" w:type="dxa"/>
            <w:tcBorders>
              <w:top w:val="dotted" w:sz="4" w:space="0" w:color="auto"/>
              <w:bottom w:val="dotted" w:sz="4" w:space="0" w:color="auto"/>
            </w:tcBorders>
            <w:shd w:val="clear" w:color="auto" w:fill="FFFFFF"/>
            <w:tcMar>
              <w:left w:w="60" w:type="dxa"/>
              <w:right w:w="60" w:type="dxa"/>
            </w:tcMar>
            <w:vAlign w:val="center"/>
          </w:tcPr>
          <w:p w14:paraId="5AC4508A"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 (1.2%)</w:t>
            </w:r>
          </w:p>
        </w:tc>
        <w:tc>
          <w:tcPr>
            <w:tcW w:w="1134" w:type="dxa"/>
            <w:tcBorders>
              <w:top w:val="dotted" w:sz="4" w:space="0" w:color="auto"/>
              <w:bottom w:val="dotted" w:sz="4" w:space="0" w:color="auto"/>
            </w:tcBorders>
            <w:shd w:val="clear" w:color="auto" w:fill="FFFFFF"/>
            <w:tcMar>
              <w:left w:w="60" w:type="dxa"/>
              <w:right w:w="60" w:type="dxa"/>
            </w:tcMar>
            <w:vAlign w:val="center"/>
          </w:tcPr>
          <w:p w14:paraId="385291A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(2.3%)</w:t>
            </w:r>
          </w:p>
        </w:tc>
      </w:tr>
      <w:tr w:rsidR="00576FE1" w:rsidRPr="006562F7" w14:paraId="44EC22BD"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198CF591"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Venlafaxine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4FB56A6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DC0E4F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6 (2.5%)</w:t>
            </w:r>
          </w:p>
        </w:tc>
        <w:tc>
          <w:tcPr>
            <w:tcW w:w="1134" w:type="dxa"/>
            <w:tcBorders>
              <w:top w:val="dotted" w:sz="4" w:space="0" w:color="auto"/>
              <w:bottom w:val="dotted" w:sz="4" w:space="0" w:color="auto"/>
            </w:tcBorders>
            <w:shd w:val="clear" w:color="auto" w:fill="FFFFFF"/>
            <w:tcMar>
              <w:left w:w="60" w:type="dxa"/>
              <w:right w:w="60" w:type="dxa"/>
            </w:tcMar>
            <w:vAlign w:val="center"/>
          </w:tcPr>
          <w:p w14:paraId="6C1D8E6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11 (2.3%)</w:t>
            </w:r>
          </w:p>
        </w:tc>
      </w:tr>
      <w:tr w:rsidR="00576FE1" w:rsidRPr="006562F7" w14:paraId="1B0E63DF"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31FD7E1C"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Chlorhexidine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64DBBCA8"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 (1.2%)</w:t>
            </w:r>
          </w:p>
        </w:tc>
        <w:tc>
          <w:tcPr>
            <w:tcW w:w="1276" w:type="dxa"/>
            <w:tcBorders>
              <w:top w:val="dotted" w:sz="4" w:space="0" w:color="auto"/>
              <w:bottom w:val="dotted" w:sz="4" w:space="0" w:color="auto"/>
            </w:tcBorders>
            <w:shd w:val="clear" w:color="auto" w:fill="FFFFFF"/>
            <w:tcMar>
              <w:left w:w="60" w:type="dxa"/>
              <w:right w:w="60" w:type="dxa"/>
            </w:tcMar>
            <w:vAlign w:val="center"/>
          </w:tcPr>
          <w:p w14:paraId="5CE1539E"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134" w:type="dxa"/>
            <w:tcBorders>
              <w:top w:val="dotted" w:sz="4" w:space="0" w:color="auto"/>
              <w:bottom w:val="dotted" w:sz="4" w:space="0" w:color="auto"/>
            </w:tcBorders>
            <w:shd w:val="clear" w:color="auto" w:fill="FFFFFF"/>
            <w:tcMar>
              <w:left w:w="60" w:type="dxa"/>
              <w:right w:w="60" w:type="dxa"/>
            </w:tcMar>
            <w:vAlign w:val="center"/>
          </w:tcPr>
          <w:p w14:paraId="4B51C56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 (2.1%)</w:t>
            </w:r>
          </w:p>
        </w:tc>
      </w:tr>
      <w:tr w:rsidR="00576FE1" w:rsidRPr="006562F7" w14:paraId="161B8BEF"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121A33FD"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w:t>
            </w:r>
            <w:proofErr w:type="spellStart"/>
            <w:r w:rsidRPr="004C7EFF">
              <w:rPr>
                <w:color w:val="000000"/>
                <w:sz w:val="18"/>
                <w:szCs w:val="18"/>
              </w:rPr>
              <w:t>Ebastine</w:t>
            </w:r>
            <w:proofErr w:type="spellEnd"/>
          </w:p>
        </w:tc>
        <w:tc>
          <w:tcPr>
            <w:tcW w:w="1418" w:type="dxa"/>
            <w:tcBorders>
              <w:top w:val="dotted" w:sz="4" w:space="0" w:color="auto"/>
              <w:bottom w:val="dotted" w:sz="4" w:space="0" w:color="auto"/>
            </w:tcBorders>
            <w:shd w:val="clear" w:color="auto" w:fill="FFFFFF"/>
            <w:tcMar>
              <w:left w:w="60" w:type="dxa"/>
              <w:right w:w="60" w:type="dxa"/>
            </w:tcMar>
            <w:vAlign w:val="center"/>
          </w:tcPr>
          <w:p w14:paraId="12491973"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276" w:type="dxa"/>
            <w:tcBorders>
              <w:top w:val="dotted" w:sz="4" w:space="0" w:color="auto"/>
              <w:bottom w:val="dotted" w:sz="4" w:space="0" w:color="auto"/>
            </w:tcBorders>
            <w:shd w:val="clear" w:color="auto" w:fill="FFFFFF"/>
            <w:tcMar>
              <w:left w:w="60" w:type="dxa"/>
              <w:right w:w="60" w:type="dxa"/>
            </w:tcMar>
            <w:vAlign w:val="center"/>
          </w:tcPr>
          <w:p w14:paraId="19620E85"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61D3D19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 (2.1%)</w:t>
            </w:r>
          </w:p>
        </w:tc>
      </w:tr>
      <w:tr w:rsidR="00576FE1" w:rsidRPr="006562F7" w14:paraId="632E205A"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39D404A6"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Mirtazapine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15C3305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8 (3.3%)</w:t>
            </w:r>
          </w:p>
        </w:tc>
        <w:tc>
          <w:tcPr>
            <w:tcW w:w="1276" w:type="dxa"/>
            <w:tcBorders>
              <w:top w:val="dotted" w:sz="4" w:space="0" w:color="auto"/>
              <w:bottom w:val="dotted" w:sz="4" w:space="0" w:color="auto"/>
            </w:tcBorders>
            <w:shd w:val="clear" w:color="auto" w:fill="FFFFFF"/>
            <w:tcMar>
              <w:left w:w="60" w:type="dxa"/>
              <w:right w:w="60" w:type="dxa"/>
            </w:tcMar>
            <w:vAlign w:val="center"/>
          </w:tcPr>
          <w:p w14:paraId="7C216F5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2 (0.8%)</w:t>
            </w:r>
          </w:p>
        </w:tc>
        <w:tc>
          <w:tcPr>
            <w:tcW w:w="1134" w:type="dxa"/>
            <w:tcBorders>
              <w:top w:val="dotted" w:sz="4" w:space="0" w:color="auto"/>
              <w:bottom w:val="dotted" w:sz="4" w:space="0" w:color="auto"/>
            </w:tcBorders>
            <w:shd w:val="clear" w:color="auto" w:fill="FFFFFF"/>
            <w:tcMar>
              <w:left w:w="60" w:type="dxa"/>
              <w:right w:w="60" w:type="dxa"/>
            </w:tcMar>
            <w:vAlign w:val="center"/>
          </w:tcPr>
          <w:p w14:paraId="29BA17C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 (2.1%)</w:t>
            </w:r>
          </w:p>
        </w:tc>
      </w:tr>
      <w:tr w:rsidR="00576FE1" w:rsidRPr="006562F7" w14:paraId="142FF98A"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7B9C0358"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Sodium bicarbonate</w:t>
            </w:r>
          </w:p>
        </w:tc>
        <w:tc>
          <w:tcPr>
            <w:tcW w:w="1418" w:type="dxa"/>
            <w:tcBorders>
              <w:top w:val="dotted" w:sz="4" w:space="0" w:color="auto"/>
              <w:bottom w:val="dotted" w:sz="4" w:space="0" w:color="auto"/>
            </w:tcBorders>
            <w:shd w:val="clear" w:color="auto" w:fill="FFFFFF"/>
            <w:tcMar>
              <w:left w:w="60" w:type="dxa"/>
              <w:right w:w="60" w:type="dxa"/>
            </w:tcMar>
            <w:vAlign w:val="center"/>
          </w:tcPr>
          <w:p w14:paraId="2B39415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3 (1.2%)</w:t>
            </w:r>
          </w:p>
        </w:tc>
        <w:tc>
          <w:tcPr>
            <w:tcW w:w="1276" w:type="dxa"/>
            <w:tcBorders>
              <w:top w:val="dotted" w:sz="4" w:space="0" w:color="auto"/>
              <w:bottom w:val="dotted" w:sz="4" w:space="0" w:color="auto"/>
            </w:tcBorders>
            <w:shd w:val="clear" w:color="auto" w:fill="FFFFFF"/>
            <w:tcMar>
              <w:left w:w="60" w:type="dxa"/>
              <w:right w:w="60" w:type="dxa"/>
            </w:tcMar>
            <w:vAlign w:val="center"/>
          </w:tcPr>
          <w:p w14:paraId="4E8BFED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7 (2.9%)</w:t>
            </w:r>
          </w:p>
        </w:tc>
        <w:tc>
          <w:tcPr>
            <w:tcW w:w="1134" w:type="dxa"/>
            <w:tcBorders>
              <w:top w:val="dotted" w:sz="4" w:space="0" w:color="auto"/>
              <w:bottom w:val="dotted" w:sz="4" w:space="0" w:color="auto"/>
            </w:tcBorders>
            <w:shd w:val="clear" w:color="auto" w:fill="FFFFFF"/>
            <w:tcMar>
              <w:left w:w="60" w:type="dxa"/>
              <w:right w:w="60" w:type="dxa"/>
            </w:tcMar>
            <w:vAlign w:val="center"/>
          </w:tcPr>
          <w:p w14:paraId="6BBB86D1"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 (2.1%)</w:t>
            </w:r>
          </w:p>
        </w:tc>
      </w:tr>
      <w:tr w:rsidR="00576FE1" w:rsidRPr="006562F7" w14:paraId="68CF0707" w14:textId="77777777" w:rsidTr="0047771E">
        <w:trPr>
          <w:cantSplit/>
        </w:trPr>
        <w:tc>
          <w:tcPr>
            <w:tcW w:w="5098" w:type="dxa"/>
            <w:tcBorders>
              <w:top w:val="dotted" w:sz="4" w:space="0" w:color="auto"/>
              <w:bottom w:val="dotted" w:sz="4" w:space="0" w:color="auto"/>
            </w:tcBorders>
            <w:shd w:val="clear" w:color="auto" w:fill="FFFFFF"/>
            <w:tcMar>
              <w:left w:w="60" w:type="dxa"/>
              <w:right w:w="60" w:type="dxa"/>
            </w:tcMar>
            <w:vAlign w:val="center"/>
          </w:tcPr>
          <w:p w14:paraId="0F84CF1E"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w:t>
            </w:r>
            <w:proofErr w:type="spellStart"/>
            <w:r w:rsidRPr="004C7EFF">
              <w:rPr>
                <w:color w:val="000000"/>
                <w:sz w:val="18"/>
                <w:szCs w:val="18"/>
              </w:rPr>
              <w:t>Torasemide</w:t>
            </w:r>
            <w:proofErr w:type="spellEnd"/>
          </w:p>
        </w:tc>
        <w:tc>
          <w:tcPr>
            <w:tcW w:w="1418" w:type="dxa"/>
            <w:tcBorders>
              <w:top w:val="dotted" w:sz="4" w:space="0" w:color="auto"/>
              <w:bottom w:val="dotted" w:sz="4" w:space="0" w:color="auto"/>
            </w:tcBorders>
            <w:shd w:val="clear" w:color="auto" w:fill="FFFFFF"/>
            <w:tcMar>
              <w:left w:w="60" w:type="dxa"/>
              <w:right w:w="60" w:type="dxa"/>
            </w:tcMar>
            <w:vAlign w:val="center"/>
          </w:tcPr>
          <w:p w14:paraId="750A7D46"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276" w:type="dxa"/>
            <w:tcBorders>
              <w:top w:val="dotted" w:sz="4" w:space="0" w:color="auto"/>
              <w:bottom w:val="dotted" w:sz="4" w:space="0" w:color="auto"/>
            </w:tcBorders>
            <w:shd w:val="clear" w:color="auto" w:fill="FFFFFF"/>
            <w:tcMar>
              <w:left w:w="60" w:type="dxa"/>
              <w:right w:w="60" w:type="dxa"/>
            </w:tcMar>
            <w:vAlign w:val="center"/>
          </w:tcPr>
          <w:p w14:paraId="2E74DC4B"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134" w:type="dxa"/>
            <w:tcBorders>
              <w:top w:val="dotted" w:sz="4" w:space="0" w:color="auto"/>
              <w:bottom w:val="dotted" w:sz="4" w:space="0" w:color="auto"/>
            </w:tcBorders>
            <w:shd w:val="clear" w:color="auto" w:fill="FFFFFF"/>
            <w:tcMar>
              <w:left w:w="60" w:type="dxa"/>
              <w:right w:w="60" w:type="dxa"/>
            </w:tcMar>
            <w:vAlign w:val="center"/>
          </w:tcPr>
          <w:p w14:paraId="5433F872"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 (2.1%)</w:t>
            </w:r>
          </w:p>
        </w:tc>
      </w:tr>
      <w:tr w:rsidR="00576FE1" w:rsidRPr="006562F7" w14:paraId="04549F77" w14:textId="77777777" w:rsidTr="0047771E">
        <w:trPr>
          <w:cantSplit/>
        </w:trPr>
        <w:tc>
          <w:tcPr>
            <w:tcW w:w="5098" w:type="dxa"/>
            <w:tcBorders>
              <w:top w:val="dotted" w:sz="4" w:space="0" w:color="auto"/>
            </w:tcBorders>
            <w:shd w:val="clear" w:color="auto" w:fill="FFFFFF"/>
            <w:tcMar>
              <w:left w:w="60" w:type="dxa"/>
              <w:right w:w="60" w:type="dxa"/>
            </w:tcMar>
            <w:vAlign w:val="center"/>
          </w:tcPr>
          <w:p w14:paraId="694D7AAC" w14:textId="77777777" w:rsidR="00576FE1" w:rsidRPr="004C7EFF" w:rsidRDefault="00576FE1" w:rsidP="00115CD6">
            <w:pPr>
              <w:keepNext/>
              <w:adjustRightInd w:val="0"/>
              <w:spacing w:after="0" w:line="240" w:lineRule="auto"/>
              <w:rPr>
                <w:color w:val="000000"/>
                <w:sz w:val="18"/>
                <w:szCs w:val="18"/>
              </w:rPr>
            </w:pPr>
            <w:r w:rsidRPr="004C7EFF">
              <w:rPr>
                <w:color w:val="000000"/>
                <w:sz w:val="18"/>
                <w:szCs w:val="18"/>
              </w:rPr>
              <w:t xml:space="preserve">    Various</w:t>
            </w:r>
          </w:p>
        </w:tc>
        <w:tc>
          <w:tcPr>
            <w:tcW w:w="1418" w:type="dxa"/>
            <w:tcBorders>
              <w:top w:val="dotted" w:sz="4" w:space="0" w:color="auto"/>
            </w:tcBorders>
            <w:shd w:val="clear" w:color="auto" w:fill="FFFFFF"/>
            <w:tcMar>
              <w:left w:w="60" w:type="dxa"/>
              <w:right w:w="60" w:type="dxa"/>
            </w:tcMar>
            <w:vAlign w:val="center"/>
          </w:tcPr>
          <w:p w14:paraId="5C67FE3C"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276" w:type="dxa"/>
            <w:tcBorders>
              <w:top w:val="dotted" w:sz="4" w:space="0" w:color="auto"/>
            </w:tcBorders>
            <w:shd w:val="clear" w:color="auto" w:fill="FFFFFF"/>
            <w:tcMar>
              <w:left w:w="60" w:type="dxa"/>
              <w:right w:w="60" w:type="dxa"/>
            </w:tcMar>
            <w:vAlign w:val="center"/>
          </w:tcPr>
          <w:p w14:paraId="1C913744"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5 (2.1%)</w:t>
            </w:r>
          </w:p>
        </w:tc>
        <w:tc>
          <w:tcPr>
            <w:tcW w:w="1134" w:type="dxa"/>
            <w:tcBorders>
              <w:top w:val="dotted" w:sz="4" w:space="0" w:color="auto"/>
            </w:tcBorders>
            <w:shd w:val="clear" w:color="auto" w:fill="FFFFFF"/>
            <w:tcMar>
              <w:left w:w="60" w:type="dxa"/>
              <w:right w:w="60" w:type="dxa"/>
            </w:tcMar>
            <w:vAlign w:val="center"/>
          </w:tcPr>
          <w:p w14:paraId="0A01DBA9" w14:textId="77777777" w:rsidR="00576FE1" w:rsidRPr="004C7EFF" w:rsidRDefault="00576FE1" w:rsidP="00115CD6">
            <w:pPr>
              <w:keepNext/>
              <w:adjustRightInd w:val="0"/>
              <w:spacing w:after="0" w:line="240" w:lineRule="auto"/>
              <w:jc w:val="center"/>
              <w:rPr>
                <w:color w:val="000000"/>
                <w:sz w:val="18"/>
                <w:szCs w:val="18"/>
              </w:rPr>
            </w:pPr>
            <w:r w:rsidRPr="004C7EFF">
              <w:rPr>
                <w:color w:val="000000"/>
                <w:sz w:val="18"/>
                <w:szCs w:val="18"/>
              </w:rPr>
              <w:t>10 (2.1%)</w:t>
            </w:r>
          </w:p>
        </w:tc>
      </w:tr>
    </w:tbl>
    <w:p w14:paraId="7E79CDF7" w14:textId="6A4E1687" w:rsidR="00576FE1" w:rsidRDefault="00576FE1" w:rsidP="00576FE1">
      <w:bookmarkStart w:id="650" w:name="_Toc47375330"/>
      <w:r w:rsidRPr="003363FD">
        <w:rPr>
          <w:i/>
          <w:sz w:val="18"/>
          <w:szCs w:val="18"/>
          <w:lang w:val="en-GB"/>
        </w:rPr>
        <w:t>(</w:t>
      </w:r>
      <w:r w:rsidRPr="003363FD">
        <w:rPr>
          <w:i/>
          <w:sz w:val="18"/>
          <w:szCs w:val="18"/>
          <w:u w:val="single"/>
          <w:lang w:val="en-GB"/>
        </w:rPr>
        <w:t>Cross reference</w:t>
      </w:r>
      <w:r w:rsidRPr="003363FD">
        <w:rPr>
          <w:i/>
          <w:sz w:val="18"/>
          <w:szCs w:val="18"/>
          <w:lang w:val="en-GB"/>
        </w:rPr>
        <w:t xml:space="preserve">: Table </w:t>
      </w:r>
      <w:r>
        <w:rPr>
          <w:i/>
          <w:sz w:val="18"/>
          <w:szCs w:val="18"/>
          <w:lang w:val="en-GB"/>
        </w:rPr>
        <w:t xml:space="preserve">159 </w:t>
      </w:r>
      <w:r w:rsidRPr="003363FD">
        <w:rPr>
          <w:i/>
          <w:sz w:val="18"/>
          <w:szCs w:val="18"/>
          <w:lang w:val="en-GB"/>
        </w:rPr>
        <w:t xml:space="preserve">of Final Analysis Statistical Report dated </w:t>
      </w:r>
      <w:r w:rsidR="001B1571">
        <w:rPr>
          <w:i/>
          <w:sz w:val="18"/>
          <w:szCs w:val="18"/>
          <w:lang w:val="en-GB"/>
        </w:rPr>
        <w:t>4</w:t>
      </w:r>
      <w:r w:rsidR="001B1571" w:rsidRPr="001B1571">
        <w:rPr>
          <w:i/>
          <w:sz w:val="18"/>
          <w:szCs w:val="18"/>
          <w:vertAlign w:val="superscript"/>
          <w:lang w:val="en-GB"/>
        </w:rPr>
        <w:t>th</w:t>
      </w:r>
      <w:r w:rsidR="001B1571">
        <w:rPr>
          <w:i/>
          <w:sz w:val="18"/>
          <w:szCs w:val="18"/>
          <w:lang w:val="en-GB"/>
        </w:rPr>
        <w:t xml:space="preserve"> September</w:t>
      </w:r>
      <w:r w:rsidRPr="003363FD">
        <w:rPr>
          <w:i/>
          <w:sz w:val="18"/>
          <w:szCs w:val="18"/>
          <w:lang w:val="en-GB"/>
        </w:rPr>
        <w:t xml:space="preserve"> 2020).</w:t>
      </w:r>
      <w:r>
        <w:rPr>
          <w:lang w:val="en-GB"/>
        </w:rPr>
        <w:br w:type="page"/>
      </w:r>
      <w:bookmarkEnd w:id="650"/>
    </w:p>
    <w:p w14:paraId="21DF7AE9" w14:textId="77777777" w:rsidR="00576FE1" w:rsidRPr="003363FD" w:rsidRDefault="00576FE1" w:rsidP="00576FE1">
      <w:pPr>
        <w:keepNext/>
        <w:rPr>
          <w:lang w:val="en-GB"/>
        </w:rPr>
        <w:sectPr w:rsidR="00576FE1" w:rsidRPr="003363FD" w:rsidSect="00B80F8B">
          <w:pgSz w:w="11906" w:h="16838"/>
          <w:pgMar w:top="1418" w:right="1701" w:bottom="1134" w:left="1701" w:header="708" w:footer="708" w:gutter="0"/>
          <w:cols w:space="708"/>
          <w:docGrid w:linePitch="360"/>
        </w:sectPr>
      </w:pPr>
    </w:p>
    <w:p w14:paraId="6CAED0F5" w14:textId="5BAC29B5" w:rsidR="00576FE1" w:rsidRDefault="00576FE1" w:rsidP="002221CF">
      <w:pPr>
        <w:pStyle w:val="Descripcin"/>
        <w:keepNext/>
        <w:outlineLvl w:val="0"/>
      </w:pPr>
      <w:bookmarkStart w:id="651" w:name="_Ref52426604"/>
      <w:bookmarkStart w:id="652" w:name="_Toc52046478"/>
      <w:bookmarkStart w:id="653" w:name="_Toc52446210"/>
      <w:bookmarkStart w:id="654" w:name="_Toc52468167"/>
      <w:r>
        <w:lastRenderedPageBreak/>
        <w:t xml:space="preserve">Table </w:t>
      </w:r>
      <w:r>
        <w:fldChar w:fldCharType="begin"/>
      </w:r>
      <w:r>
        <w:instrText xml:space="preserve"> SEQ Table \* ARABIC </w:instrText>
      </w:r>
      <w:r>
        <w:fldChar w:fldCharType="separate"/>
      </w:r>
      <w:r w:rsidR="002221CF">
        <w:rPr>
          <w:noProof/>
        </w:rPr>
        <w:t>9</w:t>
      </w:r>
      <w:r>
        <w:fldChar w:fldCharType="end"/>
      </w:r>
      <w:bookmarkEnd w:id="651"/>
      <w:r>
        <w:t xml:space="preserve">. </w:t>
      </w:r>
      <w:r w:rsidRPr="004A1FE7">
        <w:t>Other Kaplan-Meier analysis and results of progression-free survival in the Intent-to-Treat population.</w:t>
      </w:r>
      <w:bookmarkEnd w:id="652"/>
      <w:bookmarkEnd w:id="653"/>
      <w:bookmarkEnd w:id="654"/>
    </w:p>
    <w:tbl>
      <w:tblPr>
        <w:tblStyle w:val="Tablaconcuadrcula"/>
        <w:tblpPr w:leftFromText="141" w:rightFromText="141" w:vertAnchor="page" w:horzAnchor="margin" w:tblpXSpec="right" w:tblpY="2428"/>
        <w:tblW w:w="8372"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39"/>
        <w:gridCol w:w="756"/>
        <w:gridCol w:w="1559"/>
        <w:gridCol w:w="1559"/>
        <w:gridCol w:w="859"/>
      </w:tblGrid>
      <w:tr w:rsidR="00576FE1" w:rsidRPr="00774240" w14:paraId="516561E7" w14:textId="77777777" w:rsidTr="00576FE1">
        <w:trPr>
          <w:trHeight w:val="647"/>
        </w:trPr>
        <w:tc>
          <w:tcPr>
            <w:tcW w:w="3639" w:type="dxa"/>
            <w:tcBorders>
              <w:top w:val="single" w:sz="4" w:space="0" w:color="auto"/>
              <w:bottom w:val="single" w:sz="4" w:space="0" w:color="auto"/>
            </w:tcBorders>
            <w:vAlign w:val="center"/>
          </w:tcPr>
          <w:p w14:paraId="09932C3C" w14:textId="77777777" w:rsidR="00576FE1" w:rsidRPr="00774240" w:rsidRDefault="00576FE1" w:rsidP="00115CD6">
            <w:pPr>
              <w:jc w:val="center"/>
              <w:rPr>
                <w:b/>
                <w:sz w:val="18"/>
                <w:szCs w:val="18"/>
              </w:rPr>
            </w:pPr>
            <w:r w:rsidRPr="00774240">
              <w:rPr>
                <w:b/>
                <w:sz w:val="18"/>
                <w:szCs w:val="18"/>
              </w:rPr>
              <w:t>Type of analysis</w:t>
            </w:r>
          </w:p>
        </w:tc>
        <w:tc>
          <w:tcPr>
            <w:tcW w:w="756" w:type="dxa"/>
            <w:tcBorders>
              <w:top w:val="single" w:sz="4" w:space="0" w:color="auto"/>
              <w:bottom w:val="single" w:sz="4" w:space="0" w:color="auto"/>
            </w:tcBorders>
            <w:vAlign w:val="center"/>
          </w:tcPr>
          <w:p w14:paraId="6E14BC8E" w14:textId="77777777" w:rsidR="00576FE1" w:rsidRPr="00774240" w:rsidRDefault="00576FE1" w:rsidP="00115CD6">
            <w:pPr>
              <w:jc w:val="center"/>
              <w:rPr>
                <w:b/>
                <w:sz w:val="18"/>
                <w:szCs w:val="18"/>
              </w:rPr>
            </w:pPr>
            <w:r w:rsidRPr="00774240">
              <w:rPr>
                <w:b/>
                <w:sz w:val="18"/>
                <w:szCs w:val="18"/>
              </w:rPr>
              <w:t>Study Group</w:t>
            </w:r>
          </w:p>
        </w:tc>
        <w:tc>
          <w:tcPr>
            <w:tcW w:w="1559" w:type="dxa"/>
            <w:tcBorders>
              <w:top w:val="single" w:sz="4" w:space="0" w:color="auto"/>
              <w:bottom w:val="single" w:sz="4" w:space="0" w:color="auto"/>
            </w:tcBorders>
            <w:vAlign w:val="center"/>
          </w:tcPr>
          <w:p w14:paraId="2C928DB8" w14:textId="77777777" w:rsidR="00576FE1" w:rsidRPr="00774240" w:rsidRDefault="00576FE1" w:rsidP="00115CD6">
            <w:pPr>
              <w:jc w:val="center"/>
              <w:rPr>
                <w:b/>
                <w:sz w:val="18"/>
                <w:szCs w:val="18"/>
              </w:rPr>
            </w:pPr>
            <w:r w:rsidRPr="00774240">
              <w:rPr>
                <w:b/>
                <w:sz w:val="18"/>
                <w:szCs w:val="18"/>
              </w:rPr>
              <w:t>Median (95%CI)</w:t>
            </w:r>
          </w:p>
        </w:tc>
        <w:tc>
          <w:tcPr>
            <w:tcW w:w="1559" w:type="dxa"/>
            <w:tcBorders>
              <w:top w:val="single" w:sz="4" w:space="0" w:color="auto"/>
              <w:bottom w:val="single" w:sz="4" w:space="0" w:color="auto"/>
            </w:tcBorders>
            <w:vAlign w:val="center"/>
          </w:tcPr>
          <w:p w14:paraId="0D53A8AF" w14:textId="77777777" w:rsidR="00576FE1" w:rsidRPr="00774240" w:rsidRDefault="00576FE1" w:rsidP="00115CD6">
            <w:pPr>
              <w:jc w:val="center"/>
              <w:rPr>
                <w:b/>
                <w:sz w:val="18"/>
                <w:szCs w:val="18"/>
              </w:rPr>
            </w:pPr>
            <w:r w:rsidRPr="00774240">
              <w:rPr>
                <w:b/>
                <w:sz w:val="18"/>
                <w:szCs w:val="18"/>
              </w:rPr>
              <w:t>HR (95%CI)</w:t>
            </w:r>
          </w:p>
        </w:tc>
        <w:tc>
          <w:tcPr>
            <w:tcW w:w="859" w:type="dxa"/>
            <w:tcBorders>
              <w:top w:val="single" w:sz="4" w:space="0" w:color="auto"/>
              <w:bottom w:val="single" w:sz="4" w:space="0" w:color="auto"/>
            </w:tcBorders>
            <w:vAlign w:val="center"/>
          </w:tcPr>
          <w:p w14:paraId="5D7AF712" w14:textId="77777777" w:rsidR="00576FE1" w:rsidRPr="00774240" w:rsidRDefault="00576FE1" w:rsidP="00115CD6">
            <w:pPr>
              <w:jc w:val="center"/>
              <w:rPr>
                <w:b/>
                <w:sz w:val="18"/>
                <w:szCs w:val="18"/>
              </w:rPr>
            </w:pPr>
            <w:r w:rsidRPr="00774240">
              <w:rPr>
                <w:b/>
                <w:sz w:val="18"/>
                <w:szCs w:val="18"/>
              </w:rPr>
              <w:t>P-value</w:t>
            </w:r>
          </w:p>
        </w:tc>
      </w:tr>
      <w:tr w:rsidR="00576FE1" w:rsidRPr="00774240" w14:paraId="7CCF6743" w14:textId="77777777" w:rsidTr="00576FE1">
        <w:trPr>
          <w:trHeight w:val="265"/>
        </w:trPr>
        <w:tc>
          <w:tcPr>
            <w:tcW w:w="3639" w:type="dxa"/>
            <w:vMerge w:val="restart"/>
            <w:tcBorders>
              <w:top w:val="single" w:sz="4" w:space="0" w:color="auto"/>
              <w:bottom w:val="single" w:sz="4" w:space="0" w:color="auto"/>
            </w:tcBorders>
            <w:vAlign w:val="center"/>
          </w:tcPr>
          <w:p w14:paraId="3969B821" w14:textId="77777777" w:rsidR="00576FE1" w:rsidRPr="00774240" w:rsidRDefault="00576FE1" w:rsidP="00115CD6">
            <w:pPr>
              <w:rPr>
                <w:sz w:val="18"/>
                <w:szCs w:val="18"/>
              </w:rPr>
            </w:pPr>
            <w:r w:rsidRPr="00774240">
              <w:rPr>
                <w:sz w:val="18"/>
                <w:szCs w:val="18"/>
              </w:rPr>
              <w:t>PFS per investigator’s assessment (IA)</w:t>
            </w:r>
          </w:p>
        </w:tc>
        <w:tc>
          <w:tcPr>
            <w:tcW w:w="756" w:type="dxa"/>
            <w:tcBorders>
              <w:top w:val="single" w:sz="4" w:space="0" w:color="auto"/>
              <w:bottom w:val="dotted" w:sz="4" w:space="0" w:color="auto"/>
            </w:tcBorders>
            <w:vAlign w:val="center"/>
          </w:tcPr>
          <w:p w14:paraId="27C9A255"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7D655045" w14:textId="77777777" w:rsidR="00576FE1" w:rsidRPr="00774240" w:rsidRDefault="00576FE1" w:rsidP="00115CD6">
            <w:pPr>
              <w:jc w:val="center"/>
              <w:rPr>
                <w:sz w:val="18"/>
                <w:szCs w:val="18"/>
              </w:rPr>
            </w:pPr>
            <w:r w:rsidRPr="00774240">
              <w:rPr>
                <w:sz w:val="18"/>
                <w:szCs w:val="18"/>
              </w:rPr>
              <w:t>27.9 (24.2-33.1)</w:t>
            </w:r>
          </w:p>
        </w:tc>
        <w:tc>
          <w:tcPr>
            <w:tcW w:w="1559" w:type="dxa"/>
            <w:vMerge w:val="restart"/>
            <w:tcBorders>
              <w:top w:val="single" w:sz="4" w:space="0" w:color="auto"/>
              <w:bottom w:val="single" w:sz="4" w:space="0" w:color="auto"/>
            </w:tcBorders>
            <w:vAlign w:val="center"/>
          </w:tcPr>
          <w:p w14:paraId="32C56C84" w14:textId="77777777" w:rsidR="00576FE1" w:rsidRPr="00774240" w:rsidRDefault="00576FE1" w:rsidP="00115CD6">
            <w:pPr>
              <w:jc w:val="center"/>
              <w:rPr>
                <w:sz w:val="18"/>
                <w:szCs w:val="18"/>
              </w:rPr>
            </w:pPr>
            <w:r w:rsidRPr="00774240">
              <w:rPr>
                <w:sz w:val="18"/>
                <w:szCs w:val="18"/>
              </w:rPr>
              <w:t>1.10 (0.86-1.41)</w:t>
            </w:r>
          </w:p>
        </w:tc>
        <w:tc>
          <w:tcPr>
            <w:tcW w:w="859" w:type="dxa"/>
            <w:vMerge w:val="restart"/>
            <w:tcBorders>
              <w:top w:val="single" w:sz="4" w:space="0" w:color="auto"/>
              <w:bottom w:val="single" w:sz="4" w:space="0" w:color="auto"/>
            </w:tcBorders>
            <w:vAlign w:val="center"/>
          </w:tcPr>
          <w:p w14:paraId="5AE0CAC2" w14:textId="77777777" w:rsidR="00576FE1" w:rsidRPr="00774240" w:rsidRDefault="00576FE1" w:rsidP="00115CD6">
            <w:pPr>
              <w:jc w:val="center"/>
              <w:rPr>
                <w:sz w:val="18"/>
                <w:szCs w:val="18"/>
              </w:rPr>
            </w:pPr>
            <w:r w:rsidRPr="00774240">
              <w:rPr>
                <w:sz w:val="18"/>
                <w:szCs w:val="18"/>
              </w:rPr>
              <w:t>0.4372</w:t>
            </w:r>
          </w:p>
        </w:tc>
      </w:tr>
      <w:tr w:rsidR="00576FE1" w:rsidRPr="00774240" w14:paraId="286748F6" w14:textId="77777777" w:rsidTr="00576FE1">
        <w:trPr>
          <w:trHeight w:val="265"/>
        </w:trPr>
        <w:tc>
          <w:tcPr>
            <w:tcW w:w="3639" w:type="dxa"/>
            <w:vMerge/>
            <w:tcBorders>
              <w:top w:val="single" w:sz="4" w:space="0" w:color="auto"/>
              <w:bottom w:val="single" w:sz="4" w:space="0" w:color="auto"/>
            </w:tcBorders>
            <w:vAlign w:val="center"/>
          </w:tcPr>
          <w:p w14:paraId="3BB98008"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56719523"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5E733E93" w14:textId="77777777" w:rsidR="00576FE1" w:rsidRPr="00774240" w:rsidRDefault="00576FE1" w:rsidP="00115CD6">
            <w:pPr>
              <w:jc w:val="center"/>
              <w:rPr>
                <w:sz w:val="18"/>
                <w:szCs w:val="18"/>
              </w:rPr>
            </w:pPr>
            <w:r w:rsidRPr="00774240">
              <w:rPr>
                <w:sz w:val="18"/>
                <w:szCs w:val="18"/>
              </w:rPr>
              <w:t>32.8 (25.8-35.9)</w:t>
            </w:r>
          </w:p>
        </w:tc>
        <w:tc>
          <w:tcPr>
            <w:tcW w:w="1559" w:type="dxa"/>
            <w:vMerge/>
            <w:tcBorders>
              <w:top w:val="single" w:sz="4" w:space="0" w:color="auto"/>
              <w:bottom w:val="single" w:sz="4" w:space="0" w:color="auto"/>
            </w:tcBorders>
            <w:vAlign w:val="center"/>
          </w:tcPr>
          <w:p w14:paraId="06346599"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232A4A0B" w14:textId="77777777" w:rsidR="00576FE1" w:rsidRPr="00774240" w:rsidRDefault="00576FE1" w:rsidP="00115CD6">
            <w:pPr>
              <w:jc w:val="center"/>
              <w:rPr>
                <w:sz w:val="18"/>
                <w:szCs w:val="18"/>
              </w:rPr>
            </w:pPr>
          </w:p>
        </w:tc>
      </w:tr>
      <w:tr w:rsidR="00576FE1" w:rsidRPr="00774240" w14:paraId="5AAE42DD" w14:textId="77777777" w:rsidTr="00576FE1">
        <w:trPr>
          <w:trHeight w:val="265"/>
        </w:trPr>
        <w:tc>
          <w:tcPr>
            <w:tcW w:w="3639" w:type="dxa"/>
            <w:vMerge w:val="restart"/>
            <w:tcBorders>
              <w:top w:val="single" w:sz="4" w:space="0" w:color="auto"/>
              <w:bottom w:val="single" w:sz="4" w:space="0" w:color="auto"/>
            </w:tcBorders>
            <w:vAlign w:val="center"/>
          </w:tcPr>
          <w:p w14:paraId="1D66CB5A" w14:textId="77777777" w:rsidR="00576FE1" w:rsidRPr="00774240" w:rsidRDefault="00576FE1" w:rsidP="00115CD6">
            <w:pPr>
              <w:rPr>
                <w:sz w:val="18"/>
                <w:szCs w:val="18"/>
              </w:rPr>
            </w:pPr>
            <w:r w:rsidRPr="00774240">
              <w:rPr>
                <w:sz w:val="18"/>
                <w:szCs w:val="18"/>
              </w:rPr>
              <w:t>PFS-IA non-visceral disease</w:t>
            </w:r>
          </w:p>
        </w:tc>
        <w:tc>
          <w:tcPr>
            <w:tcW w:w="756" w:type="dxa"/>
            <w:tcBorders>
              <w:top w:val="single" w:sz="4" w:space="0" w:color="auto"/>
              <w:bottom w:val="dotted" w:sz="4" w:space="0" w:color="auto"/>
            </w:tcBorders>
            <w:vAlign w:val="center"/>
          </w:tcPr>
          <w:p w14:paraId="0B940833"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490B5176" w14:textId="77777777" w:rsidR="00576FE1" w:rsidRPr="00774240" w:rsidRDefault="00576FE1" w:rsidP="00115CD6">
            <w:pPr>
              <w:jc w:val="center"/>
              <w:rPr>
                <w:sz w:val="18"/>
                <w:szCs w:val="18"/>
              </w:rPr>
            </w:pPr>
            <w:r w:rsidRPr="00774240">
              <w:rPr>
                <w:sz w:val="18"/>
                <w:szCs w:val="18"/>
              </w:rPr>
              <w:t>36.6 (30.7-NE)</w:t>
            </w:r>
          </w:p>
        </w:tc>
        <w:tc>
          <w:tcPr>
            <w:tcW w:w="1559" w:type="dxa"/>
            <w:vMerge w:val="restart"/>
            <w:tcBorders>
              <w:top w:val="single" w:sz="4" w:space="0" w:color="auto"/>
              <w:bottom w:val="nil"/>
            </w:tcBorders>
            <w:vAlign w:val="center"/>
          </w:tcPr>
          <w:p w14:paraId="5240F9E7" w14:textId="77777777" w:rsidR="00576FE1" w:rsidRPr="00774240" w:rsidRDefault="00576FE1" w:rsidP="00115CD6">
            <w:pPr>
              <w:jc w:val="center"/>
              <w:rPr>
                <w:sz w:val="18"/>
                <w:szCs w:val="18"/>
              </w:rPr>
            </w:pPr>
            <w:r w:rsidRPr="00774240">
              <w:rPr>
                <w:sz w:val="18"/>
                <w:szCs w:val="18"/>
              </w:rPr>
              <w:t>0.97 (0.67-1.40)</w:t>
            </w:r>
          </w:p>
        </w:tc>
        <w:tc>
          <w:tcPr>
            <w:tcW w:w="859" w:type="dxa"/>
            <w:vMerge w:val="restart"/>
            <w:tcBorders>
              <w:top w:val="single" w:sz="4" w:space="0" w:color="auto"/>
              <w:bottom w:val="single" w:sz="4" w:space="0" w:color="auto"/>
            </w:tcBorders>
            <w:vAlign w:val="center"/>
          </w:tcPr>
          <w:p w14:paraId="21BFEB30" w14:textId="77777777" w:rsidR="00576FE1" w:rsidRPr="00774240" w:rsidRDefault="00576FE1" w:rsidP="00115CD6">
            <w:pPr>
              <w:jc w:val="center"/>
              <w:rPr>
                <w:sz w:val="18"/>
                <w:szCs w:val="18"/>
              </w:rPr>
            </w:pPr>
            <w:r w:rsidRPr="00774240">
              <w:rPr>
                <w:sz w:val="18"/>
                <w:szCs w:val="18"/>
              </w:rPr>
              <w:t>0.8697</w:t>
            </w:r>
          </w:p>
        </w:tc>
      </w:tr>
      <w:tr w:rsidR="00576FE1" w:rsidRPr="00774240" w14:paraId="237547F0" w14:textId="77777777" w:rsidTr="00576FE1">
        <w:trPr>
          <w:trHeight w:val="265"/>
        </w:trPr>
        <w:tc>
          <w:tcPr>
            <w:tcW w:w="3639" w:type="dxa"/>
            <w:vMerge/>
            <w:tcBorders>
              <w:top w:val="single" w:sz="4" w:space="0" w:color="auto"/>
              <w:bottom w:val="single" w:sz="4" w:space="0" w:color="auto"/>
            </w:tcBorders>
            <w:vAlign w:val="center"/>
          </w:tcPr>
          <w:p w14:paraId="6A47FB7D"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6687D721"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0454FC56" w14:textId="77777777" w:rsidR="00576FE1" w:rsidRPr="00774240" w:rsidRDefault="00576FE1" w:rsidP="00115CD6">
            <w:pPr>
              <w:jc w:val="center"/>
              <w:rPr>
                <w:sz w:val="18"/>
                <w:szCs w:val="18"/>
              </w:rPr>
            </w:pPr>
            <w:r w:rsidRPr="00774240">
              <w:rPr>
                <w:sz w:val="18"/>
                <w:szCs w:val="18"/>
              </w:rPr>
              <w:t>35.9 (28.0-NE)</w:t>
            </w:r>
          </w:p>
        </w:tc>
        <w:tc>
          <w:tcPr>
            <w:tcW w:w="1559" w:type="dxa"/>
            <w:vMerge/>
            <w:tcBorders>
              <w:top w:val="nil"/>
              <w:bottom w:val="single" w:sz="4" w:space="0" w:color="auto"/>
            </w:tcBorders>
            <w:vAlign w:val="center"/>
          </w:tcPr>
          <w:p w14:paraId="4B611F92"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680503F2" w14:textId="77777777" w:rsidR="00576FE1" w:rsidRPr="00774240" w:rsidRDefault="00576FE1" w:rsidP="00115CD6">
            <w:pPr>
              <w:jc w:val="center"/>
              <w:rPr>
                <w:sz w:val="18"/>
                <w:szCs w:val="18"/>
              </w:rPr>
            </w:pPr>
          </w:p>
        </w:tc>
      </w:tr>
      <w:tr w:rsidR="00576FE1" w:rsidRPr="00774240" w14:paraId="262A0695" w14:textId="77777777" w:rsidTr="00576FE1">
        <w:trPr>
          <w:trHeight w:val="265"/>
        </w:trPr>
        <w:tc>
          <w:tcPr>
            <w:tcW w:w="3639" w:type="dxa"/>
            <w:vMerge w:val="restart"/>
            <w:tcBorders>
              <w:top w:val="single" w:sz="4" w:space="0" w:color="auto"/>
              <w:bottom w:val="single" w:sz="4" w:space="0" w:color="auto"/>
            </w:tcBorders>
            <w:vAlign w:val="center"/>
          </w:tcPr>
          <w:p w14:paraId="655580AD" w14:textId="77777777" w:rsidR="00576FE1" w:rsidRPr="00774240" w:rsidRDefault="00576FE1" w:rsidP="00115CD6">
            <w:pPr>
              <w:rPr>
                <w:sz w:val="18"/>
                <w:szCs w:val="18"/>
              </w:rPr>
            </w:pPr>
            <w:r w:rsidRPr="00774240">
              <w:rPr>
                <w:sz w:val="18"/>
                <w:szCs w:val="18"/>
              </w:rPr>
              <w:t>PFS-IA visceral disease</w:t>
            </w:r>
          </w:p>
        </w:tc>
        <w:tc>
          <w:tcPr>
            <w:tcW w:w="756" w:type="dxa"/>
            <w:tcBorders>
              <w:top w:val="single" w:sz="4" w:space="0" w:color="auto"/>
              <w:bottom w:val="dotted" w:sz="4" w:space="0" w:color="auto"/>
            </w:tcBorders>
            <w:vAlign w:val="center"/>
          </w:tcPr>
          <w:p w14:paraId="1C36596C"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6C113F47" w14:textId="77777777" w:rsidR="00576FE1" w:rsidRPr="00774240" w:rsidRDefault="00576FE1" w:rsidP="00115CD6">
            <w:pPr>
              <w:jc w:val="center"/>
              <w:rPr>
                <w:sz w:val="18"/>
                <w:szCs w:val="18"/>
              </w:rPr>
            </w:pPr>
            <w:r w:rsidRPr="00774240">
              <w:rPr>
                <w:sz w:val="18"/>
                <w:szCs w:val="18"/>
              </w:rPr>
              <w:t>17.9 (16.0-22.4)</w:t>
            </w:r>
          </w:p>
        </w:tc>
        <w:tc>
          <w:tcPr>
            <w:tcW w:w="1559" w:type="dxa"/>
            <w:vMerge w:val="restart"/>
            <w:tcBorders>
              <w:top w:val="single" w:sz="4" w:space="0" w:color="auto"/>
              <w:bottom w:val="single" w:sz="4" w:space="0" w:color="auto"/>
            </w:tcBorders>
            <w:vAlign w:val="center"/>
          </w:tcPr>
          <w:p w14:paraId="6CB565BA" w14:textId="77777777" w:rsidR="00576FE1" w:rsidRPr="00774240" w:rsidRDefault="00576FE1" w:rsidP="00115CD6">
            <w:pPr>
              <w:jc w:val="center"/>
              <w:rPr>
                <w:sz w:val="18"/>
                <w:szCs w:val="18"/>
              </w:rPr>
            </w:pPr>
            <w:r w:rsidRPr="00774240">
              <w:rPr>
                <w:sz w:val="18"/>
                <w:szCs w:val="18"/>
              </w:rPr>
              <w:t>1.27 (0.91-1.77)</w:t>
            </w:r>
          </w:p>
        </w:tc>
        <w:tc>
          <w:tcPr>
            <w:tcW w:w="859" w:type="dxa"/>
            <w:vMerge w:val="restart"/>
            <w:tcBorders>
              <w:top w:val="single" w:sz="4" w:space="0" w:color="auto"/>
              <w:bottom w:val="single" w:sz="4" w:space="0" w:color="auto"/>
            </w:tcBorders>
            <w:vAlign w:val="center"/>
          </w:tcPr>
          <w:p w14:paraId="060C6FCF" w14:textId="77777777" w:rsidR="00576FE1" w:rsidRPr="00774240" w:rsidRDefault="00576FE1" w:rsidP="00115CD6">
            <w:pPr>
              <w:jc w:val="center"/>
              <w:rPr>
                <w:sz w:val="18"/>
                <w:szCs w:val="18"/>
              </w:rPr>
            </w:pPr>
            <w:r w:rsidRPr="00774240">
              <w:rPr>
                <w:sz w:val="18"/>
                <w:szCs w:val="18"/>
              </w:rPr>
              <w:t>0.1542</w:t>
            </w:r>
          </w:p>
        </w:tc>
      </w:tr>
      <w:tr w:rsidR="00576FE1" w:rsidRPr="00774240" w14:paraId="4AC8B1C9" w14:textId="77777777" w:rsidTr="00576FE1">
        <w:trPr>
          <w:trHeight w:val="265"/>
        </w:trPr>
        <w:tc>
          <w:tcPr>
            <w:tcW w:w="3639" w:type="dxa"/>
            <w:vMerge/>
            <w:tcBorders>
              <w:top w:val="single" w:sz="4" w:space="0" w:color="auto"/>
              <w:bottom w:val="single" w:sz="4" w:space="0" w:color="auto"/>
            </w:tcBorders>
            <w:vAlign w:val="center"/>
          </w:tcPr>
          <w:p w14:paraId="354B4651"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23D55025"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49705031" w14:textId="77777777" w:rsidR="00576FE1" w:rsidRPr="00774240" w:rsidRDefault="00576FE1" w:rsidP="00115CD6">
            <w:pPr>
              <w:jc w:val="center"/>
              <w:rPr>
                <w:sz w:val="18"/>
                <w:szCs w:val="18"/>
              </w:rPr>
            </w:pPr>
            <w:r w:rsidRPr="00774240">
              <w:rPr>
                <w:sz w:val="18"/>
                <w:szCs w:val="18"/>
              </w:rPr>
              <w:t>25.6 (19.4-33.0)</w:t>
            </w:r>
          </w:p>
        </w:tc>
        <w:tc>
          <w:tcPr>
            <w:tcW w:w="1559" w:type="dxa"/>
            <w:vMerge/>
            <w:tcBorders>
              <w:top w:val="single" w:sz="4" w:space="0" w:color="auto"/>
              <w:bottom w:val="single" w:sz="4" w:space="0" w:color="auto"/>
            </w:tcBorders>
            <w:vAlign w:val="center"/>
          </w:tcPr>
          <w:p w14:paraId="74C13CD7"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34480A87" w14:textId="77777777" w:rsidR="00576FE1" w:rsidRPr="00774240" w:rsidRDefault="00576FE1" w:rsidP="00115CD6">
            <w:pPr>
              <w:jc w:val="center"/>
              <w:rPr>
                <w:sz w:val="18"/>
                <w:szCs w:val="18"/>
              </w:rPr>
            </w:pPr>
          </w:p>
        </w:tc>
      </w:tr>
      <w:tr w:rsidR="00576FE1" w:rsidRPr="00774240" w14:paraId="77EB79CF" w14:textId="77777777" w:rsidTr="00576FE1">
        <w:trPr>
          <w:trHeight w:val="265"/>
        </w:trPr>
        <w:tc>
          <w:tcPr>
            <w:tcW w:w="3639" w:type="dxa"/>
            <w:vMerge w:val="restart"/>
            <w:tcBorders>
              <w:top w:val="single" w:sz="4" w:space="0" w:color="auto"/>
              <w:bottom w:val="single" w:sz="4" w:space="0" w:color="auto"/>
            </w:tcBorders>
            <w:vAlign w:val="center"/>
          </w:tcPr>
          <w:p w14:paraId="10595692" w14:textId="77777777" w:rsidR="00576FE1" w:rsidRPr="005D3195" w:rsidRDefault="00576FE1" w:rsidP="00115CD6">
            <w:pPr>
              <w:rPr>
                <w:sz w:val="18"/>
                <w:szCs w:val="18"/>
                <w:lang w:val="es-ES"/>
              </w:rPr>
            </w:pPr>
            <w:r w:rsidRPr="005D3195">
              <w:rPr>
                <w:sz w:val="18"/>
                <w:szCs w:val="18"/>
                <w:lang w:val="es-ES"/>
              </w:rPr>
              <w:t xml:space="preserve">PFS-IA non-de </w:t>
            </w:r>
            <w:proofErr w:type="spellStart"/>
            <w:r w:rsidRPr="005D3195">
              <w:rPr>
                <w:sz w:val="18"/>
                <w:szCs w:val="18"/>
                <w:lang w:val="es-ES"/>
              </w:rPr>
              <w:t>novo</w:t>
            </w:r>
            <w:proofErr w:type="spellEnd"/>
            <w:r w:rsidRPr="005D3195">
              <w:rPr>
                <w:sz w:val="18"/>
                <w:szCs w:val="18"/>
                <w:lang w:val="es-ES"/>
              </w:rPr>
              <w:t xml:space="preserve"> </w:t>
            </w:r>
            <w:proofErr w:type="spellStart"/>
            <w:r w:rsidRPr="005D3195">
              <w:rPr>
                <w:sz w:val="18"/>
                <w:szCs w:val="18"/>
                <w:lang w:val="es-ES"/>
              </w:rPr>
              <w:t>metastasis</w:t>
            </w:r>
            <w:proofErr w:type="spellEnd"/>
          </w:p>
        </w:tc>
        <w:tc>
          <w:tcPr>
            <w:tcW w:w="756" w:type="dxa"/>
            <w:tcBorders>
              <w:top w:val="single" w:sz="4" w:space="0" w:color="auto"/>
              <w:bottom w:val="dotted" w:sz="4" w:space="0" w:color="auto"/>
            </w:tcBorders>
            <w:vAlign w:val="center"/>
          </w:tcPr>
          <w:p w14:paraId="4E5ADDC1"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0EFA103B" w14:textId="77777777" w:rsidR="00576FE1" w:rsidRPr="00774240" w:rsidRDefault="00576FE1" w:rsidP="00115CD6">
            <w:pPr>
              <w:jc w:val="center"/>
              <w:rPr>
                <w:sz w:val="18"/>
                <w:szCs w:val="18"/>
              </w:rPr>
            </w:pPr>
            <w:r w:rsidRPr="00774240">
              <w:rPr>
                <w:sz w:val="18"/>
                <w:szCs w:val="18"/>
              </w:rPr>
              <w:t>27.7 (23.9-33.1)</w:t>
            </w:r>
          </w:p>
        </w:tc>
        <w:tc>
          <w:tcPr>
            <w:tcW w:w="1559" w:type="dxa"/>
            <w:vMerge w:val="restart"/>
            <w:tcBorders>
              <w:top w:val="single" w:sz="4" w:space="0" w:color="auto"/>
              <w:bottom w:val="single" w:sz="4" w:space="0" w:color="auto"/>
            </w:tcBorders>
            <w:vAlign w:val="center"/>
          </w:tcPr>
          <w:p w14:paraId="2A4D561E" w14:textId="77777777" w:rsidR="00576FE1" w:rsidRPr="00774240" w:rsidRDefault="00576FE1" w:rsidP="00115CD6">
            <w:pPr>
              <w:jc w:val="center"/>
              <w:rPr>
                <w:sz w:val="18"/>
                <w:szCs w:val="18"/>
              </w:rPr>
            </w:pPr>
            <w:r w:rsidRPr="00774240">
              <w:rPr>
                <w:sz w:val="18"/>
                <w:szCs w:val="18"/>
              </w:rPr>
              <w:t>1.09 (0.80-1.51)</w:t>
            </w:r>
          </w:p>
        </w:tc>
        <w:tc>
          <w:tcPr>
            <w:tcW w:w="859" w:type="dxa"/>
            <w:vMerge w:val="restart"/>
            <w:tcBorders>
              <w:top w:val="single" w:sz="4" w:space="0" w:color="auto"/>
              <w:bottom w:val="single" w:sz="4" w:space="0" w:color="auto"/>
            </w:tcBorders>
            <w:vAlign w:val="center"/>
          </w:tcPr>
          <w:p w14:paraId="73ED7697" w14:textId="77777777" w:rsidR="00576FE1" w:rsidRPr="00774240" w:rsidRDefault="00576FE1" w:rsidP="00115CD6">
            <w:pPr>
              <w:jc w:val="center"/>
              <w:rPr>
                <w:sz w:val="18"/>
                <w:szCs w:val="18"/>
              </w:rPr>
            </w:pPr>
            <w:r w:rsidRPr="00774240">
              <w:rPr>
                <w:sz w:val="18"/>
                <w:szCs w:val="18"/>
              </w:rPr>
              <w:t>0.5803</w:t>
            </w:r>
          </w:p>
        </w:tc>
      </w:tr>
      <w:tr w:rsidR="00576FE1" w:rsidRPr="00774240" w14:paraId="5734302C" w14:textId="77777777" w:rsidTr="00576FE1">
        <w:trPr>
          <w:trHeight w:val="265"/>
        </w:trPr>
        <w:tc>
          <w:tcPr>
            <w:tcW w:w="3639" w:type="dxa"/>
            <w:vMerge/>
            <w:tcBorders>
              <w:top w:val="single" w:sz="4" w:space="0" w:color="auto"/>
              <w:bottom w:val="single" w:sz="4" w:space="0" w:color="auto"/>
            </w:tcBorders>
            <w:vAlign w:val="center"/>
          </w:tcPr>
          <w:p w14:paraId="1FACFD40"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4A7C4E40"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1DD2CA77" w14:textId="77777777" w:rsidR="00576FE1" w:rsidRPr="00774240" w:rsidRDefault="00576FE1" w:rsidP="00115CD6">
            <w:pPr>
              <w:jc w:val="center"/>
              <w:rPr>
                <w:sz w:val="18"/>
                <w:szCs w:val="18"/>
              </w:rPr>
            </w:pPr>
            <w:r w:rsidRPr="00774240">
              <w:rPr>
                <w:sz w:val="18"/>
                <w:szCs w:val="18"/>
              </w:rPr>
              <w:t>32.9 (22.6-NE)</w:t>
            </w:r>
          </w:p>
        </w:tc>
        <w:tc>
          <w:tcPr>
            <w:tcW w:w="1559" w:type="dxa"/>
            <w:vMerge/>
            <w:tcBorders>
              <w:top w:val="single" w:sz="4" w:space="0" w:color="auto"/>
              <w:bottom w:val="single" w:sz="4" w:space="0" w:color="auto"/>
            </w:tcBorders>
            <w:vAlign w:val="center"/>
          </w:tcPr>
          <w:p w14:paraId="3AADE935"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3CD87603" w14:textId="77777777" w:rsidR="00576FE1" w:rsidRPr="00774240" w:rsidRDefault="00576FE1" w:rsidP="00115CD6">
            <w:pPr>
              <w:jc w:val="center"/>
              <w:rPr>
                <w:sz w:val="18"/>
                <w:szCs w:val="18"/>
              </w:rPr>
            </w:pPr>
          </w:p>
        </w:tc>
      </w:tr>
      <w:tr w:rsidR="00576FE1" w:rsidRPr="00774240" w14:paraId="301F244D" w14:textId="77777777" w:rsidTr="00576FE1">
        <w:trPr>
          <w:trHeight w:val="265"/>
        </w:trPr>
        <w:tc>
          <w:tcPr>
            <w:tcW w:w="3639" w:type="dxa"/>
            <w:vMerge w:val="restart"/>
            <w:tcBorders>
              <w:top w:val="single" w:sz="4" w:space="0" w:color="auto"/>
              <w:bottom w:val="single" w:sz="4" w:space="0" w:color="auto"/>
            </w:tcBorders>
            <w:vAlign w:val="center"/>
          </w:tcPr>
          <w:p w14:paraId="0828F515" w14:textId="77777777" w:rsidR="00576FE1" w:rsidRPr="005D3195" w:rsidRDefault="00576FE1" w:rsidP="00115CD6">
            <w:pPr>
              <w:rPr>
                <w:sz w:val="18"/>
                <w:szCs w:val="18"/>
                <w:lang w:val="es-ES"/>
              </w:rPr>
            </w:pPr>
            <w:r w:rsidRPr="005D3195">
              <w:rPr>
                <w:sz w:val="18"/>
                <w:szCs w:val="18"/>
                <w:lang w:val="es-ES"/>
              </w:rPr>
              <w:t xml:space="preserve">PFS-IA de </w:t>
            </w:r>
            <w:proofErr w:type="spellStart"/>
            <w:r w:rsidRPr="005D3195">
              <w:rPr>
                <w:sz w:val="18"/>
                <w:szCs w:val="18"/>
                <w:lang w:val="es-ES"/>
              </w:rPr>
              <w:t>novo</w:t>
            </w:r>
            <w:proofErr w:type="spellEnd"/>
            <w:r w:rsidRPr="005D3195">
              <w:rPr>
                <w:sz w:val="18"/>
                <w:szCs w:val="18"/>
                <w:lang w:val="es-ES"/>
              </w:rPr>
              <w:t xml:space="preserve"> </w:t>
            </w:r>
            <w:proofErr w:type="spellStart"/>
            <w:r w:rsidRPr="005D3195">
              <w:rPr>
                <w:sz w:val="18"/>
                <w:szCs w:val="18"/>
                <w:lang w:val="es-ES"/>
              </w:rPr>
              <w:t>metastasis</w:t>
            </w:r>
            <w:proofErr w:type="spellEnd"/>
          </w:p>
        </w:tc>
        <w:tc>
          <w:tcPr>
            <w:tcW w:w="756" w:type="dxa"/>
            <w:tcBorders>
              <w:top w:val="single" w:sz="4" w:space="0" w:color="auto"/>
              <w:bottom w:val="dotted" w:sz="4" w:space="0" w:color="auto"/>
            </w:tcBorders>
            <w:vAlign w:val="center"/>
          </w:tcPr>
          <w:p w14:paraId="264EEC17"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3CC3F071" w14:textId="77777777" w:rsidR="00576FE1" w:rsidRPr="00774240" w:rsidRDefault="00576FE1" w:rsidP="00115CD6">
            <w:pPr>
              <w:jc w:val="center"/>
              <w:rPr>
                <w:sz w:val="18"/>
                <w:szCs w:val="18"/>
              </w:rPr>
            </w:pPr>
            <w:r w:rsidRPr="00774240">
              <w:rPr>
                <w:sz w:val="18"/>
                <w:szCs w:val="18"/>
              </w:rPr>
              <w:t>28.9 (19.3-44.1)</w:t>
            </w:r>
          </w:p>
        </w:tc>
        <w:tc>
          <w:tcPr>
            <w:tcW w:w="1559" w:type="dxa"/>
            <w:vMerge w:val="restart"/>
            <w:tcBorders>
              <w:top w:val="single" w:sz="4" w:space="0" w:color="auto"/>
              <w:bottom w:val="single" w:sz="4" w:space="0" w:color="auto"/>
            </w:tcBorders>
            <w:vAlign w:val="center"/>
          </w:tcPr>
          <w:p w14:paraId="43EC00D5" w14:textId="77777777" w:rsidR="00576FE1" w:rsidRPr="00774240" w:rsidRDefault="00576FE1" w:rsidP="00115CD6">
            <w:pPr>
              <w:jc w:val="center"/>
              <w:rPr>
                <w:sz w:val="18"/>
                <w:szCs w:val="18"/>
              </w:rPr>
            </w:pPr>
            <w:r w:rsidRPr="00774240">
              <w:rPr>
                <w:sz w:val="18"/>
                <w:szCs w:val="18"/>
              </w:rPr>
              <w:t>1.12 (0.76-1.64)</w:t>
            </w:r>
          </w:p>
        </w:tc>
        <w:tc>
          <w:tcPr>
            <w:tcW w:w="859" w:type="dxa"/>
            <w:vMerge w:val="restart"/>
            <w:tcBorders>
              <w:top w:val="single" w:sz="4" w:space="0" w:color="auto"/>
              <w:bottom w:val="single" w:sz="4" w:space="0" w:color="auto"/>
            </w:tcBorders>
            <w:vAlign w:val="center"/>
          </w:tcPr>
          <w:p w14:paraId="4FE8C6CA" w14:textId="77777777" w:rsidR="00576FE1" w:rsidRPr="00774240" w:rsidRDefault="00576FE1" w:rsidP="00115CD6">
            <w:pPr>
              <w:jc w:val="center"/>
              <w:rPr>
                <w:sz w:val="18"/>
                <w:szCs w:val="18"/>
              </w:rPr>
            </w:pPr>
            <w:r w:rsidRPr="00774240">
              <w:rPr>
                <w:sz w:val="18"/>
                <w:szCs w:val="18"/>
              </w:rPr>
              <w:t>0.5756</w:t>
            </w:r>
          </w:p>
        </w:tc>
      </w:tr>
      <w:tr w:rsidR="00576FE1" w:rsidRPr="00774240" w14:paraId="792DD288" w14:textId="77777777" w:rsidTr="00576FE1">
        <w:trPr>
          <w:trHeight w:val="265"/>
        </w:trPr>
        <w:tc>
          <w:tcPr>
            <w:tcW w:w="3639" w:type="dxa"/>
            <w:vMerge/>
            <w:tcBorders>
              <w:top w:val="single" w:sz="4" w:space="0" w:color="auto"/>
              <w:bottom w:val="single" w:sz="4" w:space="0" w:color="auto"/>
            </w:tcBorders>
            <w:vAlign w:val="center"/>
          </w:tcPr>
          <w:p w14:paraId="35C06D8C"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323769F4"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12E8842B" w14:textId="77777777" w:rsidR="00576FE1" w:rsidRPr="00774240" w:rsidRDefault="00576FE1" w:rsidP="00115CD6">
            <w:pPr>
              <w:jc w:val="center"/>
              <w:rPr>
                <w:sz w:val="18"/>
                <w:szCs w:val="18"/>
              </w:rPr>
            </w:pPr>
            <w:r w:rsidRPr="00774240">
              <w:rPr>
                <w:sz w:val="18"/>
                <w:szCs w:val="18"/>
              </w:rPr>
              <w:t>31.6 (24.7-39.0)</w:t>
            </w:r>
          </w:p>
        </w:tc>
        <w:tc>
          <w:tcPr>
            <w:tcW w:w="1559" w:type="dxa"/>
            <w:vMerge/>
            <w:tcBorders>
              <w:top w:val="single" w:sz="4" w:space="0" w:color="auto"/>
              <w:bottom w:val="single" w:sz="4" w:space="0" w:color="auto"/>
            </w:tcBorders>
            <w:vAlign w:val="center"/>
          </w:tcPr>
          <w:p w14:paraId="7D2326E1"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48978DF5" w14:textId="77777777" w:rsidR="00576FE1" w:rsidRPr="00774240" w:rsidRDefault="00576FE1" w:rsidP="00115CD6">
            <w:pPr>
              <w:jc w:val="center"/>
              <w:rPr>
                <w:sz w:val="18"/>
                <w:szCs w:val="18"/>
              </w:rPr>
            </w:pPr>
          </w:p>
        </w:tc>
      </w:tr>
      <w:tr w:rsidR="00576FE1" w:rsidRPr="00774240" w14:paraId="087E0EF1" w14:textId="77777777" w:rsidTr="00576FE1">
        <w:trPr>
          <w:trHeight w:val="265"/>
        </w:trPr>
        <w:tc>
          <w:tcPr>
            <w:tcW w:w="3639" w:type="dxa"/>
            <w:vMerge w:val="restart"/>
            <w:tcBorders>
              <w:top w:val="single" w:sz="4" w:space="0" w:color="auto"/>
              <w:bottom w:val="single" w:sz="4" w:space="0" w:color="auto"/>
            </w:tcBorders>
            <w:vAlign w:val="center"/>
          </w:tcPr>
          <w:p w14:paraId="6DF2A623" w14:textId="77777777" w:rsidR="00576FE1" w:rsidRPr="00774240" w:rsidRDefault="00576FE1" w:rsidP="00115CD6">
            <w:pPr>
              <w:rPr>
                <w:sz w:val="18"/>
                <w:szCs w:val="18"/>
              </w:rPr>
            </w:pPr>
            <w:r w:rsidRPr="00774240">
              <w:rPr>
                <w:sz w:val="18"/>
                <w:szCs w:val="18"/>
              </w:rPr>
              <w:t xml:space="preserve">PFS-IA non-visceral disease / non-de novo </w:t>
            </w:r>
            <w:proofErr w:type="spellStart"/>
            <w:r w:rsidRPr="00774240">
              <w:rPr>
                <w:sz w:val="18"/>
                <w:szCs w:val="18"/>
              </w:rPr>
              <w:t>diasease</w:t>
            </w:r>
            <w:proofErr w:type="spellEnd"/>
          </w:p>
        </w:tc>
        <w:tc>
          <w:tcPr>
            <w:tcW w:w="756" w:type="dxa"/>
            <w:tcBorders>
              <w:top w:val="single" w:sz="4" w:space="0" w:color="auto"/>
              <w:bottom w:val="dotted" w:sz="4" w:space="0" w:color="auto"/>
            </w:tcBorders>
            <w:vAlign w:val="center"/>
          </w:tcPr>
          <w:p w14:paraId="10DC7AF0"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75650427" w14:textId="77777777" w:rsidR="00576FE1" w:rsidRPr="00774240" w:rsidRDefault="00576FE1" w:rsidP="00115CD6">
            <w:pPr>
              <w:jc w:val="center"/>
              <w:rPr>
                <w:sz w:val="18"/>
                <w:szCs w:val="18"/>
              </w:rPr>
            </w:pPr>
            <w:r w:rsidRPr="00774240">
              <w:rPr>
                <w:sz w:val="18"/>
                <w:szCs w:val="18"/>
              </w:rPr>
              <w:t>36.6 (27.7-NE)</w:t>
            </w:r>
          </w:p>
        </w:tc>
        <w:tc>
          <w:tcPr>
            <w:tcW w:w="1559" w:type="dxa"/>
            <w:vMerge w:val="restart"/>
            <w:tcBorders>
              <w:top w:val="single" w:sz="4" w:space="0" w:color="auto"/>
              <w:bottom w:val="single" w:sz="4" w:space="0" w:color="auto"/>
            </w:tcBorders>
            <w:vAlign w:val="center"/>
          </w:tcPr>
          <w:p w14:paraId="3F5D4A7F" w14:textId="77777777" w:rsidR="00576FE1" w:rsidRPr="00774240" w:rsidRDefault="00576FE1" w:rsidP="00115CD6">
            <w:pPr>
              <w:jc w:val="center"/>
              <w:rPr>
                <w:sz w:val="18"/>
                <w:szCs w:val="18"/>
              </w:rPr>
            </w:pPr>
            <w:r w:rsidRPr="00774240">
              <w:rPr>
                <w:sz w:val="18"/>
                <w:szCs w:val="18"/>
              </w:rPr>
              <w:t>0.83 (0.51-1.34)</w:t>
            </w:r>
          </w:p>
        </w:tc>
        <w:tc>
          <w:tcPr>
            <w:tcW w:w="859" w:type="dxa"/>
            <w:vMerge w:val="restart"/>
            <w:tcBorders>
              <w:top w:val="single" w:sz="4" w:space="0" w:color="auto"/>
              <w:bottom w:val="single" w:sz="4" w:space="0" w:color="auto"/>
            </w:tcBorders>
            <w:vAlign w:val="center"/>
          </w:tcPr>
          <w:p w14:paraId="78FFCD90" w14:textId="77777777" w:rsidR="00576FE1" w:rsidRPr="00774240" w:rsidRDefault="00576FE1" w:rsidP="00115CD6">
            <w:pPr>
              <w:jc w:val="center"/>
              <w:rPr>
                <w:sz w:val="18"/>
                <w:szCs w:val="18"/>
              </w:rPr>
            </w:pPr>
            <w:r w:rsidRPr="00774240">
              <w:rPr>
                <w:sz w:val="18"/>
                <w:szCs w:val="18"/>
              </w:rPr>
              <w:t>0.4439</w:t>
            </w:r>
          </w:p>
        </w:tc>
      </w:tr>
      <w:tr w:rsidR="00576FE1" w:rsidRPr="00774240" w14:paraId="540862E2" w14:textId="77777777" w:rsidTr="00576FE1">
        <w:trPr>
          <w:trHeight w:val="265"/>
        </w:trPr>
        <w:tc>
          <w:tcPr>
            <w:tcW w:w="3639" w:type="dxa"/>
            <w:vMerge/>
            <w:tcBorders>
              <w:top w:val="single" w:sz="4" w:space="0" w:color="auto"/>
              <w:bottom w:val="single" w:sz="4" w:space="0" w:color="auto"/>
            </w:tcBorders>
            <w:vAlign w:val="center"/>
          </w:tcPr>
          <w:p w14:paraId="670FF051"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6983392D"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6A3566CF" w14:textId="77777777" w:rsidR="00576FE1" w:rsidRPr="00774240" w:rsidRDefault="00576FE1" w:rsidP="00115CD6">
            <w:pPr>
              <w:jc w:val="center"/>
              <w:rPr>
                <w:sz w:val="18"/>
                <w:szCs w:val="18"/>
              </w:rPr>
            </w:pPr>
            <w:r w:rsidRPr="00774240">
              <w:rPr>
                <w:sz w:val="18"/>
                <w:szCs w:val="18"/>
              </w:rPr>
              <w:t>34.5 (21.1-NE)</w:t>
            </w:r>
          </w:p>
        </w:tc>
        <w:tc>
          <w:tcPr>
            <w:tcW w:w="1559" w:type="dxa"/>
            <w:vMerge/>
            <w:tcBorders>
              <w:top w:val="single" w:sz="4" w:space="0" w:color="auto"/>
              <w:bottom w:val="single" w:sz="4" w:space="0" w:color="auto"/>
            </w:tcBorders>
            <w:vAlign w:val="center"/>
          </w:tcPr>
          <w:p w14:paraId="1DB60FE2"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6C8C0E2A" w14:textId="77777777" w:rsidR="00576FE1" w:rsidRPr="00774240" w:rsidRDefault="00576FE1" w:rsidP="00115CD6">
            <w:pPr>
              <w:jc w:val="center"/>
              <w:rPr>
                <w:sz w:val="18"/>
                <w:szCs w:val="18"/>
              </w:rPr>
            </w:pPr>
          </w:p>
        </w:tc>
      </w:tr>
      <w:tr w:rsidR="00576FE1" w:rsidRPr="00774240" w14:paraId="0D793585" w14:textId="77777777" w:rsidTr="00576FE1">
        <w:trPr>
          <w:trHeight w:val="265"/>
        </w:trPr>
        <w:tc>
          <w:tcPr>
            <w:tcW w:w="3639" w:type="dxa"/>
            <w:vMerge w:val="restart"/>
            <w:tcBorders>
              <w:top w:val="single" w:sz="4" w:space="0" w:color="auto"/>
              <w:bottom w:val="single" w:sz="4" w:space="0" w:color="auto"/>
            </w:tcBorders>
            <w:vAlign w:val="center"/>
          </w:tcPr>
          <w:p w14:paraId="60C65B3B" w14:textId="77777777" w:rsidR="00576FE1" w:rsidRPr="005D3195" w:rsidRDefault="00576FE1" w:rsidP="00115CD6">
            <w:pPr>
              <w:rPr>
                <w:sz w:val="18"/>
                <w:szCs w:val="18"/>
                <w:lang w:val="es-ES"/>
              </w:rPr>
            </w:pPr>
            <w:r w:rsidRPr="005D3195">
              <w:rPr>
                <w:sz w:val="18"/>
                <w:szCs w:val="18"/>
                <w:lang w:val="es-ES"/>
              </w:rPr>
              <w:t xml:space="preserve">PFS-IA non-visceral </w:t>
            </w:r>
            <w:proofErr w:type="spellStart"/>
            <w:r w:rsidRPr="005D3195">
              <w:rPr>
                <w:sz w:val="18"/>
                <w:szCs w:val="18"/>
                <w:lang w:val="es-ES"/>
              </w:rPr>
              <w:t>disease</w:t>
            </w:r>
            <w:proofErr w:type="spellEnd"/>
            <w:r w:rsidRPr="005D3195">
              <w:rPr>
                <w:sz w:val="18"/>
                <w:szCs w:val="18"/>
                <w:lang w:val="es-ES"/>
              </w:rPr>
              <w:t xml:space="preserve"> / de </w:t>
            </w:r>
            <w:proofErr w:type="spellStart"/>
            <w:r w:rsidRPr="005D3195">
              <w:rPr>
                <w:sz w:val="18"/>
                <w:szCs w:val="18"/>
                <w:lang w:val="es-ES"/>
              </w:rPr>
              <w:t>novo</w:t>
            </w:r>
            <w:proofErr w:type="spellEnd"/>
            <w:r w:rsidRPr="005D3195">
              <w:rPr>
                <w:sz w:val="18"/>
                <w:szCs w:val="18"/>
                <w:lang w:val="es-ES"/>
              </w:rPr>
              <w:t xml:space="preserve"> </w:t>
            </w:r>
            <w:proofErr w:type="spellStart"/>
            <w:r w:rsidRPr="005D3195">
              <w:rPr>
                <w:sz w:val="18"/>
                <w:szCs w:val="18"/>
                <w:lang w:val="es-ES"/>
              </w:rPr>
              <w:t>diasease</w:t>
            </w:r>
            <w:proofErr w:type="spellEnd"/>
          </w:p>
        </w:tc>
        <w:tc>
          <w:tcPr>
            <w:tcW w:w="756" w:type="dxa"/>
            <w:tcBorders>
              <w:top w:val="single" w:sz="4" w:space="0" w:color="auto"/>
              <w:bottom w:val="dotted" w:sz="4" w:space="0" w:color="auto"/>
            </w:tcBorders>
            <w:vAlign w:val="center"/>
          </w:tcPr>
          <w:p w14:paraId="34A6CC30"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7DF41A89" w14:textId="77777777" w:rsidR="00576FE1" w:rsidRPr="00774240" w:rsidRDefault="00576FE1" w:rsidP="00115CD6">
            <w:pPr>
              <w:jc w:val="center"/>
              <w:rPr>
                <w:sz w:val="18"/>
                <w:szCs w:val="18"/>
              </w:rPr>
            </w:pPr>
            <w:r w:rsidRPr="00774240">
              <w:rPr>
                <w:sz w:val="18"/>
                <w:szCs w:val="18"/>
              </w:rPr>
              <w:t>40.9 (26.4-NE)</w:t>
            </w:r>
          </w:p>
        </w:tc>
        <w:tc>
          <w:tcPr>
            <w:tcW w:w="1559" w:type="dxa"/>
            <w:vMerge w:val="restart"/>
            <w:tcBorders>
              <w:top w:val="single" w:sz="4" w:space="0" w:color="auto"/>
              <w:bottom w:val="single" w:sz="4" w:space="0" w:color="auto"/>
            </w:tcBorders>
            <w:vAlign w:val="center"/>
          </w:tcPr>
          <w:p w14:paraId="18AAF674" w14:textId="77777777" w:rsidR="00576FE1" w:rsidRPr="00774240" w:rsidRDefault="00576FE1" w:rsidP="00115CD6">
            <w:pPr>
              <w:jc w:val="center"/>
              <w:rPr>
                <w:sz w:val="18"/>
                <w:szCs w:val="18"/>
              </w:rPr>
            </w:pPr>
            <w:r w:rsidRPr="00774240">
              <w:rPr>
                <w:sz w:val="18"/>
                <w:szCs w:val="18"/>
              </w:rPr>
              <w:t>1.22 (0.68-2.16)</w:t>
            </w:r>
          </w:p>
        </w:tc>
        <w:tc>
          <w:tcPr>
            <w:tcW w:w="859" w:type="dxa"/>
            <w:vMerge w:val="restart"/>
            <w:tcBorders>
              <w:top w:val="single" w:sz="4" w:space="0" w:color="auto"/>
              <w:bottom w:val="single" w:sz="4" w:space="0" w:color="auto"/>
            </w:tcBorders>
            <w:vAlign w:val="center"/>
          </w:tcPr>
          <w:p w14:paraId="71BD7D34" w14:textId="77777777" w:rsidR="00576FE1" w:rsidRPr="00774240" w:rsidRDefault="00576FE1" w:rsidP="00115CD6">
            <w:pPr>
              <w:jc w:val="center"/>
              <w:rPr>
                <w:sz w:val="18"/>
                <w:szCs w:val="18"/>
              </w:rPr>
            </w:pPr>
            <w:r w:rsidRPr="00774240">
              <w:rPr>
                <w:sz w:val="18"/>
                <w:szCs w:val="18"/>
              </w:rPr>
              <w:t>0.5018</w:t>
            </w:r>
          </w:p>
        </w:tc>
      </w:tr>
      <w:tr w:rsidR="00576FE1" w:rsidRPr="00774240" w14:paraId="6169C77B" w14:textId="77777777" w:rsidTr="00576FE1">
        <w:trPr>
          <w:trHeight w:val="265"/>
        </w:trPr>
        <w:tc>
          <w:tcPr>
            <w:tcW w:w="3639" w:type="dxa"/>
            <w:vMerge/>
            <w:tcBorders>
              <w:top w:val="single" w:sz="4" w:space="0" w:color="auto"/>
              <w:bottom w:val="single" w:sz="4" w:space="0" w:color="auto"/>
            </w:tcBorders>
            <w:vAlign w:val="center"/>
          </w:tcPr>
          <w:p w14:paraId="7E06EC14"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6A9BC761"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753CC7DA" w14:textId="77777777" w:rsidR="00576FE1" w:rsidRPr="00774240" w:rsidRDefault="00576FE1" w:rsidP="00115CD6">
            <w:pPr>
              <w:jc w:val="center"/>
              <w:rPr>
                <w:sz w:val="18"/>
                <w:szCs w:val="18"/>
              </w:rPr>
            </w:pPr>
            <w:r w:rsidRPr="00774240">
              <w:rPr>
                <w:sz w:val="18"/>
                <w:szCs w:val="18"/>
              </w:rPr>
              <w:t>NE (29.7-NE)</w:t>
            </w:r>
          </w:p>
        </w:tc>
        <w:tc>
          <w:tcPr>
            <w:tcW w:w="1559" w:type="dxa"/>
            <w:vMerge/>
            <w:tcBorders>
              <w:top w:val="single" w:sz="4" w:space="0" w:color="auto"/>
              <w:bottom w:val="single" w:sz="4" w:space="0" w:color="auto"/>
            </w:tcBorders>
            <w:vAlign w:val="center"/>
          </w:tcPr>
          <w:p w14:paraId="37CBDA73"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2288491E" w14:textId="77777777" w:rsidR="00576FE1" w:rsidRPr="00774240" w:rsidRDefault="00576FE1" w:rsidP="00115CD6">
            <w:pPr>
              <w:jc w:val="center"/>
              <w:rPr>
                <w:sz w:val="18"/>
                <w:szCs w:val="18"/>
              </w:rPr>
            </w:pPr>
          </w:p>
        </w:tc>
      </w:tr>
      <w:tr w:rsidR="00576FE1" w:rsidRPr="00774240" w14:paraId="377151D4" w14:textId="77777777" w:rsidTr="00576FE1">
        <w:trPr>
          <w:trHeight w:val="265"/>
        </w:trPr>
        <w:tc>
          <w:tcPr>
            <w:tcW w:w="3639" w:type="dxa"/>
            <w:vMerge w:val="restart"/>
            <w:tcBorders>
              <w:top w:val="single" w:sz="4" w:space="0" w:color="auto"/>
              <w:bottom w:val="single" w:sz="4" w:space="0" w:color="auto"/>
            </w:tcBorders>
            <w:vAlign w:val="center"/>
          </w:tcPr>
          <w:p w14:paraId="3216B3BE" w14:textId="77777777" w:rsidR="00576FE1" w:rsidRPr="005D3195" w:rsidRDefault="00576FE1" w:rsidP="00115CD6">
            <w:pPr>
              <w:rPr>
                <w:sz w:val="18"/>
                <w:szCs w:val="18"/>
                <w:lang w:val="es-ES"/>
              </w:rPr>
            </w:pPr>
            <w:r w:rsidRPr="005D3195">
              <w:rPr>
                <w:sz w:val="18"/>
                <w:szCs w:val="18"/>
                <w:lang w:val="es-ES"/>
              </w:rPr>
              <w:t xml:space="preserve">PFS-IA visceral </w:t>
            </w:r>
            <w:proofErr w:type="spellStart"/>
            <w:r w:rsidRPr="005D3195">
              <w:rPr>
                <w:sz w:val="18"/>
                <w:szCs w:val="18"/>
                <w:lang w:val="es-ES"/>
              </w:rPr>
              <w:t>disease</w:t>
            </w:r>
            <w:proofErr w:type="spellEnd"/>
            <w:r w:rsidRPr="005D3195">
              <w:rPr>
                <w:sz w:val="18"/>
                <w:szCs w:val="18"/>
                <w:lang w:val="es-ES"/>
              </w:rPr>
              <w:t xml:space="preserve"> / non-de </w:t>
            </w:r>
            <w:proofErr w:type="spellStart"/>
            <w:r w:rsidRPr="005D3195">
              <w:rPr>
                <w:sz w:val="18"/>
                <w:szCs w:val="18"/>
                <w:lang w:val="es-ES"/>
              </w:rPr>
              <w:t>novo</w:t>
            </w:r>
            <w:proofErr w:type="spellEnd"/>
            <w:r w:rsidRPr="005D3195">
              <w:rPr>
                <w:sz w:val="18"/>
                <w:szCs w:val="18"/>
                <w:lang w:val="es-ES"/>
              </w:rPr>
              <w:t xml:space="preserve"> </w:t>
            </w:r>
            <w:proofErr w:type="spellStart"/>
            <w:r w:rsidRPr="005D3195">
              <w:rPr>
                <w:sz w:val="18"/>
                <w:szCs w:val="18"/>
                <w:lang w:val="es-ES"/>
              </w:rPr>
              <w:t>diasease</w:t>
            </w:r>
            <w:proofErr w:type="spellEnd"/>
          </w:p>
        </w:tc>
        <w:tc>
          <w:tcPr>
            <w:tcW w:w="756" w:type="dxa"/>
            <w:tcBorders>
              <w:top w:val="single" w:sz="4" w:space="0" w:color="auto"/>
              <w:bottom w:val="dotted" w:sz="4" w:space="0" w:color="auto"/>
            </w:tcBorders>
            <w:vAlign w:val="center"/>
          </w:tcPr>
          <w:p w14:paraId="2BFA55BE"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3DB82C12" w14:textId="77777777" w:rsidR="00576FE1" w:rsidRPr="00774240" w:rsidRDefault="00576FE1" w:rsidP="00115CD6">
            <w:pPr>
              <w:jc w:val="center"/>
              <w:rPr>
                <w:sz w:val="18"/>
                <w:szCs w:val="18"/>
              </w:rPr>
            </w:pPr>
            <w:r w:rsidRPr="00774240">
              <w:rPr>
                <w:sz w:val="18"/>
                <w:szCs w:val="18"/>
              </w:rPr>
              <w:t>19.3 (13.9-27.6)</w:t>
            </w:r>
          </w:p>
        </w:tc>
        <w:tc>
          <w:tcPr>
            <w:tcW w:w="1559" w:type="dxa"/>
            <w:vMerge w:val="restart"/>
            <w:tcBorders>
              <w:top w:val="single" w:sz="4" w:space="0" w:color="auto"/>
              <w:bottom w:val="single" w:sz="4" w:space="0" w:color="auto"/>
            </w:tcBorders>
            <w:vAlign w:val="center"/>
          </w:tcPr>
          <w:p w14:paraId="5D7F8468" w14:textId="77777777" w:rsidR="00576FE1" w:rsidRPr="00774240" w:rsidRDefault="00576FE1" w:rsidP="00115CD6">
            <w:pPr>
              <w:jc w:val="center"/>
              <w:rPr>
                <w:sz w:val="18"/>
                <w:szCs w:val="18"/>
              </w:rPr>
            </w:pPr>
            <w:r w:rsidRPr="00774240">
              <w:rPr>
                <w:sz w:val="18"/>
                <w:szCs w:val="18"/>
              </w:rPr>
              <w:t>1.42 (0.92-2.18)</w:t>
            </w:r>
          </w:p>
        </w:tc>
        <w:tc>
          <w:tcPr>
            <w:tcW w:w="859" w:type="dxa"/>
            <w:vMerge w:val="restart"/>
            <w:tcBorders>
              <w:top w:val="single" w:sz="4" w:space="0" w:color="auto"/>
              <w:bottom w:val="single" w:sz="4" w:space="0" w:color="auto"/>
            </w:tcBorders>
            <w:vAlign w:val="center"/>
          </w:tcPr>
          <w:p w14:paraId="000769C5" w14:textId="77777777" w:rsidR="00576FE1" w:rsidRPr="00774240" w:rsidRDefault="00576FE1" w:rsidP="00115CD6">
            <w:pPr>
              <w:jc w:val="center"/>
              <w:rPr>
                <w:sz w:val="18"/>
                <w:szCs w:val="18"/>
              </w:rPr>
            </w:pPr>
            <w:r w:rsidRPr="00774240">
              <w:rPr>
                <w:sz w:val="18"/>
                <w:szCs w:val="18"/>
              </w:rPr>
              <w:t>0.1116</w:t>
            </w:r>
          </w:p>
        </w:tc>
      </w:tr>
      <w:tr w:rsidR="00576FE1" w:rsidRPr="00774240" w14:paraId="2A2DAB1E" w14:textId="77777777" w:rsidTr="00576FE1">
        <w:trPr>
          <w:trHeight w:val="265"/>
        </w:trPr>
        <w:tc>
          <w:tcPr>
            <w:tcW w:w="3639" w:type="dxa"/>
            <w:vMerge/>
            <w:tcBorders>
              <w:top w:val="single" w:sz="4" w:space="0" w:color="auto"/>
              <w:bottom w:val="single" w:sz="4" w:space="0" w:color="auto"/>
            </w:tcBorders>
            <w:vAlign w:val="center"/>
          </w:tcPr>
          <w:p w14:paraId="115D12C1"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3AA523F8"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6C61C139" w14:textId="77777777" w:rsidR="00576FE1" w:rsidRPr="00774240" w:rsidRDefault="00576FE1" w:rsidP="00115CD6">
            <w:pPr>
              <w:jc w:val="center"/>
              <w:rPr>
                <w:sz w:val="18"/>
                <w:szCs w:val="18"/>
              </w:rPr>
            </w:pPr>
            <w:r w:rsidRPr="00774240">
              <w:rPr>
                <w:sz w:val="18"/>
                <w:szCs w:val="18"/>
              </w:rPr>
              <w:t>27.5 (17.9-NE)</w:t>
            </w:r>
          </w:p>
        </w:tc>
        <w:tc>
          <w:tcPr>
            <w:tcW w:w="1559" w:type="dxa"/>
            <w:vMerge/>
            <w:tcBorders>
              <w:top w:val="single" w:sz="4" w:space="0" w:color="auto"/>
              <w:bottom w:val="single" w:sz="4" w:space="0" w:color="auto"/>
            </w:tcBorders>
            <w:vAlign w:val="center"/>
          </w:tcPr>
          <w:p w14:paraId="7D3EA9A1"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67FE847D" w14:textId="77777777" w:rsidR="00576FE1" w:rsidRPr="00774240" w:rsidRDefault="00576FE1" w:rsidP="00115CD6">
            <w:pPr>
              <w:jc w:val="center"/>
              <w:rPr>
                <w:sz w:val="18"/>
                <w:szCs w:val="18"/>
              </w:rPr>
            </w:pPr>
          </w:p>
        </w:tc>
      </w:tr>
      <w:tr w:rsidR="00576FE1" w:rsidRPr="00774240" w14:paraId="68ACB54F" w14:textId="77777777" w:rsidTr="00576FE1">
        <w:trPr>
          <w:trHeight w:val="265"/>
        </w:trPr>
        <w:tc>
          <w:tcPr>
            <w:tcW w:w="3639" w:type="dxa"/>
            <w:vMerge w:val="restart"/>
            <w:tcBorders>
              <w:top w:val="single" w:sz="4" w:space="0" w:color="auto"/>
              <w:bottom w:val="single" w:sz="4" w:space="0" w:color="auto"/>
            </w:tcBorders>
            <w:vAlign w:val="center"/>
          </w:tcPr>
          <w:p w14:paraId="350A7378" w14:textId="77777777" w:rsidR="00576FE1" w:rsidRPr="005D3195" w:rsidRDefault="00576FE1" w:rsidP="00115CD6">
            <w:pPr>
              <w:rPr>
                <w:sz w:val="18"/>
                <w:szCs w:val="18"/>
                <w:lang w:val="es-ES"/>
              </w:rPr>
            </w:pPr>
            <w:r w:rsidRPr="005D3195">
              <w:rPr>
                <w:sz w:val="18"/>
                <w:szCs w:val="18"/>
                <w:lang w:val="es-ES"/>
              </w:rPr>
              <w:t xml:space="preserve">PFS-IA visceral </w:t>
            </w:r>
            <w:proofErr w:type="spellStart"/>
            <w:r w:rsidRPr="005D3195">
              <w:rPr>
                <w:sz w:val="18"/>
                <w:szCs w:val="18"/>
                <w:lang w:val="es-ES"/>
              </w:rPr>
              <w:t>disease</w:t>
            </w:r>
            <w:proofErr w:type="spellEnd"/>
            <w:r w:rsidRPr="005D3195">
              <w:rPr>
                <w:sz w:val="18"/>
                <w:szCs w:val="18"/>
                <w:lang w:val="es-ES"/>
              </w:rPr>
              <w:t xml:space="preserve"> / de </w:t>
            </w:r>
            <w:proofErr w:type="spellStart"/>
            <w:r w:rsidRPr="005D3195">
              <w:rPr>
                <w:sz w:val="18"/>
                <w:szCs w:val="18"/>
                <w:lang w:val="es-ES"/>
              </w:rPr>
              <w:t>novo</w:t>
            </w:r>
            <w:proofErr w:type="spellEnd"/>
            <w:r w:rsidRPr="005D3195">
              <w:rPr>
                <w:sz w:val="18"/>
                <w:szCs w:val="18"/>
                <w:lang w:val="es-ES"/>
              </w:rPr>
              <w:t xml:space="preserve"> </w:t>
            </w:r>
            <w:proofErr w:type="spellStart"/>
            <w:r w:rsidRPr="005D3195">
              <w:rPr>
                <w:sz w:val="18"/>
                <w:szCs w:val="18"/>
                <w:lang w:val="es-ES"/>
              </w:rPr>
              <w:t>diasease</w:t>
            </w:r>
            <w:proofErr w:type="spellEnd"/>
          </w:p>
        </w:tc>
        <w:tc>
          <w:tcPr>
            <w:tcW w:w="756" w:type="dxa"/>
            <w:tcBorders>
              <w:top w:val="single" w:sz="4" w:space="0" w:color="auto"/>
              <w:bottom w:val="dotted" w:sz="4" w:space="0" w:color="auto"/>
            </w:tcBorders>
            <w:vAlign w:val="center"/>
          </w:tcPr>
          <w:p w14:paraId="6CFC86B3"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2EC88580" w14:textId="77777777" w:rsidR="00576FE1" w:rsidRPr="00774240" w:rsidRDefault="00576FE1" w:rsidP="00115CD6">
            <w:pPr>
              <w:jc w:val="center"/>
              <w:rPr>
                <w:sz w:val="18"/>
                <w:szCs w:val="18"/>
              </w:rPr>
            </w:pPr>
            <w:r w:rsidRPr="00774240">
              <w:rPr>
                <w:sz w:val="18"/>
                <w:szCs w:val="18"/>
              </w:rPr>
              <w:t>17.3 (15.1-28.9)</w:t>
            </w:r>
          </w:p>
        </w:tc>
        <w:tc>
          <w:tcPr>
            <w:tcW w:w="1559" w:type="dxa"/>
            <w:vMerge w:val="restart"/>
            <w:tcBorders>
              <w:top w:val="single" w:sz="4" w:space="0" w:color="auto"/>
              <w:bottom w:val="single" w:sz="4" w:space="0" w:color="auto"/>
            </w:tcBorders>
            <w:vAlign w:val="center"/>
          </w:tcPr>
          <w:p w14:paraId="5DB65EBB" w14:textId="77777777" w:rsidR="00576FE1" w:rsidRPr="00774240" w:rsidRDefault="00576FE1" w:rsidP="00115CD6">
            <w:pPr>
              <w:jc w:val="center"/>
              <w:rPr>
                <w:sz w:val="18"/>
                <w:szCs w:val="18"/>
              </w:rPr>
            </w:pPr>
            <w:r w:rsidRPr="00774240">
              <w:rPr>
                <w:sz w:val="18"/>
                <w:szCs w:val="18"/>
              </w:rPr>
              <w:t>1.09 (0.65-1.84)</w:t>
            </w:r>
          </w:p>
        </w:tc>
        <w:tc>
          <w:tcPr>
            <w:tcW w:w="859" w:type="dxa"/>
            <w:vMerge w:val="restart"/>
            <w:tcBorders>
              <w:top w:val="single" w:sz="4" w:space="0" w:color="auto"/>
              <w:bottom w:val="single" w:sz="4" w:space="0" w:color="auto"/>
            </w:tcBorders>
            <w:vAlign w:val="center"/>
          </w:tcPr>
          <w:p w14:paraId="385D26F7" w14:textId="77777777" w:rsidR="00576FE1" w:rsidRPr="00774240" w:rsidRDefault="00576FE1" w:rsidP="00115CD6">
            <w:pPr>
              <w:jc w:val="center"/>
              <w:rPr>
                <w:sz w:val="18"/>
                <w:szCs w:val="18"/>
              </w:rPr>
            </w:pPr>
            <w:r w:rsidRPr="00774240">
              <w:rPr>
                <w:sz w:val="18"/>
                <w:szCs w:val="18"/>
              </w:rPr>
              <w:t>0.7350</w:t>
            </w:r>
          </w:p>
        </w:tc>
      </w:tr>
      <w:tr w:rsidR="00576FE1" w:rsidRPr="00774240" w14:paraId="2B79FD96" w14:textId="77777777" w:rsidTr="00576FE1">
        <w:trPr>
          <w:trHeight w:val="265"/>
        </w:trPr>
        <w:tc>
          <w:tcPr>
            <w:tcW w:w="3639" w:type="dxa"/>
            <w:vMerge/>
            <w:tcBorders>
              <w:top w:val="single" w:sz="4" w:space="0" w:color="auto"/>
              <w:bottom w:val="single" w:sz="4" w:space="0" w:color="auto"/>
            </w:tcBorders>
            <w:vAlign w:val="center"/>
          </w:tcPr>
          <w:p w14:paraId="44B480E6"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5BC1D24B"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35AD5FD0" w14:textId="77777777" w:rsidR="00576FE1" w:rsidRPr="00774240" w:rsidRDefault="00576FE1" w:rsidP="00115CD6">
            <w:pPr>
              <w:jc w:val="center"/>
              <w:rPr>
                <w:sz w:val="18"/>
                <w:szCs w:val="18"/>
              </w:rPr>
            </w:pPr>
            <w:r w:rsidRPr="00774240">
              <w:rPr>
                <w:sz w:val="18"/>
                <w:szCs w:val="18"/>
              </w:rPr>
              <w:t>22.0 (16.5-32.9)</w:t>
            </w:r>
          </w:p>
        </w:tc>
        <w:tc>
          <w:tcPr>
            <w:tcW w:w="1559" w:type="dxa"/>
            <w:vMerge/>
            <w:tcBorders>
              <w:top w:val="single" w:sz="4" w:space="0" w:color="auto"/>
              <w:bottom w:val="single" w:sz="4" w:space="0" w:color="auto"/>
            </w:tcBorders>
            <w:vAlign w:val="center"/>
          </w:tcPr>
          <w:p w14:paraId="57417CDD"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065FFD03" w14:textId="77777777" w:rsidR="00576FE1" w:rsidRPr="00774240" w:rsidRDefault="00576FE1" w:rsidP="00115CD6">
            <w:pPr>
              <w:jc w:val="center"/>
              <w:rPr>
                <w:sz w:val="18"/>
                <w:szCs w:val="18"/>
              </w:rPr>
            </w:pPr>
          </w:p>
        </w:tc>
      </w:tr>
      <w:tr w:rsidR="00576FE1" w:rsidRPr="00774240" w14:paraId="5724BD6B" w14:textId="77777777" w:rsidTr="00576FE1">
        <w:trPr>
          <w:trHeight w:val="265"/>
        </w:trPr>
        <w:tc>
          <w:tcPr>
            <w:tcW w:w="3639" w:type="dxa"/>
            <w:vMerge w:val="restart"/>
            <w:tcBorders>
              <w:top w:val="single" w:sz="4" w:space="0" w:color="auto"/>
              <w:bottom w:val="single" w:sz="4" w:space="0" w:color="auto"/>
            </w:tcBorders>
            <w:vAlign w:val="center"/>
          </w:tcPr>
          <w:p w14:paraId="02021E64" w14:textId="77777777" w:rsidR="00576FE1" w:rsidRPr="00774240" w:rsidRDefault="00576FE1" w:rsidP="00115CD6">
            <w:pPr>
              <w:rPr>
                <w:sz w:val="18"/>
                <w:szCs w:val="18"/>
              </w:rPr>
            </w:pPr>
            <w:r w:rsidRPr="00774240">
              <w:rPr>
                <w:sz w:val="18"/>
                <w:szCs w:val="18"/>
              </w:rPr>
              <w:t>PFS randomization before 2017</w:t>
            </w:r>
          </w:p>
        </w:tc>
        <w:tc>
          <w:tcPr>
            <w:tcW w:w="756" w:type="dxa"/>
            <w:tcBorders>
              <w:top w:val="single" w:sz="4" w:space="0" w:color="auto"/>
              <w:bottom w:val="dotted" w:sz="4" w:space="0" w:color="auto"/>
            </w:tcBorders>
            <w:vAlign w:val="center"/>
          </w:tcPr>
          <w:p w14:paraId="26548CF7"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14B0A0C6" w14:textId="77777777" w:rsidR="00576FE1" w:rsidRPr="00774240" w:rsidRDefault="00576FE1" w:rsidP="00115CD6">
            <w:pPr>
              <w:jc w:val="center"/>
              <w:rPr>
                <w:sz w:val="18"/>
                <w:szCs w:val="18"/>
              </w:rPr>
            </w:pPr>
            <w:r w:rsidRPr="00774240">
              <w:rPr>
                <w:sz w:val="18"/>
                <w:szCs w:val="18"/>
              </w:rPr>
              <w:t>32.6 (24.9-41.3)</w:t>
            </w:r>
          </w:p>
        </w:tc>
        <w:tc>
          <w:tcPr>
            <w:tcW w:w="1559" w:type="dxa"/>
            <w:vMerge w:val="restart"/>
            <w:tcBorders>
              <w:top w:val="single" w:sz="4" w:space="0" w:color="auto"/>
              <w:bottom w:val="single" w:sz="4" w:space="0" w:color="auto"/>
            </w:tcBorders>
            <w:vAlign w:val="center"/>
          </w:tcPr>
          <w:p w14:paraId="57148985" w14:textId="77777777" w:rsidR="00576FE1" w:rsidRPr="00774240" w:rsidRDefault="00576FE1" w:rsidP="00115CD6">
            <w:pPr>
              <w:jc w:val="center"/>
              <w:rPr>
                <w:sz w:val="18"/>
                <w:szCs w:val="18"/>
              </w:rPr>
            </w:pPr>
            <w:r w:rsidRPr="00774240">
              <w:rPr>
                <w:sz w:val="18"/>
                <w:szCs w:val="18"/>
              </w:rPr>
              <w:t>0.99 (0.73-1.34)</w:t>
            </w:r>
          </w:p>
          <w:p w14:paraId="49EC98FE" w14:textId="77777777" w:rsidR="00576FE1" w:rsidRPr="00774240" w:rsidRDefault="00576FE1" w:rsidP="00115CD6">
            <w:pPr>
              <w:jc w:val="center"/>
              <w:rPr>
                <w:sz w:val="18"/>
                <w:szCs w:val="18"/>
              </w:rPr>
            </w:pPr>
          </w:p>
        </w:tc>
        <w:tc>
          <w:tcPr>
            <w:tcW w:w="859" w:type="dxa"/>
            <w:vMerge w:val="restart"/>
            <w:tcBorders>
              <w:top w:val="single" w:sz="4" w:space="0" w:color="auto"/>
              <w:bottom w:val="single" w:sz="4" w:space="0" w:color="auto"/>
            </w:tcBorders>
            <w:vAlign w:val="center"/>
          </w:tcPr>
          <w:p w14:paraId="14B634C6" w14:textId="77777777" w:rsidR="00576FE1" w:rsidRPr="00774240" w:rsidRDefault="00576FE1" w:rsidP="00115CD6">
            <w:pPr>
              <w:jc w:val="center"/>
              <w:rPr>
                <w:sz w:val="18"/>
                <w:szCs w:val="18"/>
              </w:rPr>
            </w:pPr>
            <w:r w:rsidRPr="00774240">
              <w:rPr>
                <w:sz w:val="18"/>
                <w:szCs w:val="18"/>
              </w:rPr>
              <w:t>0.9413</w:t>
            </w:r>
          </w:p>
          <w:p w14:paraId="2D134402" w14:textId="77777777" w:rsidR="00576FE1" w:rsidRPr="00774240" w:rsidRDefault="00576FE1" w:rsidP="00115CD6">
            <w:pPr>
              <w:jc w:val="center"/>
              <w:rPr>
                <w:sz w:val="18"/>
                <w:szCs w:val="18"/>
              </w:rPr>
            </w:pPr>
          </w:p>
        </w:tc>
      </w:tr>
      <w:tr w:rsidR="00576FE1" w:rsidRPr="00774240" w14:paraId="32CF3453" w14:textId="77777777" w:rsidTr="00576FE1">
        <w:trPr>
          <w:trHeight w:val="265"/>
        </w:trPr>
        <w:tc>
          <w:tcPr>
            <w:tcW w:w="3639" w:type="dxa"/>
            <w:vMerge/>
            <w:tcBorders>
              <w:top w:val="single" w:sz="4" w:space="0" w:color="auto"/>
              <w:bottom w:val="single" w:sz="4" w:space="0" w:color="auto"/>
            </w:tcBorders>
            <w:vAlign w:val="center"/>
          </w:tcPr>
          <w:p w14:paraId="378390A8"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4D514E41"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4333E98E" w14:textId="77777777" w:rsidR="00576FE1" w:rsidRPr="00774240" w:rsidRDefault="00576FE1" w:rsidP="00115CD6">
            <w:pPr>
              <w:jc w:val="center"/>
              <w:rPr>
                <w:sz w:val="18"/>
                <w:szCs w:val="18"/>
              </w:rPr>
            </w:pPr>
            <w:r w:rsidRPr="00774240">
              <w:rPr>
                <w:sz w:val="18"/>
                <w:szCs w:val="18"/>
              </w:rPr>
              <w:t>32.8 (26.0-38.7)</w:t>
            </w:r>
          </w:p>
        </w:tc>
        <w:tc>
          <w:tcPr>
            <w:tcW w:w="1559" w:type="dxa"/>
            <w:vMerge/>
            <w:tcBorders>
              <w:top w:val="single" w:sz="4" w:space="0" w:color="auto"/>
              <w:bottom w:val="single" w:sz="4" w:space="0" w:color="auto"/>
            </w:tcBorders>
            <w:vAlign w:val="center"/>
          </w:tcPr>
          <w:p w14:paraId="3993D38A"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77271EA2" w14:textId="77777777" w:rsidR="00576FE1" w:rsidRPr="00774240" w:rsidRDefault="00576FE1" w:rsidP="00115CD6">
            <w:pPr>
              <w:jc w:val="center"/>
              <w:rPr>
                <w:sz w:val="18"/>
                <w:szCs w:val="18"/>
              </w:rPr>
            </w:pPr>
          </w:p>
        </w:tc>
      </w:tr>
      <w:tr w:rsidR="00576FE1" w:rsidRPr="00774240" w14:paraId="35B16683" w14:textId="77777777" w:rsidTr="00576FE1">
        <w:trPr>
          <w:trHeight w:val="265"/>
        </w:trPr>
        <w:tc>
          <w:tcPr>
            <w:tcW w:w="3639" w:type="dxa"/>
            <w:vMerge w:val="restart"/>
            <w:tcBorders>
              <w:top w:val="single" w:sz="4" w:space="0" w:color="auto"/>
              <w:bottom w:val="single" w:sz="4" w:space="0" w:color="auto"/>
            </w:tcBorders>
            <w:vAlign w:val="center"/>
          </w:tcPr>
          <w:p w14:paraId="52171736" w14:textId="77777777" w:rsidR="00576FE1" w:rsidRPr="00774240" w:rsidRDefault="00576FE1" w:rsidP="00115CD6">
            <w:pPr>
              <w:rPr>
                <w:sz w:val="18"/>
                <w:szCs w:val="18"/>
              </w:rPr>
            </w:pPr>
            <w:r w:rsidRPr="00774240">
              <w:rPr>
                <w:sz w:val="18"/>
                <w:szCs w:val="18"/>
              </w:rPr>
              <w:t>PFS randomization from 2017</w:t>
            </w:r>
          </w:p>
        </w:tc>
        <w:tc>
          <w:tcPr>
            <w:tcW w:w="756" w:type="dxa"/>
            <w:tcBorders>
              <w:top w:val="single" w:sz="4" w:space="0" w:color="auto"/>
              <w:bottom w:val="dotted" w:sz="4" w:space="0" w:color="auto"/>
            </w:tcBorders>
            <w:vAlign w:val="center"/>
          </w:tcPr>
          <w:p w14:paraId="5AE26242"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39E0708B" w14:textId="77777777" w:rsidR="00576FE1" w:rsidRPr="00774240" w:rsidRDefault="00576FE1" w:rsidP="00115CD6">
            <w:pPr>
              <w:jc w:val="center"/>
              <w:rPr>
                <w:sz w:val="18"/>
                <w:szCs w:val="18"/>
              </w:rPr>
            </w:pPr>
            <w:r w:rsidRPr="00774240">
              <w:rPr>
                <w:sz w:val="18"/>
                <w:szCs w:val="18"/>
              </w:rPr>
              <w:t>23.9 (17.2-27.9)</w:t>
            </w:r>
          </w:p>
        </w:tc>
        <w:tc>
          <w:tcPr>
            <w:tcW w:w="1559" w:type="dxa"/>
            <w:vMerge w:val="restart"/>
            <w:tcBorders>
              <w:top w:val="single" w:sz="4" w:space="0" w:color="auto"/>
              <w:bottom w:val="single" w:sz="4" w:space="0" w:color="auto"/>
            </w:tcBorders>
            <w:vAlign w:val="center"/>
          </w:tcPr>
          <w:p w14:paraId="724A53EB" w14:textId="77777777" w:rsidR="00576FE1" w:rsidRPr="00774240" w:rsidRDefault="00576FE1" w:rsidP="00115CD6">
            <w:pPr>
              <w:jc w:val="center"/>
              <w:rPr>
                <w:sz w:val="18"/>
                <w:szCs w:val="18"/>
              </w:rPr>
            </w:pPr>
            <w:r w:rsidRPr="00774240">
              <w:rPr>
                <w:sz w:val="18"/>
                <w:szCs w:val="18"/>
              </w:rPr>
              <w:t>1.33 (0.88-2.01)</w:t>
            </w:r>
          </w:p>
          <w:p w14:paraId="28824CE4" w14:textId="77777777" w:rsidR="00576FE1" w:rsidRPr="00774240" w:rsidRDefault="00576FE1" w:rsidP="00115CD6">
            <w:pPr>
              <w:jc w:val="center"/>
              <w:rPr>
                <w:sz w:val="18"/>
                <w:szCs w:val="18"/>
              </w:rPr>
            </w:pPr>
          </w:p>
        </w:tc>
        <w:tc>
          <w:tcPr>
            <w:tcW w:w="859" w:type="dxa"/>
            <w:vMerge w:val="restart"/>
            <w:tcBorders>
              <w:top w:val="single" w:sz="4" w:space="0" w:color="auto"/>
              <w:bottom w:val="single" w:sz="4" w:space="0" w:color="auto"/>
            </w:tcBorders>
            <w:vAlign w:val="center"/>
          </w:tcPr>
          <w:p w14:paraId="29CC9DAC" w14:textId="77777777" w:rsidR="00576FE1" w:rsidRPr="00774240" w:rsidRDefault="00576FE1" w:rsidP="00115CD6">
            <w:pPr>
              <w:jc w:val="center"/>
              <w:rPr>
                <w:sz w:val="18"/>
                <w:szCs w:val="18"/>
              </w:rPr>
            </w:pPr>
            <w:r w:rsidRPr="00774240">
              <w:rPr>
                <w:sz w:val="18"/>
                <w:szCs w:val="18"/>
              </w:rPr>
              <w:t>0.1673</w:t>
            </w:r>
          </w:p>
          <w:p w14:paraId="29C996F8" w14:textId="77777777" w:rsidR="00576FE1" w:rsidRPr="00774240" w:rsidRDefault="00576FE1" w:rsidP="00115CD6">
            <w:pPr>
              <w:jc w:val="center"/>
              <w:rPr>
                <w:sz w:val="18"/>
                <w:szCs w:val="18"/>
              </w:rPr>
            </w:pPr>
          </w:p>
        </w:tc>
      </w:tr>
      <w:tr w:rsidR="00576FE1" w:rsidRPr="00774240" w14:paraId="12CDEA27" w14:textId="77777777" w:rsidTr="00576FE1">
        <w:trPr>
          <w:trHeight w:val="265"/>
        </w:trPr>
        <w:tc>
          <w:tcPr>
            <w:tcW w:w="3639" w:type="dxa"/>
            <w:vMerge/>
            <w:tcBorders>
              <w:top w:val="single" w:sz="4" w:space="0" w:color="auto"/>
              <w:bottom w:val="single" w:sz="4" w:space="0" w:color="auto"/>
            </w:tcBorders>
            <w:vAlign w:val="center"/>
          </w:tcPr>
          <w:p w14:paraId="71B66ED4"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7EC6A08A"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2509D322" w14:textId="77777777" w:rsidR="00576FE1" w:rsidRPr="00774240" w:rsidRDefault="00576FE1" w:rsidP="00115CD6">
            <w:pPr>
              <w:jc w:val="center"/>
              <w:rPr>
                <w:sz w:val="18"/>
                <w:szCs w:val="18"/>
              </w:rPr>
            </w:pPr>
            <w:r w:rsidRPr="00774240">
              <w:rPr>
                <w:sz w:val="18"/>
                <w:szCs w:val="18"/>
              </w:rPr>
              <w:t>32.9 (19.7-NE)</w:t>
            </w:r>
          </w:p>
        </w:tc>
        <w:tc>
          <w:tcPr>
            <w:tcW w:w="1559" w:type="dxa"/>
            <w:vMerge/>
            <w:tcBorders>
              <w:top w:val="single" w:sz="4" w:space="0" w:color="auto"/>
              <w:bottom w:val="single" w:sz="4" w:space="0" w:color="auto"/>
            </w:tcBorders>
            <w:vAlign w:val="center"/>
          </w:tcPr>
          <w:p w14:paraId="04F582B7"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59A46545" w14:textId="77777777" w:rsidR="00576FE1" w:rsidRPr="00774240" w:rsidRDefault="00576FE1" w:rsidP="00115CD6">
            <w:pPr>
              <w:jc w:val="center"/>
              <w:rPr>
                <w:sz w:val="18"/>
                <w:szCs w:val="18"/>
              </w:rPr>
            </w:pPr>
          </w:p>
        </w:tc>
      </w:tr>
      <w:tr w:rsidR="00576FE1" w:rsidRPr="00774240" w14:paraId="0925A71D" w14:textId="77777777" w:rsidTr="00576FE1">
        <w:trPr>
          <w:trHeight w:val="265"/>
        </w:trPr>
        <w:tc>
          <w:tcPr>
            <w:tcW w:w="3639" w:type="dxa"/>
            <w:vMerge w:val="restart"/>
            <w:tcBorders>
              <w:top w:val="single" w:sz="4" w:space="0" w:color="auto"/>
              <w:bottom w:val="single" w:sz="4" w:space="0" w:color="auto"/>
            </w:tcBorders>
            <w:vAlign w:val="center"/>
          </w:tcPr>
          <w:p w14:paraId="009C84BB" w14:textId="77777777" w:rsidR="00576FE1" w:rsidRPr="00774240" w:rsidRDefault="00576FE1" w:rsidP="00115CD6">
            <w:pPr>
              <w:rPr>
                <w:sz w:val="18"/>
                <w:szCs w:val="18"/>
              </w:rPr>
            </w:pPr>
            <w:r w:rsidRPr="00774240">
              <w:rPr>
                <w:sz w:val="18"/>
                <w:szCs w:val="18"/>
              </w:rPr>
              <w:t>PFS per RECIST (R)</w:t>
            </w:r>
          </w:p>
        </w:tc>
        <w:tc>
          <w:tcPr>
            <w:tcW w:w="756" w:type="dxa"/>
            <w:tcBorders>
              <w:top w:val="single" w:sz="4" w:space="0" w:color="auto"/>
              <w:bottom w:val="dotted" w:sz="4" w:space="0" w:color="auto"/>
            </w:tcBorders>
            <w:vAlign w:val="center"/>
          </w:tcPr>
          <w:p w14:paraId="0F9CB402"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09B25B71" w14:textId="77777777" w:rsidR="00576FE1" w:rsidRPr="00774240" w:rsidRDefault="00576FE1" w:rsidP="00115CD6">
            <w:pPr>
              <w:jc w:val="center"/>
              <w:rPr>
                <w:sz w:val="18"/>
                <w:szCs w:val="18"/>
              </w:rPr>
            </w:pPr>
            <w:r w:rsidRPr="00774240">
              <w:rPr>
                <w:sz w:val="18"/>
                <w:szCs w:val="18"/>
              </w:rPr>
              <w:t>28.9 (24.6-36.2)</w:t>
            </w:r>
          </w:p>
        </w:tc>
        <w:tc>
          <w:tcPr>
            <w:tcW w:w="1559" w:type="dxa"/>
            <w:vMerge w:val="restart"/>
            <w:tcBorders>
              <w:top w:val="single" w:sz="4" w:space="0" w:color="auto"/>
              <w:bottom w:val="single" w:sz="4" w:space="0" w:color="auto"/>
            </w:tcBorders>
            <w:vAlign w:val="center"/>
          </w:tcPr>
          <w:p w14:paraId="1A6AAB33" w14:textId="77777777" w:rsidR="00576FE1" w:rsidRPr="00774240" w:rsidRDefault="00576FE1" w:rsidP="00115CD6">
            <w:pPr>
              <w:jc w:val="center"/>
              <w:rPr>
                <w:sz w:val="18"/>
                <w:szCs w:val="18"/>
              </w:rPr>
            </w:pPr>
            <w:r w:rsidRPr="00774240">
              <w:rPr>
                <w:sz w:val="18"/>
                <w:szCs w:val="18"/>
              </w:rPr>
              <w:t>0.97 (0.76-1.25)</w:t>
            </w:r>
          </w:p>
        </w:tc>
        <w:tc>
          <w:tcPr>
            <w:tcW w:w="859" w:type="dxa"/>
            <w:vMerge w:val="restart"/>
            <w:tcBorders>
              <w:top w:val="single" w:sz="4" w:space="0" w:color="auto"/>
              <w:bottom w:val="single" w:sz="4" w:space="0" w:color="auto"/>
            </w:tcBorders>
            <w:vAlign w:val="center"/>
          </w:tcPr>
          <w:p w14:paraId="093674A6" w14:textId="77777777" w:rsidR="00576FE1" w:rsidRPr="00774240" w:rsidRDefault="00576FE1" w:rsidP="00115CD6">
            <w:pPr>
              <w:jc w:val="center"/>
              <w:rPr>
                <w:sz w:val="18"/>
                <w:szCs w:val="18"/>
              </w:rPr>
            </w:pPr>
            <w:r w:rsidRPr="00774240">
              <w:rPr>
                <w:sz w:val="18"/>
                <w:szCs w:val="18"/>
              </w:rPr>
              <w:t>0.8313</w:t>
            </w:r>
          </w:p>
        </w:tc>
      </w:tr>
      <w:tr w:rsidR="00576FE1" w:rsidRPr="00774240" w14:paraId="1734E859" w14:textId="77777777" w:rsidTr="00576FE1">
        <w:trPr>
          <w:trHeight w:val="265"/>
        </w:trPr>
        <w:tc>
          <w:tcPr>
            <w:tcW w:w="3639" w:type="dxa"/>
            <w:vMerge/>
            <w:tcBorders>
              <w:top w:val="single" w:sz="4" w:space="0" w:color="auto"/>
              <w:bottom w:val="single" w:sz="4" w:space="0" w:color="auto"/>
            </w:tcBorders>
            <w:vAlign w:val="center"/>
          </w:tcPr>
          <w:p w14:paraId="0488B21B"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0B25783C"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37825D64" w14:textId="77777777" w:rsidR="00576FE1" w:rsidRPr="00774240" w:rsidRDefault="00576FE1" w:rsidP="00115CD6">
            <w:pPr>
              <w:jc w:val="center"/>
              <w:rPr>
                <w:sz w:val="18"/>
                <w:szCs w:val="18"/>
              </w:rPr>
            </w:pPr>
            <w:r w:rsidRPr="00774240">
              <w:rPr>
                <w:sz w:val="18"/>
                <w:szCs w:val="18"/>
              </w:rPr>
              <w:t>28.4 (24.7-35.4)</w:t>
            </w:r>
          </w:p>
        </w:tc>
        <w:tc>
          <w:tcPr>
            <w:tcW w:w="1559" w:type="dxa"/>
            <w:vMerge/>
            <w:tcBorders>
              <w:top w:val="single" w:sz="4" w:space="0" w:color="auto"/>
              <w:bottom w:val="single" w:sz="4" w:space="0" w:color="auto"/>
            </w:tcBorders>
            <w:vAlign w:val="center"/>
          </w:tcPr>
          <w:p w14:paraId="1F45A161"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4D4CD284" w14:textId="77777777" w:rsidR="00576FE1" w:rsidRPr="00774240" w:rsidRDefault="00576FE1" w:rsidP="00115CD6">
            <w:pPr>
              <w:jc w:val="center"/>
              <w:rPr>
                <w:sz w:val="18"/>
                <w:szCs w:val="18"/>
              </w:rPr>
            </w:pPr>
          </w:p>
        </w:tc>
      </w:tr>
      <w:tr w:rsidR="00576FE1" w:rsidRPr="00774240" w14:paraId="164F77F8" w14:textId="77777777" w:rsidTr="00576FE1">
        <w:trPr>
          <w:trHeight w:val="265"/>
        </w:trPr>
        <w:tc>
          <w:tcPr>
            <w:tcW w:w="3639" w:type="dxa"/>
            <w:vMerge w:val="restart"/>
            <w:tcBorders>
              <w:top w:val="single" w:sz="4" w:space="0" w:color="auto"/>
              <w:bottom w:val="single" w:sz="4" w:space="0" w:color="auto"/>
            </w:tcBorders>
            <w:vAlign w:val="center"/>
          </w:tcPr>
          <w:p w14:paraId="63C2625D" w14:textId="77777777" w:rsidR="00576FE1" w:rsidRPr="00774240" w:rsidRDefault="00576FE1" w:rsidP="00115CD6">
            <w:pPr>
              <w:rPr>
                <w:sz w:val="18"/>
                <w:szCs w:val="18"/>
              </w:rPr>
            </w:pPr>
            <w:r w:rsidRPr="00774240">
              <w:rPr>
                <w:sz w:val="18"/>
                <w:szCs w:val="18"/>
              </w:rPr>
              <w:t>PFS-R non-visceral disease</w:t>
            </w:r>
          </w:p>
        </w:tc>
        <w:tc>
          <w:tcPr>
            <w:tcW w:w="756" w:type="dxa"/>
            <w:tcBorders>
              <w:top w:val="single" w:sz="4" w:space="0" w:color="auto"/>
              <w:bottom w:val="dotted" w:sz="4" w:space="0" w:color="auto"/>
            </w:tcBorders>
            <w:vAlign w:val="center"/>
          </w:tcPr>
          <w:p w14:paraId="3344874B"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6707053C" w14:textId="77777777" w:rsidR="00576FE1" w:rsidRPr="00774240" w:rsidRDefault="00576FE1" w:rsidP="00115CD6">
            <w:pPr>
              <w:jc w:val="center"/>
              <w:rPr>
                <w:sz w:val="18"/>
                <w:szCs w:val="18"/>
              </w:rPr>
            </w:pPr>
            <w:r w:rsidRPr="00774240">
              <w:rPr>
                <w:sz w:val="18"/>
                <w:szCs w:val="18"/>
              </w:rPr>
              <w:t>41.3 (31.5-NE)</w:t>
            </w:r>
          </w:p>
        </w:tc>
        <w:tc>
          <w:tcPr>
            <w:tcW w:w="1559" w:type="dxa"/>
            <w:vMerge w:val="restart"/>
            <w:tcBorders>
              <w:top w:val="single" w:sz="4" w:space="0" w:color="auto"/>
              <w:bottom w:val="single" w:sz="4" w:space="0" w:color="auto"/>
            </w:tcBorders>
            <w:vAlign w:val="center"/>
          </w:tcPr>
          <w:p w14:paraId="1360C975" w14:textId="77777777" w:rsidR="00576FE1" w:rsidRPr="00774240" w:rsidRDefault="00576FE1" w:rsidP="00115CD6">
            <w:pPr>
              <w:jc w:val="center"/>
              <w:rPr>
                <w:sz w:val="18"/>
                <w:szCs w:val="18"/>
              </w:rPr>
            </w:pPr>
            <w:r w:rsidRPr="00774240">
              <w:rPr>
                <w:sz w:val="18"/>
                <w:szCs w:val="18"/>
              </w:rPr>
              <w:t>0.79 (0.55-1.14)</w:t>
            </w:r>
          </w:p>
        </w:tc>
        <w:tc>
          <w:tcPr>
            <w:tcW w:w="859" w:type="dxa"/>
            <w:vMerge w:val="restart"/>
            <w:tcBorders>
              <w:top w:val="single" w:sz="4" w:space="0" w:color="auto"/>
              <w:bottom w:val="single" w:sz="4" w:space="0" w:color="auto"/>
            </w:tcBorders>
            <w:vAlign w:val="center"/>
          </w:tcPr>
          <w:p w14:paraId="031D4E3F" w14:textId="77777777" w:rsidR="00576FE1" w:rsidRPr="00774240" w:rsidRDefault="00576FE1" w:rsidP="00115CD6">
            <w:pPr>
              <w:jc w:val="center"/>
              <w:rPr>
                <w:sz w:val="18"/>
                <w:szCs w:val="18"/>
              </w:rPr>
            </w:pPr>
            <w:r w:rsidRPr="00774240">
              <w:rPr>
                <w:sz w:val="18"/>
                <w:szCs w:val="18"/>
              </w:rPr>
              <w:t>0.2012</w:t>
            </w:r>
          </w:p>
        </w:tc>
      </w:tr>
      <w:tr w:rsidR="00576FE1" w:rsidRPr="00774240" w14:paraId="6A0DC919" w14:textId="77777777" w:rsidTr="00576FE1">
        <w:trPr>
          <w:trHeight w:val="265"/>
        </w:trPr>
        <w:tc>
          <w:tcPr>
            <w:tcW w:w="3639" w:type="dxa"/>
            <w:vMerge/>
            <w:tcBorders>
              <w:top w:val="single" w:sz="4" w:space="0" w:color="auto"/>
              <w:bottom w:val="single" w:sz="4" w:space="0" w:color="auto"/>
            </w:tcBorders>
            <w:vAlign w:val="center"/>
          </w:tcPr>
          <w:p w14:paraId="01BA179A"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5B282365"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2DE2B93B" w14:textId="77777777" w:rsidR="00576FE1" w:rsidRPr="00774240" w:rsidRDefault="00576FE1" w:rsidP="00115CD6">
            <w:pPr>
              <w:jc w:val="center"/>
              <w:rPr>
                <w:sz w:val="18"/>
                <w:szCs w:val="18"/>
              </w:rPr>
            </w:pPr>
            <w:r w:rsidRPr="00774240">
              <w:rPr>
                <w:sz w:val="18"/>
                <w:szCs w:val="18"/>
              </w:rPr>
              <w:t>33.0 (25.1-NE)</w:t>
            </w:r>
          </w:p>
        </w:tc>
        <w:tc>
          <w:tcPr>
            <w:tcW w:w="1559" w:type="dxa"/>
            <w:vMerge/>
            <w:tcBorders>
              <w:top w:val="single" w:sz="4" w:space="0" w:color="auto"/>
              <w:bottom w:val="single" w:sz="4" w:space="0" w:color="auto"/>
            </w:tcBorders>
            <w:vAlign w:val="center"/>
          </w:tcPr>
          <w:p w14:paraId="6DE8C740"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1630D2A5" w14:textId="77777777" w:rsidR="00576FE1" w:rsidRPr="00774240" w:rsidRDefault="00576FE1" w:rsidP="00115CD6">
            <w:pPr>
              <w:jc w:val="center"/>
              <w:rPr>
                <w:sz w:val="18"/>
                <w:szCs w:val="18"/>
              </w:rPr>
            </w:pPr>
          </w:p>
        </w:tc>
      </w:tr>
      <w:tr w:rsidR="00576FE1" w:rsidRPr="00774240" w14:paraId="31E90626" w14:textId="77777777" w:rsidTr="00576FE1">
        <w:trPr>
          <w:trHeight w:val="265"/>
        </w:trPr>
        <w:tc>
          <w:tcPr>
            <w:tcW w:w="3639" w:type="dxa"/>
            <w:vMerge w:val="restart"/>
            <w:tcBorders>
              <w:top w:val="single" w:sz="4" w:space="0" w:color="auto"/>
              <w:bottom w:val="single" w:sz="4" w:space="0" w:color="auto"/>
            </w:tcBorders>
            <w:vAlign w:val="center"/>
          </w:tcPr>
          <w:p w14:paraId="2DE8B706" w14:textId="77777777" w:rsidR="00576FE1" w:rsidRPr="00774240" w:rsidRDefault="00576FE1" w:rsidP="00115CD6">
            <w:pPr>
              <w:rPr>
                <w:sz w:val="18"/>
                <w:szCs w:val="18"/>
              </w:rPr>
            </w:pPr>
            <w:r w:rsidRPr="00774240">
              <w:rPr>
                <w:sz w:val="18"/>
                <w:szCs w:val="18"/>
              </w:rPr>
              <w:t>PFS-R visceral disease</w:t>
            </w:r>
          </w:p>
        </w:tc>
        <w:tc>
          <w:tcPr>
            <w:tcW w:w="756" w:type="dxa"/>
            <w:tcBorders>
              <w:top w:val="single" w:sz="4" w:space="0" w:color="auto"/>
              <w:bottom w:val="dotted" w:sz="4" w:space="0" w:color="auto"/>
            </w:tcBorders>
            <w:vAlign w:val="center"/>
          </w:tcPr>
          <w:p w14:paraId="53C22D15"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5B48588B" w14:textId="77777777" w:rsidR="00576FE1" w:rsidRPr="00774240" w:rsidRDefault="00576FE1" w:rsidP="00115CD6">
            <w:pPr>
              <w:jc w:val="center"/>
              <w:rPr>
                <w:sz w:val="18"/>
                <w:szCs w:val="18"/>
              </w:rPr>
            </w:pPr>
            <w:r w:rsidRPr="00774240">
              <w:rPr>
                <w:sz w:val="18"/>
                <w:szCs w:val="18"/>
              </w:rPr>
              <w:t>19.2 (16.0-25.2)</w:t>
            </w:r>
          </w:p>
        </w:tc>
        <w:tc>
          <w:tcPr>
            <w:tcW w:w="1559" w:type="dxa"/>
            <w:vMerge w:val="restart"/>
            <w:tcBorders>
              <w:top w:val="single" w:sz="4" w:space="0" w:color="auto"/>
              <w:bottom w:val="single" w:sz="4" w:space="0" w:color="auto"/>
            </w:tcBorders>
            <w:vAlign w:val="center"/>
          </w:tcPr>
          <w:p w14:paraId="0179A524" w14:textId="77777777" w:rsidR="00576FE1" w:rsidRPr="00774240" w:rsidRDefault="00576FE1" w:rsidP="00115CD6">
            <w:pPr>
              <w:jc w:val="center"/>
              <w:rPr>
                <w:sz w:val="18"/>
                <w:szCs w:val="18"/>
              </w:rPr>
            </w:pPr>
            <w:r w:rsidRPr="00774240">
              <w:rPr>
                <w:sz w:val="18"/>
                <w:szCs w:val="18"/>
              </w:rPr>
              <w:t>1.22 (0.87-1.70)</w:t>
            </w:r>
          </w:p>
        </w:tc>
        <w:tc>
          <w:tcPr>
            <w:tcW w:w="859" w:type="dxa"/>
            <w:vMerge w:val="restart"/>
            <w:tcBorders>
              <w:top w:val="single" w:sz="4" w:space="0" w:color="auto"/>
              <w:bottom w:val="single" w:sz="4" w:space="0" w:color="auto"/>
            </w:tcBorders>
            <w:vAlign w:val="center"/>
          </w:tcPr>
          <w:p w14:paraId="32C104FC" w14:textId="77777777" w:rsidR="00576FE1" w:rsidRPr="00774240" w:rsidRDefault="00576FE1" w:rsidP="00115CD6">
            <w:pPr>
              <w:jc w:val="center"/>
              <w:rPr>
                <w:sz w:val="18"/>
                <w:szCs w:val="18"/>
              </w:rPr>
            </w:pPr>
            <w:r w:rsidRPr="00774240">
              <w:rPr>
                <w:sz w:val="18"/>
                <w:szCs w:val="18"/>
              </w:rPr>
              <w:t>0.2497</w:t>
            </w:r>
          </w:p>
        </w:tc>
      </w:tr>
      <w:tr w:rsidR="00576FE1" w:rsidRPr="00774240" w14:paraId="62F3D9FC" w14:textId="77777777" w:rsidTr="00576FE1">
        <w:trPr>
          <w:trHeight w:val="265"/>
        </w:trPr>
        <w:tc>
          <w:tcPr>
            <w:tcW w:w="3639" w:type="dxa"/>
            <w:vMerge/>
            <w:tcBorders>
              <w:top w:val="single" w:sz="4" w:space="0" w:color="auto"/>
              <w:bottom w:val="single" w:sz="4" w:space="0" w:color="auto"/>
            </w:tcBorders>
            <w:vAlign w:val="center"/>
          </w:tcPr>
          <w:p w14:paraId="539DB389"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63FD7B27"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0E6A6A60" w14:textId="77777777" w:rsidR="00576FE1" w:rsidRPr="00774240" w:rsidRDefault="00576FE1" w:rsidP="00115CD6">
            <w:pPr>
              <w:jc w:val="center"/>
              <w:rPr>
                <w:sz w:val="18"/>
                <w:szCs w:val="18"/>
              </w:rPr>
            </w:pPr>
            <w:r w:rsidRPr="00774240">
              <w:rPr>
                <w:sz w:val="18"/>
                <w:szCs w:val="18"/>
              </w:rPr>
              <w:t>25.2 (19.4-34.0)</w:t>
            </w:r>
          </w:p>
        </w:tc>
        <w:tc>
          <w:tcPr>
            <w:tcW w:w="1559" w:type="dxa"/>
            <w:vMerge/>
            <w:tcBorders>
              <w:top w:val="single" w:sz="4" w:space="0" w:color="auto"/>
              <w:bottom w:val="single" w:sz="4" w:space="0" w:color="auto"/>
            </w:tcBorders>
            <w:vAlign w:val="center"/>
          </w:tcPr>
          <w:p w14:paraId="237FAB3C"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73D8E5C6" w14:textId="77777777" w:rsidR="00576FE1" w:rsidRPr="00774240" w:rsidRDefault="00576FE1" w:rsidP="00115CD6">
            <w:pPr>
              <w:jc w:val="center"/>
              <w:rPr>
                <w:sz w:val="18"/>
                <w:szCs w:val="18"/>
              </w:rPr>
            </w:pPr>
          </w:p>
        </w:tc>
      </w:tr>
      <w:tr w:rsidR="00576FE1" w:rsidRPr="00774240" w14:paraId="0AF7FCFD" w14:textId="77777777" w:rsidTr="00576FE1">
        <w:trPr>
          <w:trHeight w:val="265"/>
        </w:trPr>
        <w:tc>
          <w:tcPr>
            <w:tcW w:w="3639" w:type="dxa"/>
            <w:vMerge w:val="restart"/>
            <w:tcBorders>
              <w:top w:val="single" w:sz="4" w:space="0" w:color="auto"/>
              <w:bottom w:val="single" w:sz="4" w:space="0" w:color="auto"/>
            </w:tcBorders>
            <w:vAlign w:val="center"/>
          </w:tcPr>
          <w:p w14:paraId="3FFE7888" w14:textId="77777777" w:rsidR="00576FE1" w:rsidRPr="005D3195" w:rsidRDefault="00576FE1" w:rsidP="00115CD6">
            <w:pPr>
              <w:rPr>
                <w:sz w:val="18"/>
                <w:szCs w:val="18"/>
                <w:lang w:val="es-ES"/>
              </w:rPr>
            </w:pPr>
            <w:r w:rsidRPr="005D3195">
              <w:rPr>
                <w:sz w:val="18"/>
                <w:szCs w:val="18"/>
                <w:lang w:val="es-ES"/>
              </w:rPr>
              <w:t xml:space="preserve">PFS-R non-de </w:t>
            </w:r>
            <w:proofErr w:type="spellStart"/>
            <w:r w:rsidRPr="005D3195">
              <w:rPr>
                <w:sz w:val="18"/>
                <w:szCs w:val="18"/>
                <w:lang w:val="es-ES"/>
              </w:rPr>
              <w:t>novo</w:t>
            </w:r>
            <w:proofErr w:type="spellEnd"/>
            <w:r w:rsidRPr="005D3195">
              <w:rPr>
                <w:sz w:val="18"/>
                <w:szCs w:val="18"/>
                <w:lang w:val="es-ES"/>
              </w:rPr>
              <w:t xml:space="preserve"> </w:t>
            </w:r>
            <w:proofErr w:type="spellStart"/>
            <w:r w:rsidRPr="005D3195">
              <w:rPr>
                <w:sz w:val="18"/>
                <w:szCs w:val="18"/>
                <w:lang w:val="es-ES"/>
              </w:rPr>
              <w:t>metastasis</w:t>
            </w:r>
            <w:proofErr w:type="spellEnd"/>
          </w:p>
        </w:tc>
        <w:tc>
          <w:tcPr>
            <w:tcW w:w="756" w:type="dxa"/>
            <w:tcBorders>
              <w:top w:val="single" w:sz="4" w:space="0" w:color="auto"/>
              <w:bottom w:val="dotted" w:sz="4" w:space="0" w:color="auto"/>
            </w:tcBorders>
            <w:vAlign w:val="center"/>
          </w:tcPr>
          <w:p w14:paraId="2062C709"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087A5EA4" w14:textId="77777777" w:rsidR="00576FE1" w:rsidRPr="00774240" w:rsidRDefault="00576FE1" w:rsidP="00115CD6">
            <w:pPr>
              <w:jc w:val="center"/>
              <w:rPr>
                <w:sz w:val="18"/>
                <w:szCs w:val="18"/>
              </w:rPr>
            </w:pPr>
            <w:r w:rsidRPr="00774240">
              <w:rPr>
                <w:sz w:val="18"/>
                <w:szCs w:val="18"/>
              </w:rPr>
              <w:t>28.7 (24.6-36.2)</w:t>
            </w:r>
          </w:p>
        </w:tc>
        <w:tc>
          <w:tcPr>
            <w:tcW w:w="1559" w:type="dxa"/>
            <w:vMerge w:val="restart"/>
            <w:tcBorders>
              <w:top w:val="single" w:sz="4" w:space="0" w:color="auto"/>
              <w:bottom w:val="single" w:sz="4" w:space="0" w:color="auto"/>
            </w:tcBorders>
            <w:vAlign w:val="center"/>
          </w:tcPr>
          <w:p w14:paraId="598D8029" w14:textId="77777777" w:rsidR="00576FE1" w:rsidRPr="00774240" w:rsidRDefault="00576FE1" w:rsidP="00115CD6">
            <w:pPr>
              <w:jc w:val="center"/>
              <w:rPr>
                <w:sz w:val="18"/>
                <w:szCs w:val="18"/>
              </w:rPr>
            </w:pPr>
            <w:r w:rsidRPr="00774240">
              <w:rPr>
                <w:sz w:val="18"/>
                <w:szCs w:val="18"/>
              </w:rPr>
              <w:t>0.95 (0.69-1.31)</w:t>
            </w:r>
          </w:p>
        </w:tc>
        <w:tc>
          <w:tcPr>
            <w:tcW w:w="859" w:type="dxa"/>
            <w:vMerge w:val="restart"/>
            <w:tcBorders>
              <w:top w:val="single" w:sz="4" w:space="0" w:color="auto"/>
              <w:bottom w:val="single" w:sz="4" w:space="0" w:color="auto"/>
            </w:tcBorders>
            <w:vAlign w:val="center"/>
          </w:tcPr>
          <w:p w14:paraId="247A82C8" w14:textId="77777777" w:rsidR="00576FE1" w:rsidRPr="00774240" w:rsidRDefault="00576FE1" w:rsidP="00115CD6">
            <w:pPr>
              <w:jc w:val="center"/>
              <w:rPr>
                <w:sz w:val="18"/>
                <w:szCs w:val="18"/>
              </w:rPr>
            </w:pPr>
            <w:r w:rsidRPr="00774240">
              <w:rPr>
                <w:sz w:val="18"/>
                <w:szCs w:val="18"/>
              </w:rPr>
              <w:t>0.7570</w:t>
            </w:r>
          </w:p>
        </w:tc>
      </w:tr>
      <w:tr w:rsidR="00576FE1" w:rsidRPr="00774240" w14:paraId="746710AC" w14:textId="77777777" w:rsidTr="00576FE1">
        <w:trPr>
          <w:trHeight w:val="265"/>
        </w:trPr>
        <w:tc>
          <w:tcPr>
            <w:tcW w:w="3639" w:type="dxa"/>
            <w:vMerge/>
            <w:tcBorders>
              <w:top w:val="single" w:sz="4" w:space="0" w:color="auto"/>
              <w:bottom w:val="single" w:sz="4" w:space="0" w:color="auto"/>
            </w:tcBorders>
            <w:vAlign w:val="center"/>
          </w:tcPr>
          <w:p w14:paraId="66B13094"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36A18039"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6CC0D81B" w14:textId="77777777" w:rsidR="00576FE1" w:rsidRPr="00774240" w:rsidRDefault="00576FE1" w:rsidP="00115CD6">
            <w:pPr>
              <w:jc w:val="center"/>
              <w:rPr>
                <w:sz w:val="18"/>
                <w:szCs w:val="18"/>
              </w:rPr>
            </w:pPr>
            <w:r w:rsidRPr="00774240">
              <w:rPr>
                <w:sz w:val="18"/>
                <w:szCs w:val="18"/>
              </w:rPr>
              <w:t>27.7 (21.1-38.7)</w:t>
            </w:r>
          </w:p>
        </w:tc>
        <w:tc>
          <w:tcPr>
            <w:tcW w:w="1559" w:type="dxa"/>
            <w:vMerge/>
            <w:tcBorders>
              <w:top w:val="single" w:sz="4" w:space="0" w:color="auto"/>
              <w:bottom w:val="single" w:sz="4" w:space="0" w:color="auto"/>
            </w:tcBorders>
            <w:vAlign w:val="center"/>
          </w:tcPr>
          <w:p w14:paraId="3D2F7600"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60CEB0F2" w14:textId="77777777" w:rsidR="00576FE1" w:rsidRPr="00774240" w:rsidRDefault="00576FE1" w:rsidP="00115CD6">
            <w:pPr>
              <w:jc w:val="center"/>
              <w:rPr>
                <w:sz w:val="18"/>
                <w:szCs w:val="18"/>
              </w:rPr>
            </w:pPr>
          </w:p>
        </w:tc>
      </w:tr>
      <w:tr w:rsidR="00576FE1" w:rsidRPr="00774240" w14:paraId="7D1F58F2" w14:textId="77777777" w:rsidTr="00576FE1">
        <w:trPr>
          <w:trHeight w:val="265"/>
        </w:trPr>
        <w:tc>
          <w:tcPr>
            <w:tcW w:w="3639" w:type="dxa"/>
            <w:vMerge w:val="restart"/>
            <w:tcBorders>
              <w:top w:val="single" w:sz="4" w:space="0" w:color="auto"/>
              <w:bottom w:val="single" w:sz="4" w:space="0" w:color="auto"/>
            </w:tcBorders>
            <w:vAlign w:val="center"/>
          </w:tcPr>
          <w:p w14:paraId="30F791BE" w14:textId="77777777" w:rsidR="00576FE1" w:rsidRPr="005D3195" w:rsidRDefault="00576FE1" w:rsidP="00115CD6">
            <w:pPr>
              <w:rPr>
                <w:sz w:val="18"/>
                <w:szCs w:val="18"/>
                <w:lang w:val="es-ES"/>
              </w:rPr>
            </w:pPr>
            <w:r w:rsidRPr="005D3195">
              <w:rPr>
                <w:sz w:val="18"/>
                <w:szCs w:val="18"/>
                <w:lang w:val="es-ES"/>
              </w:rPr>
              <w:t xml:space="preserve">PFS-R de </w:t>
            </w:r>
            <w:proofErr w:type="spellStart"/>
            <w:r w:rsidRPr="005D3195">
              <w:rPr>
                <w:sz w:val="18"/>
                <w:szCs w:val="18"/>
                <w:lang w:val="es-ES"/>
              </w:rPr>
              <w:t>novo</w:t>
            </w:r>
            <w:proofErr w:type="spellEnd"/>
            <w:r w:rsidRPr="005D3195">
              <w:rPr>
                <w:sz w:val="18"/>
                <w:szCs w:val="18"/>
                <w:lang w:val="es-ES"/>
              </w:rPr>
              <w:t xml:space="preserve"> </w:t>
            </w:r>
            <w:proofErr w:type="spellStart"/>
            <w:r w:rsidRPr="005D3195">
              <w:rPr>
                <w:sz w:val="18"/>
                <w:szCs w:val="18"/>
                <w:lang w:val="es-ES"/>
              </w:rPr>
              <w:t>metastasis</w:t>
            </w:r>
            <w:proofErr w:type="spellEnd"/>
          </w:p>
        </w:tc>
        <w:tc>
          <w:tcPr>
            <w:tcW w:w="756" w:type="dxa"/>
            <w:tcBorders>
              <w:top w:val="single" w:sz="4" w:space="0" w:color="auto"/>
              <w:bottom w:val="dotted" w:sz="4" w:space="0" w:color="auto"/>
            </w:tcBorders>
            <w:vAlign w:val="center"/>
          </w:tcPr>
          <w:p w14:paraId="249EF839"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01A56027" w14:textId="77777777" w:rsidR="00576FE1" w:rsidRPr="00774240" w:rsidRDefault="00576FE1" w:rsidP="00115CD6">
            <w:pPr>
              <w:jc w:val="center"/>
              <w:rPr>
                <w:sz w:val="18"/>
                <w:szCs w:val="18"/>
              </w:rPr>
            </w:pPr>
            <w:r w:rsidRPr="00774240">
              <w:rPr>
                <w:sz w:val="18"/>
                <w:szCs w:val="18"/>
              </w:rPr>
              <w:t>29.6 (19.3-44.2)</w:t>
            </w:r>
          </w:p>
        </w:tc>
        <w:tc>
          <w:tcPr>
            <w:tcW w:w="1559" w:type="dxa"/>
            <w:vMerge w:val="restart"/>
            <w:tcBorders>
              <w:top w:val="single" w:sz="4" w:space="0" w:color="auto"/>
              <w:bottom w:val="single" w:sz="4" w:space="0" w:color="auto"/>
            </w:tcBorders>
            <w:vAlign w:val="center"/>
          </w:tcPr>
          <w:p w14:paraId="4066698C" w14:textId="77777777" w:rsidR="00576FE1" w:rsidRPr="00774240" w:rsidRDefault="00576FE1" w:rsidP="00115CD6">
            <w:pPr>
              <w:jc w:val="center"/>
              <w:rPr>
                <w:sz w:val="18"/>
                <w:szCs w:val="18"/>
              </w:rPr>
            </w:pPr>
            <w:r w:rsidRPr="00774240">
              <w:rPr>
                <w:sz w:val="18"/>
                <w:szCs w:val="18"/>
              </w:rPr>
              <w:t>0.99 (0.67-1.44)</w:t>
            </w:r>
          </w:p>
        </w:tc>
        <w:tc>
          <w:tcPr>
            <w:tcW w:w="859" w:type="dxa"/>
            <w:vMerge w:val="restart"/>
            <w:tcBorders>
              <w:top w:val="single" w:sz="4" w:space="0" w:color="auto"/>
              <w:bottom w:val="single" w:sz="4" w:space="0" w:color="auto"/>
            </w:tcBorders>
            <w:vAlign w:val="center"/>
          </w:tcPr>
          <w:p w14:paraId="33EBEE3D" w14:textId="77777777" w:rsidR="00576FE1" w:rsidRPr="00774240" w:rsidRDefault="00576FE1" w:rsidP="00115CD6">
            <w:pPr>
              <w:jc w:val="center"/>
              <w:rPr>
                <w:sz w:val="18"/>
                <w:szCs w:val="18"/>
              </w:rPr>
            </w:pPr>
            <w:r w:rsidRPr="00774240">
              <w:rPr>
                <w:sz w:val="18"/>
                <w:szCs w:val="18"/>
              </w:rPr>
              <w:t>0.9438</w:t>
            </w:r>
          </w:p>
        </w:tc>
      </w:tr>
      <w:tr w:rsidR="00576FE1" w:rsidRPr="00774240" w14:paraId="2C833BDB" w14:textId="77777777" w:rsidTr="00576FE1">
        <w:trPr>
          <w:trHeight w:val="265"/>
        </w:trPr>
        <w:tc>
          <w:tcPr>
            <w:tcW w:w="3639" w:type="dxa"/>
            <w:vMerge/>
            <w:tcBorders>
              <w:top w:val="single" w:sz="4" w:space="0" w:color="auto"/>
              <w:bottom w:val="single" w:sz="4" w:space="0" w:color="auto"/>
            </w:tcBorders>
            <w:vAlign w:val="center"/>
          </w:tcPr>
          <w:p w14:paraId="36A4445C"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56DF4E6B"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4FD04646" w14:textId="77777777" w:rsidR="00576FE1" w:rsidRPr="00774240" w:rsidRDefault="00576FE1" w:rsidP="00115CD6">
            <w:pPr>
              <w:jc w:val="center"/>
              <w:rPr>
                <w:sz w:val="18"/>
                <w:szCs w:val="18"/>
              </w:rPr>
            </w:pPr>
            <w:r w:rsidRPr="00774240">
              <w:rPr>
                <w:sz w:val="18"/>
                <w:szCs w:val="18"/>
              </w:rPr>
              <w:t>30.6 (22.1-38.5)</w:t>
            </w:r>
          </w:p>
        </w:tc>
        <w:tc>
          <w:tcPr>
            <w:tcW w:w="1559" w:type="dxa"/>
            <w:vMerge/>
            <w:tcBorders>
              <w:top w:val="single" w:sz="4" w:space="0" w:color="auto"/>
              <w:bottom w:val="single" w:sz="4" w:space="0" w:color="auto"/>
            </w:tcBorders>
            <w:vAlign w:val="center"/>
          </w:tcPr>
          <w:p w14:paraId="0424B863"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0FC24FFC" w14:textId="77777777" w:rsidR="00576FE1" w:rsidRPr="00774240" w:rsidRDefault="00576FE1" w:rsidP="00115CD6">
            <w:pPr>
              <w:jc w:val="center"/>
              <w:rPr>
                <w:sz w:val="18"/>
                <w:szCs w:val="18"/>
              </w:rPr>
            </w:pPr>
          </w:p>
        </w:tc>
      </w:tr>
      <w:tr w:rsidR="00576FE1" w:rsidRPr="00774240" w14:paraId="212FA798" w14:textId="77777777" w:rsidTr="00576FE1">
        <w:trPr>
          <w:trHeight w:val="265"/>
        </w:trPr>
        <w:tc>
          <w:tcPr>
            <w:tcW w:w="3639" w:type="dxa"/>
            <w:vMerge w:val="restart"/>
            <w:tcBorders>
              <w:top w:val="single" w:sz="4" w:space="0" w:color="auto"/>
              <w:bottom w:val="single" w:sz="4" w:space="0" w:color="auto"/>
            </w:tcBorders>
            <w:vAlign w:val="center"/>
          </w:tcPr>
          <w:p w14:paraId="419C1B12" w14:textId="77777777" w:rsidR="00576FE1" w:rsidRPr="00774240" w:rsidRDefault="00576FE1" w:rsidP="00115CD6">
            <w:pPr>
              <w:rPr>
                <w:sz w:val="18"/>
                <w:szCs w:val="18"/>
              </w:rPr>
            </w:pPr>
            <w:r w:rsidRPr="00774240">
              <w:rPr>
                <w:sz w:val="18"/>
                <w:szCs w:val="18"/>
              </w:rPr>
              <w:t xml:space="preserve">PFS-R non-visceral disease / non-de novo </w:t>
            </w:r>
            <w:proofErr w:type="spellStart"/>
            <w:r w:rsidRPr="00774240">
              <w:rPr>
                <w:sz w:val="18"/>
                <w:szCs w:val="18"/>
              </w:rPr>
              <w:t>diasease</w:t>
            </w:r>
            <w:proofErr w:type="spellEnd"/>
          </w:p>
        </w:tc>
        <w:tc>
          <w:tcPr>
            <w:tcW w:w="756" w:type="dxa"/>
            <w:tcBorders>
              <w:top w:val="single" w:sz="4" w:space="0" w:color="auto"/>
              <w:bottom w:val="dotted" w:sz="4" w:space="0" w:color="auto"/>
            </w:tcBorders>
            <w:vAlign w:val="center"/>
          </w:tcPr>
          <w:p w14:paraId="1CC76B91"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29764DFA" w14:textId="77777777" w:rsidR="00576FE1" w:rsidRPr="00774240" w:rsidRDefault="00576FE1" w:rsidP="00115CD6">
            <w:pPr>
              <w:jc w:val="center"/>
              <w:rPr>
                <w:sz w:val="18"/>
                <w:szCs w:val="18"/>
              </w:rPr>
            </w:pPr>
            <w:r w:rsidRPr="00774240">
              <w:rPr>
                <w:sz w:val="18"/>
                <w:szCs w:val="18"/>
              </w:rPr>
              <w:t>41.3 (29.7-NE)</w:t>
            </w:r>
          </w:p>
        </w:tc>
        <w:tc>
          <w:tcPr>
            <w:tcW w:w="1559" w:type="dxa"/>
            <w:vMerge w:val="restart"/>
            <w:tcBorders>
              <w:top w:val="single" w:sz="4" w:space="0" w:color="auto"/>
              <w:bottom w:val="single" w:sz="4" w:space="0" w:color="auto"/>
            </w:tcBorders>
            <w:vAlign w:val="center"/>
          </w:tcPr>
          <w:p w14:paraId="3A9A416B" w14:textId="77777777" w:rsidR="00576FE1" w:rsidRPr="00774240" w:rsidRDefault="00576FE1" w:rsidP="00115CD6">
            <w:pPr>
              <w:jc w:val="center"/>
              <w:rPr>
                <w:sz w:val="18"/>
                <w:szCs w:val="18"/>
              </w:rPr>
            </w:pPr>
            <w:r w:rsidRPr="00774240">
              <w:rPr>
                <w:sz w:val="18"/>
                <w:szCs w:val="18"/>
              </w:rPr>
              <w:t>0.69 (0.42-1.12)</w:t>
            </w:r>
          </w:p>
        </w:tc>
        <w:tc>
          <w:tcPr>
            <w:tcW w:w="859" w:type="dxa"/>
            <w:vMerge w:val="restart"/>
            <w:tcBorders>
              <w:top w:val="single" w:sz="4" w:space="0" w:color="auto"/>
              <w:bottom w:val="single" w:sz="4" w:space="0" w:color="auto"/>
            </w:tcBorders>
            <w:vAlign w:val="center"/>
          </w:tcPr>
          <w:p w14:paraId="4ACC784B" w14:textId="77777777" w:rsidR="00576FE1" w:rsidRPr="00774240" w:rsidRDefault="00576FE1" w:rsidP="00115CD6">
            <w:pPr>
              <w:jc w:val="center"/>
              <w:rPr>
                <w:sz w:val="18"/>
                <w:szCs w:val="18"/>
              </w:rPr>
            </w:pPr>
            <w:r w:rsidRPr="00774240">
              <w:rPr>
                <w:sz w:val="18"/>
                <w:szCs w:val="18"/>
              </w:rPr>
              <w:t>0.1336</w:t>
            </w:r>
          </w:p>
        </w:tc>
      </w:tr>
      <w:tr w:rsidR="00576FE1" w:rsidRPr="00774240" w14:paraId="120FF1F4" w14:textId="77777777" w:rsidTr="00576FE1">
        <w:trPr>
          <w:trHeight w:val="265"/>
        </w:trPr>
        <w:tc>
          <w:tcPr>
            <w:tcW w:w="3639" w:type="dxa"/>
            <w:vMerge/>
            <w:tcBorders>
              <w:top w:val="single" w:sz="4" w:space="0" w:color="auto"/>
              <w:bottom w:val="single" w:sz="4" w:space="0" w:color="auto"/>
            </w:tcBorders>
            <w:vAlign w:val="center"/>
          </w:tcPr>
          <w:p w14:paraId="3C3D3D99"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1470E615"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4A3782C1" w14:textId="77777777" w:rsidR="00576FE1" w:rsidRPr="00774240" w:rsidRDefault="00576FE1" w:rsidP="00115CD6">
            <w:pPr>
              <w:jc w:val="center"/>
              <w:rPr>
                <w:sz w:val="18"/>
                <w:szCs w:val="18"/>
              </w:rPr>
            </w:pPr>
            <w:r w:rsidRPr="00774240">
              <w:rPr>
                <w:sz w:val="18"/>
                <w:szCs w:val="18"/>
              </w:rPr>
              <w:t>32.9 (19.3-NE)</w:t>
            </w:r>
          </w:p>
        </w:tc>
        <w:tc>
          <w:tcPr>
            <w:tcW w:w="1559" w:type="dxa"/>
            <w:vMerge/>
            <w:tcBorders>
              <w:top w:val="single" w:sz="4" w:space="0" w:color="auto"/>
              <w:bottom w:val="single" w:sz="4" w:space="0" w:color="auto"/>
            </w:tcBorders>
            <w:vAlign w:val="center"/>
          </w:tcPr>
          <w:p w14:paraId="4E9FF8C2"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6A1711BA" w14:textId="77777777" w:rsidR="00576FE1" w:rsidRPr="00774240" w:rsidRDefault="00576FE1" w:rsidP="00115CD6">
            <w:pPr>
              <w:jc w:val="center"/>
              <w:rPr>
                <w:sz w:val="18"/>
                <w:szCs w:val="18"/>
              </w:rPr>
            </w:pPr>
          </w:p>
        </w:tc>
      </w:tr>
      <w:tr w:rsidR="00576FE1" w:rsidRPr="00774240" w14:paraId="45A15028" w14:textId="77777777" w:rsidTr="00576FE1">
        <w:trPr>
          <w:trHeight w:val="265"/>
        </w:trPr>
        <w:tc>
          <w:tcPr>
            <w:tcW w:w="3639" w:type="dxa"/>
            <w:vMerge w:val="restart"/>
            <w:tcBorders>
              <w:top w:val="single" w:sz="4" w:space="0" w:color="auto"/>
              <w:bottom w:val="single" w:sz="4" w:space="0" w:color="auto"/>
            </w:tcBorders>
            <w:vAlign w:val="center"/>
          </w:tcPr>
          <w:p w14:paraId="08C1C7E7" w14:textId="77777777" w:rsidR="00576FE1" w:rsidRPr="005D3195" w:rsidRDefault="00576FE1" w:rsidP="00115CD6">
            <w:pPr>
              <w:rPr>
                <w:sz w:val="18"/>
                <w:szCs w:val="18"/>
                <w:lang w:val="es-ES"/>
              </w:rPr>
            </w:pPr>
            <w:r w:rsidRPr="005D3195">
              <w:rPr>
                <w:sz w:val="18"/>
                <w:szCs w:val="18"/>
                <w:lang w:val="es-ES"/>
              </w:rPr>
              <w:lastRenderedPageBreak/>
              <w:t xml:space="preserve">PFS-R non-visceral </w:t>
            </w:r>
            <w:proofErr w:type="spellStart"/>
            <w:r w:rsidRPr="005D3195">
              <w:rPr>
                <w:sz w:val="18"/>
                <w:szCs w:val="18"/>
                <w:lang w:val="es-ES"/>
              </w:rPr>
              <w:t>disease</w:t>
            </w:r>
            <w:proofErr w:type="spellEnd"/>
            <w:r w:rsidRPr="005D3195">
              <w:rPr>
                <w:sz w:val="18"/>
                <w:szCs w:val="18"/>
                <w:lang w:val="es-ES"/>
              </w:rPr>
              <w:t xml:space="preserve"> / de </w:t>
            </w:r>
            <w:proofErr w:type="spellStart"/>
            <w:r w:rsidRPr="005D3195">
              <w:rPr>
                <w:sz w:val="18"/>
                <w:szCs w:val="18"/>
                <w:lang w:val="es-ES"/>
              </w:rPr>
              <w:t>novo</w:t>
            </w:r>
            <w:proofErr w:type="spellEnd"/>
            <w:r w:rsidRPr="005D3195">
              <w:rPr>
                <w:sz w:val="18"/>
                <w:szCs w:val="18"/>
                <w:lang w:val="es-ES"/>
              </w:rPr>
              <w:t xml:space="preserve"> </w:t>
            </w:r>
            <w:proofErr w:type="spellStart"/>
            <w:r w:rsidRPr="005D3195">
              <w:rPr>
                <w:sz w:val="18"/>
                <w:szCs w:val="18"/>
                <w:lang w:val="es-ES"/>
              </w:rPr>
              <w:t>diasease</w:t>
            </w:r>
            <w:proofErr w:type="spellEnd"/>
          </w:p>
        </w:tc>
        <w:tc>
          <w:tcPr>
            <w:tcW w:w="756" w:type="dxa"/>
            <w:tcBorders>
              <w:top w:val="single" w:sz="4" w:space="0" w:color="auto"/>
              <w:bottom w:val="dotted" w:sz="4" w:space="0" w:color="auto"/>
            </w:tcBorders>
            <w:vAlign w:val="center"/>
          </w:tcPr>
          <w:p w14:paraId="0D1EAD7B"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6CF202E0" w14:textId="77777777" w:rsidR="00576FE1" w:rsidRPr="00774240" w:rsidRDefault="00576FE1" w:rsidP="00115CD6">
            <w:pPr>
              <w:jc w:val="center"/>
              <w:rPr>
                <w:sz w:val="18"/>
                <w:szCs w:val="18"/>
              </w:rPr>
            </w:pPr>
            <w:r w:rsidRPr="00774240">
              <w:rPr>
                <w:sz w:val="18"/>
                <w:szCs w:val="18"/>
              </w:rPr>
              <w:t>40.9 (28.5-NE)</w:t>
            </w:r>
          </w:p>
        </w:tc>
        <w:tc>
          <w:tcPr>
            <w:tcW w:w="1559" w:type="dxa"/>
            <w:vMerge w:val="restart"/>
            <w:tcBorders>
              <w:top w:val="single" w:sz="4" w:space="0" w:color="auto"/>
              <w:bottom w:val="single" w:sz="4" w:space="0" w:color="auto"/>
            </w:tcBorders>
            <w:vAlign w:val="center"/>
          </w:tcPr>
          <w:p w14:paraId="1B653840" w14:textId="77777777" w:rsidR="00576FE1" w:rsidRPr="00774240" w:rsidRDefault="00576FE1" w:rsidP="00115CD6">
            <w:pPr>
              <w:jc w:val="center"/>
              <w:rPr>
                <w:sz w:val="18"/>
                <w:szCs w:val="18"/>
              </w:rPr>
            </w:pPr>
            <w:r w:rsidRPr="00774240">
              <w:rPr>
                <w:sz w:val="18"/>
                <w:szCs w:val="18"/>
              </w:rPr>
              <w:t>0.92 (0.53-1.60)</w:t>
            </w:r>
          </w:p>
        </w:tc>
        <w:tc>
          <w:tcPr>
            <w:tcW w:w="859" w:type="dxa"/>
            <w:vMerge w:val="restart"/>
            <w:tcBorders>
              <w:top w:val="single" w:sz="4" w:space="0" w:color="auto"/>
              <w:bottom w:val="single" w:sz="4" w:space="0" w:color="auto"/>
            </w:tcBorders>
            <w:vAlign w:val="center"/>
          </w:tcPr>
          <w:p w14:paraId="152B9FE2" w14:textId="77777777" w:rsidR="00576FE1" w:rsidRPr="00774240" w:rsidRDefault="00576FE1" w:rsidP="00115CD6">
            <w:pPr>
              <w:jc w:val="center"/>
              <w:rPr>
                <w:sz w:val="18"/>
                <w:szCs w:val="18"/>
              </w:rPr>
            </w:pPr>
            <w:r w:rsidRPr="00774240">
              <w:rPr>
                <w:sz w:val="18"/>
                <w:szCs w:val="18"/>
              </w:rPr>
              <w:t>0.7631</w:t>
            </w:r>
          </w:p>
        </w:tc>
      </w:tr>
      <w:tr w:rsidR="00576FE1" w:rsidRPr="00774240" w14:paraId="10684197" w14:textId="77777777" w:rsidTr="00576FE1">
        <w:trPr>
          <w:trHeight w:val="265"/>
        </w:trPr>
        <w:tc>
          <w:tcPr>
            <w:tcW w:w="3639" w:type="dxa"/>
            <w:vMerge/>
            <w:tcBorders>
              <w:top w:val="single" w:sz="4" w:space="0" w:color="auto"/>
              <w:bottom w:val="single" w:sz="4" w:space="0" w:color="auto"/>
            </w:tcBorders>
            <w:vAlign w:val="center"/>
          </w:tcPr>
          <w:p w14:paraId="588CEB11"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3122D187"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1FCD0688" w14:textId="77777777" w:rsidR="00576FE1" w:rsidRPr="00774240" w:rsidRDefault="00576FE1" w:rsidP="00115CD6">
            <w:pPr>
              <w:jc w:val="center"/>
              <w:rPr>
                <w:sz w:val="18"/>
                <w:szCs w:val="18"/>
              </w:rPr>
            </w:pPr>
            <w:r w:rsidRPr="00774240">
              <w:rPr>
                <w:sz w:val="18"/>
                <w:szCs w:val="18"/>
              </w:rPr>
              <w:t>33.0 (25.1-NE)</w:t>
            </w:r>
          </w:p>
        </w:tc>
        <w:tc>
          <w:tcPr>
            <w:tcW w:w="1559" w:type="dxa"/>
            <w:vMerge/>
            <w:tcBorders>
              <w:top w:val="single" w:sz="4" w:space="0" w:color="auto"/>
              <w:bottom w:val="single" w:sz="4" w:space="0" w:color="auto"/>
            </w:tcBorders>
            <w:vAlign w:val="center"/>
          </w:tcPr>
          <w:p w14:paraId="178044C2"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2EDA868B" w14:textId="77777777" w:rsidR="00576FE1" w:rsidRPr="00774240" w:rsidRDefault="00576FE1" w:rsidP="00115CD6">
            <w:pPr>
              <w:jc w:val="center"/>
              <w:rPr>
                <w:sz w:val="18"/>
                <w:szCs w:val="18"/>
              </w:rPr>
            </w:pPr>
          </w:p>
        </w:tc>
      </w:tr>
      <w:tr w:rsidR="00576FE1" w:rsidRPr="00774240" w14:paraId="6DC7F580" w14:textId="77777777" w:rsidTr="00576FE1">
        <w:trPr>
          <w:trHeight w:val="265"/>
        </w:trPr>
        <w:tc>
          <w:tcPr>
            <w:tcW w:w="3639" w:type="dxa"/>
            <w:vMerge w:val="restart"/>
            <w:tcBorders>
              <w:top w:val="single" w:sz="4" w:space="0" w:color="auto"/>
              <w:bottom w:val="single" w:sz="4" w:space="0" w:color="auto"/>
            </w:tcBorders>
            <w:vAlign w:val="center"/>
          </w:tcPr>
          <w:p w14:paraId="0AA8EF16" w14:textId="77777777" w:rsidR="00576FE1" w:rsidRPr="00774240" w:rsidRDefault="00576FE1" w:rsidP="00115CD6">
            <w:pPr>
              <w:rPr>
                <w:sz w:val="18"/>
                <w:szCs w:val="18"/>
              </w:rPr>
            </w:pPr>
            <w:r w:rsidRPr="00774240">
              <w:rPr>
                <w:sz w:val="18"/>
                <w:szCs w:val="18"/>
              </w:rPr>
              <w:t xml:space="preserve">PFS-R visceral disease / non-de novo </w:t>
            </w:r>
            <w:proofErr w:type="spellStart"/>
            <w:r w:rsidRPr="00774240">
              <w:rPr>
                <w:sz w:val="18"/>
                <w:szCs w:val="18"/>
              </w:rPr>
              <w:t>diasease</w:t>
            </w:r>
            <w:proofErr w:type="spellEnd"/>
          </w:p>
        </w:tc>
        <w:tc>
          <w:tcPr>
            <w:tcW w:w="756" w:type="dxa"/>
            <w:tcBorders>
              <w:top w:val="single" w:sz="4" w:space="0" w:color="auto"/>
              <w:bottom w:val="dotted" w:sz="4" w:space="0" w:color="auto"/>
            </w:tcBorders>
            <w:vAlign w:val="center"/>
          </w:tcPr>
          <w:p w14:paraId="0DE8DF6F"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39D060E5" w14:textId="77777777" w:rsidR="00576FE1" w:rsidRPr="00774240" w:rsidRDefault="00576FE1" w:rsidP="00115CD6">
            <w:pPr>
              <w:jc w:val="center"/>
              <w:rPr>
                <w:sz w:val="18"/>
                <w:szCs w:val="18"/>
              </w:rPr>
            </w:pPr>
            <w:r w:rsidRPr="00774240">
              <w:rPr>
                <w:sz w:val="18"/>
                <w:szCs w:val="18"/>
              </w:rPr>
              <w:t>19.3 (13.9-27.6)</w:t>
            </w:r>
          </w:p>
        </w:tc>
        <w:tc>
          <w:tcPr>
            <w:tcW w:w="1559" w:type="dxa"/>
            <w:vMerge w:val="restart"/>
            <w:tcBorders>
              <w:top w:val="single" w:sz="4" w:space="0" w:color="auto"/>
              <w:bottom w:val="single" w:sz="4" w:space="0" w:color="auto"/>
            </w:tcBorders>
            <w:vAlign w:val="center"/>
          </w:tcPr>
          <w:p w14:paraId="0A21F42E" w14:textId="77777777" w:rsidR="00576FE1" w:rsidRPr="00774240" w:rsidRDefault="00576FE1" w:rsidP="00115CD6">
            <w:pPr>
              <w:jc w:val="center"/>
              <w:rPr>
                <w:sz w:val="18"/>
                <w:szCs w:val="18"/>
              </w:rPr>
            </w:pPr>
            <w:r w:rsidRPr="00774240">
              <w:rPr>
                <w:sz w:val="18"/>
                <w:szCs w:val="18"/>
              </w:rPr>
              <w:t>1.28 (0.83-1.99)</w:t>
            </w:r>
          </w:p>
        </w:tc>
        <w:tc>
          <w:tcPr>
            <w:tcW w:w="859" w:type="dxa"/>
            <w:vMerge w:val="restart"/>
            <w:tcBorders>
              <w:top w:val="single" w:sz="4" w:space="0" w:color="auto"/>
              <w:bottom w:val="single" w:sz="4" w:space="0" w:color="auto"/>
            </w:tcBorders>
            <w:vAlign w:val="center"/>
          </w:tcPr>
          <w:p w14:paraId="53A14B06" w14:textId="77777777" w:rsidR="00576FE1" w:rsidRPr="00774240" w:rsidRDefault="00576FE1" w:rsidP="00115CD6">
            <w:pPr>
              <w:jc w:val="center"/>
              <w:rPr>
                <w:sz w:val="18"/>
                <w:szCs w:val="18"/>
              </w:rPr>
            </w:pPr>
            <w:r w:rsidRPr="00774240">
              <w:rPr>
                <w:sz w:val="18"/>
                <w:szCs w:val="18"/>
              </w:rPr>
              <w:t>0.2620</w:t>
            </w:r>
          </w:p>
        </w:tc>
      </w:tr>
      <w:tr w:rsidR="00576FE1" w:rsidRPr="00774240" w14:paraId="547D837C" w14:textId="77777777" w:rsidTr="00576FE1">
        <w:trPr>
          <w:trHeight w:val="265"/>
        </w:trPr>
        <w:tc>
          <w:tcPr>
            <w:tcW w:w="3639" w:type="dxa"/>
            <w:vMerge/>
            <w:tcBorders>
              <w:top w:val="single" w:sz="4" w:space="0" w:color="auto"/>
              <w:bottom w:val="single" w:sz="4" w:space="0" w:color="auto"/>
            </w:tcBorders>
            <w:vAlign w:val="center"/>
          </w:tcPr>
          <w:p w14:paraId="2B2224EA"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57EEF0C2"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049734D2" w14:textId="77777777" w:rsidR="00576FE1" w:rsidRPr="00774240" w:rsidRDefault="00576FE1" w:rsidP="00115CD6">
            <w:pPr>
              <w:jc w:val="center"/>
              <w:rPr>
                <w:sz w:val="18"/>
                <w:szCs w:val="18"/>
              </w:rPr>
            </w:pPr>
            <w:r w:rsidRPr="00774240">
              <w:rPr>
                <w:sz w:val="18"/>
                <w:szCs w:val="18"/>
              </w:rPr>
              <w:t>25.8 (16.8-NE)</w:t>
            </w:r>
          </w:p>
        </w:tc>
        <w:tc>
          <w:tcPr>
            <w:tcW w:w="1559" w:type="dxa"/>
            <w:vMerge/>
            <w:tcBorders>
              <w:top w:val="single" w:sz="4" w:space="0" w:color="auto"/>
              <w:bottom w:val="single" w:sz="4" w:space="0" w:color="auto"/>
            </w:tcBorders>
            <w:vAlign w:val="center"/>
          </w:tcPr>
          <w:p w14:paraId="37D216CF" w14:textId="77777777" w:rsidR="00576FE1" w:rsidRPr="00774240" w:rsidRDefault="00576FE1" w:rsidP="00115CD6">
            <w:pPr>
              <w:jc w:val="center"/>
              <w:rPr>
                <w:sz w:val="18"/>
                <w:szCs w:val="18"/>
              </w:rPr>
            </w:pPr>
          </w:p>
        </w:tc>
        <w:tc>
          <w:tcPr>
            <w:tcW w:w="859" w:type="dxa"/>
            <w:vMerge/>
            <w:tcBorders>
              <w:top w:val="single" w:sz="4" w:space="0" w:color="auto"/>
              <w:bottom w:val="single" w:sz="4" w:space="0" w:color="auto"/>
            </w:tcBorders>
            <w:vAlign w:val="center"/>
          </w:tcPr>
          <w:p w14:paraId="11C1D7B9" w14:textId="77777777" w:rsidR="00576FE1" w:rsidRPr="00774240" w:rsidRDefault="00576FE1" w:rsidP="00115CD6">
            <w:pPr>
              <w:jc w:val="center"/>
              <w:rPr>
                <w:sz w:val="18"/>
                <w:szCs w:val="18"/>
              </w:rPr>
            </w:pPr>
          </w:p>
        </w:tc>
      </w:tr>
      <w:tr w:rsidR="00576FE1" w:rsidRPr="00774240" w14:paraId="7300BFE3" w14:textId="77777777" w:rsidTr="00576FE1">
        <w:trPr>
          <w:trHeight w:val="265"/>
        </w:trPr>
        <w:tc>
          <w:tcPr>
            <w:tcW w:w="3639" w:type="dxa"/>
            <w:vMerge w:val="restart"/>
            <w:tcBorders>
              <w:top w:val="single" w:sz="4" w:space="0" w:color="auto"/>
              <w:bottom w:val="single" w:sz="4" w:space="0" w:color="auto"/>
            </w:tcBorders>
            <w:vAlign w:val="center"/>
          </w:tcPr>
          <w:p w14:paraId="6E2A1D7C" w14:textId="77777777" w:rsidR="00576FE1" w:rsidRPr="005D3195" w:rsidRDefault="00576FE1" w:rsidP="00115CD6">
            <w:pPr>
              <w:rPr>
                <w:sz w:val="18"/>
                <w:szCs w:val="18"/>
                <w:lang w:val="es-ES"/>
              </w:rPr>
            </w:pPr>
            <w:r w:rsidRPr="005D3195">
              <w:rPr>
                <w:sz w:val="18"/>
                <w:szCs w:val="18"/>
                <w:lang w:val="es-ES"/>
              </w:rPr>
              <w:t xml:space="preserve">PFS-R visceral </w:t>
            </w:r>
            <w:proofErr w:type="spellStart"/>
            <w:r w:rsidRPr="005D3195">
              <w:rPr>
                <w:sz w:val="18"/>
                <w:szCs w:val="18"/>
                <w:lang w:val="es-ES"/>
              </w:rPr>
              <w:t>disease</w:t>
            </w:r>
            <w:proofErr w:type="spellEnd"/>
            <w:r w:rsidRPr="005D3195">
              <w:rPr>
                <w:sz w:val="18"/>
                <w:szCs w:val="18"/>
                <w:lang w:val="es-ES"/>
              </w:rPr>
              <w:t xml:space="preserve"> / de </w:t>
            </w:r>
            <w:proofErr w:type="spellStart"/>
            <w:r w:rsidRPr="005D3195">
              <w:rPr>
                <w:sz w:val="18"/>
                <w:szCs w:val="18"/>
                <w:lang w:val="es-ES"/>
              </w:rPr>
              <w:t>novo</w:t>
            </w:r>
            <w:proofErr w:type="spellEnd"/>
            <w:r w:rsidRPr="005D3195">
              <w:rPr>
                <w:sz w:val="18"/>
                <w:szCs w:val="18"/>
                <w:lang w:val="es-ES"/>
              </w:rPr>
              <w:t xml:space="preserve"> </w:t>
            </w:r>
            <w:proofErr w:type="spellStart"/>
            <w:r w:rsidRPr="005D3195">
              <w:rPr>
                <w:sz w:val="18"/>
                <w:szCs w:val="18"/>
                <w:lang w:val="es-ES"/>
              </w:rPr>
              <w:t>diasease</w:t>
            </w:r>
            <w:proofErr w:type="spellEnd"/>
          </w:p>
        </w:tc>
        <w:tc>
          <w:tcPr>
            <w:tcW w:w="756" w:type="dxa"/>
            <w:tcBorders>
              <w:top w:val="single" w:sz="4" w:space="0" w:color="auto"/>
              <w:bottom w:val="dotted" w:sz="4" w:space="0" w:color="auto"/>
            </w:tcBorders>
            <w:vAlign w:val="center"/>
          </w:tcPr>
          <w:p w14:paraId="60BA1E66" w14:textId="77777777" w:rsidR="00576FE1" w:rsidRPr="00774240" w:rsidRDefault="00576FE1" w:rsidP="00115CD6">
            <w:pPr>
              <w:jc w:val="center"/>
              <w:rPr>
                <w:sz w:val="18"/>
                <w:szCs w:val="18"/>
              </w:rPr>
            </w:pPr>
            <w:r w:rsidRPr="00774240">
              <w:rPr>
                <w:sz w:val="18"/>
                <w:szCs w:val="18"/>
              </w:rPr>
              <w:t>P-F</w:t>
            </w:r>
          </w:p>
        </w:tc>
        <w:tc>
          <w:tcPr>
            <w:tcW w:w="1559" w:type="dxa"/>
            <w:tcBorders>
              <w:top w:val="single" w:sz="4" w:space="0" w:color="auto"/>
              <w:bottom w:val="dotted" w:sz="4" w:space="0" w:color="auto"/>
            </w:tcBorders>
            <w:vAlign w:val="center"/>
          </w:tcPr>
          <w:p w14:paraId="5F2D0EBD" w14:textId="77777777" w:rsidR="00576FE1" w:rsidRPr="00774240" w:rsidRDefault="00576FE1" w:rsidP="00115CD6">
            <w:pPr>
              <w:jc w:val="center"/>
              <w:rPr>
                <w:sz w:val="18"/>
                <w:szCs w:val="18"/>
              </w:rPr>
            </w:pPr>
            <w:r w:rsidRPr="00774240">
              <w:rPr>
                <w:sz w:val="18"/>
                <w:szCs w:val="18"/>
              </w:rPr>
              <w:t>17.1 (13.9-28.9)</w:t>
            </w:r>
          </w:p>
        </w:tc>
        <w:tc>
          <w:tcPr>
            <w:tcW w:w="1559" w:type="dxa"/>
            <w:vMerge w:val="restart"/>
            <w:tcBorders>
              <w:top w:val="single" w:sz="4" w:space="0" w:color="auto"/>
              <w:bottom w:val="single" w:sz="4" w:space="0" w:color="auto"/>
            </w:tcBorders>
            <w:vAlign w:val="center"/>
          </w:tcPr>
          <w:p w14:paraId="5E9B40C6" w14:textId="77777777" w:rsidR="00576FE1" w:rsidRPr="00774240" w:rsidRDefault="00576FE1" w:rsidP="00115CD6">
            <w:pPr>
              <w:jc w:val="center"/>
              <w:rPr>
                <w:sz w:val="18"/>
                <w:szCs w:val="18"/>
              </w:rPr>
            </w:pPr>
            <w:r w:rsidRPr="00774240">
              <w:rPr>
                <w:sz w:val="18"/>
                <w:szCs w:val="18"/>
              </w:rPr>
              <w:t>1.11 (0.66-1.87)</w:t>
            </w:r>
          </w:p>
        </w:tc>
        <w:tc>
          <w:tcPr>
            <w:tcW w:w="859" w:type="dxa"/>
            <w:vMerge w:val="restart"/>
            <w:tcBorders>
              <w:top w:val="single" w:sz="4" w:space="0" w:color="auto"/>
              <w:bottom w:val="single" w:sz="4" w:space="0" w:color="auto"/>
            </w:tcBorders>
            <w:vAlign w:val="center"/>
          </w:tcPr>
          <w:p w14:paraId="0510DD26" w14:textId="77777777" w:rsidR="00576FE1" w:rsidRPr="00774240" w:rsidRDefault="00576FE1" w:rsidP="00115CD6">
            <w:pPr>
              <w:jc w:val="center"/>
              <w:rPr>
                <w:sz w:val="18"/>
                <w:szCs w:val="18"/>
              </w:rPr>
            </w:pPr>
            <w:r w:rsidRPr="00774240">
              <w:rPr>
                <w:sz w:val="18"/>
                <w:szCs w:val="18"/>
              </w:rPr>
              <w:t>0.6992</w:t>
            </w:r>
          </w:p>
        </w:tc>
      </w:tr>
      <w:tr w:rsidR="00576FE1" w:rsidRPr="00774240" w14:paraId="65E01938" w14:textId="77777777" w:rsidTr="00576FE1">
        <w:trPr>
          <w:trHeight w:val="284"/>
        </w:trPr>
        <w:tc>
          <w:tcPr>
            <w:tcW w:w="3639" w:type="dxa"/>
            <w:vMerge/>
            <w:tcBorders>
              <w:top w:val="single" w:sz="4" w:space="0" w:color="auto"/>
            </w:tcBorders>
          </w:tcPr>
          <w:p w14:paraId="7ECE536F" w14:textId="77777777" w:rsidR="00576FE1" w:rsidRPr="00774240" w:rsidRDefault="00576FE1" w:rsidP="00115CD6">
            <w:pPr>
              <w:rPr>
                <w:sz w:val="18"/>
                <w:szCs w:val="18"/>
              </w:rPr>
            </w:pPr>
          </w:p>
        </w:tc>
        <w:tc>
          <w:tcPr>
            <w:tcW w:w="756" w:type="dxa"/>
            <w:tcBorders>
              <w:top w:val="dotted" w:sz="4" w:space="0" w:color="auto"/>
              <w:bottom w:val="single" w:sz="4" w:space="0" w:color="auto"/>
            </w:tcBorders>
            <w:vAlign w:val="center"/>
          </w:tcPr>
          <w:p w14:paraId="4C63BFC9" w14:textId="77777777" w:rsidR="00576FE1" w:rsidRPr="00774240" w:rsidRDefault="00576FE1" w:rsidP="00115CD6">
            <w:pPr>
              <w:jc w:val="center"/>
              <w:rPr>
                <w:sz w:val="18"/>
                <w:szCs w:val="18"/>
              </w:rPr>
            </w:pPr>
            <w:r w:rsidRPr="00774240">
              <w:rPr>
                <w:sz w:val="18"/>
                <w:szCs w:val="18"/>
              </w:rPr>
              <w:t>P-L</w:t>
            </w:r>
          </w:p>
        </w:tc>
        <w:tc>
          <w:tcPr>
            <w:tcW w:w="1559" w:type="dxa"/>
            <w:tcBorders>
              <w:top w:val="dotted" w:sz="4" w:space="0" w:color="auto"/>
              <w:bottom w:val="single" w:sz="4" w:space="0" w:color="auto"/>
            </w:tcBorders>
            <w:vAlign w:val="center"/>
          </w:tcPr>
          <w:p w14:paraId="29C1629B" w14:textId="77777777" w:rsidR="00576FE1" w:rsidRPr="00774240" w:rsidRDefault="00576FE1" w:rsidP="00115CD6">
            <w:pPr>
              <w:jc w:val="center"/>
              <w:rPr>
                <w:sz w:val="18"/>
                <w:szCs w:val="18"/>
              </w:rPr>
            </w:pPr>
            <w:r w:rsidRPr="00774240">
              <w:rPr>
                <w:sz w:val="18"/>
                <w:szCs w:val="18"/>
              </w:rPr>
              <w:t>24.7 (16.6-38.6)</w:t>
            </w:r>
          </w:p>
        </w:tc>
        <w:tc>
          <w:tcPr>
            <w:tcW w:w="1559" w:type="dxa"/>
            <w:vMerge/>
            <w:tcBorders>
              <w:top w:val="single" w:sz="4" w:space="0" w:color="auto"/>
            </w:tcBorders>
            <w:vAlign w:val="center"/>
          </w:tcPr>
          <w:p w14:paraId="7AF08CF3" w14:textId="77777777" w:rsidR="00576FE1" w:rsidRPr="00774240" w:rsidRDefault="00576FE1" w:rsidP="00115CD6">
            <w:pPr>
              <w:jc w:val="center"/>
              <w:rPr>
                <w:sz w:val="18"/>
                <w:szCs w:val="18"/>
              </w:rPr>
            </w:pPr>
          </w:p>
        </w:tc>
        <w:tc>
          <w:tcPr>
            <w:tcW w:w="859" w:type="dxa"/>
            <w:vMerge/>
            <w:tcBorders>
              <w:top w:val="single" w:sz="4" w:space="0" w:color="auto"/>
            </w:tcBorders>
            <w:vAlign w:val="center"/>
          </w:tcPr>
          <w:p w14:paraId="795C52C4" w14:textId="77777777" w:rsidR="00576FE1" w:rsidRPr="00774240" w:rsidRDefault="00576FE1" w:rsidP="00115CD6">
            <w:pPr>
              <w:jc w:val="center"/>
              <w:rPr>
                <w:sz w:val="18"/>
                <w:szCs w:val="18"/>
              </w:rPr>
            </w:pPr>
          </w:p>
        </w:tc>
      </w:tr>
    </w:tbl>
    <w:p w14:paraId="64B0608C" w14:textId="35FC0F1E" w:rsidR="00764782" w:rsidRDefault="00576FE1" w:rsidP="00800E62">
      <w:pPr>
        <w:spacing w:after="0" w:line="240" w:lineRule="auto"/>
        <w:ind w:left="142"/>
        <w:rPr>
          <w:i/>
          <w:sz w:val="18"/>
          <w:szCs w:val="18"/>
          <w:lang w:val="en-GB"/>
        </w:rPr>
      </w:pPr>
      <w:r w:rsidRPr="00CB5252">
        <w:rPr>
          <w:i/>
          <w:sz w:val="18"/>
          <w:szCs w:val="18"/>
          <w:lang w:val="en-GB"/>
        </w:rPr>
        <w:t xml:space="preserve">PFS: progression-free survival. PFS-IA: progression-free survival per investigator assessment. PFS-R: progression-free survival per RECIST criteria v1.1. P-F: </w:t>
      </w:r>
      <w:proofErr w:type="spellStart"/>
      <w:r w:rsidRPr="00CB5252">
        <w:rPr>
          <w:i/>
          <w:sz w:val="18"/>
          <w:szCs w:val="18"/>
          <w:lang w:val="en-GB"/>
        </w:rPr>
        <w:t>palbociclib-fulvestrant</w:t>
      </w:r>
      <w:proofErr w:type="spellEnd"/>
      <w:r w:rsidRPr="00CB5252">
        <w:rPr>
          <w:i/>
          <w:sz w:val="18"/>
          <w:szCs w:val="18"/>
          <w:lang w:val="en-GB"/>
        </w:rPr>
        <w:t xml:space="preserve"> group. P-L: </w:t>
      </w:r>
      <w:proofErr w:type="spellStart"/>
      <w:r w:rsidRPr="00CB5252">
        <w:rPr>
          <w:i/>
          <w:sz w:val="18"/>
          <w:szCs w:val="18"/>
          <w:lang w:val="en-GB"/>
        </w:rPr>
        <w:t>palbociclib</w:t>
      </w:r>
      <w:proofErr w:type="spellEnd"/>
      <w:r w:rsidRPr="00CB5252">
        <w:rPr>
          <w:i/>
          <w:sz w:val="18"/>
          <w:szCs w:val="18"/>
          <w:lang w:val="en-GB"/>
        </w:rPr>
        <w:t xml:space="preserve">-letrozole group. CI: confidence interval.  </w:t>
      </w:r>
    </w:p>
    <w:p w14:paraId="32985F05" w14:textId="0FEBD0A7" w:rsidR="00576FE1" w:rsidRPr="00CB5252" w:rsidRDefault="00576FE1" w:rsidP="00800E62">
      <w:pPr>
        <w:spacing w:after="0" w:line="240" w:lineRule="auto"/>
        <w:ind w:left="142"/>
        <w:rPr>
          <w:i/>
          <w:lang w:val="en-GB"/>
        </w:rPr>
      </w:pPr>
      <w:r w:rsidRPr="003363FD">
        <w:rPr>
          <w:i/>
          <w:sz w:val="18"/>
          <w:szCs w:val="18"/>
          <w:lang w:val="en-GB"/>
        </w:rPr>
        <w:t>(</w:t>
      </w:r>
      <w:r w:rsidRPr="003363FD">
        <w:rPr>
          <w:i/>
          <w:sz w:val="18"/>
          <w:szCs w:val="18"/>
          <w:u w:val="single"/>
          <w:lang w:val="en-GB"/>
        </w:rPr>
        <w:t>Cross reference</w:t>
      </w:r>
      <w:r w:rsidRPr="003363FD">
        <w:rPr>
          <w:i/>
          <w:sz w:val="18"/>
          <w:szCs w:val="18"/>
          <w:lang w:val="en-GB"/>
        </w:rPr>
        <w:t xml:space="preserve">: </w:t>
      </w:r>
      <w:r>
        <w:rPr>
          <w:i/>
          <w:sz w:val="18"/>
          <w:szCs w:val="18"/>
          <w:lang w:val="en-GB"/>
        </w:rPr>
        <w:t>Figures 4-23</w:t>
      </w:r>
      <w:r w:rsidRPr="003363FD">
        <w:rPr>
          <w:i/>
          <w:sz w:val="18"/>
          <w:szCs w:val="18"/>
          <w:lang w:val="en-GB"/>
        </w:rPr>
        <w:t xml:space="preserve"> of Final Analysis Statistical Report dated </w:t>
      </w:r>
      <w:r w:rsidR="001B1571">
        <w:rPr>
          <w:i/>
          <w:sz w:val="18"/>
          <w:szCs w:val="18"/>
          <w:lang w:val="en-GB"/>
        </w:rPr>
        <w:t>4</w:t>
      </w:r>
      <w:r w:rsidR="001B1571" w:rsidRPr="001B1571">
        <w:rPr>
          <w:i/>
          <w:sz w:val="18"/>
          <w:szCs w:val="18"/>
          <w:vertAlign w:val="superscript"/>
          <w:lang w:val="en-GB"/>
        </w:rPr>
        <w:t>th</w:t>
      </w:r>
      <w:r w:rsidR="001B1571">
        <w:rPr>
          <w:i/>
          <w:sz w:val="18"/>
          <w:szCs w:val="18"/>
          <w:lang w:val="en-GB"/>
        </w:rPr>
        <w:t xml:space="preserve"> September</w:t>
      </w:r>
      <w:r w:rsidRPr="003363FD">
        <w:rPr>
          <w:i/>
          <w:sz w:val="18"/>
          <w:szCs w:val="18"/>
          <w:lang w:val="en-GB"/>
        </w:rPr>
        <w:t xml:space="preserve"> 2020).</w:t>
      </w:r>
    </w:p>
    <w:p w14:paraId="273A80B4" w14:textId="77777777" w:rsidR="0047771E" w:rsidRDefault="0047771E">
      <w:pPr>
        <w:spacing w:after="0" w:line="240" w:lineRule="auto"/>
        <w:jc w:val="left"/>
        <w:rPr>
          <w:b/>
          <w:bCs/>
        </w:rPr>
      </w:pPr>
      <w:bookmarkStart w:id="655" w:name="_Ref52425047"/>
      <w:bookmarkStart w:id="656" w:name="_Toc52046480"/>
      <w:bookmarkStart w:id="657" w:name="_Toc47375438"/>
      <w:r>
        <w:br w:type="page"/>
      </w:r>
    </w:p>
    <w:p w14:paraId="4A07E3A5" w14:textId="2AA56C5A" w:rsidR="00576FE1" w:rsidRDefault="00576FE1" w:rsidP="00800E62">
      <w:pPr>
        <w:pStyle w:val="Descripcin"/>
        <w:keepNext/>
        <w:ind w:left="-284"/>
        <w:outlineLvl w:val="0"/>
      </w:pPr>
      <w:bookmarkStart w:id="658" w:name="_Ref52469411"/>
      <w:bookmarkStart w:id="659" w:name="_Toc52446211"/>
      <w:bookmarkStart w:id="660" w:name="_Toc52468168"/>
      <w:r>
        <w:lastRenderedPageBreak/>
        <w:t xml:space="preserve">Table </w:t>
      </w:r>
      <w:r>
        <w:fldChar w:fldCharType="begin"/>
      </w:r>
      <w:r>
        <w:instrText xml:space="preserve"> SEQ Table \* ARABIC </w:instrText>
      </w:r>
      <w:r>
        <w:fldChar w:fldCharType="separate"/>
      </w:r>
      <w:r w:rsidR="002221CF">
        <w:rPr>
          <w:noProof/>
        </w:rPr>
        <w:t>10</w:t>
      </w:r>
      <w:r>
        <w:fldChar w:fldCharType="end"/>
      </w:r>
      <w:bookmarkEnd w:id="655"/>
      <w:bookmarkEnd w:id="658"/>
      <w:r>
        <w:t>. T</w:t>
      </w:r>
      <w:r w:rsidRPr="00575DE2">
        <w:t>umor best response according to RECIST version 1·1 (ITT population).</w:t>
      </w:r>
      <w:bookmarkEnd w:id="656"/>
      <w:bookmarkEnd w:id="659"/>
      <w:bookmarkEnd w:id="660"/>
    </w:p>
    <w:bookmarkEnd w:id="657"/>
    <w:tbl>
      <w:tblPr>
        <w:tblW w:w="9193" w:type="dxa"/>
        <w:jc w:val="center"/>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4014"/>
        <w:gridCol w:w="2120"/>
        <w:gridCol w:w="1998"/>
        <w:gridCol w:w="1061"/>
      </w:tblGrid>
      <w:tr w:rsidR="00576FE1" w:rsidRPr="00F8687F" w14:paraId="7DD245F0" w14:textId="77777777" w:rsidTr="00115CD6">
        <w:trPr>
          <w:trHeight w:val="689"/>
          <w:jc w:val="center"/>
        </w:trPr>
        <w:tc>
          <w:tcPr>
            <w:tcW w:w="4014" w:type="dxa"/>
            <w:tcBorders>
              <w:top w:val="single" w:sz="4" w:space="0" w:color="auto"/>
              <w:bottom w:val="single" w:sz="4" w:space="0" w:color="auto"/>
            </w:tcBorders>
            <w:shd w:val="clear" w:color="auto" w:fill="auto"/>
            <w:tcMar>
              <w:top w:w="15" w:type="dxa"/>
              <w:left w:w="108" w:type="dxa"/>
              <w:bottom w:w="0" w:type="dxa"/>
              <w:right w:w="108" w:type="dxa"/>
            </w:tcMar>
            <w:vAlign w:val="center"/>
            <w:hideMark/>
          </w:tcPr>
          <w:p w14:paraId="2BB50310" w14:textId="77777777" w:rsidR="00576FE1" w:rsidRPr="00562194" w:rsidRDefault="00576FE1" w:rsidP="00115CD6">
            <w:pPr>
              <w:spacing w:before="120" w:line="240" w:lineRule="auto"/>
              <w:rPr>
                <w:sz w:val="18"/>
                <w:szCs w:val="18"/>
                <w:lang w:val="en-GB"/>
              </w:rPr>
            </w:pPr>
          </w:p>
        </w:tc>
        <w:tc>
          <w:tcPr>
            <w:tcW w:w="2120" w:type="dxa"/>
            <w:tcBorders>
              <w:top w:val="single" w:sz="4" w:space="0" w:color="auto"/>
              <w:bottom w:val="single" w:sz="4" w:space="0" w:color="auto"/>
            </w:tcBorders>
            <w:shd w:val="clear" w:color="auto" w:fill="auto"/>
            <w:tcMar>
              <w:top w:w="15" w:type="dxa"/>
              <w:left w:w="108" w:type="dxa"/>
              <w:bottom w:w="0" w:type="dxa"/>
              <w:right w:w="108" w:type="dxa"/>
            </w:tcMar>
            <w:vAlign w:val="center"/>
            <w:hideMark/>
          </w:tcPr>
          <w:p w14:paraId="5A4359A6" w14:textId="77777777" w:rsidR="00576FE1" w:rsidRPr="00562194" w:rsidRDefault="00576FE1" w:rsidP="00115CD6">
            <w:pPr>
              <w:spacing w:before="120" w:line="240" w:lineRule="auto"/>
              <w:jc w:val="center"/>
              <w:rPr>
                <w:b/>
                <w:bCs/>
                <w:sz w:val="18"/>
                <w:szCs w:val="18"/>
                <w:lang w:val="en-GB"/>
              </w:rPr>
            </w:pPr>
            <w:r>
              <w:rPr>
                <w:b/>
                <w:bCs/>
                <w:sz w:val="18"/>
                <w:szCs w:val="18"/>
                <w:lang w:val="en-GB"/>
              </w:rPr>
              <w:t>Palbociclib-</w:t>
            </w:r>
            <w:proofErr w:type="spellStart"/>
            <w:r w:rsidRPr="00562194">
              <w:rPr>
                <w:b/>
                <w:bCs/>
                <w:sz w:val="18"/>
                <w:szCs w:val="18"/>
                <w:lang w:val="en-GB"/>
              </w:rPr>
              <w:t>Fulvestrant</w:t>
            </w:r>
            <w:proofErr w:type="spellEnd"/>
          </w:p>
          <w:p w14:paraId="64D3112A" w14:textId="77777777" w:rsidR="00576FE1" w:rsidRPr="00562194" w:rsidRDefault="00576FE1" w:rsidP="00115CD6">
            <w:pPr>
              <w:spacing w:before="120" w:line="240" w:lineRule="auto"/>
              <w:jc w:val="center"/>
              <w:rPr>
                <w:b/>
                <w:bCs/>
                <w:sz w:val="18"/>
                <w:szCs w:val="18"/>
                <w:lang w:val="en-GB"/>
              </w:rPr>
            </w:pPr>
            <w:r w:rsidRPr="00562194">
              <w:rPr>
                <w:b/>
                <w:bCs/>
                <w:sz w:val="18"/>
                <w:szCs w:val="18"/>
                <w:lang w:val="en-GB"/>
              </w:rPr>
              <w:t>(</w:t>
            </w:r>
            <w:r>
              <w:rPr>
                <w:b/>
                <w:bCs/>
                <w:sz w:val="18"/>
                <w:szCs w:val="18"/>
                <w:lang w:val="en-GB"/>
              </w:rPr>
              <w:t xml:space="preserve">N </w:t>
            </w:r>
            <w:r w:rsidRPr="00562194">
              <w:rPr>
                <w:b/>
                <w:bCs/>
                <w:sz w:val="18"/>
                <w:szCs w:val="18"/>
                <w:lang w:val="en-GB"/>
              </w:rPr>
              <w:t>=</w:t>
            </w:r>
            <w:r>
              <w:rPr>
                <w:b/>
                <w:bCs/>
                <w:sz w:val="18"/>
                <w:szCs w:val="18"/>
                <w:lang w:val="en-GB"/>
              </w:rPr>
              <w:t xml:space="preserve"> </w:t>
            </w:r>
            <w:r w:rsidRPr="00562194">
              <w:rPr>
                <w:b/>
                <w:bCs/>
                <w:sz w:val="18"/>
                <w:szCs w:val="18"/>
                <w:lang w:val="en-GB"/>
              </w:rPr>
              <w:t>243)</w:t>
            </w:r>
          </w:p>
        </w:tc>
        <w:tc>
          <w:tcPr>
            <w:tcW w:w="1998" w:type="dxa"/>
            <w:tcBorders>
              <w:top w:val="single" w:sz="4" w:space="0" w:color="auto"/>
              <w:bottom w:val="single" w:sz="4" w:space="0" w:color="auto"/>
            </w:tcBorders>
            <w:shd w:val="clear" w:color="auto" w:fill="auto"/>
            <w:tcMar>
              <w:top w:w="15" w:type="dxa"/>
              <w:left w:w="108" w:type="dxa"/>
              <w:bottom w:w="0" w:type="dxa"/>
              <w:right w:w="108" w:type="dxa"/>
            </w:tcMar>
            <w:vAlign w:val="center"/>
          </w:tcPr>
          <w:p w14:paraId="10466CA0" w14:textId="77777777" w:rsidR="00576FE1" w:rsidRPr="00562194" w:rsidRDefault="00576FE1" w:rsidP="00115CD6">
            <w:pPr>
              <w:spacing w:before="120" w:line="240" w:lineRule="auto"/>
              <w:jc w:val="center"/>
              <w:rPr>
                <w:b/>
                <w:bCs/>
                <w:sz w:val="18"/>
                <w:szCs w:val="18"/>
                <w:lang w:val="en-GB"/>
              </w:rPr>
            </w:pPr>
            <w:r>
              <w:rPr>
                <w:b/>
                <w:bCs/>
                <w:sz w:val="18"/>
                <w:szCs w:val="18"/>
                <w:lang w:val="en-GB"/>
              </w:rPr>
              <w:t>Palbociclib-Letrozole</w:t>
            </w:r>
          </w:p>
          <w:p w14:paraId="78C1ECF8" w14:textId="77777777" w:rsidR="00576FE1" w:rsidRPr="00562194" w:rsidRDefault="00576FE1" w:rsidP="00115CD6">
            <w:pPr>
              <w:spacing w:before="120" w:line="240" w:lineRule="auto"/>
              <w:jc w:val="center"/>
              <w:rPr>
                <w:b/>
                <w:bCs/>
                <w:sz w:val="18"/>
                <w:szCs w:val="18"/>
                <w:lang w:val="en-GB"/>
              </w:rPr>
            </w:pPr>
            <w:r w:rsidRPr="00562194">
              <w:rPr>
                <w:b/>
                <w:bCs/>
                <w:sz w:val="18"/>
                <w:szCs w:val="18"/>
                <w:lang w:val="en-GB"/>
              </w:rPr>
              <w:t>(</w:t>
            </w:r>
            <w:r>
              <w:rPr>
                <w:b/>
                <w:bCs/>
                <w:sz w:val="18"/>
                <w:szCs w:val="18"/>
                <w:lang w:val="en-GB"/>
              </w:rPr>
              <w:t xml:space="preserve">N </w:t>
            </w:r>
            <w:r w:rsidRPr="00562194">
              <w:rPr>
                <w:b/>
                <w:bCs/>
                <w:sz w:val="18"/>
                <w:szCs w:val="18"/>
                <w:lang w:val="en-GB"/>
              </w:rPr>
              <w:t>=</w:t>
            </w:r>
            <w:r>
              <w:rPr>
                <w:b/>
                <w:bCs/>
                <w:sz w:val="18"/>
                <w:szCs w:val="18"/>
                <w:lang w:val="en-GB"/>
              </w:rPr>
              <w:t xml:space="preserve"> </w:t>
            </w:r>
            <w:r w:rsidRPr="00562194">
              <w:rPr>
                <w:b/>
                <w:bCs/>
                <w:sz w:val="18"/>
                <w:szCs w:val="18"/>
                <w:lang w:val="en-GB"/>
              </w:rPr>
              <w:t>243)</w:t>
            </w:r>
          </w:p>
        </w:tc>
        <w:tc>
          <w:tcPr>
            <w:tcW w:w="1061" w:type="dxa"/>
            <w:tcBorders>
              <w:top w:val="single" w:sz="4" w:space="0" w:color="auto"/>
              <w:bottom w:val="single" w:sz="4" w:space="0" w:color="auto"/>
            </w:tcBorders>
            <w:shd w:val="clear" w:color="auto" w:fill="auto"/>
            <w:vAlign w:val="center"/>
          </w:tcPr>
          <w:p w14:paraId="42ACE4CC" w14:textId="77777777" w:rsidR="00576FE1" w:rsidRPr="00562194" w:rsidRDefault="00576FE1" w:rsidP="00115CD6">
            <w:pPr>
              <w:spacing w:before="120" w:line="240" w:lineRule="auto"/>
              <w:jc w:val="center"/>
              <w:rPr>
                <w:b/>
                <w:bCs/>
                <w:sz w:val="18"/>
                <w:szCs w:val="18"/>
                <w:lang w:val="en-GB"/>
              </w:rPr>
            </w:pPr>
            <w:r w:rsidRPr="00562194">
              <w:rPr>
                <w:b/>
                <w:bCs/>
                <w:sz w:val="18"/>
                <w:szCs w:val="18"/>
                <w:lang w:val="en-GB"/>
              </w:rPr>
              <w:t>P value</w:t>
            </w:r>
          </w:p>
        </w:tc>
      </w:tr>
      <w:tr w:rsidR="00576FE1" w:rsidRPr="00562194" w14:paraId="10AF25E5" w14:textId="77777777" w:rsidTr="00115CD6">
        <w:trPr>
          <w:trHeight w:val="280"/>
          <w:jc w:val="center"/>
        </w:trPr>
        <w:tc>
          <w:tcPr>
            <w:tcW w:w="4014" w:type="dxa"/>
            <w:tcBorders>
              <w:top w:val="single" w:sz="4" w:space="0" w:color="auto"/>
            </w:tcBorders>
            <w:shd w:val="clear" w:color="auto" w:fill="auto"/>
            <w:tcMar>
              <w:top w:w="15" w:type="dxa"/>
              <w:left w:w="70" w:type="dxa"/>
              <w:bottom w:w="0" w:type="dxa"/>
              <w:right w:w="70" w:type="dxa"/>
            </w:tcMar>
            <w:vAlign w:val="center"/>
            <w:hideMark/>
          </w:tcPr>
          <w:p w14:paraId="06D2149B" w14:textId="77777777" w:rsidR="00576FE1" w:rsidRPr="00562194" w:rsidRDefault="00576FE1" w:rsidP="00115CD6">
            <w:pPr>
              <w:spacing w:before="120" w:line="240" w:lineRule="auto"/>
              <w:rPr>
                <w:sz w:val="18"/>
                <w:szCs w:val="18"/>
                <w:lang w:val="en-GB"/>
              </w:rPr>
            </w:pPr>
            <w:r w:rsidRPr="00562194">
              <w:rPr>
                <w:kern w:val="24"/>
                <w:sz w:val="18"/>
                <w:szCs w:val="18"/>
                <w:lang w:val="en-GB"/>
              </w:rPr>
              <w:t>Complete response</w:t>
            </w:r>
          </w:p>
        </w:tc>
        <w:tc>
          <w:tcPr>
            <w:tcW w:w="2120" w:type="dxa"/>
            <w:tcBorders>
              <w:top w:val="single" w:sz="4" w:space="0" w:color="auto"/>
            </w:tcBorders>
            <w:shd w:val="clear" w:color="auto" w:fill="auto"/>
            <w:tcMar>
              <w:top w:w="15" w:type="dxa"/>
              <w:left w:w="60" w:type="dxa"/>
              <w:bottom w:w="0" w:type="dxa"/>
              <w:right w:w="60" w:type="dxa"/>
            </w:tcMar>
            <w:vAlign w:val="center"/>
            <w:hideMark/>
          </w:tcPr>
          <w:p w14:paraId="446D4112" w14:textId="77777777" w:rsidR="00576FE1" w:rsidRPr="00562194" w:rsidRDefault="00576FE1" w:rsidP="00115CD6">
            <w:pPr>
              <w:spacing w:before="120" w:line="240" w:lineRule="auto"/>
              <w:jc w:val="center"/>
              <w:rPr>
                <w:sz w:val="18"/>
                <w:szCs w:val="18"/>
                <w:lang w:val="en-GB"/>
              </w:rPr>
            </w:pPr>
            <w:r w:rsidRPr="00562194">
              <w:rPr>
                <w:kern w:val="24"/>
                <w:sz w:val="18"/>
                <w:szCs w:val="18"/>
                <w:lang w:val="en-GB"/>
              </w:rPr>
              <w:t>11 (4.5%)</w:t>
            </w:r>
          </w:p>
        </w:tc>
        <w:tc>
          <w:tcPr>
            <w:tcW w:w="1998" w:type="dxa"/>
            <w:tcBorders>
              <w:top w:val="single" w:sz="4" w:space="0" w:color="auto"/>
            </w:tcBorders>
            <w:shd w:val="clear" w:color="auto" w:fill="auto"/>
            <w:tcMar>
              <w:top w:w="15" w:type="dxa"/>
              <w:left w:w="60" w:type="dxa"/>
              <w:bottom w:w="0" w:type="dxa"/>
              <w:right w:w="60" w:type="dxa"/>
            </w:tcMar>
            <w:vAlign w:val="center"/>
            <w:hideMark/>
          </w:tcPr>
          <w:p w14:paraId="2E66234F" w14:textId="77777777" w:rsidR="00576FE1" w:rsidRPr="00562194" w:rsidRDefault="00576FE1" w:rsidP="00115CD6">
            <w:pPr>
              <w:spacing w:before="120" w:line="240" w:lineRule="auto"/>
              <w:jc w:val="center"/>
              <w:rPr>
                <w:sz w:val="18"/>
                <w:szCs w:val="18"/>
                <w:lang w:val="en-GB"/>
              </w:rPr>
            </w:pPr>
            <w:r w:rsidRPr="00562194">
              <w:rPr>
                <w:kern w:val="24"/>
                <w:sz w:val="18"/>
                <w:szCs w:val="18"/>
                <w:lang w:val="en-GB"/>
              </w:rPr>
              <w:t>10 (4.1%)</w:t>
            </w:r>
          </w:p>
        </w:tc>
        <w:tc>
          <w:tcPr>
            <w:tcW w:w="1061" w:type="dxa"/>
            <w:tcBorders>
              <w:top w:val="single" w:sz="4" w:space="0" w:color="auto"/>
            </w:tcBorders>
            <w:shd w:val="clear" w:color="auto" w:fill="auto"/>
            <w:vAlign w:val="center"/>
          </w:tcPr>
          <w:p w14:paraId="1F656A63" w14:textId="77777777" w:rsidR="00576FE1" w:rsidRPr="00562194" w:rsidRDefault="00576FE1" w:rsidP="00115CD6">
            <w:pPr>
              <w:spacing w:before="120" w:line="240" w:lineRule="auto"/>
              <w:jc w:val="center"/>
              <w:rPr>
                <w:sz w:val="18"/>
                <w:szCs w:val="18"/>
                <w:lang w:val="en-GB"/>
              </w:rPr>
            </w:pPr>
          </w:p>
        </w:tc>
      </w:tr>
      <w:tr w:rsidR="00576FE1" w:rsidRPr="00562194" w14:paraId="28A3AA77" w14:textId="77777777" w:rsidTr="00115CD6">
        <w:trPr>
          <w:trHeight w:val="280"/>
          <w:jc w:val="center"/>
        </w:trPr>
        <w:tc>
          <w:tcPr>
            <w:tcW w:w="4014" w:type="dxa"/>
            <w:shd w:val="clear" w:color="auto" w:fill="auto"/>
            <w:tcMar>
              <w:top w:w="15" w:type="dxa"/>
              <w:left w:w="70" w:type="dxa"/>
              <w:bottom w:w="0" w:type="dxa"/>
              <w:right w:w="70" w:type="dxa"/>
            </w:tcMar>
            <w:vAlign w:val="center"/>
            <w:hideMark/>
          </w:tcPr>
          <w:p w14:paraId="2A4D7212" w14:textId="77777777" w:rsidR="00576FE1" w:rsidRPr="00562194" w:rsidRDefault="00576FE1" w:rsidP="00115CD6">
            <w:pPr>
              <w:spacing w:before="120" w:line="240" w:lineRule="auto"/>
              <w:rPr>
                <w:sz w:val="18"/>
                <w:szCs w:val="18"/>
                <w:lang w:val="en-GB"/>
              </w:rPr>
            </w:pPr>
            <w:r w:rsidRPr="00562194">
              <w:rPr>
                <w:kern w:val="24"/>
                <w:sz w:val="18"/>
                <w:szCs w:val="18"/>
                <w:lang w:val="en-GB"/>
              </w:rPr>
              <w:t>Partial response</w:t>
            </w:r>
          </w:p>
        </w:tc>
        <w:tc>
          <w:tcPr>
            <w:tcW w:w="2120" w:type="dxa"/>
            <w:shd w:val="clear" w:color="auto" w:fill="auto"/>
            <w:tcMar>
              <w:top w:w="15" w:type="dxa"/>
              <w:left w:w="60" w:type="dxa"/>
              <w:bottom w:w="0" w:type="dxa"/>
              <w:right w:w="60" w:type="dxa"/>
            </w:tcMar>
            <w:vAlign w:val="center"/>
          </w:tcPr>
          <w:p w14:paraId="781DF8FF" w14:textId="77777777" w:rsidR="00576FE1" w:rsidRPr="00562194" w:rsidRDefault="00576FE1" w:rsidP="00115CD6">
            <w:pPr>
              <w:spacing w:before="120" w:line="240" w:lineRule="auto"/>
              <w:jc w:val="center"/>
              <w:rPr>
                <w:sz w:val="18"/>
                <w:szCs w:val="18"/>
                <w:lang w:val="en-GB"/>
              </w:rPr>
            </w:pPr>
            <w:r w:rsidRPr="00562194">
              <w:rPr>
                <w:kern w:val="24"/>
                <w:sz w:val="18"/>
                <w:szCs w:val="18"/>
                <w:lang w:val="en-GB"/>
              </w:rPr>
              <w:t>102 (42.0%)</w:t>
            </w:r>
          </w:p>
        </w:tc>
        <w:tc>
          <w:tcPr>
            <w:tcW w:w="1998" w:type="dxa"/>
            <w:shd w:val="clear" w:color="auto" w:fill="auto"/>
            <w:tcMar>
              <w:top w:w="15" w:type="dxa"/>
              <w:left w:w="60" w:type="dxa"/>
              <w:bottom w:w="0" w:type="dxa"/>
              <w:right w:w="60" w:type="dxa"/>
            </w:tcMar>
            <w:vAlign w:val="center"/>
          </w:tcPr>
          <w:p w14:paraId="30E65463" w14:textId="77777777" w:rsidR="00576FE1" w:rsidRPr="00562194" w:rsidRDefault="00576FE1" w:rsidP="00115CD6">
            <w:pPr>
              <w:spacing w:before="120" w:line="240" w:lineRule="auto"/>
              <w:jc w:val="center"/>
              <w:rPr>
                <w:sz w:val="18"/>
                <w:szCs w:val="18"/>
                <w:lang w:val="en-GB"/>
              </w:rPr>
            </w:pPr>
            <w:r w:rsidRPr="00562194">
              <w:rPr>
                <w:kern w:val="24"/>
                <w:sz w:val="18"/>
                <w:szCs w:val="18"/>
                <w:lang w:val="en-GB"/>
              </w:rPr>
              <w:t>112 (46.1%)</w:t>
            </w:r>
          </w:p>
        </w:tc>
        <w:tc>
          <w:tcPr>
            <w:tcW w:w="1061" w:type="dxa"/>
            <w:shd w:val="clear" w:color="auto" w:fill="auto"/>
            <w:vAlign w:val="center"/>
          </w:tcPr>
          <w:p w14:paraId="0F401649" w14:textId="77777777" w:rsidR="00576FE1" w:rsidRPr="00562194" w:rsidRDefault="00576FE1" w:rsidP="00115CD6">
            <w:pPr>
              <w:spacing w:before="120" w:line="240" w:lineRule="auto"/>
              <w:jc w:val="center"/>
              <w:rPr>
                <w:sz w:val="18"/>
                <w:szCs w:val="18"/>
                <w:lang w:val="en-GB"/>
              </w:rPr>
            </w:pPr>
          </w:p>
        </w:tc>
      </w:tr>
      <w:tr w:rsidR="00576FE1" w:rsidRPr="00562194" w14:paraId="7745BA81" w14:textId="77777777" w:rsidTr="00115CD6">
        <w:trPr>
          <w:trHeight w:val="280"/>
          <w:jc w:val="center"/>
        </w:trPr>
        <w:tc>
          <w:tcPr>
            <w:tcW w:w="4014" w:type="dxa"/>
            <w:shd w:val="clear" w:color="auto" w:fill="auto"/>
            <w:tcMar>
              <w:top w:w="15" w:type="dxa"/>
              <w:left w:w="70" w:type="dxa"/>
              <w:bottom w:w="0" w:type="dxa"/>
              <w:right w:w="70" w:type="dxa"/>
            </w:tcMar>
            <w:vAlign w:val="center"/>
            <w:hideMark/>
          </w:tcPr>
          <w:p w14:paraId="29CF56B2" w14:textId="77777777" w:rsidR="00576FE1" w:rsidRPr="00562194" w:rsidRDefault="00576FE1" w:rsidP="00115CD6">
            <w:pPr>
              <w:spacing w:before="120" w:line="240" w:lineRule="auto"/>
              <w:rPr>
                <w:sz w:val="18"/>
                <w:szCs w:val="18"/>
                <w:lang w:val="en-GB"/>
              </w:rPr>
            </w:pPr>
            <w:r w:rsidRPr="00562194">
              <w:rPr>
                <w:kern w:val="24"/>
                <w:sz w:val="18"/>
                <w:szCs w:val="18"/>
                <w:lang w:val="en-GB"/>
              </w:rPr>
              <w:t>Stable disease</w:t>
            </w:r>
          </w:p>
        </w:tc>
        <w:tc>
          <w:tcPr>
            <w:tcW w:w="2120" w:type="dxa"/>
            <w:shd w:val="clear" w:color="auto" w:fill="auto"/>
            <w:tcMar>
              <w:top w:w="15" w:type="dxa"/>
              <w:left w:w="60" w:type="dxa"/>
              <w:bottom w:w="0" w:type="dxa"/>
              <w:right w:w="60" w:type="dxa"/>
            </w:tcMar>
            <w:vAlign w:val="center"/>
          </w:tcPr>
          <w:p w14:paraId="123DBEBD" w14:textId="77777777" w:rsidR="00576FE1" w:rsidRPr="00562194" w:rsidRDefault="00576FE1" w:rsidP="00115CD6">
            <w:pPr>
              <w:spacing w:before="120" w:line="240" w:lineRule="auto"/>
              <w:jc w:val="center"/>
              <w:rPr>
                <w:sz w:val="18"/>
                <w:szCs w:val="18"/>
                <w:lang w:val="en-GB"/>
              </w:rPr>
            </w:pPr>
            <w:r w:rsidRPr="00562194">
              <w:rPr>
                <w:kern w:val="24"/>
                <w:sz w:val="18"/>
                <w:szCs w:val="18"/>
                <w:lang w:val="en-GB"/>
              </w:rPr>
              <w:t>59 (24.3%)</w:t>
            </w:r>
          </w:p>
        </w:tc>
        <w:tc>
          <w:tcPr>
            <w:tcW w:w="1998" w:type="dxa"/>
            <w:shd w:val="clear" w:color="auto" w:fill="auto"/>
            <w:tcMar>
              <w:top w:w="15" w:type="dxa"/>
              <w:left w:w="60" w:type="dxa"/>
              <w:bottom w:w="0" w:type="dxa"/>
              <w:right w:w="60" w:type="dxa"/>
            </w:tcMar>
            <w:vAlign w:val="center"/>
          </w:tcPr>
          <w:p w14:paraId="65CB047E" w14:textId="77777777" w:rsidR="00576FE1" w:rsidRPr="00562194" w:rsidRDefault="00576FE1" w:rsidP="00115CD6">
            <w:pPr>
              <w:spacing w:before="120" w:line="240" w:lineRule="auto"/>
              <w:jc w:val="center"/>
              <w:rPr>
                <w:sz w:val="18"/>
                <w:szCs w:val="18"/>
                <w:lang w:val="en-GB"/>
              </w:rPr>
            </w:pPr>
            <w:r w:rsidRPr="00562194">
              <w:rPr>
                <w:kern w:val="24"/>
                <w:sz w:val="18"/>
                <w:szCs w:val="18"/>
                <w:lang w:val="en-GB"/>
              </w:rPr>
              <w:t>46 (18.9%)</w:t>
            </w:r>
          </w:p>
        </w:tc>
        <w:tc>
          <w:tcPr>
            <w:tcW w:w="1061" w:type="dxa"/>
            <w:shd w:val="clear" w:color="auto" w:fill="auto"/>
            <w:vAlign w:val="center"/>
          </w:tcPr>
          <w:p w14:paraId="38783994" w14:textId="77777777" w:rsidR="00576FE1" w:rsidRPr="00562194" w:rsidRDefault="00576FE1" w:rsidP="00115CD6">
            <w:pPr>
              <w:spacing w:before="120" w:line="240" w:lineRule="auto"/>
              <w:jc w:val="center"/>
              <w:rPr>
                <w:sz w:val="18"/>
                <w:szCs w:val="18"/>
                <w:lang w:val="en-GB"/>
              </w:rPr>
            </w:pPr>
          </w:p>
        </w:tc>
      </w:tr>
      <w:tr w:rsidR="00576FE1" w:rsidRPr="00562194" w14:paraId="2730B387" w14:textId="77777777" w:rsidTr="00115CD6">
        <w:trPr>
          <w:trHeight w:val="280"/>
          <w:jc w:val="center"/>
        </w:trPr>
        <w:tc>
          <w:tcPr>
            <w:tcW w:w="4014" w:type="dxa"/>
            <w:shd w:val="clear" w:color="auto" w:fill="auto"/>
            <w:tcMar>
              <w:top w:w="15" w:type="dxa"/>
              <w:left w:w="70" w:type="dxa"/>
              <w:bottom w:w="0" w:type="dxa"/>
              <w:right w:w="70" w:type="dxa"/>
            </w:tcMar>
            <w:vAlign w:val="center"/>
            <w:hideMark/>
          </w:tcPr>
          <w:p w14:paraId="4910DB9A" w14:textId="77777777" w:rsidR="00576FE1" w:rsidRPr="00562194" w:rsidRDefault="00576FE1" w:rsidP="00115CD6">
            <w:pPr>
              <w:spacing w:before="120" w:line="240" w:lineRule="auto"/>
              <w:rPr>
                <w:sz w:val="18"/>
                <w:szCs w:val="18"/>
                <w:lang w:val="en-GB"/>
              </w:rPr>
            </w:pPr>
            <w:r w:rsidRPr="00562194">
              <w:rPr>
                <w:kern w:val="24"/>
                <w:sz w:val="18"/>
                <w:szCs w:val="18"/>
                <w:lang w:val="en-GB"/>
              </w:rPr>
              <w:t>No complete response</w:t>
            </w:r>
            <w:r>
              <w:rPr>
                <w:kern w:val="24"/>
                <w:sz w:val="18"/>
                <w:szCs w:val="18"/>
                <w:lang w:val="en-GB"/>
              </w:rPr>
              <w:t xml:space="preserve"> </w:t>
            </w:r>
            <w:r w:rsidRPr="00562194">
              <w:rPr>
                <w:kern w:val="24"/>
                <w:sz w:val="18"/>
                <w:szCs w:val="18"/>
                <w:lang w:val="en-GB"/>
              </w:rPr>
              <w:t>/</w:t>
            </w:r>
            <w:r>
              <w:rPr>
                <w:kern w:val="24"/>
                <w:sz w:val="18"/>
                <w:szCs w:val="18"/>
                <w:lang w:val="en-GB"/>
              </w:rPr>
              <w:t xml:space="preserve"> </w:t>
            </w:r>
            <w:r w:rsidRPr="00562194">
              <w:rPr>
                <w:kern w:val="24"/>
                <w:sz w:val="18"/>
                <w:szCs w:val="18"/>
                <w:lang w:val="en-GB"/>
              </w:rPr>
              <w:t>No progressive disease</w:t>
            </w:r>
          </w:p>
        </w:tc>
        <w:tc>
          <w:tcPr>
            <w:tcW w:w="2120" w:type="dxa"/>
            <w:shd w:val="clear" w:color="auto" w:fill="auto"/>
            <w:tcMar>
              <w:top w:w="15" w:type="dxa"/>
              <w:left w:w="60" w:type="dxa"/>
              <w:bottom w:w="0" w:type="dxa"/>
              <w:right w:w="60" w:type="dxa"/>
            </w:tcMar>
            <w:vAlign w:val="center"/>
          </w:tcPr>
          <w:p w14:paraId="26C57CC9" w14:textId="77777777" w:rsidR="00576FE1" w:rsidRPr="00562194" w:rsidRDefault="00576FE1" w:rsidP="00115CD6">
            <w:pPr>
              <w:spacing w:before="120" w:line="240" w:lineRule="auto"/>
              <w:jc w:val="center"/>
              <w:rPr>
                <w:sz w:val="18"/>
                <w:szCs w:val="18"/>
                <w:lang w:val="en-GB"/>
              </w:rPr>
            </w:pPr>
            <w:r w:rsidRPr="00562194">
              <w:rPr>
                <w:kern w:val="24"/>
                <w:sz w:val="18"/>
                <w:szCs w:val="18"/>
                <w:lang w:val="en-GB"/>
              </w:rPr>
              <w:t>39 (16.0%)</w:t>
            </w:r>
          </w:p>
        </w:tc>
        <w:tc>
          <w:tcPr>
            <w:tcW w:w="1998" w:type="dxa"/>
            <w:shd w:val="clear" w:color="auto" w:fill="auto"/>
            <w:tcMar>
              <w:top w:w="15" w:type="dxa"/>
              <w:left w:w="60" w:type="dxa"/>
              <w:bottom w:w="0" w:type="dxa"/>
              <w:right w:w="60" w:type="dxa"/>
            </w:tcMar>
            <w:vAlign w:val="center"/>
          </w:tcPr>
          <w:p w14:paraId="0150FCB2" w14:textId="77777777" w:rsidR="00576FE1" w:rsidRPr="00562194" w:rsidRDefault="00576FE1" w:rsidP="00115CD6">
            <w:pPr>
              <w:spacing w:before="120" w:line="240" w:lineRule="auto"/>
              <w:jc w:val="center"/>
              <w:rPr>
                <w:sz w:val="18"/>
                <w:szCs w:val="18"/>
                <w:lang w:val="en-GB"/>
              </w:rPr>
            </w:pPr>
            <w:r w:rsidRPr="00562194">
              <w:rPr>
                <w:kern w:val="24"/>
                <w:sz w:val="18"/>
                <w:szCs w:val="18"/>
                <w:lang w:val="en-GB"/>
              </w:rPr>
              <w:t>52 (21.4%)</w:t>
            </w:r>
          </w:p>
        </w:tc>
        <w:tc>
          <w:tcPr>
            <w:tcW w:w="1061" w:type="dxa"/>
            <w:shd w:val="clear" w:color="auto" w:fill="auto"/>
            <w:vAlign w:val="center"/>
          </w:tcPr>
          <w:p w14:paraId="1AFAEBB1" w14:textId="77777777" w:rsidR="00576FE1" w:rsidRPr="00562194" w:rsidRDefault="00576FE1" w:rsidP="00115CD6">
            <w:pPr>
              <w:spacing w:before="120" w:line="240" w:lineRule="auto"/>
              <w:jc w:val="center"/>
              <w:rPr>
                <w:sz w:val="18"/>
                <w:szCs w:val="18"/>
                <w:lang w:val="en-GB"/>
              </w:rPr>
            </w:pPr>
          </w:p>
        </w:tc>
      </w:tr>
      <w:tr w:rsidR="00576FE1" w:rsidRPr="00562194" w14:paraId="23D9F9FA" w14:textId="77777777" w:rsidTr="00115CD6">
        <w:trPr>
          <w:trHeight w:val="280"/>
          <w:jc w:val="center"/>
        </w:trPr>
        <w:tc>
          <w:tcPr>
            <w:tcW w:w="4014" w:type="dxa"/>
            <w:shd w:val="clear" w:color="auto" w:fill="auto"/>
            <w:tcMar>
              <w:top w:w="15" w:type="dxa"/>
              <w:left w:w="70" w:type="dxa"/>
              <w:bottom w:w="0" w:type="dxa"/>
              <w:right w:w="70" w:type="dxa"/>
            </w:tcMar>
            <w:vAlign w:val="center"/>
          </w:tcPr>
          <w:p w14:paraId="1264194D" w14:textId="77777777" w:rsidR="00576FE1" w:rsidRPr="00562194" w:rsidRDefault="00576FE1" w:rsidP="00115CD6">
            <w:pPr>
              <w:spacing w:before="120" w:line="240" w:lineRule="auto"/>
              <w:rPr>
                <w:sz w:val="18"/>
                <w:szCs w:val="18"/>
                <w:lang w:val="en-GB"/>
              </w:rPr>
            </w:pPr>
            <w:r w:rsidRPr="00562194">
              <w:rPr>
                <w:kern w:val="24"/>
                <w:sz w:val="18"/>
                <w:szCs w:val="18"/>
                <w:lang w:val="en-GB"/>
              </w:rPr>
              <w:t>Progressive disease</w:t>
            </w:r>
          </w:p>
        </w:tc>
        <w:tc>
          <w:tcPr>
            <w:tcW w:w="2120" w:type="dxa"/>
            <w:shd w:val="clear" w:color="auto" w:fill="auto"/>
            <w:tcMar>
              <w:top w:w="15" w:type="dxa"/>
              <w:left w:w="60" w:type="dxa"/>
              <w:bottom w:w="0" w:type="dxa"/>
              <w:right w:w="60" w:type="dxa"/>
            </w:tcMar>
            <w:vAlign w:val="center"/>
          </w:tcPr>
          <w:p w14:paraId="252B533D" w14:textId="77777777" w:rsidR="00576FE1" w:rsidRPr="00562194" w:rsidRDefault="00576FE1" w:rsidP="00115CD6">
            <w:pPr>
              <w:spacing w:before="120" w:line="240" w:lineRule="auto"/>
              <w:jc w:val="center"/>
              <w:rPr>
                <w:sz w:val="18"/>
                <w:szCs w:val="18"/>
                <w:lang w:val="en-GB"/>
              </w:rPr>
            </w:pPr>
            <w:r w:rsidRPr="00562194">
              <w:rPr>
                <w:kern w:val="24"/>
                <w:sz w:val="18"/>
                <w:szCs w:val="18"/>
                <w:lang w:val="en-GB"/>
              </w:rPr>
              <w:t>22 (9.1%)</w:t>
            </w:r>
          </w:p>
        </w:tc>
        <w:tc>
          <w:tcPr>
            <w:tcW w:w="1998" w:type="dxa"/>
            <w:shd w:val="clear" w:color="auto" w:fill="auto"/>
            <w:tcMar>
              <w:top w:w="15" w:type="dxa"/>
              <w:left w:w="60" w:type="dxa"/>
              <w:bottom w:w="0" w:type="dxa"/>
              <w:right w:w="60" w:type="dxa"/>
            </w:tcMar>
            <w:vAlign w:val="center"/>
          </w:tcPr>
          <w:p w14:paraId="0A250618" w14:textId="77777777" w:rsidR="00576FE1" w:rsidRPr="00562194" w:rsidRDefault="00576FE1" w:rsidP="00115CD6">
            <w:pPr>
              <w:spacing w:before="120" w:line="240" w:lineRule="auto"/>
              <w:jc w:val="center"/>
              <w:rPr>
                <w:sz w:val="18"/>
                <w:szCs w:val="18"/>
                <w:lang w:val="en-GB"/>
              </w:rPr>
            </w:pPr>
            <w:r w:rsidRPr="00562194">
              <w:rPr>
                <w:kern w:val="24"/>
                <w:sz w:val="18"/>
                <w:szCs w:val="18"/>
                <w:lang w:val="en-GB"/>
              </w:rPr>
              <w:t>13 (5.3%)</w:t>
            </w:r>
          </w:p>
        </w:tc>
        <w:tc>
          <w:tcPr>
            <w:tcW w:w="1061" w:type="dxa"/>
            <w:shd w:val="clear" w:color="auto" w:fill="auto"/>
            <w:vAlign w:val="center"/>
          </w:tcPr>
          <w:p w14:paraId="49678805" w14:textId="77777777" w:rsidR="00576FE1" w:rsidRPr="00562194" w:rsidRDefault="00576FE1" w:rsidP="00115CD6">
            <w:pPr>
              <w:spacing w:before="120" w:line="240" w:lineRule="auto"/>
              <w:jc w:val="center"/>
              <w:rPr>
                <w:sz w:val="18"/>
                <w:szCs w:val="18"/>
                <w:lang w:val="en-GB"/>
              </w:rPr>
            </w:pPr>
          </w:p>
        </w:tc>
      </w:tr>
      <w:tr w:rsidR="00576FE1" w:rsidRPr="00562194" w14:paraId="643BE933" w14:textId="77777777" w:rsidTr="00115CD6">
        <w:trPr>
          <w:trHeight w:val="280"/>
          <w:jc w:val="center"/>
        </w:trPr>
        <w:tc>
          <w:tcPr>
            <w:tcW w:w="4014" w:type="dxa"/>
            <w:shd w:val="clear" w:color="auto" w:fill="auto"/>
            <w:tcMar>
              <w:top w:w="15" w:type="dxa"/>
              <w:left w:w="70" w:type="dxa"/>
              <w:bottom w:w="0" w:type="dxa"/>
              <w:right w:w="70" w:type="dxa"/>
            </w:tcMar>
            <w:vAlign w:val="center"/>
          </w:tcPr>
          <w:p w14:paraId="7C57B8FE" w14:textId="77777777" w:rsidR="00576FE1" w:rsidRPr="00562194" w:rsidRDefault="00576FE1" w:rsidP="00115CD6">
            <w:pPr>
              <w:spacing w:before="120" w:line="240" w:lineRule="auto"/>
              <w:rPr>
                <w:sz w:val="18"/>
                <w:szCs w:val="18"/>
                <w:lang w:val="en-GB"/>
              </w:rPr>
            </w:pPr>
            <w:r w:rsidRPr="00562194">
              <w:rPr>
                <w:kern w:val="24"/>
                <w:sz w:val="18"/>
                <w:szCs w:val="18"/>
                <w:lang w:val="en-GB"/>
              </w:rPr>
              <w:t>Not evaluable</w:t>
            </w:r>
          </w:p>
        </w:tc>
        <w:tc>
          <w:tcPr>
            <w:tcW w:w="2120" w:type="dxa"/>
            <w:shd w:val="clear" w:color="auto" w:fill="auto"/>
            <w:tcMar>
              <w:top w:w="15" w:type="dxa"/>
              <w:left w:w="60" w:type="dxa"/>
              <w:bottom w:w="0" w:type="dxa"/>
              <w:right w:w="60" w:type="dxa"/>
            </w:tcMar>
            <w:vAlign w:val="center"/>
          </w:tcPr>
          <w:p w14:paraId="4C60EBEC" w14:textId="77777777" w:rsidR="00576FE1" w:rsidRPr="00562194" w:rsidRDefault="00576FE1" w:rsidP="00115CD6">
            <w:pPr>
              <w:spacing w:before="120" w:line="240" w:lineRule="auto"/>
              <w:jc w:val="center"/>
              <w:rPr>
                <w:sz w:val="18"/>
                <w:szCs w:val="18"/>
                <w:lang w:val="en-GB"/>
              </w:rPr>
            </w:pPr>
            <w:r w:rsidRPr="00562194">
              <w:rPr>
                <w:kern w:val="24"/>
                <w:sz w:val="18"/>
                <w:szCs w:val="18"/>
                <w:lang w:val="en-GB"/>
              </w:rPr>
              <w:t>10 (4.1%)</w:t>
            </w:r>
          </w:p>
        </w:tc>
        <w:tc>
          <w:tcPr>
            <w:tcW w:w="1998" w:type="dxa"/>
            <w:shd w:val="clear" w:color="auto" w:fill="auto"/>
            <w:tcMar>
              <w:top w:w="15" w:type="dxa"/>
              <w:left w:w="60" w:type="dxa"/>
              <w:bottom w:w="0" w:type="dxa"/>
              <w:right w:w="60" w:type="dxa"/>
            </w:tcMar>
            <w:vAlign w:val="center"/>
          </w:tcPr>
          <w:p w14:paraId="3D479C1E" w14:textId="77777777" w:rsidR="00576FE1" w:rsidRPr="00562194" w:rsidRDefault="00576FE1" w:rsidP="00115CD6">
            <w:pPr>
              <w:spacing w:before="120" w:line="240" w:lineRule="auto"/>
              <w:jc w:val="center"/>
              <w:rPr>
                <w:sz w:val="18"/>
                <w:szCs w:val="18"/>
                <w:lang w:val="en-GB"/>
              </w:rPr>
            </w:pPr>
            <w:r w:rsidRPr="00562194">
              <w:rPr>
                <w:kern w:val="24"/>
                <w:sz w:val="18"/>
                <w:szCs w:val="18"/>
                <w:lang w:val="en-GB"/>
              </w:rPr>
              <w:t>10 (4.1%)</w:t>
            </w:r>
          </w:p>
        </w:tc>
        <w:tc>
          <w:tcPr>
            <w:tcW w:w="1061" w:type="dxa"/>
            <w:shd w:val="clear" w:color="auto" w:fill="auto"/>
            <w:vAlign w:val="center"/>
          </w:tcPr>
          <w:p w14:paraId="7F3D0D80" w14:textId="77777777" w:rsidR="00576FE1" w:rsidRPr="00562194" w:rsidRDefault="00576FE1" w:rsidP="00115CD6">
            <w:pPr>
              <w:spacing w:before="120" w:line="240" w:lineRule="auto"/>
              <w:jc w:val="center"/>
              <w:rPr>
                <w:sz w:val="18"/>
                <w:szCs w:val="18"/>
                <w:lang w:val="en-GB"/>
              </w:rPr>
            </w:pPr>
          </w:p>
        </w:tc>
      </w:tr>
      <w:tr w:rsidR="00576FE1" w:rsidRPr="00562194" w14:paraId="05EFB826" w14:textId="77777777" w:rsidTr="00115CD6">
        <w:trPr>
          <w:trHeight w:val="280"/>
          <w:jc w:val="center"/>
        </w:trPr>
        <w:tc>
          <w:tcPr>
            <w:tcW w:w="4014" w:type="dxa"/>
            <w:shd w:val="clear" w:color="auto" w:fill="auto"/>
            <w:tcMar>
              <w:top w:w="15" w:type="dxa"/>
              <w:left w:w="70" w:type="dxa"/>
              <w:bottom w:w="0" w:type="dxa"/>
              <w:right w:w="70" w:type="dxa"/>
            </w:tcMar>
            <w:vAlign w:val="center"/>
          </w:tcPr>
          <w:p w14:paraId="696E338C" w14:textId="77777777" w:rsidR="00576FE1" w:rsidRPr="00562194" w:rsidRDefault="00576FE1" w:rsidP="00115CD6">
            <w:pPr>
              <w:pStyle w:val="NormalWeb"/>
              <w:tabs>
                <w:tab w:val="left" w:pos="7740"/>
              </w:tabs>
              <w:spacing w:before="120" w:beforeAutospacing="0" w:after="120" w:afterAutospacing="0"/>
              <w:rPr>
                <w:rFonts w:eastAsia="Helvetica Neue"/>
                <w:color w:val="000000"/>
                <w:kern w:val="24"/>
                <w:sz w:val="18"/>
                <w:szCs w:val="18"/>
                <w:lang w:val="en-GB"/>
              </w:rPr>
            </w:pPr>
            <w:r w:rsidRPr="00562194">
              <w:rPr>
                <w:rFonts w:eastAsia="Helvetica Neue"/>
                <w:color w:val="000000"/>
                <w:kern w:val="24"/>
                <w:sz w:val="18"/>
                <w:szCs w:val="18"/>
                <w:lang w:val="en-GB"/>
              </w:rPr>
              <w:t xml:space="preserve">Time to </w:t>
            </w:r>
            <w:r>
              <w:rPr>
                <w:rFonts w:eastAsia="Helvetica Neue"/>
                <w:color w:val="000000"/>
                <w:kern w:val="24"/>
                <w:sz w:val="18"/>
                <w:szCs w:val="18"/>
                <w:lang w:val="en-GB"/>
              </w:rPr>
              <w:t xml:space="preserve">first </w:t>
            </w:r>
            <w:r w:rsidRPr="00562194">
              <w:rPr>
                <w:rFonts w:eastAsia="Helvetica Neue"/>
                <w:color w:val="000000"/>
                <w:kern w:val="24"/>
                <w:sz w:val="18"/>
                <w:szCs w:val="18"/>
                <w:lang w:val="en-GB"/>
              </w:rPr>
              <w:t>response</w:t>
            </w:r>
            <w:r>
              <w:rPr>
                <w:rFonts w:eastAsia="Helvetica Neue"/>
                <w:color w:val="000000"/>
                <w:kern w:val="24"/>
                <w:sz w:val="18"/>
                <w:szCs w:val="18"/>
                <w:lang w:val="en-GB"/>
              </w:rPr>
              <w:t>, months (95% CI)</w:t>
            </w:r>
          </w:p>
        </w:tc>
        <w:tc>
          <w:tcPr>
            <w:tcW w:w="2120" w:type="dxa"/>
            <w:shd w:val="clear" w:color="auto" w:fill="auto"/>
            <w:tcMar>
              <w:top w:w="15" w:type="dxa"/>
              <w:left w:w="60" w:type="dxa"/>
              <w:bottom w:w="0" w:type="dxa"/>
              <w:right w:w="60" w:type="dxa"/>
            </w:tcMar>
            <w:vAlign w:val="center"/>
          </w:tcPr>
          <w:p w14:paraId="43BC82E3" w14:textId="77777777" w:rsidR="00576FE1" w:rsidRPr="00562194" w:rsidRDefault="00576FE1" w:rsidP="00115CD6">
            <w:pPr>
              <w:pStyle w:val="NormalWeb"/>
              <w:tabs>
                <w:tab w:val="left" w:pos="7740"/>
              </w:tabs>
              <w:spacing w:before="120" w:beforeAutospacing="0" w:after="120" w:afterAutospacing="0"/>
              <w:jc w:val="center"/>
              <w:rPr>
                <w:rFonts w:eastAsia="Helvetica Neue"/>
                <w:color w:val="000000"/>
                <w:kern w:val="24"/>
                <w:sz w:val="18"/>
                <w:szCs w:val="18"/>
                <w:lang w:val="en-GB"/>
              </w:rPr>
            </w:pPr>
            <w:r w:rsidRPr="00562194">
              <w:rPr>
                <w:rFonts w:eastAsia="Helvetica Neue"/>
                <w:color w:val="000000"/>
                <w:kern w:val="24"/>
                <w:sz w:val="18"/>
                <w:szCs w:val="18"/>
                <w:lang w:val="en-GB"/>
              </w:rPr>
              <w:t>18.8 (8.3-NE)</w:t>
            </w:r>
          </w:p>
        </w:tc>
        <w:tc>
          <w:tcPr>
            <w:tcW w:w="1998" w:type="dxa"/>
            <w:shd w:val="clear" w:color="auto" w:fill="auto"/>
            <w:tcMar>
              <w:top w:w="15" w:type="dxa"/>
              <w:left w:w="60" w:type="dxa"/>
              <w:bottom w:w="0" w:type="dxa"/>
              <w:right w:w="60" w:type="dxa"/>
            </w:tcMar>
            <w:vAlign w:val="center"/>
          </w:tcPr>
          <w:p w14:paraId="31F61010" w14:textId="77777777" w:rsidR="00576FE1" w:rsidRPr="00562194" w:rsidRDefault="00576FE1" w:rsidP="00115CD6">
            <w:pPr>
              <w:pStyle w:val="NormalWeb"/>
              <w:tabs>
                <w:tab w:val="left" w:pos="7740"/>
              </w:tabs>
              <w:spacing w:before="120" w:beforeAutospacing="0" w:after="120" w:afterAutospacing="0"/>
              <w:jc w:val="center"/>
              <w:rPr>
                <w:rFonts w:eastAsia="Helvetica Neue"/>
                <w:color w:val="000000"/>
                <w:kern w:val="24"/>
                <w:sz w:val="18"/>
                <w:szCs w:val="18"/>
                <w:lang w:val="en-GB"/>
              </w:rPr>
            </w:pPr>
            <w:r w:rsidRPr="00562194">
              <w:rPr>
                <w:rFonts w:eastAsia="Helvetica Neue"/>
                <w:color w:val="000000"/>
                <w:kern w:val="24"/>
                <w:sz w:val="18"/>
                <w:szCs w:val="18"/>
                <w:lang w:val="en-GB"/>
              </w:rPr>
              <w:t>11.0 (8.2-24.8)</w:t>
            </w:r>
          </w:p>
        </w:tc>
        <w:tc>
          <w:tcPr>
            <w:tcW w:w="1061" w:type="dxa"/>
            <w:shd w:val="clear" w:color="auto" w:fill="auto"/>
            <w:vAlign w:val="center"/>
          </w:tcPr>
          <w:p w14:paraId="47D3083C" w14:textId="77777777" w:rsidR="00576FE1" w:rsidRPr="00562194" w:rsidRDefault="00576FE1" w:rsidP="00115CD6">
            <w:pPr>
              <w:spacing w:before="120" w:line="240" w:lineRule="auto"/>
              <w:jc w:val="center"/>
              <w:rPr>
                <w:rFonts w:eastAsia="Helvetica Neue"/>
                <w:kern w:val="24"/>
                <w:sz w:val="18"/>
                <w:szCs w:val="18"/>
                <w:lang w:val="en-GB"/>
              </w:rPr>
            </w:pPr>
            <w:r w:rsidRPr="00562194">
              <w:rPr>
                <w:rFonts w:eastAsia="Helvetica Neue"/>
                <w:kern w:val="24"/>
                <w:sz w:val="18"/>
                <w:szCs w:val="18"/>
                <w:lang w:val="en-GB"/>
              </w:rPr>
              <w:t>0.476</w:t>
            </w:r>
          </w:p>
        </w:tc>
      </w:tr>
      <w:tr w:rsidR="00576FE1" w:rsidRPr="00562194" w14:paraId="48E3F043" w14:textId="77777777" w:rsidTr="00115CD6">
        <w:trPr>
          <w:trHeight w:val="280"/>
          <w:jc w:val="center"/>
        </w:trPr>
        <w:tc>
          <w:tcPr>
            <w:tcW w:w="4014" w:type="dxa"/>
            <w:shd w:val="clear" w:color="auto" w:fill="auto"/>
            <w:tcMar>
              <w:top w:w="15" w:type="dxa"/>
              <w:left w:w="70" w:type="dxa"/>
              <w:bottom w:w="0" w:type="dxa"/>
              <w:right w:w="70" w:type="dxa"/>
            </w:tcMar>
            <w:vAlign w:val="center"/>
          </w:tcPr>
          <w:p w14:paraId="58782ED1" w14:textId="77777777" w:rsidR="00576FE1" w:rsidRPr="00562194" w:rsidRDefault="00576FE1" w:rsidP="00115CD6">
            <w:pPr>
              <w:pStyle w:val="NormalWeb"/>
              <w:tabs>
                <w:tab w:val="left" w:pos="7740"/>
              </w:tabs>
              <w:spacing w:before="120" w:beforeAutospacing="0" w:after="120" w:afterAutospacing="0"/>
              <w:rPr>
                <w:color w:val="000000"/>
                <w:sz w:val="18"/>
                <w:szCs w:val="18"/>
                <w:lang w:val="en-GB"/>
              </w:rPr>
            </w:pPr>
            <w:r w:rsidRPr="00562194">
              <w:rPr>
                <w:rFonts w:eastAsia="Helvetica Neue"/>
                <w:color w:val="000000"/>
                <w:kern w:val="24"/>
                <w:sz w:val="18"/>
                <w:szCs w:val="18"/>
                <w:lang w:val="en-GB"/>
              </w:rPr>
              <w:t>Rate of objective response (95% CI)</w:t>
            </w:r>
          </w:p>
        </w:tc>
        <w:tc>
          <w:tcPr>
            <w:tcW w:w="2120" w:type="dxa"/>
            <w:shd w:val="clear" w:color="auto" w:fill="auto"/>
            <w:tcMar>
              <w:top w:w="15" w:type="dxa"/>
              <w:left w:w="60" w:type="dxa"/>
              <w:bottom w:w="0" w:type="dxa"/>
              <w:right w:w="60" w:type="dxa"/>
            </w:tcMar>
            <w:vAlign w:val="center"/>
          </w:tcPr>
          <w:p w14:paraId="15A8FDCA" w14:textId="77777777" w:rsidR="00576FE1" w:rsidRPr="00562194" w:rsidRDefault="00576FE1" w:rsidP="00115CD6">
            <w:pPr>
              <w:pStyle w:val="NormalWeb"/>
              <w:tabs>
                <w:tab w:val="left" w:pos="7740"/>
              </w:tabs>
              <w:spacing w:before="120" w:beforeAutospacing="0" w:after="120" w:afterAutospacing="0"/>
              <w:jc w:val="center"/>
              <w:rPr>
                <w:color w:val="000000"/>
                <w:sz w:val="18"/>
                <w:szCs w:val="18"/>
                <w:lang w:val="en-GB"/>
              </w:rPr>
            </w:pPr>
            <w:r w:rsidRPr="00562194">
              <w:rPr>
                <w:rFonts w:eastAsia="Helvetica Neue"/>
                <w:color w:val="000000"/>
                <w:kern w:val="24"/>
                <w:sz w:val="18"/>
                <w:szCs w:val="18"/>
                <w:lang w:val="en-GB"/>
              </w:rPr>
              <w:t>46.5% (40.1</w:t>
            </w:r>
            <w:r w:rsidRPr="00562194">
              <w:rPr>
                <w:color w:val="000000"/>
                <w:kern w:val="24"/>
                <w:sz w:val="18"/>
                <w:szCs w:val="18"/>
                <w:lang w:val="en-GB"/>
              </w:rPr>
              <w:t>–</w:t>
            </w:r>
            <w:r w:rsidRPr="00562194">
              <w:rPr>
                <w:rFonts w:eastAsia="Helvetica Neue"/>
                <w:color w:val="000000"/>
                <w:kern w:val="24"/>
                <w:sz w:val="18"/>
                <w:szCs w:val="18"/>
                <w:lang w:val="en-GB"/>
              </w:rPr>
              <w:t>53.0)</w:t>
            </w:r>
          </w:p>
        </w:tc>
        <w:tc>
          <w:tcPr>
            <w:tcW w:w="1998" w:type="dxa"/>
            <w:shd w:val="clear" w:color="auto" w:fill="auto"/>
            <w:tcMar>
              <w:top w:w="15" w:type="dxa"/>
              <w:left w:w="60" w:type="dxa"/>
              <w:bottom w:w="0" w:type="dxa"/>
              <w:right w:w="60" w:type="dxa"/>
            </w:tcMar>
            <w:vAlign w:val="center"/>
          </w:tcPr>
          <w:p w14:paraId="0F1CFD83" w14:textId="77777777" w:rsidR="00576FE1" w:rsidRPr="00562194" w:rsidRDefault="00576FE1" w:rsidP="00115CD6">
            <w:pPr>
              <w:pStyle w:val="NormalWeb"/>
              <w:tabs>
                <w:tab w:val="left" w:pos="7740"/>
              </w:tabs>
              <w:spacing w:before="120" w:beforeAutospacing="0" w:after="120" w:afterAutospacing="0"/>
              <w:jc w:val="center"/>
              <w:rPr>
                <w:color w:val="000000"/>
                <w:sz w:val="18"/>
                <w:szCs w:val="18"/>
                <w:lang w:val="en-GB"/>
              </w:rPr>
            </w:pPr>
            <w:r w:rsidRPr="00562194">
              <w:rPr>
                <w:rFonts w:eastAsia="Helvetica Neue"/>
                <w:color w:val="000000"/>
                <w:kern w:val="24"/>
                <w:sz w:val="18"/>
                <w:szCs w:val="18"/>
                <w:lang w:val="en-GB"/>
              </w:rPr>
              <w:t>50.2% (43.7</w:t>
            </w:r>
            <w:r w:rsidRPr="00562194">
              <w:rPr>
                <w:color w:val="000000"/>
                <w:kern w:val="24"/>
                <w:sz w:val="18"/>
                <w:szCs w:val="18"/>
                <w:lang w:val="en-GB"/>
              </w:rPr>
              <w:t>–</w:t>
            </w:r>
            <w:r w:rsidRPr="00562194">
              <w:rPr>
                <w:rFonts w:eastAsia="Helvetica Neue"/>
                <w:color w:val="000000"/>
                <w:kern w:val="24"/>
                <w:sz w:val="18"/>
                <w:szCs w:val="18"/>
                <w:lang w:val="en-GB"/>
              </w:rPr>
              <w:t>56.7)</w:t>
            </w:r>
          </w:p>
        </w:tc>
        <w:tc>
          <w:tcPr>
            <w:tcW w:w="1061" w:type="dxa"/>
            <w:shd w:val="clear" w:color="auto" w:fill="auto"/>
            <w:vAlign w:val="center"/>
          </w:tcPr>
          <w:p w14:paraId="663636DF" w14:textId="77777777" w:rsidR="00576FE1" w:rsidRPr="00CA7173" w:rsidRDefault="00576FE1" w:rsidP="00115CD6">
            <w:pPr>
              <w:spacing w:before="120" w:line="240" w:lineRule="auto"/>
              <w:jc w:val="center"/>
              <w:rPr>
                <w:sz w:val="18"/>
                <w:szCs w:val="18"/>
                <w:lang w:val="en-GB"/>
              </w:rPr>
            </w:pPr>
            <w:r w:rsidRPr="00CA7173">
              <w:rPr>
                <w:rFonts w:eastAsia="Helvetica Neue"/>
                <w:kern w:val="24"/>
                <w:sz w:val="18"/>
                <w:szCs w:val="18"/>
                <w:lang w:val="en-GB"/>
              </w:rPr>
              <w:t>0.414</w:t>
            </w:r>
          </w:p>
        </w:tc>
      </w:tr>
      <w:tr w:rsidR="00576FE1" w:rsidRPr="00562194" w14:paraId="5C9CB8F2" w14:textId="77777777" w:rsidTr="00115CD6">
        <w:trPr>
          <w:trHeight w:val="280"/>
          <w:jc w:val="center"/>
        </w:trPr>
        <w:tc>
          <w:tcPr>
            <w:tcW w:w="4014" w:type="dxa"/>
            <w:shd w:val="clear" w:color="auto" w:fill="auto"/>
            <w:tcMar>
              <w:top w:w="15" w:type="dxa"/>
              <w:left w:w="70" w:type="dxa"/>
              <w:bottom w:w="0" w:type="dxa"/>
              <w:right w:w="70" w:type="dxa"/>
            </w:tcMar>
            <w:vAlign w:val="center"/>
          </w:tcPr>
          <w:p w14:paraId="6B851FB7" w14:textId="77777777" w:rsidR="00576FE1" w:rsidRPr="00562194" w:rsidRDefault="00576FE1" w:rsidP="00115CD6">
            <w:pPr>
              <w:pStyle w:val="NormalWeb"/>
              <w:tabs>
                <w:tab w:val="left" w:pos="7740"/>
              </w:tabs>
              <w:spacing w:before="120" w:beforeAutospacing="0" w:after="120" w:afterAutospacing="0"/>
              <w:rPr>
                <w:color w:val="000000"/>
                <w:sz w:val="18"/>
                <w:szCs w:val="18"/>
                <w:lang w:val="en-GB"/>
              </w:rPr>
            </w:pPr>
            <w:r w:rsidRPr="00562194">
              <w:rPr>
                <w:rFonts w:eastAsia="Helvetica Neue"/>
                <w:color w:val="000000"/>
                <w:kern w:val="24"/>
                <w:sz w:val="18"/>
                <w:szCs w:val="18"/>
                <w:lang w:val="en-GB"/>
              </w:rPr>
              <w:t>Duration of response, months (95% CI)</w:t>
            </w:r>
          </w:p>
        </w:tc>
        <w:tc>
          <w:tcPr>
            <w:tcW w:w="2120" w:type="dxa"/>
            <w:shd w:val="clear" w:color="auto" w:fill="auto"/>
            <w:tcMar>
              <w:top w:w="15" w:type="dxa"/>
              <w:left w:w="60" w:type="dxa"/>
              <w:bottom w:w="0" w:type="dxa"/>
              <w:right w:w="60" w:type="dxa"/>
            </w:tcMar>
            <w:vAlign w:val="center"/>
          </w:tcPr>
          <w:p w14:paraId="6D1EA677" w14:textId="77777777" w:rsidR="00576FE1" w:rsidRPr="00562194" w:rsidRDefault="00576FE1" w:rsidP="00115CD6">
            <w:pPr>
              <w:pStyle w:val="NormalWeb"/>
              <w:tabs>
                <w:tab w:val="left" w:pos="7740"/>
              </w:tabs>
              <w:spacing w:before="120" w:beforeAutospacing="0" w:after="120" w:afterAutospacing="0"/>
              <w:jc w:val="center"/>
              <w:rPr>
                <w:color w:val="000000"/>
                <w:sz w:val="18"/>
                <w:szCs w:val="18"/>
                <w:lang w:val="en-GB"/>
              </w:rPr>
            </w:pPr>
            <w:r w:rsidRPr="00562194">
              <w:rPr>
                <w:rFonts w:eastAsia="Helvetica Neue"/>
                <w:color w:val="000000"/>
                <w:kern w:val="24"/>
                <w:sz w:val="18"/>
                <w:szCs w:val="18"/>
                <w:lang w:val="en-GB"/>
              </w:rPr>
              <w:t>34.0 (23.3</w:t>
            </w:r>
            <w:r w:rsidRPr="00562194">
              <w:rPr>
                <w:color w:val="000000"/>
                <w:kern w:val="24"/>
                <w:sz w:val="18"/>
                <w:szCs w:val="18"/>
                <w:lang w:val="en-GB"/>
              </w:rPr>
              <w:t>–NE</w:t>
            </w:r>
            <w:r w:rsidRPr="00562194">
              <w:rPr>
                <w:rFonts w:eastAsia="Helvetica Neue"/>
                <w:color w:val="000000"/>
                <w:kern w:val="24"/>
                <w:sz w:val="18"/>
                <w:szCs w:val="18"/>
                <w:lang w:val="en-GB"/>
              </w:rPr>
              <w:t>)</w:t>
            </w:r>
          </w:p>
        </w:tc>
        <w:tc>
          <w:tcPr>
            <w:tcW w:w="1998" w:type="dxa"/>
            <w:shd w:val="clear" w:color="auto" w:fill="auto"/>
            <w:tcMar>
              <w:top w:w="15" w:type="dxa"/>
              <w:left w:w="60" w:type="dxa"/>
              <w:bottom w:w="0" w:type="dxa"/>
              <w:right w:w="60" w:type="dxa"/>
            </w:tcMar>
            <w:vAlign w:val="center"/>
          </w:tcPr>
          <w:p w14:paraId="4BE50E27" w14:textId="77777777" w:rsidR="00576FE1" w:rsidRPr="00562194" w:rsidRDefault="00576FE1" w:rsidP="00115CD6">
            <w:pPr>
              <w:pStyle w:val="NormalWeb"/>
              <w:tabs>
                <w:tab w:val="left" w:pos="7740"/>
              </w:tabs>
              <w:spacing w:before="120" w:beforeAutospacing="0" w:after="120" w:afterAutospacing="0"/>
              <w:jc w:val="center"/>
              <w:rPr>
                <w:color w:val="000000"/>
                <w:sz w:val="18"/>
                <w:szCs w:val="18"/>
                <w:lang w:val="en-GB"/>
              </w:rPr>
            </w:pPr>
            <w:r w:rsidRPr="00562194">
              <w:rPr>
                <w:rFonts w:eastAsia="Helvetica Neue"/>
                <w:color w:val="000000"/>
                <w:kern w:val="24"/>
                <w:sz w:val="18"/>
                <w:szCs w:val="18"/>
                <w:lang w:val="en-GB"/>
              </w:rPr>
              <w:t>30.2 (26.7</w:t>
            </w:r>
            <w:r w:rsidRPr="00562194">
              <w:rPr>
                <w:color w:val="000000"/>
                <w:kern w:val="24"/>
                <w:sz w:val="18"/>
                <w:szCs w:val="18"/>
                <w:lang w:val="en-GB"/>
              </w:rPr>
              <w:t>–NE</w:t>
            </w:r>
            <w:r w:rsidRPr="00562194">
              <w:rPr>
                <w:rFonts w:eastAsia="Helvetica Neue"/>
                <w:color w:val="000000"/>
                <w:kern w:val="24"/>
                <w:sz w:val="18"/>
                <w:szCs w:val="18"/>
                <w:lang w:val="en-GB"/>
              </w:rPr>
              <w:t>)</w:t>
            </w:r>
          </w:p>
        </w:tc>
        <w:tc>
          <w:tcPr>
            <w:tcW w:w="1061" w:type="dxa"/>
            <w:shd w:val="clear" w:color="auto" w:fill="auto"/>
            <w:vAlign w:val="center"/>
          </w:tcPr>
          <w:p w14:paraId="2D5CCFCD" w14:textId="77777777" w:rsidR="00576FE1" w:rsidRPr="00CA7173" w:rsidRDefault="00576FE1" w:rsidP="00115CD6">
            <w:pPr>
              <w:spacing w:before="120" w:line="240" w:lineRule="auto"/>
              <w:jc w:val="center"/>
              <w:rPr>
                <w:sz w:val="18"/>
                <w:szCs w:val="18"/>
                <w:lang w:val="en-GB"/>
              </w:rPr>
            </w:pPr>
            <w:r w:rsidRPr="00CA7173">
              <w:rPr>
                <w:sz w:val="18"/>
                <w:szCs w:val="18"/>
                <w:lang w:val="en-GB"/>
              </w:rPr>
              <w:t>0.861</w:t>
            </w:r>
          </w:p>
        </w:tc>
      </w:tr>
      <w:tr w:rsidR="00576FE1" w:rsidRPr="00562194" w14:paraId="7DDF205F" w14:textId="77777777" w:rsidTr="00115CD6">
        <w:trPr>
          <w:trHeight w:val="280"/>
          <w:jc w:val="center"/>
        </w:trPr>
        <w:tc>
          <w:tcPr>
            <w:tcW w:w="4014" w:type="dxa"/>
            <w:shd w:val="clear" w:color="auto" w:fill="auto"/>
            <w:tcMar>
              <w:top w:w="15" w:type="dxa"/>
              <w:left w:w="70" w:type="dxa"/>
              <w:bottom w:w="0" w:type="dxa"/>
              <w:right w:w="70" w:type="dxa"/>
            </w:tcMar>
            <w:vAlign w:val="center"/>
          </w:tcPr>
          <w:p w14:paraId="03701514" w14:textId="77777777" w:rsidR="00576FE1" w:rsidRPr="00562194" w:rsidRDefault="00576FE1" w:rsidP="00115CD6">
            <w:pPr>
              <w:pStyle w:val="NormalWeb"/>
              <w:tabs>
                <w:tab w:val="left" w:pos="7740"/>
              </w:tabs>
              <w:spacing w:before="120" w:beforeAutospacing="0" w:after="120" w:afterAutospacing="0"/>
              <w:rPr>
                <w:rFonts w:eastAsia="Helvetica Neue"/>
                <w:color w:val="000000"/>
                <w:kern w:val="24"/>
                <w:sz w:val="18"/>
                <w:szCs w:val="18"/>
                <w:lang w:val="en-GB"/>
              </w:rPr>
            </w:pPr>
            <w:r w:rsidRPr="00562194">
              <w:rPr>
                <w:rFonts w:eastAsia="Helvetica Neue"/>
                <w:color w:val="000000"/>
                <w:kern w:val="24"/>
                <w:sz w:val="18"/>
                <w:szCs w:val="18"/>
                <w:lang w:val="en-GB"/>
              </w:rPr>
              <w:t>Rate of clinical benefit (95% CI)</w:t>
            </w:r>
          </w:p>
        </w:tc>
        <w:tc>
          <w:tcPr>
            <w:tcW w:w="2120" w:type="dxa"/>
            <w:shd w:val="clear" w:color="auto" w:fill="auto"/>
            <w:tcMar>
              <w:top w:w="15" w:type="dxa"/>
              <w:left w:w="60" w:type="dxa"/>
              <w:bottom w:w="0" w:type="dxa"/>
              <w:right w:w="60" w:type="dxa"/>
            </w:tcMar>
            <w:vAlign w:val="center"/>
          </w:tcPr>
          <w:p w14:paraId="7DE548B9" w14:textId="77777777" w:rsidR="00576FE1" w:rsidRPr="00562194" w:rsidRDefault="00576FE1" w:rsidP="00115CD6">
            <w:pPr>
              <w:pStyle w:val="NormalWeb"/>
              <w:tabs>
                <w:tab w:val="left" w:pos="7740"/>
              </w:tabs>
              <w:spacing w:before="120" w:beforeAutospacing="0" w:after="120" w:afterAutospacing="0"/>
              <w:jc w:val="center"/>
              <w:rPr>
                <w:rFonts w:eastAsia="Helvetica Neue"/>
                <w:color w:val="000000"/>
                <w:kern w:val="24"/>
                <w:sz w:val="18"/>
                <w:szCs w:val="18"/>
                <w:lang w:val="en-GB"/>
              </w:rPr>
            </w:pPr>
            <w:r w:rsidRPr="00562194">
              <w:rPr>
                <w:rFonts w:eastAsia="Helvetica Neue"/>
                <w:color w:val="000000"/>
                <w:kern w:val="24"/>
                <w:sz w:val="18"/>
                <w:szCs w:val="18"/>
                <w:lang w:val="en-GB"/>
              </w:rPr>
              <w:t>70.8% (64.6</w:t>
            </w:r>
            <w:r w:rsidRPr="00562194">
              <w:rPr>
                <w:color w:val="000000"/>
                <w:kern w:val="24"/>
                <w:sz w:val="18"/>
                <w:szCs w:val="18"/>
                <w:lang w:val="en-GB"/>
              </w:rPr>
              <w:t>–</w:t>
            </w:r>
            <w:r w:rsidRPr="00562194">
              <w:rPr>
                <w:rFonts w:eastAsia="Helvetica Neue"/>
                <w:color w:val="000000"/>
                <w:kern w:val="24"/>
                <w:sz w:val="18"/>
                <w:szCs w:val="18"/>
                <w:lang w:val="en-GB"/>
              </w:rPr>
              <w:t>76.4)</w:t>
            </w:r>
          </w:p>
        </w:tc>
        <w:tc>
          <w:tcPr>
            <w:tcW w:w="1998" w:type="dxa"/>
            <w:shd w:val="clear" w:color="auto" w:fill="auto"/>
            <w:tcMar>
              <w:top w:w="15" w:type="dxa"/>
              <w:left w:w="60" w:type="dxa"/>
              <w:bottom w:w="0" w:type="dxa"/>
              <w:right w:w="60" w:type="dxa"/>
            </w:tcMar>
            <w:vAlign w:val="center"/>
          </w:tcPr>
          <w:p w14:paraId="6023E4B4" w14:textId="77777777" w:rsidR="00576FE1" w:rsidRPr="00562194" w:rsidRDefault="00576FE1" w:rsidP="00115CD6">
            <w:pPr>
              <w:pStyle w:val="NormalWeb"/>
              <w:tabs>
                <w:tab w:val="left" w:pos="7740"/>
              </w:tabs>
              <w:spacing w:before="120" w:beforeAutospacing="0" w:after="120" w:afterAutospacing="0"/>
              <w:jc w:val="center"/>
              <w:rPr>
                <w:rFonts w:eastAsia="Helvetica Neue"/>
                <w:color w:val="000000"/>
                <w:kern w:val="24"/>
                <w:sz w:val="18"/>
                <w:szCs w:val="18"/>
                <w:lang w:val="en-GB"/>
              </w:rPr>
            </w:pPr>
            <w:r w:rsidRPr="00562194">
              <w:rPr>
                <w:rFonts w:eastAsia="Helvetica Neue"/>
                <w:color w:val="000000"/>
                <w:kern w:val="24"/>
                <w:sz w:val="18"/>
                <w:szCs w:val="18"/>
                <w:lang w:val="en-GB"/>
              </w:rPr>
              <w:t>69.1% (62.9</w:t>
            </w:r>
            <w:r w:rsidRPr="00562194">
              <w:rPr>
                <w:color w:val="000000"/>
                <w:kern w:val="24"/>
                <w:sz w:val="18"/>
                <w:szCs w:val="18"/>
                <w:lang w:val="en-GB"/>
              </w:rPr>
              <w:t>–</w:t>
            </w:r>
            <w:r w:rsidRPr="00562194">
              <w:rPr>
                <w:rFonts w:eastAsia="Helvetica Neue"/>
                <w:color w:val="000000"/>
                <w:kern w:val="24"/>
                <w:sz w:val="18"/>
                <w:szCs w:val="18"/>
                <w:lang w:val="en-GB"/>
              </w:rPr>
              <w:t>74.9)</w:t>
            </w:r>
          </w:p>
        </w:tc>
        <w:tc>
          <w:tcPr>
            <w:tcW w:w="1061" w:type="dxa"/>
            <w:shd w:val="clear" w:color="auto" w:fill="auto"/>
            <w:vAlign w:val="center"/>
          </w:tcPr>
          <w:p w14:paraId="5C09C533" w14:textId="77777777" w:rsidR="00576FE1" w:rsidRPr="00CA7173" w:rsidRDefault="00576FE1" w:rsidP="00115CD6">
            <w:pPr>
              <w:spacing w:before="120" w:line="240" w:lineRule="auto"/>
              <w:jc w:val="center"/>
              <w:rPr>
                <w:rFonts w:eastAsia="Helvetica Neue"/>
                <w:kern w:val="24"/>
                <w:sz w:val="18"/>
                <w:szCs w:val="18"/>
                <w:lang w:val="en-GB"/>
              </w:rPr>
            </w:pPr>
            <w:r w:rsidRPr="00CA7173">
              <w:rPr>
                <w:rFonts w:eastAsia="Helvetica Neue"/>
                <w:kern w:val="24"/>
                <w:sz w:val="18"/>
                <w:szCs w:val="18"/>
                <w:lang w:val="en-GB"/>
              </w:rPr>
              <w:t>0.692</w:t>
            </w:r>
          </w:p>
        </w:tc>
      </w:tr>
      <w:tr w:rsidR="00576FE1" w:rsidRPr="00562194" w14:paraId="284D24C2" w14:textId="77777777" w:rsidTr="00115CD6">
        <w:trPr>
          <w:trHeight w:val="280"/>
          <w:jc w:val="center"/>
        </w:trPr>
        <w:tc>
          <w:tcPr>
            <w:tcW w:w="4014" w:type="dxa"/>
            <w:shd w:val="clear" w:color="auto" w:fill="auto"/>
            <w:tcMar>
              <w:top w:w="15" w:type="dxa"/>
              <w:left w:w="70" w:type="dxa"/>
              <w:bottom w:w="0" w:type="dxa"/>
              <w:right w:w="70" w:type="dxa"/>
            </w:tcMar>
            <w:vAlign w:val="center"/>
          </w:tcPr>
          <w:p w14:paraId="73E9DD76" w14:textId="77777777" w:rsidR="00576FE1" w:rsidRPr="00562194" w:rsidRDefault="00576FE1" w:rsidP="00115CD6">
            <w:pPr>
              <w:pStyle w:val="NormalWeb"/>
              <w:tabs>
                <w:tab w:val="left" w:pos="7740"/>
              </w:tabs>
              <w:spacing w:before="120" w:beforeAutospacing="0" w:after="120" w:afterAutospacing="0"/>
              <w:rPr>
                <w:rFonts w:eastAsia="Helvetica Neue"/>
                <w:color w:val="000000"/>
                <w:kern w:val="24"/>
                <w:sz w:val="18"/>
                <w:szCs w:val="18"/>
                <w:lang w:val="en-GB"/>
              </w:rPr>
            </w:pPr>
            <w:r w:rsidRPr="00562194">
              <w:rPr>
                <w:rFonts w:eastAsia="Helvetica Neue"/>
                <w:color w:val="000000"/>
                <w:kern w:val="24"/>
                <w:sz w:val="18"/>
                <w:szCs w:val="18"/>
                <w:lang w:val="en-GB"/>
              </w:rPr>
              <w:t>Duration of clinical benefit</w:t>
            </w:r>
            <w:r>
              <w:rPr>
                <w:rFonts w:eastAsia="Helvetica Neue"/>
                <w:color w:val="000000"/>
                <w:kern w:val="24"/>
                <w:sz w:val="18"/>
                <w:szCs w:val="18"/>
                <w:lang w:val="en-GB"/>
              </w:rPr>
              <w:t>, months (95% CI)</w:t>
            </w:r>
          </w:p>
        </w:tc>
        <w:tc>
          <w:tcPr>
            <w:tcW w:w="2120" w:type="dxa"/>
            <w:shd w:val="clear" w:color="auto" w:fill="auto"/>
            <w:tcMar>
              <w:top w:w="15" w:type="dxa"/>
              <w:left w:w="60" w:type="dxa"/>
              <w:bottom w:w="0" w:type="dxa"/>
              <w:right w:w="60" w:type="dxa"/>
            </w:tcMar>
            <w:vAlign w:val="center"/>
          </w:tcPr>
          <w:p w14:paraId="6DE1E8EE" w14:textId="77777777" w:rsidR="00576FE1" w:rsidRPr="00562194" w:rsidRDefault="00576FE1" w:rsidP="00115CD6">
            <w:pPr>
              <w:pStyle w:val="NormalWeb"/>
              <w:tabs>
                <w:tab w:val="left" w:pos="7740"/>
              </w:tabs>
              <w:spacing w:before="120" w:beforeAutospacing="0" w:after="120" w:afterAutospacing="0"/>
              <w:jc w:val="center"/>
              <w:rPr>
                <w:rFonts w:eastAsia="Helvetica Neue"/>
                <w:color w:val="000000"/>
                <w:kern w:val="24"/>
                <w:sz w:val="18"/>
                <w:szCs w:val="18"/>
                <w:lang w:val="en-GB"/>
              </w:rPr>
            </w:pPr>
            <w:r w:rsidRPr="00562194">
              <w:rPr>
                <w:rFonts w:eastAsia="Helvetica Neue"/>
                <w:color w:val="000000"/>
                <w:kern w:val="24"/>
                <w:sz w:val="18"/>
                <w:szCs w:val="18"/>
                <w:lang w:val="en-GB"/>
              </w:rPr>
              <w:t>27.8 (23.8-38.5)</w:t>
            </w:r>
          </w:p>
        </w:tc>
        <w:tc>
          <w:tcPr>
            <w:tcW w:w="1998" w:type="dxa"/>
            <w:shd w:val="clear" w:color="auto" w:fill="auto"/>
            <w:tcMar>
              <w:top w:w="15" w:type="dxa"/>
              <w:left w:w="60" w:type="dxa"/>
              <w:bottom w:w="0" w:type="dxa"/>
              <w:right w:w="60" w:type="dxa"/>
            </w:tcMar>
            <w:vAlign w:val="center"/>
          </w:tcPr>
          <w:p w14:paraId="0EB1F66A" w14:textId="77777777" w:rsidR="00576FE1" w:rsidRPr="00562194" w:rsidRDefault="00576FE1" w:rsidP="00115CD6">
            <w:pPr>
              <w:pStyle w:val="NormalWeb"/>
              <w:tabs>
                <w:tab w:val="left" w:pos="7740"/>
              </w:tabs>
              <w:spacing w:before="120" w:beforeAutospacing="0" w:after="120" w:afterAutospacing="0"/>
              <w:jc w:val="center"/>
              <w:rPr>
                <w:rFonts w:eastAsia="Helvetica Neue"/>
                <w:color w:val="000000"/>
                <w:kern w:val="24"/>
                <w:sz w:val="18"/>
                <w:szCs w:val="18"/>
                <w:lang w:val="en-GB"/>
              </w:rPr>
            </w:pPr>
            <w:r w:rsidRPr="00562194">
              <w:rPr>
                <w:rFonts w:eastAsia="Helvetica Neue"/>
                <w:color w:val="000000"/>
                <w:kern w:val="24"/>
                <w:sz w:val="18"/>
                <w:szCs w:val="18"/>
                <w:lang w:val="en-GB"/>
              </w:rPr>
              <w:t>30.1 (23.3-36.4)</w:t>
            </w:r>
          </w:p>
        </w:tc>
        <w:tc>
          <w:tcPr>
            <w:tcW w:w="1061" w:type="dxa"/>
            <w:shd w:val="clear" w:color="auto" w:fill="auto"/>
            <w:vAlign w:val="center"/>
          </w:tcPr>
          <w:p w14:paraId="5C46EF09" w14:textId="77777777" w:rsidR="00576FE1" w:rsidRPr="00562194" w:rsidRDefault="00576FE1" w:rsidP="00115CD6">
            <w:pPr>
              <w:spacing w:before="120" w:line="240" w:lineRule="auto"/>
              <w:jc w:val="center"/>
              <w:rPr>
                <w:sz w:val="18"/>
                <w:szCs w:val="18"/>
                <w:lang w:val="en-GB"/>
              </w:rPr>
            </w:pPr>
            <w:r w:rsidRPr="00562194">
              <w:rPr>
                <w:sz w:val="18"/>
                <w:szCs w:val="18"/>
                <w:lang w:val="en-GB"/>
              </w:rPr>
              <w:t>0.928</w:t>
            </w:r>
          </w:p>
        </w:tc>
      </w:tr>
      <w:tr w:rsidR="00576FE1" w:rsidRPr="00562194" w14:paraId="2B9011AA" w14:textId="77777777" w:rsidTr="00115CD6">
        <w:trPr>
          <w:trHeight w:val="280"/>
          <w:jc w:val="center"/>
        </w:trPr>
        <w:tc>
          <w:tcPr>
            <w:tcW w:w="4014" w:type="dxa"/>
            <w:shd w:val="clear" w:color="auto" w:fill="auto"/>
            <w:tcMar>
              <w:top w:w="15" w:type="dxa"/>
              <w:left w:w="70" w:type="dxa"/>
              <w:bottom w:w="0" w:type="dxa"/>
              <w:right w:w="70" w:type="dxa"/>
            </w:tcMar>
            <w:vAlign w:val="center"/>
          </w:tcPr>
          <w:p w14:paraId="3287DCF3" w14:textId="77777777" w:rsidR="00576FE1" w:rsidRPr="00562194" w:rsidRDefault="00576FE1" w:rsidP="00115CD6">
            <w:pPr>
              <w:pStyle w:val="NormalWeb"/>
              <w:tabs>
                <w:tab w:val="left" w:pos="7740"/>
              </w:tabs>
              <w:spacing w:before="120" w:beforeAutospacing="0" w:after="120" w:afterAutospacing="0"/>
              <w:rPr>
                <w:rFonts w:eastAsia="Helvetica Neue"/>
                <w:color w:val="000000"/>
                <w:kern w:val="24"/>
                <w:sz w:val="18"/>
                <w:szCs w:val="18"/>
                <w:lang w:val="en-GB"/>
              </w:rPr>
            </w:pPr>
            <w:r w:rsidRPr="00562194">
              <w:rPr>
                <w:rFonts w:eastAsia="Helvetica Neue"/>
                <w:color w:val="000000"/>
                <w:kern w:val="24"/>
                <w:sz w:val="18"/>
                <w:szCs w:val="18"/>
                <w:lang w:val="en-GB"/>
              </w:rPr>
              <w:t>Time to progression</w:t>
            </w:r>
            <w:r>
              <w:rPr>
                <w:rFonts w:eastAsia="Helvetica Neue"/>
                <w:color w:val="000000"/>
                <w:kern w:val="24"/>
                <w:sz w:val="18"/>
                <w:szCs w:val="18"/>
                <w:lang w:val="en-GB"/>
              </w:rPr>
              <w:t>, months (95% CI)</w:t>
            </w:r>
          </w:p>
        </w:tc>
        <w:tc>
          <w:tcPr>
            <w:tcW w:w="2120" w:type="dxa"/>
            <w:shd w:val="clear" w:color="auto" w:fill="auto"/>
            <w:tcMar>
              <w:top w:w="15" w:type="dxa"/>
              <w:left w:w="60" w:type="dxa"/>
              <w:bottom w:w="0" w:type="dxa"/>
              <w:right w:w="60" w:type="dxa"/>
            </w:tcMar>
            <w:vAlign w:val="center"/>
          </w:tcPr>
          <w:p w14:paraId="21343224" w14:textId="77777777" w:rsidR="00576FE1" w:rsidRPr="00562194" w:rsidRDefault="00576FE1" w:rsidP="00115CD6">
            <w:pPr>
              <w:pStyle w:val="NormalWeb"/>
              <w:tabs>
                <w:tab w:val="left" w:pos="7740"/>
              </w:tabs>
              <w:spacing w:before="120" w:beforeAutospacing="0" w:after="120" w:afterAutospacing="0"/>
              <w:jc w:val="center"/>
              <w:rPr>
                <w:rFonts w:eastAsia="Helvetica Neue"/>
                <w:color w:val="000000"/>
                <w:kern w:val="24"/>
                <w:sz w:val="18"/>
                <w:szCs w:val="18"/>
                <w:lang w:val="en-GB"/>
              </w:rPr>
            </w:pPr>
            <w:r w:rsidRPr="00562194">
              <w:rPr>
                <w:rFonts w:eastAsia="Helvetica Neue"/>
                <w:color w:val="000000"/>
                <w:kern w:val="24"/>
                <w:sz w:val="18"/>
                <w:szCs w:val="18"/>
                <w:lang w:val="en-GB"/>
              </w:rPr>
              <w:t>28.9 (24.6-36.2)</w:t>
            </w:r>
          </w:p>
        </w:tc>
        <w:tc>
          <w:tcPr>
            <w:tcW w:w="1998" w:type="dxa"/>
            <w:shd w:val="clear" w:color="auto" w:fill="auto"/>
            <w:tcMar>
              <w:top w:w="15" w:type="dxa"/>
              <w:left w:w="60" w:type="dxa"/>
              <w:bottom w:w="0" w:type="dxa"/>
              <w:right w:w="60" w:type="dxa"/>
            </w:tcMar>
            <w:vAlign w:val="center"/>
          </w:tcPr>
          <w:p w14:paraId="6A745D14" w14:textId="77777777" w:rsidR="00576FE1" w:rsidRPr="00562194" w:rsidRDefault="00576FE1" w:rsidP="00115CD6">
            <w:pPr>
              <w:pStyle w:val="NormalWeb"/>
              <w:tabs>
                <w:tab w:val="left" w:pos="7740"/>
              </w:tabs>
              <w:spacing w:before="120" w:beforeAutospacing="0" w:after="120" w:afterAutospacing="0"/>
              <w:jc w:val="center"/>
              <w:rPr>
                <w:rFonts w:eastAsia="Helvetica Neue"/>
                <w:color w:val="000000"/>
                <w:kern w:val="24"/>
                <w:sz w:val="18"/>
                <w:szCs w:val="18"/>
                <w:lang w:val="en-GB"/>
              </w:rPr>
            </w:pPr>
            <w:r w:rsidRPr="00562194">
              <w:rPr>
                <w:rFonts w:eastAsia="Helvetica Neue"/>
                <w:color w:val="000000"/>
                <w:kern w:val="24"/>
                <w:sz w:val="18"/>
                <w:szCs w:val="18"/>
                <w:lang w:val="en-GB"/>
              </w:rPr>
              <w:t>32.8 (26.0-38.6)</w:t>
            </w:r>
          </w:p>
        </w:tc>
        <w:tc>
          <w:tcPr>
            <w:tcW w:w="1061" w:type="dxa"/>
            <w:shd w:val="clear" w:color="auto" w:fill="auto"/>
            <w:vAlign w:val="center"/>
          </w:tcPr>
          <w:p w14:paraId="0D23A57B" w14:textId="77777777" w:rsidR="00576FE1" w:rsidRPr="00562194" w:rsidRDefault="00576FE1" w:rsidP="00115CD6">
            <w:pPr>
              <w:spacing w:before="120" w:line="240" w:lineRule="auto"/>
              <w:jc w:val="center"/>
              <w:rPr>
                <w:sz w:val="18"/>
                <w:szCs w:val="18"/>
                <w:lang w:val="en-GB"/>
              </w:rPr>
            </w:pPr>
            <w:r w:rsidRPr="00562194">
              <w:rPr>
                <w:rFonts w:eastAsia="Helvetica Neue"/>
                <w:kern w:val="24"/>
                <w:sz w:val="18"/>
                <w:szCs w:val="18"/>
                <w:lang w:val="en-GB"/>
              </w:rPr>
              <w:t>0.638</w:t>
            </w:r>
          </w:p>
        </w:tc>
      </w:tr>
      <w:tr w:rsidR="00576FE1" w:rsidRPr="00562194" w14:paraId="46B093D5" w14:textId="77777777" w:rsidTr="00115CD6">
        <w:trPr>
          <w:trHeight w:val="280"/>
          <w:jc w:val="center"/>
        </w:trPr>
        <w:tc>
          <w:tcPr>
            <w:tcW w:w="4014" w:type="dxa"/>
            <w:shd w:val="clear" w:color="auto" w:fill="auto"/>
            <w:tcMar>
              <w:top w:w="15" w:type="dxa"/>
              <w:left w:w="70" w:type="dxa"/>
              <w:bottom w:w="0" w:type="dxa"/>
              <w:right w:w="70" w:type="dxa"/>
            </w:tcMar>
            <w:vAlign w:val="center"/>
          </w:tcPr>
          <w:p w14:paraId="51026027" w14:textId="77777777" w:rsidR="00576FE1" w:rsidRPr="00562194" w:rsidRDefault="00576FE1" w:rsidP="00115CD6">
            <w:pPr>
              <w:pStyle w:val="NormalWeb"/>
              <w:tabs>
                <w:tab w:val="left" w:pos="7740"/>
              </w:tabs>
              <w:spacing w:before="120" w:beforeAutospacing="0" w:after="120" w:afterAutospacing="0"/>
              <w:rPr>
                <w:rFonts w:eastAsia="Helvetica Neue"/>
                <w:color w:val="000000"/>
                <w:kern w:val="24"/>
                <w:sz w:val="18"/>
                <w:szCs w:val="18"/>
                <w:lang w:val="en-GB"/>
              </w:rPr>
            </w:pPr>
            <w:r w:rsidRPr="00562194">
              <w:rPr>
                <w:rFonts w:eastAsia="Helvetica Neue"/>
                <w:color w:val="000000"/>
                <w:kern w:val="24"/>
                <w:sz w:val="18"/>
                <w:szCs w:val="18"/>
                <w:lang w:val="en-GB"/>
              </w:rPr>
              <w:t>Patients with measurable disease</w:t>
            </w:r>
          </w:p>
        </w:tc>
        <w:tc>
          <w:tcPr>
            <w:tcW w:w="2120" w:type="dxa"/>
            <w:shd w:val="clear" w:color="auto" w:fill="auto"/>
            <w:tcMar>
              <w:top w:w="15" w:type="dxa"/>
              <w:left w:w="60" w:type="dxa"/>
              <w:bottom w:w="0" w:type="dxa"/>
              <w:right w:w="60" w:type="dxa"/>
            </w:tcMar>
            <w:vAlign w:val="center"/>
          </w:tcPr>
          <w:p w14:paraId="632F9740" w14:textId="77777777" w:rsidR="00576FE1" w:rsidRPr="00562194" w:rsidRDefault="00576FE1" w:rsidP="00115CD6">
            <w:pPr>
              <w:pStyle w:val="NormalWeb"/>
              <w:tabs>
                <w:tab w:val="left" w:pos="7740"/>
              </w:tabs>
              <w:spacing w:before="120" w:beforeAutospacing="0" w:after="120" w:afterAutospacing="0"/>
              <w:jc w:val="center"/>
              <w:rPr>
                <w:rFonts w:eastAsia="Helvetica Neue"/>
                <w:color w:val="000000"/>
                <w:kern w:val="24"/>
                <w:sz w:val="18"/>
                <w:szCs w:val="18"/>
                <w:lang w:val="en-GB"/>
              </w:rPr>
            </w:pPr>
            <w:r w:rsidRPr="00562194">
              <w:rPr>
                <w:rFonts w:eastAsia="Helvetica Neue"/>
                <w:color w:val="000000"/>
                <w:kern w:val="24"/>
                <w:sz w:val="18"/>
                <w:szCs w:val="18"/>
                <w:lang w:val="en-GB"/>
              </w:rPr>
              <w:t>195</w:t>
            </w:r>
          </w:p>
        </w:tc>
        <w:tc>
          <w:tcPr>
            <w:tcW w:w="1998" w:type="dxa"/>
            <w:shd w:val="clear" w:color="auto" w:fill="auto"/>
            <w:tcMar>
              <w:top w:w="15" w:type="dxa"/>
              <w:left w:w="60" w:type="dxa"/>
              <w:bottom w:w="0" w:type="dxa"/>
              <w:right w:w="60" w:type="dxa"/>
            </w:tcMar>
            <w:vAlign w:val="center"/>
          </w:tcPr>
          <w:p w14:paraId="33CA5F59" w14:textId="77777777" w:rsidR="00576FE1" w:rsidRPr="00562194" w:rsidRDefault="00576FE1" w:rsidP="00115CD6">
            <w:pPr>
              <w:pStyle w:val="NormalWeb"/>
              <w:tabs>
                <w:tab w:val="left" w:pos="7740"/>
              </w:tabs>
              <w:spacing w:before="120" w:beforeAutospacing="0" w:after="120" w:afterAutospacing="0"/>
              <w:jc w:val="center"/>
              <w:rPr>
                <w:rFonts w:eastAsia="Helvetica Neue"/>
                <w:color w:val="000000"/>
                <w:kern w:val="24"/>
                <w:sz w:val="18"/>
                <w:szCs w:val="18"/>
                <w:lang w:val="en-GB"/>
              </w:rPr>
            </w:pPr>
            <w:r w:rsidRPr="00562194">
              <w:rPr>
                <w:rFonts w:eastAsia="Helvetica Neue"/>
                <w:color w:val="000000"/>
                <w:kern w:val="24"/>
                <w:sz w:val="18"/>
                <w:szCs w:val="18"/>
                <w:lang w:val="en-GB"/>
              </w:rPr>
              <w:t>181</w:t>
            </w:r>
          </w:p>
        </w:tc>
        <w:tc>
          <w:tcPr>
            <w:tcW w:w="1061" w:type="dxa"/>
            <w:shd w:val="clear" w:color="auto" w:fill="auto"/>
            <w:vAlign w:val="center"/>
          </w:tcPr>
          <w:p w14:paraId="75B89ECA" w14:textId="77777777" w:rsidR="00576FE1" w:rsidRPr="00562194" w:rsidRDefault="00576FE1" w:rsidP="00115CD6">
            <w:pPr>
              <w:spacing w:before="120" w:line="240" w:lineRule="auto"/>
              <w:jc w:val="center"/>
              <w:rPr>
                <w:sz w:val="18"/>
                <w:szCs w:val="18"/>
                <w:lang w:val="en-GB"/>
              </w:rPr>
            </w:pPr>
          </w:p>
        </w:tc>
      </w:tr>
      <w:tr w:rsidR="00576FE1" w:rsidRPr="00562194" w14:paraId="060EA034" w14:textId="77777777" w:rsidTr="00115CD6">
        <w:trPr>
          <w:trHeight w:val="280"/>
          <w:jc w:val="center"/>
        </w:trPr>
        <w:tc>
          <w:tcPr>
            <w:tcW w:w="4014" w:type="dxa"/>
            <w:shd w:val="clear" w:color="auto" w:fill="auto"/>
            <w:tcMar>
              <w:top w:w="15" w:type="dxa"/>
              <w:left w:w="70" w:type="dxa"/>
              <w:bottom w:w="0" w:type="dxa"/>
              <w:right w:w="70" w:type="dxa"/>
            </w:tcMar>
            <w:vAlign w:val="center"/>
          </w:tcPr>
          <w:p w14:paraId="7F24344F" w14:textId="77777777" w:rsidR="00576FE1" w:rsidRPr="00562194" w:rsidRDefault="00576FE1" w:rsidP="00115CD6">
            <w:pPr>
              <w:pStyle w:val="NormalWeb"/>
              <w:tabs>
                <w:tab w:val="left" w:pos="7740"/>
              </w:tabs>
              <w:spacing w:before="120" w:beforeAutospacing="0" w:after="120" w:afterAutospacing="0"/>
              <w:rPr>
                <w:rFonts w:eastAsia="Helvetica Neue"/>
                <w:color w:val="000000"/>
                <w:kern w:val="24"/>
                <w:sz w:val="18"/>
                <w:szCs w:val="18"/>
                <w:lang w:val="en-GB"/>
              </w:rPr>
            </w:pPr>
            <w:r w:rsidRPr="00562194">
              <w:rPr>
                <w:rFonts w:eastAsia="Helvetica Neue"/>
                <w:color w:val="000000"/>
                <w:kern w:val="24"/>
                <w:sz w:val="18"/>
                <w:szCs w:val="18"/>
                <w:lang w:val="en-GB"/>
              </w:rPr>
              <w:t>Rate of objective response (95% CI)</w:t>
            </w:r>
          </w:p>
        </w:tc>
        <w:tc>
          <w:tcPr>
            <w:tcW w:w="2120" w:type="dxa"/>
            <w:shd w:val="clear" w:color="auto" w:fill="auto"/>
            <w:tcMar>
              <w:top w:w="15" w:type="dxa"/>
              <w:left w:w="60" w:type="dxa"/>
              <w:bottom w:w="0" w:type="dxa"/>
              <w:right w:w="60" w:type="dxa"/>
            </w:tcMar>
            <w:vAlign w:val="center"/>
          </w:tcPr>
          <w:p w14:paraId="2AF7A40D" w14:textId="77777777" w:rsidR="00576FE1" w:rsidRPr="00CA7173" w:rsidRDefault="00576FE1" w:rsidP="00115CD6">
            <w:pPr>
              <w:pStyle w:val="NormalWeb"/>
              <w:tabs>
                <w:tab w:val="left" w:pos="7740"/>
              </w:tabs>
              <w:spacing w:before="120" w:beforeAutospacing="0" w:after="120" w:afterAutospacing="0"/>
              <w:jc w:val="center"/>
              <w:rPr>
                <w:rFonts w:eastAsia="Helvetica Neue"/>
                <w:kern w:val="24"/>
                <w:sz w:val="18"/>
                <w:szCs w:val="18"/>
                <w:lang w:val="en-GB"/>
              </w:rPr>
            </w:pPr>
            <w:r w:rsidRPr="00CA7173">
              <w:rPr>
                <w:rFonts w:eastAsia="Helvetica Neue"/>
                <w:kern w:val="24"/>
                <w:sz w:val="18"/>
                <w:szCs w:val="18"/>
                <w:lang w:val="en-GB"/>
              </w:rPr>
              <w:t>56.4% (49.1</w:t>
            </w:r>
            <w:r w:rsidRPr="00CA7173">
              <w:rPr>
                <w:kern w:val="24"/>
                <w:sz w:val="18"/>
                <w:szCs w:val="18"/>
                <w:lang w:val="en-GB"/>
              </w:rPr>
              <w:t>–</w:t>
            </w:r>
            <w:r w:rsidRPr="00CA7173">
              <w:rPr>
                <w:rFonts w:eastAsia="Helvetica Neue"/>
                <w:kern w:val="24"/>
                <w:sz w:val="18"/>
                <w:szCs w:val="18"/>
                <w:lang w:val="en-GB"/>
              </w:rPr>
              <w:t>63.5)</w:t>
            </w:r>
          </w:p>
        </w:tc>
        <w:tc>
          <w:tcPr>
            <w:tcW w:w="1998" w:type="dxa"/>
            <w:shd w:val="clear" w:color="auto" w:fill="auto"/>
            <w:tcMar>
              <w:top w:w="15" w:type="dxa"/>
              <w:left w:w="60" w:type="dxa"/>
              <w:bottom w:w="0" w:type="dxa"/>
              <w:right w:w="60" w:type="dxa"/>
            </w:tcMar>
            <w:vAlign w:val="center"/>
          </w:tcPr>
          <w:p w14:paraId="795D492E" w14:textId="77777777" w:rsidR="00576FE1" w:rsidRPr="00CA7173" w:rsidRDefault="00576FE1" w:rsidP="00115CD6">
            <w:pPr>
              <w:pStyle w:val="NormalWeb"/>
              <w:tabs>
                <w:tab w:val="left" w:pos="7740"/>
              </w:tabs>
              <w:spacing w:before="120" w:beforeAutospacing="0" w:after="120" w:afterAutospacing="0"/>
              <w:jc w:val="center"/>
              <w:rPr>
                <w:rFonts w:eastAsia="Helvetica Neue"/>
                <w:kern w:val="24"/>
                <w:sz w:val="18"/>
                <w:szCs w:val="18"/>
                <w:lang w:val="en-GB"/>
              </w:rPr>
            </w:pPr>
            <w:r w:rsidRPr="00CA7173">
              <w:rPr>
                <w:rFonts w:eastAsia="Helvetica Neue"/>
                <w:kern w:val="24"/>
                <w:sz w:val="18"/>
                <w:szCs w:val="18"/>
                <w:lang w:val="en-GB"/>
              </w:rPr>
              <w:t>65.7% (59.3</w:t>
            </w:r>
            <w:r w:rsidRPr="00CA7173">
              <w:rPr>
                <w:kern w:val="24"/>
                <w:sz w:val="18"/>
                <w:szCs w:val="18"/>
                <w:lang w:val="en-GB"/>
              </w:rPr>
              <w:t>–</w:t>
            </w:r>
            <w:r w:rsidRPr="00CA7173">
              <w:rPr>
                <w:rFonts w:eastAsia="Helvetica Neue"/>
                <w:kern w:val="24"/>
                <w:sz w:val="18"/>
                <w:szCs w:val="18"/>
                <w:lang w:val="en-GB"/>
              </w:rPr>
              <w:t>72.6)</w:t>
            </w:r>
          </w:p>
        </w:tc>
        <w:tc>
          <w:tcPr>
            <w:tcW w:w="1061" w:type="dxa"/>
            <w:shd w:val="clear" w:color="auto" w:fill="auto"/>
            <w:vAlign w:val="center"/>
          </w:tcPr>
          <w:p w14:paraId="0ACD6E56" w14:textId="77777777" w:rsidR="00576FE1" w:rsidRPr="00562194" w:rsidRDefault="00576FE1" w:rsidP="00115CD6">
            <w:pPr>
              <w:spacing w:before="120" w:line="240" w:lineRule="auto"/>
              <w:jc w:val="center"/>
              <w:rPr>
                <w:rFonts w:eastAsia="Helvetica Neue"/>
                <w:kern w:val="24"/>
                <w:sz w:val="18"/>
                <w:szCs w:val="18"/>
                <w:lang w:val="en-GB" w:eastAsia="es-ES_tradnl"/>
              </w:rPr>
            </w:pPr>
          </w:p>
        </w:tc>
      </w:tr>
    </w:tbl>
    <w:p w14:paraId="07A7CA2C" w14:textId="77777777" w:rsidR="00764782" w:rsidRDefault="00576FE1" w:rsidP="00576FE1">
      <w:pPr>
        <w:rPr>
          <w:i/>
          <w:sz w:val="18"/>
          <w:szCs w:val="18"/>
          <w:lang w:val="en-GB"/>
        </w:rPr>
      </w:pPr>
      <w:r w:rsidRPr="00CB5252">
        <w:rPr>
          <w:i/>
          <w:sz w:val="18"/>
          <w:szCs w:val="18"/>
          <w:lang w:val="en-GB"/>
        </w:rPr>
        <w:t xml:space="preserve">Data are n (%), unless otherwise specified. </w:t>
      </w:r>
    </w:p>
    <w:p w14:paraId="79D763DC" w14:textId="77656385" w:rsidR="00764782" w:rsidRDefault="00576FE1" w:rsidP="00576FE1">
      <w:pPr>
        <w:rPr>
          <w:i/>
          <w:sz w:val="18"/>
          <w:szCs w:val="18"/>
          <w:lang w:val="en-GB"/>
        </w:rPr>
      </w:pPr>
      <w:r w:rsidRPr="00CB5252">
        <w:rPr>
          <w:i/>
          <w:sz w:val="18"/>
          <w:szCs w:val="18"/>
          <w:lang w:val="en-GB"/>
        </w:rPr>
        <w:t>CI: confidence interval. NE: not evaluable. RECIST: response evaluation criteria in solid tumours.</w:t>
      </w:r>
      <w:r>
        <w:rPr>
          <w:i/>
          <w:sz w:val="18"/>
          <w:szCs w:val="18"/>
          <w:lang w:val="en-GB"/>
        </w:rPr>
        <w:t xml:space="preserve"> </w:t>
      </w:r>
    </w:p>
    <w:p w14:paraId="7A249EE3" w14:textId="0C06BEEE" w:rsidR="00576FE1" w:rsidRDefault="00576FE1" w:rsidP="00576FE1">
      <w:pPr>
        <w:rPr>
          <w:i/>
          <w:sz w:val="18"/>
          <w:szCs w:val="18"/>
          <w:lang w:val="en-GB"/>
        </w:rPr>
      </w:pPr>
      <w:r w:rsidRPr="003363FD">
        <w:rPr>
          <w:i/>
          <w:sz w:val="18"/>
          <w:szCs w:val="18"/>
          <w:lang w:val="en-GB"/>
        </w:rPr>
        <w:t>(</w:t>
      </w:r>
      <w:r w:rsidRPr="003363FD">
        <w:rPr>
          <w:i/>
          <w:sz w:val="18"/>
          <w:szCs w:val="18"/>
          <w:u w:val="single"/>
          <w:lang w:val="en-GB"/>
        </w:rPr>
        <w:t>Cross reference</w:t>
      </w:r>
      <w:r w:rsidRPr="003363FD">
        <w:rPr>
          <w:i/>
          <w:sz w:val="18"/>
          <w:szCs w:val="18"/>
          <w:lang w:val="en-GB"/>
        </w:rPr>
        <w:t xml:space="preserve">: Table </w:t>
      </w:r>
      <w:r>
        <w:rPr>
          <w:i/>
          <w:sz w:val="18"/>
          <w:szCs w:val="18"/>
          <w:lang w:val="en-GB"/>
        </w:rPr>
        <w:t>57 and Figures 24, 29, 34 and 39</w:t>
      </w:r>
      <w:r w:rsidRPr="003363FD">
        <w:rPr>
          <w:i/>
          <w:sz w:val="18"/>
          <w:szCs w:val="18"/>
          <w:lang w:val="en-GB"/>
        </w:rPr>
        <w:t xml:space="preserve"> of Final Analysis Statistical Report dated </w:t>
      </w:r>
      <w:r w:rsidR="001B1571">
        <w:rPr>
          <w:i/>
          <w:sz w:val="18"/>
          <w:szCs w:val="18"/>
          <w:lang w:val="en-GB"/>
        </w:rPr>
        <w:t>4</w:t>
      </w:r>
      <w:r w:rsidR="001B1571" w:rsidRPr="001B1571">
        <w:rPr>
          <w:i/>
          <w:sz w:val="18"/>
          <w:szCs w:val="18"/>
          <w:vertAlign w:val="superscript"/>
          <w:lang w:val="en-GB"/>
        </w:rPr>
        <w:t>th</w:t>
      </w:r>
      <w:r w:rsidR="001B1571">
        <w:rPr>
          <w:i/>
          <w:sz w:val="18"/>
          <w:szCs w:val="18"/>
          <w:lang w:val="en-GB"/>
        </w:rPr>
        <w:t xml:space="preserve"> September</w:t>
      </w:r>
      <w:r w:rsidRPr="003363FD">
        <w:rPr>
          <w:i/>
          <w:sz w:val="18"/>
          <w:szCs w:val="18"/>
          <w:lang w:val="en-GB"/>
        </w:rPr>
        <w:t xml:space="preserve"> 2020).</w:t>
      </w:r>
    </w:p>
    <w:p w14:paraId="69F06CEA" w14:textId="77777777" w:rsidR="00576FE1" w:rsidRPr="00CB21D0" w:rsidRDefault="00576FE1" w:rsidP="00576FE1">
      <w:pPr>
        <w:keepNext/>
        <w:rPr>
          <w:lang w:val="en-GB"/>
        </w:rPr>
        <w:sectPr w:rsidR="00576FE1" w:rsidRPr="00CB21D0" w:rsidSect="00B80F8B">
          <w:pgSz w:w="11906" w:h="16838"/>
          <w:pgMar w:top="1418" w:right="1701" w:bottom="1134" w:left="1701" w:header="708" w:footer="708" w:gutter="0"/>
          <w:cols w:space="708"/>
          <w:docGrid w:linePitch="360"/>
        </w:sectPr>
      </w:pPr>
    </w:p>
    <w:p w14:paraId="68E1292C" w14:textId="34E4C052" w:rsidR="00576FE1" w:rsidRDefault="00576FE1" w:rsidP="00800E62">
      <w:pPr>
        <w:pStyle w:val="Descripcin"/>
        <w:keepNext/>
        <w:ind w:firstLine="709"/>
        <w:outlineLvl w:val="0"/>
      </w:pPr>
      <w:bookmarkStart w:id="661" w:name="_Ref52426641"/>
      <w:bookmarkStart w:id="662" w:name="_Toc52046485"/>
      <w:bookmarkStart w:id="663" w:name="_Toc52446212"/>
      <w:bookmarkStart w:id="664" w:name="_Toc52468169"/>
      <w:r>
        <w:lastRenderedPageBreak/>
        <w:t xml:space="preserve">Table </w:t>
      </w:r>
      <w:r>
        <w:fldChar w:fldCharType="begin"/>
      </w:r>
      <w:r>
        <w:instrText xml:space="preserve"> SEQ Table \* ARABIC </w:instrText>
      </w:r>
      <w:r>
        <w:fldChar w:fldCharType="separate"/>
      </w:r>
      <w:r w:rsidR="002221CF">
        <w:rPr>
          <w:noProof/>
        </w:rPr>
        <w:t>11</w:t>
      </w:r>
      <w:r>
        <w:fldChar w:fldCharType="end"/>
      </w:r>
      <w:bookmarkEnd w:id="661"/>
      <w:r>
        <w:t xml:space="preserve">. </w:t>
      </w:r>
      <w:r w:rsidRPr="00A44CBA">
        <w:t>Correlation of Relative Dose intensity versus Best Overall Response in the Intent-to-Treat population.</w:t>
      </w:r>
      <w:bookmarkEnd w:id="662"/>
      <w:bookmarkEnd w:id="663"/>
      <w:bookmarkEnd w:id="664"/>
    </w:p>
    <w:tbl>
      <w:tblPr>
        <w:tblW w:w="0" w:type="auto"/>
        <w:jc w:val="center"/>
        <w:tblBorders>
          <w:top w:val="single" w:sz="4" w:space="0" w:color="auto"/>
          <w:bottom w:val="single" w:sz="4" w:space="0" w:color="auto"/>
          <w:insideH w:val="single" w:sz="4" w:space="0" w:color="auto"/>
        </w:tblBorders>
        <w:tblCellMar>
          <w:left w:w="0" w:type="dxa"/>
          <w:right w:w="0" w:type="dxa"/>
        </w:tblCellMar>
        <w:tblLook w:val="0000" w:firstRow="0" w:lastRow="0" w:firstColumn="0" w:lastColumn="0" w:noHBand="0" w:noVBand="0"/>
      </w:tblPr>
      <w:tblGrid>
        <w:gridCol w:w="2081"/>
        <w:gridCol w:w="1592"/>
        <w:gridCol w:w="1491"/>
        <w:gridCol w:w="1491"/>
        <w:gridCol w:w="1692"/>
        <w:gridCol w:w="1500"/>
        <w:gridCol w:w="1592"/>
        <w:gridCol w:w="1592"/>
      </w:tblGrid>
      <w:tr w:rsidR="00576FE1" w:rsidRPr="00E87583" w14:paraId="7E91AA3C" w14:textId="77777777" w:rsidTr="00115CD6">
        <w:trPr>
          <w:cantSplit/>
          <w:trHeight w:val="687"/>
          <w:tblHeader/>
          <w:jc w:val="center"/>
        </w:trPr>
        <w:tc>
          <w:tcPr>
            <w:tcW w:w="0" w:type="auto"/>
            <w:tcBorders>
              <w:bottom w:val="single" w:sz="4" w:space="0" w:color="auto"/>
            </w:tcBorders>
            <w:shd w:val="clear" w:color="auto" w:fill="FFFFFF"/>
            <w:tcMar>
              <w:left w:w="60" w:type="dxa"/>
              <w:right w:w="60" w:type="dxa"/>
            </w:tcMar>
            <w:vAlign w:val="center"/>
          </w:tcPr>
          <w:p w14:paraId="20F56D3B" w14:textId="77777777" w:rsidR="00576FE1" w:rsidRPr="00E87583" w:rsidRDefault="00576FE1" w:rsidP="00115CD6">
            <w:pPr>
              <w:keepNext/>
              <w:adjustRightInd w:val="0"/>
              <w:spacing w:before="60" w:after="60" w:line="240" w:lineRule="auto"/>
              <w:rPr>
                <w:b/>
                <w:bCs/>
                <w:color w:val="000000"/>
                <w:sz w:val="18"/>
                <w:szCs w:val="18"/>
              </w:rPr>
            </w:pPr>
            <w:r w:rsidRPr="00E87583">
              <w:rPr>
                <w:b/>
                <w:bCs/>
                <w:color w:val="000000"/>
                <w:sz w:val="18"/>
                <w:szCs w:val="18"/>
              </w:rPr>
              <w:t>Best Overall Response</w:t>
            </w:r>
          </w:p>
        </w:tc>
        <w:tc>
          <w:tcPr>
            <w:tcW w:w="0" w:type="auto"/>
            <w:tcBorders>
              <w:bottom w:val="single" w:sz="4" w:space="0" w:color="auto"/>
            </w:tcBorders>
            <w:shd w:val="clear" w:color="auto" w:fill="FFFFFF"/>
            <w:tcMar>
              <w:left w:w="60" w:type="dxa"/>
              <w:right w:w="60" w:type="dxa"/>
            </w:tcMar>
            <w:vAlign w:val="center"/>
          </w:tcPr>
          <w:p w14:paraId="026C27A9" w14:textId="77777777" w:rsidR="00576FE1" w:rsidRPr="00E87583" w:rsidRDefault="00576FE1" w:rsidP="00115CD6">
            <w:pPr>
              <w:keepNext/>
              <w:adjustRightInd w:val="0"/>
              <w:spacing w:before="60" w:after="60" w:line="240" w:lineRule="auto"/>
              <w:jc w:val="center"/>
              <w:rPr>
                <w:b/>
                <w:bCs/>
                <w:color w:val="000000"/>
                <w:sz w:val="18"/>
                <w:szCs w:val="18"/>
              </w:rPr>
            </w:pPr>
            <w:r w:rsidRPr="00E87583">
              <w:rPr>
                <w:b/>
                <w:bCs/>
                <w:color w:val="000000"/>
                <w:sz w:val="18"/>
                <w:szCs w:val="18"/>
              </w:rPr>
              <w:t>CR</w:t>
            </w:r>
          </w:p>
        </w:tc>
        <w:tc>
          <w:tcPr>
            <w:tcW w:w="0" w:type="auto"/>
            <w:tcBorders>
              <w:bottom w:val="single" w:sz="4" w:space="0" w:color="auto"/>
            </w:tcBorders>
            <w:shd w:val="clear" w:color="auto" w:fill="FFFFFF"/>
            <w:tcMar>
              <w:left w:w="60" w:type="dxa"/>
              <w:right w:w="60" w:type="dxa"/>
            </w:tcMar>
            <w:vAlign w:val="center"/>
          </w:tcPr>
          <w:p w14:paraId="0A3A2CDB" w14:textId="77777777" w:rsidR="00576FE1" w:rsidRPr="00E87583" w:rsidRDefault="00576FE1" w:rsidP="00115CD6">
            <w:pPr>
              <w:keepNext/>
              <w:adjustRightInd w:val="0"/>
              <w:spacing w:before="60" w:after="60" w:line="240" w:lineRule="auto"/>
              <w:jc w:val="center"/>
              <w:rPr>
                <w:b/>
                <w:bCs/>
                <w:color w:val="000000"/>
                <w:sz w:val="18"/>
                <w:szCs w:val="18"/>
              </w:rPr>
            </w:pPr>
            <w:r w:rsidRPr="00E87583">
              <w:rPr>
                <w:b/>
                <w:bCs/>
                <w:color w:val="000000"/>
                <w:sz w:val="18"/>
                <w:szCs w:val="18"/>
              </w:rPr>
              <w:t>PR</w:t>
            </w:r>
          </w:p>
        </w:tc>
        <w:tc>
          <w:tcPr>
            <w:tcW w:w="0" w:type="auto"/>
            <w:tcBorders>
              <w:bottom w:val="single" w:sz="4" w:space="0" w:color="auto"/>
            </w:tcBorders>
            <w:shd w:val="clear" w:color="auto" w:fill="FFFFFF"/>
            <w:tcMar>
              <w:left w:w="60" w:type="dxa"/>
              <w:right w:w="60" w:type="dxa"/>
            </w:tcMar>
            <w:vAlign w:val="center"/>
          </w:tcPr>
          <w:p w14:paraId="74D77259" w14:textId="77777777" w:rsidR="00576FE1" w:rsidRPr="00E87583" w:rsidRDefault="00576FE1" w:rsidP="00115CD6">
            <w:pPr>
              <w:keepNext/>
              <w:adjustRightInd w:val="0"/>
              <w:spacing w:before="60" w:after="60" w:line="240" w:lineRule="auto"/>
              <w:jc w:val="center"/>
              <w:rPr>
                <w:b/>
                <w:bCs/>
                <w:color w:val="000000"/>
                <w:sz w:val="18"/>
                <w:szCs w:val="18"/>
              </w:rPr>
            </w:pPr>
            <w:r w:rsidRPr="00E87583">
              <w:rPr>
                <w:b/>
                <w:bCs/>
                <w:color w:val="000000"/>
                <w:sz w:val="18"/>
                <w:szCs w:val="18"/>
              </w:rPr>
              <w:t>SD≥24w</w:t>
            </w:r>
          </w:p>
        </w:tc>
        <w:tc>
          <w:tcPr>
            <w:tcW w:w="0" w:type="auto"/>
            <w:tcBorders>
              <w:bottom w:val="single" w:sz="4" w:space="0" w:color="auto"/>
            </w:tcBorders>
            <w:shd w:val="clear" w:color="auto" w:fill="FFFFFF"/>
            <w:tcMar>
              <w:left w:w="60" w:type="dxa"/>
              <w:right w:w="60" w:type="dxa"/>
            </w:tcMar>
            <w:vAlign w:val="center"/>
          </w:tcPr>
          <w:p w14:paraId="084AB849" w14:textId="77777777" w:rsidR="00576FE1" w:rsidRPr="00E87583" w:rsidRDefault="00576FE1" w:rsidP="00115CD6">
            <w:pPr>
              <w:keepNext/>
              <w:adjustRightInd w:val="0"/>
              <w:spacing w:before="60" w:after="60" w:line="240" w:lineRule="auto"/>
              <w:jc w:val="center"/>
              <w:rPr>
                <w:b/>
                <w:bCs/>
                <w:color w:val="000000"/>
                <w:sz w:val="18"/>
                <w:szCs w:val="18"/>
              </w:rPr>
            </w:pPr>
            <w:r w:rsidRPr="00E87583">
              <w:rPr>
                <w:b/>
                <w:bCs/>
                <w:color w:val="000000"/>
                <w:sz w:val="18"/>
                <w:szCs w:val="18"/>
              </w:rPr>
              <w:t>SD&lt;24w</w:t>
            </w:r>
          </w:p>
        </w:tc>
        <w:tc>
          <w:tcPr>
            <w:tcW w:w="0" w:type="auto"/>
            <w:tcBorders>
              <w:bottom w:val="single" w:sz="4" w:space="0" w:color="auto"/>
            </w:tcBorders>
            <w:shd w:val="clear" w:color="auto" w:fill="FFFFFF"/>
            <w:tcMar>
              <w:left w:w="60" w:type="dxa"/>
              <w:right w:w="60" w:type="dxa"/>
            </w:tcMar>
            <w:vAlign w:val="center"/>
          </w:tcPr>
          <w:p w14:paraId="358C8BBB" w14:textId="77777777" w:rsidR="00576FE1" w:rsidRPr="00E87583" w:rsidRDefault="00576FE1" w:rsidP="00115CD6">
            <w:pPr>
              <w:keepNext/>
              <w:adjustRightInd w:val="0"/>
              <w:spacing w:before="60" w:after="60" w:line="240" w:lineRule="auto"/>
              <w:jc w:val="center"/>
              <w:rPr>
                <w:b/>
                <w:bCs/>
                <w:color w:val="000000"/>
                <w:sz w:val="18"/>
                <w:szCs w:val="18"/>
              </w:rPr>
            </w:pPr>
            <w:r w:rsidRPr="00E87583">
              <w:rPr>
                <w:b/>
                <w:bCs/>
                <w:color w:val="000000"/>
                <w:sz w:val="18"/>
                <w:szCs w:val="18"/>
              </w:rPr>
              <w:t>Non-CR/Non-PD</w:t>
            </w:r>
          </w:p>
        </w:tc>
        <w:tc>
          <w:tcPr>
            <w:tcW w:w="0" w:type="auto"/>
            <w:tcBorders>
              <w:bottom w:val="single" w:sz="4" w:space="0" w:color="auto"/>
            </w:tcBorders>
            <w:shd w:val="clear" w:color="auto" w:fill="FFFFFF"/>
            <w:tcMar>
              <w:left w:w="60" w:type="dxa"/>
              <w:right w:w="60" w:type="dxa"/>
            </w:tcMar>
            <w:vAlign w:val="center"/>
          </w:tcPr>
          <w:p w14:paraId="6BD95C26" w14:textId="77777777" w:rsidR="00576FE1" w:rsidRPr="00E87583" w:rsidRDefault="00576FE1" w:rsidP="00115CD6">
            <w:pPr>
              <w:keepNext/>
              <w:adjustRightInd w:val="0"/>
              <w:spacing w:before="60" w:after="60" w:line="240" w:lineRule="auto"/>
              <w:jc w:val="center"/>
              <w:rPr>
                <w:b/>
                <w:bCs/>
                <w:color w:val="000000"/>
                <w:sz w:val="18"/>
                <w:szCs w:val="18"/>
              </w:rPr>
            </w:pPr>
            <w:r w:rsidRPr="00E87583">
              <w:rPr>
                <w:b/>
                <w:bCs/>
                <w:color w:val="000000"/>
                <w:sz w:val="18"/>
                <w:szCs w:val="18"/>
              </w:rPr>
              <w:t>PD</w:t>
            </w:r>
          </w:p>
        </w:tc>
        <w:tc>
          <w:tcPr>
            <w:tcW w:w="0" w:type="auto"/>
            <w:tcBorders>
              <w:bottom w:val="single" w:sz="4" w:space="0" w:color="auto"/>
            </w:tcBorders>
            <w:shd w:val="clear" w:color="auto" w:fill="FFFFFF"/>
            <w:tcMar>
              <w:left w:w="60" w:type="dxa"/>
              <w:right w:w="60" w:type="dxa"/>
            </w:tcMar>
            <w:vAlign w:val="center"/>
          </w:tcPr>
          <w:p w14:paraId="0CB10822" w14:textId="77777777" w:rsidR="00576FE1" w:rsidRPr="00E87583" w:rsidRDefault="00576FE1" w:rsidP="00115CD6">
            <w:pPr>
              <w:keepNext/>
              <w:adjustRightInd w:val="0"/>
              <w:spacing w:before="60" w:after="60" w:line="240" w:lineRule="auto"/>
              <w:jc w:val="center"/>
              <w:rPr>
                <w:b/>
                <w:bCs/>
                <w:color w:val="000000"/>
                <w:sz w:val="18"/>
                <w:szCs w:val="18"/>
              </w:rPr>
            </w:pPr>
            <w:r w:rsidRPr="00E87583">
              <w:rPr>
                <w:b/>
                <w:bCs/>
                <w:color w:val="000000"/>
                <w:sz w:val="18"/>
                <w:szCs w:val="18"/>
              </w:rPr>
              <w:t>NE</w:t>
            </w:r>
          </w:p>
        </w:tc>
      </w:tr>
      <w:tr w:rsidR="00576FE1" w:rsidRPr="00E87583" w14:paraId="72710FE3" w14:textId="77777777" w:rsidTr="00115CD6">
        <w:trPr>
          <w:cantSplit/>
          <w:trHeight w:val="222"/>
          <w:jc w:val="center"/>
        </w:trPr>
        <w:tc>
          <w:tcPr>
            <w:tcW w:w="0" w:type="auto"/>
            <w:tcBorders>
              <w:bottom w:val="dotted" w:sz="4" w:space="0" w:color="auto"/>
            </w:tcBorders>
            <w:shd w:val="clear" w:color="auto" w:fill="FFFFFF"/>
            <w:tcMar>
              <w:left w:w="60" w:type="dxa"/>
              <w:right w:w="60" w:type="dxa"/>
            </w:tcMar>
            <w:vAlign w:val="center"/>
          </w:tcPr>
          <w:p w14:paraId="353CAE3E" w14:textId="77777777" w:rsidR="00576FE1" w:rsidRPr="00E87583" w:rsidRDefault="00576FE1" w:rsidP="00115CD6">
            <w:pPr>
              <w:keepNext/>
              <w:adjustRightInd w:val="0"/>
              <w:spacing w:before="60" w:after="60"/>
              <w:rPr>
                <w:color w:val="000000"/>
                <w:sz w:val="18"/>
                <w:szCs w:val="18"/>
                <w:lang w:val="en-GB"/>
              </w:rPr>
            </w:pPr>
            <w:r w:rsidRPr="00E87583">
              <w:rPr>
                <w:color w:val="000000"/>
                <w:sz w:val="18"/>
                <w:szCs w:val="18"/>
                <w:lang w:val="en-GB"/>
              </w:rPr>
              <w:t>N</w:t>
            </w:r>
          </w:p>
        </w:tc>
        <w:tc>
          <w:tcPr>
            <w:tcW w:w="0" w:type="auto"/>
            <w:tcBorders>
              <w:bottom w:val="dotted" w:sz="4" w:space="0" w:color="auto"/>
            </w:tcBorders>
            <w:shd w:val="clear" w:color="auto" w:fill="FFFFFF"/>
            <w:tcMar>
              <w:left w:w="60" w:type="dxa"/>
              <w:right w:w="60" w:type="dxa"/>
            </w:tcMar>
            <w:vAlign w:val="center"/>
          </w:tcPr>
          <w:p w14:paraId="73F55078"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21</w:t>
            </w:r>
          </w:p>
        </w:tc>
        <w:tc>
          <w:tcPr>
            <w:tcW w:w="0" w:type="auto"/>
            <w:tcBorders>
              <w:bottom w:val="dotted" w:sz="4" w:space="0" w:color="auto"/>
            </w:tcBorders>
            <w:shd w:val="clear" w:color="auto" w:fill="FFFFFF"/>
            <w:tcMar>
              <w:left w:w="60" w:type="dxa"/>
              <w:right w:w="60" w:type="dxa"/>
            </w:tcMar>
            <w:vAlign w:val="center"/>
          </w:tcPr>
          <w:p w14:paraId="251D0488"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213</w:t>
            </w:r>
          </w:p>
        </w:tc>
        <w:tc>
          <w:tcPr>
            <w:tcW w:w="0" w:type="auto"/>
            <w:tcBorders>
              <w:bottom w:val="dotted" w:sz="4" w:space="0" w:color="auto"/>
            </w:tcBorders>
            <w:shd w:val="clear" w:color="auto" w:fill="FFFFFF"/>
            <w:tcMar>
              <w:left w:w="60" w:type="dxa"/>
              <w:right w:w="60" w:type="dxa"/>
            </w:tcMar>
            <w:vAlign w:val="center"/>
          </w:tcPr>
          <w:p w14:paraId="65438F79"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105</w:t>
            </w:r>
          </w:p>
        </w:tc>
        <w:tc>
          <w:tcPr>
            <w:tcW w:w="0" w:type="auto"/>
            <w:tcBorders>
              <w:bottom w:val="dotted" w:sz="4" w:space="0" w:color="auto"/>
            </w:tcBorders>
            <w:shd w:val="clear" w:color="auto" w:fill="FFFFFF"/>
            <w:tcMar>
              <w:left w:w="60" w:type="dxa"/>
              <w:right w:w="60" w:type="dxa"/>
            </w:tcMar>
            <w:vAlign w:val="center"/>
          </w:tcPr>
          <w:p w14:paraId="6BE40C64"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4</w:t>
            </w:r>
          </w:p>
        </w:tc>
        <w:tc>
          <w:tcPr>
            <w:tcW w:w="0" w:type="auto"/>
            <w:tcBorders>
              <w:bottom w:val="dotted" w:sz="4" w:space="0" w:color="auto"/>
            </w:tcBorders>
            <w:shd w:val="clear" w:color="auto" w:fill="FFFFFF"/>
            <w:tcMar>
              <w:left w:w="60" w:type="dxa"/>
              <w:right w:w="60" w:type="dxa"/>
            </w:tcMar>
            <w:vAlign w:val="center"/>
          </w:tcPr>
          <w:p w14:paraId="26BC46B3"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91</w:t>
            </w:r>
          </w:p>
        </w:tc>
        <w:tc>
          <w:tcPr>
            <w:tcW w:w="0" w:type="auto"/>
            <w:tcBorders>
              <w:bottom w:val="dotted" w:sz="4" w:space="0" w:color="auto"/>
            </w:tcBorders>
            <w:shd w:val="clear" w:color="auto" w:fill="FFFFFF"/>
            <w:tcMar>
              <w:left w:w="60" w:type="dxa"/>
              <w:right w:w="60" w:type="dxa"/>
            </w:tcMar>
            <w:vAlign w:val="center"/>
          </w:tcPr>
          <w:p w14:paraId="1FF109EF"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31</w:t>
            </w:r>
          </w:p>
        </w:tc>
        <w:tc>
          <w:tcPr>
            <w:tcW w:w="0" w:type="auto"/>
            <w:tcBorders>
              <w:bottom w:val="dotted" w:sz="4" w:space="0" w:color="auto"/>
            </w:tcBorders>
            <w:shd w:val="clear" w:color="auto" w:fill="FFFFFF"/>
            <w:tcMar>
              <w:left w:w="60" w:type="dxa"/>
              <w:right w:w="60" w:type="dxa"/>
            </w:tcMar>
            <w:vAlign w:val="center"/>
          </w:tcPr>
          <w:p w14:paraId="7D16E58B"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17</w:t>
            </w:r>
          </w:p>
        </w:tc>
      </w:tr>
      <w:tr w:rsidR="00576FE1" w:rsidRPr="00E87583" w14:paraId="3E4D9B84" w14:textId="77777777" w:rsidTr="00115CD6">
        <w:trPr>
          <w:cantSplit/>
          <w:trHeight w:val="568"/>
          <w:jc w:val="center"/>
        </w:trPr>
        <w:tc>
          <w:tcPr>
            <w:tcW w:w="0" w:type="auto"/>
            <w:tcBorders>
              <w:top w:val="dotted" w:sz="4" w:space="0" w:color="auto"/>
              <w:bottom w:val="single" w:sz="4" w:space="0" w:color="auto"/>
            </w:tcBorders>
            <w:shd w:val="clear" w:color="auto" w:fill="FFFFFF"/>
            <w:tcMar>
              <w:left w:w="60" w:type="dxa"/>
              <w:right w:w="60" w:type="dxa"/>
            </w:tcMar>
            <w:vAlign w:val="center"/>
          </w:tcPr>
          <w:p w14:paraId="767B642F" w14:textId="77777777" w:rsidR="00576FE1" w:rsidRPr="00E87583" w:rsidRDefault="00576FE1" w:rsidP="00115CD6">
            <w:pPr>
              <w:keepNext/>
              <w:adjustRightInd w:val="0"/>
              <w:spacing w:before="60" w:after="60"/>
              <w:rPr>
                <w:color w:val="000000"/>
                <w:sz w:val="18"/>
                <w:szCs w:val="18"/>
                <w:lang w:val="en-GB"/>
              </w:rPr>
            </w:pPr>
            <w:r w:rsidRPr="00E87583">
              <w:rPr>
                <w:color w:val="000000"/>
                <w:sz w:val="18"/>
                <w:szCs w:val="18"/>
                <w:lang w:val="en-GB"/>
              </w:rPr>
              <w:t xml:space="preserve">Mean </w:t>
            </w:r>
            <w:r w:rsidRPr="00E87583">
              <w:rPr>
                <w:b/>
                <w:color w:val="000000"/>
                <w:sz w:val="18"/>
                <w:szCs w:val="18"/>
                <w:lang w:val="en-GB"/>
              </w:rPr>
              <w:t>Global</w:t>
            </w:r>
            <w:r w:rsidRPr="00E87583">
              <w:rPr>
                <w:color w:val="000000"/>
                <w:sz w:val="18"/>
                <w:szCs w:val="18"/>
                <w:lang w:val="en-GB"/>
              </w:rPr>
              <w:t xml:space="preserve"> RDI </w:t>
            </w:r>
          </w:p>
        </w:tc>
        <w:tc>
          <w:tcPr>
            <w:tcW w:w="0" w:type="auto"/>
            <w:tcBorders>
              <w:top w:val="dotted" w:sz="4" w:space="0" w:color="auto"/>
              <w:bottom w:val="single" w:sz="4" w:space="0" w:color="auto"/>
            </w:tcBorders>
            <w:shd w:val="clear" w:color="auto" w:fill="FFFFFF"/>
            <w:tcMar>
              <w:left w:w="60" w:type="dxa"/>
              <w:right w:w="60" w:type="dxa"/>
            </w:tcMar>
            <w:vAlign w:val="center"/>
          </w:tcPr>
          <w:p w14:paraId="76BF4E7D"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94.6 (</w:t>
            </w:r>
            <w:proofErr w:type="gramStart"/>
            <w:r w:rsidRPr="00E87583">
              <w:rPr>
                <w:color w:val="000000"/>
                <w:sz w:val="18"/>
                <w:szCs w:val="18"/>
              </w:rPr>
              <w:t>92.2 ;</w:t>
            </w:r>
            <w:proofErr w:type="gramEnd"/>
            <w:r w:rsidRPr="00E87583">
              <w:rPr>
                <w:color w:val="000000"/>
                <w:sz w:val="18"/>
                <w:szCs w:val="18"/>
              </w:rPr>
              <w:t xml:space="preserve"> 97.0)</w:t>
            </w:r>
          </w:p>
        </w:tc>
        <w:tc>
          <w:tcPr>
            <w:tcW w:w="0" w:type="auto"/>
            <w:tcBorders>
              <w:top w:val="dotted" w:sz="4" w:space="0" w:color="auto"/>
              <w:bottom w:val="single" w:sz="4" w:space="0" w:color="auto"/>
            </w:tcBorders>
            <w:shd w:val="clear" w:color="auto" w:fill="FFFFFF"/>
            <w:tcMar>
              <w:left w:w="60" w:type="dxa"/>
              <w:right w:w="60" w:type="dxa"/>
            </w:tcMar>
            <w:vAlign w:val="center"/>
          </w:tcPr>
          <w:p w14:paraId="24331583"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91.5 (</w:t>
            </w:r>
            <w:proofErr w:type="gramStart"/>
            <w:r w:rsidRPr="00E87583">
              <w:rPr>
                <w:color w:val="000000"/>
                <w:sz w:val="18"/>
                <w:szCs w:val="18"/>
              </w:rPr>
              <w:t>90.3 ;</w:t>
            </w:r>
            <w:proofErr w:type="gramEnd"/>
            <w:r w:rsidRPr="00E87583">
              <w:rPr>
                <w:color w:val="000000"/>
                <w:sz w:val="18"/>
                <w:szCs w:val="18"/>
              </w:rPr>
              <w:t xml:space="preserve"> 92.7)</w:t>
            </w:r>
          </w:p>
        </w:tc>
        <w:tc>
          <w:tcPr>
            <w:tcW w:w="0" w:type="auto"/>
            <w:tcBorders>
              <w:top w:val="dotted" w:sz="4" w:space="0" w:color="auto"/>
              <w:bottom w:val="single" w:sz="4" w:space="0" w:color="auto"/>
            </w:tcBorders>
            <w:shd w:val="clear" w:color="auto" w:fill="FFFFFF"/>
            <w:tcMar>
              <w:left w:w="60" w:type="dxa"/>
              <w:right w:w="60" w:type="dxa"/>
            </w:tcMar>
            <w:vAlign w:val="center"/>
          </w:tcPr>
          <w:p w14:paraId="56CCFF0E"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91.5(89.</w:t>
            </w:r>
            <w:proofErr w:type="gramStart"/>
            <w:r w:rsidRPr="00E87583">
              <w:rPr>
                <w:color w:val="000000"/>
                <w:sz w:val="18"/>
                <w:szCs w:val="18"/>
              </w:rPr>
              <w:t>7 ;</w:t>
            </w:r>
            <w:proofErr w:type="gramEnd"/>
            <w:r w:rsidRPr="00E87583">
              <w:rPr>
                <w:color w:val="000000"/>
                <w:sz w:val="18"/>
                <w:szCs w:val="18"/>
              </w:rPr>
              <w:t xml:space="preserve"> 93.3) </w:t>
            </w:r>
          </w:p>
        </w:tc>
        <w:tc>
          <w:tcPr>
            <w:tcW w:w="0" w:type="auto"/>
            <w:tcBorders>
              <w:top w:val="dotted" w:sz="4" w:space="0" w:color="auto"/>
              <w:bottom w:val="single" w:sz="4" w:space="0" w:color="auto"/>
            </w:tcBorders>
            <w:shd w:val="clear" w:color="auto" w:fill="FFFFFF"/>
            <w:tcMar>
              <w:left w:w="60" w:type="dxa"/>
              <w:right w:w="60" w:type="dxa"/>
            </w:tcMar>
            <w:vAlign w:val="center"/>
          </w:tcPr>
          <w:p w14:paraId="1161AC55"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97.6 (</w:t>
            </w:r>
            <w:proofErr w:type="gramStart"/>
            <w:r w:rsidRPr="00E87583">
              <w:rPr>
                <w:color w:val="000000"/>
                <w:sz w:val="18"/>
                <w:szCs w:val="18"/>
              </w:rPr>
              <w:t>90.4 ;</w:t>
            </w:r>
            <w:proofErr w:type="gramEnd"/>
            <w:r w:rsidRPr="00E87583">
              <w:rPr>
                <w:color w:val="000000"/>
                <w:sz w:val="18"/>
                <w:szCs w:val="18"/>
              </w:rPr>
              <w:t xml:space="preserve"> 104.8)</w:t>
            </w:r>
          </w:p>
        </w:tc>
        <w:tc>
          <w:tcPr>
            <w:tcW w:w="0" w:type="auto"/>
            <w:tcBorders>
              <w:top w:val="dotted" w:sz="4" w:space="0" w:color="auto"/>
              <w:bottom w:val="single" w:sz="4" w:space="0" w:color="auto"/>
            </w:tcBorders>
            <w:shd w:val="clear" w:color="auto" w:fill="FFFFFF"/>
            <w:tcMar>
              <w:left w:w="60" w:type="dxa"/>
              <w:right w:w="60" w:type="dxa"/>
            </w:tcMar>
            <w:vAlign w:val="center"/>
          </w:tcPr>
          <w:p w14:paraId="6B1CF019"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89.7 (</w:t>
            </w:r>
            <w:proofErr w:type="gramStart"/>
            <w:r w:rsidRPr="00E87583">
              <w:rPr>
                <w:color w:val="000000"/>
                <w:sz w:val="18"/>
                <w:szCs w:val="18"/>
              </w:rPr>
              <w:t>87.7 ;</w:t>
            </w:r>
            <w:proofErr w:type="gramEnd"/>
            <w:r w:rsidRPr="00E87583">
              <w:rPr>
                <w:color w:val="000000"/>
                <w:sz w:val="18"/>
                <w:szCs w:val="18"/>
              </w:rPr>
              <w:t xml:space="preserve"> 91.6)</w:t>
            </w:r>
          </w:p>
        </w:tc>
        <w:tc>
          <w:tcPr>
            <w:tcW w:w="0" w:type="auto"/>
            <w:tcBorders>
              <w:top w:val="dotted" w:sz="4" w:space="0" w:color="auto"/>
              <w:bottom w:val="single" w:sz="4" w:space="0" w:color="auto"/>
            </w:tcBorders>
            <w:shd w:val="clear" w:color="auto" w:fill="FFFFFF"/>
            <w:tcMar>
              <w:left w:w="60" w:type="dxa"/>
              <w:right w:w="60" w:type="dxa"/>
            </w:tcMar>
            <w:vAlign w:val="center"/>
          </w:tcPr>
          <w:p w14:paraId="5033EA43"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92.6 (</w:t>
            </w:r>
            <w:proofErr w:type="gramStart"/>
            <w:r w:rsidRPr="00E87583">
              <w:rPr>
                <w:color w:val="000000"/>
                <w:sz w:val="18"/>
                <w:szCs w:val="18"/>
              </w:rPr>
              <w:t>89.0 ;</w:t>
            </w:r>
            <w:proofErr w:type="gramEnd"/>
            <w:r w:rsidRPr="00E87583">
              <w:rPr>
                <w:color w:val="000000"/>
                <w:sz w:val="18"/>
                <w:szCs w:val="18"/>
              </w:rPr>
              <w:t xml:space="preserve"> 96.2)</w:t>
            </w:r>
          </w:p>
        </w:tc>
        <w:tc>
          <w:tcPr>
            <w:tcW w:w="0" w:type="auto"/>
            <w:tcBorders>
              <w:top w:val="dotted" w:sz="4" w:space="0" w:color="auto"/>
            </w:tcBorders>
            <w:shd w:val="clear" w:color="auto" w:fill="FFFFFF"/>
            <w:tcMar>
              <w:left w:w="60" w:type="dxa"/>
              <w:right w:w="60" w:type="dxa"/>
            </w:tcMar>
            <w:vAlign w:val="center"/>
          </w:tcPr>
          <w:p w14:paraId="72AEFDDA"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84.6 (</w:t>
            </w:r>
            <w:proofErr w:type="gramStart"/>
            <w:r w:rsidRPr="00E87583">
              <w:rPr>
                <w:color w:val="000000"/>
                <w:sz w:val="18"/>
                <w:szCs w:val="18"/>
              </w:rPr>
              <w:t>75.6 ;</w:t>
            </w:r>
            <w:proofErr w:type="gramEnd"/>
            <w:r w:rsidRPr="00E87583">
              <w:rPr>
                <w:color w:val="000000"/>
                <w:sz w:val="18"/>
                <w:szCs w:val="18"/>
              </w:rPr>
              <w:t xml:space="preserve"> 93.5)</w:t>
            </w:r>
          </w:p>
        </w:tc>
      </w:tr>
      <w:tr w:rsidR="00576FE1" w:rsidRPr="00E87583" w14:paraId="4118723F" w14:textId="77777777" w:rsidTr="00115CD6">
        <w:trPr>
          <w:cantSplit/>
          <w:jc w:val="center"/>
        </w:trPr>
        <w:tc>
          <w:tcPr>
            <w:tcW w:w="0" w:type="auto"/>
            <w:tcBorders>
              <w:bottom w:val="dotted" w:sz="4" w:space="0" w:color="auto"/>
            </w:tcBorders>
            <w:shd w:val="clear" w:color="auto" w:fill="FFFFFF"/>
            <w:tcMar>
              <w:left w:w="60" w:type="dxa"/>
              <w:right w:w="60" w:type="dxa"/>
            </w:tcMar>
            <w:vAlign w:val="center"/>
          </w:tcPr>
          <w:p w14:paraId="4253F297" w14:textId="77777777" w:rsidR="00576FE1" w:rsidRPr="00E87583" w:rsidRDefault="00576FE1" w:rsidP="00115CD6">
            <w:pPr>
              <w:keepNext/>
              <w:adjustRightInd w:val="0"/>
              <w:spacing w:before="60" w:after="60"/>
              <w:rPr>
                <w:color w:val="000000"/>
                <w:sz w:val="18"/>
                <w:szCs w:val="18"/>
                <w:lang w:val="en-GB"/>
              </w:rPr>
            </w:pPr>
            <w:r w:rsidRPr="00E87583">
              <w:rPr>
                <w:color w:val="000000"/>
                <w:sz w:val="18"/>
                <w:szCs w:val="18"/>
                <w:lang w:val="en-GB"/>
              </w:rPr>
              <w:t>N</w:t>
            </w:r>
          </w:p>
        </w:tc>
        <w:tc>
          <w:tcPr>
            <w:tcW w:w="0" w:type="auto"/>
            <w:tcBorders>
              <w:bottom w:val="dotted" w:sz="4" w:space="0" w:color="auto"/>
            </w:tcBorders>
            <w:shd w:val="clear" w:color="auto" w:fill="FFFFFF"/>
            <w:tcMar>
              <w:left w:w="60" w:type="dxa"/>
              <w:right w:w="60" w:type="dxa"/>
            </w:tcMar>
            <w:vAlign w:val="center"/>
          </w:tcPr>
          <w:p w14:paraId="298E6A51"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21</w:t>
            </w:r>
          </w:p>
        </w:tc>
        <w:tc>
          <w:tcPr>
            <w:tcW w:w="0" w:type="auto"/>
            <w:tcBorders>
              <w:bottom w:val="dotted" w:sz="4" w:space="0" w:color="auto"/>
            </w:tcBorders>
            <w:shd w:val="clear" w:color="auto" w:fill="FFFFFF"/>
            <w:tcMar>
              <w:left w:w="60" w:type="dxa"/>
              <w:right w:w="60" w:type="dxa"/>
            </w:tcMar>
            <w:vAlign w:val="center"/>
          </w:tcPr>
          <w:p w14:paraId="579168A3"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214</w:t>
            </w:r>
          </w:p>
        </w:tc>
        <w:tc>
          <w:tcPr>
            <w:tcW w:w="0" w:type="auto"/>
            <w:tcBorders>
              <w:bottom w:val="dotted" w:sz="4" w:space="0" w:color="auto"/>
            </w:tcBorders>
            <w:shd w:val="clear" w:color="auto" w:fill="FFFFFF"/>
            <w:tcMar>
              <w:left w:w="60" w:type="dxa"/>
              <w:right w:w="60" w:type="dxa"/>
            </w:tcMar>
            <w:vAlign w:val="center"/>
          </w:tcPr>
          <w:p w14:paraId="00680C70"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105</w:t>
            </w:r>
          </w:p>
        </w:tc>
        <w:tc>
          <w:tcPr>
            <w:tcW w:w="0" w:type="auto"/>
            <w:tcBorders>
              <w:bottom w:val="dotted" w:sz="4" w:space="0" w:color="auto"/>
            </w:tcBorders>
            <w:shd w:val="clear" w:color="auto" w:fill="FFFFFF"/>
            <w:tcMar>
              <w:left w:w="60" w:type="dxa"/>
              <w:right w:w="60" w:type="dxa"/>
            </w:tcMar>
            <w:vAlign w:val="center"/>
          </w:tcPr>
          <w:p w14:paraId="32B1C249"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4</w:t>
            </w:r>
          </w:p>
        </w:tc>
        <w:tc>
          <w:tcPr>
            <w:tcW w:w="0" w:type="auto"/>
            <w:tcBorders>
              <w:bottom w:val="dotted" w:sz="4" w:space="0" w:color="auto"/>
            </w:tcBorders>
            <w:shd w:val="clear" w:color="auto" w:fill="FFFFFF"/>
            <w:tcMar>
              <w:left w:w="60" w:type="dxa"/>
              <w:right w:w="60" w:type="dxa"/>
            </w:tcMar>
            <w:vAlign w:val="center"/>
          </w:tcPr>
          <w:p w14:paraId="68773AB1"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91</w:t>
            </w:r>
          </w:p>
        </w:tc>
        <w:tc>
          <w:tcPr>
            <w:tcW w:w="0" w:type="auto"/>
            <w:tcBorders>
              <w:bottom w:val="dotted" w:sz="4" w:space="0" w:color="auto"/>
            </w:tcBorders>
            <w:shd w:val="clear" w:color="auto" w:fill="FFFFFF"/>
            <w:tcMar>
              <w:left w:w="60" w:type="dxa"/>
              <w:right w:w="60" w:type="dxa"/>
            </w:tcMar>
            <w:vAlign w:val="center"/>
          </w:tcPr>
          <w:p w14:paraId="41138E2A"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31</w:t>
            </w:r>
          </w:p>
        </w:tc>
        <w:tc>
          <w:tcPr>
            <w:tcW w:w="0" w:type="auto"/>
            <w:shd w:val="clear" w:color="auto" w:fill="FFFFFF"/>
            <w:tcMar>
              <w:left w:w="60" w:type="dxa"/>
              <w:right w:w="60" w:type="dxa"/>
            </w:tcMar>
            <w:vAlign w:val="center"/>
          </w:tcPr>
          <w:p w14:paraId="2641B062"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17</w:t>
            </w:r>
          </w:p>
        </w:tc>
      </w:tr>
      <w:tr w:rsidR="00576FE1" w:rsidRPr="00E87583" w14:paraId="025B0B37" w14:textId="77777777" w:rsidTr="00115CD6">
        <w:trPr>
          <w:cantSplit/>
          <w:trHeight w:val="623"/>
          <w:jc w:val="center"/>
        </w:trPr>
        <w:tc>
          <w:tcPr>
            <w:tcW w:w="0" w:type="auto"/>
            <w:tcBorders>
              <w:top w:val="dotted" w:sz="4" w:space="0" w:color="auto"/>
              <w:bottom w:val="single" w:sz="4" w:space="0" w:color="auto"/>
            </w:tcBorders>
            <w:shd w:val="clear" w:color="auto" w:fill="FFFFFF"/>
            <w:tcMar>
              <w:left w:w="60" w:type="dxa"/>
              <w:right w:w="60" w:type="dxa"/>
            </w:tcMar>
            <w:vAlign w:val="center"/>
          </w:tcPr>
          <w:p w14:paraId="61E3C223" w14:textId="77777777" w:rsidR="00576FE1" w:rsidRPr="00E87583" w:rsidRDefault="00576FE1" w:rsidP="00115CD6">
            <w:pPr>
              <w:keepNext/>
              <w:adjustRightInd w:val="0"/>
              <w:spacing w:before="60" w:after="60"/>
              <w:rPr>
                <w:color w:val="000000"/>
                <w:sz w:val="18"/>
                <w:szCs w:val="18"/>
              </w:rPr>
            </w:pPr>
            <w:r w:rsidRPr="00E87583">
              <w:rPr>
                <w:color w:val="000000"/>
                <w:sz w:val="18"/>
                <w:szCs w:val="18"/>
                <w:lang w:val="en-GB"/>
              </w:rPr>
              <w:t xml:space="preserve">Mean </w:t>
            </w:r>
            <w:r w:rsidRPr="00E87583">
              <w:rPr>
                <w:b/>
                <w:color w:val="000000"/>
                <w:sz w:val="18"/>
                <w:szCs w:val="18"/>
                <w:lang w:val="en-GB"/>
              </w:rPr>
              <w:t>Palbociclib</w:t>
            </w:r>
            <w:r w:rsidRPr="00E87583">
              <w:rPr>
                <w:color w:val="000000"/>
                <w:sz w:val="18"/>
                <w:szCs w:val="18"/>
                <w:lang w:val="en-GB"/>
              </w:rPr>
              <w:t xml:space="preserve"> RDI </w:t>
            </w:r>
          </w:p>
        </w:tc>
        <w:tc>
          <w:tcPr>
            <w:tcW w:w="0" w:type="auto"/>
            <w:tcBorders>
              <w:top w:val="dotted" w:sz="4" w:space="0" w:color="auto"/>
              <w:bottom w:val="single" w:sz="4" w:space="0" w:color="auto"/>
            </w:tcBorders>
            <w:shd w:val="clear" w:color="auto" w:fill="FFFFFF"/>
            <w:tcMar>
              <w:left w:w="60" w:type="dxa"/>
              <w:right w:w="60" w:type="dxa"/>
            </w:tcMar>
            <w:vAlign w:val="center"/>
          </w:tcPr>
          <w:p w14:paraId="799B9E17"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91.4 (</w:t>
            </w:r>
            <w:proofErr w:type="gramStart"/>
            <w:r w:rsidRPr="00E87583">
              <w:rPr>
                <w:color w:val="000000"/>
                <w:sz w:val="18"/>
                <w:szCs w:val="18"/>
              </w:rPr>
              <w:t>87.1 ;</w:t>
            </w:r>
            <w:proofErr w:type="gramEnd"/>
            <w:r w:rsidRPr="00E87583">
              <w:rPr>
                <w:color w:val="000000"/>
                <w:sz w:val="18"/>
                <w:szCs w:val="18"/>
              </w:rPr>
              <w:t xml:space="preserve"> 95.7)</w:t>
            </w:r>
          </w:p>
        </w:tc>
        <w:tc>
          <w:tcPr>
            <w:tcW w:w="0" w:type="auto"/>
            <w:tcBorders>
              <w:top w:val="dotted" w:sz="4" w:space="0" w:color="auto"/>
              <w:bottom w:val="single" w:sz="4" w:space="0" w:color="auto"/>
            </w:tcBorders>
            <w:shd w:val="clear" w:color="auto" w:fill="FFFFFF"/>
            <w:tcMar>
              <w:left w:w="60" w:type="dxa"/>
              <w:right w:w="60" w:type="dxa"/>
            </w:tcMar>
            <w:vAlign w:val="center"/>
          </w:tcPr>
          <w:p w14:paraId="620CCF57"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85.2 (</w:t>
            </w:r>
            <w:proofErr w:type="gramStart"/>
            <w:r w:rsidRPr="00E87583">
              <w:rPr>
                <w:color w:val="000000"/>
                <w:sz w:val="18"/>
                <w:szCs w:val="18"/>
              </w:rPr>
              <w:t>83.0 ;</w:t>
            </w:r>
            <w:proofErr w:type="gramEnd"/>
            <w:r w:rsidRPr="00E87583">
              <w:rPr>
                <w:color w:val="000000"/>
                <w:sz w:val="18"/>
                <w:szCs w:val="18"/>
              </w:rPr>
              <w:t xml:space="preserve"> 87.5)</w:t>
            </w:r>
          </w:p>
        </w:tc>
        <w:tc>
          <w:tcPr>
            <w:tcW w:w="0" w:type="auto"/>
            <w:tcBorders>
              <w:top w:val="dotted" w:sz="4" w:space="0" w:color="auto"/>
              <w:bottom w:val="single" w:sz="4" w:space="0" w:color="auto"/>
            </w:tcBorders>
            <w:shd w:val="clear" w:color="auto" w:fill="FFFFFF"/>
            <w:tcMar>
              <w:left w:w="60" w:type="dxa"/>
              <w:right w:w="60" w:type="dxa"/>
            </w:tcMar>
            <w:vAlign w:val="center"/>
          </w:tcPr>
          <w:p w14:paraId="207B2788"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86.2 (</w:t>
            </w:r>
            <w:proofErr w:type="gramStart"/>
            <w:r w:rsidRPr="00E87583">
              <w:rPr>
                <w:color w:val="000000"/>
                <w:sz w:val="18"/>
                <w:szCs w:val="18"/>
              </w:rPr>
              <w:t>83.3 ;</w:t>
            </w:r>
            <w:proofErr w:type="gramEnd"/>
            <w:r w:rsidRPr="00E87583">
              <w:rPr>
                <w:color w:val="000000"/>
                <w:sz w:val="18"/>
                <w:szCs w:val="18"/>
              </w:rPr>
              <w:t xml:space="preserve"> 89.0)</w:t>
            </w:r>
          </w:p>
        </w:tc>
        <w:tc>
          <w:tcPr>
            <w:tcW w:w="0" w:type="auto"/>
            <w:tcBorders>
              <w:top w:val="dotted" w:sz="4" w:space="0" w:color="auto"/>
              <w:bottom w:val="single" w:sz="4" w:space="0" w:color="auto"/>
            </w:tcBorders>
            <w:shd w:val="clear" w:color="auto" w:fill="FFFFFF"/>
            <w:tcMar>
              <w:left w:w="60" w:type="dxa"/>
              <w:right w:w="60" w:type="dxa"/>
            </w:tcMar>
            <w:vAlign w:val="center"/>
          </w:tcPr>
          <w:p w14:paraId="2FA8479A"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97.0 (</w:t>
            </w:r>
            <w:proofErr w:type="gramStart"/>
            <w:r w:rsidRPr="00E87583">
              <w:rPr>
                <w:color w:val="000000"/>
                <w:sz w:val="18"/>
                <w:szCs w:val="18"/>
              </w:rPr>
              <w:t>88.8 ;</w:t>
            </w:r>
            <w:proofErr w:type="gramEnd"/>
            <w:r w:rsidRPr="00E87583">
              <w:rPr>
                <w:color w:val="000000"/>
                <w:sz w:val="18"/>
                <w:szCs w:val="18"/>
              </w:rPr>
              <w:t xml:space="preserve"> 105.1)</w:t>
            </w:r>
          </w:p>
        </w:tc>
        <w:tc>
          <w:tcPr>
            <w:tcW w:w="0" w:type="auto"/>
            <w:tcBorders>
              <w:top w:val="dotted" w:sz="4" w:space="0" w:color="auto"/>
              <w:bottom w:val="single" w:sz="4" w:space="0" w:color="auto"/>
            </w:tcBorders>
            <w:shd w:val="clear" w:color="auto" w:fill="FFFFFF"/>
            <w:tcMar>
              <w:left w:w="60" w:type="dxa"/>
              <w:right w:w="60" w:type="dxa"/>
            </w:tcMar>
            <w:vAlign w:val="center"/>
          </w:tcPr>
          <w:p w14:paraId="65CFA573"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81.5 (</w:t>
            </w:r>
            <w:proofErr w:type="gramStart"/>
            <w:r w:rsidRPr="00E87583">
              <w:rPr>
                <w:color w:val="000000"/>
                <w:sz w:val="18"/>
                <w:szCs w:val="18"/>
              </w:rPr>
              <w:t>77.8 ;</w:t>
            </w:r>
            <w:proofErr w:type="gramEnd"/>
            <w:r w:rsidRPr="00E87583">
              <w:rPr>
                <w:color w:val="000000"/>
                <w:sz w:val="18"/>
                <w:szCs w:val="18"/>
              </w:rPr>
              <w:t xml:space="preserve"> 85.2) </w:t>
            </w:r>
          </w:p>
        </w:tc>
        <w:tc>
          <w:tcPr>
            <w:tcW w:w="0" w:type="auto"/>
            <w:tcBorders>
              <w:top w:val="dotted" w:sz="4" w:space="0" w:color="auto"/>
              <w:bottom w:val="single" w:sz="4" w:space="0" w:color="auto"/>
            </w:tcBorders>
            <w:shd w:val="clear" w:color="auto" w:fill="FFFFFF"/>
            <w:tcMar>
              <w:left w:w="60" w:type="dxa"/>
              <w:right w:w="60" w:type="dxa"/>
            </w:tcMar>
            <w:vAlign w:val="center"/>
          </w:tcPr>
          <w:p w14:paraId="6A0B2A0E"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88.8 (</w:t>
            </w:r>
            <w:proofErr w:type="gramStart"/>
            <w:r w:rsidRPr="00E87583">
              <w:rPr>
                <w:color w:val="000000"/>
                <w:sz w:val="18"/>
                <w:szCs w:val="18"/>
              </w:rPr>
              <w:t>83.6 ;</w:t>
            </w:r>
            <w:proofErr w:type="gramEnd"/>
            <w:r w:rsidRPr="00E87583">
              <w:rPr>
                <w:color w:val="000000"/>
                <w:sz w:val="18"/>
                <w:szCs w:val="18"/>
              </w:rPr>
              <w:t xml:space="preserve"> 93.9)</w:t>
            </w:r>
          </w:p>
        </w:tc>
        <w:tc>
          <w:tcPr>
            <w:tcW w:w="0" w:type="auto"/>
            <w:tcBorders>
              <w:bottom w:val="single" w:sz="4" w:space="0" w:color="auto"/>
            </w:tcBorders>
            <w:shd w:val="clear" w:color="auto" w:fill="FFFFFF"/>
            <w:tcMar>
              <w:left w:w="60" w:type="dxa"/>
              <w:right w:w="60" w:type="dxa"/>
            </w:tcMar>
            <w:vAlign w:val="center"/>
          </w:tcPr>
          <w:p w14:paraId="49594FE6"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81.9 (</w:t>
            </w:r>
            <w:proofErr w:type="gramStart"/>
            <w:r w:rsidRPr="00E87583">
              <w:rPr>
                <w:color w:val="000000"/>
                <w:sz w:val="18"/>
                <w:szCs w:val="18"/>
              </w:rPr>
              <w:t>69.7 ;</w:t>
            </w:r>
            <w:proofErr w:type="gramEnd"/>
            <w:r w:rsidRPr="00E87583">
              <w:rPr>
                <w:color w:val="000000"/>
                <w:sz w:val="18"/>
                <w:szCs w:val="18"/>
              </w:rPr>
              <w:t xml:space="preserve"> 94.2)</w:t>
            </w:r>
          </w:p>
        </w:tc>
      </w:tr>
      <w:tr w:rsidR="00576FE1" w:rsidRPr="00E87583" w14:paraId="2C5B50D4" w14:textId="77777777" w:rsidTr="00115CD6">
        <w:trPr>
          <w:cantSplit/>
          <w:jc w:val="center"/>
        </w:trPr>
        <w:tc>
          <w:tcPr>
            <w:tcW w:w="0" w:type="auto"/>
            <w:tcBorders>
              <w:bottom w:val="dotted" w:sz="4" w:space="0" w:color="auto"/>
            </w:tcBorders>
            <w:shd w:val="clear" w:color="auto" w:fill="FFFFFF"/>
            <w:tcMar>
              <w:left w:w="60" w:type="dxa"/>
              <w:right w:w="60" w:type="dxa"/>
            </w:tcMar>
            <w:vAlign w:val="center"/>
          </w:tcPr>
          <w:p w14:paraId="79C9FC97" w14:textId="77777777" w:rsidR="00576FE1" w:rsidRPr="00E87583" w:rsidRDefault="00576FE1" w:rsidP="00115CD6">
            <w:pPr>
              <w:keepNext/>
              <w:adjustRightInd w:val="0"/>
              <w:spacing w:before="60" w:after="60"/>
              <w:rPr>
                <w:color w:val="000000"/>
                <w:sz w:val="18"/>
                <w:szCs w:val="18"/>
                <w:lang w:val="en-GB"/>
              </w:rPr>
            </w:pPr>
            <w:r w:rsidRPr="00E87583">
              <w:rPr>
                <w:color w:val="000000"/>
                <w:sz w:val="18"/>
                <w:szCs w:val="18"/>
                <w:lang w:val="en-GB"/>
              </w:rPr>
              <w:t>N</w:t>
            </w:r>
          </w:p>
        </w:tc>
        <w:tc>
          <w:tcPr>
            <w:tcW w:w="0" w:type="auto"/>
            <w:tcBorders>
              <w:bottom w:val="dotted" w:sz="4" w:space="0" w:color="auto"/>
            </w:tcBorders>
            <w:shd w:val="clear" w:color="auto" w:fill="FFFFFF"/>
            <w:tcMar>
              <w:left w:w="60" w:type="dxa"/>
              <w:right w:w="60" w:type="dxa"/>
            </w:tcMar>
            <w:vAlign w:val="center"/>
          </w:tcPr>
          <w:p w14:paraId="54EC353A"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11</w:t>
            </w:r>
          </w:p>
        </w:tc>
        <w:tc>
          <w:tcPr>
            <w:tcW w:w="0" w:type="auto"/>
            <w:tcBorders>
              <w:bottom w:val="dotted" w:sz="4" w:space="0" w:color="auto"/>
            </w:tcBorders>
            <w:shd w:val="clear" w:color="auto" w:fill="FFFFFF"/>
            <w:tcMar>
              <w:left w:w="60" w:type="dxa"/>
              <w:right w:w="60" w:type="dxa"/>
            </w:tcMar>
            <w:vAlign w:val="center"/>
          </w:tcPr>
          <w:p w14:paraId="04C2D31B"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101</w:t>
            </w:r>
          </w:p>
        </w:tc>
        <w:tc>
          <w:tcPr>
            <w:tcW w:w="0" w:type="auto"/>
            <w:tcBorders>
              <w:bottom w:val="dotted" w:sz="4" w:space="0" w:color="auto"/>
            </w:tcBorders>
            <w:shd w:val="clear" w:color="auto" w:fill="FFFFFF"/>
            <w:tcMar>
              <w:left w:w="60" w:type="dxa"/>
              <w:right w:w="60" w:type="dxa"/>
            </w:tcMar>
            <w:vAlign w:val="center"/>
          </w:tcPr>
          <w:p w14:paraId="41296EE7"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59</w:t>
            </w:r>
          </w:p>
        </w:tc>
        <w:tc>
          <w:tcPr>
            <w:tcW w:w="0" w:type="auto"/>
            <w:tcBorders>
              <w:bottom w:val="dotted" w:sz="4" w:space="0" w:color="auto"/>
            </w:tcBorders>
            <w:shd w:val="clear" w:color="auto" w:fill="FFFFFF"/>
            <w:tcMar>
              <w:left w:w="60" w:type="dxa"/>
              <w:right w:w="60" w:type="dxa"/>
            </w:tcMar>
            <w:vAlign w:val="center"/>
          </w:tcPr>
          <w:p w14:paraId="6D906151"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3</w:t>
            </w:r>
          </w:p>
        </w:tc>
        <w:tc>
          <w:tcPr>
            <w:tcW w:w="0" w:type="auto"/>
            <w:tcBorders>
              <w:bottom w:val="dotted" w:sz="4" w:space="0" w:color="auto"/>
            </w:tcBorders>
            <w:shd w:val="clear" w:color="auto" w:fill="FFFFFF"/>
            <w:tcMar>
              <w:left w:w="60" w:type="dxa"/>
              <w:right w:w="60" w:type="dxa"/>
            </w:tcMar>
            <w:vAlign w:val="center"/>
          </w:tcPr>
          <w:p w14:paraId="56F2529E"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39</w:t>
            </w:r>
          </w:p>
        </w:tc>
        <w:tc>
          <w:tcPr>
            <w:tcW w:w="0" w:type="auto"/>
            <w:tcBorders>
              <w:bottom w:val="dotted" w:sz="4" w:space="0" w:color="auto"/>
            </w:tcBorders>
            <w:shd w:val="clear" w:color="auto" w:fill="FFFFFF"/>
            <w:tcMar>
              <w:left w:w="60" w:type="dxa"/>
              <w:right w:w="60" w:type="dxa"/>
            </w:tcMar>
            <w:vAlign w:val="center"/>
          </w:tcPr>
          <w:p w14:paraId="29584A59"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19</w:t>
            </w:r>
          </w:p>
        </w:tc>
        <w:tc>
          <w:tcPr>
            <w:tcW w:w="0" w:type="auto"/>
            <w:tcBorders>
              <w:bottom w:val="dotted" w:sz="4" w:space="0" w:color="auto"/>
            </w:tcBorders>
            <w:shd w:val="clear" w:color="auto" w:fill="FFFFFF"/>
            <w:tcMar>
              <w:left w:w="60" w:type="dxa"/>
              <w:right w:w="60" w:type="dxa"/>
            </w:tcMar>
            <w:vAlign w:val="center"/>
          </w:tcPr>
          <w:p w14:paraId="3B28EEBB"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w:t>
            </w:r>
          </w:p>
        </w:tc>
      </w:tr>
      <w:tr w:rsidR="00576FE1" w:rsidRPr="00E87583" w14:paraId="6CFC0F0D" w14:textId="77777777" w:rsidTr="00115CD6">
        <w:trPr>
          <w:cantSplit/>
          <w:trHeight w:val="637"/>
          <w:jc w:val="center"/>
        </w:trPr>
        <w:tc>
          <w:tcPr>
            <w:tcW w:w="0" w:type="auto"/>
            <w:tcBorders>
              <w:top w:val="dotted" w:sz="4" w:space="0" w:color="auto"/>
              <w:bottom w:val="single" w:sz="4" w:space="0" w:color="auto"/>
            </w:tcBorders>
            <w:shd w:val="clear" w:color="auto" w:fill="FFFFFF"/>
            <w:tcMar>
              <w:left w:w="60" w:type="dxa"/>
              <w:right w:w="60" w:type="dxa"/>
            </w:tcMar>
            <w:vAlign w:val="center"/>
          </w:tcPr>
          <w:p w14:paraId="4638A723" w14:textId="77777777" w:rsidR="00576FE1" w:rsidRPr="00E87583" w:rsidRDefault="00576FE1" w:rsidP="00115CD6">
            <w:pPr>
              <w:keepNext/>
              <w:adjustRightInd w:val="0"/>
              <w:spacing w:before="60" w:after="60"/>
              <w:rPr>
                <w:color w:val="000000"/>
                <w:sz w:val="18"/>
                <w:szCs w:val="18"/>
                <w:lang w:val="en-GB"/>
              </w:rPr>
            </w:pPr>
            <w:r w:rsidRPr="00E87583">
              <w:rPr>
                <w:color w:val="000000"/>
                <w:sz w:val="18"/>
                <w:szCs w:val="18"/>
                <w:lang w:val="en-GB"/>
              </w:rPr>
              <w:t xml:space="preserve">Mean </w:t>
            </w:r>
            <w:proofErr w:type="spellStart"/>
            <w:r w:rsidRPr="00E87583">
              <w:rPr>
                <w:b/>
                <w:color w:val="000000"/>
                <w:sz w:val="18"/>
                <w:szCs w:val="18"/>
                <w:lang w:val="en-GB"/>
              </w:rPr>
              <w:t>Fulvestrant</w:t>
            </w:r>
            <w:proofErr w:type="spellEnd"/>
            <w:r w:rsidRPr="00E87583">
              <w:rPr>
                <w:color w:val="000000"/>
                <w:sz w:val="18"/>
                <w:szCs w:val="18"/>
                <w:lang w:val="en-GB"/>
              </w:rPr>
              <w:t xml:space="preserve"> RDI</w:t>
            </w:r>
          </w:p>
        </w:tc>
        <w:tc>
          <w:tcPr>
            <w:tcW w:w="0" w:type="auto"/>
            <w:tcBorders>
              <w:top w:val="dotted" w:sz="4" w:space="0" w:color="auto"/>
              <w:bottom w:val="single" w:sz="4" w:space="0" w:color="auto"/>
            </w:tcBorders>
            <w:shd w:val="clear" w:color="auto" w:fill="FFFFFF"/>
            <w:tcMar>
              <w:left w:w="60" w:type="dxa"/>
              <w:right w:w="60" w:type="dxa"/>
            </w:tcMar>
            <w:vAlign w:val="center"/>
          </w:tcPr>
          <w:p w14:paraId="0670C68E"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98.5 (</w:t>
            </w:r>
            <w:proofErr w:type="gramStart"/>
            <w:r w:rsidRPr="00E87583">
              <w:rPr>
                <w:color w:val="000000"/>
                <w:sz w:val="18"/>
                <w:szCs w:val="18"/>
              </w:rPr>
              <w:t>97.5 ;</w:t>
            </w:r>
            <w:proofErr w:type="gramEnd"/>
            <w:r w:rsidRPr="00E87583">
              <w:rPr>
                <w:color w:val="000000"/>
                <w:sz w:val="18"/>
                <w:szCs w:val="18"/>
              </w:rPr>
              <w:t xml:space="preserve"> 99.6)</w:t>
            </w:r>
          </w:p>
        </w:tc>
        <w:tc>
          <w:tcPr>
            <w:tcW w:w="0" w:type="auto"/>
            <w:tcBorders>
              <w:top w:val="dotted" w:sz="4" w:space="0" w:color="auto"/>
              <w:bottom w:val="single" w:sz="4" w:space="0" w:color="auto"/>
            </w:tcBorders>
            <w:shd w:val="clear" w:color="auto" w:fill="FFFFFF"/>
            <w:tcMar>
              <w:left w:w="60" w:type="dxa"/>
              <w:right w:w="60" w:type="dxa"/>
            </w:tcMar>
            <w:vAlign w:val="center"/>
          </w:tcPr>
          <w:p w14:paraId="2F7DEB16"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97.6 (</w:t>
            </w:r>
            <w:proofErr w:type="gramStart"/>
            <w:r w:rsidRPr="00E87583">
              <w:rPr>
                <w:color w:val="000000"/>
                <w:sz w:val="18"/>
                <w:szCs w:val="18"/>
              </w:rPr>
              <w:t>96.9 ;</w:t>
            </w:r>
            <w:proofErr w:type="gramEnd"/>
            <w:r w:rsidRPr="00E87583">
              <w:rPr>
                <w:color w:val="000000"/>
                <w:sz w:val="18"/>
                <w:szCs w:val="18"/>
              </w:rPr>
              <w:t xml:space="preserve"> 98.3)</w:t>
            </w:r>
          </w:p>
        </w:tc>
        <w:tc>
          <w:tcPr>
            <w:tcW w:w="0" w:type="auto"/>
            <w:tcBorders>
              <w:top w:val="dotted" w:sz="4" w:space="0" w:color="auto"/>
              <w:bottom w:val="single" w:sz="4" w:space="0" w:color="auto"/>
            </w:tcBorders>
            <w:shd w:val="clear" w:color="auto" w:fill="FFFFFF"/>
            <w:tcMar>
              <w:left w:w="60" w:type="dxa"/>
              <w:right w:w="60" w:type="dxa"/>
            </w:tcMar>
            <w:vAlign w:val="center"/>
          </w:tcPr>
          <w:p w14:paraId="0CB078FF"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97.6 (</w:t>
            </w:r>
            <w:proofErr w:type="gramStart"/>
            <w:r w:rsidRPr="00E87583">
              <w:rPr>
                <w:color w:val="000000"/>
                <w:sz w:val="18"/>
                <w:szCs w:val="18"/>
              </w:rPr>
              <w:t>96.5 ;</w:t>
            </w:r>
            <w:proofErr w:type="gramEnd"/>
            <w:r w:rsidRPr="00E87583">
              <w:rPr>
                <w:color w:val="000000"/>
                <w:sz w:val="18"/>
                <w:szCs w:val="18"/>
              </w:rPr>
              <w:t xml:space="preserve"> 98.6)</w:t>
            </w:r>
          </w:p>
        </w:tc>
        <w:tc>
          <w:tcPr>
            <w:tcW w:w="0" w:type="auto"/>
            <w:tcBorders>
              <w:top w:val="dotted" w:sz="4" w:space="0" w:color="auto"/>
              <w:bottom w:val="single" w:sz="4" w:space="0" w:color="auto"/>
            </w:tcBorders>
            <w:shd w:val="clear" w:color="auto" w:fill="FFFFFF"/>
            <w:tcMar>
              <w:left w:w="60" w:type="dxa"/>
              <w:right w:w="60" w:type="dxa"/>
            </w:tcMar>
            <w:vAlign w:val="center"/>
          </w:tcPr>
          <w:p w14:paraId="691E857B"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100.2 (</w:t>
            </w:r>
            <w:proofErr w:type="gramStart"/>
            <w:r w:rsidRPr="00E87583">
              <w:rPr>
                <w:color w:val="000000"/>
                <w:sz w:val="18"/>
                <w:szCs w:val="18"/>
              </w:rPr>
              <w:t>99.2 ;</w:t>
            </w:r>
            <w:proofErr w:type="gramEnd"/>
            <w:r w:rsidRPr="00E87583">
              <w:rPr>
                <w:color w:val="000000"/>
                <w:sz w:val="18"/>
                <w:szCs w:val="18"/>
              </w:rPr>
              <w:t xml:space="preserve"> 101.3)</w:t>
            </w:r>
          </w:p>
        </w:tc>
        <w:tc>
          <w:tcPr>
            <w:tcW w:w="0" w:type="auto"/>
            <w:tcBorders>
              <w:top w:val="dotted" w:sz="4" w:space="0" w:color="auto"/>
              <w:bottom w:val="single" w:sz="4" w:space="0" w:color="auto"/>
            </w:tcBorders>
            <w:shd w:val="clear" w:color="auto" w:fill="FFFFFF"/>
            <w:tcMar>
              <w:left w:w="60" w:type="dxa"/>
              <w:right w:w="60" w:type="dxa"/>
            </w:tcMar>
            <w:vAlign w:val="center"/>
          </w:tcPr>
          <w:p w14:paraId="52F3BE63"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97.9 (</w:t>
            </w:r>
            <w:proofErr w:type="gramStart"/>
            <w:r w:rsidRPr="00E87583">
              <w:rPr>
                <w:color w:val="000000"/>
                <w:sz w:val="18"/>
                <w:szCs w:val="18"/>
              </w:rPr>
              <w:t>97.2 ;</w:t>
            </w:r>
            <w:proofErr w:type="gramEnd"/>
            <w:r w:rsidRPr="00E87583">
              <w:rPr>
                <w:color w:val="000000"/>
                <w:sz w:val="18"/>
                <w:szCs w:val="18"/>
              </w:rPr>
              <w:t xml:space="preserve"> 98.7)</w:t>
            </w:r>
          </w:p>
        </w:tc>
        <w:tc>
          <w:tcPr>
            <w:tcW w:w="0" w:type="auto"/>
            <w:tcBorders>
              <w:top w:val="dotted" w:sz="4" w:space="0" w:color="auto"/>
              <w:bottom w:val="single" w:sz="4" w:space="0" w:color="auto"/>
            </w:tcBorders>
            <w:shd w:val="clear" w:color="auto" w:fill="FFFFFF"/>
            <w:tcMar>
              <w:left w:w="60" w:type="dxa"/>
              <w:right w:w="60" w:type="dxa"/>
            </w:tcMar>
            <w:vAlign w:val="center"/>
          </w:tcPr>
          <w:p w14:paraId="6BDBBBB9"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97.5 (</w:t>
            </w:r>
            <w:proofErr w:type="gramStart"/>
            <w:r w:rsidRPr="00E87583">
              <w:rPr>
                <w:color w:val="000000"/>
                <w:sz w:val="18"/>
                <w:szCs w:val="18"/>
              </w:rPr>
              <w:t>93.7 ;</w:t>
            </w:r>
            <w:proofErr w:type="gramEnd"/>
            <w:r w:rsidRPr="00E87583">
              <w:rPr>
                <w:color w:val="000000"/>
                <w:sz w:val="18"/>
                <w:szCs w:val="18"/>
              </w:rPr>
              <w:t xml:space="preserve"> 101.2)</w:t>
            </w:r>
          </w:p>
        </w:tc>
        <w:tc>
          <w:tcPr>
            <w:tcW w:w="0" w:type="auto"/>
            <w:tcBorders>
              <w:top w:val="dotted" w:sz="4" w:space="0" w:color="auto"/>
              <w:bottom w:val="single" w:sz="4" w:space="0" w:color="auto"/>
            </w:tcBorders>
            <w:shd w:val="clear" w:color="auto" w:fill="FFFFFF"/>
            <w:tcMar>
              <w:left w:w="60" w:type="dxa"/>
              <w:right w:w="60" w:type="dxa"/>
            </w:tcMar>
            <w:vAlign w:val="center"/>
          </w:tcPr>
          <w:p w14:paraId="67BD874A"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98.2 (</w:t>
            </w:r>
            <w:proofErr w:type="gramStart"/>
            <w:r w:rsidRPr="00E87583">
              <w:rPr>
                <w:color w:val="000000"/>
                <w:sz w:val="18"/>
                <w:szCs w:val="18"/>
              </w:rPr>
              <w:t>94.6 ;</w:t>
            </w:r>
            <w:proofErr w:type="gramEnd"/>
            <w:r w:rsidRPr="00E87583">
              <w:rPr>
                <w:color w:val="000000"/>
                <w:sz w:val="18"/>
                <w:szCs w:val="18"/>
              </w:rPr>
              <w:t xml:space="preserve"> 101.9)</w:t>
            </w:r>
          </w:p>
        </w:tc>
      </w:tr>
      <w:tr w:rsidR="00576FE1" w:rsidRPr="00E87583" w14:paraId="03A1AE7B" w14:textId="77777777" w:rsidTr="00115CD6">
        <w:trPr>
          <w:cantSplit/>
          <w:jc w:val="center"/>
        </w:trPr>
        <w:tc>
          <w:tcPr>
            <w:tcW w:w="0" w:type="auto"/>
            <w:tcBorders>
              <w:bottom w:val="dotted" w:sz="4" w:space="0" w:color="auto"/>
            </w:tcBorders>
            <w:shd w:val="clear" w:color="auto" w:fill="FFFFFF"/>
            <w:tcMar>
              <w:left w:w="60" w:type="dxa"/>
              <w:right w:w="60" w:type="dxa"/>
            </w:tcMar>
            <w:vAlign w:val="center"/>
          </w:tcPr>
          <w:p w14:paraId="1CDA5884" w14:textId="77777777" w:rsidR="00576FE1" w:rsidRPr="00E87583" w:rsidRDefault="00576FE1" w:rsidP="00115CD6">
            <w:pPr>
              <w:keepNext/>
              <w:adjustRightInd w:val="0"/>
              <w:spacing w:before="60" w:after="60"/>
              <w:rPr>
                <w:color w:val="000000"/>
                <w:sz w:val="18"/>
                <w:szCs w:val="18"/>
                <w:lang w:val="en-GB"/>
              </w:rPr>
            </w:pPr>
            <w:r w:rsidRPr="00E87583">
              <w:rPr>
                <w:color w:val="000000"/>
                <w:sz w:val="18"/>
                <w:szCs w:val="18"/>
                <w:lang w:val="en-GB"/>
              </w:rPr>
              <w:t>N</w:t>
            </w:r>
          </w:p>
        </w:tc>
        <w:tc>
          <w:tcPr>
            <w:tcW w:w="0" w:type="auto"/>
            <w:tcBorders>
              <w:bottom w:val="dotted" w:sz="4" w:space="0" w:color="auto"/>
            </w:tcBorders>
            <w:shd w:val="clear" w:color="auto" w:fill="FFFFFF"/>
            <w:tcMar>
              <w:left w:w="60" w:type="dxa"/>
              <w:right w:w="60" w:type="dxa"/>
            </w:tcMar>
            <w:vAlign w:val="center"/>
          </w:tcPr>
          <w:p w14:paraId="7F827DEA"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10</w:t>
            </w:r>
          </w:p>
        </w:tc>
        <w:tc>
          <w:tcPr>
            <w:tcW w:w="0" w:type="auto"/>
            <w:tcBorders>
              <w:bottom w:val="dotted" w:sz="4" w:space="0" w:color="auto"/>
            </w:tcBorders>
            <w:shd w:val="clear" w:color="auto" w:fill="FFFFFF"/>
            <w:tcMar>
              <w:left w:w="60" w:type="dxa"/>
              <w:right w:w="60" w:type="dxa"/>
            </w:tcMar>
            <w:vAlign w:val="center"/>
          </w:tcPr>
          <w:p w14:paraId="4C258287"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113</w:t>
            </w:r>
          </w:p>
        </w:tc>
        <w:tc>
          <w:tcPr>
            <w:tcW w:w="0" w:type="auto"/>
            <w:tcBorders>
              <w:bottom w:val="dotted" w:sz="4" w:space="0" w:color="auto"/>
            </w:tcBorders>
            <w:shd w:val="clear" w:color="auto" w:fill="FFFFFF"/>
            <w:tcMar>
              <w:left w:w="60" w:type="dxa"/>
              <w:right w:w="60" w:type="dxa"/>
            </w:tcMar>
            <w:vAlign w:val="center"/>
          </w:tcPr>
          <w:p w14:paraId="560D4D15"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46</w:t>
            </w:r>
          </w:p>
        </w:tc>
        <w:tc>
          <w:tcPr>
            <w:tcW w:w="0" w:type="auto"/>
            <w:tcBorders>
              <w:bottom w:val="dotted" w:sz="4" w:space="0" w:color="auto"/>
            </w:tcBorders>
            <w:shd w:val="clear" w:color="auto" w:fill="FFFFFF"/>
            <w:tcMar>
              <w:left w:w="60" w:type="dxa"/>
              <w:right w:w="60" w:type="dxa"/>
            </w:tcMar>
            <w:vAlign w:val="center"/>
          </w:tcPr>
          <w:p w14:paraId="575308E0"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1</w:t>
            </w:r>
          </w:p>
        </w:tc>
        <w:tc>
          <w:tcPr>
            <w:tcW w:w="0" w:type="auto"/>
            <w:tcBorders>
              <w:bottom w:val="dotted" w:sz="4" w:space="0" w:color="auto"/>
            </w:tcBorders>
            <w:shd w:val="clear" w:color="auto" w:fill="FFFFFF"/>
            <w:tcMar>
              <w:left w:w="60" w:type="dxa"/>
              <w:right w:w="60" w:type="dxa"/>
            </w:tcMar>
            <w:vAlign w:val="center"/>
          </w:tcPr>
          <w:p w14:paraId="278868F2"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52</w:t>
            </w:r>
          </w:p>
        </w:tc>
        <w:tc>
          <w:tcPr>
            <w:tcW w:w="0" w:type="auto"/>
            <w:tcBorders>
              <w:bottom w:val="dotted" w:sz="4" w:space="0" w:color="auto"/>
            </w:tcBorders>
            <w:shd w:val="clear" w:color="auto" w:fill="FFFFFF"/>
            <w:tcMar>
              <w:left w:w="60" w:type="dxa"/>
              <w:right w:w="60" w:type="dxa"/>
            </w:tcMar>
            <w:vAlign w:val="center"/>
          </w:tcPr>
          <w:p w14:paraId="372ED126"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12</w:t>
            </w:r>
          </w:p>
        </w:tc>
        <w:tc>
          <w:tcPr>
            <w:tcW w:w="0" w:type="auto"/>
            <w:tcBorders>
              <w:bottom w:val="dotted" w:sz="4" w:space="0" w:color="auto"/>
            </w:tcBorders>
            <w:shd w:val="clear" w:color="auto" w:fill="FFFFFF"/>
            <w:tcMar>
              <w:left w:w="60" w:type="dxa"/>
              <w:right w:w="60" w:type="dxa"/>
            </w:tcMar>
            <w:vAlign w:val="center"/>
          </w:tcPr>
          <w:p w14:paraId="1A1A725A"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8</w:t>
            </w:r>
          </w:p>
        </w:tc>
      </w:tr>
      <w:tr w:rsidR="00576FE1" w:rsidRPr="00E87583" w14:paraId="6BD9FD35" w14:textId="77777777" w:rsidTr="00115CD6">
        <w:trPr>
          <w:cantSplit/>
          <w:trHeight w:val="623"/>
          <w:jc w:val="center"/>
        </w:trPr>
        <w:tc>
          <w:tcPr>
            <w:tcW w:w="0" w:type="auto"/>
            <w:tcBorders>
              <w:top w:val="dotted" w:sz="4" w:space="0" w:color="auto"/>
            </w:tcBorders>
            <w:shd w:val="clear" w:color="auto" w:fill="FFFFFF"/>
            <w:tcMar>
              <w:left w:w="60" w:type="dxa"/>
              <w:right w:w="60" w:type="dxa"/>
            </w:tcMar>
            <w:vAlign w:val="center"/>
          </w:tcPr>
          <w:p w14:paraId="6CAF589B" w14:textId="77777777" w:rsidR="00576FE1" w:rsidRPr="00E87583" w:rsidRDefault="00576FE1" w:rsidP="00115CD6">
            <w:pPr>
              <w:keepNext/>
              <w:adjustRightInd w:val="0"/>
              <w:spacing w:before="60" w:after="60"/>
              <w:rPr>
                <w:color w:val="000000"/>
                <w:sz w:val="18"/>
                <w:szCs w:val="18"/>
                <w:lang w:val="en-GB"/>
              </w:rPr>
            </w:pPr>
            <w:r w:rsidRPr="00E87583">
              <w:rPr>
                <w:color w:val="000000"/>
                <w:sz w:val="18"/>
                <w:szCs w:val="18"/>
                <w:lang w:val="en-GB"/>
              </w:rPr>
              <w:t>Mean</w:t>
            </w:r>
            <w:r w:rsidRPr="00E87583">
              <w:rPr>
                <w:b/>
                <w:color w:val="000000"/>
                <w:sz w:val="18"/>
                <w:szCs w:val="18"/>
                <w:lang w:val="en-GB"/>
              </w:rPr>
              <w:t xml:space="preserve"> Letrozole</w:t>
            </w:r>
            <w:r w:rsidRPr="00E87583">
              <w:rPr>
                <w:color w:val="000000"/>
                <w:sz w:val="18"/>
                <w:szCs w:val="18"/>
                <w:lang w:val="en-GB"/>
              </w:rPr>
              <w:t xml:space="preserve"> RDI </w:t>
            </w:r>
          </w:p>
        </w:tc>
        <w:tc>
          <w:tcPr>
            <w:tcW w:w="0" w:type="auto"/>
            <w:tcBorders>
              <w:top w:val="dotted" w:sz="4" w:space="0" w:color="auto"/>
            </w:tcBorders>
            <w:shd w:val="clear" w:color="auto" w:fill="FFFFFF"/>
            <w:tcMar>
              <w:left w:w="60" w:type="dxa"/>
              <w:right w:w="60" w:type="dxa"/>
            </w:tcMar>
            <w:vAlign w:val="center"/>
          </w:tcPr>
          <w:p w14:paraId="1DE72DCB"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97.0 (</w:t>
            </w:r>
            <w:proofErr w:type="gramStart"/>
            <w:r w:rsidRPr="00E87583">
              <w:rPr>
                <w:color w:val="000000"/>
                <w:sz w:val="18"/>
                <w:szCs w:val="18"/>
              </w:rPr>
              <w:t>93.8 ;</w:t>
            </w:r>
            <w:proofErr w:type="gramEnd"/>
            <w:r w:rsidRPr="00E87583">
              <w:rPr>
                <w:color w:val="000000"/>
                <w:sz w:val="18"/>
                <w:szCs w:val="18"/>
              </w:rPr>
              <w:t xml:space="preserve"> 100.1)</w:t>
            </w:r>
          </w:p>
        </w:tc>
        <w:tc>
          <w:tcPr>
            <w:tcW w:w="0" w:type="auto"/>
            <w:tcBorders>
              <w:top w:val="dotted" w:sz="4" w:space="0" w:color="auto"/>
            </w:tcBorders>
            <w:shd w:val="clear" w:color="auto" w:fill="FFFFFF"/>
            <w:tcMar>
              <w:left w:w="60" w:type="dxa"/>
              <w:right w:w="60" w:type="dxa"/>
            </w:tcMar>
            <w:vAlign w:val="center"/>
          </w:tcPr>
          <w:p w14:paraId="48D48569"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97.7 (</w:t>
            </w:r>
            <w:proofErr w:type="gramStart"/>
            <w:r w:rsidRPr="00E87583">
              <w:rPr>
                <w:color w:val="000000"/>
                <w:sz w:val="18"/>
                <w:szCs w:val="18"/>
              </w:rPr>
              <w:t>97.0 ;</w:t>
            </w:r>
            <w:proofErr w:type="gramEnd"/>
            <w:r w:rsidRPr="00E87583">
              <w:rPr>
                <w:color w:val="000000"/>
                <w:sz w:val="18"/>
                <w:szCs w:val="18"/>
              </w:rPr>
              <w:t xml:space="preserve"> 98.5)</w:t>
            </w:r>
          </w:p>
        </w:tc>
        <w:tc>
          <w:tcPr>
            <w:tcW w:w="0" w:type="auto"/>
            <w:tcBorders>
              <w:top w:val="dotted" w:sz="4" w:space="0" w:color="auto"/>
            </w:tcBorders>
            <w:shd w:val="clear" w:color="auto" w:fill="FFFFFF"/>
            <w:tcMar>
              <w:left w:w="60" w:type="dxa"/>
              <w:right w:w="60" w:type="dxa"/>
            </w:tcMar>
            <w:vAlign w:val="center"/>
          </w:tcPr>
          <w:p w14:paraId="1C0EDD9F"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96.4 (</w:t>
            </w:r>
            <w:proofErr w:type="gramStart"/>
            <w:r w:rsidRPr="00E87583">
              <w:rPr>
                <w:color w:val="000000"/>
                <w:sz w:val="18"/>
                <w:szCs w:val="18"/>
              </w:rPr>
              <w:t>93.1 ;</w:t>
            </w:r>
            <w:proofErr w:type="gramEnd"/>
            <w:r w:rsidRPr="00E87583">
              <w:rPr>
                <w:color w:val="000000"/>
                <w:sz w:val="18"/>
                <w:szCs w:val="18"/>
              </w:rPr>
              <w:t xml:space="preserve"> 99.7)</w:t>
            </w:r>
          </w:p>
        </w:tc>
        <w:tc>
          <w:tcPr>
            <w:tcW w:w="0" w:type="auto"/>
            <w:tcBorders>
              <w:top w:val="dotted" w:sz="4" w:space="0" w:color="auto"/>
            </w:tcBorders>
            <w:shd w:val="clear" w:color="auto" w:fill="FFFFFF"/>
            <w:tcMar>
              <w:left w:w="60" w:type="dxa"/>
              <w:right w:w="60" w:type="dxa"/>
            </w:tcMar>
            <w:vAlign w:val="center"/>
          </w:tcPr>
          <w:p w14:paraId="0158D363"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92.3 (</w:t>
            </w:r>
            <w:proofErr w:type="gramStart"/>
            <w:r w:rsidRPr="00E87583">
              <w:rPr>
                <w:color w:val="000000"/>
                <w:sz w:val="18"/>
                <w:szCs w:val="18"/>
              </w:rPr>
              <w:t>. ;</w:t>
            </w:r>
            <w:proofErr w:type="gramEnd"/>
            <w:r w:rsidRPr="00E87583">
              <w:rPr>
                <w:color w:val="000000"/>
                <w:sz w:val="18"/>
                <w:szCs w:val="18"/>
              </w:rPr>
              <w:t xml:space="preserve"> .)</w:t>
            </w:r>
          </w:p>
        </w:tc>
        <w:tc>
          <w:tcPr>
            <w:tcW w:w="0" w:type="auto"/>
            <w:tcBorders>
              <w:top w:val="dotted" w:sz="4" w:space="0" w:color="auto"/>
            </w:tcBorders>
            <w:shd w:val="clear" w:color="auto" w:fill="FFFFFF"/>
            <w:tcMar>
              <w:left w:w="60" w:type="dxa"/>
              <w:right w:w="60" w:type="dxa"/>
            </w:tcMar>
            <w:vAlign w:val="center"/>
          </w:tcPr>
          <w:p w14:paraId="47B24066"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97.8 (</w:t>
            </w:r>
            <w:proofErr w:type="gramStart"/>
            <w:r w:rsidRPr="00E87583">
              <w:rPr>
                <w:color w:val="000000"/>
                <w:sz w:val="18"/>
                <w:szCs w:val="18"/>
              </w:rPr>
              <w:t>96.8 ;</w:t>
            </w:r>
            <w:proofErr w:type="gramEnd"/>
            <w:r w:rsidRPr="00E87583">
              <w:rPr>
                <w:color w:val="000000"/>
                <w:sz w:val="18"/>
                <w:szCs w:val="18"/>
              </w:rPr>
              <w:t xml:space="preserve"> 98.7)</w:t>
            </w:r>
          </w:p>
        </w:tc>
        <w:tc>
          <w:tcPr>
            <w:tcW w:w="0" w:type="auto"/>
            <w:tcBorders>
              <w:top w:val="dotted" w:sz="4" w:space="0" w:color="auto"/>
            </w:tcBorders>
            <w:shd w:val="clear" w:color="auto" w:fill="FFFFFF"/>
            <w:tcMar>
              <w:left w:w="60" w:type="dxa"/>
              <w:right w:w="60" w:type="dxa"/>
            </w:tcMar>
            <w:vAlign w:val="center"/>
          </w:tcPr>
          <w:p w14:paraId="1C5D752E"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96.2 (</w:t>
            </w:r>
            <w:proofErr w:type="gramStart"/>
            <w:r w:rsidRPr="00E87583">
              <w:rPr>
                <w:color w:val="000000"/>
                <w:sz w:val="18"/>
                <w:szCs w:val="18"/>
              </w:rPr>
              <w:t>92.3 ;</w:t>
            </w:r>
            <w:proofErr w:type="gramEnd"/>
            <w:r w:rsidRPr="00E87583">
              <w:rPr>
                <w:color w:val="000000"/>
                <w:sz w:val="18"/>
                <w:szCs w:val="18"/>
              </w:rPr>
              <w:t xml:space="preserve"> 100.0)</w:t>
            </w:r>
          </w:p>
        </w:tc>
        <w:tc>
          <w:tcPr>
            <w:tcW w:w="0" w:type="auto"/>
            <w:tcBorders>
              <w:top w:val="dotted" w:sz="4" w:space="0" w:color="auto"/>
            </w:tcBorders>
            <w:shd w:val="clear" w:color="auto" w:fill="FFFFFF"/>
            <w:tcMar>
              <w:left w:w="60" w:type="dxa"/>
              <w:right w:w="60" w:type="dxa"/>
            </w:tcMar>
            <w:vAlign w:val="center"/>
          </w:tcPr>
          <w:p w14:paraId="486528C6" w14:textId="77777777" w:rsidR="00576FE1" w:rsidRPr="00E87583" w:rsidRDefault="00576FE1" w:rsidP="00115CD6">
            <w:pPr>
              <w:keepNext/>
              <w:adjustRightInd w:val="0"/>
              <w:spacing w:before="60" w:after="60"/>
              <w:jc w:val="center"/>
              <w:rPr>
                <w:color w:val="000000"/>
                <w:sz w:val="18"/>
                <w:szCs w:val="18"/>
              </w:rPr>
            </w:pPr>
            <w:r w:rsidRPr="00E87583">
              <w:rPr>
                <w:color w:val="000000"/>
                <w:sz w:val="18"/>
                <w:szCs w:val="18"/>
              </w:rPr>
              <w:t>81.5 (</w:t>
            </w:r>
            <w:proofErr w:type="gramStart"/>
            <w:r w:rsidRPr="00E87583">
              <w:rPr>
                <w:color w:val="000000"/>
                <w:sz w:val="18"/>
                <w:szCs w:val="18"/>
              </w:rPr>
              <w:t>63.8 ;</w:t>
            </w:r>
            <w:proofErr w:type="gramEnd"/>
            <w:r w:rsidRPr="00E87583">
              <w:rPr>
                <w:color w:val="000000"/>
                <w:sz w:val="18"/>
                <w:szCs w:val="18"/>
              </w:rPr>
              <w:t xml:space="preserve"> 99.1)</w:t>
            </w:r>
          </w:p>
        </w:tc>
      </w:tr>
    </w:tbl>
    <w:p w14:paraId="52615F8C" w14:textId="77777777" w:rsidR="00764782" w:rsidRDefault="00576FE1" w:rsidP="00800E62">
      <w:pPr>
        <w:spacing w:after="0" w:line="240" w:lineRule="auto"/>
        <w:ind w:firstLine="709"/>
        <w:rPr>
          <w:i/>
          <w:sz w:val="18"/>
          <w:szCs w:val="18"/>
        </w:rPr>
      </w:pPr>
      <w:r w:rsidRPr="00CB5252">
        <w:rPr>
          <w:i/>
          <w:sz w:val="18"/>
          <w:szCs w:val="18"/>
        </w:rPr>
        <w:t xml:space="preserve">Data are RDI (95% CI). </w:t>
      </w:r>
    </w:p>
    <w:p w14:paraId="01D9EE76" w14:textId="5F3B954E" w:rsidR="00764782" w:rsidRDefault="00576FE1" w:rsidP="00800E62">
      <w:pPr>
        <w:spacing w:after="0" w:line="240" w:lineRule="auto"/>
        <w:ind w:firstLine="709"/>
        <w:rPr>
          <w:i/>
          <w:sz w:val="18"/>
          <w:szCs w:val="18"/>
        </w:rPr>
      </w:pPr>
      <w:r w:rsidRPr="00CB5252">
        <w:rPr>
          <w:i/>
          <w:sz w:val="18"/>
          <w:szCs w:val="18"/>
        </w:rPr>
        <w:t>RDI: relative dose intensity. CR: complete response. PR: partial response. SD: stable disease. PD: disease progression. NE: not evaluable</w:t>
      </w:r>
      <w:r w:rsidRPr="0011227C">
        <w:rPr>
          <w:i/>
          <w:sz w:val="18"/>
          <w:szCs w:val="18"/>
        </w:rPr>
        <w:t xml:space="preserve">.  </w:t>
      </w:r>
    </w:p>
    <w:p w14:paraId="24D3CCD2" w14:textId="33C403FE" w:rsidR="00576FE1" w:rsidRPr="00CB5252" w:rsidRDefault="00576FE1" w:rsidP="00800E62">
      <w:pPr>
        <w:spacing w:after="0" w:line="240" w:lineRule="auto"/>
        <w:ind w:firstLine="709"/>
        <w:rPr>
          <w:i/>
          <w:sz w:val="18"/>
          <w:szCs w:val="18"/>
        </w:rPr>
        <w:sectPr w:rsidR="00576FE1" w:rsidRPr="00CB5252" w:rsidSect="00B80F8B">
          <w:pgSz w:w="16838" w:h="11906" w:orient="landscape"/>
          <w:pgMar w:top="1701" w:right="1418" w:bottom="1701" w:left="1134" w:header="709" w:footer="709" w:gutter="0"/>
          <w:cols w:space="708"/>
          <w:docGrid w:linePitch="360"/>
        </w:sectPr>
      </w:pPr>
      <w:r w:rsidRPr="0011227C">
        <w:rPr>
          <w:i/>
          <w:sz w:val="18"/>
          <w:szCs w:val="18"/>
          <w:lang w:val="en-GB"/>
        </w:rPr>
        <w:t>(</w:t>
      </w:r>
      <w:r w:rsidRPr="0011227C">
        <w:rPr>
          <w:i/>
          <w:sz w:val="18"/>
          <w:szCs w:val="18"/>
          <w:u w:val="single"/>
          <w:lang w:val="en-GB"/>
        </w:rPr>
        <w:t>Cross reference</w:t>
      </w:r>
      <w:r w:rsidRPr="0011227C">
        <w:rPr>
          <w:i/>
          <w:sz w:val="18"/>
          <w:szCs w:val="18"/>
          <w:lang w:val="en-GB"/>
        </w:rPr>
        <w:t xml:space="preserve">: </w:t>
      </w:r>
      <w:r>
        <w:rPr>
          <w:i/>
          <w:sz w:val="18"/>
          <w:szCs w:val="18"/>
          <w:lang w:val="en-GB"/>
        </w:rPr>
        <w:t>Table 152</w:t>
      </w:r>
      <w:r w:rsidRPr="0011227C">
        <w:rPr>
          <w:i/>
          <w:sz w:val="18"/>
          <w:szCs w:val="18"/>
          <w:lang w:val="en-GB"/>
        </w:rPr>
        <w:t xml:space="preserve"> of Final Analysis Statistical Report dated </w:t>
      </w:r>
      <w:r w:rsidR="001B1571">
        <w:rPr>
          <w:i/>
          <w:sz w:val="18"/>
          <w:szCs w:val="18"/>
          <w:lang w:val="en-GB"/>
        </w:rPr>
        <w:t>4</w:t>
      </w:r>
      <w:r w:rsidR="001B1571" w:rsidRPr="001B1571">
        <w:rPr>
          <w:i/>
          <w:sz w:val="18"/>
          <w:szCs w:val="18"/>
          <w:vertAlign w:val="superscript"/>
          <w:lang w:val="en-GB"/>
        </w:rPr>
        <w:t>th</w:t>
      </w:r>
      <w:r w:rsidR="001B1571">
        <w:rPr>
          <w:i/>
          <w:sz w:val="18"/>
          <w:szCs w:val="18"/>
          <w:lang w:val="en-GB"/>
        </w:rPr>
        <w:t xml:space="preserve"> September</w:t>
      </w:r>
      <w:r w:rsidRPr="0011227C">
        <w:rPr>
          <w:i/>
          <w:sz w:val="18"/>
          <w:szCs w:val="18"/>
          <w:lang w:val="en-GB"/>
        </w:rPr>
        <w:t xml:space="preserve"> 2020).</w:t>
      </w:r>
    </w:p>
    <w:p w14:paraId="7236353A" w14:textId="5E5E2CAC" w:rsidR="00576FE1" w:rsidRDefault="00576FE1" w:rsidP="00800E62">
      <w:pPr>
        <w:pStyle w:val="Descripcin"/>
        <w:keepNext/>
        <w:ind w:left="-426"/>
        <w:outlineLvl w:val="0"/>
      </w:pPr>
      <w:bookmarkStart w:id="665" w:name="_Ref52426665"/>
      <w:bookmarkStart w:id="666" w:name="_Toc52046487"/>
      <w:bookmarkStart w:id="667" w:name="_Toc52446213"/>
      <w:bookmarkStart w:id="668" w:name="_Toc52468170"/>
      <w:r>
        <w:lastRenderedPageBreak/>
        <w:t xml:space="preserve">Table </w:t>
      </w:r>
      <w:r>
        <w:fldChar w:fldCharType="begin"/>
      </w:r>
      <w:r>
        <w:instrText xml:space="preserve"> SEQ Table \* ARABIC </w:instrText>
      </w:r>
      <w:r>
        <w:fldChar w:fldCharType="separate"/>
      </w:r>
      <w:r w:rsidR="002221CF">
        <w:rPr>
          <w:noProof/>
        </w:rPr>
        <w:t>12</w:t>
      </w:r>
      <w:r>
        <w:fldChar w:fldCharType="end"/>
      </w:r>
      <w:bookmarkEnd w:id="665"/>
      <w:r>
        <w:t xml:space="preserve">. </w:t>
      </w:r>
      <w:r w:rsidRPr="00C43B65">
        <w:t>Overview of Adverse Events and Treatment Emergent Adverse Events in the Safety population.</w:t>
      </w:r>
      <w:bookmarkEnd w:id="666"/>
      <w:bookmarkEnd w:id="667"/>
      <w:bookmarkEnd w:id="668"/>
    </w:p>
    <w:tbl>
      <w:tblPr>
        <w:tblW w:w="9290" w:type="dxa"/>
        <w:jc w:val="center"/>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2977"/>
        <w:gridCol w:w="2126"/>
        <w:gridCol w:w="2233"/>
        <w:gridCol w:w="1954"/>
      </w:tblGrid>
      <w:tr w:rsidR="00576FE1" w:rsidRPr="002F5B5C" w14:paraId="2252A351" w14:textId="77777777" w:rsidTr="00115CD6">
        <w:trPr>
          <w:cantSplit/>
          <w:trHeight w:val="887"/>
          <w:tblHeader/>
          <w:jc w:val="center"/>
        </w:trPr>
        <w:tc>
          <w:tcPr>
            <w:tcW w:w="2977" w:type="dxa"/>
            <w:tcBorders>
              <w:top w:val="single" w:sz="4" w:space="0" w:color="auto"/>
              <w:bottom w:val="single" w:sz="4" w:space="0" w:color="auto"/>
            </w:tcBorders>
            <w:shd w:val="clear" w:color="auto" w:fill="FFFFFF"/>
            <w:tcMar>
              <w:left w:w="60" w:type="dxa"/>
              <w:right w:w="60" w:type="dxa"/>
            </w:tcMar>
            <w:vAlign w:val="center"/>
          </w:tcPr>
          <w:p w14:paraId="24A4D880" w14:textId="77777777" w:rsidR="00576FE1" w:rsidRPr="002F5B5C" w:rsidRDefault="00576FE1" w:rsidP="00115CD6">
            <w:pPr>
              <w:adjustRightInd w:val="0"/>
              <w:spacing w:before="60" w:after="60"/>
              <w:rPr>
                <w:b/>
                <w:bCs/>
                <w:color w:val="000000"/>
                <w:sz w:val="18"/>
                <w:szCs w:val="18"/>
              </w:rPr>
            </w:pPr>
            <w:r w:rsidRPr="002F5B5C">
              <w:rPr>
                <w:b/>
                <w:bCs/>
                <w:color w:val="000000"/>
                <w:sz w:val="18"/>
                <w:szCs w:val="18"/>
              </w:rPr>
              <w:t>Treatment administered</w:t>
            </w:r>
          </w:p>
        </w:tc>
        <w:tc>
          <w:tcPr>
            <w:tcW w:w="2126" w:type="dxa"/>
            <w:tcBorders>
              <w:top w:val="single" w:sz="4" w:space="0" w:color="auto"/>
              <w:bottom w:val="single" w:sz="4" w:space="0" w:color="auto"/>
            </w:tcBorders>
            <w:shd w:val="clear" w:color="auto" w:fill="FFFFFF"/>
            <w:tcMar>
              <w:left w:w="60" w:type="dxa"/>
              <w:right w:w="60" w:type="dxa"/>
            </w:tcMar>
            <w:vAlign w:val="center"/>
          </w:tcPr>
          <w:p w14:paraId="631265AA" w14:textId="77777777" w:rsidR="00576FE1" w:rsidRPr="002F5B5C" w:rsidRDefault="00576FE1" w:rsidP="00115CD6">
            <w:pPr>
              <w:keepNext/>
              <w:adjustRightInd w:val="0"/>
              <w:spacing w:before="60" w:after="60"/>
              <w:jc w:val="center"/>
              <w:rPr>
                <w:b/>
                <w:bCs/>
                <w:color w:val="000000"/>
                <w:sz w:val="18"/>
                <w:szCs w:val="18"/>
              </w:rPr>
            </w:pPr>
            <w:r w:rsidRPr="002F5B5C">
              <w:rPr>
                <w:b/>
                <w:bCs/>
                <w:color w:val="000000"/>
                <w:sz w:val="18"/>
                <w:szCs w:val="18"/>
              </w:rPr>
              <w:t>Palbociclib-</w:t>
            </w:r>
          </w:p>
          <w:p w14:paraId="53D30951" w14:textId="77777777" w:rsidR="00576FE1" w:rsidRPr="002F5B5C" w:rsidRDefault="00576FE1" w:rsidP="00115CD6">
            <w:pPr>
              <w:keepNext/>
              <w:adjustRightInd w:val="0"/>
              <w:spacing w:before="60" w:after="60"/>
              <w:jc w:val="center"/>
              <w:rPr>
                <w:b/>
                <w:bCs/>
                <w:color w:val="000000"/>
                <w:sz w:val="18"/>
                <w:szCs w:val="18"/>
              </w:rPr>
            </w:pPr>
            <w:proofErr w:type="spellStart"/>
            <w:r w:rsidRPr="002F5B5C">
              <w:rPr>
                <w:b/>
                <w:bCs/>
                <w:color w:val="000000"/>
                <w:sz w:val="18"/>
                <w:szCs w:val="18"/>
              </w:rPr>
              <w:t>Fulvestrant</w:t>
            </w:r>
            <w:proofErr w:type="spellEnd"/>
          </w:p>
          <w:p w14:paraId="62194B1B" w14:textId="77777777" w:rsidR="00576FE1" w:rsidRPr="002F5B5C" w:rsidRDefault="00576FE1" w:rsidP="00115CD6">
            <w:pPr>
              <w:keepNext/>
              <w:adjustRightInd w:val="0"/>
              <w:spacing w:before="60" w:after="60"/>
              <w:jc w:val="center"/>
              <w:rPr>
                <w:b/>
                <w:bCs/>
                <w:color w:val="000000"/>
                <w:sz w:val="18"/>
                <w:szCs w:val="18"/>
              </w:rPr>
            </w:pPr>
            <w:r w:rsidRPr="002F5B5C">
              <w:rPr>
                <w:b/>
                <w:bCs/>
                <w:color w:val="000000"/>
                <w:sz w:val="18"/>
                <w:szCs w:val="18"/>
              </w:rPr>
              <w:t>(N = 241)</w:t>
            </w:r>
          </w:p>
        </w:tc>
        <w:tc>
          <w:tcPr>
            <w:tcW w:w="2233" w:type="dxa"/>
            <w:tcBorders>
              <w:top w:val="single" w:sz="4" w:space="0" w:color="auto"/>
              <w:bottom w:val="single" w:sz="4" w:space="0" w:color="auto"/>
            </w:tcBorders>
            <w:shd w:val="clear" w:color="auto" w:fill="FFFFFF"/>
            <w:tcMar>
              <w:left w:w="60" w:type="dxa"/>
              <w:right w:w="60" w:type="dxa"/>
            </w:tcMar>
            <w:vAlign w:val="center"/>
          </w:tcPr>
          <w:p w14:paraId="7F632D1C" w14:textId="77777777" w:rsidR="00576FE1" w:rsidRPr="002F5B5C" w:rsidRDefault="00576FE1" w:rsidP="00115CD6">
            <w:pPr>
              <w:keepNext/>
              <w:adjustRightInd w:val="0"/>
              <w:spacing w:before="60" w:after="60"/>
              <w:jc w:val="center"/>
              <w:rPr>
                <w:b/>
                <w:bCs/>
                <w:color w:val="000000"/>
                <w:sz w:val="18"/>
                <w:szCs w:val="18"/>
              </w:rPr>
            </w:pPr>
            <w:r w:rsidRPr="002F5B5C">
              <w:rPr>
                <w:b/>
                <w:bCs/>
                <w:color w:val="000000"/>
                <w:sz w:val="18"/>
                <w:szCs w:val="18"/>
              </w:rPr>
              <w:t>Palbociclib-</w:t>
            </w:r>
          </w:p>
          <w:p w14:paraId="1AC6975E" w14:textId="77777777" w:rsidR="00576FE1" w:rsidRPr="002F5B5C" w:rsidRDefault="00576FE1" w:rsidP="00115CD6">
            <w:pPr>
              <w:keepNext/>
              <w:adjustRightInd w:val="0"/>
              <w:spacing w:before="60" w:after="60"/>
              <w:jc w:val="center"/>
              <w:rPr>
                <w:b/>
                <w:bCs/>
                <w:color w:val="000000"/>
                <w:sz w:val="18"/>
                <w:szCs w:val="18"/>
              </w:rPr>
            </w:pPr>
            <w:r w:rsidRPr="002F5B5C">
              <w:rPr>
                <w:b/>
                <w:bCs/>
                <w:color w:val="000000"/>
                <w:sz w:val="18"/>
                <w:szCs w:val="18"/>
              </w:rPr>
              <w:t>Letrozole</w:t>
            </w:r>
          </w:p>
          <w:p w14:paraId="4FA99EEE" w14:textId="77777777" w:rsidR="00576FE1" w:rsidRPr="002F5B5C" w:rsidRDefault="00576FE1" w:rsidP="00115CD6">
            <w:pPr>
              <w:keepNext/>
              <w:adjustRightInd w:val="0"/>
              <w:spacing w:before="60" w:after="60"/>
              <w:jc w:val="center"/>
              <w:rPr>
                <w:b/>
                <w:bCs/>
                <w:color w:val="000000"/>
                <w:sz w:val="18"/>
                <w:szCs w:val="18"/>
              </w:rPr>
            </w:pPr>
            <w:r w:rsidRPr="002F5B5C">
              <w:rPr>
                <w:b/>
                <w:bCs/>
                <w:color w:val="000000"/>
                <w:sz w:val="18"/>
                <w:szCs w:val="18"/>
              </w:rPr>
              <w:t>(N = 242)</w:t>
            </w:r>
          </w:p>
        </w:tc>
        <w:tc>
          <w:tcPr>
            <w:tcW w:w="0" w:type="auto"/>
            <w:tcBorders>
              <w:top w:val="single" w:sz="4" w:space="0" w:color="auto"/>
              <w:bottom w:val="single" w:sz="4" w:space="0" w:color="auto"/>
            </w:tcBorders>
            <w:shd w:val="clear" w:color="auto" w:fill="FFFFFF"/>
            <w:tcMar>
              <w:left w:w="60" w:type="dxa"/>
              <w:right w:w="60" w:type="dxa"/>
            </w:tcMar>
            <w:vAlign w:val="center"/>
          </w:tcPr>
          <w:p w14:paraId="3942E9A0" w14:textId="77777777" w:rsidR="00576FE1" w:rsidRPr="002F5B5C" w:rsidRDefault="00576FE1" w:rsidP="00115CD6">
            <w:pPr>
              <w:keepNext/>
              <w:adjustRightInd w:val="0"/>
              <w:spacing w:before="60" w:after="60"/>
              <w:jc w:val="center"/>
              <w:rPr>
                <w:b/>
                <w:bCs/>
                <w:color w:val="000000"/>
                <w:sz w:val="18"/>
                <w:szCs w:val="18"/>
              </w:rPr>
            </w:pPr>
            <w:r w:rsidRPr="002F5B5C">
              <w:rPr>
                <w:b/>
                <w:bCs/>
                <w:color w:val="000000"/>
                <w:sz w:val="18"/>
                <w:szCs w:val="18"/>
              </w:rPr>
              <w:t>Overall</w:t>
            </w:r>
          </w:p>
          <w:p w14:paraId="57097ECF" w14:textId="77777777" w:rsidR="00576FE1" w:rsidRPr="002F5B5C" w:rsidRDefault="00576FE1" w:rsidP="00115CD6">
            <w:pPr>
              <w:keepNext/>
              <w:adjustRightInd w:val="0"/>
              <w:spacing w:before="60" w:after="60"/>
              <w:jc w:val="center"/>
              <w:rPr>
                <w:b/>
                <w:bCs/>
                <w:color w:val="000000"/>
                <w:sz w:val="18"/>
                <w:szCs w:val="18"/>
              </w:rPr>
            </w:pPr>
            <w:r w:rsidRPr="002F5B5C">
              <w:rPr>
                <w:b/>
                <w:bCs/>
                <w:color w:val="000000"/>
                <w:sz w:val="18"/>
                <w:szCs w:val="18"/>
              </w:rPr>
              <w:t>(N = 483)</w:t>
            </w:r>
          </w:p>
        </w:tc>
      </w:tr>
      <w:tr w:rsidR="00576FE1" w:rsidRPr="002F5B5C" w14:paraId="25665A5E" w14:textId="77777777" w:rsidTr="00115CD6">
        <w:trPr>
          <w:cantSplit/>
          <w:trHeight w:val="613"/>
          <w:jc w:val="center"/>
        </w:trPr>
        <w:tc>
          <w:tcPr>
            <w:tcW w:w="2977" w:type="dxa"/>
            <w:tcBorders>
              <w:top w:val="single" w:sz="4" w:space="0" w:color="auto"/>
            </w:tcBorders>
            <w:shd w:val="clear" w:color="auto" w:fill="FFFFFF"/>
            <w:tcMar>
              <w:left w:w="60" w:type="dxa"/>
              <w:right w:w="60" w:type="dxa"/>
            </w:tcMar>
            <w:vAlign w:val="center"/>
          </w:tcPr>
          <w:p w14:paraId="57502547" w14:textId="77777777" w:rsidR="00576FE1" w:rsidRPr="002F5B5C" w:rsidRDefault="00576FE1" w:rsidP="00115CD6">
            <w:pPr>
              <w:keepNext/>
              <w:adjustRightInd w:val="0"/>
              <w:spacing w:before="60" w:after="60"/>
              <w:rPr>
                <w:color w:val="000000"/>
                <w:sz w:val="18"/>
                <w:szCs w:val="18"/>
              </w:rPr>
            </w:pPr>
            <w:r>
              <w:rPr>
                <w:color w:val="000000"/>
                <w:sz w:val="18"/>
                <w:szCs w:val="18"/>
              </w:rPr>
              <w:t>AE</w:t>
            </w:r>
          </w:p>
        </w:tc>
        <w:tc>
          <w:tcPr>
            <w:tcW w:w="2126" w:type="dxa"/>
            <w:tcBorders>
              <w:top w:val="single" w:sz="4" w:space="0" w:color="auto"/>
            </w:tcBorders>
            <w:shd w:val="clear" w:color="auto" w:fill="FFFFFF"/>
            <w:tcMar>
              <w:left w:w="60" w:type="dxa"/>
              <w:right w:w="60" w:type="dxa"/>
            </w:tcMar>
            <w:vAlign w:val="center"/>
          </w:tcPr>
          <w:p w14:paraId="38B3003E"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241 (100.0%) </w:t>
            </w:r>
          </w:p>
          <w:p w14:paraId="461D1022" w14:textId="77777777" w:rsidR="00576FE1" w:rsidRPr="002F5B5C" w:rsidRDefault="00576FE1" w:rsidP="00115CD6">
            <w:pPr>
              <w:keepNext/>
              <w:adjustRightInd w:val="0"/>
              <w:spacing w:before="60" w:after="60"/>
              <w:jc w:val="center"/>
              <w:rPr>
                <w:color w:val="000000"/>
                <w:sz w:val="18"/>
                <w:szCs w:val="18"/>
              </w:rPr>
            </w:pPr>
            <w:r w:rsidRPr="002F5B5C">
              <w:rPr>
                <w:color w:val="000000"/>
                <w:sz w:val="18"/>
                <w:szCs w:val="18"/>
              </w:rPr>
              <w:t>[98.5</w:t>
            </w:r>
            <w:proofErr w:type="gramStart"/>
            <w:r w:rsidRPr="002F5B5C">
              <w:rPr>
                <w:color w:val="000000"/>
                <w:sz w:val="18"/>
                <w:szCs w:val="18"/>
              </w:rPr>
              <w:t>% ;</w:t>
            </w:r>
            <w:proofErr w:type="gramEnd"/>
            <w:r w:rsidRPr="002F5B5C">
              <w:rPr>
                <w:color w:val="000000"/>
                <w:sz w:val="18"/>
                <w:szCs w:val="18"/>
              </w:rPr>
              <w:t xml:space="preserve"> 100.0%]</w:t>
            </w:r>
          </w:p>
        </w:tc>
        <w:tc>
          <w:tcPr>
            <w:tcW w:w="2233" w:type="dxa"/>
            <w:tcBorders>
              <w:top w:val="single" w:sz="4" w:space="0" w:color="auto"/>
            </w:tcBorders>
            <w:shd w:val="clear" w:color="auto" w:fill="FFFFFF"/>
            <w:tcMar>
              <w:left w:w="60" w:type="dxa"/>
              <w:right w:w="60" w:type="dxa"/>
            </w:tcMar>
            <w:vAlign w:val="center"/>
          </w:tcPr>
          <w:p w14:paraId="6400B860"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241 (99.6%) </w:t>
            </w:r>
          </w:p>
          <w:p w14:paraId="0AAE146B" w14:textId="77777777" w:rsidR="00576FE1" w:rsidRPr="002F5B5C" w:rsidRDefault="00576FE1" w:rsidP="00115CD6">
            <w:pPr>
              <w:keepNext/>
              <w:adjustRightInd w:val="0"/>
              <w:spacing w:before="60" w:after="60"/>
              <w:jc w:val="center"/>
              <w:rPr>
                <w:color w:val="000000"/>
                <w:sz w:val="18"/>
                <w:szCs w:val="18"/>
              </w:rPr>
            </w:pPr>
            <w:r w:rsidRPr="002F5B5C">
              <w:rPr>
                <w:color w:val="000000"/>
                <w:sz w:val="18"/>
                <w:szCs w:val="18"/>
              </w:rPr>
              <w:t>[97.7</w:t>
            </w:r>
            <w:proofErr w:type="gramStart"/>
            <w:r w:rsidRPr="002F5B5C">
              <w:rPr>
                <w:color w:val="000000"/>
                <w:sz w:val="18"/>
                <w:szCs w:val="18"/>
              </w:rPr>
              <w:t>% ;</w:t>
            </w:r>
            <w:proofErr w:type="gramEnd"/>
            <w:r w:rsidRPr="002F5B5C">
              <w:rPr>
                <w:color w:val="000000"/>
                <w:sz w:val="18"/>
                <w:szCs w:val="18"/>
              </w:rPr>
              <w:t xml:space="preserve"> 100.0%]</w:t>
            </w:r>
          </w:p>
        </w:tc>
        <w:tc>
          <w:tcPr>
            <w:tcW w:w="0" w:type="auto"/>
            <w:tcBorders>
              <w:top w:val="single" w:sz="4" w:space="0" w:color="auto"/>
            </w:tcBorders>
            <w:shd w:val="clear" w:color="auto" w:fill="FFFFFF"/>
            <w:tcMar>
              <w:left w:w="60" w:type="dxa"/>
              <w:right w:w="60" w:type="dxa"/>
            </w:tcMar>
            <w:vAlign w:val="center"/>
          </w:tcPr>
          <w:p w14:paraId="535202AB"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482 (99.8%) </w:t>
            </w:r>
          </w:p>
          <w:p w14:paraId="0C3D4400" w14:textId="77777777" w:rsidR="00576FE1" w:rsidRPr="002F5B5C" w:rsidRDefault="00576FE1" w:rsidP="00115CD6">
            <w:pPr>
              <w:keepNext/>
              <w:adjustRightInd w:val="0"/>
              <w:spacing w:before="60" w:after="60"/>
              <w:jc w:val="center"/>
              <w:rPr>
                <w:color w:val="000000"/>
                <w:sz w:val="18"/>
                <w:szCs w:val="18"/>
              </w:rPr>
            </w:pPr>
            <w:r w:rsidRPr="002F5B5C">
              <w:rPr>
                <w:color w:val="000000"/>
                <w:sz w:val="18"/>
                <w:szCs w:val="18"/>
              </w:rPr>
              <w:t>[98.9</w:t>
            </w:r>
            <w:proofErr w:type="gramStart"/>
            <w:r w:rsidRPr="002F5B5C">
              <w:rPr>
                <w:color w:val="000000"/>
                <w:sz w:val="18"/>
                <w:szCs w:val="18"/>
              </w:rPr>
              <w:t>% ;</w:t>
            </w:r>
            <w:proofErr w:type="gramEnd"/>
            <w:r w:rsidRPr="002F5B5C">
              <w:rPr>
                <w:color w:val="000000"/>
                <w:sz w:val="18"/>
                <w:szCs w:val="18"/>
              </w:rPr>
              <w:t xml:space="preserve"> 100.0%]</w:t>
            </w:r>
          </w:p>
        </w:tc>
      </w:tr>
      <w:tr w:rsidR="00576FE1" w:rsidRPr="002F5B5C" w14:paraId="6B45B78E" w14:textId="77777777" w:rsidTr="00115CD6">
        <w:trPr>
          <w:cantSplit/>
          <w:trHeight w:val="613"/>
          <w:jc w:val="center"/>
        </w:trPr>
        <w:tc>
          <w:tcPr>
            <w:tcW w:w="2977" w:type="dxa"/>
            <w:shd w:val="clear" w:color="auto" w:fill="FFFFFF"/>
            <w:tcMar>
              <w:left w:w="60" w:type="dxa"/>
              <w:right w:w="60" w:type="dxa"/>
            </w:tcMar>
            <w:vAlign w:val="center"/>
          </w:tcPr>
          <w:p w14:paraId="62A57B9F" w14:textId="77777777" w:rsidR="00576FE1" w:rsidRPr="002F5B5C" w:rsidRDefault="00576FE1" w:rsidP="00115CD6">
            <w:pPr>
              <w:keepNext/>
              <w:adjustRightInd w:val="0"/>
              <w:spacing w:before="60" w:after="60"/>
              <w:rPr>
                <w:color w:val="000000"/>
                <w:sz w:val="18"/>
                <w:szCs w:val="18"/>
              </w:rPr>
            </w:pPr>
            <w:r>
              <w:rPr>
                <w:color w:val="000000"/>
                <w:sz w:val="18"/>
                <w:szCs w:val="18"/>
              </w:rPr>
              <w:t>TEAE</w:t>
            </w:r>
          </w:p>
        </w:tc>
        <w:tc>
          <w:tcPr>
            <w:tcW w:w="2126" w:type="dxa"/>
            <w:shd w:val="clear" w:color="auto" w:fill="FFFFFF"/>
            <w:tcMar>
              <w:left w:w="60" w:type="dxa"/>
              <w:right w:w="60" w:type="dxa"/>
            </w:tcMar>
            <w:vAlign w:val="center"/>
          </w:tcPr>
          <w:p w14:paraId="01847ACD"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240 (99.6%) </w:t>
            </w:r>
          </w:p>
          <w:p w14:paraId="5267BD7F" w14:textId="77777777" w:rsidR="00576FE1" w:rsidRPr="002F5B5C" w:rsidRDefault="00576FE1" w:rsidP="00115CD6">
            <w:pPr>
              <w:keepNext/>
              <w:adjustRightInd w:val="0"/>
              <w:spacing w:before="60" w:after="60"/>
              <w:jc w:val="center"/>
              <w:rPr>
                <w:color w:val="000000"/>
                <w:sz w:val="18"/>
                <w:szCs w:val="18"/>
              </w:rPr>
            </w:pPr>
            <w:r w:rsidRPr="002F5B5C">
              <w:rPr>
                <w:color w:val="000000"/>
                <w:sz w:val="18"/>
                <w:szCs w:val="18"/>
              </w:rPr>
              <w:t>[97.7</w:t>
            </w:r>
            <w:proofErr w:type="gramStart"/>
            <w:r w:rsidRPr="002F5B5C">
              <w:rPr>
                <w:color w:val="000000"/>
                <w:sz w:val="18"/>
                <w:szCs w:val="18"/>
              </w:rPr>
              <w:t>% ;</w:t>
            </w:r>
            <w:proofErr w:type="gramEnd"/>
            <w:r w:rsidRPr="002F5B5C">
              <w:rPr>
                <w:color w:val="000000"/>
                <w:sz w:val="18"/>
                <w:szCs w:val="18"/>
              </w:rPr>
              <w:t xml:space="preserve"> 100.0%]</w:t>
            </w:r>
          </w:p>
        </w:tc>
        <w:tc>
          <w:tcPr>
            <w:tcW w:w="2233" w:type="dxa"/>
            <w:shd w:val="clear" w:color="auto" w:fill="FFFFFF"/>
            <w:tcMar>
              <w:left w:w="60" w:type="dxa"/>
              <w:right w:w="60" w:type="dxa"/>
            </w:tcMar>
            <w:vAlign w:val="center"/>
          </w:tcPr>
          <w:p w14:paraId="70DDA5B9"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240 (99.2%) </w:t>
            </w:r>
          </w:p>
          <w:p w14:paraId="022BA7CA" w14:textId="77777777" w:rsidR="00576FE1" w:rsidRPr="002F5B5C" w:rsidRDefault="00576FE1" w:rsidP="00115CD6">
            <w:pPr>
              <w:keepNext/>
              <w:adjustRightInd w:val="0"/>
              <w:spacing w:before="60" w:after="60"/>
              <w:jc w:val="center"/>
              <w:rPr>
                <w:color w:val="000000"/>
                <w:sz w:val="18"/>
                <w:szCs w:val="18"/>
              </w:rPr>
            </w:pPr>
            <w:r w:rsidRPr="002F5B5C">
              <w:rPr>
                <w:color w:val="000000"/>
                <w:sz w:val="18"/>
                <w:szCs w:val="18"/>
              </w:rPr>
              <w:t>[97.0</w:t>
            </w:r>
            <w:proofErr w:type="gramStart"/>
            <w:r w:rsidRPr="002F5B5C">
              <w:rPr>
                <w:color w:val="000000"/>
                <w:sz w:val="18"/>
                <w:szCs w:val="18"/>
              </w:rPr>
              <w:t>% ;</w:t>
            </w:r>
            <w:proofErr w:type="gramEnd"/>
            <w:r w:rsidRPr="002F5B5C">
              <w:rPr>
                <w:color w:val="000000"/>
                <w:sz w:val="18"/>
                <w:szCs w:val="18"/>
              </w:rPr>
              <w:t xml:space="preserve"> 99.9%]</w:t>
            </w:r>
          </w:p>
        </w:tc>
        <w:tc>
          <w:tcPr>
            <w:tcW w:w="0" w:type="auto"/>
            <w:shd w:val="clear" w:color="auto" w:fill="FFFFFF"/>
            <w:tcMar>
              <w:left w:w="60" w:type="dxa"/>
              <w:right w:w="60" w:type="dxa"/>
            </w:tcMar>
            <w:vAlign w:val="center"/>
          </w:tcPr>
          <w:p w14:paraId="5FD0B457"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480 (99.4%) </w:t>
            </w:r>
          </w:p>
          <w:p w14:paraId="64A36424" w14:textId="77777777" w:rsidR="00576FE1" w:rsidRPr="002F5B5C" w:rsidRDefault="00576FE1" w:rsidP="00115CD6">
            <w:pPr>
              <w:keepNext/>
              <w:adjustRightInd w:val="0"/>
              <w:spacing w:before="60" w:after="60"/>
              <w:jc w:val="center"/>
              <w:rPr>
                <w:color w:val="000000"/>
                <w:sz w:val="18"/>
                <w:szCs w:val="18"/>
              </w:rPr>
            </w:pPr>
            <w:r w:rsidRPr="002F5B5C">
              <w:rPr>
                <w:color w:val="000000"/>
                <w:sz w:val="18"/>
                <w:szCs w:val="18"/>
              </w:rPr>
              <w:t>[98.2</w:t>
            </w:r>
            <w:proofErr w:type="gramStart"/>
            <w:r w:rsidRPr="002F5B5C">
              <w:rPr>
                <w:color w:val="000000"/>
                <w:sz w:val="18"/>
                <w:szCs w:val="18"/>
              </w:rPr>
              <w:t>% ;</w:t>
            </w:r>
            <w:proofErr w:type="gramEnd"/>
            <w:r w:rsidRPr="002F5B5C">
              <w:rPr>
                <w:color w:val="000000"/>
                <w:sz w:val="18"/>
                <w:szCs w:val="18"/>
              </w:rPr>
              <w:t xml:space="preserve"> 99.9%]</w:t>
            </w:r>
          </w:p>
        </w:tc>
      </w:tr>
      <w:tr w:rsidR="00576FE1" w:rsidRPr="002F5B5C" w14:paraId="6E63686A" w14:textId="77777777" w:rsidTr="00115CD6">
        <w:trPr>
          <w:cantSplit/>
          <w:trHeight w:val="547"/>
          <w:jc w:val="center"/>
        </w:trPr>
        <w:tc>
          <w:tcPr>
            <w:tcW w:w="2977" w:type="dxa"/>
            <w:shd w:val="clear" w:color="auto" w:fill="FFFFFF"/>
            <w:tcMar>
              <w:left w:w="60" w:type="dxa"/>
              <w:right w:w="60" w:type="dxa"/>
            </w:tcMar>
            <w:vAlign w:val="center"/>
          </w:tcPr>
          <w:p w14:paraId="6C9FB3CD" w14:textId="77777777" w:rsidR="00576FE1" w:rsidRPr="002F5B5C" w:rsidRDefault="00576FE1" w:rsidP="00115CD6">
            <w:pPr>
              <w:keepNext/>
              <w:adjustRightInd w:val="0"/>
              <w:spacing w:before="60" w:after="60"/>
              <w:rPr>
                <w:color w:val="000000"/>
                <w:sz w:val="18"/>
                <w:szCs w:val="18"/>
              </w:rPr>
            </w:pPr>
            <w:r w:rsidRPr="002F5B5C">
              <w:rPr>
                <w:color w:val="000000"/>
                <w:sz w:val="18"/>
                <w:szCs w:val="18"/>
              </w:rPr>
              <w:t>IMP-related TEAEs</w:t>
            </w:r>
          </w:p>
        </w:tc>
        <w:tc>
          <w:tcPr>
            <w:tcW w:w="2126" w:type="dxa"/>
            <w:shd w:val="clear" w:color="auto" w:fill="FFFFFF"/>
            <w:tcMar>
              <w:left w:w="60" w:type="dxa"/>
              <w:right w:w="60" w:type="dxa"/>
            </w:tcMar>
            <w:vAlign w:val="center"/>
          </w:tcPr>
          <w:p w14:paraId="45C1AAFF"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225 (93.4%) </w:t>
            </w:r>
          </w:p>
          <w:p w14:paraId="31C9C54A"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89.4</w:t>
            </w:r>
            <w:proofErr w:type="gramStart"/>
            <w:r w:rsidRPr="002F5B5C">
              <w:rPr>
                <w:color w:val="000000"/>
                <w:sz w:val="18"/>
                <w:szCs w:val="18"/>
              </w:rPr>
              <w:t>% ;</w:t>
            </w:r>
            <w:proofErr w:type="gramEnd"/>
            <w:r w:rsidRPr="002F5B5C">
              <w:rPr>
                <w:color w:val="000000"/>
                <w:sz w:val="18"/>
                <w:szCs w:val="18"/>
              </w:rPr>
              <w:t xml:space="preserve"> 96.2%</w:t>
            </w:r>
            <w:r>
              <w:rPr>
                <w:color w:val="000000"/>
                <w:sz w:val="18"/>
                <w:szCs w:val="18"/>
              </w:rPr>
              <w:t>]</w:t>
            </w:r>
          </w:p>
        </w:tc>
        <w:tc>
          <w:tcPr>
            <w:tcW w:w="2233" w:type="dxa"/>
            <w:shd w:val="clear" w:color="auto" w:fill="FFFFFF"/>
            <w:tcMar>
              <w:left w:w="60" w:type="dxa"/>
              <w:right w:w="60" w:type="dxa"/>
            </w:tcMar>
            <w:vAlign w:val="center"/>
          </w:tcPr>
          <w:p w14:paraId="24A27AC1"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230 (95.0%) </w:t>
            </w:r>
          </w:p>
          <w:p w14:paraId="084C13E9"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91.5</w:t>
            </w:r>
            <w:proofErr w:type="gramStart"/>
            <w:r w:rsidRPr="002F5B5C">
              <w:rPr>
                <w:color w:val="000000"/>
                <w:sz w:val="18"/>
                <w:szCs w:val="18"/>
              </w:rPr>
              <w:t>% ;</w:t>
            </w:r>
            <w:proofErr w:type="gramEnd"/>
            <w:r w:rsidRPr="002F5B5C">
              <w:rPr>
                <w:color w:val="000000"/>
                <w:sz w:val="18"/>
                <w:szCs w:val="18"/>
              </w:rPr>
              <w:t xml:space="preserve"> 97.4%</w:t>
            </w:r>
            <w:r>
              <w:rPr>
                <w:color w:val="000000"/>
                <w:sz w:val="18"/>
                <w:szCs w:val="18"/>
              </w:rPr>
              <w:t>]</w:t>
            </w:r>
          </w:p>
        </w:tc>
        <w:tc>
          <w:tcPr>
            <w:tcW w:w="0" w:type="auto"/>
            <w:shd w:val="clear" w:color="auto" w:fill="FFFFFF"/>
            <w:tcMar>
              <w:left w:w="60" w:type="dxa"/>
              <w:right w:w="60" w:type="dxa"/>
            </w:tcMar>
            <w:vAlign w:val="center"/>
          </w:tcPr>
          <w:p w14:paraId="69A4844B"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455 (94.2%) </w:t>
            </w:r>
          </w:p>
          <w:p w14:paraId="6774295B"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91.7</w:t>
            </w:r>
            <w:proofErr w:type="gramStart"/>
            <w:r w:rsidRPr="002F5B5C">
              <w:rPr>
                <w:color w:val="000000"/>
                <w:sz w:val="18"/>
                <w:szCs w:val="18"/>
              </w:rPr>
              <w:t>% ;</w:t>
            </w:r>
            <w:proofErr w:type="gramEnd"/>
            <w:r w:rsidRPr="002F5B5C">
              <w:rPr>
                <w:color w:val="000000"/>
                <w:sz w:val="18"/>
                <w:szCs w:val="18"/>
              </w:rPr>
              <w:t xml:space="preserve"> 96.1%</w:t>
            </w:r>
            <w:r>
              <w:rPr>
                <w:color w:val="000000"/>
                <w:sz w:val="18"/>
                <w:szCs w:val="18"/>
              </w:rPr>
              <w:t>]</w:t>
            </w:r>
          </w:p>
        </w:tc>
      </w:tr>
      <w:tr w:rsidR="00576FE1" w:rsidRPr="002F5B5C" w14:paraId="2328818C" w14:textId="77777777" w:rsidTr="00115CD6">
        <w:trPr>
          <w:cantSplit/>
          <w:trHeight w:val="560"/>
          <w:jc w:val="center"/>
        </w:trPr>
        <w:tc>
          <w:tcPr>
            <w:tcW w:w="2977" w:type="dxa"/>
            <w:shd w:val="clear" w:color="auto" w:fill="FFFFFF"/>
            <w:tcMar>
              <w:left w:w="60" w:type="dxa"/>
              <w:right w:w="60" w:type="dxa"/>
            </w:tcMar>
            <w:vAlign w:val="center"/>
          </w:tcPr>
          <w:p w14:paraId="76A99AF9" w14:textId="77777777" w:rsidR="00576FE1" w:rsidRPr="002F5B5C" w:rsidRDefault="00576FE1" w:rsidP="00115CD6">
            <w:pPr>
              <w:keepNext/>
              <w:adjustRightInd w:val="0"/>
              <w:spacing w:before="60" w:after="60"/>
              <w:rPr>
                <w:color w:val="000000"/>
                <w:sz w:val="18"/>
                <w:szCs w:val="18"/>
              </w:rPr>
            </w:pPr>
            <w:r w:rsidRPr="002F5B5C">
              <w:rPr>
                <w:color w:val="000000"/>
                <w:sz w:val="18"/>
                <w:szCs w:val="18"/>
              </w:rPr>
              <w:t>TEAE CTCAE grade ≥ 3</w:t>
            </w:r>
          </w:p>
        </w:tc>
        <w:tc>
          <w:tcPr>
            <w:tcW w:w="2126" w:type="dxa"/>
            <w:shd w:val="clear" w:color="auto" w:fill="FFFFFF"/>
            <w:tcMar>
              <w:left w:w="60" w:type="dxa"/>
              <w:right w:w="60" w:type="dxa"/>
            </w:tcMar>
            <w:vAlign w:val="center"/>
          </w:tcPr>
          <w:p w14:paraId="63AB3505"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199 (82.6%) </w:t>
            </w:r>
          </w:p>
          <w:p w14:paraId="3A1DF6AE"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77.2</w:t>
            </w:r>
            <w:proofErr w:type="gramStart"/>
            <w:r w:rsidRPr="002F5B5C">
              <w:rPr>
                <w:color w:val="000000"/>
                <w:sz w:val="18"/>
                <w:szCs w:val="18"/>
              </w:rPr>
              <w:t>% ;</w:t>
            </w:r>
            <w:proofErr w:type="gramEnd"/>
            <w:r w:rsidRPr="002F5B5C">
              <w:rPr>
                <w:color w:val="000000"/>
                <w:sz w:val="18"/>
                <w:szCs w:val="18"/>
              </w:rPr>
              <w:t xml:space="preserve"> 87.1%</w:t>
            </w:r>
            <w:r>
              <w:rPr>
                <w:color w:val="000000"/>
                <w:sz w:val="18"/>
                <w:szCs w:val="18"/>
              </w:rPr>
              <w:t>]</w:t>
            </w:r>
          </w:p>
        </w:tc>
        <w:tc>
          <w:tcPr>
            <w:tcW w:w="2233" w:type="dxa"/>
            <w:shd w:val="clear" w:color="auto" w:fill="FFFFFF"/>
            <w:tcMar>
              <w:left w:w="60" w:type="dxa"/>
              <w:right w:w="60" w:type="dxa"/>
            </w:tcMar>
            <w:vAlign w:val="center"/>
          </w:tcPr>
          <w:p w14:paraId="2A8D4056"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192 (79.7%) </w:t>
            </w:r>
          </w:p>
          <w:p w14:paraId="07E9F5E4"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74.0</w:t>
            </w:r>
            <w:proofErr w:type="gramStart"/>
            <w:r w:rsidRPr="002F5B5C">
              <w:rPr>
                <w:color w:val="000000"/>
                <w:sz w:val="18"/>
                <w:szCs w:val="18"/>
              </w:rPr>
              <w:t>% ;</w:t>
            </w:r>
            <w:proofErr w:type="gramEnd"/>
            <w:r w:rsidRPr="002F5B5C">
              <w:rPr>
                <w:color w:val="000000"/>
                <w:sz w:val="18"/>
                <w:szCs w:val="18"/>
              </w:rPr>
              <w:t xml:space="preserve"> 84.6%</w:t>
            </w:r>
            <w:r>
              <w:rPr>
                <w:color w:val="000000"/>
                <w:sz w:val="18"/>
                <w:szCs w:val="18"/>
              </w:rPr>
              <w:t>]</w:t>
            </w:r>
          </w:p>
        </w:tc>
        <w:tc>
          <w:tcPr>
            <w:tcW w:w="0" w:type="auto"/>
            <w:shd w:val="clear" w:color="auto" w:fill="FFFFFF"/>
            <w:tcMar>
              <w:left w:w="60" w:type="dxa"/>
              <w:right w:w="60" w:type="dxa"/>
            </w:tcMar>
            <w:vAlign w:val="center"/>
          </w:tcPr>
          <w:p w14:paraId="358AECB8"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391 (81.1%)</w:t>
            </w:r>
          </w:p>
          <w:p w14:paraId="2DA80DDC" w14:textId="77777777" w:rsidR="00576FE1" w:rsidRPr="002F5B5C" w:rsidRDefault="00576FE1" w:rsidP="00115CD6">
            <w:pPr>
              <w:keepNext/>
              <w:adjustRightInd w:val="0"/>
              <w:spacing w:before="60" w:after="60"/>
              <w:jc w:val="center"/>
              <w:rPr>
                <w:color w:val="000000"/>
                <w:sz w:val="18"/>
                <w:szCs w:val="18"/>
              </w:rPr>
            </w:pPr>
            <w:r w:rsidRPr="002F5B5C">
              <w:rPr>
                <w:color w:val="000000"/>
                <w:sz w:val="18"/>
                <w:szCs w:val="18"/>
              </w:rPr>
              <w:t xml:space="preserve"> </w:t>
            </w:r>
            <w:r>
              <w:rPr>
                <w:color w:val="000000"/>
                <w:sz w:val="18"/>
                <w:szCs w:val="18"/>
              </w:rPr>
              <w:t>[</w:t>
            </w:r>
            <w:r w:rsidRPr="002F5B5C">
              <w:rPr>
                <w:color w:val="000000"/>
                <w:sz w:val="18"/>
                <w:szCs w:val="18"/>
              </w:rPr>
              <w:t>77.3</w:t>
            </w:r>
            <w:proofErr w:type="gramStart"/>
            <w:r w:rsidRPr="002F5B5C">
              <w:rPr>
                <w:color w:val="000000"/>
                <w:sz w:val="18"/>
                <w:szCs w:val="18"/>
              </w:rPr>
              <w:t>% ;</w:t>
            </w:r>
            <w:proofErr w:type="gramEnd"/>
            <w:r w:rsidRPr="002F5B5C">
              <w:rPr>
                <w:color w:val="000000"/>
                <w:sz w:val="18"/>
                <w:szCs w:val="18"/>
              </w:rPr>
              <w:t xml:space="preserve"> 84.5%</w:t>
            </w:r>
            <w:r>
              <w:rPr>
                <w:color w:val="000000"/>
                <w:sz w:val="18"/>
                <w:szCs w:val="18"/>
              </w:rPr>
              <w:t>]</w:t>
            </w:r>
          </w:p>
        </w:tc>
      </w:tr>
      <w:tr w:rsidR="00576FE1" w:rsidRPr="002F5B5C" w14:paraId="3A337A0A" w14:textId="77777777" w:rsidTr="00115CD6">
        <w:trPr>
          <w:cantSplit/>
          <w:trHeight w:val="339"/>
          <w:jc w:val="center"/>
        </w:trPr>
        <w:tc>
          <w:tcPr>
            <w:tcW w:w="2977" w:type="dxa"/>
            <w:shd w:val="clear" w:color="auto" w:fill="FFFFFF"/>
            <w:tcMar>
              <w:left w:w="60" w:type="dxa"/>
              <w:right w:w="60" w:type="dxa"/>
            </w:tcMar>
            <w:vAlign w:val="center"/>
          </w:tcPr>
          <w:p w14:paraId="63FE9C6B" w14:textId="77777777" w:rsidR="00576FE1" w:rsidRPr="002F5B5C" w:rsidRDefault="00576FE1" w:rsidP="00115CD6">
            <w:pPr>
              <w:adjustRightInd w:val="0"/>
              <w:spacing w:before="60" w:after="60"/>
              <w:rPr>
                <w:color w:val="000000"/>
                <w:sz w:val="18"/>
                <w:szCs w:val="18"/>
              </w:rPr>
            </w:pPr>
            <w:r>
              <w:rPr>
                <w:color w:val="000000"/>
                <w:sz w:val="18"/>
                <w:szCs w:val="18"/>
              </w:rPr>
              <w:t>TEAE</w:t>
            </w:r>
            <w:r w:rsidRPr="002F5B5C">
              <w:rPr>
                <w:color w:val="000000"/>
                <w:sz w:val="18"/>
                <w:szCs w:val="18"/>
              </w:rPr>
              <w:t xml:space="preserve"> CTCAE grade = 3</w:t>
            </w:r>
          </w:p>
        </w:tc>
        <w:tc>
          <w:tcPr>
            <w:tcW w:w="2126" w:type="dxa"/>
            <w:shd w:val="clear" w:color="auto" w:fill="FFFFFF"/>
            <w:tcMar>
              <w:left w:w="60" w:type="dxa"/>
              <w:right w:w="60" w:type="dxa"/>
            </w:tcMar>
            <w:vAlign w:val="center"/>
          </w:tcPr>
          <w:p w14:paraId="39C3966E" w14:textId="77777777" w:rsidR="00576FE1" w:rsidRPr="002F5B5C" w:rsidRDefault="00576FE1" w:rsidP="00115CD6">
            <w:pPr>
              <w:keepNext/>
              <w:adjustRightInd w:val="0"/>
              <w:spacing w:before="60" w:after="60"/>
              <w:jc w:val="center"/>
              <w:rPr>
                <w:color w:val="000000"/>
                <w:sz w:val="18"/>
                <w:szCs w:val="18"/>
              </w:rPr>
            </w:pPr>
            <w:r w:rsidRPr="002F5B5C">
              <w:rPr>
                <w:color w:val="000000"/>
                <w:sz w:val="18"/>
                <w:szCs w:val="18"/>
              </w:rPr>
              <w:t>167 (69.3%)</w:t>
            </w:r>
          </w:p>
        </w:tc>
        <w:tc>
          <w:tcPr>
            <w:tcW w:w="2233" w:type="dxa"/>
            <w:shd w:val="clear" w:color="auto" w:fill="FFFFFF"/>
            <w:tcMar>
              <w:left w:w="60" w:type="dxa"/>
              <w:right w:w="60" w:type="dxa"/>
            </w:tcMar>
            <w:vAlign w:val="center"/>
          </w:tcPr>
          <w:p w14:paraId="1F6EC079" w14:textId="77777777" w:rsidR="00576FE1" w:rsidRPr="002F5B5C" w:rsidRDefault="00576FE1" w:rsidP="00115CD6">
            <w:pPr>
              <w:keepNext/>
              <w:adjustRightInd w:val="0"/>
              <w:spacing w:before="60" w:after="60"/>
              <w:jc w:val="center"/>
              <w:rPr>
                <w:color w:val="000000"/>
                <w:sz w:val="18"/>
                <w:szCs w:val="18"/>
              </w:rPr>
            </w:pPr>
            <w:r w:rsidRPr="002F5B5C">
              <w:rPr>
                <w:color w:val="000000"/>
                <w:sz w:val="18"/>
                <w:szCs w:val="18"/>
              </w:rPr>
              <w:t>168 (69.4%)</w:t>
            </w:r>
          </w:p>
        </w:tc>
        <w:tc>
          <w:tcPr>
            <w:tcW w:w="0" w:type="auto"/>
            <w:shd w:val="clear" w:color="auto" w:fill="FFFFFF"/>
            <w:tcMar>
              <w:left w:w="60" w:type="dxa"/>
              <w:right w:w="60" w:type="dxa"/>
            </w:tcMar>
            <w:vAlign w:val="center"/>
          </w:tcPr>
          <w:p w14:paraId="76DA9282" w14:textId="77777777" w:rsidR="00576FE1" w:rsidRPr="002F5B5C" w:rsidRDefault="00576FE1" w:rsidP="00115CD6">
            <w:pPr>
              <w:keepNext/>
              <w:adjustRightInd w:val="0"/>
              <w:spacing w:before="60" w:after="60"/>
              <w:jc w:val="center"/>
              <w:rPr>
                <w:color w:val="000000"/>
                <w:sz w:val="18"/>
                <w:szCs w:val="18"/>
              </w:rPr>
            </w:pPr>
            <w:r w:rsidRPr="002F5B5C">
              <w:rPr>
                <w:color w:val="000000"/>
                <w:sz w:val="18"/>
                <w:szCs w:val="18"/>
              </w:rPr>
              <w:t>335 (69.4%)</w:t>
            </w:r>
          </w:p>
        </w:tc>
      </w:tr>
      <w:tr w:rsidR="00576FE1" w:rsidRPr="002F5B5C" w14:paraId="3DB8616E" w14:textId="77777777" w:rsidTr="00115CD6">
        <w:trPr>
          <w:cantSplit/>
          <w:trHeight w:val="325"/>
          <w:jc w:val="center"/>
        </w:trPr>
        <w:tc>
          <w:tcPr>
            <w:tcW w:w="2977" w:type="dxa"/>
            <w:shd w:val="clear" w:color="auto" w:fill="FFFFFF"/>
            <w:tcMar>
              <w:left w:w="60" w:type="dxa"/>
              <w:right w:w="60" w:type="dxa"/>
            </w:tcMar>
            <w:vAlign w:val="center"/>
          </w:tcPr>
          <w:p w14:paraId="63DDB25D" w14:textId="77777777" w:rsidR="00576FE1" w:rsidRPr="002F5B5C" w:rsidRDefault="00576FE1" w:rsidP="00115CD6">
            <w:pPr>
              <w:adjustRightInd w:val="0"/>
              <w:spacing w:before="60" w:after="60"/>
              <w:rPr>
                <w:color w:val="000000"/>
                <w:sz w:val="18"/>
                <w:szCs w:val="18"/>
              </w:rPr>
            </w:pPr>
            <w:r w:rsidRPr="002F5B5C">
              <w:rPr>
                <w:color w:val="000000"/>
                <w:sz w:val="18"/>
                <w:szCs w:val="18"/>
              </w:rPr>
              <w:t>TEAE CTCAE grade = 4</w:t>
            </w:r>
          </w:p>
        </w:tc>
        <w:tc>
          <w:tcPr>
            <w:tcW w:w="2126" w:type="dxa"/>
            <w:shd w:val="clear" w:color="auto" w:fill="FFFFFF"/>
            <w:tcMar>
              <w:left w:w="60" w:type="dxa"/>
              <w:right w:w="60" w:type="dxa"/>
            </w:tcMar>
            <w:vAlign w:val="center"/>
          </w:tcPr>
          <w:p w14:paraId="4B1086BB" w14:textId="77777777" w:rsidR="00576FE1" w:rsidRPr="002F5B5C" w:rsidRDefault="00576FE1" w:rsidP="00115CD6">
            <w:pPr>
              <w:keepNext/>
              <w:adjustRightInd w:val="0"/>
              <w:spacing w:before="60" w:after="60"/>
              <w:jc w:val="center"/>
              <w:rPr>
                <w:color w:val="000000"/>
                <w:sz w:val="18"/>
                <w:szCs w:val="18"/>
              </w:rPr>
            </w:pPr>
            <w:r w:rsidRPr="002F5B5C">
              <w:rPr>
                <w:color w:val="000000"/>
                <w:sz w:val="18"/>
                <w:szCs w:val="18"/>
              </w:rPr>
              <w:t>28 (11.6%)</w:t>
            </w:r>
          </w:p>
        </w:tc>
        <w:tc>
          <w:tcPr>
            <w:tcW w:w="2233" w:type="dxa"/>
            <w:shd w:val="clear" w:color="auto" w:fill="FFFFFF"/>
            <w:tcMar>
              <w:left w:w="60" w:type="dxa"/>
              <w:right w:w="60" w:type="dxa"/>
            </w:tcMar>
            <w:vAlign w:val="center"/>
          </w:tcPr>
          <w:p w14:paraId="540D91D1" w14:textId="77777777" w:rsidR="00576FE1" w:rsidRPr="002F5B5C" w:rsidRDefault="00576FE1" w:rsidP="00115CD6">
            <w:pPr>
              <w:keepNext/>
              <w:adjustRightInd w:val="0"/>
              <w:spacing w:before="60" w:after="60"/>
              <w:jc w:val="center"/>
              <w:rPr>
                <w:color w:val="000000"/>
                <w:sz w:val="18"/>
                <w:szCs w:val="18"/>
              </w:rPr>
            </w:pPr>
            <w:r w:rsidRPr="002F5B5C">
              <w:rPr>
                <w:color w:val="000000"/>
                <w:sz w:val="18"/>
                <w:szCs w:val="18"/>
              </w:rPr>
              <w:t>22 (9.1%)</w:t>
            </w:r>
          </w:p>
        </w:tc>
        <w:tc>
          <w:tcPr>
            <w:tcW w:w="0" w:type="auto"/>
            <w:shd w:val="clear" w:color="auto" w:fill="FFFFFF"/>
            <w:tcMar>
              <w:left w:w="60" w:type="dxa"/>
              <w:right w:w="60" w:type="dxa"/>
            </w:tcMar>
            <w:vAlign w:val="center"/>
          </w:tcPr>
          <w:p w14:paraId="279FEF9F" w14:textId="77777777" w:rsidR="00576FE1" w:rsidRPr="002F5B5C" w:rsidRDefault="00576FE1" w:rsidP="00115CD6">
            <w:pPr>
              <w:keepNext/>
              <w:adjustRightInd w:val="0"/>
              <w:spacing w:before="60" w:after="60"/>
              <w:jc w:val="center"/>
              <w:rPr>
                <w:color w:val="000000"/>
                <w:sz w:val="18"/>
                <w:szCs w:val="18"/>
              </w:rPr>
            </w:pPr>
            <w:r w:rsidRPr="002F5B5C">
              <w:rPr>
                <w:color w:val="000000"/>
                <w:sz w:val="18"/>
                <w:szCs w:val="18"/>
              </w:rPr>
              <w:t>50 (10.4%)</w:t>
            </w:r>
          </w:p>
        </w:tc>
      </w:tr>
      <w:tr w:rsidR="00576FE1" w:rsidRPr="002F5B5C" w14:paraId="302A2961" w14:textId="77777777" w:rsidTr="00115CD6">
        <w:trPr>
          <w:cantSplit/>
          <w:trHeight w:val="560"/>
          <w:jc w:val="center"/>
        </w:trPr>
        <w:tc>
          <w:tcPr>
            <w:tcW w:w="2977" w:type="dxa"/>
            <w:shd w:val="clear" w:color="auto" w:fill="FFFFFF"/>
            <w:tcMar>
              <w:left w:w="60" w:type="dxa"/>
              <w:right w:w="60" w:type="dxa"/>
            </w:tcMar>
            <w:vAlign w:val="center"/>
          </w:tcPr>
          <w:p w14:paraId="657E9B6A" w14:textId="77777777" w:rsidR="00576FE1" w:rsidRPr="002F5B5C" w:rsidRDefault="00576FE1" w:rsidP="00115CD6">
            <w:pPr>
              <w:keepNext/>
              <w:adjustRightInd w:val="0"/>
              <w:spacing w:before="60" w:after="60"/>
              <w:rPr>
                <w:color w:val="000000"/>
                <w:sz w:val="18"/>
                <w:szCs w:val="18"/>
              </w:rPr>
            </w:pPr>
            <w:r w:rsidRPr="002F5B5C">
              <w:rPr>
                <w:color w:val="000000"/>
                <w:sz w:val="18"/>
                <w:szCs w:val="18"/>
              </w:rPr>
              <w:t>IMP-related TEAE grade ≥ 3</w:t>
            </w:r>
          </w:p>
        </w:tc>
        <w:tc>
          <w:tcPr>
            <w:tcW w:w="2126" w:type="dxa"/>
            <w:shd w:val="clear" w:color="auto" w:fill="FFFFFF"/>
            <w:tcMar>
              <w:left w:w="60" w:type="dxa"/>
              <w:right w:w="60" w:type="dxa"/>
            </w:tcMar>
            <w:vAlign w:val="center"/>
          </w:tcPr>
          <w:p w14:paraId="451D2546"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170 (70.5%) </w:t>
            </w:r>
          </w:p>
          <w:p w14:paraId="0A2BBA43"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64.3</w:t>
            </w:r>
            <w:proofErr w:type="gramStart"/>
            <w:r w:rsidRPr="002F5B5C">
              <w:rPr>
                <w:color w:val="000000"/>
                <w:sz w:val="18"/>
                <w:szCs w:val="18"/>
              </w:rPr>
              <w:t>% ;</w:t>
            </w:r>
            <w:proofErr w:type="gramEnd"/>
            <w:r w:rsidRPr="002F5B5C">
              <w:rPr>
                <w:color w:val="000000"/>
                <w:sz w:val="18"/>
                <w:szCs w:val="18"/>
              </w:rPr>
              <w:t xml:space="preserve"> 76.2%</w:t>
            </w:r>
            <w:r>
              <w:rPr>
                <w:color w:val="000000"/>
                <w:sz w:val="18"/>
                <w:szCs w:val="18"/>
              </w:rPr>
              <w:t>]</w:t>
            </w:r>
          </w:p>
        </w:tc>
        <w:tc>
          <w:tcPr>
            <w:tcW w:w="2233" w:type="dxa"/>
            <w:shd w:val="clear" w:color="auto" w:fill="FFFFFF"/>
            <w:tcMar>
              <w:left w:w="60" w:type="dxa"/>
              <w:right w:w="60" w:type="dxa"/>
            </w:tcMar>
            <w:vAlign w:val="center"/>
          </w:tcPr>
          <w:p w14:paraId="4A9548EC"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169 (70.1%) </w:t>
            </w:r>
          </w:p>
          <w:p w14:paraId="5C1B627F"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63.9</w:t>
            </w:r>
            <w:proofErr w:type="gramStart"/>
            <w:r w:rsidRPr="002F5B5C">
              <w:rPr>
                <w:color w:val="000000"/>
                <w:sz w:val="18"/>
                <w:szCs w:val="18"/>
              </w:rPr>
              <w:t>% ;</w:t>
            </w:r>
            <w:proofErr w:type="gramEnd"/>
            <w:r w:rsidRPr="002F5B5C">
              <w:rPr>
                <w:color w:val="000000"/>
                <w:sz w:val="18"/>
                <w:szCs w:val="18"/>
              </w:rPr>
              <w:t xml:space="preserve"> 75.8%</w:t>
            </w:r>
            <w:r>
              <w:rPr>
                <w:color w:val="000000"/>
                <w:sz w:val="18"/>
                <w:szCs w:val="18"/>
              </w:rPr>
              <w:t>]</w:t>
            </w:r>
          </w:p>
        </w:tc>
        <w:tc>
          <w:tcPr>
            <w:tcW w:w="0" w:type="auto"/>
            <w:shd w:val="clear" w:color="auto" w:fill="FFFFFF"/>
            <w:tcMar>
              <w:left w:w="60" w:type="dxa"/>
              <w:right w:w="60" w:type="dxa"/>
            </w:tcMar>
            <w:vAlign w:val="center"/>
          </w:tcPr>
          <w:p w14:paraId="219E7708"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339 (70.3%)</w:t>
            </w:r>
          </w:p>
          <w:p w14:paraId="57494007" w14:textId="77777777" w:rsidR="00576FE1" w:rsidRPr="002F5B5C" w:rsidRDefault="00576FE1" w:rsidP="00115CD6">
            <w:pPr>
              <w:keepNext/>
              <w:adjustRightInd w:val="0"/>
              <w:spacing w:before="60" w:after="60"/>
              <w:jc w:val="center"/>
              <w:rPr>
                <w:color w:val="000000"/>
                <w:sz w:val="18"/>
                <w:szCs w:val="18"/>
              </w:rPr>
            </w:pPr>
            <w:r w:rsidRPr="002F5B5C">
              <w:rPr>
                <w:color w:val="000000"/>
                <w:sz w:val="18"/>
                <w:szCs w:val="18"/>
              </w:rPr>
              <w:t xml:space="preserve"> </w:t>
            </w:r>
            <w:r>
              <w:rPr>
                <w:color w:val="000000"/>
                <w:sz w:val="18"/>
                <w:szCs w:val="18"/>
              </w:rPr>
              <w:t>[</w:t>
            </w:r>
            <w:r w:rsidRPr="002F5B5C">
              <w:rPr>
                <w:color w:val="000000"/>
                <w:sz w:val="18"/>
                <w:szCs w:val="18"/>
              </w:rPr>
              <w:t>66.0</w:t>
            </w:r>
            <w:proofErr w:type="gramStart"/>
            <w:r w:rsidRPr="002F5B5C">
              <w:rPr>
                <w:color w:val="000000"/>
                <w:sz w:val="18"/>
                <w:szCs w:val="18"/>
              </w:rPr>
              <w:t>% ;</w:t>
            </w:r>
            <w:proofErr w:type="gramEnd"/>
            <w:r w:rsidRPr="002F5B5C">
              <w:rPr>
                <w:color w:val="000000"/>
                <w:sz w:val="18"/>
                <w:szCs w:val="18"/>
              </w:rPr>
              <w:t xml:space="preserve"> 74.4%</w:t>
            </w:r>
            <w:r>
              <w:rPr>
                <w:color w:val="000000"/>
                <w:sz w:val="18"/>
                <w:szCs w:val="18"/>
              </w:rPr>
              <w:t>]</w:t>
            </w:r>
          </w:p>
        </w:tc>
      </w:tr>
      <w:tr w:rsidR="00576FE1" w:rsidRPr="002F5B5C" w14:paraId="50D1D02C" w14:textId="77777777" w:rsidTr="00115CD6">
        <w:trPr>
          <w:cantSplit/>
          <w:trHeight w:val="547"/>
          <w:jc w:val="center"/>
        </w:trPr>
        <w:tc>
          <w:tcPr>
            <w:tcW w:w="2977" w:type="dxa"/>
            <w:shd w:val="clear" w:color="auto" w:fill="FFFFFF"/>
            <w:tcMar>
              <w:left w:w="60" w:type="dxa"/>
              <w:right w:w="60" w:type="dxa"/>
            </w:tcMar>
            <w:vAlign w:val="center"/>
          </w:tcPr>
          <w:p w14:paraId="5C824A19" w14:textId="77777777" w:rsidR="00576FE1" w:rsidRPr="002F5B5C" w:rsidRDefault="00576FE1" w:rsidP="00115CD6">
            <w:pPr>
              <w:keepNext/>
              <w:adjustRightInd w:val="0"/>
              <w:spacing w:before="60" w:after="60"/>
              <w:rPr>
                <w:color w:val="000000"/>
                <w:sz w:val="18"/>
                <w:szCs w:val="18"/>
              </w:rPr>
            </w:pPr>
            <w:r w:rsidRPr="002F5B5C">
              <w:rPr>
                <w:color w:val="000000"/>
                <w:sz w:val="18"/>
                <w:szCs w:val="18"/>
              </w:rPr>
              <w:t>Serious TEAE</w:t>
            </w:r>
          </w:p>
        </w:tc>
        <w:tc>
          <w:tcPr>
            <w:tcW w:w="2126" w:type="dxa"/>
            <w:shd w:val="clear" w:color="auto" w:fill="FFFFFF"/>
            <w:tcMar>
              <w:left w:w="60" w:type="dxa"/>
              <w:right w:w="60" w:type="dxa"/>
            </w:tcMar>
            <w:vAlign w:val="center"/>
          </w:tcPr>
          <w:p w14:paraId="0D619573"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72 (29.9%) </w:t>
            </w:r>
          </w:p>
          <w:p w14:paraId="73AF139F"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24.2</w:t>
            </w:r>
            <w:proofErr w:type="gramStart"/>
            <w:r w:rsidRPr="002F5B5C">
              <w:rPr>
                <w:color w:val="000000"/>
                <w:sz w:val="18"/>
                <w:szCs w:val="18"/>
              </w:rPr>
              <w:t>% ;</w:t>
            </w:r>
            <w:proofErr w:type="gramEnd"/>
            <w:r w:rsidRPr="002F5B5C">
              <w:rPr>
                <w:color w:val="000000"/>
                <w:sz w:val="18"/>
                <w:szCs w:val="18"/>
              </w:rPr>
              <w:t xml:space="preserve"> 36.1%</w:t>
            </w:r>
            <w:r>
              <w:rPr>
                <w:color w:val="000000"/>
                <w:sz w:val="18"/>
                <w:szCs w:val="18"/>
              </w:rPr>
              <w:t>]</w:t>
            </w:r>
          </w:p>
        </w:tc>
        <w:tc>
          <w:tcPr>
            <w:tcW w:w="2233" w:type="dxa"/>
            <w:shd w:val="clear" w:color="auto" w:fill="FFFFFF"/>
            <w:tcMar>
              <w:left w:w="60" w:type="dxa"/>
              <w:right w:w="60" w:type="dxa"/>
            </w:tcMar>
            <w:vAlign w:val="center"/>
          </w:tcPr>
          <w:p w14:paraId="1E90B978"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51 (21.1%) </w:t>
            </w:r>
          </w:p>
          <w:p w14:paraId="3127EA11"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16.1</w:t>
            </w:r>
            <w:proofErr w:type="gramStart"/>
            <w:r w:rsidRPr="002F5B5C">
              <w:rPr>
                <w:color w:val="000000"/>
                <w:sz w:val="18"/>
                <w:szCs w:val="18"/>
              </w:rPr>
              <w:t>% ;</w:t>
            </w:r>
            <w:proofErr w:type="gramEnd"/>
            <w:r w:rsidRPr="002F5B5C">
              <w:rPr>
                <w:color w:val="000000"/>
                <w:sz w:val="18"/>
                <w:szCs w:val="18"/>
              </w:rPr>
              <w:t xml:space="preserve"> 26.8%</w:t>
            </w:r>
            <w:r>
              <w:rPr>
                <w:color w:val="000000"/>
                <w:sz w:val="18"/>
                <w:szCs w:val="18"/>
              </w:rPr>
              <w:t>]</w:t>
            </w:r>
          </w:p>
        </w:tc>
        <w:tc>
          <w:tcPr>
            <w:tcW w:w="0" w:type="auto"/>
            <w:shd w:val="clear" w:color="auto" w:fill="FFFFFF"/>
            <w:tcMar>
              <w:left w:w="60" w:type="dxa"/>
              <w:right w:w="60" w:type="dxa"/>
            </w:tcMar>
            <w:vAlign w:val="center"/>
          </w:tcPr>
          <w:p w14:paraId="634B4DDD"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123 (25.5%) </w:t>
            </w:r>
          </w:p>
          <w:p w14:paraId="5AF70042"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21.6</w:t>
            </w:r>
            <w:proofErr w:type="gramStart"/>
            <w:r w:rsidRPr="002F5B5C">
              <w:rPr>
                <w:color w:val="000000"/>
                <w:sz w:val="18"/>
                <w:szCs w:val="18"/>
              </w:rPr>
              <w:t>% ;</w:t>
            </w:r>
            <w:proofErr w:type="gramEnd"/>
            <w:r w:rsidRPr="002F5B5C">
              <w:rPr>
                <w:color w:val="000000"/>
                <w:sz w:val="18"/>
                <w:szCs w:val="18"/>
              </w:rPr>
              <w:t xml:space="preserve"> 29.6%</w:t>
            </w:r>
            <w:r>
              <w:rPr>
                <w:color w:val="000000"/>
                <w:sz w:val="18"/>
                <w:szCs w:val="18"/>
              </w:rPr>
              <w:t>]</w:t>
            </w:r>
          </w:p>
        </w:tc>
      </w:tr>
      <w:tr w:rsidR="00576FE1" w:rsidRPr="002F5B5C" w14:paraId="57AC6968" w14:textId="77777777" w:rsidTr="00115CD6">
        <w:trPr>
          <w:cantSplit/>
          <w:trHeight w:val="560"/>
          <w:jc w:val="center"/>
        </w:trPr>
        <w:tc>
          <w:tcPr>
            <w:tcW w:w="2977" w:type="dxa"/>
            <w:shd w:val="clear" w:color="auto" w:fill="FFFFFF"/>
            <w:tcMar>
              <w:left w:w="60" w:type="dxa"/>
              <w:right w:w="60" w:type="dxa"/>
            </w:tcMar>
            <w:vAlign w:val="center"/>
          </w:tcPr>
          <w:p w14:paraId="1C2C0CEA" w14:textId="77777777" w:rsidR="00576FE1" w:rsidRPr="002F5B5C" w:rsidRDefault="00576FE1" w:rsidP="00115CD6">
            <w:pPr>
              <w:keepNext/>
              <w:adjustRightInd w:val="0"/>
              <w:spacing w:before="60" w:after="60"/>
              <w:rPr>
                <w:color w:val="000000"/>
                <w:sz w:val="18"/>
                <w:szCs w:val="18"/>
              </w:rPr>
            </w:pPr>
            <w:r w:rsidRPr="002F5B5C">
              <w:rPr>
                <w:color w:val="000000"/>
                <w:sz w:val="18"/>
                <w:szCs w:val="18"/>
              </w:rPr>
              <w:t>Serious IMP-related TEAE</w:t>
            </w:r>
          </w:p>
        </w:tc>
        <w:tc>
          <w:tcPr>
            <w:tcW w:w="2126" w:type="dxa"/>
            <w:shd w:val="clear" w:color="auto" w:fill="FFFFFF"/>
            <w:tcMar>
              <w:left w:w="60" w:type="dxa"/>
              <w:right w:w="60" w:type="dxa"/>
            </w:tcMar>
            <w:vAlign w:val="center"/>
          </w:tcPr>
          <w:p w14:paraId="60F83A2F"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21 (8.7%) </w:t>
            </w:r>
          </w:p>
          <w:p w14:paraId="2DDCFA5D"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5.5</w:t>
            </w:r>
            <w:proofErr w:type="gramStart"/>
            <w:r w:rsidRPr="002F5B5C">
              <w:rPr>
                <w:color w:val="000000"/>
                <w:sz w:val="18"/>
                <w:szCs w:val="18"/>
              </w:rPr>
              <w:t>% ;</w:t>
            </w:r>
            <w:proofErr w:type="gramEnd"/>
            <w:r w:rsidRPr="002F5B5C">
              <w:rPr>
                <w:color w:val="000000"/>
                <w:sz w:val="18"/>
                <w:szCs w:val="18"/>
              </w:rPr>
              <w:t xml:space="preserve"> 13.0%</w:t>
            </w:r>
            <w:r>
              <w:rPr>
                <w:color w:val="000000"/>
                <w:sz w:val="18"/>
                <w:szCs w:val="18"/>
              </w:rPr>
              <w:t>]</w:t>
            </w:r>
          </w:p>
        </w:tc>
        <w:tc>
          <w:tcPr>
            <w:tcW w:w="2233" w:type="dxa"/>
            <w:shd w:val="clear" w:color="auto" w:fill="FFFFFF"/>
            <w:tcMar>
              <w:left w:w="60" w:type="dxa"/>
              <w:right w:w="60" w:type="dxa"/>
            </w:tcMar>
            <w:vAlign w:val="center"/>
          </w:tcPr>
          <w:p w14:paraId="117D7ABC"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7 (2.9%) </w:t>
            </w:r>
          </w:p>
          <w:p w14:paraId="15DA3393"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1.2</w:t>
            </w:r>
            <w:proofErr w:type="gramStart"/>
            <w:r w:rsidRPr="002F5B5C">
              <w:rPr>
                <w:color w:val="000000"/>
                <w:sz w:val="18"/>
                <w:szCs w:val="18"/>
              </w:rPr>
              <w:t>% ;</w:t>
            </w:r>
            <w:proofErr w:type="gramEnd"/>
            <w:r w:rsidRPr="002F5B5C">
              <w:rPr>
                <w:color w:val="000000"/>
                <w:sz w:val="18"/>
                <w:szCs w:val="18"/>
              </w:rPr>
              <w:t xml:space="preserve"> 5.9%</w:t>
            </w:r>
            <w:r>
              <w:rPr>
                <w:color w:val="000000"/>
                <w:sz w:val="18"/>
                <w:szCs w:val="18"/>
              </w:rPr>
              <w:t>]</w:t>
            </w:r>
          </w:p>
        </w:tc>
        <w:tc>
          <w:tcPr>
            <w:tcW w:w="0" w:type="auto"/>
            <w:shd w:val="clear" w:color="auto" w:fill="FFFFFF"/>
            <w:tcMar>
              <w:left w:w="60" w:type="dxa"/>
              <w:right w:w="60" w:type="dxa"/>
            </w:tcMar>
            <w:vAlign w:val="center"/>
          </w:tcPr>
          <w:p w14:paraId="6EF9477F"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28 (5.8%) </w:t>
            </w:r>
          </w:p>
          <w:p w14:paraId="6C38BCB5"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3.9</w:t>
            </w:r>
            <w:proofErr w:type="gramStart"/>
            <w:r w:rsidRPr="002F5B5C">
              <w:rPr>
                <w:color w:val="000000"/>
                <w:sz w:val="18"/>
                <w:szCs w:val="18"/>
              </w:rPr>
              <w:t>% ;</w:t>
            </w:r>
            <w:proofErr w:type="gramEnd"/>
            <w:r w:rsidRPr="002F5B5C">
              <w:rPr>
                <w:color w:val="000000"/>
                <w:sz w:val="18"/>
                <w:szCs w:val="18"/>
              </w:rPr>
              <w:t xml:space="preserve"> 8.3%</w:t>
            </w:r>
            <w:r>
              <w:rPr>
                <w:color w:val="000000"/>
                <w:sz w:val="18"/>
                <w:szCs w:val="18"/>
              </w:rPr>
              <w:t>]</w:t>
            </w:r>
          </w:p>
        </w:tc>
      </w:tr>
      <w:tr w:rsidR="00576FE1" w:rsidRPr="002F5B5C" w14:paraId="4E77894D" w14:textId="77777777" w:rsidTr="00115CD6">
        <w:trPr>
          <w:cantSplit/>
          <w:trHeight w:val="547"/>
          <w:jc w:val="center"/>
        </w:trPr>
        <w:tc>
          <w:tcPr>
            <w:tcW w:w="2977" w:type="dxa"/>
            <w:shd w:val="clear" w:color="auto" w:fill="FFFFFF"/>
            <w:tcMar>
              <w:left w:w="60" w:type="dxa"/>
              <w:right w:w="60" w:type="dxa"/>
            </w:tcMar>
            <w:vAlign w:val="center"/>
          </w:tcPr>
          <w:p w14:paraId="0C54AC27" w14:textId="77777777" w:rsidR="00576FE1" w:rsidRPr="002F5B5C" w:rsidRDefault="00576FE1" w:rsidP="00115CD6">
            <w:pPr>
              <w:keepNext/>
              <w:adjustRightInd w:val="0"/>
              <w:spacing w:before="60" w:after="60"/>
              <w:rPr>
                <w:color w:val="000000"/>
                <w:sz w:val="18"/>
                <w:szCs w:val="18"/>
              </w:rPr>
            </w:pPr>
            <w:r w:rsidRPr="002F5B5C">
              <w:rPr>
                <w:color w:val="000000"/>
                <w:sz w:val="18"/>
                <w:szCs w:val="18"/>
              </w:rPr>
              <w:t>Non-serious TEAE</w:t>
            </w:r>
          </w:p>
        </w:tc>
        <w:tc>
          <w:tcPr>
            <w:tcW w:w="2126" w:type="dxa"/>
            <w:shd w:val="clear" w:color="auto" w:fill="FFFFFF"/>
            <w:tcMar>
              <w:left w:w="60" w:type="dxa"/>
              <w:right w:w="60" w:type="dxa"/>
            </w:tcMar>
            <w:vAlign w:val="center"/>
          </w:tcPr>
          <w:p w14:paraId="275D00D4"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238 (98.8%) </w:t>
            </w:r>
          </w:p>
          <w:p w14:paraId="35F58262"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96.4</w:t>
            </w:r>
            <w:proofErr w:type="gramStart"/>
            <w:r w:rsidRPr="002F5B5C">
              <w:rPr>
                <w:color w:val="000000"/>
                <w:sz w:val="18"/>
                <w:szCs w:val="18"/>
              </w:rPr>
              <w:t>% ;</w:t>
            </w:r>
            <w:proofErr w:type="gramEnd"/>
            <w:r w:rsidRPr="002F5B5C">
              <w:rPr>
                <w:color w:val="000000"/>
                <w:sz w:val="18"/>
                <w:szCs w:val="18"/>
              </w:rPr>
              <w:t xml:space="preserve"> 99.7%</w:t>
            </w:r>
            <w:r>
              <w:rPr>
                <w:color w:val="000000"/>
                <w:sz w:val="18"/>
                <w:szCs w:val="18"/>
              </w:rPr>
              <w:t>]</w:t>
            </w:r>
          </w:p>
        </w:tc>
        <w:tc>
          <w:tcPr>
            <w:tcW w:w="2233" w:type="dxa"/>
            <w:shd w:val="clear" w:color="auto" w:fill="FFFFFF"/>
            <w:tcMar>
              <w:left w:w="60" w:type="dxa"/>
              <w:right w:w="60" w:type="dxa"/>
            </w:tcMar>
            <w:vAlign w:val="center"/>
          </w:tcPr>
          <w:p w14:paraId="2697BA60"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239 (98.8%) </w:t>
            </w:r>
          </w:p>
          <w:p w14:paraId="25D5C75F"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96.4</w:t>
            </w:r>
            <w:proofErr w:type="gramStart"/>
            <w:r w:rsidRPr="002F5B5C">
              <w:rPr>
                <w:color w:val="000000"/>
                <w:sz w:val="18"/>
                <w:szCs w:val="18"/>
              </w:rPr>
              <w:t>% ;</w:t>
            </w:r>
            <w:proofErr w:type="gramEnd"/>
            <w:r w:rsidRPr="002F5B5C">
              <w:rPr>
                <w:color w:val="000000"/>
                <w:sz w:val="18"/>
                <w:szCs w:val="18"/>
              </w:rPr>
              <w:t xml:space="preserve"> 99.7%</w:t>
            </w:r>
            <w:r>
              <w:rPr>
                <w:color w:val="000000"/>
                <w:sz w:val="18"/>
                <w:szCs w:val="18"/>
              </w:rPr>
              <w:t>]</w:t>
            </w:r>
          </w:p>
        </w:tc>
        <w:tc>
          <w:tcPr>
            <w:tcW w:w="0" w:type="auto"/>
            <w:shd w:val="clear" w:color="auto" w:fill="FFFFFF"/>
            <w:tcMar>
              <w:left w:w="60" w:type="dxa"/>
              <w:right w:w="60" w:type="dxa"/>
            </w:tcMar>
            <w:vAlign w:val="center"/>
          </w:tcPr>
          <w:p w14:paraId="154E60D4"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477 (98.8%)</w:t>
            </w:r>
          </w:p>
          <w:p w14:paraId="7AE56C45"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97.3</w:t>
            </w:r>
            <w:proofErr w:type="gramStart"/>
            <w:r w:rsidRPr="002F5B5C">
              <w:rPr>
                <w:color w:val="000000"/>
                <w:sz w:val="18"/>
                <w:szCs w:val="18"/>
              </w:rPr>
              <w:t>% ;</w:t>
            </w:r>
            <w:proofErr w:type="gramEnd"/>
            <w:r w:rsidRPr="002F5B5C">
              <w:rPr>
                <w:color w:val="000000"/>
                <w:sz w:val="18"/>
                <w:szCs w:val="18"/>
              </w:rPr>
              <w:t xml:space="preserve"> 99.5%</w:t>
            </w:r>
            <w:r>
              <w:rPr>
                <w:color w:val="000000"/>
                <w:sz w:val="18"/>
                <w:szCs w:val="18"/>
              </w:rPr>
              <w:t>]</w:t>
            </w:r>
          </w:p>
        </w:tc>
      </w:tr>
      <w:tr w:rsidR="00576FE1" w:rsidRPr="002F5B5C" w14:paraId="2759918E" w14:textId="77777777" w:rsidTr="00115CD6">
        <w:trPr>
          <w:cantSplit/>
          <w:trHeight w:val="560"/>
          <w:jc w:val="center"/>
        </w:trPr>
        <w:tc>
          <w:tcPr>
            <w:tcW w:w="2977" w:type="dxa"/>
            <w:shd w:val="clear" w:color="auto" w:fill="FFFFFF"/>
            <w:tcMar>
              <w:left w:w="60" w:type="dxa"/>
              <w:right w:w="60" w:type="dxa"/>
            </w:tcMar>
            <w:vAlign w:val="center"/>
          </w:tcPr>
          <w:p w14:paraId="5ADB4116" w14:textId="77777777" w:rsidR="00576FE1" w:rsidRPr="002F5B5C" w:rsidRDefault="00576FE1" w:rsidP="00115CD6">
            <w:pPr>
              <w:keepNext/>
              <w:adjustRightInd w:val="0"/>
              <w:spacing w:before="60" w:after="60"/>
              <w:rPr>
                <w:color w:val="000000"/>
                <w:sz w:val="18"/>
                <w:szCs w:val="18"/>
                <w:lang w:val="en-GB"/>
              </w:rPr>
            </w:pPr>
            <w:r w:rsidRPr="002F5B5C">
              <w:rPr>
                <w:color w:val="000000"/>
                <w:sz w:val="18"/>
                <w:szCs w:val="18"/>
                <w:lang w:val="en-GB"/>
              </w:rPr>
              <w:t xml:space="preserve">TEAE leading to study treatment discontinuation </w:t>
            </w:r>
          </w:p>
        </w:tc>
        <w:tc>
          <w:tcPr>
            <w:tcW w:w="2126" w:type="dxa"/>
            <w:shd w:val="clear" w:color="auto" w:fill="FFFFFF"/>
            <w:tcMar>
              <w:left w:w="60" w:type="dxa"/>
              <w:right w:w="60" w:type="dxa"/>
            </w:tcMar>
            <w:vAlign w:val="center"/>
          </w:tcPr>
          <w:p w14:paraId="285CDB56"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13 (5.4%) </w:t>
            </w:r>
          </w:p>
          <w:p w14:paraId="0D572CC4"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2.9</w:t>
            </w:r>
            <w:proofErr w:type="gramStart"/>
            <w:r w:rsidRPr="002F5B5C">
              <w:rPr>
                <w:color w:val="000000"/>
                <w:sz w:val="18"/>
                <w:szCs w:val="18"/>
              </w:rPr>
              <w:t>% ;</w:t>
            </w:r>
            <w:proofErr w:type="gramEnd"/>
            <w:r w:rsidRPr="002F5B5C">
              <w:rPr>
                <w:color w:val="000000"/>
                <w:sz w:val="18"/>
                <w:szCs w:val="18"/>
              </w:rPr>
              <w:t xml:space="preserve"> 9.0%</w:t>
            </w:r>
            <w:r>
              <w:rPr>
                <w:color w:val="000000"/>
                <w:sz w:val="18"/>
                <w:szCs w:val="18"/>
              </w:rPr>
              <w:t>]</w:t>
            </w:r>
          </w:p>
        </w:tc>
        <w:tc>
          <w:tcPr>
            <w:tcW w:w="2233" w:type="dxa"/>
            <w:shd w:val="clear" w:color="auto" w:fill="FFFFFF"/>
            <w:tcMar>
              <w:left w:w="60" w:type="dxa"/>
              <w:right w:w="60" w:type="dxa"/>
            </w:tcMar>
            <w:vAlign w:val="center"/>
          </w:tcPr>
          <w:p w14:paraId="645D095B"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5 (2.1%) </w:t>
            </w:r>
          </w:p>
          <w:p w14:paraId="603CE410"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0.7</w:t>
            </w:r>
            <w:proofErr w:type="gramStart"/>
            <w:r w:rsidRPr="002F5B5C">
              <w:rPr>
                <w:color w:val="000000"/>
                <w:sz w:val="18"/>
                <w:szCs w:val="18"/>
              </w:rPr>
              <w:t>% ;</w:t>
            </w:r>
            <w:proofErr w:type="gramEnd"/>
            <w:r w:rsidRPr="002F5B5C">
              <w:rPr>
                <w:color w:val="000000"/>
                <w:sz w:val="18"/>
                <w:szCs w:val="18"/>
              </w:rPr>
              <w:t xml:space="preserve"> 4.8%</w:t>
            </w:r>
            <w:r>
              <w:rPr>
                <w:color w:val="000000"/>
                <w:sz w:val="18"/>
                <w:szCs w:val="18"/>
              </w:rPr>
              <w:t>]</w:t>
            </w:r>
          </w:p>
        </w:tc>
        <w:tc>
          <w:tcPr>
            <w:tcW w:w="0" w:type="auto"/>
            <w:shd w:val="clear" w:color="auto" w:fill="FFFFFF"/>
            <w:tcMar>
              <w:left w:w="60" w:type="dxa"/>
              <w:right w:w="60" w:type="dxa"/>
            </w:tcMar>
            <w:vAlign w:val="center"/>
          </w:tcPr>
          <w:p w14:paraId="1B062B42"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18 (3.7%) </w:t>
            </w:r>
          </w:p>
          <w:p w14:paraId="56B6369A"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2.2</w:t>
            </w:r>
            <w:proofErr w:type="gramStart"/>
            <w:r w:rsidRPr="002F5B5C">
              <w:rPr>
                <w:color w:val="000000"/>
                <w:sz w:val="18"/>
                <w:szCs w:val="18"/>
              </w:rPr>
              <w:t>% ;</w:t>
            </w:r>
            <w:proofErr w:type="gramEnd"/>
            <w:r w:rsidRPr="002F5B5C">
              <w:rPr>
                <w:color w:val="000000"/>
                <w:sz w:val="18"/>
                <w:szCs w:val="18"/>
              </w:rPr>
              <w:t xml:space="preserve"> 5.8%</w:t>
            </w:r>
            <w:r>
              <w:rPr>
                <w:color w:val="000000"/>
                <w:sz w:val="18"/>
                <w:szCs w:val="18"/>
              </w:rPr>
              <w:t>]</w:t>
            </w:r>
          </w:p>
        </w:tc>
      </w:tr>
      <w:tr w:rsidR="00576FE1" w:rsidRPr="00E55E01" w14:paraId="6D65CE28" w14:textId="77777777" w:rsidTr="00115CD6">
        <w:trPr>
          <w:cantSplit/>
          <w:trHeight w:val="531"/>
          <w:jc w:val="center"/>
        </w:trPr>
        <w:tc>
          <w:tcPr>
            <w:tcW w:w="2977" w:type="dxa"/>
            <w:shd w:val="clear" w:color="auto" w:fill="FFFFFF"/>
            <w:tcMar>
              <w:left w:w="60" w:type="dxa"/>
              <w:right w:w="60" w:type="dxa"/>
            </w:tcMar>
            <w:vAlign w:val="center"/>
          </w:tcPr>
          <w:p w14:paraId="3231C5BC" w14:textId="77777777" w:rsidR="00576FE1" w:rsidRPr="002F5B5C" w:rsidRDefault="00576FE1" w:rsidP="00115CD6">
            <w:pPr>
              <w:keepNext/>
              <w:adjustRightInd w:val="0"/>
              <w:spacing w:before="60" w:after="60"/>
              <w:rPr>
                <w:color w:val="000000"/>
                <w:sz w:val="18"/>
                <w:szCs w:val="18"/>
                <w:lang w:val="en-GB"/>
              </w:rPr>
            </w:pPr>
            <w:r>
              <w:rPr>
                <w:color w:val="000000"/>
                <w:sz w:val="18"/>
                <w:szCs w:val="18"/>
                <w:lang w:val="en-GB"/>
              </w:rPr>
              <w:t xml:space="preserve">TEAE leading to permanent treatment discontinuation </w:t>
            </w:r>
          </w:p>
        </w:tc>
        <w:tc>
          <w:tcPr>
            <w:tcW w:w="2126" w:type="dxa"/>
            <w:shd w:val="clear" w:color="auto" w:fill="FFFFFF"/>
            <w:tcMar>
              <w:left w:w="60" w:type="dxa"/>
              <w:right w:w="60" w:type="dxa"/>
            </w:tcMar>
          </w:tcPr>
          <w:p w14:paraId="3A7B8C46" w14:textId="77777777" w:rsidR="00576FE1" w:rsidRPr="00E55E01" w:rsidRDefault="00576FE1" w:rsidP="00115CD6">
            <w:pPr>
              <w:keepNext/>
              <w:adjustRightInd w:val="0"/>
              <w:spacing w:before="60" w:after="60"/>
              <w:jc w:val="center"/>
              <w:rPr>
                <w:sz w:val="18"/>
                <w:szCs w:val="18"/>
              </w:rPr>
            </w:pPr>
            <w:r w:rsidRPr="00E55E01">
              <w:rPr>
                <w:sz w:val="18"/>
                <w:szCs w:val="18"/>
              </w:rPr>
              <w:t>8 (3.3%)</w:t>
            </w:r>
          </w:p>
          <w:p w14:paraId="30C11E24" w14:textId="77777777" w:rsidR="00576FE1" w:rsidRPr="00E55E01" w:rsidRDefault="00576FE1" w:rsidP="00115CD6">
            <w:pPr>
              <w:keepNext/>
              <w:adjustRightInd w:val="0"/>
              <w:spacing w:before="60" w:after="60"/>
              <w:jc w:val="center"/>
              <w:rPr>
                <w:color w:val="000000"/>
                <w:sz w:val="18"/>
                <w:szCs w:val="18"/>
                <w:lang w:val="en-GB"/>
              </w:rPr>
            </w:pPr>
            <w:r w:rsidRPr="00E55E01">
              <w:rPr>
                <w:color w:val="000000"/>
                <w:sz w:val="18"/>
                <w:szCs w:val="18"/>
                <w:lang w:val="en-GB"/>
              </w:rPr>
              <w:t>[</w:t>
            </w:r>
            <w:r>
              <w:rPr>
                <w:color w:val="000000"/>
                <w:sz w:val="18"/>
                <w:szCs w:val="18"/>
                <w:lang w:val="en-GB"/>
              </w:rPr>
              <w:t>5.6</w:t>
            </w:r>
            <w:proofErr w:type="gramStart"/>
            <w:r>
              <w:rPr>
                <w:color w:val="000000"/>
                <w:sz w:val="18"/>
                <w:szCs w:val="18"/>
                <w:lang w:val="en-GB"/>
              </w:rPr>
              <w:t>% ;</w:t>
            </w:r>
            <w:proofErr w:type="gramEnd"/>
            <w:r>
              <w:rPr>
                <w:color w:val="000000"/>
                <w:sz w:val="18"/>
                <w:szCs w:val="18"/>
                <w:lang w:val="en-GB"/>
              </w:rPr>
              <w:t xml:space="preserve"> 1.1%]</w:t>
            </w:r>
          </w:p>
        </w:tc>
        <w:tc>
          <w:tcPr>
            <w:tcW w:w="2233" w:type="dxa"/>
            <w:shd w:val="clear" w:color="auto" w:fill="FFFFFF"/>
            <w:tcMar>
              <w:left w:w="60" w:type="dxa"/>
              <w:right w:w="60" w:type="dxa"/>
            </w:tcMar>
          </w:tcPr>
          <w:p w14:paraId="7BAE1434" w14:textId="77777777" w:rsidR="00576FE1" w:rsidRPr="00E55E01" w:rsidRDefault="00576FE1" w:rsidP="00115CD6">
            <w:pPr>
              <w:keepNext/>
              <w:adjustRightInd w:val="0"/>
              <w:spacing w:before="60" w:after="60"/>
              <w:jc w:val="center"/>
              <w:rPr>
                <w:sz w:val="18"/>
                <w:szCs w:val="18"/>
              </w:rPr>
            </w:pPr>
            <w:r w:rsidRPr="00E55E01">
              <w:rPr>
                <w:sz w:val="18"/>
                <w:szCs w:val="18"/>
              </w:rPr>
              <w:t>1 (0.4%)</w:t>
            </w:r>
          </w:p>
          <w:p w14:paraId="604A19E2" w14:textId="77777777" w:rsidR="00576FE1" w:rsidRPr="00E55E01" w:rsidRDefault="00576FE1" w:rsidP="00115CD6">
            <w:pPr>
              <w:keepNext/>
              <w:adjustRightInd w:val="0"/>
              <w:spacing w:before="60" w:after="60"/>
              <w:jc w:val="center"/>
              <w:rPr>
                <w:color w:val="000000"/>
                <w:sz w:val="18"/>
                <w:szCs w:val="18"/>
                <w:lang w:val="en-GB"/>
              </w:rPr>
            </w:pPr>
            <w:r w:rsidRPr="00E55E01">
              <w:rPr>
                <w:sz w:val="18"/>
                <w:szCs w:val="18"/>
              </w:rPr>
              <w:t>[</w:t>
            </w:r>
            <w:r>
              <w:rPr>
                <w:sz w:val="18"/>
                <w:szCs w:val="18"/>
              </w:rPr>
              <w:t>1.2</w:t>
            </w:r>
            <w:proofErr w:type="gramStart"/>
            <w:r>
              <w:rPr>
                <w:sz w:val="18"/>
                <w:szCs w:val="18"/>
              </w:rPr>
              <w:t>% ;</w:t>
            </w:r>
            <w:proofErr w:type="gramEnd"/>
            <w:r>
              <w:rPr>
                <w:sz w:val="18"/>
                <w:szCs w:val="18"/>
              </w:rPr>
              <w:t xml:space="preserve"> 0.0%]</w:t>
            </w:r>
          </w:p>
        </w:tc>
        <w:tc>
          <w:tcPr>
            <w:tcW w:w="0" w:type="auto"/>
            <w:shd w:val="clear" w:color="auto" w:fill="FFFFFF"/>
            <w:tcMar>
              <w:left w:w="60" w:type="dxa"/>
              <w:right w:w="60" w:type="dxa"/>
            </w:tcMar>
          </w:tcPr>
          <w:p w14:paraId="15CFCAD8" w14:textId="77777777" w:rsidR="00576FE1" w:rsidRPr="00E55E01" w:rsidRDefault="00576FE1" w:rsidP="00115CD6">
            <w:pPr>
              <w:keepNext/>
              <w:adjustRightInd w:val="0"/>
              <w:spacing w:before="60" w:after="60"/>
              <w:jc w:val="center"/>
              <w:rPr>
                <w:sz w:val="18"/>
                <w:szCs w:val="18"/>
              </w:rPr>
            </w:pPr>
            <w:r w:rsidRPr="00E55E01">
              <w:rPr>
                <w:sz w:val="18"/>
                <w:szCs w:val="18"/>
              </w:rPr>
              <w:t>9 (1.9%)</w:t>
            </w:r>
          </w:p>
          <w:p w14:paraId="5FA58ED8" w14:textId="77777777" w:rsidR="00576FE1" w:rsidRPr="00E55E01" w:rsidRDefault="00576FE1" w:rsidP="00115CD6">
            <w:pPr>
              <w:keepNext/>
              <w:adjustRightInd w:val="0"/>
              <w:spacing w:before="60" w:after="60"/>
              <w:jc w:val="center"/>
              <w:rPr>
                <w:color w:val="000000"/>
                <w:sz w:val="18"/>
                <w:szCs w:val="18"/>
                <w:lang w:val="en-GB"/>
              </w:rPr>
            </w:pPr>
            <w:r w:rsidRPr="00E55E01">
              <w:rPr>
                <w:sz w:val="18"/>
                <w:szCs w:val="18"/>
              </w:rPr>
              <w:t>[</w:t>
            </w:r>
            <w:r>
              <w:rPr>
                <w:sz w:val="18"/>
                <w:szCs w:val="18"/>
              </w:rPr>
              <w:t>3.1</w:t>
            </w:r>
            <w:proofErr w:type="gramStart"/>
            <w:r>
              <w:rPr>
                <w:sz w:val="18"/>
                <w:szCs w:val="18"/>
              </w:rPr>
              <w:t>% ;</w:t>
            </w:r>
            <w:proofErr w:type="gramEnd"/>
            <w:r>
              <w:rPr>
                <w:sz w:val="18"/>
                <w:szCs w:val="18"/>
              </w:rPr>
              <w:t xml:space="preserve"> 0.7%</w:t>
            </w:r>
            <w:r w:rsidRPr="00E55E01">
              <w:rPr>
                <w:sz w:val="18"/>
                <w:szCs w:val="18"/>
              </w:rPr>
              <w:t>]</w:t>
            </w:r>
          </w:p>
        </w:tc>
      </w:tr>
      <w:tr w:rsidR="00576FE1" w:rsidRPr="002F5B5C" w14:paraId="09E87ACB" w14:textId="77777777" w:rsidTr="00115CD6">
        <w:trPr>
          <w:cantSplit/>
          <w:trHeight w:val="547"/>
          <w:jc w:val="center"/>
        </w:trPr>
        <w:tc>
          <w:tcPr>
            <w:tcW w:w="2977" w:type="dxa"/>
            <w:shd w:val="clear" w:color="auto" w:fill="FFFFFF"/>
            <w:tcMar>
              <w:left w:w="60" w:type="dxa"/>
              <w:right w:w="60" w:type="dxa"/>
            </w:tcMar>
            <w:vAlign w:val="center"/>
          </w:tcPr>
          <w:p w14:paraId="75A2BEA0" w14:textId="77777777" w:rsidR="00576FE1" w:rsidRPr="00E55E01" w:rsidRDefault="00576FE1" w:rsidP="00115CD6">
            <w:pPr>
              <w:keepNext/>
              <w:adjustRightInd w:val="0"/>
              <w:spacing w:before="60" w:after="60"/>
              <w:rPr>
                <w:color w:val="000000"/>
                <w:sz w:val="18"/>
                <w:szCs w:val="18"/>
                <w:lang w:val="en-GB"/>
              </w:rPr>
            </w:pPr>
            <w:r w:rsidRPr="00E55E01">
              <w:rPr>
                <w:color w:val="000000"/>
                <w:sz w:val="18"/>
                <w:szCs w:val="18"/>
                <w:lang w:val="en-GB"/>
              </w:rPr>
              <w:t>TEAE leading to death</w:t>
            </w:r>
            <w:r>
              <w:rPr>
                <w:color w:val="000000"/>
                <w:sz w:val="18"/>
                <w:szCs w:val="18"/>
                <w:lang w:val="en-GB"/>
              </w:rPr>
              <w:t xml:space="preserve"> </w:t>
            </w:r>
            <w:r w:rsidRPr="002F5B5C">
              <w:rPr>
                <w:color w:val="000000"/>
                <w:sz w:val="18"/>
                <w:szCs w:val="18"/>
                <w:lang w:val="en-GB"/>
              </w:rPr>
              <w:t>(CTCAE grade = 5)</w:t>
            </w:r>
          </w:p>
        </w:tc>
        <w:tc>
          <w:tcPr>
            <w:tcW w:w="2126" w:type="dxa"/>
            <w:shd w:val="clear" w:color="auto" w:fill="FFFFFF"/>
            <w:tcMar>
              <w:left w:w="60" w:type="dxa"/>
              <w:right w:w="60" w:type="dxa"/>
            </w:tcMar>
            <w:vAlign w:val="center"/>
          </w:tcPr>
          <w:p w14:paraId="7F78081E"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3 (1.2%) </w:t>
            </w:r>
          </w:p>
          <w:p w14:paraId="3ADC5AD0"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0.3</w:t>
            </w:r>
            <w:proofErr w:type="gramStart"/>
            <w:r w:rsidRPr="002F5B5C">
              <w:rPr>
                <w:color w:val="000000"/>
                <w:sz w:val="18"/>
                <w:szCs w:val="18"/>
              </w:rPr>
              <w:t>% ;</w:t>
            </w:r>
            <w:proofErr w:type="gramEnd"/>
            <w:r w:rsidRPr="002F5B5C">
              <w:rPr>
                <w:color w:val="000000"/>
                <w:sz w:val="18"/>
                <w:szCs w:val="18"/>
              </w:rPr>
              <w:t xml:space="preserve"> 3.6%</w:t>
            </w:r>
            <w:r>
              <w:rPr>
                <w:color w:val="000000"/>
                <w:sz w:val="18"/>
                <w:szCs w:val="18"/>
              </w:rPr>
              <w:t>]</w:t>
            </w:r>
          </w:p>
        </w:tc>
        <w:tc>
          <w:tcPr>
            <w:tcW w:w="2233" w:type="dxa"/>
            <w:shd w:val="clear" w:color="auto" w:fill="FFFFFF"/>
            <w:tcMar>
              <w:left w:w="60" w:type="dxa"/>
              <w:right w:w="60" w:type="dxa"/>
            </w:tcMar>
            <w:vAlign w:val="center"/>
          </w:tcPr>
          <w:p w14:paraId="3294B767"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2 (0.8%) </w:t>
            </w:r>
          </w:p>
          <w:p w14:paraId="0E4CBC18"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0.1</w:t>
            </w:r>
            <w:proofErr w:type="gramStart"/>
            <w:r w:rsidRPr="002F5B5C">
              <w:rPr>
                <w:color w:val="000000"/>
                <w:sz w:val="18"/>
                <w:szCs w:val="18"/>
              </w:rPr>
              <w:t>% ;</w:t>
            </w:r>
            <w:proofErr w:type="gramEnd"/>
            <w:r w:rsidRPr="002F5B5C">
              <w:rPr>
                <w:color w:val="000000"/>
                <w:sz w:val="18"/>
                <w:szCs w:val="18"/>
              </w:rPr>
              <w:t xml:space="preserve"> 3.0%</w:t>
            </w:r>
            <w:r>
              <w:rPr>
                <w:color w:val="000000"/>
                <w:sz w:val="18"/>
                <w:szCs w:val="18"/>
              </w:rPr>
              <w:t>]</w:t>
            </w:r>
          </w:p>
        </w:tc>
        <w:tc>
          <w:tcPr>
            <w:tcW w:w="0" w:type="auto"/>
            <w:shd w:val="clear" w:color="auto" w:fill="FFFFFF"/>
            <w:tcMar>
              <w:left w:w="60" w:type="dxa"/>
              <w:right w:w="60" w:type="dxa"/>
            </w:tcMar>
            <w:vAlign w:val="center"/>
          </w:tcPr>
          <w:p w14:paraId="30D897BF" w14:textId="77777777" w:rsidR="00576FE1" w:rsidRDefault="00576FE1" w:rsidP="00115CD6">
            <w:pPr>
              <w:keepNext/>
              <w:adjustRightInd w:val="0"/>
              <w:spacing w:before="60" w:after="60"/>
              <w:jc w:val="center"/>
              <w:rPr>
                <w:color w:val="000000"/>
                <w:sz w:val="18"/>
                <w:szCs w:val="18"/>
              </w:rPr>
            </w:pPr>
            <w:r w:rsidRPr="002F5B5C">
              <w:rPr>
                <w:color w:val="000000"/>
                <w:sz w:val="18"/>
                <w:szCs w:val="18"/>
              </w:rPr>
              <w:t xml:space="preserve">5 (1.0%) </w:t>
            </w:r>
          </w:p>
          <w:p w14:paraId="0042489E" w14:textId="77777777" w:rsidR="00576FE1" w:rsidRPr="002F5B5C" w:rsidRDefault="00576FE1" w:rsidP="00115CD6">
            <w:pPr>
              <w:keepNext/>
              <w:adjustRightInd w:val="0"/>
              <w:spacing w:before="60" w:after="60"/>
              <w:jc w:val="center"/>
              <w:rPr>
                <w:color w:val="000000"/>
                <w:sz w:val="18"/>
                <w:szCs w:val="18"/>
              </w:rPr>
            </w:pPr>
            <w:r>
              <w:rPr>
                <w:color w:val="000000"/>
                <w:sz w:val="18"/>
                <w:szCs w:val="18"/>
              </w:rPr>
              <w:t>[</w:t>
            </w:r>
            <w:r w:rsidRPr="002F5B5C">
              <w:rPr>
                <w:color w:val="000000"/>
                <w:sz w:val="18"/>
                <w:szCs w:val="18"/>
              </w:rPr>
              <w:t>0.3</w:t>
            </w:r>
            <w:proofErr w:type="gramStart"/>
            <w:r w:rsidRPr="002F5B5C">
              <w:rPr>
                <w:color w:val="000000"/>
                <w:sz w:val="18"/>
                <w:szCs w:val="18"/>
              </w:rPr>
              <w:t>% ;</w:t>
            </w:r>
            <w:proofErr w:type="gramEnd"/>
            <w:r w:rsidRPr="002F5B5C">
              <w:rPr>
                <w:color w:val="000000"/>
                <w:sz w:val="18"/>
                <w:szCs w:val="18"/>
              </w:rPr>
              <w:t xml:space="preserve"> 2.4%</w:t>
            </w:r>
            <w:r>
              <w:rPr>
                <w:color w:val="000000"/>
                <w:sz w:val="18"/>
                <w:szCs w:val="18"/>
              </w:rPr>
              <w:t>]</w:t>
            </w:r>
          </w:p>
        </w:tc>
      </w:tr>
    </w:tbl>
    <w:p w14:paraId="4671CB53" w14:textId="77777777" w:rsidR="00764782" w:rsidRDefault="00576FE1" w:rsidP="00800E62">
      <w:pPr>
        <w:adjustRightInd w:val="0"/>
        <w:spacing w:after="0" w:line="240" w:lineRule="auto"/>
        <w:ind w:hanging="426"/>
        <w:rPr>
          <w:i/>
          <w:color w:val="000000"/>
          <w:sz w:val="18"/>
          <w:szCs w:val="18"/>
          <w:lang w:val="en-GB"/>
        </w:rPr>
      </w:pPr>
      <w:r w:rsidRPr="00CB5252">
        <w:rPr>
          <w:i/>
          <w:color w:val="000000"/>
          <w:sz w:val="18"/>
          <w:szCs w:val="18"/>
          <w:lang w:val="en-GB"/>
        </w:rPr>
        <w:t xml:space="preserve">AE: adverse event. TEAE: treatment emergent adverse event. IMP: investigational medicinal product. </w:t>
      </w:r>
    </w:p>
    <w:p w14:paraId="36BB635D" w14:textId="561A350B" w:rsidR="00576FE1" w:rsidRPr="00CB5252" w:rsidRDefault="00576FE1" w:rsidP="00800E62">
      <w:pPr>
        <w:adjustRightInd w:val="0"/>
        <w:spacing w:after="0" w:line="240" w:lineRule="auto"/>
        <w:ind w:hanging="426"/>
        <w:rPr>
          <w:i/>
          <w:color w:val="000000"/>
          <w:sz w:val="18"/>
          <w:szCs w:val="18"/>
          <w:lang w:val="en-GB"/>
        </w:rPr>
      </w:pPr>
      <w:r w:rsidRPr="00CB5252">
        <w:rPr>
          <w:i/>
          <w:sz w:val="18"/>
          <w:szCs w:val="18"/>
          <w:lang w:val="en-GB"/>
        </w:rPr>
        <w:t xml:space="preserve">Data are n (%) [95%CI], unless otherwise specified. </w:t>
      </w:r>
    </w:p>
    <w:p w14:paraId="19638D04" w14:textId="2CC2307E" w:rsidR="00576FE1" w:rsidRDefault="00576FE1" w:rsidP="00800E62">
      <w:pPr>
        <w:spacing w:after="0" w:line="240" w:lineRule="auto"/>
        <w:ind w:hanging="426"/>
        <w:rPr>
          <w:rFonts w:ascii="Tahoma" w:hAnsi="Tahoma" w:cs="Tahoma"/>
          <w:color w:val="000000"/>
          <w:lang w:val="en-GB"/>
        </w:rPr>
      </w:pPr>
      <w:r w:rsidRPr="0011227C">
        <w:rPr>
          <w:i/>
          <w:sz w:val="18"/>
          <w:szCs w:val="18"/>
          <w:lang w:val="en-GB"/>
        </w:rPr>
        <w:t>(</w:t>
      </w:r>
      <w:r w:rsidRPr="0011227C">
        <w:rPr>
          <w:i/>
          <w:sz w:val="18"/>
          <w:szCs w:val="18"/>
          <w:u w:val="single"/>
          <w:lang w:val="en-GB"/>
        </w:rPr>
        <w:t>Cross reference</w:t>
      </w:r>
      <w:r w:rsidRPr="0011227C">
        <w:rPr>
          <w:i/>
          <w:sz w:val="18"/>
          <w:szCs w:val="18"/>
          <w:lang w:val="en-GB"/>
        </w:rPr>
        <w:t xml:space="preserve">: </w:t>
      </w:r>
      <w:r>
        <w:rPr>
          <w:i/>
          <w:sz w:val="18"/>
          <w:szCs w:val="18"/>
          <w:lang w:val="en-GB"/>
        </w:rPr>
        <w:t>Table 160</w:t>
      </w:r>
      <w:r w:rsidRPr="0011227C">
        <w:rPr>
          <w:i/>
          <w:sz w:val="18"/>
          <w:szCs w:val="18"/>
          <w:lang w:val="en-GB"/>
        </w:rPr>
        <w:t xml:space="preserve"> of Final Analysis Statistical Report dated </w:t>
      </w:r>
      <w:r w:rsidR="001B1571">
        <w:rPr>
          <w:i/>
          <w:sz w:val="18"/>
          <w:szCs w:val="18"/>
          <w:lang w:val="en-GB"/>
        </w:rPr>
        <w:t>4</w:t>
      </w:r>
      <w:r w:rsidR="001B1571" w:rsidRPr="001B1571">
        <w:rPr>
          <w:i/>
          <w:sz w:val="18"/>
          <w:szCs w:val="18"/>
          <w:vertAlign w:val="superscript"/>
          <w:lang w:val="en-GB"/>
        </w:rPr>
        <w:t>th</w:t>
      </w:r>
      <w:r w:rsidR="001B1571">
        <w:rPr>
          <w:i/>
          <w:sz w:val="18"/>
          <w:szCs w:val="18"/>
          <w:lang w:val="en-GB"/>
        </w:rPr>
        <w:t xml:space="preserve"> September</w:t>
      </w:r>
      <w:r w:rsidRPr="0011227C">
        <w:rPr>
          <w:i/>
          <w:sz w:val="18"/>
          <w:szCs w:val="18"/>
          <w:lang w:val="en-GB"/>
        </w:rPr>
        <w:t xml:space="preserve"> 2020).</w:t>
      </w:r>
      <w:r>
        <w:rPr>
          <w:rFonts w:ascii="Tahoma" w:hAnsi="Tahoma" w:cs="Tahoma"/>
          <w:color w:val="000000"/>
          <w:lang w:val="en-GB"/>
        </w:rPr>
        <w:br w:type="page"/>
      </w:r>
    </w:p>
    <w:p w14:paraId="0AA72F4F" w14:textId="63216ED5" w:rsidR="00576FE1" w:rsidRDefault="00576FE1" w:rsidP="002221CF">
      <w:pPr>
        <w:pStyle w:val="Descripcin"/>
        <w:keepNext/>
        <w:outlineLvl w:val="0"/>
      </w:pPr>
      <w:bookmarkStart w:id="669" w:name="_Ref52424928"/>
      <w:bookmarkStart w:id="670" w:name="_Toc52046489"/>
      <w:bookmarkStart w:id="671" w:name="_Toc52446214"/>
      <w:bookmarkStart w:id="672" w:name="_Toc52468171"/>
      <w:r>
        <w:lastRenderedPageBreak/>
        <w:t xml:space="preserve">Table </w:t>
      </w:r>
      <w:r>
        <w:fldChar w:fldCharType="begin"/>
      </w:r>
      <w:r>
        <w:instrText xml:space="preserve"> SEQ Table \* ARABIC </w:instrText>
      </w:r>
      <w:r>
        <w:fldChar w:fldCharType="separate"/>
      </w:r>
      <w:r w:rsidR="002221CF">
        <w:rPr>
          <w:noProof/>
        </w:rPr>
        <w:t>13</w:t>
      </w:r>
      <w:r>
        <w:fldChar w:fldCharType="end"/>
      </w:r>
      <w:bookmarkEnd w:id="669"/>
      <w:r>
        <w:t>. T</w:t>
      </w:r>
      <w:r w:rsidRPr="00E64DFA">
        <w:t xml:space="preserve">oxicity summary for </w:t>
      </w:r>
      <w:r>
        <w:t>TEAE</w:t>
      </w:r>
      <w:r w:rsidRPr="00E64DFA">
        <w:t>s of any type reported for &gt;5% of patients in any study group (</w:t>
      </w:r>
      <w:r>
        <w:t>S</w:t>
      </w:r>
      <w:r w:rsidRPr="00E64DFA">
        <w:t>afety population).</w:t>
      </w:r>
      <w:bookmarkEnd w:id="670"/>
      <w:bookmarkEnd w:id="671"/>
      <w:bookmarkEnd w:id="672"/>
    </w:p>
    <w:tbl>
      <w:tblPr>
        <w:tblStyle w:val="Tablaconcuadrcula"/>
        <w:tblW w:w="905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5"/>
        <w:gridCol w:w="1710"/>
        <w:gridCol w:w="1567"/>
        <w:gridCol w:w="1506"/>
      </w:tblGrid>
      <w:tr w:rsidR="00576FE1" w14:paraId="16B133AB" w14:textId="77777777" w:rsidTr="0047771E">
        <w:trPr>
          <w:trHeight w:val="687"/>
          <w:tblHeader/>
        </w:trPr>
        <w:tc>
          <w:tcPr>
            <w:tcW w:w="4275" w:type="dxa"/>
            <w:tcBorders>
              <w:top w:val="single" w:sz="4" w:space="0" w:color="auto"/>
              <w:bottom w:val="single" w:sz="4" w:space="0" w:color="auto"/>
            </w:tcBorders>
            <w:vAlign w:val="center"/>
          </w:tcPr>
          <w:p w14:paraId="4ACEAEDC" w14:textId="77777777" w:rsidR="00576FE1" w:rsidRDefault="00576FE1" w:rsidP="00115CD6">
            <w:pPr>
              <w:keepNext/>
              <w:adjustRightInd w:val="0"/>
              <w:spacing w:after="0" w:line="240" w:lineRule="auto"/>
              <w:rPr>
                <w:b/>
                <w:bCs/>
                <w:lang w:val="en-GB"/>
              </w:rPr>
            </w:pPr>
            <w:r>
              <w:rPr>
                <w:b/>
                <w:bCs/>
                <w:lang w:val="en-GB"/>
              </w:rPr>
              <w:t xml:space="preserve">SOC / PT </w:t>
            </w:r>
          </w:p>
          <w:p w14:paraId="7616FA7F" w14:textId="77777777" w:rsidR="00576FE1" w:rsidRDefault="00576FE1" w:rsidP="00115CD6">
            <w:pPr>
              <w:pStyle w:val="RRNormal"/>
              <w:spacing w:after="0" w:line="240" w:lineRule="auto"/>
              <w:rPr>
                <w:lang w:val="en-GB"/>
              </w:rPr>
            </w:pPr>
            <w:r w:rsidRPr="005C01C5">
              <w:rPr>
                <w:bCs/>
                <w:lang w:val="en-GB"/>
              </w:rPr>
              <w:t>N (%)</w:t>
            </w:r>
          </w:p>
        </w:tc>
        <w:tc>
          <w:tcPr>
            <w:tcW w:w="1710" w:type="dxa"/>
            <w:tcBorders>
              <w:top w:val="single" w:sz="4" w:space="0" w:color="auto"/>
              <w:bottom w:val="single" w:sz="4" w:space="0" w:color="auto"/>
            </w:tcBorders>
            <w:vAlign w:val="center"/>
          </w:tcPr>
          <w:p w14:paraId="6A94CC66" w14:textId="77777777" w:rsidR="00576FE1" w:rsidRPr="00B16B81" w:rsidRDefault="00576FE1" w:rsidP="00115CD6">
            <w:pPr>
              <w:keepNext/>
              <w:adjustRightInd w:val="0"/>
              <w:spacing w:after="0" w:line="240" w:lineRule="auto"/>
              <w:jc w:val="center"/>
              <w:rPr>
                <w:b/>
                <w:bCs/>
              </w:rPr>
            </w:pPr>
            <w:r w:rsidRPr="00B16B81">
              <w:rPr>
                <w:b/>
                <w:bCs/>
              </w:rPr>
              <w:t>Palbociclib-</w:t>
            </w:r>
          </w:p>
          <w:p w14:paraId="69726568" w14:textId="77777777" w:rsidR="00576FE1" w:rsidRPr="00B16B81" w:rsidRDefault="00576FE1" w:rsidP="00115CD6">
            <w:pPr>
              <w:keepNext/>
              <w:adjustRightInd w:val="0"/>
              <w:spacing w:after="0" w:line="240" w:lineRule="auto"/>
              <w:jc w:val="center"/>
              <w:rPr>
                <w:b/>
                <w:bCs/>
              </w:rPr>
            </w:pPr>
            <w:proofErr w:type="spellStart"/>
            <w:r w:rsidRPr="00B16B81">
              <w:rPr>
                <w:b/>
                <w:bCs/>
              </w:rPr>
              <w:t>Fulvestrant</w:t>
            </w:r>
            <w:proofErr w:type="spellEnd"/>
          </w:p>
          <w:p w14:paraId="64A92663" w14:textId="77777777" w:rsidR="00576FE1" w:rsidRDefault="00576FE1" w:rsidP="00115CD6">
            <w:pPr>
              <w:pStyle w:val="RRNormal"/>
              <w:spacing w:after="0" w:line="240" w:lineRule="auto"/>
              <w:jc w:val="center"/>
              <w:rPr>
                <w:lang w:val="en-GB"/>
              </w:rPr>
            </w:pPr>
            <w:r w:rsidRPr="001E766D">
              <w:rPr>
                <w:bCs/>
              </w:rPr>
              <w:t>(N=241)</w:t>
            </w:r>
          </w:p>
        </w:tc>
        <w:tc>
          <w:tcPr>
            <w:tcW w:w="1567" w:type="dxa"/>
            <w:tcBorders>
              <w:top w:val="single" w:sz="4" w:space="0" w:color="auto"/>
              <w:bottom w:val="single" w:sz="4" w:space="0" w:color="auto"/>
            </w:tcBorders>
            <w:vAlign w:val="center"/>
          </w:tcPr>
          <w:p w14:paraId="48329B7A" w14:textId="77777777" w:rsidR="00576FE1" w:rsidRPr="00B16B81" w:rsidRDefault="00576FE1" w:rsidP="00115CD6">
            <w:pPr>
              <w:keepNext/>
              <w:adjustRightInd w:val="0"/>
              <w:spacing w:after="0" w:line="240" w:lineRule="auto"/>
              <w:jc w:val="center"/>
              <w:rPr>
                <w:b/>
                <w:bCs/>
              </w:rPr>
            </w:pPr>
            <w:r w:rsidRPr="00B16B81">
              <w:rPr>
                <w:b/>
                <w:bCs/>
              </w:rPr>
              <w:t>Palbociclib-</w:t>
            </w:r>
          </w:p>
          <w:p w14:paraId="5883664B" w14:textId="77777777" w:rsidR="00576FE1" w:rsidRPr="00B16B81" w:rsidRDefault="00576FE1" w:rsidP="00115CD6">
            <w:pPr>
              <w:keepNext/>
              <w:adjustRightInd w:val="0"/>
              <w:spacing w:after="0" w:line="240" w:lineRule="auto"/>
              <w:jc w:val="center"/>
              <w:rPr>
                <w:b/>
                <w:bCs/>
              </w:rPr>
            </w:pPr>
            <w:r w:rsidRPr="00B16B81">
              <w:rPr>
                <w:b/>
                <w:bCs/>
              </w:rPr>
              <w:t>Letrozole</w:t>
            </w:r>
          </w:p>
          <w:p w14:paraId="43F83652" w14:textId="77777777" w:rsidR="00576FE1" w:rsidRDefault="00576FE1" w:rsidP="00115CD6">
            <w:pPr>
              <w:pStyle w:val="RRNormal"/>
              <w:spacing w:after="0" w:line="240" w:lineRule="auto"/>
              <w:jc w:val="center"/>
              <w:rPr>
                <w:lang w:val="en-GB"/>
              </w:rPr>
            </w:pPr>
            <w:r w:rsidRPr="001E766D">
              <w:rPr>
                <w:bCs/>
              </w:rPr>
              <w:t>(N=242)</w:t>
            </w:r>
          </w:p>
        </w:tc>
        <w:tc>
          <w:tcPr>
            <w:tcW w:w="1506" w:type="dxa"/>
            <w:tcBorders>
              <w:top w:val="single" w:sz="4" w:space="0" w:color="auto"/>
              <w:bottom w:val="single" w:sz="4" w:space="0" w:color="auto"/>
            </w:tcBorders>
            <w:vAlign w:val="center"/>
          </w:tcPr>
          <w:p w14:paraId="2448B0EC" w14:textId="77777777" w:rsidR="00576FE1" w:rsidRPr="00B16B81" w:rsidRDefault="00576FE1" w:rsidP="00115CD6">
            <w:pPr>
              <w:keepNext/>
              <w:adjustRightInd w:val="0"/>
              <w:spacing w:after="0" w:line="240" w:lineRule="auto"/>
              <w:jc w:val="center"/>
              <w:rPr>
                <w:b/>
                <w:bCs/>
              </w:rPr>
            </w:pPr>
            <w:r w:rsidRPr="00B16B81">
              <w:rPr>
                <w:b/>
                <w:bCs/>
              </w:rPr>
              <w:t>Overall</w:t>
            </w:r>
          </w:p>
          <w:p w14:paraId="13B80C01" w14:textId="77777777" w:rsidR="00576FE1" w:rsidRDefault="00576FE1" w:rsidP="00115CD6">
            <w:pPr>
              <w:pStyle w:val="RRNormal"/>
              <w:spacing w:after="0" w:line="240" w:lineRule="auto"/>
              <w:jc w:val="center"/>
              <w:rPr>
                <w:lang w:val="en-GB"/>
              </w:rPr>
            </w:pPr>
            <w:r w:rsidRPr="001E766D">
              <w:rPr>
                <w:bCs/>
              </w:rPr>
              <w:t>(N=483)</w:t>
            </w:r>
          </w:p>
        </w:tc>
      </w:tr>
      <w:tr w:rsidR="00576FE1" w14:paraId="7E811CC2" w14:textId="77777777" w:rsidTr="00115CD6">
        <w:trPr>
          <w:trHeight w:val="282"/>
        </w:trPr>
        <w:tc>
          <w:tcPr>
            <w:tcW w:w="4275" w:type="dxa"/>
            <w:tcBorders>
              <w:top w:val="single" w:sz="4" w:space="0" w:color="auto"/>
            </w:tcBorders>
            <w:vAlign w:val="center"/>
          </w:tcPr>
          <w:p w14:paraId="2717EE88" w14:textId="77777777" w:rsidR="00576FE1" w:rsidRDefault="00576FE1" w:rsidP="00115CD6">
            <w:pPr>
              <w:pStyle w:val="RRNormal"/>
              <w:spacing w:after="0" w:line="240" w:lineRule="auto"/>
              <w:rPr>
                <w:lang w:val="en-GB"/>
              </w:rPr>
            </w:pPr>
            <w:r w:rsidRPr="00B16B81">
              <w:rPr>
                <w:b/>
                <w:lang w:val="en-GB"/>
              </w:rPr>
              <w:t>Blood and lymphatic system disorders</w:t>
            </w:r>
          </w:p>
        </w:tc>
        <w:tc>
          <w:tcPr>
            <w:tcW w:w="1710" w:type="dxa"/>
            <w:tcBorders>
              <w:top w:val="single" w:sz="4" w:space="0" w:color="auto"/>
            </w:tcBorders>
            <w:vAlign w:val="center"/>
          </w:tcPr>
          <w:p w14:paraId="5C268EDA" w14:textId="77777777" w:rsidR="00576FE1" w:rsidRDefault="00576FE1" w:rsidP="00115CD6">
            <w:pPr>
              <w:pStyle w:val="RRNormal"/>
              <w:spacing w:after="0" w:line="240" w:lineRule="auto"/>
              <w:jc w:val="center"/>
              <w:rPr>
                <w:lang w:val="en-GB"/>
              </w:rPr>
            </w:pPr>
            <w:r w:rsidRPr="00B16B81">
              <w:rPr>
                <w:b/>
              </w:rPr>
              <w:t>209 (86.7%)</w:t>
            </w:r>
          </w:p>
        </w:tc>
        <w:tc>
          <w:tcPr>
            <w:tcW w:w="1567" w:type="dxa"/>
            <w:tcBorders>
              <w:top w:val="single" w:sz="4" w:space="0" w:color="auto"/>
            </w:tcBorders>
            <w:vAlign w:val="center"/>
          </w:tcPr>
          <w:p w14:paraId="4E432AEB" w14:textId="77777777" w:rsidR="00576FE1" w:rsidRDefault="00576FE1" w:rsidP="00115CD6">
            <w:pPr>
              <w:pStyle w:val="RRNormal"/>
              <w:spacing w:after="0" w:line="240" w:lineRule="auto"/>
              <w:jc w:val="center"/>
              <w:rPr>
                <w:lang w:val="en-GB"/>
              </w:rPr>
            </w:pPr>
            <w:r w:rsidRPr="00B16B81">
              <w:rPr>
                <w:b/>
              </w:rPr>
              <w:t>212 (87.6%)</w:t>
            </w:r>
          </w:p>
        </w:tc>
        <w:tc>
          <w:tcPr>
            <w:tcW w:w="1506" w:type="dxa"/>
            <w:tcBorders>
              <w:top w:val="single" w:sz="4" w:space="0" w:color="auto"/>
            </w:tcBorders>
            <w:vAlign w:val="center"/>
          </w:tcPr>
          <w:p w14:paraId="01D25E87" w14:textId="77777777" w:rsidR="00576FE1" w:rsidRDefault="00576FE1" w:rsidP="00115CD6">
            <w:pPr>
              <w:pStyle w:val="RRNormal"/>
              <w:spacing w:after="0" w:line="240" w:lineRule="auto"/>
              <w:jc w:val="center"/>
              <w:rPr>
                <w:lang w:val="en-GB"/>
              </w:rPr>
            </w:pPr>
            <w:r w:rsidRPr="00B16B81">
              <w:rPr>
                <w:b/>
              </w:rPr>
              <w:t>421 (87.2%)</w:t>
            </w:r>
          </w:p>
        </w:tc>
      </w:tr>
      <w:tr w:rsidR="00576FE1" w14:paraId="1114DE4C" w14:textId="77777777" w:rsidTr="00115CD6">
        <w:trPr>
          <w:trHeight w:val="269"/>
        </w:trPr>
        <w:tc>
          <w:tcPr>
            <w:tcW w:w="4275" w:type="dxa"/>
            <w:vAlign w:val="center"/>
          </w:tcPr>
          <w:p w14:paraId="3A3935C4" w14:textId="77777777" w:rsidR="00576FE1" w:rsidRDefault="00576FE1" w:rsidP="00115CD6">
            <w:pPr>
              <w:pStyle w:val="RRNormal"/>
              <w:spacing w:after="0" w:line="240" w:lineRule="auto"/>
              <w:ind w:hanging="249"/>
              <w:rPr>
                <w:lang w:val="en-GB"/>
              </w:rPr>
            </w:pPr>
            <w:r w:rsidRPr="00B16B81">
              <w:t xml:space="preserve">    Neutropenia</w:t>
            </w:r>
          </w:p>
        </w:tc>
        <w:tc>
          <w:tcPr>
            <w:tcW w:w="1710" w:type="dxa"/>
            <w:vAlign w:val="center"/>
          </w:tcPr>
          <w:p w14:paraId="3FD0715A" w14:textId="77777777" w:rsidR="00576FE1" w:rsidRDefault="00576FE1" w:rsidP="00115CD6">
            <w:pPr>
              <w:pStyle w:val="RRNormal"/>
              <w:spacing w:after="0" w:line="240" w:lineRule="auto"/>
              <w:jc w:val="center"/>
              <w:rPr>
                <w:lang w:val="en-GB"/>
              </w:rPr>
            </w:pPr>
            <w:r w:rsidRPr="00B16B81">
              <w:t>198 (82.2%)</w:t>
            </w:r>
          </w:p>
        </w:tc>
        <w:tc>
          <w:tcPr>
            <w:tcW w:w="1567" w:type="dxa"/>
            <w:vAlign w:val="center"/>
          </w:tcPr>
          <w:p w14:paraId="3A9958AC" w14:textId="77777777" w:rsidR="00576FE1" w:rsidRDefault="00576FE1" w:rsidP="00115CD6">
            <w:pPr>
              <w:pStyle w:val="RRNormal"/>
              <w:spacing w:after="0" w:line="240" w:lineRule="auto"/>
              <w:jc w:val="center"/>
              <w:rPr>
                <w:lang w:val="en-GB"/>
              </w:rPr>
            </w:pPr>
            <w:r w:rsidRPr="00B16B81">
              <w:t>207 (85.5%)</w:t>
            </w:r>
          </w:p>
        </w:tc>
        <w:tc>
          <w:tcPr>
            <w:tcW w:w="1506" w:type="dxa"/>
            <w:vAlign w:val="center"/>
          </w:tcPr>
          <w:p w14:paraId="27EB8332" w14:textId="77777777" w:rsidR="00576FE1" w:rsidRDefault="00576FE1" w:rsidP="00115CD6">
            <w:pPr>
              <w:pStyle w:val="RRNormal"/>
              <w:spacing w:after="0" w:line="240" w:lineRule="auto"/>
              <w:jc w:val="center"/>
              <w:rPr>
                <w:lang w:val="en-GB"/>
              </w:rPr>
            </w:pPr>
            <w:r w:rsidRPr="00B16B81">
              <w:t>405 (83.9%)</w:t>
            </w:r>
          </w:p>
        </w:tc>
      </w:tr>
      <w:tr w:rsidR="00576FE1" w14:paraId="2FDE8CAB" w14:textId="77777777" w:rsidTr="00115CD6">
        <w:trPr>
          <w:trHeight w:val="282"/>
        </w:trPr>
        <w:tc>
          <w:tcPr>
            <w:tcW w:w="4275" w:type="dxa"/>
            <w:vAlign w:val="center"/>
          </w:tcPr>
          <w:p w14:paraId="68A0C7DF" w14:textId="77777777" w:rsidR="00576FE1" w:rsidRDefault="00576FE1" w:rsidP="00115CD6">
            <w:pPr>
              <w:pStyle w:val="RRNormal"/>
              <w:spacing w:after="0" w:line="240" w:lineRule="auto"/>
              <w:ind w:hanging="249"/>
              <w:rPr>
                <w:lang w:val="en-GB"/>
              </w:rPr>
            </w:pPr>
            <w:r w:rsidRPr="00B16B81">
              <w:t xml:space="preserve">    </w:t>
            </w:r>
            <w:proofErr w:type="spellStart"/>
            <w:r w:rsidRPr="00B16B81">
              <w:t>Anaemia</w:t>
            </w:r>
            <w:proofErr w:type="spellEnd"/>
          </w:p>
        </w:tc>
        <w:tc>
          <w:tcPr>
            <w:tcW w:w="1710" w:type="dxa"/>
            <w:vAlign w:val="center"/>
          </w:tcPr>
          <w:p w14:paraId="7B20B40A" w14:textId="77777777" w:rsidR="00576FE1" w:rsidRDefault="00576FE1" w:rsidP="00115CD6">
            <w:pPr>
              <w:pStyle w:val="RRNormal"/>
              <w:spacing w:after="0" w:line="240" w:lineRule="auto"/>
              <w:jc w:val="center"/>
              <w:rPr>
                <w:lang w:val="en-GB"/>
              </w:rPr>
            </w:pPr>
            <w:r w:rsidRPr="00B16B81">
              <w:t>55 (22.8%)</w:t>
            </w:r>
          </w:p>
        </w:tc>
        <w:tc>
          <w:tcPr>
            <w:tcW w:w="1567" w:type="dxa"/>
            <w:vAlign w:val="center"/>
          </w:tcPr>
          <w:p w14:paraId="30A7D167" w14:textId="77777777" w:rsidR="00576FE1" w:rsidRDefault="00576FE1" w:rsidP="00115CD6">
            <w:pPr>
              <w:pStyle w:val="RRNormal"/>
              <w:spacing w:after="0" w:line="240" w:lineRule="auto"/>
              <w:jc w:val="center"/>
              <w:rPr>
                <w:lang w:val="en-GB"/>
              </w:rPr>
            </w:pPr>
            <w:r w:rsidRPr="00B16B81">
              <w:t>68 (28.1%)</w:t>
            </w:r>
          </w:p>
        </w:tc>
        <w:tc>
          <w:tcPr>
            <w:tcW w:w="1506" w:type="dxa"/>
            <w:vAlign w:val="center"/>
          </w:tcPr>
          <w:p w14:paraId="31193A4E" w14:textId="77777777" w:rsidR="00576FE1" w:rsidRDefault="00576FE1" w:rsidP="00115CD6">
            <w:pPr>
              <w:pStyle w:val="RRNormal"/>
              <w:spacing w:after="0" w:line="240" w:lineRule="auto"/>
              <w:jc w:val="center"/>
              <w:rPr>
                <w:lang w:val="en-GB"/>
              </w:rPr>
            </w:pPr>
            <w:r w:rsidRPr="00B16B81">
              <w:t>123 (25.5%)</w:t>
            </w:r>
          </w:p>
        </w:tc>
      </w:tr>
      <w:tr w:rsidR="00576FE1" w14:paraId="3209887F" w14:textId="77777777" w:rsidTr="00115CD6">
        <w:trPr>
          <w:trHeight w:val="269"/>
        </w:trPr>
        <w:tc>
          <w:tcPr>
            <w:tcW w:w="4275" w:type="dxa"/>
            <w:vAlign w:val="center"/>
          </w:tcPr>
          <w:p w14:paraId="07C736CB" w14:textId="77777777" w:rsidR="00576FE1" w:rsidRDefault="00576FE1" w:rsidP="00115CD6">
            <w:pPr>
              <w:pStyle w:val="RRNormal"/>
              <w:spacing w:after="0" w:line="240" w:lineRule="auto"/>
              <w:ind w:hanging="249"/>
              <w:rPr>
                <w:lang w:val="en-GB"/>
              </w:rPr>
            </w:pPr>
            <w:r w:rsidRPr="00B16B81">
              <w:t xml:space="preserve">    Leukopenia</w:t>
            </w:r>
          </w:p>
        </w:tc>
        <w:tc>
          <w:tcPr>
            <w:tcW w:w="1710" w:type="dxa"/>
            <w:vAlign w:val="center"/>
          </w:tcPr>
          <w:p w14:paraId="008DC5D8" w14:textId="77777777" w:rsidR="00576FE1" w:rsidRDefault="00576FE1" w:rsidP="00115CD6">
            <w:pPr>
              <w:pStyle w:val="RRNormal"/>
              <w:spacing w:after="0" w:line="240" w:lineRule="auto"/>
              <w:jc w:val="center"/>
              <w:rPr>
                <w:lang w:val="en-GB"/>
              </w:rPr>
            </w:pPr>
            <w:r w:rsidRPr="00B16B81">
              <w:t>60 (24.9%)</w:t>
            </w:r>
          </w:p>
        </w:tc>
        <w:tc>
          <w:tcPr>
            <w:tcW w:w="1567" w:type="dxa"/>
            <w:vAlign w:val="center"/>
          </w:tcPr>
          <w:p w14:paraId="59EB9681" w14:textId="77777777" w:rsidR="00576FE1" w:rsidRDefault="00576FE1" w:rsidP="00115CD6">
            <w:pPr>
              <w:pStyle w:val="RRNormal"/>
              <w:spacing w:after="0" w:line="240" w:lineRule="auto"/>
              <w:jc w:val="center"/>
              <w:rPr>
                <w:lang w:val="en-GB"/>
              </w:rPr>
            </w:pPr>
            <w:r w:rsidRPr="00B16B81">
              <w:t>61 (25.2%)</w:t>
            </w:r>
          </w:p>
        </w:tc>
        <w:tc>
          <w:tcPr>
            <w:tcW w:w="1506" w:type="dxa"/>
            <w:vAlign w:val="center"/>
          </w:tcPr>
          <w:p w14:paraId="3DF9C50E" w14:textId="77777777" w:rsidR="00576FE1" w:rsidRDefault="00576FE1" w:rsidP="00115CD6">
            <w:pPr>
              <w:pStyle w:val="RRNormal"/>
              <w:spacing w:after="0" w:line="240" w:lineRule="auto"/>
              <w:jc w:val="center"/>
              <w:rPr>
                <w:lang w:val="en-GB"/>
              </w:rPr>
            </w:pPr>
            <w:r w:rsidRPr="00B16B81">
              <w:t>121 (25.1%)</w:t>
            </w:r>
          </w:p>
        </w:tc>
      </w:tr>
      <w:tr w:rsidR="00576FE1" w14:paraId="4583F494" w14:textId="77777777" w:rsidTr="00115CD6">
        <w:trPr>
          <w:trHeight w:val="282"/>
        </w:trPr>
        <w:tc>
          <w:tcPr>
            <w:tcW w:w="4275" w:type="dxa"/>
            <w:vAlign w:val="center"/>
          </w:tcPr>
          <w:p w14:paraId="32C644E2" w14:textId="77777777" w:rsidR="00576FE1" w:rsidRDefault="00576FE1" w:rsidP="00115CD6">
            <w:pPr>
              <w:pStyle w:val="RRNormal"/>
              <w:spacing w:after="0" w:line="240" w:lineRule="auto"/>
              <w:ind w:hanging="249"/>
              <w:rPr>
                <w:lang w:val="en-GB"/>
              </w:rPr>
            </w:pPr>
            <w:r w:rsidRPr="00B16B81">
              <w:t xml:space="preserve">    Thrombocytopenia</w:t>
            </w:r>
          </w:p>
        </w:tc>
        <w:tc>
          <w:tcPr>
            <w:tcW w:w="1710" w:type="dxa"/>
            <w:vAlign w:val="center"/>
          </w:tcPr>
          <w:p w14:paraId="7B4D5648" w14:textId="77777777" w:rsidR="00576FE1" w:rsidRDefault="00576FE1" w:rsidP="00115CD6">
            <w:pPr>
              <w:pStyle w:val="RRNormal"/>
              <w:spacing w:after="0" w:line="240" w:lineRule="auto"/>
              <w:jc w:val="center"/>
              <w:rPr>
                <w:lang w:val="en-GB"/>
              </w:rPr>
            </w:pPr>
            <w:r w:rsidRPr="00B16B81">
              <w:t>49 (20.3%)</w:t>
            </w:r>
          </w:p>
        </w:tc>
        <w:tc>
          <w:tcPr>
            <w:tcW w:w="1567" w:type="dxa"/>
            <w:vAlign w:val="center"/>
          </w:tcPr>
          <w:p w14:paraId="60F41399" w14:textId="77777777" w:rsidR="00576FE1" w:rsidRDefault="00576FE1" w:rsidP="00115CD6">
            <w:pPr>
              <w:pStyle w:val="RRNormal"/>
              <w:spacing w:after="0" w:line="240" w:lineRule="auto"/>
              <w:jc w:val="center"/>
              <w:rPr>
                <w:lang w:val="en-GB"/>
              </w:rPr>
            </w:pPr>
            <w:r w:rsidRPr="00B16B81">
              <w:t>39 (16.1%)</w:t>
            </w:r>
          </w:p>
        </w:tc>
        <w:tc>
          <w:tcPr>
            <w:tcW w:w="1506" w:type="dxa"/>
            <w:vAlign w:val="center"/>
          </w:tcPr>
          <w:p w14:paraId="0EA0AFC6" w14:textId="77777777" w:rsidR="00576FE1" w:rsidRDefault="00576FE1" w:rsidP="00115CD6">
            <w:pPr>
              <w:pStyle w:val="RRNormal"/>
              <w:spacing w:after="0" w:line="240" w:lineRule="auto"/>
              <w:jc w:val="center"/>
              <w:rPr>
                <w:lang w:val="en-GB"/>
              </w:rPr>
            </w:pPr>
            <w:r w:rsidRPr="00B16B81">
              <w:t>88 (18.2%)</w:t>
            </w:r>
          </w:p>
        </w:tc>
      </w:tr>
      <w:tr w:rsidR="00576FE1" w14:paraId="595A275A" w14:textId="77777777" w:rsidTr="00115CD6">
        <w:trPr>
          <w:trHeight w:val="269"/>
        </w:trPr>
        <w:tc>
          <w:tcPr>
            <w:tcW w:w="4275" w:type="dxa"/>
            <w:vAlign w:val="center"/>
          </w:tcPr>
          <w:p w14:paraId="724AADB3" w14:textId="77777777" w:rsidR="00576FE1" w:rsidRDefault="00576FE1" w:rsidP="00115CD6">
            <w:pPr>
              <w:pStyle w:val="RRNormal"/>
              <w:spacing w:after="0" w:line="240" w:lineRule="auto"/>
              <w:ind w:hanging="249"/>
              <w:rPr>
                <w:lang w:val="en-GB"/>
              </w:rPr>
            </w:pPr>
            <w:r w:rsidRPr="00B16B81">
              <w:t xml:space="preserve">    Lymphopenia</w:t>
            </w:r>
          </w:p>
        </w:tc>
        <w:tc>
          <w:tcPr>
            <w:tcW w:w="1710" w:type="dxa"/>
            <w:vAlign w:val="center"/>
          </w:tcPr>
          <w:p w14:paraId="35F6A75C" w14:textId="77777777" w:rsidR="00576FE1" w:rsidRDefault="00576FE1" w:rsidP="00115CD6">
            <w:pPr>
              <w:pStyle w:val="RRNormal"/>
              <w:spacing w:after="0" w:line="240" w:lineRule="auto"/>
              <w:jc w:val="center"/>
              <w:rPr>
                <w:lang w:val="en-GB"/>
              </w:rPr>
            </w:pPr>
            <w:r w:rsidRPr="00B16B81">
              <w:t>18 (7.5%)</w:t>
            </w:r>
          </w:p>
        </w:tc>
        <w:tc>
          <w:tcPr>
            <w:tcW w:w="1567" w:type="dxa"/>
            <w:vAlign w:val="center"/>
          </w:tcPr>
          <w:p w14:paraId="527F4DA9" w14:textId="77777777" w:rsidR="00576FE1" w:rsidRDefault="00576FE1" w:rsidP="00115CD6">
            <w:pPr>
              <w:pStyle w:val="RRNormal"/>
              <w:spacing w:after="0" w:line="240" w:lineRule="auto"/>
              <w:jc w:val="center"/>
              <w:rPr>
                <w:lang w:val="en-GB"/>
              </w:rPr>
            </w:pPr>
            <w:r w:rsidRPr="00B16B81">
              <w:t>18 (7.4%)</w:t>
            </w:r>
          </w:p>
        </w:tc>
        <w:tc>
          <w:tcPr>
            <w:tcW w:w="1506" w:type="dxa"/>
            <w:vAlign w:val="center"/>
          </w:tcPr>
          <w:p w14:paraId="78D3330B" w14:textId="77777777" w:rsidR="00576FE1" w:rsidRDefault="00576FE1" w:rsidP="00115CD6">
            <w:pPr>
              <w:pStyle w:val="RRNormal"/>
              <w:spacing w:after="0" w:line="240" w:lineRule="auto"/>
              <w:jc w:val="center"/>
              <w:rPr>
                <w:lang w:val="en-GB"/>
              </w:rPr>
            </w:pPr>
            <w:r w:rsidRPr="00B16B81">
              <w:t>36 (7.5%)</w:t>
            </w:r>
          </w:p>
        </w:tc>
      </w:tr>
      <w:tr w:rsidR="00576FE1" w14:paraId="722BB5E2" w14:textId="77777777" w:rsidTr="00115CD6">
        <w:trPr>
          <w:trHeight w:val="269"/>
        </w:trPr>
        <w:tc>
          <w:tcPr>
            <w:tcW w:w="4275" w:type="dxa"/>
            <w:vAlign w:val="center"/>
          </w:tcPr>
          <w:p w14:paraId="72A4995C" w14:textId="77777777" w:rsidR="00576FE1" w:rsidRDefault="00576FE1" w:rsidP="00115CD6">
            <w:pPr>
              <w:pStyle w:val="RRNormal"/>
              <w:spacing w:after="0" w:line="240" w:lineRule="auto"/>
              <w:rPr>
                <w:lang w:val="en-GB"/>
              </w:rPr>
            </w:pPr>
            <w:r w:rsidRPr="00B16B81">
              <w:rPr>
                <w:b/>
                <w:lang w:val="en-GB"/>
              </w:rPr>
              <w:t>General disorders and administration site conditions</w:t>
            </w:r>
          </w:p>
        </w:tc>
        <w:tc>
          <w:tcPr>
            <w:tcW w:w="1710" w:type="dxa"/>
            <w:vAlign w:val="center"/>
          </w:tcPr>
          <w:p w14:paraId="2F9C4D51" w14:textId="77777777" w:rsidR="00576FE1" w:rsidRDefault="00576FE1" w:rsidP="00115CD6">
            <w:pPr>
              <w:pStyle w:val="RRNormal"/>
              <w:spacing w:after="0" w:line="240" w:lineRule="auto"/>
              <w:jc w:val="center"/>
              <w:rPr>
                <w:lang w:val="en-GB"/>
              </w:rPr>
            </w:pPr>
            <w:r w:rsidRPr="00B16B81">
              <w:rPr>
                <w:b/>
              </w:rPr>
              <w:t>169 (70.1%)</w:t>
            </w:r>
          </w:p>
        </w:tc>
        <w:tc>
          <w:tcPr>
            <w:tcW w:w="1567" w:type="dxa"/>
            <w:vAlign w:val="center"/>
          </w:tcPr>
          <w:p w14:paraId="1A4EEFAC" w14:textId="77777777" w:rsidR="00576FE1" w:rsidRDefault="00576FE1" w:rsidP="00115CD6">
            <w:pPr>
              <w:pStyle w:val="RRNormal"/>
              <w:spacing w:after="0" w:line="240" w:lineRule="auto"/>
              <w:jc w:val="center"/>
              <w:rPr>
                <w:lang w:val="en-GB"/>
              </w:rPr>
            </w:pPr>
            <w:r w:rsidRPr="00B16B81">
              <w:rPr>
                <w:b/>
              </w:rPr>
              <w:t>162 (66.9%)</w:t>
            </w:r>
          </w:p>
        </w:tc>
        <w:tc>
          <w:tcPr>
            <w:tcW w:w="1506" w:type="dxa"/>
            <w:vAlign w:val="center"/>
          </w:tcPr>
          <w:p w14:paraId="614D6BC1" w14:textId="77777777" w:rsidR="00576FE1" w:rsidRDefault="00576FE1" w:rsidP="00115CD6">
            <w:pPr>
              <w:pStyle w:val="RRNormal"/>
              <w:spacing w:after="0" w:line="240" w:lineRule="auto"/>
              <w:jc w:val="center"/>
              <w:rPr>
                <w:lang w:val="en-GB"/>
              </w:rPr>
            </w:pPr>
            <w:r w:rsidRPr="00B16B81">
              <w:rPr>
                <w:b/>
              </w:rPr>
              <w:t>331 (68.5%)</w:t>
            </w:r>
          </w:p>
        </w:tc>
      </w:tr>
      <w:tr w:rsidR="00576FE1" w14:paraId="1905EBD4" w14:textId="77777777" w:rsidTr="00115CD6">
        <w:trPr>
          <w:trHeight w:val="269"/>
        </w:trPr>
        <w:tc>
          <w:tcPr>
            <w:tcW w:w="4275" w:type="dxa"/>
            <w:vAlign w:val="center"/>
          </w:tcPr>
          <w:p w14:paraId="11ED9917" w14:textId="77777777" w:rsidR="00576FE1" w:rsidRDefault="00576FE1" w:rsidP="00115CD6">
            <w:pPr>
              <w:pStyle w:val="RRNormal"/>
              <w:spacing w:after="0" w:line="240" w:lineRule="auto"/>
              <w:ind w:hanging="249"/>
              <w:rPr>
                <w:lang w:val="en-GB"/>
              </w:rPr>
            </w:pPr>
            <w:r w:rsidRPr="00B16B81">
              <w:t xml:space="preserve">    Asthenia</w:t>
            </w:r>
          </w:p>
        </w:tc>
        <w:tc>
          <w:tcPr>
            <w:tcW w:w="1710" w:type="dxa"/>
            <w:vAlign w:val="center"/>
          </w:tcPr>
          <w:p w14:paraId="6316AFBD" w14:textId="77777777" w:rsidR="00576FE1" w:rsidRDefault="00576FE1" w:rsidP="00115CD6">
            <w:pPr>
              <w:pStyle w:val="RRNormal"/>
              <w:spacing w:after="0" w:line="240" w:lineRule="auto"/>
              <w:jc w:val="center"/>
              <w:rPr>
                <w:lang w:val="en-GB"/>
              </w:rPr>
            </w:pPr>
            <w:r w:rsidRPr="00B16B81">
              <w:t>90 (37.3%)</w:t>
            </w:r>
          </w:p>
        </w:tc>
        <w:tc>
          <w:tcPr>
            <w:tcW w:w="1567" w:type="dxa"/>
            <w:vAlign w:val="center"/>
          </w:tcPr>
          <w:p w14:paraId="7860E230" w14:textId="77777777" w:rsidR="00576FE1" w:rsidRDefault="00576FE1" w:rsidP="00115CD6">
            <w:pPr>
              <w:pStyle w:val="RRNormal"/>
              <w:spacing w:after="0" w:line="240" w:lineRule="auto"/>
              <w:jc w:val="center"/>
              <w:rPr>
                <w:lang w:val="en-GB"/>
              </w:rPr>
            </w:pPr>
            <w:r w:rsidRPr="00B16B81">
              <w:t>87 (36.0%)</w:t>
            </w:r>
          </w:p>
        </w:tc>
        <w:tc>
          <w:tcPr>
            <w:tcW w:w="1506" w:type="dxa"/>
            <w:vAlign w:val="center"/>
          </w:tcPr>
          <w:p w14:paraId="37D2474B" w14:textId="77777777" w:rsidR="00576FE1" w:rsidRDefault="00576FE1" w:rsidP="00115CD6">
            <w:pPr>
              <w:pStyle w:val="RRNormal"/>
              <w:spacing w:after="0" w:line="240" w:lineRule="auto"/>
              <w:jc w:val="center"/>
              <w:rPr>
                <w:lang w:val="en-GB"/>
              </w:rPr>
            </w:pPr>
            <w:r w:rsidRPr="00B16B81">
              <w:t>177 (36.6%)</w:t>
            </w:r>
          </w:p>
        </w:tc>
      </w:tr>
      <w:tr w:rsidR="00576FE1" w14:paraId="5EBE2506" w14:textId="77777777" w:rsidTr="00115CD6">
        <w:trPr>
          <w:trHeight w:val="269"/>
        </w:trPr>
        <w:tc>
          <w:tcPr>
            <w:tcW w:w="4275" w:type="dxa"/>
            <w:vAlign w:val="center"/>
          </w:tcPr>
          <w:p w14:paraId="1334E6DB" w14:textId="77777777" w:rsidR="00576FE1" w:rsidRDefault="00576FE1" w:rsidP="00115CD6">
            <w:pPr>
              <w:pStyle w:val="RRNormal"/>
              <w:spacing w:after="0" w:line="240" w:lineRule="auto"/>
              <w:ind w:hanging="249"/>
              <w:rPr>
                <w:lang w:val="en-GB"/>
              </w:rPr>
            </w:pPr>
            <w:r w:rsidRPr="00B16B81">
              <w:t xml:space="preserve">    Fatigue</w:t>
            </w:r>
          </w:p>
        </w:tc>
        <w:tc>
          <w:tcPr>
            <w:tcW w:w="1710" w:type="dxa"/>
            <w:vAlign w:val="center"/>
          </w:tcPr>
          <w:p w14:paraId="6F8913EE" w14:textId="77777777" w:rsidR="00576FE1" w:rsidRDefault="00576FE1" w:rsidP="00115CD6">
            <w:pPr>
              <w:pStyle w:val="RRNormal"/>
              <w:spacing w:after="0" w:line="240" w:lineRule="auto"/>
              <w:jc w:val="center"/>
              <w:rPr>
                <w:lang w:val="en-GB"/>
              </w:rPr>
            </w:pPr>
            <w:r w:rsidRPr="00B16B81">
              <w:t>62 (25.7%)</w:t>
            </w:r>
          </w:p>
        </w:tc>
        <w:tc>
          <w:tcPr>
            <w:tcW w:w="1567" w:type="dxa"/>
            <w:vAlign w:val="center"/>
          </w:tcPr>
          <w:p w14:paraId="78CE9063" w14:textId="77777777" w:rsidR="00576FE1" w:rsidRDefault="00576FE1" w:rsidP="00115CD6">
            <w:pPr>
              <w:pStyle w:val="RRNormal"/>
              <w:spacing w:after="0" w:line="240" w:lineRule="auto"/>
              <w:jc w:val="center"/>
              <w:rPr>
                <w:lang w:val="en-GB"/>
              </w:rPr>
            </w:pPr>
            <w:r w:rsidRPr="00B16B81">
              <w:t>63 (26.0%)</w:t>
            </w:r>
          </w:p>
        </w:tc>
        <w:tc>
          <w:tcPr>
            <w:tcW w:w="1506" w:type="dxa"/>
            <w:vAlign w:val="center"/>
          </w:tcPr>
          <w:p w14:paraId="27861AC8" w14:textId="77777777" w:rsidR="00576FE1" w:rsidRDefault="00576FE1" w:rsidP="00115CD6">
            <w:pPr>
              <w:pStyle w:val="RRNormal"/>
              <w:spacing w:after="0" w:line="240" w:lineRule="auto"/>
              <w:jc w:val="center"/>
              <w:rPr>
                <w:lang w:val="en-GB"/>
              </w:rPr>
            </w:pPr>
            <w:r w:rsidRPr="00B16B81">
              <w:t>125 (25.9%)</w:t>
            </w:r>
          </w:p>
        </w:tc>
      </w:tr>
      <w:tr w:rsidR="00576FE1" w14:paraId="535ADDDF" w14:textId="77777777" w:rsidTr="00115CD6">
        <w:trPr>
          <w:trHeight w:val="269"/>
        </w:trPr>
        <w:tc>
          <w:tcPr>
            <w:tcW w:w="4275" w:type="dxa"/>
            <w:vAlign w:val="center"/>
          </w:tcPr>
          <w:p w14:paraId="3F9F4420" w14:textId="77777777" w:rsidR="00576FE1" w:rsidRDefault="00576FE1" w:rsidP="00115CD6">
            <w:pPr>
              <w:pStyle w:val="RRNormal"/>
              <w:spacing w:after="0" w:line="240" w:lineRule="auto"/>
              <w:ind w:hanging="249"/>
              <w:rPr>
                <w:lang w:val="en-GB"/>
              </w:rPr>
            </w:pPr>
            <w:r w:rsidRPr="00B16B81">
              <w:t xml:space="preserve">    Pyrexia</w:t>
            </w:r>
          </w:p>
        </w:tc>
        <w:tc>
          <w:tcPr>
            <w:tcW w:w="1710" w:type="dxa"/>
            <w:vAlign w:val="center"/>
          </w:tcPr>
          <w:p w14:paraId="5C055D82" w14:textId="77777777" w:rsidR="00576FE1" w:rsidRDefault="00576FE1" w:rsidP="00115CD6">
            <w:pPr>
              <w:pStyle w:val="RRNormal"/>
              <w:spacing w:after="0" w:line="240" w:lineRule="auto"/>
              <w:jc w:val="center"/>
              <w:rPr>
                <w:lang w:val="en-GB"/>
              </w:rPr>
            </w:pPr>
            <w:r w:rsidRPr="00B16B81">
              <w:t>23 (9.5%)</w:t>
            </w:r>
          </w:p>
        </w:tc>
        <w:tc>
          <w:tcPr>
            <w:tcW w:w="1567" w:type="dxa"/>
            <w:vAlign w:val="center"/>
          </w:tcPr>
          <w:p w14:paraId="54E134EB" w14:textId="77777777" w:rsidR="00576FE1" w:rsidRDefault="00576FE1" w:rsidP="00115CD6">
            <w:pPr>
              <w:pStyle w:val="RRNormal"/>
              <w:spacing w:after="0" w:line="240" w:lineRule="auto"/>
              <w:jc w:val="center"/>
              <w:rPr>
                <w:lang w:val="en-GB"/>
              </w:rPr>
            </w:pPr>
            <w:r w:rsidRPr="00B16B81">
              <w:t>24 (9.9%)</w:t>
            </w:r>
          </w:p>
        </w:tc>
        <w:tc>
          <w:tcPr>
            <w:tcW w:w="1506" w:type="dxa"/>
            <w:vAlign w:val="center"/>
          </w:tcPr>
          <w:p w14:paraId="5EB7FC67" w14:textId="77777777" w:rsidR="00576FE1" w:rsidRDefault="00576FE1" w:rsidP="00115CD6">
            <w:pPr>
              <w:pStyle w:val="RRNormal"/>
              <w:spacing w:after="0" w:line="240" w:lineRule="auto"/>
              <w:jc w:val="center"/>
              <w:rPr>
                <w:lang w:val="en-GB"/>
              </w:rPr>
            </w:pPr>
            <w:r w:rsidRPr="00B16B81">
              <w:t>47 (9.7%)</w:t>
            </w:r>
          </w:p>
        </w:tc>
      </w:tr>
      <w:tr w:rsidR="00576FE1" w14:paraId="77DBE958" w14:textId="77777777" w:rsidTr="00115CD6">
        <w:trPr>
          <w:trHeight w:val="269"/>
        </w:trPr>
        <w:tc>
          <w:tcPr>
            <w:tcW w:w="4275" w:type="dxa"/>
            <w:vAlign w:val="center"/>
          </w:tcPr>
          <w:p w14:paraId="5FFEA7C6" w14:textId="77777777" w:rsidR="00576FE1" w:rsidRDefault="00576FE1" w:rsidP="00115CD6">
            <w:pPr>
              <w:pStyle w:val="RRNormal"/>
              <w:spacing w:after="0" w:line="240" w:lineRule="auto"/>
              <w:ind w:hanging="249"/>
              <w:rPr>
                <w:lang w:val="en-GB"/>
              </w:rPr>
            </w:pPr>
            <w:r w:rsidRPr="00B16B81">
              <w:t xml:space="preserve">    Oedema peripheral</w:t>
            </w:r>
          </w:p>
        </w:tc>
        <w:tc>
          <w:tcPr>
            <w:tcW w:w="1710" w:type="dxa"/>
            <w:vAlign w:val="center"/>
          </w:tcPr>
          <w:p w14:paraId="4777491F" w14:textId="77777777" w:rsidR="00576FE1" w:rsidRDefault="00576FE1" w:rsidP="00115CD6">
            <w:pPr>
              <w:pStyle w:val="RRNormal"/>
              <w:spacing w:after="0" w:line="240" w:lineRule="auto"/>
              <w:jc w:val="center"/>
              <w:rPr>
                <w:lang w:val="en-GB"/>
              </w:rPr>
            </w:pPr>
            <w:r w:rsidRPr="00B16B81">
              <w:t>18 (7.5%)</w:t>
            </w:r>
          </w:p>
        </w:tc>
        <w:tc>
          <w:tcPr>
            <w:tcW w:w="1567" w:type="dxa"/>
            <w:vAlign w:val="center"/>
          </w:tcPr>
          <w:p w14:paraId="463CFD35" w14:textId="77777777" w:rsidR="00576FE1" w:rsidRDefault="00576FE1" w:rsidP="00115CD6">
            <w:pPr>
              <w:pStyle w:val="RRNormal"/>
              <w:spacing w:after="0" w:line="240" w:lineRule="auto"/>
              <w:jc w:val="center"/>
              <w:rPr>
                <w:lang w:val="en-GB"/>
              </w:rPr>
            </w:pPr>
            <w:r w:rsidRPr="00B16B81">
              <w:t>22 (9.1%)</w:t>
            </w:r>
          </w:p>
        </w:tc>
        <w:tc>
          <w:tcPr>
            <w:tcW w:w="1506" w:type="dxa"/>
            <w:vAlign w:val="center"/>
          </w:tcPr>
          <w:p w14:paraId="2CCAB704" w14:textId="77777777" w:rsidR="00576FE1" w:rsidRDefault="00576FE1" w:rsidP="00115CD6">
            <w:pPr>
              <w:pStyle w:val="RRNormal"/>
              <w:spacing w:after="0" w:line="240" w:lineRule="auto"/>
              <w:jc w:val="center"/>
              <w:rPr>
                <w:lang w:val="en-GB"/>
              </w:rPr>
            </w:pPr>
            <w:r w:rsidRPr="00B16B81">
              <w:t>40 (8.3%)</w:t>
            </w:r>
          </w:p>
        </w:tc>
      </w:tr>
      <w:tr w:rsidR="00576FE1" w14:paraId="2E93649D" w14:textId="77777777" w:rsidTr="00115CD6">
        <w:trPr>
          <w:trHeight w:val="269"/>
        </w:trPr>
        <w:tc>
          <w:tcPr>
            <w:tcW w:w="4275" w:type="dxa"/>
            <w:vAlign w:val="center"/>
          </w:tcPr>
          <w:p w14:paraId="4A93CD74" w14:textId="77777777" w:rsidR="00576FE1" w:rsidRDefault="00576FE1" w:rsidP="00115CD6">
            <w:pPr>
              <w:pStyle w:val="RRNormal"/>
              <w:spacing w:after="0" w:line="240" w:lineRule="auto"/>
              <w:ind w:hanging="249"/>
              <w:rPr>
                <w:lang w:val="en-GB"/>
              </w:rPr>
            </w:pPr>
            <w:r w:rsidRPr="00B16B81">
              <w:t xml:space="preserve">    Pain</w:t>
            </w:r>
          </w:p>
        </w:tc>
        <w:tc>
          <w:tcPr>
            <w:tcW w:w="1710" w:type="dxa"/>
            <w:vAlign w:val="center"/>
          </w:tcPr>
          <w:p w14:paraId="233DB7FB" w14:textId="77777777" w:rsidR="00576FE1" w:rsidRDefault="00576FE1" w:rsidP="00115CD6">
            <w:pPr>
              <w:pStyle w:val="RRNormal"/>
              <w:spacing w:after="0" w:line="240" w:lineRule="auto"/>
              <w:jc w:val="center"/>
              <w:rPr>
                <w:lang w:val="en-GB"/>
              </w:rPr>
            </w:pPr>
            <w:r w:rsidRPr="00B16B81">
              <w:t>16 (6.6%)</w:t>
            </w:r>
          </w:p>
        </w:tc>
        <w:tc>
          <w:tcPr>
            <w:tcW w:w="1567" w:type="dxa"/>
            <w:vAlign w:val="center"/>
          </w:tcPr>
          <w:p w14:paraId="11C7CDAF" w14:textId="77777777" w:rsidR="00576FE1" w:rsidRDefault="00576FE1" w:rsidP="00115CD6">
            <w:pPr>
              <w:pStyle w:val="RRNormal"/>
              <w:spacing w:after="0" w:line="240" w:lineRule="auto"/>
              <w:jc w:val="center"/>
              <w:rPr>
                <w:lang w:val="en-GB"/>
              </w:rPr>
            </w:pPr>
            <w:r w:rsidRPr="00B16B81">
              <w:t>14 (5.8%)</w:t>
            </w:r>
          </w:p>
        </w:tc>
        <w:tc>
          <w:tcPr>
            <w:tcW w:w="1506" w:type="dxa"/>
            <w:vAlign w:val="center"/>
          </w:tcPr>
          <w:p w14:paraId="392A8093" w14:textId="77777777" w:rsidR="00576FE1" w:rsidRDefault="00576FE1" w:rsidP="00115CD6">
            <w:pPr>
              <w:pStyle w:val="RRNormal"/>
              <w:spacing w:after="0" w:line="240" w:lineRule="auto"/>
              <w:jc w:val="center"/>
              <w:rPr>
                <w:lang w:val="en-GB"/>
              </w:rPr>
            </w:pPr>
            <w:r w:rsidRPr="00B16B81">
              <w:t>30 (6.2%)</w:t>
            </w:r>
          </w:p>
        </w:tc>
      </w:tr>
      <w:tr w:rsidR="00576FE1" w14:paraId="47544631" w14:textId="77777777" w:rsidTr="00115CD6">
        <w:trPr>
          <w:trHeight w:val="269"/>
        </w:trPr>
        <w:tc>
          <w:tcPr>
            <w:tcW w:w="4275" w:type="dxa"/>
            <w:vAlign w:val="center"/>
          </w:tcPr>
          <w:p w14:paraId="6787B360" w14:textId="77777777" w:rsidR="00576FE1" w:rsidRDefault="00576FE1" w:rsidP="00115CD6">
            <w:pPr>
              <w:pStyle w:val="RRNormal"/>
              <w:spacing w:after="0" w:line="240" w:lineRule="auto"/>
              <w:ind w:hanging="249"/>
              <w:rPr>
                <w:lang w:val="en-GB"/>
              </w:rPr>
            </w:pPr>
            <w:r w:rsidRPr="00B16B81">
              <w:t xml:space="preserve">    Injection site pain</w:t>
            </w:r>
          </w:p>
        </w:tc>
        <w:tc>
          <w:tcPr>
            <w:tcW w:w="1710" w:type="dxa"/>
            <w:vAlign w:val="center"/>
          </w:tcPr>
          <w:p w14:paraId="5BF949A2" w14:textId="77777777" w:rsidR="00576FE1" w:rsidRDefault="00576FE1" w:rsidP="00115CD6">
            <w:pPr>
              <w:pStyle w:val="RRNormal"/>
              <w:spacing w:after="0" w:line="240" w:lineRule="auto"/>
              <w:jc w:val="center"/>
              <w:rPr>
                <w:lang w:val="en-GB"/>
              </w:rPr>
            </w:pPr>
            <w:r w:rsidRPr="00B16B81">
              <w:t>15 (6.2%)</w:t>
            </w:r>
          </w:p>
        </w:tc>
        <w:tc>
          <w:tcPr>
            <w:tcW w:w="1567" w:type="dxa"/>
            <w:vAlign w:val="center"/>
          </w:tcPr>
          <w:p w14:paraId="058AAAF1" w14:textId="77777777" w:rsidR="00576FE1" w:rsidRDefault="00576FE1" w:rsidP="00115CD6">
            <w:pPr>
              <w:pStyle w:val="RRNormal"/>
              <w:spacing w:after="0" w:line="240" w:lineRule="auto"/>
              <w:jc w:val="center"/>
              <w:rPr>
                <w:lang w:val="en-GB"/>
              </w:rPr>
            </w:pPr>
            <w:r w:rsidRPr="00B16B81">
              <w:t>0 (0.0%)</w:t>
            </w:r>
          </w:p>
        </w:tc>
        <w:tc>
          <w:tcPr>
            <w:tcW w:w="1506" w:type="dxa"/>
            <w:vAlign w:val="center"/>
          </w:tcPr>
          <w:p w14:paraId="33CC7FEC" w14:textId="77777777" w:rsidR="00576FE1" w:rsidRDefault="00576FE1" w:rsidP="00115CD6">
            <w:pPr>
              <w:pStyle w:val="RRNormal"/>
              <w:spacing w:after="0" w:line="240" w:lineRule="auto"/>
              <w:jc w:val="center"/>
              <w:rPr>
                <w:lang w:val="en-GB"/>
              </w:rPr>
            </w:pPr>
            <w:r w:rsidRPr="00B16B81">
              <w:t>15 (3.1%)</w:t>
            </w:r>
          </w:p>
        </w:tc>
      </w:tr>
      <w:tr w:rsidR="00576FE1" w14:paraId="4F3AAC8B" w14:textId="77777777" w:rsidTr="00115CD6">
        <w:trPr>
          <w:trHeight w:val="408"/>
        </w:trPr>
        <w:tc>
          <w:tcPr>
            <w:tcW w:w="4275" w:type="dxa"/>
            <w:vAlign w:val="center"/>
          </w:tcPr>
          <w:p w14:paraId="0715AE41" w14:textId="77777777" w:rsidR="00576FE1" w:rsidRDefault="00576FE1" w:rsidP="00115CD6">
            <w:pPr>
              <w:pStyle w:val="RRNormal"/>
              <w:spacing w:after="0" w:line="240" w:lineRule="auto"/>
              <w:rPr>
                <w:lang w:val="en-GB"/>
              </w:rPr>
            </w:pPr>
            <w:r w:rsidRPr="00B16B81">
              <w:rPr>
                <w:b/>
              </w:rPr>
              <w:t>Gastrointestinal disorders</w:t>
            </w:r>
          </w:p>
        </w:tc>
        <w:tc>
          <w:tcPr>
            <w:tcW w:w="1710" w:type="dxa"/>
            <w:vAlign w:val="center"/>
          </w:tcPr>
          <w:p w14:paraId="65CAAF08" w14:textId="77777777" w:rsidR="00576FE1" w:rsidRDefault="00576FE1" w:rsidP="00115CD6">
            <w:pPr>
              <w:pStyle w:val="RRNormal"/>
              <w:spacing w:after="0" w:line="240" w:lineRule="auto"/>
              <w:jc w:val="center"/>
              <w:rPr>
                <w:lang w:val="en-GB"/>
              </w:rPr>
            </w:pPr>
            <w:r w:rsidRPr="00B16B81">
              <w:rPr>
                <w:b/>
              </w:rPr>
              <w:t>168 (69.7%)</w:t>
            </w:r>
          </w:p>
        </w:tc>
        <w:tc>
          <w:tcPr>
            <w:tcW w:w="1567" w:type="dxa"/>
            <w:vAlign w:val="center"/>
          </w:tcPr>
          <w:p w14:paraId="2BA9A152" w14:textId="77777777" w:rsidR="00576FE1" w:rsidRDefault="00576FE1" w:rsidP="00115CD6">
            <w:pPr>
              <w:pStyle w:val="RRNormal"/>
              <w:spacing w:after="0" w:line="240" w:lineRule="auto"/>
              <w:jc w:val="center"/>
              <w:rPr>
                <w:lang w:val="en-GB"/>
              </w:rPr>
            </w:pPr>
            <w:r w:rsidRPr="00B16B81">
              <w:rPr>
                <w:b/>
              </w:rPr>
              <w:t>158 (65.3%)</w:t>
            </w:r>
          </w:p>
        </w:tc>
        <w:tc>
          <w:tcPr>
            <w:tcW w:w="1506" w:type="dxa"/>
            <w:vAlign w:val="center"/>
          </w:tcPr>
          <w:p w14:paraId="259E9158" w14:textId="77777777" w:rsidR="00576FE1" w:rsidRDefault="00576FE1" w:rsidP="00115CD6">
            <w:pPr>
              <w:pStyle w:val="RRNormal"/>
              <w:spacing w:after="0" w:line="240" w:lineRule="auto"/>
              <w:jc w:val="center"/>
              <w:rPr>
                <w:lang w:val="en-GB"/>
              </w:rPr>
            </w:pPr>
            <w:r w:rsidRPr="00B16B81">
              <w:rPr>
                <w:b/>
              </w:rPr>
              <w:t>326 (67.5%)</w:t>
            </w:r>
          </w:p>
        </w:tc>
      </w:tr>
      <w:tr w:rsidR="00576FE1" w14:paraId="65EF6875" w14:textId="77777777" w:rsidTr="00115CD6">
        <w:trPr>
          <w:trHeight w:val="269"/>
        </w:trPr>
        <w:tc>
          <w:tcPr>
            <w:tcW w:w="4275" w:type="dxa"/>
            <w:vAlign w:val="center"/>
          </w:tcPr>
          <w:p w14:paraId="18FA2697" w14:textId="77777777" w:rsidR="00576FE1" w:rsidRDefault="00576FE1" w:rsidP="00115CD6">
            <w:pPr>
              <w:pStyle w:val="RRNormal"/>
              <w:spacing w:after="0" w:line="240" w:lineRule="auto"/>
              <w:ind w:hanging="249"/>
              <w:rPr>
                <w:lang w:val="en-GB"/>
              </w:rPr>
            </w:pPr>
            <w:r w:rsidRPr="00B16B81">
              <w:t xml:space="preserve">    </w:t>
            </w:r>
            <w:proofErr w:type="spellStart"/>
            <w:r w:rsidRPr="00B16B81">
              <w:t>Diarrhoea</w:t>
            </w:r>
            <w:proofErr w:type="spellEnd"/>
          </w:p>
        </w:tc>
        <w:tc>
          <w:tcPr>
            <w:tcW w:w="1710" w:type="dxa"/>
            <w:vAlign w:val="center"/>
          </w:tcPr>
          <w:p w14:paraId="4FA73D61" w14:textId="77777777" w:rsidR="00576FE1" w:rsidRDefault="00576FE1" w:rsidP="00115CD6">
            <w:pPr>
              <w:pStyle w:val="RRNormal"/>
              <w:spacing w:after="0" w:line="240" w:lineRule="auto"/>
              <w:jc w:val="center"/>
              <w:rPr>
                <w:lang w:val="en-GB"/>
              </w:rPr>
            </w:pPr>
            <w:r w:rsidRPr="00B16B81">
              <w:t>65 (27.0%)</w:t>
            </w:r>
          </w:p>
        </w:tc>
        <w:tc>
          <w:tcPr>
            <w:tcW w:w="1567" w:type="dxa"/>
            <w:vAlign w:val="center"/>
          </w:tcPr>
          <w:p w14:paraId="5DEA99DD" w14:textId="77777777" w:rsidR="00576FE1" w:rsidRDefault="00576FE1" w:rsidP="00115CD6">
            <w:pPr>
              <w:pStyle w:val="RRNormal"/>
              <w:spacing w:after="0" w:line="240" w:lineRule="auto"/>
              <w:jc w:val="center"/>
              <w:rPr>
                <w:lang w:val="en-GB"/>
              </w:rPr>
            </w:pPr>
            <w:r w:rsidRPr="00B16B81">
              <w:t>60 (24.8%)</w:t>
            </w:r>
          </w:p>
        </w:tc>
        <w:tc>
          <w:tcPr>
            <w:tcW w:w="1506" w:type="dxa"/>
            <w:vAlign w:val="center"/>
          </w:tcPr>
          <w:p w14:paraId="0C1D9525" w14:textId="77777777" w:rsidR="00576FE1" w:rsidRDefault="00576FE1" w:rsidP="00115CD6">
            <w:pPr>
              <w:pStyle w:val="RRNormal"/>
              <w:spacing w:after="0" w:line="240" w:lineRule="auto"/>
              <w:jc w:val="center"/>
              <w:rPr>
                <w:lang w:val="en-GB"/>
              </w:rPr>
            </w:pPr>
            <w:r w:rsidRPr="00B16B81">
              <w:t>125 (25.9%)</w:t>
            </w:r>
          </w:p>
        </w:tc>
      </w:tr>
      <w:tr w:rsidR="00576FE1" w14:paraId="20AC20E6" w14:textId="77777777" w:rsidTr="00115CD6">
        <w:trPr>
          <w:trHeight w:val="269"/>
        </w:trPr>
        <w:tc>
          <w:tcPr>
            <w:tcW w:w="4275" w:type="dxa"/>
            <w:vAlign w:val="center"/>
          </w:tcPr>
          <w:p w14:paraId="2C873D4D" w14:textId="77777777" w:rsidR="00576FE1" w:rsidRDefault="00576FE1" w:rsidP="00115CD6">
            <w:pPr>
              <w:pStyle w:val="RRNormal"/>
              <w:spacing w:after="0" w:line="240" w:lineRule="auto"/>
              <w:ind w:hanging="249"/>
              <w:rPr>
                <w:lang w:val="en-GB"/>
              </w:rPr>
            </w:pPr>
            <w:r w:rsidRPr="00B16B81">
              <w:t xml:space="preserve">    Nausea</w:t>
            </w:r>
          </w:p>
        </w:tc>
        <w:tc>
          <w:tcPr>
            <w:tcW w:w="1710" w:type="dxa"/>
            <w:vAlign w:val="center"/>
          </w:tcPr>
          <w:p w14:paraId="5B4782EB" w14:textId="77777777" w:rsidR="00576FE1" w:rsidRDefault="00576FE1" w:rsidP="00115CD6">
            <w:pPr>
              <w:pStyle w:val="RRNormal"/>
              <w:spacing w:after="0" w:line="240" w:lineRule="auto"/>
              <w:jc w:val="center"/>
              <w:rPr>
                <w:lang w:val="en-GB"/>
              </w:rPr>
            </w:pPr>
            <w:r w:rsidRPr="00B16B81">
              <w:t>57 (23.7%)</w:t>
            </w:r>
          </w:p>
        </w:tc>
        <w:tc>
          <w:tcPr>
            <w:tcW w:w="1567" w:type="dxa"/>
            <w:vAlign w:val="center"/>
          </w:tcPr>
          <w:p w14:paraId="61766A4E" w14:textId="77777777" w:rsidR="00576FE1" w:rsidRDefault="00576FE1" w:rsidP="00115CD6">
            <w:pPr>
              <w:pStyle w:val="RRNormal"/>
              <w:spacing w:after="0" w:line="240" w:lineRule="auto"/>
              <w:jc w:val="center"/>
              <w:rPr>
                <w:lang w:val="en-GB"/>
              </w:rPr>
            </w:pPr>
            <w:r w:rsidRPr="00B16B81">
              <w:t>45 (18.6%)</w:t>
            </w:r>
          </w:p>
        </w:tc>
        <w:tc>
          <w:tcPr>
            <w:tcW w:w="1506" w:type="dxa"/>
            <w:vAlign w:val="center"/>
          </w:tcPr>
          <w:p w14:paraId="16D9129F" w14:textId="77777777" w:rsidR="00576FE1" w:rsidRDefault="00576FE1" w:rsidP="00115CD6">
            <w:pPr>
              <w:pStyle w:val="RRNormal"/>
              <w:spacing w:after="0" w:line="240" w:lineRule="auto"/>
              <w:jc w:val="center"/>
              <w:rPr>
                <w:lang w:val="en-GB"/>
              </w:rPr>
            </w:pPr>
            <w:r w:rsidRPr="00B16B81">
              <w:t>102 (21.1%)</w:t>
            </w:r>
          </w:p>
        </w:tc>
      </w:tr>
      <w:tr w:rsidR="00576FE1" w14:paraId="494355EC" w14:textId="77777777" w:rsidTr="00115CD6">
        <w:trPr>
          <w:trHeight w:val="269"/>
        </w:trPr>
        <w:tc>
          <w:tcPr>
            <w:tcW w:w="4275" w:type="dxa"/>
            <w:vAlign w:val="center"/>
          </w:tcPr>
          <w:p w14:paraId="0676E7CF" w14:textId="77777777" w:rsidR="00576FE1" w:rsidRDefault="00576FE1" w:rsidP="00115CD6">
            <w:pPr>
              <w:pStyle w:val="RRNormal"/>
              <w:spacing w:after="0" w:line="240" w:lineRule="auto"/>
              <w:ind w:hanging="249"/>
              <w:rPr>
                <w:lang w:val="en-GB"/>
              </w:rPr>
            </w:pPr>
            <w:r w:rsidRPr="00B16B81">
              <w:t xml:space="preserve">    Stomatitis</w:t>
            </w:r>
          </w:p>
        </w:tc>
        <w:tc>
          <w:tcPr>
            <w:tcW w:w="1710" w:type="dxa"/>
            <w:vAlign w:val="center"/>
          </w:tcPr>
          <w:p w14:paraId="1AA791EB" w14:textId="77777777" w:rsidR="00576FE1" w:rsidRDefault="00576FE1" w:rsidP="00115CD6">
            <w:pPr>
              <w:pStyle w:val="RRNormal"/>
              <w:spacing w:after="0" w:line="240" w:lineRule="auto"/>
              <w:jc w:val="center"/>
              <w:rPr>
                <w:lang w:val="en-GB"/>
              </w:rPr>
            </w:pPr>
            <w:r w:rsidRPr="00B16B81">
              <w:t>40 (16.6%)</w:t>
            </w:r>
          </w:p>
        </w:tc>
        <w:tc>
          <w:tcPr>
            <w:tcW w:w="1567" w:type="dxa"/>
            <w:vAlign w:val="center"/>
          </w:tcPr>
          <w:p w14:paraId="2995B42C" w14:textId="77777777" w:rsidR="00576FE1" w:rsidRDefault="00576FE1" w:rsidP="00115CD6">
            <w:pPr>
              <w:pStyle w:val="RRNormal"/>
              <w:spacing w:after="0" w:line="240" w:lineRule="auto"/>
              <w:jc w:val="center"/>
              <w:rPr>
                <w:lang w:val="en-GB"/>
              </w:rPr>
            </w:pPr>
            <w:r w:rsidRPr="00B16B81">
              <w:t>48 (19.8%)</w:t>
            </w:r>
          </w:p>
        </w:tc>
        <w:tc>
          <w:tcPr>
            <w:tcW w:w="1506" w:type="dxa"/>
            <w:vAlign w:val="center"/>
          </w:tcPr>
          <w:p w14:paraId="6F2DC09E" w14:textId="77777777" w:rsidR="00576FE1" w:rsidRDefault="00576FE1" w:rsidP="00115CD6">
            <w:pPr>
              <w:pStyle w:val="RRNormal"/>
              <w:spacing w:after="0" w:line="240" w:lineRule="auto"/>
              <w:jc w:val="center"/>
              <w:rPr>
                <w:lang w:val="en-GB"/>
              </w:rPr>
            </w:pPr>
            <w:r w:rsidRPr="00B16B81">
              <w:t>88 (18.2%)</w:t>
            </w:r>
          </w:p>
        </w:tc>
      </w:tr>
      <w:tr w:rsidR="00576FE1" w14:paraId="7657C581" w14:textId="77777777" w:rsidTr="00115CD6">
        <w:trPr>
          <w:trHeight w:val="269"/>
        </w:trPr>
        <w:tc>
          <w:tcPr>
            <w:tcW w:w="4275" w:type="dxa"/>
            <w:vAlign w:val="center"/>
          </w:tcPr>
          <w:p w14:paraId="3744278F" w14:textId="77777777" w:rsidR="00576FE1" w:rsidRDefault="00576FE1" w:rsidP="00115CD6">
            <w:pPr>
              <w:pStyle w:val="RRNormal"/>
              <w:spacing w:after="0" w:line="240" w:lineRule="auto"/>
              <w:ind w:hanging="249"/>
              <w:rPr>
                <w:lang w:val="en-GB"/>
              </w:rPr>
            </w:pPr>
            <w:r w:rsidRPr="00B16B81">
              <w:t xml:space="preserve">    Constipation</w:t>
            </w:r>
          </w:p>
        </w:tc>
        <w:tc>
          <w:tcPr>
            <w:tcW w:w="1710" w:type="dxa"/>
            <w:vAlign w:val="center"/>
          </w:tcPr>
          <w:p w14:paraId="4CAE7735" w14:textId="77777777" w:rsidR="00576FE1" w:rsidRDefault="00576FE1" w:rsidP="00115CD6">
            <w:pPr>
              <w:pStyle w:val="RRNormal"/>
              <w:spacing w:after="0" w:line="240" w:lineRule="auto"/>
              <w:jc w:val="center"/>
              <w:rPr>
                <w:lang w:val="en-GB"/>
              </w:rPr>
            </w:pPr>
            <w:r w:rsidRPr="00B16B81">
              <w:t>34 (14.1%)</w:t>
            </w:r>
          </w:p>
        </w:tc>
        <w:tc>
          <w:tcPr>
            <w:tcW w:w="1567" w:type="dxa"/>
            <w:vAlign w:val="center"/>
          </w:tcPr>
          <w:p w14:paraId="5C20196C" w14:textId="77777777" w:rsidR="00576FE1" w:rsidRDefault="00576FE1" w:rsidP="00115CD6">
            <w:pPr>
              <w:pStyle w:val="RRNormal"/>
              <w:spacing w:after="0" w:line="240" w:lineRule="auto"/>
              <w:jc w:val="center"/>
              <w:rPr>
                <w:lang w:val="en-GB"/>
              </w:rPr>
            </w:pPr>
            <w:r w:rsidRPr="00B16B81">
              <w:t>40 (16.5%)</w:t>
            </w:r>
          </w:p>
        </w:tc>
        <w:tc>
          <w:tcPr>
            <w:tcW w:w="1506" w:type="dxa"/>
            <w:vAlign w:val="center"/>
          </w:tcPr>
          <w:p w14:paraId="567C3706" w14:textId="77777777" w:rsidR="00576FE1" w:rsidRDefault="00576FE1" w:rsidP="00115CD6">
            <w:pPr>
              <w:pStyle w:val="RRNormal"/>
              <w:spacing w:after="0" w:line="240" w:lineRule="auto"/>
              <w:jc w:val="center"/>
              <w:rPr>
                <w:lang w:val="en-GB"/>
              </w:rPr>
            </w:pPr>
            <w:r w:rsidRPr="00B16B81">
              <w:t>74 (15.3%)</w:t>
            </w:r>
          </w:p>
        </w:tc>
      </w:tr>
      <w:tr w:rsidR="00576FE1" w14:paraId="5ADCBBAE" w14:textId="77777777" w:rsidTr="00115CD6">
        <w:trPr>
          <w:trHeight w:val="269"/>
        </w:trPr>
        <w:tc>
          <w:tcPr>
            <w:tcW w:w="4275" w:type="dxa"/>
            <w:vAlign w:val="center"/>
          </w:tcPr>
          <w:p w14:paraId="2040EE63" w14:textId="77777777" w:rsidR="00576FE1" w:rsidRDefault="00576FE1" w:rsidP="00115CD6">
            <w:pPr>
              <w:pStyle w:val="RRNormal"/>
              <w:spacing w:after="0" w:line="240" w:lineRule="auto"/>
              <w:ind w:hanging="249"/>
              <w:rPr>
                <w:lang w:val="en-GB"/>
              </w:rPr>
            </w:pPr>
            <w:r w:rsidRPr="00B16B81">
              <w:t xml:space="preserve">    Vomiting</w:t>
            </w:r>
          </w:p>
        </w:tc>
        <w:tc>
          <w:tcPr>
            <w:tcW w:w="1710" w:type="dxa"/>
            <w:vAlign w:val="center"/>
          </w:tcPr>
          <w:p w14:paraId="7605FDA4" w14:textId="77777777" w:rsidR="00576FE1" w:rsidRDefault="00576FE1" w:rsidP="00115CD6">
            <w:pPr>
              <w:pStyle w:val="RRNormal"/>
              <w:spacing w:after="0" w:line="240" w:lineRule="auto"/>
              <w:jc w:val="center"/>
              <w:rPr>
                <w:lang w:val="en-GB"/>
              </w:rPr>
            </w:pPr>
            <w:r w:rsidRPr="00B16B81">
              <w:t>35 (14.5%)</w:t>
            </w:r>
          </w:p>
        </w:tc>
        <w:tc>
          <w:tcPr>
            <w:tcW w:w="1567" w:type="dxa"/>
            <w:vAlign w:val="center"/>
          </w:tcPr>
          <w:p w14:paraId="5EE066D3" w14:textId="77777777" w:rsidR="00576FE1" w:rsidRDefault="00576FE1" w:rsidP="00115CD6">
            <w:pPr>
              <w:pStyle w:val="RRNormal"/>
              <w:spacing w:after="0" w:line="240" w:lineRule="auto"/>
              <w:jc w:val="center"/>
              <w:rPr>
                <w:lang w:val="en-GB"/>
              </w:rPr>
            </w:pPr>
            <w:r w:rsidRPr="00B16B81">
              <w:t>39 (16.1%)</w:t>
            </w:r>
          </w:p>
        </w:tc>
        <w:tc>
          <w:tcPr>
            <w:tcW w:w="1506" w:type="dxa"/>
            <w:vAlign w:val="center"/>
          </w:tcPr>
          <w:p w14:paraId="61D59C5E" w14:textId="77777777" w:rsidR="00576FE1" w:rsidRDefault="00576FE1" w:rsidP="00115CD6">
            <w:pPr>
              <w:pStyle w:val="RRNormal"/>
              <w:spacing w:after="0" w:line="240" w:lineRule="auto"/>
              <w:jc w:val="center"/>
              <w:rPr>
                <w:lang w:val="en-GB"/>
              </w:rPr>
            </w:pPr>
            <w:r w:rsidRPr="00B16B81">
              <w:t>74 (15.3%)</w:t>
            </w:r>
          </w:p>
        </w:tc>
      </w:tr>
      <w:tr w:rsidR="00576FE1" w14:paraId="6214B7A6" w14:textId="77777777" w:rsidTr="00115CD6">
        <w:trPr>
          <w:trHeight w:val="269"/>
        </w:trPr>
        <w:tc>
          <w:tcPr>
            <w:tcW w:w="4275" w:type="dxa"/>
            <w:vAlign w:val="center"/>
          </w:tcPr>
          <w:p w14:paraId="6118F3E0" w14:textId="77777777" w:rsidR="00576FE1" w:rsidRDefault="00576FE1" w:rsidP="00115CD6">
            <w:pPr>
              <w:pStyle w:val="RRNormal"/>
              <w:spacing w:after="0" w:line="240" w:lineRule="auto"/>
              <w:ind w:hanging="249"/>
              <w:rPr>
                <w:lang w:val="en-GB"/>
              </w:rPr>
            </w:pPr>
            <w:r w:rsidRPr="00B16B81">
              <w:t xml:space="preserve">    Abdominal pain upper</w:t>
            </w:r>
          </w:p>
        </w:tc>
        <w:tc>
          <w:tcPr>
            <w:tcW w:w="1710" w:type="dxa"/>
            <w:vAlign w:val="center"/>
          </w:tcPr>
          <w:p w14:paraId="1550C746" w14:textId="77777777" w:rsidR="00576FE1" w:rsidRDefault="00576FE1" w:rsidP="00115CD6">
            <w:pPr>
              <w:pStyle w:val="RRNormal"/>
              <w:spacing w:after="0" w:line="240" w:lineRule="auto"/>
              <w:jc w:val="center"/>
              <w:rPr>
                <w:lang w:val="en-GB"/>
              </w:rPr>
            </w:pPr>
            <w:r w:rsidRPr="00B16B81">
              <w:t>22 (9.1%)</w:t>
            </w:r>
          </w:p>
        </w:tc>
        <w:tc>
          <w:tcPr>
            <w:tcW w:w="1567" w:type="dxa"/>
            <w:vAlign w:val="center"/>
          </w:tcPr>
          <w:p w14:paraId="56F97550" w14:textId="77777777" w:rsidR="00576FE1" w:rsidRDefault="00576FE1" w:rsidP="00115CD6">
            <w:pPr>
              <w:pStyle w:val="RRNormal"/>
              <w:spacing w:after="0" w:line="240" w:lineRule="auto"/>
              <w:jc w:val="center"/>
              <w:rPr>
                <w:lang w:val="en-GB"/>
              </w:rPr>
            </w:pPr>
            <w:r w:rsidRPr="00B16B81">
              <w:t>31 (12.8%)</w:t>
            </w:r>
          </w:p>
        </w:tc>
        <w:tc>
          <w:tcPr>
            <w:tcW w:w="1506" w:type="dxa"/>
            <w:vAlign w:val="center"/>
          </w:tcPr>
          <w:p w14:paraId="3B165056" w14:textId="77777777" w:rsidR="00576FE1" w:rsidRDefault="00576FE1" w:rsidP="00115CD6">
            <w:pPr>
              <w:pStyle w:val="RRNormal"/>
              <w:spacing w:after="0" w:line="240" w:lineRule="auto"/>
              <w:jc w:val="center"/>
              <w:rPr>
                <w:lang w:val="en-GB"/>
              </w:rPr>
            </w:pPr>
            <w:r w:rsidRPr="00B16B81">
              <w:t>53 (11.0%)</w:t>
            </w:r>
          </w:p>
        </w:tc>
      </w:tr>
      <w:tr w:rsidR="00576FE1" w14:paraId="48463DF2" w14:textId="77777777" w:rsidTr="00115CD6">
        <w:trPr>
          <w:trHeight w:val="269"/>
        </w:trPr>
        <w:tc>
          <w:tcPr>
            <w:tcW w:w="4275" w:type="dxa"/>
            <w:vAlign w:val="center"/>
          </w:tcPr>
          <w:p w14:paraId="4FD6554A" w14:textId="77777777" w:rsidR="00576FE1" w:rsidRDefault="00576FE1" w:rsidP="00115CD6">
            <w:pPr>
              <w:pStyle w:val="RRNormal"/>
              <w:spacing w:after="0" w:line="240" w:lineRule="auto"/>
              <w:ind w:hanging="249"/>
              <w:rPr>
                <w:lang w:val="en-GB"/>
              </w:rPr>
            </w:pPr>
            <w:r w:rsidRPr="00B16B81">
              <w:t xml:space="preserve">    Dyspepsia</w:t>
            </w:r>
          </w:p>
        </w:tc>
        <w:tc>
          <w:tcPr>
            <w:tcW w:w="1710" w:type="dxa"/>
            <w:vAlign w:val="center"/>
          </w:tcPr>
          <w:p w14:paraId="6C92C6A1" w14:textId="77777777" w:rsidR="00576FE1" w:rsidRDefault="00576FE1" w:rsidP="00115CD6">
            <w:pPr>
              <w:pStyle w:val="RRNormal"/>
              <w:spacing w:after="0" w:line="240" w:lineRule="auto"/>
              <w:jc w:val="center"/>
              <w:rPr>
                <w:lang w:val="en-GB"/>
              </w:rPr>
            </w:pPr>
            <w:r w:rsidRPr="00B16B81">
              <w:t>21 (8.7%)</w:t>
            </w:r>
          </w:p>
        </w:tc>
        <w:tc>
          <w:tcPr>
            <w:tcW w:w="1567" w:type="dxa"/>
            <w:vAlign w:val="center"/>
          </w:tcPr>
          <w:p w14:paraId="55DB0B05" w14:textId="77777777" w:rsidR="00576FE1" w:rsidRDefault="00576FE1" w:rsidP="00115CD6">
            <w:pPr>
              <w:pStyle w:val="RRNormal"/>
              <w:spacing w:after="0" w:line="240" w:lineRule="auto"/>
              <w:jc w:val="center"/>
              <w:rPr>
                <w:lang w:val="en-GB"/>
              </w:rPr>
            </w:pPr>
            <w:r w:rsidRPr="00B16B81">
              <w:t>25 (10.3%)</w:t>
            </w:r>
          </w:p>
        </w:tc>
        <w:tc>
          <w:tcPr>
            <w:tcW w:w="1506" w:type="dxa"/>
            <w:vAlign w:val="center"/>
          </w:tcPr>
          <w:p w14:paraId="4F429475" w14:textId="77777777" w:rsidR="00576FE1" w:rsidRDefault="00576FE1" w:rsidP="00115CD6">
            <w:pPr>
              <w:pStyle w:val="RRNormal"/>
              <w:spacing w:after="0" w:line="240" w:lineRule="auto"/>
              <w:jc w:val="center"/>
              <w:rPr>
                <w:lang w:val="en-GB"/>
              </w:rPr>
            </w:pPr>
            <w:r w:rsidRPr="00B16B81">
              <w:t>46 (9.5%)</w:t>
            </w:r>
          </w:p>
        </w:tc>
      </w:tr>
      <w:tr w:rsidR="00576FE1" w14:paraId="481A6801" w14:textId="77777777" w:rsidTr="00115CD6">
        <w:trPr>
          <w:trHeight w:val="269"/>
        </w:trPr>
        <w:tc>
          <w:tcPr>
            <w:tcW w:w="4275" w:type="dxa"/>
            <w:vAlign w:val="center"/>
          </w:tcPr>
          <w:p w14:paraId="49C346E7" w14:textId="77777777" w:rsidR="00576FE1" w:rsidRDefault="00576FE1" w:rsidP="00115CD6">
            <w:pPr>
              <w:pStyle w:val="RRNormal"/>
              <w:spacing w:after="0" w:line="240" w:lineRule="auto"/>
              <w:ind w:hanging="249"/>
              <w:rPr>
                <w:lang w:val="en-GB"/>
              </w:rPr>
            </w:pPr>
            <w:r w:rsidRPr="00B16B81">
              <w:t xml:space="preserve">    Abdominal pain</w:t>
            </w:r>
          </w:p>
        </w:tc>
        <w:tc>
          <w:tcPr>
            <w:tcW w:w="1710" w:type="dxa"/>
            <w:vAlign w:val="center"/>
          </w:tcPr>
          <w:p w14:paraId="6383EB86" w14:textId="77777777" w:rsidR="00576FE1" w:rsidRDefault="00576FE1" w:rsidP="00115CD6">
            <w:pPr>
              <w:pStyle w:val="RRNormal"/>
              <w:spacing w:after="0" w:line="240" w:lineRule="auto"/>
              <w:jc w:val="center"/>
              <w:rPr>
                <w:lang w:val="en-GB"/>
              </w:rPr>
            </w:pPr>
            <w:r w:rsidRPr="00B16B81">
              <w:t>18 (7.5%)</w:t>
            </w:r>
          </w:p>
        </w:tc>
        <w:tc>
          <w:tcPr>
            <w:tcW w:w="1567" w:type="dxa"/>
            <w:vAlign w:val="center"/>
          </w:tcPr>
          <w:p w14:paraId="56EF6B30" w14:textId="77777777" w:rsidR="00576FE1" w:rsidRDefault="00576FE1" w:rsidP="00115CD6">
            <w:pPr>
              <w:pStyle w:val="RRNormal"/>
              <w:spacing w:after="0" w:line="240" w:lineRule="auto"/>
              <w:jc w:val="center"/>
              <w:rPr>
                <w:lang w:val="en-GB"/>
              </w:rPr>
            </w:pPr>
            <w:r w:rsidRPr="00B16B81">
              <w:t>15 (6.2%)</w:t>
            </w:r>
          </w:p>
        </w:tc>
        <w:tc>
          <w:tcPr>
            <w:tcW w:w="1506" w:type="dxa"/>
            <w:vAlign w:val="center"/>
          </w:tcPr>
          <w:p w14:paraId="39F005C7" w14:textId="77777777" w:rsidR="00576FE1" w:rsidRDefault="00576FE1" w:rsidP="00115CD6">
            <w:pPr>
              <w:pStyle w:val="RRNormal"/>
              <w:spacing w:after="0" w:line="240" w:lineRule="auto"/>
              <w:jc w:val="center"/>
              <w:rPr>
                <w:lang w:val="en-GB"/>
              </w:rPr>
            </w:pPr>
            <w:r w:rsidRPr="00B16B81">
              <w:t>33 (6.8%)</w:t>
            </w:r>
          </w:p>
        </w:tc>
      </w:tr>
      <w:tr w:rsidR="00576FE1" w14:paraId="003D11DE" w14:textId="77777777" w:rsidTr="00115CD6">
        <w:trPr>
          <w:trHeight w:val="269"/>
        </w:trPr>
        <w:tc>
          <w:tcPr>
            <w:tcW w:w="4275" w:type="dxa"/>
            <w:vAlign w:val="center"/>
          </w:tcPr>
          <w:p w14:paraId="3814B77E" w14:textId="77777777" w:rsidR="00576FE1" w:rsidRDefault="00576FE1" w:rsidP="00115CD6">
            <w:pPr>
              <w:pStyle w:val="RRNormal"/>
              <w:spacing w:after="0" w:line="240" w:lineRule="auto"/>
              <w:ind w:hanging="249"/>
              <w:rPr>
                <w:lang w:val="en-GB"/>
              </w:rPr>
            </w:pPr>
            <w:r w:rsidRPr="00B16B81">
              <w:t xml:space="preserve">    Dry mouth</w:t>
            </w:r>
          </w:p>
        </w:tc>
        <w:tc>
          <w:tcPr>
            <w:tcW w:w="1710" w:type="dxa"/>
            <w:vAlign w:val="center"/>
          </w:tcPr>
          <w:p w14:paraId="0DD04168" w14:textId="77777777" w:rsidR="00576FE1" w:rsidRDefault="00576FE1" w:rsidP="00115CD6">
            <w:pPr>
              <w:pStyle w:val="RRNormal"/>
              <w:spacing w:after="0" w:line="240" w:lineRule="auto"/>
              <w:jc w:val="center"/>
              <w:rPr>
                <w:lang w:val="en-GB"/>
              </w:rPr>
            </w:pPr>
            <w:r w:rsidRPr="00B16B81">
              <w:t>9 (3.7%)</w:t>
            </w:r>
          </w:p>
        </w:tc>
        <w:tc>
          <w:tcPr>
            <w:tcW w:w="1567" w:type="dxa"/>
            <w:vAlign w:val="center"/>
          </w:tcPr>
          <w:p w14:paraId="0969E416" w14:textId="77777777" w:rsidR="00576FE1" w:rsidRDefault="00576FE1" w:rsidP="00115CD6">
            <w:pPr>
              <w:pStyle w:val="RRNormal"/>
              <w:spacing w:after="0" w:line="240" w:lineRule="auto"/>
              <w:jc w:val="center"/>
              <w:rPr>
                <w:lang w:val="en-GB"/>
              </w:rPr>
            </w:pPr>
            <w:r w:rsidRPr="00B16B81">
              <w:t>12 (5.0%)</w:t>
            </w:r>
          </w:p>
        </w:tc>
        <w:tc>
          <w:tcPr>
            <w:tcW w:w="1506" w:type="dxa"/>
            <w:vAlign w:val="center"/>
          </w:tcPr>
          <w:p w14:paraId="3E5FE766" w14:textId="77777777" w:rsidR="00576FE1" w:rsidRDefault="00576FE1" w:rsidP="00115CD6">
            <w:pPr>
              <w:pStyle w:val="RRNormal"/>
              <w:spacing w:after="0" w:line="240" w:lineRule="auto"/>
              <w:jc w:val="center"/>
              <w:rPr>
                <w:lang w:val="en-GB"/>
              </w:rPr>
            </w:pPr>
            <w:r w:rsidRPr="00B16B81">
              <w:t>21 (4.3%)</w:t>
            </w:r>
          </w:p>
        </w:tc>
      </w:tr>
      <w:tr w:rsidR="00576FE1" w14:paraId="34B7430F" w14:textId="77777777" w:rsidTr="00115CD6">
        <w:trPr>
          <w:trHeight w:val="269"/>
        </w:trPr>
        <w:tc>
          <w:tcPr>
            <w:tcW w:w="4275" w:type="dxa"/>
            <w:vAlign w:val="center"/>
          </w:tcPr>
          <w:p w14:paraId="41E33502" w14:textId="77777777" w:rsidR="00576FE1" w:rsidRDefault="00576FE1" w:rsidP="00115CD6">
            <w:pPr>
              <w:pStyle w:val="RRNormal"/>
              <w:spacing w:after="0" w:line="240" w:lineRule="auto"/>
              <w:ind w:hanging="249"/>
              <w:rPr>
                <w:lang w:val="en-GB"/>
              </w:rPr>
            </w:pPr>
            <w:r w:rsidRPr="00B16B81">
              <w:t xml:space="preserve">    Toothache</w:t>
            </w:r>
          </w:p>
        </w:tc>
        <w:tc>
          <w:tcPr>
            <w:tcW w:w="1710" w:type="dxa"/>
            <w:vAlign w:val="center"/>
          </w:tcPr>
          <w:p w14:paraId="447572E2" w14:textId="77777777" w:rsidR="00576FE1" w:rsidRDefault="00576FE1" w:rsidP="00115CD6">
            <w:pPr>
              <w:pStyle w:val="RRNormal"/>
              <w:spacing w:after="0" w:line="240" w:lineRule="auto"/>
              <w:jc w:val="center"/>
              <w:rPr>
                <w:lang w:val="en-GB"/>
              </w:rPr>
            </w:pPr>
            <w:r w:rsidRPr="00B16B81">
              <w:t>8 (3.3%)</w:t>
            </w:r>
          </w:p>
        </w:tc>
        <w:tc>
          <w:tcPr>
            <w:tcW w:w="1567" w:type="dxa"/>
            <w:vAlign w:val="center"/>
          </w:tcPr>
          <w:p w14:paraId="68C51234" w14:textId="77777777" w:rsidR="00576FE1" w:rsidRDefault="00576FE1" w:rsidP="00115CD6">
            <w:pPr>
              <w:pStyle w:val="RRNormal"/>
              <w:spacing w:after="0" w:line="240" w:lineRule="auto"/>
              <w:jc w:val="center"/>
              <w:rPr>
                <w:lang w:val="en-GB"/>
              </w:rPr>
            </w:pPr>
            <w:r w:rsidRPr="00B16B81">
              <w:t>11 (4.5%)</w:t>
            </w:r>
          </w:p>
        </w:tc>
        <w:tc>
          <w:tcPr>
            <w:tcW w:w="1506" w:type="dxa"/>
            <w:vAlign w:val="center"/>
          </w:tcPr>
          <w:p w14:paraId="6B584761" w14:textId="77777777" w:rsidR="00576FE1" w:rsidRDefault="00576FE1" w:rsidP="00115CD6">
            <w:pPr>
              <w:pStyle w:val="RRNormal"/>
              <w:spacing w:after="0" w:line="240" w:lineRule="auto"/>
              <w:jc w:val="center"/>
              <w:rPr>
                <w:lang w:val="en-GB"/>
              </w:rPr>
            </w:pPr>
            <w:r w:rsidRPr="00B16B81">
              <w:t>19 (3.9%)</w:t>
            </w:r>
          </w:p>
        </w:tc>
      </w:tr>
      <w:tr w:rsidR="00576FE1" w14:paraId="296726A0" w14:textId="77777777" w:rsidTr="00115CD6">
        <w:trPr>
          <w:trHeight w:val="269"/>
        </w:trPr>
        <w:tc>
          <w:tcPr>
            <w:tcW w:w="4275" w:type="dxa"/>
            <w:vAlign w:val="center"/>
          </w:tcPr>
          <w:p w14:paraId="759462CC" w14:textId="77777777" w:rsidR="00576FE1" w:rsidRDefault="00576FE1" w:rsidP="00115CD6">
            <w:pPr>
              <w:pStyle w:val="RRNormal"/>
              <w:spacing w:after="0" w:line="240" w:lineRule="auto"/>
              <w:ind w:hanging="249"/>
              <w:rPr>
                <w:lang w:val="en-GB"/>
              </w:rPr>
            </w:pPr>
            <w:r w:rsidRPr="00B16B81">
              <w:t xml:space="preserve">    </w:t>
            </w:r>
            <w:proofErr w:type="spellStart"/>
            <w:r w:rsidRPr="00B16B81">
              <w:t>Haemorrhoids</w:t>
            </w:r>
            <w:proofErr w:type="spellEnd"/>
          </w:p>
        </w:tc>
        <w:tc>
          <w:tcPr>
            <w:tcW w:w="1710" w:type="dxa"/>
            <w:vAlign w:val="center"/>
          </w:tcPr>
          <w:p w14:paraId="589F2FD5" w14:textId="77777777" w:rsidR="00576FE1" w:rsidRDefault="00576FE1" w:rsidP="00115CD6">
            <w:pPr>
              <w:pStyle w:val="RRNormal"/>
              <w:spacing w:after="0" w:line="240" w:lineRule="auto"/>
              <w:jc w:val="center"/>
              <w:rPr>
                <w:lang w:val="en-GB"/>
              </w:rPr>
            </w:pPr>
            <w:r w:rsidRPr="00B16B81">
              <w:t>4 (1.7%)</w:t>
            </w:r>
          </w:p>
        </w:tc>
        <w:tc>
          <w:tcPr>
            <w:tcW w:w="1567" w:type="dxa"/>
            <w:vAlign w:val="center"/>
          </w:tcPr>
          <w:p w14:paraId="6DFAE4CE" w14:textId="77777777" w:rsidR="00576FE1" w:rsidRDefault="00576FE1" w:rsidP="00115CD6">
            <w:pPr>
              <w:pStyle w:val="RRNormal"/>
              <w:spacing w:after="0" w:line="240" w:lineRule="auto"/>
              <w:jc w:val="center"/>
              <w:rPr>
                <w:lang w:val="en-GB"/>
              </w:rPr>
            </w:pPr>
            <w:r w:rsidRPr="00B16B81">
              <w:t>13 (5.4%)</w:t>
            </w:r>
          </w:p>
        </w:tc>
        <w:tc>
          <w:tcPr>
            <w:tcW w:w="1506" w:type="dxa"/>
            <w:vAlign w:val="center"/>
          </w:tcPr>
          <w:p w14:paraId="4D28984A" w14:textId="77777777" w:rsidR="00576FE1" w:rsidRDefault="00576FE1" w:rsidP="00115CD6">
            <w:pPr>
              <w:pStyle w:val="RRNormal"/>
              <w:spacing w:after="0" w:line="240" w:lineRule="auto"/>
              <w:jc w:val="center"/>
              <w:rPr>
                <w:lang w:val="en-GB"/>
              </w:rPr>
            </w:pPr>
            <w:r w:rsidRPr="00B16B81">
              <w:t>17 (3.5%)</w:t>
            </w:r>
          </w:p>
        </w:tc>
      </w:tr>
      <w:tr w:rsidR="00576FE1" w14:paraId="1D9C7CA8" w14:textId="77777777" w:rsidTr="00115CD6">
        <w:trPr>
          <w:trHeight w:val="269"/>
        </w:trPr>
        <w:tc>
          <w:tcPr>
            <w:tcW w:w="4275" w:type="dxa"/>
            <w:vAlign w:val="center"/>
          </w:tcPr>
          <w:p w14:paraId="7541967F" w14:textId="77777777" w:rsidR="00576FE1" w:rsidRDefault="00576FE1" w:rsidP="00115CD6">
            <w:pPr>
              <w:pStyle w:val="RRNormal"/>
              <w:spacing w:after="0" w:line="240" w:lineRule="auto"/>
              <w:rPr>
                <w:lang w:val="en-GB"/>
              </w:rPr>
            </w:pPr>
            <w:r w:rsidRPr="00B16B81">
              <w:rPr>
                <w:b/>
                <w:lang w:val="en-GB"/>
              </w:rPr>
              <w:t>Musculoskeletal and connective tissue disorders</w:t>
            </w:r>
          </w:p>
        </w:tc>
        <w:tc>
          <w:tcPr>
            <w:tcW w:w="1710" w:type="dxa"/>
            <w:vAlign w:val="center"/>
          </w:tcPr>
          <w:p w14:paraId="70378630" w14:textId="77777777" w:rsidR="00576FE1" w:rsidRDefault="00576FE1" w:rsidP="00115CD6">
            <w:pPr>
              <w:pStyle w:val="RRNormal"/>
              <w:spacing w:after="0" w:line="240" w:lineRule="auto"/>
              <w:jc w:val="center"/>
              <w:rPr>
                <w:lang w:val="en-GB"/>
              </w:rPr>
            </w:pPr>
            <w:r w:rsidRPr="00B16B81">
              <w:rPr>
                <w:b/>
              </w:rPr>
              <w:t>140 (58.1%)</w:t>
            </w:r>
          </w:p>
        </w:tc>
        <w:tc>
          <w:tcPr>
            <w:tcW w:w="1567" w:type="dxa"/>
            <w:vAlign w:val="center"/>
          </w:tcPr>
          <w:p w14:paraId="1D23C99D" w14:textId="77777777" w:rsidR="00576FE1" w:rsidRDefault="00576FE1" w:rsidP="00115CD6">
            <w:pPr>
              <w:pStyle w:val="RRNormal"/>
              <w:spacing w:after="0" w:line="240" w:lineRule="auto"/>
              <w:jc w:val="center"/>
              <w:rPr>
                <w:lang w:val="en-GB"/>
              </w:rPr>
            </w:pPr>
            <w:r w:rsidRPr="00B16B81">
              <w:rPr>
                <w:b/>
              </w:rPr>
              <w:t>153 (63.2%)</w:t>
            </w:r>
          </w:p>
        </w:tc>
        <w:tc>
          <w:tcPr>
            <w:tcW w:w="1506" w:type="dxa"/>
            <w:vAlign w:val="center"/>
          </w:tcPr>
          <w:p w14:paraId="00FA4E5A" w14:textId="77777777" w:rsidR="00576FE1" w:rsidRDefault="00576FE1" w:rsidP="00115CD6">
            <w:pPr>
              <w:pStyle w:val="RRNormal"/>
              <w:spacing w:after="0" w:line="240" w:lineRule="auto"/>
              <w:jc w:val="center"/>
              <w:rPr>
                <w:lang w:val="en-GB"/>
              </w:rPr>
            </w:pPr>
            <w:r w:rsidRPr="00B16B81">
              <w:rPr>
                <w:b/>
              </w:rPr>
              <w:t>293 (60.7%)</w:t>
            </w:r>
          </w:p>
        </w:tc>
      </w:tr>
      <w:tr w:rsidR="00576FE1" w14:paraId="673CD1AE" w14:textId="77777777" w:rsidTr="00115CD6">
        <w:trPr>
          <w:trHeight w:val="269"/>
        </w:trPr>
        <w:tc>
          <w:tcPr>
            <w:tcW w:w="4275" w:type="dxa"/>
            <w:vAlign w:val="center"/>
          </w:tcPr>
          <w:p w14:paraId="17670816" w14:textId="77777777" w:rsidR="00576FE1" w:rsidRDefault="00576FE1" w:rsidP="00115CD6">
            <w:pPr>
              <w:pStyle w:val="RRNormal"/>
              <w:spacing w:after="0" w:line="240" w:lineRule="auto"/>
              <w:ind w:hanging="249"/>
              <w:rPr>
                <w:lang w:val="en-GB"/>
              </w:rPr>
            </w:pPr>
            <w:r w:rsidRPr="00B16B81">
              <w:t xml:space="preserve">    Arthralgia</w:t>
            </w:r>
          </w:p>
        </w:tc>
        <w:tc>
          <w:tcPr>
            <w:tcW w:w="1710" w:type="dxa"/>
            <w:vAlign w:val="center"/>
          </w:tcPr>
          <w:p w14:paraId="66ADE4CE" w14:textId="77777777" w:rsidR="00576FE1" w:rsidRDefault="00576FE1" w:rsidP="00115CD6">
            <w:pPr>
              <w:pStyle w:val="RRNormal"/>
              <w:spacing w:after="0" w:line="240" w:lineRule="auto"/>
              <w:jc w:val="center"/>
              <w:rPr>
                <w:lang w:val="en-GB"/>
              </w:rPr>
            </w:pPr>
            <w:r w:rsidRPr="00B16B81">
              <w:t>62 (25.7%)</w:t>
            </w:r>
          </w:p>
        </w:tc>
        <w:tc>
          <w:tcPr>
            <w:tcW w:w="1567" w:type="dxa"/>
            <w:vAlign w:val="center"/>
          </w:tcPr>
          <w:p w14:paraId="382FACDC" w14:textId="77777777" w:rsidR="00576FE1" w:rsidRDefault="00576FE1" w:rsidP="00115CD6">
            <w:pPr>
              <w:pStyle w:val="RRNormal"/>
              <w:spacing w:after="0" w:line="240" w:lineRule="auto"/>
              <w:jc w:val="center"/>
              <w:rPr>
                <w:lang w:val="en-GB"/>
              </w:rPr>
            </w:pPr>
            <w:r w:rsidRPr="00B16B81">
              <w:t>80 (33.1%)</w:t>
            </w:r>
          </w:p>
        </w:tc>
        <w:tc>
          <w:tcPr>
            <w:tcW w:w="1506" w:type="dxa"/>
            <w:vAlign w:val="center"/>
          </w:tcPr>
          <w:p w14:paraId="18073304" w14:textId="77777777" w:rsidR="00576FE1" w:rsidRDefault="00576FE1" w:rsidP="00115CD6">
            <w:pPr>
              <w:pStyle w:val="RRNormal"/>
              <w:spacing w:after="0" w:line="240" w:lineRule="auto"/>
              <w:jc w:val="center"/>
              <w:rPr>
                <w:lang w:val="en-GB"/>
              </w:rPr>
            </w:pPr>
            <w:r w:rsidRPr="00B16B81">
              <w:t>142 (29.4%)</w:t>
            </w:r>
          </w:p>
        </w:tc>
      </w:tr>
      <w:tr w:rsidR="00576FE1" w14:paraId="1A171926" w14:textId="77777777" w:rsidTr="00115CD6">
        <w:trPr>
          <w:trHeight w:val="269"/>
        </w:trPr>
        <w:tc>
          <w:tcPr>
            <w:tcW w:w="4275" w:type="dxa"/>
            <w:vAlign w:val="center"/>
          </w:tcPr>
          <w:p w14:paraId="2344E704" w14:textId="77777777" w:rsidR="00576FE1" w:rsidRDefault="00576FE1" w:rsidP="00115CD6">
            <w:pPr>
              <w:pStyle w:val="RRNormal"/>
              <w:spacing w:after="0" w:line="240" w:lineRule="auto"/>
              <w:ind w:hanging="249"/>
              <w:rPr>
                <w:lang w:val="en-GB"/>
              </w:rPr>
            </w:pPr>
            <w:r w:rsidRPr="00B16B81">
              <w:t xml:space="preserve">    Back pain</w:t>
            </w:r>
          </w:p>
        </w:tc>
        <w:tc>
          <w:tcPr>
            <w:tcW w:w="1710" w:type="dxa"/>
            <w:vAlign w:val="center"/>
          </w:tcPr>
          <w:p w14:paraId="255F4006" w14:textId="77777777" w:rsidR="00576FE1" w:rsidRDefault="00576FE1" w:rsidP="00115CD6">
            <w:pPr>
              <w:pStyle w:val="RRNormal"/>
              <w:spacing w:after="0" w:line="240" w:lineRule="auto"/>
              <w:jc w:val="center"/>
              <w:rPr>
                <w:lang w:val="en-GB"/>
              </w:rPr>
            </w:pPr>
            <w:r w:rsidRPr="00B16B81">
              <w:t>57 (23.7%)</w:t>
            </w:r>
          </w:p>
        </w:tc>
        <w:tc>
          <w:tcPr>
            <w:tcW w:w="1567" w:type="dxa"/>
            <w:vAlign w:val="center"/>
          </w:tcPr>
          <w:p w14:paraId="5227E92A" w14:textId="77777777" w:rsidR="00576FE1" w:rsidRDefault="00576FE1" w:rsidP="00115CD6">
            <w:pPr>
              <w:pStyle w:val="RRNormal"/>
              <w:spacing w:after="0" w:line="240" w:lineRule="auto"/>
              <w:jc w:val="center"/>
              <w:rPr>
                <w:lang w:val="en-GB"/>
              </w:rPr>
            </w:pPr>
            <w:r w:rsidRPr="00B16B81">
              <w:t>49 (20.2%)</w:t>
            </w:r>
          </w:p>
        </w:tc>
        <w:tc>
          <w:tcPr>
            <w:tcW w:w="1506" w:type="dxa"/>
            <w:vAlign w:val="center"/>
          </w:tcPr>
          <w:p w14:paraId="6028D8EE" w14:textId="77777777" w:rsidR="00576FE1" w:rsidRDefault="00576FE1" w:rsidP="00115CD6">
            <w:pPr>
              <w:pStyle w:val="RRNormal"/>
              <w:spacing w:after="0" w:line="240" w:lineRule="auto"/>
              <w:jc w:val="center"/>
              <w:rPr>
                <w:lang w:val="en-GB"/>
              </w:rPr>
            </w:pPr>
            <w:r w:rsidRPr="00B16B81">
              <w:t>106 (21.9%)</w:t>
            </w:r>
          </w:p>
        </w:tc>
      </w:tr>
      <w:tr w:rsidR="00576FE1" w14:paraId="547F2B91" w14:textId="77777777" w:rsidTr="00115CD6">
        <w:trPr>
          <w:trHeight w:val="269"/>
        </w:trPr>
        <w:tc>
          <w:tcPr>
            <w:tcW w:w="4275" w:type="dxa"/>
            <w:vAlign w:val="center"/>
          </w:tcPr>
          <w:p w14:paraId="032C95DC" w14:textId="77777777" w:rsidR="00576FE1" w:rsidRDefault="00576FE1" w:rsidP="00115CD6">
            <w:pPr>
              <w:pStyle w:val="RRNormal"/>
              <w:spacing w:after="0" w:line="240" w:lineRule="auto"/>
              <w:ind w:hanging="249"/>
              <w:rPr>
                <w:lang w:val="en-GB"/>
              </w:rPr>
            </w:pPr>
            <w:r w:rsidRPr="00B16B81">
              <w:t xml:space="preserve">    Pain in extremity</w:t>
            </w:r>
          </w:p>
        </w:tc>
        <w:tc>
          <w:tcPr>
            <w:tcW w:w="1710" w:type="dxa"/>
            <w:vAlign w:val="center"/>
          </w:tcPr>
          <w:p w14:paraId="607DBE3C" w14:textId="77777777" w:rsidR="00576FE1" w:rsidRDefault="00576FE1" w:rsidP="00115CD6">
            <w:pPr>
              <w:pStyle w:val="RRNormal"/>
              <w:spacing w:after="0" w:line="240" w:lineRule="auto"/>
              <w:jc w:val="center"/>
              <w:rPr>
                <w:lang w:val="en-GB"/>
              </w:rPr>
            </w:pPr>
            <w:r w:rsidRPr="00B16B81">
              <w:t>39 (16.2%)</w:t>
            </w:r>
          </w:p>
        </w:tc>
        <w:tc>
          <w:tcPr>
            <w:tcW w:w="1567" w:type="dxa"/>
            <w:vAlign w:val="center"/>
          </w:tcPr>
          <w:p w14:paraId="52F7EF2C" w14:textId="77777777" w:rsidR="00576FE1" w:rsidRDefault="00576FE1" w:rsidP="00115CD6">
            <w:pPr>
              <w:pStyle w:val="RRNormal"/>
              <w:spacing w:after="0" w:line="240" w:lineRule="auto"/>
              <w:jc w:val="center"/>
              <w:rPr>
                <w:lang w:val="en-GB"/>
              </w:rPr>
            </w:pPr>
            <w:r w:rsidRPr="00B16B81">
              <w:t>28 (11.6%)</w:t>
            </w:r>
          </w:p>
        </w:tc>
        <w:tc>
          <w:tcPr>
            <w:tcW w:w="1506" w:type="dxa"/>
            <w:vAlign w:val="center"/>
          </w:tcPr>
          <w:p w14:paraId="0C9F40A2" w14:textId="77777777" w:rsidR="00576FE1" w:rsidRDefault="00576FE1" w:rsidP="00115CD6">
            <w:pPr>
              <w:pStyle w:val="RRNormal"/>
              <w:spacing w:after="0" w:line="240" w:lineRule="auto"/>
              <w:jc w:val="center"/>
              <w:rPr>
                <w:lang w:val="en-GB"/>
              </w:rPr>
            </w:pPr>
            <w:r w:rsidRPr="00B16B81">
              <w:t>67 (13.9%)</w:t>
            </w:r>
          </w:p>
        </w:tc>
      </w:tr>
      <w:tr w:rsidR="00576FE1" w14:paraId="48612834" w14:textId="77777777" w:rsidTr="00115CD6">
        <w:trPr>
          <w:trHeight w:val="269"/>
        </w:trPr>
        <w:tc>
          <w:tcPr>
            <w:tcW w:w="4275" w:type="dxa"/>
            <w:vAlign w:val="center"/>
          </w:tcPr>
          <w:p w14:paraId="2DB733AB" w14:textId="77777777" w:rsidR="00576FE1" w:rsidRDefault="00576FE1" w:rsidP="00115CD6">
            <w:pPr>
              <w:pStyle w:val="RRNormal"/>
              <w:spacing w:after="0" w:line="240" w:lineRule="auto"/>
              <w:ind w:hanging="249"/>
              <w:rPr>
                <w:lang w:val="en-GB"/>
              </w:rPr>
            </w:pPr>
            <w:r w:rsidRPr="00B16B81">
              <w:t xml:space="preserve">    Musculoskeletal pain</w:t>
            </w:r>
          </w:p>
        </w:tc>
        <w:tc>
          <w:tcPr>
            <w:tcW w:w="1710" w:type="dxa"/>
            <w:vAlign w:val="center"/>
          </w:tcPr>
          <w:p w14:paraId="6845E05D" w14:textId="77777777" w:rsidR="00576FE1" w:rsidRDefault="00576FE1" w:rsidP="00115CD6">
            <w:pPr>
              <w:pStyle w:val="RRNormal"/>
              <w:spacing w:after="0" w:line="240" w:lineRule="auto"/>
              <w:jc w:val="center"/>
              <w:rPr>
                <w:lang w:val="en-GB"/>
              </w:rPr>
            </w:pPr>
            <w:r w:rsidRPr="00B16B81">
              <w:t>27 (11.2%)</w:t>
            </w:r>
          </w:p>
        </w:tc>
        <w:tc>
          <w:tcPr>
            <w:tcW w:w="1567" w:type="dxa"/>
            <w:vAlign w:val="center"/>
          </w:tcPr>
          <w:p w14:paraId="5BBD474B" w14:textId="77777777" w:rsidR="00576FE1" w:rsidRDefault="00576FE1" w:rsidP="00115CD6">
            <w:pPr>
              <w:pStyle w:val="RRNormal"/>
              <w:spacing w:after="0" w:line="240" w:lineRule="auto"/>
              <w:jc w:val="center"/>
              <w:rPr>
                <w:lang w:val="en-GB"/>
              </w:rPr>
            </w:pPr>
            <w:r w:rsidRPr="00B16B81">
              <w:t>23 (9.5%)</w:t>
            </w:r>
          </w:p>
        </w:tc>
        <w:tc>
          <w:tcPr>
            <w:tcW w:w="1506" w:type="dxa"/>
            <w:vAlign w:val="center"/>
          </w:tcPr>
          <w:p w14:paraId="0764FD96" w14:textId="77777777" w:rsidR="00576FE1" w:rsidRDefault="00576FE1" w:rsidP="00115CD6">
            <w:pPr>
              <w:pStyle w:val="RRNormal"/>
              <w:spacing w:after="0" w:line="240" w:lineRule="auto"/>
              <w:jc w:val="center"/>
              <w:rPr>
                <w:lang w:val="en-GB"/>
              </w:rPr>
            </w:pPr>
            <w:r w:rsidRPr="00B16B81">
              <w:t>50 (10.4%)</w:t>
            </w:r>
          </w:p>
        </w:tc>
      </w:tr>
      <w:tr w:rsidR="00576FE1" w14:paraId="4C8C7514" w14:textId="77777777" w:rsidTr="00115CD6">
        <w:trPr>
          <w:trHeight w:val="269"/>
        </w:trPr>
        <w:tc>
          <w:tcPr>
            <w:tcW w:w="4275" w:type="dxa"/>
            <w:vAlign w:val="center"/>
          </w:tcPr>
          <w:p w14:paraId="52501C05" w14:textId="77777777" w:rsidR="00576FE1" w:rsidRDefault="00576FE1" w:rsidP="00115CD6">
            <w:pPr>
              <w:pStyle w:val="RRNormal"/>
              <w:spacing w:after="0" w:line="240" w:lineRule="auto"/>
              <w:ind w:hanging="249"/>
              <w:rPr>
                <w:lang w:val="en-GB"/>
              </w:rPr>
            </w:pPr>
            <w:r w:rsidRPr="00B16B81">
              <w:t xml:space="preserve">    Bone pain</w:t>
            </w:r>
          </w:p>
        </w:tc>
        <w:tc>
          <w:tcPr>
            <w:tcW w:w="1710" w:type="dxa"/>
            <w:vAlign w:val="center"/>
          </w:tcPr>
          <w:p w14:paraId="664FD071" w14:textId="77777777" w:rsidR="00576FE1" w:rsidRDefault="00576FE1" w:rsidP="00115CD6">
            <w:pPr>
              <w:pStyle w:val="RRNormal"/>
              <w:spacing w:after="0" w:line="240" w:lineRule="auto"/>
              <w:jc w:val="center"/>
              <w:rPr>
                <w:lang w:val="en-GB"/>
              </w:rPr>
            </w:pPr>
            <w:r w:rsidRPr="00B16B81">
              <w:t>24 (10.0%)</w:t>
            </w:r>
          </w:p>
        </w:tc>
        <w:tc>
          <w:tcPr>
            <w:tcW w:w="1567" w:type="dxa"/>
            <w:vAlign w:val="center"/>
          </w:tcPr>
          <w:p w14:paraId="1EFC7D15" w14:textId="77777777" w:rsidR="00576FE1" w:rsidRDefault="00576FE1" w:rsidP="00115CD6">
            <w:pPr>
              <w:pStyle w:val="RRNormal"/>
              <w:spacing w:after="0" w:line="240" w:lineRule="auto"/>
              <w:jc w:val="center"/>
              <w:rPr>
                <w:lang w:val="en-GB"/>
              </w:rPr>
            </w:pPr>
            <w:r w:rsidRPr="00B16B81">
              <w:t>19 (7.9%)</w:t>
            </w:r>
          </w:p>
        </w:tc>
        <w:tc>
          <w:tcPr>
            <w:tcW w:w="1506" w:type="dxa"/>
            <w:vAlign w:val="center"/>
          </w:tcPr>
          <w:p w14:paraId="57575609" w14:textId="77777777" w:rsidR="00576FE1" w:rsidRDefault="00576FE1" w:rsidP="00115CD6">
            <w:pPr>
              <w:pStyle w:val="RRNormal"/>
              <w:spacing w:after="0" w:line="240" w:lineRule="auto"/>
              <w:jc w:val="center"/>
              <w:rPr>
                <w:lang w:val="en-GB"/>
              </w:rPr>
            </w:pPr>
            <w:r w:rsidRPr="00B16B81">
              <w:t>43 (8.9%)</w:t>
            </w:r>
          </w:p>
        </w:tc>
      </w:tr>
      <w:tr w:rsidR="00576FE1" w14:paraId="58A515F7" w14:textId="77777777" w:rsidTr="00115CD6">
        <w:trPr>
          <w:trHeight w:val="269"/>
        </w:trPr>
        <w:tc>
          <w:tcPr>
            <w:tcW w:w="4275" w:type="dxa"/>
            <w:vAlign w:val="center"/>
          </w:tcPr>
          <w:p w14:paraId="437469FD" w14:textId="77777777" w:rsidR="00576FE1" w:rsidRDefault="00576FE1" w:rsidP="00115CD6">
            <w:pPr>
              <w:pStyle w:val="RRNormal"/>
              <w:spacing w:after="0" w:line="240" w:lineRule="auto"/>
              <w:ind w:hanging="249"/>
              <w:rPr>
                <w:lang w:val="en-GB"/>
              </w:rPr>
            </w:pPr>
            <w:r w:rsidRPr="00B16B81">
              <w:t xml:space="preserve">    Musculoskeletal chest pain</w:t>
            </w:r>
          </w:p>
        </w:tc>
        <w:tc>
          <w:tcPr>
            <w:tcW w:w="1710" w:type="dxa"/>
            <w:vAlign w:val="center"/>
          </w:tcPr>
          <w:p w14:paraId="6412F410" w14:textId="77777777" w:rsidR="00576FE1" w:rsidRDefault="00576FE1" w:rsidP="00115CD6">
            <w:pPr>
              <w:pStyle w:val="RRNormal"/>
              <w:spacing w:after="0" w:line="240" w:lineRule="auto"/>
              <w:jc w:val="center"/>
              <w:rPr>
                <w:lang w:val="en-GB"/>
              </w:rPr>
            </w:pPr>
            <w:r w:rsidRPr="00B16B81">
              <w:t>15 (6.2%)</w:t>
            </w:r>
          </w:p>
        </w:tc>
        <w:tc>
          <w:tcPr>
            <w:tcW w:w="1567" w:type="dxa"/>
            <w:vAlign w:val="center"/>
          </w:tcPr>
          <w:p w14:paraId="4629EBE5" w14:textId="77777777" w:rsidR="00576FE1" w:rsidRDefault="00576FE1" w:rsidP="00115CD6">
            <w:pPr>
              <w:pStyle w:val="RRNormal"/>
              <w:spacing w:after="0" w:line="240" w:lineRule="auto"/>
              <w:jc w:val="center"/>
              <w:rPr>
                <w:lang w:val="en-GB"/>
              </w:rPr>
            </w:pPr>
            <w:r w:rsidRPr="00B16B81">
              <w:t>13 (5.4%)</w:t>
            </w:r>
          </w:p>
        </w:tc>
        <w:tc>
          <w:tcPr>
            <w:tcW w:w="1506" w:type="dxa"/>
            <w:vAlign w:val="center"/>
          </w:tcPr>
          <w:p w14:paraId="514B811D" w14:textId="77777777" w:rsidR="00576FE1" w:rsidRDefault="00576FE1" w:rsidP="00115CD6">
            <w:pPr>
              <w:pStyle w:val="RRNormal"/>
              <w:spacing w:after="0" w:line="240" w:lineRule="auto"/>
              <w:jc w:val="center"/>
              <w:rPr>
                <w:lang w:val="en-GB"/>
              </w:rPr>
            </w:pPr>
            <w:r w:rsidRPr="00B16B81">
              <w:t>28 (5.8%)</w:t>
            </w:r>
          </w:p>
        </w:tc>
      </w:tr>
      <w:tr w:rsidR="00576FE1" w14:paraId="5BDCB0A5" w14:textId="77777777" w:rsidTr="00115CD6">
        <w:trPr>
          <w:trHeight w:val="269"/>
        </w:trPr>
        <w:tc>
          <w:tcPr>
            <w:tcW w:w="4275" w:type="dxa"/>
            <w:vAlign w:val="center"/>
          </w:tcPr>
          <w:p w14:paraId="50489C2A" w14:textId="77777777" w:rsidR="00576FE1" w:rsidRDefault="00576FE1" w:rsidP="00115CD6">
            <w:pPr>
              <w:pStyle w:val="RRNormal"/>
              <w:spacing w:after="0" w:line="240" w:lineRule="auto"/>
              <w:ind w:hanging="249"/>
              <w:rPr>
                <w:lang w:val="en-GB"/>
              </w:rPr>
            </w:pPr>
            <w:r w:rsidRPr="00B16B81">
              <w:t xml:space="preserve">    Muscle spasms</w:t>
            </w:r>
          </w:p>
        </w:tc>
        <w:tc>
          <w:tcPr>
            <w:tcW w:w="1710" w:type="dxa"/>
            <w:vAlign w:val="center"/>
          </w:tcPr>
          <w:p w14:paraId="0C9BE5A1" w14:textId="77777777" w:rsidR="00576FE1" w:rsidRDefault="00576FE1" w:rsidP="00115CD6">
            <w:pPr>
              <w:pStyle w:val="RRNormal"/>
              <w:spacing w:after="0" w:line="240" w:lineRule="auto"/>
              <w:jc w:val="center"/>
              <w:rPr>
                <w:lang w:val="en-GB"/>
              </w:rPr>
            </w:pPr>
            <w:r w:rsidRPr="00B16B81">
              <w:t>11 (4.6%)</w:t>
            </w:r>
          </w:p>
        </w:tc>
        <w:tc>
          <w:tcPr>
            <w:tcW w:w="1567" w:type="dxa"/>
            <w:vAlign w:val="center"/>
          </w:tcPr>
          <w:p w14:paraId="53C51A51" w14:textId="77777777" w:rsidR="00576FE1" w:rsidRDefault="00576FE1" w:rsidP="00115CD6">
            <w:pPr>
              <w:pStyle w:val="RRNormal"/>
              <w:spacing w:after="0" w:line="240" w:lineRule="auto"/>
              <w:jc w:val="center"/>
              <w:rPr>
                <w:lang w:val="en-GB"/>
              </w:rPr>
            </w:pPr>
            <w:r w:rsidRPr="00B16B81">
              <w:t>16 (6.6%)</w:t>
            </w:r>
          </w:p>
        </w:tc>
        <w:tc>
          <w:tcPr>
            <w:tcW w:w="1506" w:type="dxa"/>
            <w:vAlign w:val="center"/>
          </w:tcPr>
          <w:p w14:paraId="4B8F848B" w14:textId="77777777" w:rsidR="00576FE1" w:rsidRDefault="00576FE1" w:rsidP="00115CD6">
            <w:pPr>
              <w:pStyle w:val="RRNormal"/>
              <w:spacing w:after="0" w:line="240" w:lineRule="auto"/>
              <w:jc w:val="center"/>
              <w:rPr>
                <w:lang w:val="en-GB"/>
              </w:rPr>
            </w:pPr>
            <w:r w:rsidRPr="00B16B81">
              <w:t>27 (5.6%)</w:t>
            </w:r>
          </w:p>
        </w:tc>
      </w:tr>
      <w:tr w:rsidR="00576FE1" w14:paraId="209831A0" w14:textId="77777777" w:rsidTr="00115CD6">
        <w:trPr>
          <w:trHeight w:val="269"/>
        </w:trPr>
        <w:tc>
          <w:tcPr>
            <w:tcW w:w="4275" w:type="dxa"/>
            <w:vAlign w:val="center"/>
          </w:tcPr>
          <w:p w14:paraId="3C719637" w14:textId="77777777" w:rsidR="00576FE1" w:rsidRDefault="00576FE1" w:rsidP="00115CD6">
            <w:pPr>
              <w:pStyle w:val="RRNormal"/>
              <w:spacing w:after="0" w:line="240" w:lineRule="auto"/>
              <w:ind w:hanging="249"/>
              <w:rPr>
                <w:lang w:val="en-GB"/>
              </w:rPr>
            </w:pPr>
            <w:r w:rsidRPr="00B16B81">
              <w:t xml:space="preserve">    Myalgia</w:t>
            </w:r>
          </w:p>
        </w:tc>
        <w:tc>
          <w:tcPr>
            <w:tcW w:w="1710" w:type="dxa"/>
            <w:vAlign w:val="center"/>
          </w:tcPr>
          <w:p w14:paraId="6C9C8183" w14:textId="77777777" w:rsidR="00576FE1" w:rsidRDefault="00576FE1" w:rsidP="00115CD6">
            <w:pPr>
              <w:pStyle w:val="RRNormal"/>
              <w:spacing w:after="0" w:line="240" w:lineRule="auto"/>
              <w:jc w:val="center"/>
              <w:rPr>
                <w:lang w:val="en-GB"/>
              </w:rPr>
            </w:pPr>
            <w:r w:rsidRPr="00B16B81">
              <w:t>12 (5.0%)</w:t>
            </w:r>
          </w:p>
        </w:tc>
        <w:tc>
          <w:tcPr>
            <w:tcW w:w="1567" w:type="dxa"/>
            <w:vAlign w:val="center"/>
          </w:tcPr>
          <w:p w14:paraId="4B216E02" w14:textId="77777777" w:rsidR="00576FE1" w:rsidRDefault="00576FE1" w:rsidP="00115CD6">
            <w:pPr>
              <w:pStyle w:val="RRNormal"/>
              <w:spacing w:after="0" w:line="240" w:lineRule="auto"/>
              <w:jc w:val="center"/>
              <w:rPr>
                <w:lang w:val="en-GB"/>
              </w:rPr>
            </w:pPr>
            <w:r w:rsidRPr="00B16B81">
              <w:t>11 (4.5%)</w:t>
            </w:r>
          </w:p>
        </w:tc>
        <w:tc>
          <w:tcPr>
            <w:tcW w:w="1506" w:type="dxa"/>
            <w:vAlign w:val="center"/>
          </w:tcPr>
          <w:p w14:paraId="5C862076" w14:textId="77777777" w:rsidR="00576FE1" w:rsidRDefault="00576FE1" w:rsidP="00115CD6">
            <w:pPr>
              <w:pStyle w:val="RRNormal"/>
              <w:spacing w:after="0" w:line="240" w:lineRule="auto"/>
              <w:jc w:val="center"/>
              <w:rPr>
                <w:lang w:val="en-GB"/>
              </w:rPr>
            </w:pPr>
            <w:r w:rsidRPr="00B16B81">
              <w:t>23 (4.8%)</w:t>
            </w:r>
          </w:p>
        </w:tc>
      </w:tr>
      <w:tr w:rsidR="00576FE1" w14:paraId="0FB08A50" w14:textId="77777777" w:rsidTr="00115CD6">
        <w:trPr>
          <w:trHeight w:val="383"/>
        </w:trPr>
        <w:tc>
          <w:tcPr>
            <w:tcW w:w="4275" w:type="dxa"/>
            <w:vAlign w:val="center"/>
          </w:tcPr>
          <w:p w14:paraId="09B48A0A" w14:textId="77777777" w:rsidR="00576FE1" w:rsidRDefault="00576FE1" w:rsidP="00115CD6">
            <w:pPr>
              <w:pStyle w:val="RRNormal"/>
              <w:spacing w:after="0" w:line="240" w:lineRule="auto"/>
              <w:rPr>
                <w:lang w:val="en-GB"/>
              </w:rPr>
            </w:pPr>
            <w:r w:rsidRPr="00B16B81">
              <w:rPr>
                <w:b/>
              </w:rPr>
              <w:t>Infections and infestations</w:t>
            </w:r>
          </w:p>
        </w:tc>
        <w:tc>
          <w:tcPr>
            <w:tcW w:w="1710" w:type="dxa"/>
            <w:vAlign w:val="center"/>
          </w:tcPr>
          <w:p w14:paraId="6E205CF9" w14:textId="77777777" w:rsidR="00576FE1" w:rsidRDefault="00576FE1" w:rsidP="00115CD6">
            <w:pPr>
              <w:pStyle w:val="RRNormal"/>
              <w:spacing w:after="0" w:line="240" w:lineRule="auto"/>
              <w:jc w:val="center"/>
              <w:rPr>
                <w:lang w:val="en-GB"/>
              </w:rPr>
            </w:pPr>
            <w:r w:rsidRPr="00B16B81">
              <w:rPr>
                <w:b/>
              </w:rPr>
              <w:t>142 (58.9%)</w:t>
            </w:r>
          </w:p>
        </w:tc>
        <w:tc>
          <w:tcPr>
            <w:tcW w:w="1567" w:type="dxa"/>
            <w:vAlign w:val="center"/>
          </w:tcPr>
          <w:p w14:paraId="6A9BB743" w14:textId="77777777" w:rsidR="00576FE1" w:rsidRDefault="00576FE1" w:rsidP="00115CD6">
            <w:pPr>
              <w:pStyle w:val="RRNormal"/>
              <w:spacing w:after="0" w:line="240" w:lineRule="auto"/>
              <w:jc w:val="center"/>
              <w:rPr>
                <w:lang w:val="en-GB"/>
              </w:rPr>
            </w:pPr>
            <w:r w:rsidRPr="00B16B81">
              <w:rPr>
                <w:b/>
              </w:rPr>
              <w:t>136 (56.2%)</w:t>
            </w:r>
          </w:p>
        </w:tc>
        <w:tc>
          <w:tcPr>
            <w:tcW w:w="1506" w:type="dxa"/>
            <w:vAlign w:val="center"/>
          </w:tcPr>
          <w:p w14:paraId="72D27A73" w14:textId="77777777" w:rsidR="00576FE1" w:rsidRDefault="00576FE1" w:rsidP="00115CD6">
            <w:pPr>
              <w:pStyle w:val="RRNormal"/>
              <w:spacing w:after="0" w:line="240" w:lineRule="auto"/>
              <w:jc w:val="center"/>
              <w:rPr>
                <w:lang w:val="en-GB"/>
              </w:rPr>
            </w:pPr>
            <w:r w:rsidRPr="00B16B81">
              <w:rPr>
                <w:b/>
              </w:rPr>
              <w:t>278 (57.6%)</w:t>
            </w:r>
          </w:p>
        </w:tc>
      </w:tr>
      <w:tr w:rsidR="00576FE1" w14:paraId="7CCF12FE" w14:textId="77777777" w:rsidTr="00115CD6">
        <w:trPr>
          <w:trHeight w:val="269"/>
        </w:trPr>
        <w:tc>
          <w:tcPr>
            <w:tcW w:w="4275" w:type="dxa"/>
            <w:vAlign w:val="center"/>
          </w:tcPr>
          <w:p w14:paraId="02B6CE59" w14:textId="77777777" w:rsidR="00576FE1" w:rsidRDefault="00576FE1" w:rsidP="00115CD6">
            <w:pPr>
              <w:pStyle w:val="RRNormal"/>
              <w:spacing w:after="0" w:line="240" w:lineRule="auto"/>
              <w:ind w:hanging="249"/>
              <w:rPr>
                <w:lang w:val="en-GB"/>
              </w:rPr>
            </w:pPr>
            <w:r w:rsidRPr="00B16B81">
              <w:rPr>
                <w:lang w:val="en-GB"/>
              </w:rPr>
              <w:t xml:space="preserve">    Viral upper respiratory tract infection</w:t>
            </w:r>
          </w:p>
        </w:tc>
        <w:tc>
          <w:tcPr>
            <w:tcW w:w="1710" w:type="dxa"/>
            <w:vAlign w:val="center"/>
          </w:tcPr>
          <w:p w14:paraId="3A16D10C" w14:textId="77777777" w:rsidR="00576FE1" w:rsidRDefault="00576FE1" w:rsidP="00115CD6">
            <w:pPr>
              <w:pStyle w:val="RRNormal"/>
              <w:spacing w:after="0" w:line="240" w:lineRule="auto"/>
              <w:jc w:val="center"/>
              <w:rPr>
                <w:lang w:val="en-GB"/>
              </w:rPr>
            </w:pPr>
            <w:r w:rsidRPr="00B16B81">
              <w:t>32 (13.3%)</w:t>
            </w:r>
          </w:p>
        </w:tc>
        <w:tc>
          <w:tcPr>
            <w:tcW w:w="1567" w:type="dxa"/>
            <w:vAlign w:val="center"/>
          </w:tcPr>
          <w:p w14:paraId="185E935A" w14:textId="77777777" w:rsidR="00576FE1" w:rsidRDefault="00576FE1" w:rsidP="00115CD6">
            <w:pPr>
              <w:pStyle w:val="RRNormal"/>
              <w:spacing w:after="0" w:line="240" w:lineRule="auto"/>
              <w:jc w:val="center"/>
              <w:rPr>
                <w:lang w:val="en-GB"/>
              </w:rPr>
            </w:pPr>
            <w:r w:rsidRPr="00B16B81">
              <w:t>32 (13.2%)</w:t>
            </w:r>
          </w:p>
        </w:tc>
        <w:tc>
          <w:tcPr>
            <w:tcW w:w="1506" w:type="dxa"/>
            <w:vAlign w:val="center"/>
          </w:tcPr>
          <w:p w14:paraId="7F47B3F1" w14:textId="77777777" w:rsidR="00576FE1" w:rsidRDefault="00576FE1" w:rsidP="00115CD6">
            <w:pPr>
              <w:pStyle w:val="RRNormal"/>
              <w:spacing w:after="0" w:line="240" w:lineRule="auto"/>
              <w:jc w:val="center"/>
              <w:rPr>
                <w:lang w:val="en-GB"/>
              </w:rPr>
            </w:pPr>
            <w:r w:rsidRPr="00B16B81">
              <w:t>64 (13.3%)</w:t>
            </w:r>
          </w:p>
        </w:tc>
      </w:tr>
      <w:tr w:rsidR="00576FE1" w14:paraId="0E2EC5CC" w14:textId="77777777" w:rsidTr="00115CD6">
        <w:trPr>
          <w:trHeight w:val="269"/>
        </w:trPr>
        <w:tc>
          <w:tcPr>
            <w:tcW w:w="4275" w:type="dxa"/>
            <w:vAlign w:val="center"/>
          </w:tcPr>
          <w:p w14:paraId="2F189096" w14:textId="77777777" w:rsidR="00576FE1" w:rsidRDefault="00576FE1" w:rsidP="00115CD6">
            <w:pPr>
              <w:pStyle w:val="RRNormal"/>
              <w:spacing w:after="0" w:line="240" w:lineRule="auto"/>
              <w:ind w:hanging="249"/>
              <w:rPr>
                <w:lang w:val="en-GB"/>
              </w:rPr>
            </w:pPr>
            <w:r w:rsidRPr="00B16B81">
              <w:t xml:space="preserve">    Urinary tract infection</w:t>
            </w:r>
          </w:p>
        </w:tc>
        <w:tc>
          <w:tcPr>
            <w:tcW w:w="1710" w:type="dxa"/>
            <w:vAlign w:val="center"/>
          </w:tcPr>
          <w:p w14:paraId="5C6F9D23" w14:textId="77777777" w:rsidR="00576FE1" w:rsidRDefault="00576FE1" w:rsidP="00115CD6">
            <w:pPr>
              <w:pStyle w:val="RRNormal"/>
              <w:spacing w:after="0" w:line="240" w:lineRule="auto"/>
              <w:jc w:val="center"/>
              <w:rPr>
                <w:lang w:val="en-GB"/>
              </w:rPr>
            </w:pPr>
            <w:r w:rsidRPr="00B16B81">
              <w:t>23 (9.5%)</w:t>
            </w:r>
          </w:p>
        </w:tc>
        <w:tc>
          <w:tcPr>
            <w:tcW w:w="1567" w:type="dxa"/>
            <w:vAlign w:val="center"/>
          </w:tcPr>
          <w:p w14:paraId="40EC2EF7" w14:textId="77777777" w:rsidR="00576FE1" w:rsidRDefault="00576FE1" w:rsidP="00115CD6">
            <w:pPr>
              <w:pStyle w:val="RRNormal"/>
              <w:spacing w:after="0" w:line="240" w:lineRule="auto"/>
              <w:jc w:val="center"/>
              <w:rPr>
                <w:lang w:val="en-GB"/>
              </w:rPr>
            </w:pPr>
            <w:r w:rsidRPr="00B16B81">
              <w:t>26 (10.7%)</w:t>
            </w:r>
          </w:p>
        </w:tc>
        <w:tc>
          <w:tcPr>
            <w:tcW w:w="1506" w:type="dxa"/>
            <w:vAlign w:val="center"/>
          </w:tcPr>
          <w:p w14:paraId="3FD29F1C" w14:textId="77777777" w:rsidR="00576FE1" w:rsidRDefault="00576FE1" w:rsidP="00115CD6">
            <w:pPr>
              <w:pStyle w:val="RRNormal"/>
              <w:spacing w:after="0" w:line="240" w:lineRule="auto"/>
              <w:jc w:val="center"/>
              <w:rPr>
                <w:lang w:val="en-GB"/>
              </w:rPr>
            </w:pPr>
            <w:r w:rsidRPr="00B16B81">
              <w:t>49 (10.1%)</w:t>
            </w:r>
          </w:p>
        </w:tc>
      </w:tr>
      <w:tr w:rsidR="00576FE1" w14:paraId="0C9FA94B" w14:textId="77777777" w:rsidTr="00115CD6">
        <w:trPr>
          <w:trHeight w:val="269"/>
        </w:trPr>
        <w:tc>
          <w:tcPr>
            <w:tcW w:w="4275" w:type="dxa"/>
            <w:vAlign w:val="center"/>
          </w:tcPr>
          <w:p w14:paraId="3366E7AB" w14:textId="77777777" w:rsidR="00576FE1" w:rsidRDefault="00576FE1" w:rsidP="00115CD6">
            <w:pPr>
              <w:pStyle w:val="RRNormal"/>
              <w:spacing w:after="0" w:line="240" w:lineRule="auto"/>
              <w:ind w:hanging="249"/>
              <w:rPr>
                <w:lang w:val="en-GB"/>
              </w:rPr>
            </w:pPr>
            <w:r w:rsidRPr="00B16B81">
              <w:t xml:space="preserve">    Influenza</w:t>
            </w:r>
          </w:p>
        </w:tc>
        <w:tc>
          <w:tcPr>
            <w:tcW w:w="1710" w:type="dxa"/>
            <w:vAlign w:val="center"/>
          </w:tcPr>
          <w:p w14:paraId="0DD26CAE" w14:textId="77777777" w:rsidR="00576FE1" w:rsidRDefault="00576FE1" w:rsidP="00115CD6">
            <w:pPr>
              <w:pStyle w:val="RRNormal"/>
              <w:spacing w:after="0" w:line="240" w:lineRule="auto"/>
              <w:jc w:val="center"/>
              <w:rPr>
                <w:lang w:val="en-GB"/>
              </w:rPr>
            </w:pPr>
            <w:r w:rsidRPr="00B16B81">
              <w:t>20 (8.3%)</w:t>
            </w:r>
          </w:p>
        </w:tc>
        <w:tc>
          <w:tcPr>
            <w:tcW w:w="1567" w:type="dxa"/>
            <w:vAlign w:val="center"/>
          </w:tcPr>
          <w:p w14:paraId="5CA015B8" w14:textId="77777777" w:rsidR="00576FE1" w:rsidRDefault="00576FE1" w:rsidP="00115CD6">
            <w:pPr>
              <w:pStyle w:val="RRNormal"/>
              <w:spacing w:after="0" w:line="240" w:lineRule="auto"/>
              <w:jc w:val="center"/>
              <w:rPr>
                <w:lang w:val="en-GB"/>
              </w:rPr>
            </w:pPr>
            <w:r w:rsidRPr="00B16B81">
              <w:t>15 (6.2%)</w:t>
            </w:r>
          </w:p>
        </w:tc>
        <w:tc>
          <w:tcPr>
            <w:tcW w:w="1506" w:type="dxa"/>
            <w:vAlign w:val="center"/>
          </w:tcPr>
          <w:p w14:paraId="046E0AC4" w14:textId="77777777" w:rsidR="00576FE1" w:rsidRDefault="00576FE1" w:rsidP="00115CD6">
            <w:pPr>
              <w:pStyle w:val="RRNormal"/>
              <w:spacing w:after="0" w:line="240" w:lineRule="auto"/>
              <w:jc w:val="center"/>
              <w:rPr>
                <w:lang w:val="en-GB"/>
              </w:rPr>
            </w:pPr>
            <w:r w:rsidRPr="00B16B81">
              <w:t>35 (7.2%)</w:t>
            </w:r>
          </w:p>
        </w:tc>
      </w:tr>
      <w:tr w:rsidR="00576FE1" w14:paraId="55724863" w14:textId="77777777" w:rsidTr="00115CD6">
        <w:trPr>
          <w:trHeight w:val="269"/>
        </w:trPr>
        <w:tc>
          <w:tcPr>
            <w:tcW w:w="4275" w:type="dxa"/>
            <w:vAlign w:val="center"/>
          </w:tcPr>
          <w:p w14:paraId="642E5C8A" w14:textId="77777777" w:rsidR="00576FE1" w:rsidRDefault="00576FE1" w:rsidP="00115CD6">
            <w:pPr>
              <w:pStyle w:val="RRNormal"/>
              <w:spacing w:after="0" w:line="240" w:lineRule="auto"/>
              <w:ind w:hanging="249"/>
              <w:rPr>
                <w:lang w:val="en-GB"/>
              </w:rPr>
            </w:pPr>
            <w:r w:rsidRPr="00B16B81">
              <w:t xml:space="preserve">    Upper respiratory tract infection</w:t>
            </w:r>
          </w:p>
        </w:tc>
        <w:tc>
          <w:tcPr>
            <w:tcW w:w="1710" w:type="dxa"/>
            <w:vAlign w:val="center"/>
          </w:tcPr>
          <w:p w14:paraId="61A1001C" w14:textId="77777777" w:rsidR="00576FE1" w:rsidRDefault="00576FE1" w:rsidP="00115CD6">
            <w:pPr>
              <w:pStyle w:val="RRNormal"/>
              <w:spacing w:after="0" w:line="240" w:lineRule="auto"/>
              <w:jc w:val="center"/>
              <w:rPr>
                <w:lang w:val="en-GB"/>
              </w:rPr>
            </w:pPr>
            <w:r w:rsidRPr="00B16B81">
              <w:t>15 (6.2%)</w:t>
            </w:r>
          </w:p>
        </w:tc>
        <w:tc>
          <w:tcPr>
            <w:tcW w:w="1567" w:type="dxa"/>
            <w:vAlign w:val="center"/>
          </w:tcPr>
          <w:p w14:paraId="788E142D" w14:textId="77777777" w:rsidR="00576FE1" w:rsidRDefault="00576FE1" w:rsidP="00115CD6">
            <w:pPr>
              <w:pStyle w:val="RRNormal"/>
              <w:spacing w:after="0" w:line="240" w:lineRule="auto"/>
              <w:jc w:val="center"/>
              <w:rPr>
                <w:lang w:val="en-GB"/>
              </w:rPr>
            </w:pPr>
            <w:r w:rsidRPr="00B16B81">
              <w:t>17 (7.0%)</w:t>
            </w:r>
          </w:p>
        </w:tc>
        <w:tc>
          <w:tcPr>
            <w:tcW w:w="1506" w:type="dxa"/>
            <w:vAlign w:val="center"/>
          </w:tcPr>
          <w:p w14:paraId="7DA8F2A9" w14:textId="77777777" w:rsidR="00576FE1" w:rsidRDefault="00576FE1" w:rsidP="00115CD6">
            <w:pPr>
              <w:pStyle w:val="RRNormal"/>
              <w:spacing w:after="0" w:line="240" w:lineRule="auto"/>
              <w:jc w:val="center"/>
              <w:rPr>
                <w:lang w:val="en-GB"/>
              </w:rPr>
            </w:pPr>
            <w:r w:rsidRPr="00B16B81">
              <w:t>32 (6.6%)</w:t>
            </w:r>
          </w:p>
        </w:tc>
      </w:tr>
      <w:tr w:rsidR="00576FE1" w14:paraId="547FD18B" w14:textId="77777777" w:rsidTr="00115CD6">
        <w:trPr>
          <w:trHeight w:val="269"/>
        </w:trPr>
        <w:tc>
          <w:tcPr>
            <w:tcW w:w="4275" w:type="dxa"/>
            <w:vAlign w:val="center"/>
          </w:tcPr>
          <w:p w14:paraId="1C4FD5B5" w14:textId="77777777" w:rsidR="00576FE1" w:rsidRDefault="00576FE1" w:rsidP="00115CD6">
            <w:pPr>
              <w:pStyle w:val="RRNormal"/>
              <w:spacing w:after="0" w:line="240" w:lineRule="auto"/>
              <w:ind w:hanging="249"/>
              <w:rPr>
                <w:lang w:val="en-GB"/>
              </w:rPr>
            </w:pPr>
            <w:r w:rsidRPr="00B16B81">
              <w:t xml:space="preserve">    Bronchitis</w:t>
            </w:r>
          </w:p>
        </w:tc>
        <w:tc>
          <w:tcPr>
            <w:tcW w:w="1710" w:type="dxa"/>
            <w:vAlign w:val="center"/>
          </w:tcPr>
          <w:p w14:paraId="3DC64F21" w14:textId="77777777" w:rsidR="00576FE1" w:rsidRDefault="00576FE1" w:rsidP="00115CD6">
            <w:pPr>
              <w:pStyle w:val="RRNormal"/>
              <w:spacing w:after="0" w:line="240" w:lineRule="auto"/>
              <w:jc w:val="center"/>
              <w:rPr>
                <w:lang w:val="en-GB"/>
              </w:rPr>
            </w:pPr>
            <w:r w:rsidRPr="00B16B81">
              <w:t>14 (5.8%)</w:t>
            </w:r>
          </w:p>
        </w:tc>
        <w:tc>
          <w:tcPr>
            <w:tcW w:w="1567" w:type="dxa"/>
            <w:vAlign w:val="center"/>
          </w:tcPr>
          <w:p w14:paraId="7BD67EAD" w14:textId="77777777" w:rsidR="00576FE1" w:rsidRDefault="00576FE1" w:rsidP="00115CD6">
            <w:pPr>
              <w:pStyle w:val="RRNormal"/>
              <w:spacing w:after="0" w:line="240" w:lineRule="auto"/>
              <w:jc w:val="center"/>
              <w:rPr>
                <w:lang w:val="en-GB"/>
              </w:rPr>
            </w:pPr>
            <w:r w:rsidRPr="00B16B81">
              <w:t>15 (6.2%)</w:t>
            </w:r>
          </w:p>
        </w:tc>
        <w:tc>
          <w:tcPr>
            <w:tcW w:w="1506" w:type="dxa"/>
            <w:vAlign w:val="center"/>
          </w:tcPr>
          <w:p w14:paraId="6EC69CF2" w14:textId="77777777" w:rsidR="00576FE1" w:rsidRDefault="00576FE1" w:rsidP="00115CD6">
            <w:pPr>
              <w:pStyle w:val="RRNormal"/>
              <w:spacing w:after="0" w:line="240" w:lineRule="auto"/>
              <w:jc w:val="center"/>
              <w:rPr>
                <w:lang w:val="en-GB"/>
              </w:rPr>
            </w:pPr>
            <w:r w:rsidRPr="00B16B81">
              <w:t>29 (6.0%)</w:t>
            </w:r>
          </w:p>
        </w:tc>
      </w:tr>
      <w:tr w:rsidR="00576FE1" w14:paraId="022D7E53" w14:textId="77777777" w:rsidTr="00115CD6">
        <w:trPr>
          <w:trHeight w:val="269"/>
        </w:trPr>
        <w:tc>
          <w:tcPr>
            <w:tcW w:w="4275" w:type="dxa"/>
            <w:vAlign w:val="center"/>
          </w:tcPr>
          <w:p w14:paraId="4696B569" w14:textId="77777777" w:rsidR="00576FE1" w:rsidRDefault="00576FE1" w:rsidP="00115CD6">
            <w:pPr>
              <w:pStyle w:val="RRNormal"/>
              <w:spacing w:after="0" w:line="240" w:lineRule="auto"/>
              <w:ind w:hanging="249"/>
              <w:rPr>
                <w:lang w:val="en-GB"/>
              </w:rPr>
            </w:pPr>
            <w:r w:rsidRPr="00B16B81">
              <w:t xml:space="preserve">    Conjunctivitis</w:t>
            </w:r>
          </w:p>
        </w:tc>
        <w:tc>
          <w:tcPr>
            <w:tcW w:w="1710" w:type="dxa"/>
            <w:vAlign w:val="center"/>
          </w:tcPr>
          <w:p w14:paraId="1EBA56E9" w14:textId="77777777" w:rsidR="00576FE1" w:rsidRDefault="00576FE1" w:rsidP="00115CD6">
            <w:pPr>
              <w:pStyle w:val="RRNormal"/>
              <w:spacing w:after="0" w:line="240" w:lineRule="auto"/>
              <w:jc w:val="center"/>
              <w:rPr>
                <w:lang w:val="en-GB"/>
              </w:rPr>
            </w:pPr>
            <w:r w:rsidRPr="00B16B81">
              <w:t>13 (5.4%)</w:t>
            </w:r>
          </w:p>
        </w:tc>
        <w:tc>
          <w:tcPr>
            <w:tcW w:w="1567" w:type="dxa"/>
            <w:vAlign w:val="center"/>
          </w:tcPr>
          <w:p w14:paraId="6DA4F358" w14:textId="77777777" w:rsidR="00576FE1" w:rsidRDefault="00576FE1" w:rsidP="00115CD6">
            <w:pPr>
              <w:pStyle w:val="RRNormal"/>
              <w:spacing w:after="0" w:line="240" w:lineRule="auto"/>
              <w:jc w:val="center"/>
              <w:rPr>
                <w:lang w:val="en-GB"/>
              </w:rPr>
            </w:pPr>
            <w:r w:rsidRPr="00B16B81">
              <w:t>11 (4.5%)</w:t>
            </w:r>
          </w:p>
        </w:tc>
        <w:tc>
          <w:tcPr>
            <w:tcW w:w="1506" w:type="dxa"/>
            <w:vAlign w:val="center"/>
          </w:tcPr>
          <w:p w14:paraId="6C187AD7" w14:textId="77777777" w:rsidR="00576FE1" w:rsidRDefault="00576FE1" w:rsidP="00115CD6">
            <w:pPr>
              <w:pStyle w:val="RRNormal"/>
              <w:spacing w:after="0" w:line="240" w:lineRule="auto"/>
              <w:jc w:val="center"/>
              <w:rPr>
                <w:lang w:val="en-GB"/>
              </w:rPr>
            </w:pPr>
            <w:r w:rsidRPr="00B16B81">
              <w:t>24 (5.0%)</w:t>
            </w:r>
          </w:p>
        </w:tc>
      </w:tr>
      <w:tr w:rsidR="00576FE1" w14:paraId="68F106E9" w14:textId="77777777" w:rsidTr="00115CD6">
        <w:trPr>
          <w:trHeight w:val="269"/>
        </w:trPr>
        <w:tc>
          <w:tcPr>
            <w:tcW w:w="4275" w:type="dxa"/>
            <w:vAlign w:val="center"/>
          </w:tcPr>
          <w:p w14:paraId="2653DF24" w14:textId="77777777" w:rsidR="00576FE1" w:rsidRDefault="00576FE1" w:rsidP="00115CD6">
            <w:pPr>
              <w:pStyle w:val="RRNormal"/>
              <w:spacing w:after="0" w:line="240" w:lineRule="auto"/>
              <w:ind w:hanging="249"/>
              <w:rPr>
                <w:lang w:val="en-GB"/>
              </w:rPr>
            </w:pPr>
            <w:r w:rsidRPr="00B16B81">
              <w:t xml:space="preserve">    Respiratory tract infection</w:t>
            </w:r>
          </w:p>
        </w:tc>
        <w:tc>
          <w:tcPr>
            <w:tcW w:w="1710" w:type="dxa"/>
            <w:vAlign w:val="center"/>
          </w:tcPr>
          <w:p w14:paraId="7AA42944" w14:textId="77777777" w:rsidR="00576FE1" w:rsidRDefault="00576FE1" w:rsidP="00115CD6">
            <w:pPr>
              <w:pStyle w:val="RRNormal"/>
              <w:spacing w:after="0" w:line="240" w:lineRule="auto"/>
              <w:jc w:val="center"/>
              <w:rPr>
                <w:lang w:val="en-GB"/>
              </w:rPr>
            </w:pPr>
            <w:r w:rsidRPr="00B16B81">
              <w:t>14 (5.8%)</w:t>
            </w:r>
          </w:p>
        </w:tc>
        <w:tc>
          <w:tcPr>
            <w:tcW w:w="1567" w:type="dxa"/>
            <w:vAlign w:val="center"/>
          </w:tcPr>
          <w:p w14:paraId="06D00799" w14:textId="77777777" w:rsidR="00576FE1" w:rsidRDefault="00576FE1" w:rsidP="00115CD6">
            <w:pPr>
              <w:pStyle w:val="RRNormal"/>
              <w:spacing w:after="0" w:line="240" w:lineRule="auto"/>
              <w:jc w:val="center"/>
              <w:rPr>
                <w:lang w:val="en-GB"/>
              </w:rPr>
            </w:pPr>
            <w:r w:rsidRPr="00B16B81">
              <w:t>7 (2.9%)</w:t>
            </w:r>
          </w:p>
        </w:tc>
        <w:tc>
          <w:tcPr>
            <w:tcW w:w="1506" w:type="dxa"/>
            <w:vAlign w:val="center"/>
          </w:tcPr>
          <w:p w14:paraId="75C02FA7" w14:textId="77777777" w:rsidR="00576FE1" w:rsidRDefault="00576FE1" w:rsidP="00115CD6">
            <w:pPr>
              <w:pStyle w:val="RRNormal"/>
              <w:spacing w:after="0" w:line="240" w:lineRule="auto"/>
              <w:jc w:val="center"/>
              <w:rPr>
                <w:lang w:val="en-GB"/>
              </w:rPr>
            </w:pPr>
            <w:r w:rsidRPr="00B16B81">
              <w:t>21 (4.3%)</w:t>
            </w:r>
          </w:p>
        </w:tc>
      </w:tr>
      <w:tr w:rsidR="00576FE1" w14:paraId="4A0C0813" w14:textId="77777777" w:rsidTr="00115CD6">
        <w:trPr>
          <w:trHeight w:val="269"/>
        </w:trPr>
        <w:tc>
          <w:tcPr>
            <w:tcW w:w="4275" w:type="dxa"/>
            <w:vAlign w:val="center"/>
          </w:tcPr>
          <w:p w14:paraId="01A3128F" w14:textId="77777777" w:rsidR="00576FE1" w:rsidRDefault="00576FE1" w:rsidP="00115CD6">
            <w:pPr>
              <w:pStyle w:val="RRNormal"/>
              <w:spacing w:after="0" w:line="240" w:lineRule="auto"/>
              <w:ind w:hanging="249"/>
              <w:rPr>
                <w:lang w:val="en-GB"/>
              </w:rPr>
            </w:pPr>
            <w:r w:rsidRPr="00B16B81">
              <w:t xml:space="preserve">    Pharyngitis</w:t>
            </w:r>
          </w:p>
        </w:tc>
        <w:tc>
          <w:tcPr>
            <w:tcW w:w="1710" w:type="dxa"/>
            <w:vAlign w:val="center"/>
          </w:tcPr>
          <w:p w14:paraId="680B995D" w14:textId="77777777" w:rsidR="00576FE1" w:rsidRDefault="00576FE1" w:rsidP="00115CD6">
            <w:pPr>
              <w:pStyle w:val="RRNormal"/>
              <w:spacing w:after="0" w:line="240" w:lineRule="auto"/>
              <w:jc w:val="center"/>
              <w:rPr>
                <w:lang w:val="en-GB"/>
              </w:rPr>
            </w:pPr>
            <w:r w:rsidRPr="00B16B81">
              <w:t>4 (1.7%)</w:t>
            </w:r>
          </w:p>
        </w:tc>
        <w:tc>
          <w:tcPr>
            <w:tcW w:w="1567" w:type="dxa"/>
            <w:vAlign w:val="center"/>
          </w:tcPr>
          <w:p w14:paraId="20078571" w14:textId="77777777" w:rsidR="00576FE1" w:rsidRDefault="00576FE1" w:rsidP="00115CD6">
            <w:pPr>
              <w:pStyle w:val="RRNormal"/>
              <w:spacing w:after="0" w:line="240" w:lineRule="auto"/>
              <w:jc w:val="center"/>
              <w:rPr>
                <w:lang w:val="en-GB"/>
              </w:rPr>
            </w:pPr>
            <w:r w:rsidRPr="00B16B81">
              <w:t>13 (5.4%)</w:t>
            </w:r>
          </w:p>
        </w:tc>
        <w:tc>
          <w:tcPr>
            <w:tcW w:w="1506" w:type="dxa"/>
            <w:vAlign w:val="center"/>
          </w:tcPr>
          <w:p w14:paraId="5B96FA45" w14:textId="77777777" w:rsidR="00576FE1" w:rsidRDefault="00576FE1" w:rsidP="00115CD6">
            <w:pPr>
              <w:pStyle w:val="RRNormal"/>
              <w:spacing w:after="0" w:line="240" w:lineRule="auto"/>
              <w:jc w:val="center"/>
              <w:rPr>
                <w:lang w:val="en-GB"/>
              </w:rPr>
            </w:pPr>
            <w:r w:rsidRPr="00B16B81">
              <w:t>17 (3.5%)</w:t>
            </w:r>
          </w:p>
        </w:tc>
      </w:tr>
      <w:tr w:rsidR="00576FE1" w14:paraId="21DD0E55" w14:textId="77777777" w:rsidTr="00115CD6">
        <w:trPr>
          <w:trHeight w:val="269"/>
        </w:trPr>
        <w:tc>
          <w:tcPr>
            <w:tcW w:w="4275" w:type="dxa"/>
            <w:vAlign w:val="center"/>
          </w:tcPr>
          <w:p w14:paraId="4A9EA707" w14:textId="77777777" w:rsidR="00576FE1" w:rsidRDefault="00576FE1" w:rsidP="00115CD6">
            <w:pPr>
              <w:pStyle w:val="RRNormal"/>
              <w:spacing w:after="0" w:line="240" w:lineRule="auto"/>
              <w:rPr>
                <w:lang w:val="en-GB"/>
              </w:rPr>
            </w:pPr>
            <w:r w:rsidRPr="00B16B81">
              <w:rPr>
                <w:b/>
                <w:lang w:val="en-GB"/>
              </w:rPr>
              <w:t>Skin and subcutaneous tissue disorders</w:t>
            </w:r>
          </w:p>
        </w:tc>
        <w:tc>
          <w:tcPr>
            <w:tcW w:w="1710" w:type="dxa"/>
            <w:vAlign w:val="center"/>
          </w:tcPr>
          <w:p w14:paraId="437AA77C" w14:textId="77777777" w:rsidR="00576FE1" w:rsidRDefault="00576FE1" w:rsidP="00115CD6">
            <w:pPr>
              <w:pStyle w:val="RRNormal"/>
              <w:spacing w:after="0" w:line="240" w:lineRule="auto"/>
              <w:jc w:val="center"/>
              <w:rPr>
                <w:lang w:val="en-GB"/>
              </w:rPr>
            </w:pPr>
            <w:r w:rsidRPr="00B16B81">
              <w:rPr>
                <w:b/>
              </w:rPr>
              <w:t>109 (45.2%)</w:t>
            </w:r>
          </w:p>
        </w:tc>
        <w:tc>
          <w:tcPr>
            <w:tcW w:w="1567" w:type="dxa"/>
            <w:vAlign w:val="center"/>
          </w:tcPr>
          <w:p w14:paraId="5378281F" w14:textId="77777777" w:rsidR="00576FE1" w:rsidRDefault="00576FE1" w:rsidP="00115CD6">
            <w:pPr>
              <w:pStyle w:val="RRNormal"/>
              <w:spacing w:after="0" w:line="240" w:lineRule="auto"/>
              <w:jc w:val="center"/>
              <w:rPr>
                <w:lang w:val="en-GB"/>
              </w:rPr>
            </w:pPr>
            <w:r w:rsidRPr="00B16B81">
              <w:rPr>
                <w:b/>
              </w:rPr>
              <w:t>105 (43.4%)</w:t>
            </w:r>
          </w:p>
        </w:tc>
        <w:tc>
          <w:tcPr>
            <w:tcW w:w="1506" w:type="dxa"/>
            <w:vAlign w:val="center"/>
          </w:tcPr>
          <w:p w14:paraId="43A81291" w14:textId="77777777" w:rsidR="00576FE1" w:rsidRDefault="00576FE1" w:rsidP="00115CD6">
            <w:pPr>
              <w:pStyle w:val="RRNormal"/>
              <w:spacing w:after="0" w:line="240" w:lineRule="auto"/>
              <w:jc w:val="center"/>
              <w:rPr>
                <w:lang w:val="en-GB"/>
              </w:rPr>
            </w:pPr>
            <w:r w:rsidRPr="00B16B81">
              <w:rPr>
                <w:b/>
              </w:rPr>
              <w:t>214 (44.3%)</w:t>
            </w:r>
          </w:p>
        </w:tc>
      </w:tr>
      <w:tr w:rsidR="00576FE1" w14:paraId="44E9B16B" w14:textId="77777777" w:rsidTr="00115CD6">
        <w:trPr>
          <w:trHeight w:val="269"/>
        </w:trPr>
        <w:tc>
          <w:tcPr>
            <w:tcW w:w="4275" w:type="dxa"/>
            <w:vAlign w:val="center"/>
          </w:tcPr>
          <w:p w14:paraId="387B9B8F" w14:textId="77777777" w:rsidR="00576FE1" w:rsidRDefault="00576FE1" w:rsidP="00115CD6">
            <w:pPr>
              <w:pStyle w:val="RRNormal"/>
              <w:spacing w:after="0" w:line="240" w:lineRule="auto"/>
              <w:ind w:hanging="249"/>
              <w:rPr>
                <w:lang w:val="en-GB"/>
              </w:rPr>
            </w:pPr>
            <w:r w:rsidRPr="00B16B81">
              <w:lastRenderedPageBreak/>
              <w:t xml:space="preserve">    Alopecia</w:t>
            </w:r>
          </w:p>
        </w:tc>
        <w:tc>
          <w:tcPr>
            <w:tcW w:w="1710" w:type="dxa"/>
            <w:vAlign w:val="center"/>
          </w:tcPr>
          <w:p w14:paraId="790B9E21" w14:textId="77777777" w:rsidR="00576FE1" w:rsidRDefault="00576FE1" w:rsidP="00115CD6">
            <w:pPr>
              <w:pStyle w:val="RRNormal"/>
              <w:spacing w:after="0" w:line="240" w:lineRule="auto"/>
              <w:jc w:val="center"/>
              <w:rPr>
                <w:lang w:val="en-GB"/>
              </w:rPr>
            </w:pPr>
            <w:r w:rsidRPr="00B16B81">
              <w:t>56 (23.2%)</w:t>
            </w:r>
          </w:p>
        </w:tc>
        <w:tc>
          <w:tcPr>
            <w:tcW w:w="1567" w:type="dxa"/>
            <w:vAlign w:val="center"/>
          </w:tcPr>
          <w:p w14:paraId="4DBE4861" w14:textId="77777777" w:rsidR="00576FE1" w:rsidRDefault="00576FE1" w:rsidP="00115CD6">
            <w:pPr>
              <w:pStyle w:val="RRNormal"/>
              <w:spacing w:after="0" w:line="240" w:lineRule="auto"/>
              <w:jc w:val="center"/>
              <w:rPr>
                <w:lang w:val="en-GB"/>
              </w:rPr>
            </w:pPr>
            <w:r w:rsidRPr="00B16B81">
              <w:t>61 (25.2%)</w:t>
            </w:r>
          </w:p>
        </w:tc>
        <w:tc>
          <w:tcPr>
            <w:tcW w:w="1506" w:type="dxa"/>
            <w:vAlign w:val="center"/>
          </w:tcPr>
          <w:p w14:paraId="17EB9CC3" w14:textId="77777777" w:rsidR="00576FE1" w:rsidRDefault="00576FE1" w:rsidP="00115CD6">
            <w:pPr>
              <w:pStyle w:val="RRNormal"/>
              <w:spacing w:after="0" w:line="240" w:lineRule="auto"/>
              <w:jc w:val="center"/>
              <w:rPr>
                <w:lang w:val="en-GB"/>
              </w:rPr>
            </w:pPr>
            <w:r w:rsidRPr="00B16B81">
              <w:t>117 (24.2%)</w:t>
            </w:r>
          </w:p>
        </w:tc>
      </w:tr>
      <w:tr w:rsidR="00576FE1" w14:paraId="0B5BE186" w14:textId="77777777" w:rsidTr="00115CD6">
        <w:trPr>
          <w:trHeight w:val="269"/>
        </w:trPr>
        <w:tc>
          <w:tcPr>
            <w:tcW w:w="4275" w:type="dxa"/>
            <w:vAlign w:val="center"/>
          </w:tcPr>
          <w:p w14:paraId="544821C6" w14:textId="77777777" w:rsidR="00576FE1" w:rsidRDefault="00576FE1" w:rsidP="00115CD6">
            <w:pPr>
              <w:pStyle w:val="RRNormal"/>
              <w:spacing w:after="0" w:line="240" w:lineRule="auto"/>
              <w:ind w:hanging="249"/>
              <w:rPr>
                <w:lang w:val="en-GB"/>
              </w:rPr>
            </w:pPr>
            <w:r w:rsidRPr="00B16B81">
              <w:t xml:space="preserve">    Pruritus</w:t>
            </w:r>
          </w:p>
        </w:tc>
        <w:tc>
          <w:tcPr>
            <w:tcW w:w="1710" w:type="dxa"/>
            <w:vAlign w:val="center"/>
          </w:tcPr>
          <w:p w14:paraId="6E4482D7" w14:textId="77777777" w:rsidR="00576FE1" w:rsidRDefault="00576FE1" w:rsidP="00115CD6">
            <w:pPr>
              <w:pStyle w:val="RRNormal"/>
              <w:spacing w:after="0" w:line="240" w:lineRule="auto"/>
              <w:jc w:val="center"/>
              <w:rPr>
                <w:lang w:val="en-GB"/>
              </w:rPr>
            </w:pPr>
            <w:r w:rsidRPr="00B16B81">
              <w:t>28 (11.6%)</w:t>
            </w:r>
          </w:p>
        </w:tc>
        <w:tc>
          <w:tcPr>
            <w:tcW w:w="1567" w:type="dxa"/>
            <w:vAlign w:val="center"/>
          </w:tcPr>
          <w:p w14:paraId="555C711C" w14:textId="77777777" w:rsidR="00576FE1" w:rsidRDefault="00576FE1" w:rsidP="00115CD6">
            <w:pPr>
              <w:pStyle w:val="RRNormal"/>
              <w:spacing w:after="0" w:line="240" w:lineRule="auto"/>
              <w:jc w:val="center"/>
              <w:rPr>
                <w:lang w:val="en-GB"/>
              </w:rPr>
            </w:pPr>
            <w:r w:rsidRPr="00B16B81">
              <w:t>25 (10.3%)</w:t>
            </w:r>
          </w:p>
        </w:tc>
        <w:tc>
          <w:tcPr>
            <w:tcW w:w="1506" w:type="dxa"/>
            <w:vAlign w:val="center"/>
          </w:tcPr>
          <w:p w14:paraId="566C1484" w14:textId="77777777" w:rsidR="00576FE1" w:rsidRDefault="00576FE1" w:rsidP="00115CD6">
            <w:pPr>
              <w:pStyle w:val="RRNormal"/>
              <w:spacing w:after="0" w:line="240" w:lineRule="auto"/>
              <w:jc w:val="center"/>
              <w:rPr>
                <w:lang w:val="en-GB"/>
              </w:rPr>
            </w:pPr>
            <w:r w:rsidRPr="00B16B81">
              <w:t>53 (11.0%)</w:t>
            </w:r>
          </w:p>
        </w:tc>
      </w:tr>
      <w:tr w:rsidR="00576FE1" w14:paraId="7A68C023" w14:textId="77777777" w:rsidTr="00115CD6">
        <w:trPr>
          <w:trHeight w:val="269"/>
        </w:trPr>
        <w:tc>
          <w:tcPr>
            <w:tcW w:w="4275" w:type="dxa"/>
            <w:vAlign w:val="center"/>
          </w:tcPr>
          <w:p w14:paraId="5EE795CA" w14:textId="77777777" w:rsidR="00576FE1" w:rsidRDefault="00576FE1" w:rsidP="00115CD6">
            <w:pPr>
              <w:pStyle w:val="RRNormal"/>
              <w:spacing w:after="0" w:line="240" w:lineRule="auto"/>
              <w:ind w:hanging="249"/>
              <w:rPr>
                <w:lang w:val="en-GB"/>
              </w:rPr>
            </w:pPr>
            <w:r w:rsidRPr="00B16B81">
              <w:t xml:space="preserve">    Rash</w:t>
            </w:r>
          </w:p>
        </w:tc>
        <w:tc>
          <w:tcPr>
            <w:tcW w:w="1710" w:type="dxa"/>
            <w:vAlign w:val="center"/>
          </w:tcPr>
          <w:p w14:paraId="756A447D" w14:textId="77777777" w:rsidR="00576FE1" w:rsidRDefault="00576FE1" w:rsidP="00115CD6">
            <w:pPr>
              <w:pStyle w:val="RRNormal"/>
              <w:spacing w:after="0" w:line="240" w:lineRule="auto"/>
              <w:jc w:val="center"/>
              <w:rPr>
                <w:lang w:val="en-GB"/>
              </w:rPr>
            </w:pPr>
            <w:r w:rsidRPr="00B16B81">
              <w:t>26 (10.8%)</w:t>
            </w:r>
          </w:p>
        </w:tc>
        <w:tc>
          <w:tcPr>
            <w:tcW w:w="1567" w:type="dxa"/>
            <w:vAlign w:val="center"/>
          </w:tcPr>
          <w:p w14:paraId="08D27503" w14:textId="77777777" w:rsidR="00576FE1" w:rsidRDefault="00576FE1" w:rsidP="00115CD6">
            <w:pPr>
              <w:pStyle w:val="RRNormal"/>
              <w:spacing w:after="0" w:line="240" w:lineRule="auto"/>
              <w:jc w:val="center"/>
              <w:rPr>
                <w:lang w:val="en-GB"/>
              </w:rPr>
            </w:pPr>
            <w:r w:rsidRPr="00B16B81">
              <w:t>15 (6.2%)</w:t>
            </w:r>
          </w:p>
        </w:tc>
        <w:tc>
          <w:tcPr>
            <w:tcW w:w="1506" w:type="dxa"/>
            <w:vAlign w:val="center"/>
          </w:tcPr>
          <w:p w14:paraId="0CDFA279" w14:textId="77777777" w:rsidR="00576FE1" w:rsidRDefault="00576FE1" w:rsidP="00115CD6">
            <w:pPr>
              <w:pStyle w:val="RRNormal"/>
              <w:spacing w:after="0" w:line="240" w:lineRule="auto"/>
              <w:jc w:val="center"/>
              <w:rPr>
                <w:lang w:val="en-GB"/>
              </w:rPr>
            </w:pPr>
            <w:r w:rsidRPr="00B16B81">
              <w:t>41 (8.5%)</w:t>
            </w:r>
          </w:p>
        </w:tc>
      </w:tr>
      <w:tr w:rsidR="00576FE1" w14:paraId="11EE7B1C" w14:textId="77777777" w:rsidTr="00115CD6">
        <w:trPr>
          <w:trHeight w:val="269"/>
        </w:trPr>
        <w:tc>
          <w:tcPr>
            <w:tcW w:w="4275" w:type="dxa"/>
            <w:vAlign w:val="center"/>
          </w:tcPr>
          <w:p w14:paraId="1FA00A29" w14:textId="77777777" w:rsidR="00576FE1" w:rsidRDefault="00576FE1" w:rsidP="00115CD6">
            <w:pPr>
              <w:pStyle w:val="RRNormal"/>
              <w:spacing w:after="0" w:line="240" w:lineRule="auto"/>
              <w:ind w:hanging="249"/>
              <w:rPr>
                <w:lang w:val="en-GB"/>
              </w:rPr>
            </w:pPr>
            <w:r w:rsidRPr="00B16B81">
              <w:t xml:space="preserve">    Dry skin</w:t>
            </w:r>
          </w:p>
        </w:tc>
        <w:tc>
          <w:tcPr>
            <w:tcW w:w="1710" w:type="dxa"/>
            <w:vAlign w:val="center"/>
          </w:tcPr>
          <w:p w14:paraId="59B27BB8" w14:textId="77777777" w:rsidR="00576FE1" w:rsidRDefault="00576FE1" w:rsidP="00115CD6">
            <w:pPr>
              <w:pStyle w:val="RRNormal"/>
              <w:spacing w:after="0" w:line="240" w:lineRule="auto"/>
              <w:jc w:val="center"/>
              <w:rPr>
                <w:lang w:val="en-GB"/>
              </w:rPr>
            </w:pPr>
            <w:r w:rsidRPr="00B16B81">
              <w:t>9 (3.7%)</w:t>
            </w:r>
          </w:p>
        </w:tc>
        <w:tc>
          <w:tcPr>
            <w:tcW w:w="1567" w:type="dxa"/>
            <w:vAlign w:val="center"/>
          </w:tcPr>
          <w:p w14:paraId="2F411DDB" w14:textId="77777777" w:rsidR="00576FE1" w:rsidRDefault="00576FE1" w:rsidP="00115CD6">
            <w:pPr>
              <w:pStyle w:val="RRNormal"/>
              <w:spacing w:after="0" w:line="240" w:lineRule="auto"/>
              <w:jc w:val="center"/>
              <w:rPr>
                <w:lang w:val="en-GB"/>
              </w:rPr>
            </w:pPr>
            <w:r w:rsidRPr="00B16B81">
              <w:t>19 (7.9%)</w:t>
            </w:r>
          </w:p>
        </w:tc>
        <w:tc>
          <w:tcPr>
            <w:tcW w:w="1506" w:type="dxa"/>
            <w:vAlign w:val="center"/>
          </w:tcPr>
          <w:p w14:paraId="7023367E" w14:textId="77777777" w:rsidR="00576FE1" w:rsidRDefault="00576FE1" w:rsidP="00115CD6">
            <w:pPr>
              <w:pStyle w:val="RRNormal"/>
              <w:spacing w:after="0" w:line="240" w:lineRule="auto"/>
              <w:jc w:val="center"/>
              <w:rPr>
                <w:lang w:val="en-GB"/>
              </w:rPr>
            </w:pPr>
            <w:r w:rsidRPr="00B16B81">
              <w:t>28 (5.8%)</w:t>
            </w:r>
          </w:p>
        </w:tc>
      </w:tr>
      <w:tr w:rsidR="00576FE1" w14:paraId="3E5AB945" w14:textId="77777777" w:rsidTr="00115CD6">
        <w:trPr>
          <w:trHeight w:val="269"/>
        </w:trPr>
        <w:tc>
          <w:tcPr>
            <w:tcW w:w="4275" w:type="dxa"/>
            <w:vAlign w:val="center"/>
          </w:tcPr>
          <w:p w14:paraId="04F5940D" w14:textId="77777777" w:rsidR="00576FE1" w:rsidRDefault="00576FE1" w:rsidP="00115CD6">
            <w:pPr>
              <w:pStyle w:val="RRNormal"/>
              <w:spacing w:after="0" w:line="240" w:lineRule="auto"/>
              <w:rPr>
                <w:lang w:val="en-GB"/>
              </w:rPr>
            </w:pPr>
            <w:r w:rsidRPr="00B16B81">
              <w:rPr>
                <w:b/>
                <w:lang w:val="en-GB"/>
              </w:rPr>
              <w:t>Respiratory, thoracic and mediastinal disorders</w:t>
            </w:r>
          </w:p>
        </w:tc>
        <w:tc>
          <w:tcPr>
            <w:tcW w:w="1710" w:type="dxa"/>
            <w:vAlign w:val="center"/>
          </w:tcPr>
          <w:p w14:paraId="5C3D7702" w14:textId="77777777" w:rsidR="00576FE1" w:rsidRDefault="00576FE1" w:rsidP="00115CD6">
            <w:pPr>
              <w:pStyle w:val="RRNormal"/>
              <w:spacing w:after="0" w:line="240" w:lineRule="auto"/>
              <w:jc w:val="center"/>
              <w:rPr>
                <w:lang w:val="en-GB"/>
              </w:rPr>
            </w:pPr>
            <w:r w:rsidRPr="00B16B81">
              <w:rPr>
                <w:b/>
              </w:rPr>
              <w:t>10</w:t>
            </w:r>
            <w:r>
              <w:rPr>
                <w:b/>
              </w:rPr>
              <w:t>8</w:t>
            </w:r>
            <w:r w:rsidRPr="00B16B81">
              <w:rPr>
                <w:b/>
              </w:rPr>
              <w:t xml:space="preserve"> (44.</w:t>
            </w:r>
            <w:r>
              <w:rPr>
                <w:b/>
              </w:rPr>
              <w:t>8</w:t>
            </w:r>
            <w:r w:rsidRPr="00B16B81">
              <w:rPr>
                <w:b/>
              </w:rPr>
              <w:t>%)</w:t>
            </w:r>
          </w:p>
        </w:tc>
        <w:tc>
          <w:tcPr>
            <w:tcW w:w="1567" w:type="dxa"/>
            <w:vAlign w:val="center"/>
          </w:tcPr>
          <w:p w14:paraId="3D0B8216" w14:textId="77777777" w:rsidR="00576FE1" w:rsidRDefault="00576FE1" w:rsidP="00115CD6">
            <w:pPr>
              <w:pStyle w:val="RRNormal"/>
              <w:spacing w:after="0" w:line="240" w:lineRule="auto"/>
              <w:jc w:val="center"/>
              <w:rPr>
                <w:lang w:val="en-GB"/>
              </w:rPr>
            </w:pPr>
            <w:r w:rsidRPr="00B16B81">
              <w:rPr>
                <w:b/>
              </w:rPr>
              <w:t>92 (38.0%)</w:t>
            </w:r>
          </w:p>
        </w:tc>
        <w:tc>
          <w:tcPr>
            <w:tcW w:w="1506" w:type="dxa"/>
            <w:vAlign w:val="center"/>
          </w:tcPr>
          <w:p w14:paraId="7D8A5137" w14:textId="77777777" w:rsidR="00576FE1" w:rsidRDefault="00576FE1" w:rsidP="00115CD6">
            <w:pPr>
              <w:pStyle w:val="RRNormal"/>
              <w:spacing w:after="0" w:line="240" w:lineRule="auto"/>
              <w:jc w:val="center"/>
              <w:rPr>
                <w:lang w:val="en-GB"/>
              </w:rPr>
            </w:pPr>
            <w:r>
              <w:rPr>
                <w:b/>
              </w:rPr>
              <w:t>200</w:t>
            </w:r>
            <w:r w:rsidRPr="00B16B81">
              <w:rPr>
                <w:b/>
              </w:rPr>
              <w:t xml:space="preserve"> (41.</w:t>
            </w:r>
            <w:r>
              <w:rPr>
                <w:b/>
              </w:rPr>
              <w:t>4</w:t>
            </w:r>
            <w:r w:rsidRPr="00B16B81">
              <w:rPr>
                <w:b/>
              </w:rPr>
              <w:t>%)</w:t>
            </w:r>
          </w:p>
        </w:tc>
      </w:tr>
      <w:tr w:rsidR="00576FE1" w14:paraId="27AEED4C" w14:textId="77777777" w:rsidTr="00115CD6">
        <w:trPr>
          <w:trHeight w:val="269"/>
        </w:trPr>
        <w:tc>
          <w:tcPr>
            <w:tcW w:w="4275" w:type="dxa"/>
            <w:vAlign w:val="center"/>
          </w:tcPr>
          <w:p w14:paraId="39826382" w14:textId="77777777" w:rsidR="00576FE1" w:rsidRDefault="00576FE1" w:rsidP="00115CD6">
            <w:pPr>
              <w:pStyle w:val="RRNormal"/>
              <w:spacing w:after="0" w:line="240" w:lineRule="auto"/>
              <w:ind w:hanging="249"/>
              <w:rPr>
                <w:lang w:val="en-GB"/>
              </w:rPr>
            </w:pPr>
            <w:r w:rsidRPr="00B16B81">
              <w:t xml:space="preserve">    Cough</w:t>
            </w:r>
          </w:p>
        </w:tc>
        <w:tc>
          <w:tcPr>
            <w:tcW w:w="1710" w:type="dxa"/>
            <w:vAlign w:val="center"/>
          </w:tcPr>
          <w:p w14:paraId="5A304B17" w14:textId="77777777" w:rsidR="00576FE1" w:rsidRDefault="00576FE1" w:rsidP="00115CD6">
            <w:pPr>
              <w:pStyle w:val="RRNormal"/>
              <w:spacing w:after="0" w:line="240" w:lineRule="auto"/>
              <w:jc w:val="center"/>
              <w:rPr>
                <w:lang w:val="en-GB"/>
              </w:rPr>
            </w:pPr>
            <w:r w:rsidRPr="00B16B81">
              <w:t>54 (22.4%)</w:t>
            </w:r>
          </w:p>
        </w:tc>
        <w:tc>
          <w:tcPr>
            <w:tcW w:w="1567" w:type="dxa"/>
            <w:vAlign w:val="center"/>
          </w:tcPr>
          <w:p w14:paraId="09BD9B88" w14:textId="77777777" w:rsidR="00576FE1" w:rsidRDefault="00576FE1" w:rsidP="00115CD6">
            <w:pPr>
              <w:pStyle w:val="RRNormal"/>
              <w:spacing w:after="0" w:line="240" w:lineRule="auto"/>
              <w:jc w:val="center"/>
              <w:rPr>
                <w:lang w:val="en-GB"/>
              </w:rPr>
            </w:pPr>
            <w:r w:rsidRPr="00B16B81">
              <w:t>42 (17.4%)</w:t>
            </w:r>
          </w:p>
        </w:tc>
        <w:tc>
          <w:tcPr>
            <w:tcW w:w="1506" w:type="dxa"/>
            <w:vAlign w:val="center"/>
          </w:tcPr>
          <w:p w14:paraId="4A0472A4" w14:textId="77777777" w:rsidR="00576FE1" w:rsidRDefault="00576FE1" w:rsidP="00115CD6">
            <w:pPr>
              <w:pStyle w:val="RRNormal"/>
              <w:spacing w:after="0" w:line="240" w:lineRule="auto"/>
              <w:jc w:val="center"/>
              <w:rPr>
                <w:lang w:val="en-GB"/>
              </w:rPr>
            </w:pPr>
            <w:r w:rsidRPr="00B16B81">
              <w:t>96 (19.9%)</w:t>
            </w:r>
          </w:p>
        </w:tc>
      </w:tr>
      <w:tr w:rsidR="00576FE1" w14:paraId="1910B1A3" w14:textId="77777777" w:rsidTr="00115CD6">
        <w:trPr>
          <w:trHeight w:val="269"/>
        </w:trPr>
        <w:tc>
          <w:tcPr>
            <w:tcW w:w="4275" w:type="dxa"/>
            <w:vAlign w:val="center"/>
          </w:tcPr>
          <w:p w14:paraId="7CD24FC7" w14:textId="77777777" w:rsidR="00576FE1" w:rsidRDefault="00576FE1" w:rsidP="00115CD6">
            <w:pPr>
              <w:pStyle w:val="RRNormal"/>
              <w:spacing w:after="0" w:line="240" w:lineRule="auto"/>
              <w:ind w:hanging="249"/>
              <w:rPr>
                <w:lang w:val="en-GB"/>
              </w:rPr>
            </w:pPr>
            <w:r w:rsidRPr="00B16B81">
              <w:t xml:space="preserve">    </w:t>
            </w:r>
            <w:proofErr w:type="spellStart"/>
            <w:r w:rsidRPr="00B16B81">
              <w:t>Dyspnoea</w:t>
            </w:r>
            <w:proofErr w:type="spellEnd"/>
          </w:p>
        </w:tc>
        <w:tc>
          <w:tcPr>
            <w:tcW w:w="1710" w:type="dxa"/>
            <w:vAlign w:val="center"/>
          </w:tcPr>
          <w:p w14:paraId="2B4B76F6" w14:textId="77777777" w:rsidR="00576FE1" w:rsidRDefault="00576FE1" w:rsidP="00115CD6">
            <w:pPr>
              <w:pStyle w:val="RRNormal"/>
              <w:spacing w:after="0" w:line="240" w:lineRule="auto"/>
              <w:jc w:val="center"/>
              <w:rPr>
                <w:lang w:val="en-GB"/>
              </w:rPr>
            </w:pPr>
            <w:r w:rsidRPr="00B16B81">
              <w:t>33 (13.7%)</w:t>
            </w:r>
          </w:p>
        </w:tc>
        <w:tc>
          <w:tcPr>
            <w:tcW w:w="1567" w:type="dxa"/>
            <w:vAlign w:val="center"/>
          </w:tcPr>
          <w:p w14:paraId="091F83FA" w14:textId="77777777" w:rsidR="00576FE1" w:rsidRDefault="00576FE1" w:rsidP="00115CD6">
            <w:pPr>
              <w:pStyle w:val="RRNormal"/>
              <w:spacing w:after="0" w:line="240" w:lineRule="auto"/>
              <w:jc w:val="center"/>
              <w:rPr>
                <w:lang w:val="en-GB"/>
              </w:rPr>
            </w:pPr>
            <w:r w:rsidRPr="00B16B81">
              <w:t>29 (12.0%)</w:t>
            </w:r>
          </w:p>
        </w:tc>
        <w:tc>
          <w:tcPr>
            <w:tcW w:w="1506" w:type="dxa"/>
            <w:vAlign w:val="center"/>
          </w:tcPr>
          <w:p w14:paraId="1916C1AC" w14:textId="77777777" w:rsidR="00576FE1" w:rsidRDefault="00576FE1" w:rsidP="00115CD6">
            <w:pPr>
              <w:pStyle w:val="RRNormal"/>
              <w:spacing w:after="0" w:line="240" w:lineRule="auto"/>
              <w:jc w:val="center"/>
              <w:rPr>
                <w:lang w:val="en-GB"/>
              </w:rPr>
            </w:pPr>
            <w:r w:rsidRPr="00B16B81">
              <w:t>62 (12.8%)</w:t>
            </w:r>
          </w:p>
        </w:tc>
      </w:tr>
      <w:tr w:rsidR="00576FE1" w14:paraId="7FFD6970" w14:textId="77777777" w:rsidTr="00115CD6">
        <w:trPr>
          <w:trHeight w:val="269"/>
        </w:trPr>
        <w:tc>
          <w:tcPr>
            <w:tcW w:w="4275" w:type="dxa"/>
            <w:vAlign w:val="center"/>
          </w:tcPr>
          <w:p w14:paraId="307B7F00" w14:textId="77777777" w:rsidR="00576FE1" w:rsidRDefault="00576FE1" w:rsidP="00115CD6">
            <w:pPr>
              <w:pStyle w:val="RRNormal"/>
              <w:spacing w:after="0" w:line="240" w:lineRule="auto"/>
              <w:ind w:hanging="249"/>
              <w:rPr>
                <w:lang w:val="en-GB"/>
              </w:rPr>
            </w:pPr>
            <w:r w:rsidRPr="00B16B81">
              <w:t xml:space="preserve">    Epistaxis</w:t>
            </w:r>
          </w:p>
        </w:tc>
        <w:tc>
          <w:tcPr>
            <w:tcW w:w="1710" w:type="dxa"/>
            <w:vAlign w:val="center"/>
          </w:tcPr>
          <w:p w14:paraId="0CC3F31A" w14:textId="77777777" w:rsidR="00576FE1" w:rsidRDefault="00576FE1" w:rsidP="00115CD6">
            <w:pPr>
              <w:pStyle w:val="RRNormal"/>
              <w:spacing w:after="0" w:line="240" w:lineRule="auto"/>
              <w:jc w:val="center"/>
              <w:rPr>
                <w:lang w:val="en-GB"/>
              </w:rPr>
            </w:pPr>
            <w:r w:rsidRPr="00B16B81">
              <w:t>14 (5.8%)</w:t>
            </w:r>
          </w:p>
        </w:tc>
        <w:tc>
          <w:tcPr>
            <w:tcW w:w="1567" w:type="dxa"/>
            <w:vAlign w:val="center"/>
          </w:tcPr>
          <w:p w14:paraId="5451E697" w14:textId="77777777" w:rsidR="00576FE1" w:rsidRDefault="00576FE1" w:rsidP="00115CD6">
            <w:pPr>
              <w:pStyle w:val="RRNormal"/>
              <w:spacing w:after="0" w:line="240" w:lineRule="auto"/>
              <w:jc w:val="center"/>
              <w:rPr>
                <w:lang w:val="en-GB"/>
              </w:rPr>
            </w:pPr>
            <w:r w:rsidRPr="00B16B81">
              <w:t>19 (7.9%)</w:t>
            </w:r>
          </w:p>
        </w:tc>
        <w:tc>
          <w:tcPr>
            <w:tcW w:w="1506" w:type="dxa"/>
            <w:vAlign w:val="center"/>
          </w:tcPr>
          <w:p w14:paraId="650806E5" w14:textId="77777777" w:rsidR="00576FE1" w:rsidRDefault="00576FE1" w:rsidP="00115CD6">
            <w:pPr>
              <w:pStyle w:val="RRNormal"/>
              <w:spacing w:after="0" w:line="240" w:lineRule="auto"/>
              <w:jc w:val="center"/>
              <w:rPr>
                <w:lang w:val="en-GB"/>
              </w:rPr>
            </w:pPr>
            <w:r w:rsidRPr="00B16B81">
              <w:t>33 (6.8%)</w:t>
            </w:r>
          </w:p>
        </w:tc>
      </w:tr>
      <w:tr w:rsidR="00576FE1" w14:paraId="6680CE1F" w14:textId="77777777" w:rsidTr="00115CD6">
        <w:trPr>
          <w:trHeight w:val="269"/>
        </w:trPr>
        <w:tc>
          <w:tcPr>
            <w:tcW w:w="4275" w:type="dxa"/>
            <w:vAlign w:val="center"/>
          </w:tcPr>
          <w:p w14:paraId="37C2DD42" w14:textId="77777777" w:rsidR="00576FE1" w:rsidRDefault="00576FE1" w:rsidP="00115CD6">
            <w:pPr>
              <w:pStyle w:val="RRNormal"/>
              <w:spacing w:after="0" w:line="240" w:lineRule="auto"/>
              <w:ind w:hanging="249"/>
              <w:rPr>
                <w:lang w:val="en-GB"/>
              </w:rPr>
            </w:pPr>
            <w:r w:rsidRPr="00B16B81">
              <w:t xml:space="preserve">    Pulmonary embolism</w:t>
            </w:r>
          </w:p>
        </w:tc>
        <w:tc>
          <w:tcPr>
            <w:tcW w:w="1710" w:type="dxa"/>
            <w:vAlign w:val="center"/>
          </w:tcPr>
          <w:p w14:paraId="49AEF249" w14:textId="77777777" w:rsidR="00576FE1" w:rsidRDefault="00576FE1" w:rsidP="00115CD6">
            <w:pPr>
              <w:pStyle w:val="RRNormal"/>
              <w:spacing w:after="0" w:line="240" w:lineRule="auto"/>
              <w:jc w:val="center"/>
              <w:rPr>
                <w:lang w:val="en-GB"/>
              </w:rPr>
            </w:pPr>
            <w:r w:rsidRPr="00B16B81">
              <w:t>1</w:t>
            </w:r>
            <w:r>
              <w:t>2</w:t>
            </w:r>
            <w:r w:rsidRPr="00B16B81">
              <w:t xml:space="preserve"> (5.</w:t>
            </w:r>
            <w:r>
              <w:t>0</w:t>
            </w:r>
            <w:r w:rsidRPr="00B16B81">
              <w:t>%)</w:t>
            </w:r>
          </w:p>
        </w:tc>
        <w:tc>
          <w:tcPr>
            <w:tcW w:w="1567" w:type="dxa"/>
            <w:vAlign w:val="center"/>
          </w:tcPr>
          <w:p w14:paraId="5791B508" w14:textId="77777777" w:rsidR="00576FE1" w:rsidRDefault="00576FE1" w:rsidP="00115CD6">
            <w:pPr>
              <w:pStyle w:val="RRNormal"/>
              <w:spacing w:after="0" w:line="240" w:lineRule="auto"/>
              <w:jc w:val="center"/>
              <w:rPr>
                <w:lang w:val="en-GB"/>
              </w:rPr>
            </w:pPr>
            <w:r w:rsidRPr="00B16B81">
              <w:t>6 (2.5%)</w:t>
            </w:r>
          </w:p>
        </w:tc>
        <w:tc>
          <w:tcPr>
            <w:tcW w:w="1506" w:type="dxa"/>
            <w:vAlign w:val="center"/>
          </w:tcPr>
          <w:p w14:paraId="0BDADDEF" w14:textId="77777777" w:rsidR="00576FE1" w:rsidRDefault="00576FE1" w:rsidP="00115CD6">
            <w:pPr>
              <w:pStyle w:val="RRNormal"/>
              <w:spacing w:after="0" w:line="240" w:lineRule="auto"/>
              <w:jc w:val="center"/>
              <w:rPr>
                <w:lang w:val="en-GB"/>
              </w:rPr>
            </w:pPr>
            <w:r w:rsidRPr="00B16B81">
              <w:t>1</w:t>
            </w:r>
            <w:r>
              <w:t xml:space="preserve">8 </w:t>
            </w:r>
            <w:r w:rsidRPr="00B16B81">
              <w:t>(3.</w:t>
            </w:r>
            <w:r>
              <w:t>7</w:t>
            </w:r>
            <w:r w:rsidRPr="00B16B81">
              <w:t>%)</w:t>
            </w:r>
          </w:p>
        </w:tc>
      </w:tr>
      <w:tr w:rsidR="00576FE1" w14:paraId="0D19716A" w14:textId="77777777" w:rsidTr="00115CD6">
        <w:trPr>
          <w:trHeight w:val="467"/>
        </w:trPr>
        <w:tc>
          <w:tcPr>
            <w:tcW w:w="4275" w:type="dxa"/>
            <w:vAlign w:val="center"/>
          </w:tcPr>
          <w:p w14:paraId="76707338" w14:textId="77777777" w:rsidR="00576FE1" w:rsidRDefault="00576FE1" w:rsidP="00115CD6">
            <w:pPr>
              <w:pStyle w:val="RRNormal"/>
              <w:spacing w:after="0" w:line="240" w:lineRule="auto"/>
              <w:rPr>
                <w:lang w:val="en-GB"/>
              </w:rPr>
            </w:pPr>
            <w:r w:rsidRPr="00B16B81">
              <w:rPr>
                <w:b/>
              </w:rPr>
              <w:t>Nervous system disorders</w:t>
            </w:r>
          </w:p>
        </w:tc>
        <w:tc>
          <w:tcPr>
            <w:tcW w:w="1710" w:type="dxa"/>
            <w:vAlign w:val="center"/>
          </w:tcPr>
          <w:p w14:paraId="53012421" w14:textId="77777777" w:rsidR="00576FE1" w:rsidRDefault="00576FE1" w:rsidP="00115CD6">
            <w:pPr>
              <w:pStyle w:val="RRNormal"/>
              <w:spacing w:after="0" w:line="240" w:lineRule="auto"/>
              <w:jc w:val="center"/>
              <w:rPr>
                <w:lang w:val="en-GB"/>
              </w:rPr>
            </w:pPr>
            <w:r w:rsidRPr="00B16B81">
              <w:rPr>
                <w:b/>
              </w:rPr>
              <w:t>85 (35.3%)</w:t>
            </w:r>
          </w:p>
        </w:tc>
        <w:tc>
          <w:tcPr>
            <w:tcW w:w="1567" w:type="dxa"/>
            <w:vAlign w:val="center"/>
          </w:tcPr>
          <w:p w14:paraId="6DD3D855" w14:textId="77777777" w:rsidR="00576FE1" w:rsidRDefault="00576FE1" w:rsidP="00115CD6">
            <w:pPr>
              <w:pStyle w:val="RRNormal"/>
              <w:spacing w:after="0" w:line="240" w:lineRule="auto"/>
              <w:jc w:val="center"/>
              <w:rPr>
                <w:lang w:val="en-GB"/>
              </w:rPr>
            </w:pPr>
            <w:r w:rsidRPr="00B16B81">
              <w:rPr>
                <w:b/>
              </w:rPr>
              <w:t>84 (34.7%)</w:t>
            </w:r>
          </w:p>
        </w:tc>
        <w:tc>
          <w:tcPr>
            <w:tcW w:w="1506" w:type="dxa"/>
            <w:vAlign w:val="center"/>
          </w:tcPr>
          <w:p w14:paraId="731F269E" w14:textId="77777777" w:rsidR="00576FE1" w:rsidRDefault="00576FE1" w:rsidP="00115CD6">
            <w:pPr>
              <w:pStyle w:val="RRNormal"/>
              <w:spacing w:after="0" w:line="240" w:lineRule="auto"/>
              <w:jc w:val="center"/>
              <w:rPr>
                <w:lang w:val="en-GB"/>
              </w:rPr>
            </w:pPr>
            <w:r w:rsidRPr="00B16B81">
              <w:rPr>
                <w:b/>
              </w:rPr>
              <w:t>169 (35.0%)</w:t>
            </w:r>
          </w:p>
        </w:tc>
      </w:tr>
      <w:tr w:rsidR="00576FE1" w14:paraId="61B1C6AB" w14:textId="77777777" w:rsidTr="00115CD6">
        <w:trPr>
          <w:trHeight w:val="269"/>
        </w:trPr>
        <w:tc>
          <w:tcPr>
            <w:tcW w:w="4275" w:type="dxa"/>
            <w:vAlign w:val="center"/>
          </w:tcPr>
          <w:p w14:paraId="2420A648" w14:textId="77777777" w:rsidR="00576FE1" w:rsidRDefault="00576FE1" w:rsidP="00115CD6">
            <w:pPr>
              <w:pStyle w:val="RRNormal"/>
              <w:spacing w:after="0" w:line="240" w:lineRule="auto"/>
              <w:ind w:hanging="249"/>
              <w:rPr>
                <w:lang w:val="en-GB"/>
              </w:rPr>
            </w:pPr>
            <w:r w:rsidRPr="00B16B81">
              <w:t xml:space="preserve">    Headache</w:t>
            </w:r>
          </w:p>
        </w:tc>
        <w:tc>
          <w:tcPr>
            <w:tcW w:w="1710" w:type="dxa"/>
            <w:vAlign w:val="center"/>
          </w:tcPr>
          <w:p w14:paraId="1397E988" w14:textId="77777777" w:rsidR="00576FE1" w:rsidRDefault="00576FE1" w:rsidP="00115CD6">
            <w:pPr>
              <w:pStyle w:val="RRNormal"/>
              <w:spacing w:after="0" w:line="240" w:lineRule="auto"/>
              <w:jc w:val="center"/>
              <w:rPr>
                <w:lang w:val="en-GB"/>
              </w:rPr>
            </w:pPr>
            <w:r w:rsidRPr="00B16B81">
              <w:t>34 (14.1%)</w:t>
            </w:r>
          </w:p>
        </w:tc>
        <w:tc>
          <w:tcPr>
            <w:tcW w:w="1567" w:type="dxa"/>
            <w:vAlign w:val="center"/>
          </w:tcPr>
          <w:p w14:paraId="45E6C3EC" w14:textId="77777777" w:rsidR="00576FE1" w:rsidRDefault="00576FE1" w:rsidP="00115CD6">
            <w:pPr>
              <w:pStyle w:val="RRNormal"/>
              <w:spacing w:after="0" w:line="240" w:lineRule="auto"/>
              <w:jc w:val="center"/>
              <w:rPr>
                <w:lang w:val="en-GB"/>
              </w:rPr>
            </w:pPr>
            <w:r w:rsidRPr="00B16B81">
              <w:t>33 (13.6%)</w:t>
            </w:r>
          </w:p>
        </w:tc>
        <w:tc>
          <w:tcPr>
            <w:tcW w:w="1506" w:type="dxa"/>
            <w:vAlign w:val="center"/>
          </w:tcPr>
          <w:p w14:paraId="40F71372" w14:textId="77777777" w:rsidR="00576FE1" w:rsidRDefault="00576FE1" w:rsidP="00115CD6">
            <w:pPr>
              <w:pStyle w:val="RRNormal"/>
              <w:spacing w:after="0" w:line="240" w:lineRule="auto"/>
              <w:jc w:val="center"/>
              <w:rPr>
                <w:lang w:val="en-GB"/>
              </w:rPr>
            </w:pPr>
            <w:r w:rsidRPr="00B16B81">
              <w:t>67 (13.9%)</w:t>
            </w:r>
          </w:p>
        </w:tc>
      </w:tr>
      <w:tr w:rsidR="00576FE1" w14:paraId="24B51889" w14:textId="77777777" w:rsidTr="00115CD6">
        <w:trPr>
          <w:trHeight w:val="269"/>
        </w:trPr>
        <w:tc>
          <w:tcPr>
            <w:tcW w:w="4275" w:type="dxa"/>
            <w:vAlign w:val="center"/>
          </w:tcPr>
          <w:p w14:paraId="7C1F682E" w14:textId="77777777" w:rsidR="00576FE1" w:rsidRDefault="00576FE1" w:rsidP="00115CD6">
            <w:pPr>
              <w:pStyle w:val="RRNormal"/>
              <w:spacing w:after="0" w:line="240" w:lineRule="auto"/>
              <w:ind w:hanging="249"/>
              <w:rPr>
                <w:lang w:val="en-GB"/>
              </w:rPr>
            </w:pPr>
            <w:r w:rsidRPr="00B16B81">
              <w:t xml:space="preserve">    Dizziness</w:t>
            </w:r>
          </w:p>
        </w:tc>
        <w:tc>
          <w:tcPr>
            <w:tcW w:w="1710" w:type="dxa"/>
            <w:vAlign w:val="center"/>
          </w:tcPr>
          <w:p w14:paraId="5BECB9A6" w14:textId="77777777" w:rsidR="00576FE1" w:rsidRDefault="00576FE1" w:rsidP="00115CD6">
            <w:pPr>
              <w:pStyle w:val="RRNormal"/>
              <w:spacing w:after="0" w:line="240" w:lineRule="auto"/>
              <w:jc w:val="center"/>
              <w:rPr>
                <w:lang w:val="en-GB"/>
              </w:rPr>
            </w:pPr>
            <w:r w:rsidRPr="00B16B81">
              <w:t>16 (6.6%)</w:t>
            </w:r>
          </w:p>
        </w:tc>
        <w:tc>
          <w:tcPr>
            <w:tcW w:w="1567" w:type="dxa"/>
            <w:vAlign w:val="center"/>
          </w:tcPr>
          <w:p w14:paraId="239B08C5" w14:textId="77777777" w:rsidR="00576FE1" w:rsidRDefault="00576FE1" w:rsidP="00115CD6">
            <w:pPr>
              <w:pStyle w:val="RRNormal"/>
              <w:spacing w:after="0" w:line="240" w:lineRule="auto"/>
              <w:jc w:val="center"/>
              <w:rPr>
                <w:lang w:val="en-GB"/>
              </w:rPr>
            </w:pPr>
            <w:r w:rsidRPr="00B16B81">
              <w:t>20 (8.3%)</w:t>
            </w:r>
          </w:p>
        </w:tc>
        <w:tc>
          <w:tcPr>
            <w:tcW w:w="1506" w:type="dxa"/>
            <w:vAlign w:val="center"/>
          </w:tcPr>
          <w:p w14:paraId="0DAC43E3" w14:textId="77777777" w:rsidR="00576FE1" w:rsidRDefault="00576FE1" w:rsidP="00115CD6">
            <w:pPr>
              <w:pStyle w:val="RRNormal"/>
              <w:spacing w:after="0" w:line="240" w:lineRule="auto"/>
              <w:jc w:val="center"/>
              <w:rPr>
                <w:lang w:val="en-GB"/>
              </w:rPr>
            </w:pPr>
            <w:r w:rsidRPr="00B16B81">
              <w:t>36 (7.5%)</w:t>
            </w:r>
          </w:p>
        </w:tc>
      </w:tr>
      <w:tr w:rsidR="00576FE1" w14:paraId="5BE33A24" w14:textId="77777777" w:rsidTr="00115CD6">
        <w:trPr>
          <w:trHeight w:val="269"/>
        </w:trPr>
        <w:tc>
          <w:tcPr>
            <w:tcW w:w="4275" w:type="dxa"/>
            <w:vAlign w:val="center"/>
          </w:tcPr>
          <w:p w14:paraId="527AF4AB" w14:textId="77777777" w:rsidR="00576FE1" w:rsidRDefault="00576FE1" w:rsidP="00115CD6">
            <w:pPr>
              <w:pStyle w:val="RRNormal"/>
              <w:spacing w:after="0" w:line="240" w:lineRule="auto"/>
              <w:ind w:hanging="249"/>
              <w:rPr>
                <w:lang w:val="en-GB"/>
              </w:rPr>
            </w:pPr>
            <w:r w:rsidRPr="00B16B81">
              <w:t xml:space="preserve">    </w:t>
            </w:r>
            <w:proofErr w:type="spellStart"/>
            <w:r w:rsidRPr="00B16B81">
              <w:t>Paraesthesia</w:t>
            </w:r>
            <w:proofErr w:type="spellEnd"/>
          </w:p>
        </w:tc>
        <w:tc>
          <w:tcPr>
            <w:tcW w:w="1710" w:type="dxa"/>
            <w:vAlign w:val="center"/>
          </w:tcPr>
          <w:p w14:paraId="5209271A" w14:textId="77777777" w:rsidR="00576FE1" w:rsidRDefault="00576FE1" w:rsidP="00115CD6">
            <w:pPr>
              <w:pStyle w:val="RRNormal"/>
              <w:spacing w:after="0" w:line="240" w:lineRule="auto"/>
              <w:jc w:val="center"/>
              <w:rPr>
                <w:lang w:val="en-GB"/>
              </w:rPr>
            </w:pPr>
            <w:r w:rsidRPr="00B16B81">
              <w:t>17 (7.1%)</w:t>
            </w:r>
          </w:p>
        </w:tc>
        <w:tc>
          <w:tcPr>
            <w:tcW w:w="1567" w:type="dxa"/>
            <w:vAlign w:val="center"/>
          </w:tcPr>
          <w:p w14:paraId="442DE843" w14:textId="77777777" w:rsidR="00576FE1" w:rsidRDefault="00576FE1" w:rsidP="00115CD6">
            <w:pPr>
              <w:pStyle w:val="RRNormal"/>
              <w:spacing w:after="0" w:line="240" w:lineRule="auto"/>
              <w:jc w:val="center"/>
              <w:rPr>
                <w:lang w:val="en-GB"/>
              </w:rPr>
            </w:pPr>
            <w:r w:rsidRPr="00B16B81">
              <w:t>14 (5.8%)</w:t>
            </w:r>
          </w:p>
        </w:tc>
        <w:tc>
          <w:tcPr>
            <w:tcW w:w="1506" w:type="dxa"/>
            <w:vAlign w:val="center"/>
          </w:tcPr>
          <w:p w14:paraId="303427AF" w14:textId="77777777" w:rsidR="00576FE1" w:rsidRDefault="00576FE1" w:rsidP="00115CD6">
            <w:pPr>
              <w:pStyle w:val="RRNormal"/>
              <w:spacing w:after="0" w:line="240" w:lineRule="auto"/>
              <w:jc w:val="center"/>
              <w:rPr>
                <w:lang w:val="en-GB"/>
              </w:rPr>
            </w:pPr>
            <w:r w:rsidRPr="00B16B81">
              <w:t>31 (6.4%)</w:t>
            </w:r>
          </w:p>
        </w:tc>
      </w:tr>
      <w:tr w:rsidR="00576FE1" w14:paraId="07D9AF79" w14:textId="77777777" w:rsidTr="00115CD6">
        <w:trPr>
          <w:trHeight w:val="269"/>
        </w:trPr>
        <w:tc>
          <w:tcPr>
            <w:tcW w:w="4275" w:type="dxa"/>
            <w:vAlign w:val="center"/>
          </w:tcPr>
          <w:p w14:paraId="373A618D" w14:textId="77777777" w:rsidR="00576FE1" w:rsidRDefault="00576FE1" w:rsidP="00115CD6">
            <w:pPr>
              <w:pStyle w:val="RRNormal"/>
              <w:spacing w:after="0" w:line="240" w:lineRule="auto"/>
              <w:ind w:hanging="249"/>
              <w:rPr>
                <w:lang w:val="en-GB"/>
              </w:rPr>
            </w:pPr>
            <w:r w:rsidRPr="00B16B81">
              <w:t xml:space="preserve">    Dysgeusia</w:t>
            </w:r>
          </w:p>
        </w:tc>
        <w:tc>
          <w:tcPr>
            <w:tcW w:w="1710" w:type="dxa"/>
            <w:vAlign w:val="center"/>
          </w:tcPr>
          <w:p w14:paraId="55BD3C55" w14:textId="77777777" w:rsidR="00576FE1" w:rsidRDefault="00576FE1" w:rsidP="00115CD6">
            <w:pPr>
              <w:pStyle w:val="RRNormal"/>
              <w:spacing w:after="0" w:line="240" w:lineRule="auto"/>
              <w:jc w:val="center"/>
              <w:rPr>
                <w:lang w:val="en-GB"/>
              </w:rPr>
            </w:pPr>
            <w:r w:rsidRPr="00B16B81">
              <w:t>13 (5.4%)</w:t>
            </w:r>
          </w:p>
        </w:tc>
        <w:tc>
          <w:tcPr>
            <w:tcW w:w="1567" w:type="dxa"/>
            <w:vAlign w:val="center"/>
          </w:tcPr>
          <w:p w14:paraId="57C0681D" w14:textId="77777777" w:rsidR="00576FE1" w:rsidRDefault="00576FE1" w:rsidP="00115CD6">
            <w:pPr>
              <w:pStyle w:val="RRNormal"/>
              <w:spacing w:after="0" w:line="240" w:lineRule="auto"/>
              <w:jc w:val="center"/>
              <w:rPr>
                <w:lang w:val="en-GB"/>
              </w:rPr>
            </w:pPr>
            <w:r w:rsidRPr="00B16B81">
              <w:t>16 (6.6%)</w:t>
            </w:r>
          </w:p>
        </w:tc>
        <w:tc>
          <w:tcPr>
            <w:tcW w:w="1506" w:type="dxa"/>
            <w:vAlign w:val="center"/>
          </w:tcPr>
          <w:p w14:paraId="0B66F535" w14:textId="77777777" w:rsidR="00576FE1" w:rsidRDefault="00576FE1" w:rsidP="00115CD6">
            <w:pPr>
              <w:pStyle w:val="RRNormal"/>
              <w:spacing w:after="0" w:line="240" w:lineRule="auto"/>
              <w:jc w:val="center"/>
              <w:rPr>
                <w:lang w:val="en-GB"/>
              </w:rPr>
            </w:pPr>
            <w:r w:rsidRPr="00B16B81">
              <w:t>29 (6.0%)</w:t>
            </w:r>
          </w:p>
        </w:tc>
      </w:tr>
      <w:tr w:rsidR="00576FE1" w14:paraId="5B9D70B4" w14:textId="77777777" w:rsidTr="00115CD6">
        <w:trPr>
          <w:trHeight w:val="406"/>
        </w:trPr>
        <w:tc>
          <w:tcPr>
            <w:tcW w:w="4275" w:type="dxa"/>
            <w:vAlign w:val="center"/>
          </w:tcPr>
          <w:p w14:paraId="452D77CB" w14:textId="77777777" w:rsidR="00576FE1" w:rsidRDefault="00576FE1" w:rsidP="00115CD6">
            <w:pPr>
              <w:pStyle w:val="RRNormal"/>
              <w:spacing w:after="0" w:line="240" w:lineRule="auto"/>
              <w:rPr>
                <w:lang w:val="en-GB"/>
              </w:rPr>
            </w:pPr>
            <w:r w:rsidRPr="00B16B81">
              <w:rPr>
                <w:b/>
              </w:rPr>
              <w:t>Vascular disorders</w:t>
            </w:r>
          </w:p>
        </w:tc>
        <w:tc>
          <w:tcPr>
            <w:tcW w:w="1710" w:type="dxa"/>
            <w:vAlign w:val="center"/>
          </w:tcPr>
          <w:p w14:paraId="7C59817B" w14:textId="77777777" w:rsidR="00576FE1" w:rsidRDefault="00576FE1" w:rsidP="00115CD6">
            <w:pPr>
              <w:pStyle w:val="RRNormal"/>
              <w:spacing w:after="0" w:line="240" w:lineRule="auto"/>
              <w:jc w:val="center"/>
              <w:rPr>
                <w:lang w:val="en-GB"/>
              </w:rPr>
            </w:pPr>
            <w:r w:rsidRPr="00B16B81">
              <w:rPr>
                <w:b/>
              </w:rPr>
              <w:t>73 (30.3%)</w:t>
            </w:r>
          </w:p>
        </w:tc>
        <w:tc>
          <w:tcPr>
            <w:tcW w:w="1567" w:type="dxa"/>
            <w:vAlign w:val="center"/>
          </w:tcPr>
          <w:p w14:paraId="10C94A9E" w14:textId="77777777" w:rsidR="00576FE1" w:rsidRDefault="00576FE1" w:rsidP="00115CD6">
            <w:pPr>
              <w:pStyle w:val="RRNormal"/>
              <w:spacing w:after="0" w:line="240" w:lineRule="auto"/>
              <w:jc w:val="center"/>
              <w:rPr>
                <w:lang w:val="en-GB"/>
              </w:rPr>
            </w:pPr>
            <w:r w:rsidRPr="00B16B81">
              <w:rPr>
                <w:b/>
              </w:rPr>
              <w:t>68 (28.1%)</w:t>
            </w:r>
          </w:p>
        </w:tc>
        <w:tc>
          <w:tcPr>
            <w:tcW w:w="1506" w:type="dxa"/>
            <w:vAlign w:val="center"/>
          </w:tcPr>
          <w:p w14:paraId="1540377D" w14:textId="77777777" w:rsidR="00576FE1" w:rsidRDefault="00576FE1" w:rsidP="00115CD6">
            <w:pPr>
              <w:pStyle w:val="RRNormal"/>
              <w:spacing w:after="0" w:line="240" w:lineRule="auto"/>
              <w:jc w:val="center"/>
              <w:rPr>
                <w:lang w:val="en-GB"/>
              </w:rPr>
            </w:pPr>
            <w:r w:rsidRPr="00B16B81">
              <w:rPr>
                <w:b/>
              </w:rPr>
              <w:t>141 (29.2%)</w:t>
            </w:r>
          </w:p>
        </w:tc>
      </w:tr>
      <w:tr w:rsidR="00576FE1" w14:paraId="1F7D78A5" w14:textId="77777777" w:rsidTr="00115CD6">
        <w:trPr>
          <w:trHeight w:val="269"/>
        </w:trPr>
        <w:tc>
          <w:tcPr>
            <w:tcW w:w="4275" w:type="dxa"/>
            <w:vAlign w:val="center"/>
          </w:tcPr>
          <w:p w14:paraId="41F98F5E" w14:textId="77777777" w:rsidR="00576FE1" w:rsidRDefault="00576FE1" w:rsidP="00115CD6">
            <w:pPr>
              <w:pStyle w:val="RRNormal"/>
              <w:spacing w:after="0" w:line="240" w:lineRule="auto"/>
              <w:ind w:hanging="249"/>
              <w:rPr>
                <w:lang w:val="en-GB"/>
              </w:rPr>
            </w:pPr>
            <w:r w:rsidRPr="00B16B81">
              <w:t xml:space="preserve">    Hot flush</w:t>
            </w:r>
          </w:p>
        </w:tc>
        <w:tc>
          <w:tcPr>
            <w:tcW w:w="1710" w:type="dxa"/>
            <w:vAlign w:val="center"/>
          </w:tcPr>
          <w:p w14:paraId="1DFDEB28" w14:textId="77777777" w:rsidR="00576FE1" w:rsidRDefault="00576FE1" w:rsidP="00115CD6">
            <w:pPr>
              <w:pStyle w:val="RRNormal"/>
              <w:spacing w:after="0" w:line="240" w:lineRule="auto"/>
              <w:jc w:val="center"/>
              <w:rPr>
                <w:lang w:val="en-GB"/>
              </w:rPr>
            </w:pPr>
            <w:r w:rsidRPr="00B16B81">
              <w:t>41 (17.0%)</w:t>
            </w:r>
          </w:p>
        </w:tc>
        <w:tc>
          <w:tcPr>
            <w:tcW w:w="1567" w:type="dxa"/>
            <w:vAlign w:val="center"/>
          </w:tcPr>
          <w:p w14:paraId="3133277D" w14:textId="77777777" w:rsidR="00576FE1" w:rsidRDefault="00576FE1" w:rsidP="00115CD6">
            <w:pPr>
              <w:pStyle w:val="RRNormal"/>
              <w:spacing w:after="0" w:line="240" w:lineRule="auto"/>
              <w:jc w:val="center"/>
              <w:rPr>
                <w:lang w:val="en-GB"/>
              </w:rPr>
            </w:pPr>
            <w:r w:rsidRPr="00B16B81">
              <w:t>46 (19.0%)</w:t>
            </w:r>
          </w:p>
        </w:tc>
        <w:tc>
          <w:tcPr>
            <w:tcW w:w="1506" w:type="dxa"/>
            <w:vAlign w:val="center"/>
          </w:tcPr>
          <w:p w14:paraId="127EA49B" w14:textId="77777777" w:rsidR="00576FE1" w:rsidRDefault="00576FE1" w:rsidP="00115CD6">
            <w:pPr>
              <w:pStyle w:val="RRNormal"/>
              <w:spacing w:after="0" w:line="240" w:lineRule="auto"/>
              <w:jc w:val="center"/>
              <w:rPr>
                <w:lang w:val="en-GB"/>
              </w:rPr>
            </w:pPr>
            <w:r w:rsidRPr="00B16B81">
              <w:t>87 (18.0%)</w:t>
            </w:r>
          </w:p>
        </w:tc>
      </w:tr>
      <w:tr w:rsidR="00576FE1" w14:paraId="6EC4953D" w14:textId="77777777" w:rsidTr="00115CD6">
        <w:trPr>
          <w:trHeight w:val="269"/>
        </w:trPr>
        <w:tc>
          <w:tcPr>
            <w:tcW w:w="4275" w:type="dxa"/>
            <w:vAlign w:val="center"/>
          </w:tcPr>
          <w:p w14:paraId="2B8A1D78" w14:textId="77777777" w:rsidR="00576FE1" w:rsidRDefault="00576FE1" w:rsidP="00115CD6">
            <w:pPr>
              <w:pStyle w:val="RRNormal"/>
              <w:spacing w:after="0" w:line="240" w:lineRule="auto"/>
              <w:ind w:hanging="249"/>
              <w:rPr>
                <w:lang w:val="en-GB"/>
              </w:rPr>
            </w:pPr>
            <w:r w:rsidRPr="00B16B81">
              <w:t xml:space="preserve">    Hypertension</w:t>
            </w:r>
          </w:p>
        </w:tc>
        <w:tc>
          <w:tcPr>
            <w:tcW w:w="1710" w:type="dxa"/>
            <w:vAlign w:val="center"/>
          </w:tcPr>
          <w:p w14:paraId="6C996207" w14:textId="77777777" w:rsidR="00576FE1" w:rsidRDefault="00576FE1" w:rsidP="00115CD6">
            <w:pPr>
              <w:pStyle w:val="RRNormal"/>
              <w:spacing w:after="0" w:line="240" w:lineRule="auto"/>
              <w:jc w:val="center"/>
              <w:rPr>
                <w:lang w:val="en-GB"/>
              </w:rPr>
            </w:pPr>
            <w:r w:rsidRPr="00B16B81">
              <w:t>10 (4.1%)</w:t>
            </w:r>
          </w:p>
        </w:tc>
        <w:tc>
          <w:tcPr>
            <w:tcW w:w="1567" w:type="dxa"/>
            <w:vAlign w:val="center"/>
          </w:tcPr>
          <w:p w14:paraId="535293CA" w14:textId="77777777" w:rsidR="00576FE1" w:rsidRDefault="00576FE1" w:rsidP="00115CD6">
            <w:pPr>
              <w:pStyle w:val="RRNormal"/>
              <w:spacing w:after="0" w:line="240" w:lineRule="auto"/>
              <w:jc w:val="center"/>
              <w:rPr>
                <w:lang w:val="en-GB"/>
              </w:rPr>
            </w:pPr>
            <w:r w:rsidRPr="00B16B81">
              <w:t>13 (5.4%)</w:t>
            </w:r>
          </w:p>
        </w:tc>
        <w:tc>
          <w:tcPr>
            <w:tcW w:w="1506" w:type="dxa"/>
            <w:vAlign w:val="center"/>
          </w:tcPr>
          <w:p w14:paraId="21FC7FEE" w14:textId="77777777" w:rsidR="00576FE1" w:rsidRDefault="00576FE1" w:rsidP="00115CD6">
            <w:pPr>
              <w:pStyle w:val="RRNormal"/>
              <w:spacing w:after="0" w:line="240" w:lineRule="auto"/>
              <w:jc w:val="center"/>
              <w:rPr>
                <w:lang w:val="en-GB"/>
              </w:rPr>
            </w:pPr>
            <w:r w:rsidRPr="00B16B81">
              <w:t>23 (4.8%)</w:t>
            </w:r>
          </w:p>
        </w:tc>
      </w:tr>
      <w:tr w:rsidR="00576FE1" w14:paraId="72A4C28A" w14:textId="77777777" w:rsidTr="00115CD6">
        <w:trPr>
          <w:trHeight w:val="419"/>
        </w:trPr>
        <w:tc>
          <w:tcPr>
            <w:tcW w:w="4275" w:type="dxa"/>
            <w:vAlign w:val="center"/>
          </w:tcPr>
          <w:p w14:paraId="069E45D1" w14:textId="77777777" w:rsidR="00576FE1" w:rsidRDefault="00576FE1" w:rsidP="00115CD6">
            <w:pPr>
              <w:pStyle w:val="RRNormal"/>
              <w:spacing w:after="0" w:line="240" w:lineRule="auto"/>
              <w:rPr>
                <w:lang w:val="en-GB"/>
              </w:rPr>
            </w:pPr>
            <w:r w:rsidRPr="00B16B81">
              <w:rPr>
                <w:b/>
              </w:rPr>
              <w:t>Investigations</w:t>
            </w:r>
          </w:p>
        </w:tc>
        <w:tc>
          <w:tcPr>
            <w:tcW w:w="1710" w:type="dxa"/>
            <w:vAlign w:val="center"/>
          </w:tcPr>
          <w:p w14:paraId="00E911C3" w14:textId="77777777" w:rsidR="00576FE1" w:rsidRDefault="00576FE1" w:rsidP="00115CD6">
            <w:pPr>
              <w:pStyle w:val="RRNormal"/>
              <w:spacing w:after="0" w:line="240" w:lineRule="auto"/>
              <w:jc w:val="center"/>
              <w:rPr>
                <w:lang w:val="en-GB"/>
              </w:rPr>
            </w:pPr>
            <w:r w:rsidRPr="00B16B81">
              <w:rPr>
                <w:b/>
              </w:rPr>
              <w:t>59 (24.5%)</w:t>
            </w:r>
          </w:p>
        </w:tc>
        <w:tc>
          <w:tcPr>
            <w:tcW w:w="1567" w:type="dxa"/>
            <w:vAlign w:val="center"/>
          </w:tcPr>
          <w:p w14:paraId="085B071D" w14:textId="77777777" w:rsidR="00576FE1" w:rsidRDefault="00576FE1" w:rsidP="00115CD6">
            <w:pPr>
              <w:pStyle w:val="RRNormal"/>
              <w:spacing w:after="0" w:line="240" w:lineRule="auto"/>
              <w:jc w:val="center"/>
              <w:rPr>
                <w:lang w:val="en-GB"/>
              </w:rPr>
            </w:pPr>
            <w:r w:rsidRPr="00B16B81">
              <w:rPr>
                <w:b/>
              </w:rPr>
              <w:t>69 (28.5%)</w:t>
            </w:r>
          </w:p>
        </w:tc>
        <w:tc>
          <w:tcPr>
            <w:tcW w:w="1506" w:type="dxa"/>
            <w:vAlign w:val="center"/>
          </w:tcPr>
          <w:p w14:paraId="272C8987" w14:textId="77777777" w:rsidR="00576FE1" w:rsidRDefault="00576FE1" w:rsidP="00115CD6">
            <w:pPr>
              <w:pStyle w:val="RRNormal"/>
              <w:spacing w:after="0" w:line="240" w:lineRule="auto"/>
              <w:jc w:val="center"/>
              <w:rPr>
                <w:lang w:val="en-GB"/>
              </w:rPr>
            </w:pPr>
            <w:r w:rsidRPr="00B16B81">
              <w:rPr>
                <w:b/>
              </w:rPr>
              <w:t>128 (26.5%)</w:t>
            </w:r>
          </w:p>
        </w:tc>
      </w:tr>
      <w:tr w:rsidR="00576FE1" w14:paraId="361BB22E" w14:textId="77777777" w:rsidTr="00115CD6">
        <w:trPr>
          <w:trHeight w:val="269"/>
        </w:trPr>
        <w:tc>
          <w:tcPr>
            <w:tcW w:w="4275" w:type="dxa"/>
            <w:vAlign w:val="center"/>
          </w:tcPr>
          <w:p w14:paraId="35C81D0F" w14:textId="77777777" w:rsidR="00576FE1" w:rsidRDefault="00576FE1" w:rsidP="00115CD6">
            <w:pPr>
              <w:pStyle w:val="RRNormal"/>
              <w:spacing w:after="0" w:line="240" w:lineRule="auto"/>
              <w:ind w:hanging="249"/>
              <w:rPr>
                <w:lang w:val="en-GB"/>
              </w:rPr>
            </w:pPr>
            <w:r w:rsidRPr="00B16B81">
              <w:t xml:space="preserve">    Alanine aminotransferase increased</w:t>
            </w:r>
          </w:p>
        </w:tc>
        <w:tc>
          <w:tcPr>
            <w:tcW w:w="1710" w:type="dxa"/>
            <w:vAlign w:val="center"/>
          </w:tcPr>
          <w:p w14:paraId="590FA07D" w14:textId="77777777" w:rsidR="00576FE1" w:rsidRDefault="00576FE1" w:rsidP="00115CD6">
            <w:pPr>
              <w:pStyle w:val="RRNormal"/>
              <w:spacing w:after="0" w:line="240" w:lineRule="auto"/>
              <w:jc w:val="center"/>
              <w:rPr>
                <w:lang w:val="en-GB"/>
              </w:rPr>
            </w:pPr>
            <w:r w:rsidRPr="00B16B81">
              <w:t>13 (5.4%)</w:t>
            </w:r>
          </w:p>
        </w:tc>
        <w:tc>
          <w:tcPr>
            <w:tcW w:w="1567" w:type="dxa"/>
            <w:vAlign w:val="center"/>
          </w:tcPr>
          <w:p w14:paraId="478CC5A9" w14:textId="77777777" w:rsidR="00576FE1" w:rsidRDefault="00576FE1" w:rsidP="00115CD6">
            <w:pPr>
              <w:pStyle w:val="RRNormal"/>
              <w:spacing w:after="0" w:line="240" w:lineRule="auto"/>
              <w:jc w:val="center"/>
              <w:rPr>
                <w:lang w:val="en-GB"/>
              </w:rPr>
            </w:pPr>
            <w:r w:rsidRPr="00B16B81">
              <w:t>16 (6.6%)</w:t>
            </w:r>
          </w:p>
        </w:tc>
        <w:tc>
          <w:tcPr>
            <w:tcW w:w="1506" w:type="dxa"/>
            <w:vAlign w:val="center"/>
          </w:tcPr>
          <w:p w14:paraId="7E87AD99" w14:textId="77777777" w:rsidR="00576FE1" w:rsidRDefault="00576FE1" w:rsidP="00115CD6">
            <w:pPr>
              <w:pStyle w:val="RRNormal"/>
              <w:spacing w:after="0" w:line="240" w:lineRule="auto"/>
              <w:jc w:val="center"/>
              <w:rPr>
                <w:lang w:val="en-GB"/>
              </w:rPr>
            </w:pPr>
            <w:r w:rsidRPr="00B16B81">
              <w:t>29 (6.0%)</w:t>
            </w:r>
          </w:p>
        </w:tc>
      </w:tr>
      <w:tr w:rsidR="00576FE1" w14:paraId="3AD2B9D1" w14:textId="77777777" w:rsidTr="00115CD6">
        <w:trPr>
          <w:trHeight w:val="269"/>
        </w:trPr>
        <w:tc>
          <w:tcPr>
            <w:tcW w:w="4275" w:type="dxa"/>
            <w:vAlign w:val="center"/>
          </w:tcPr>
          <w:p w14:paraId="5F8F6241" w14:textId="77777777" w:rsidR="00576FE1" w:rsidRDefault="00576FE1" w:rsidP="00115CD6">
            <w:pPr>
              <w:pStyle w:val="RRNormal"/>
              <w:spacing w:after="0" w:line="240" w:lineRule="auto"/>
              <w:ind w:hanging="249"/>
              <w:rPr>
                <w:lang w:val="en-GB"/>
              </w:rPr>
            </w:pPr>
            <w:r w:rsidRPr="00B16B81">
              <w:t xml:space="preserve">    Aspartate aminotransferase increased</w:t>
            </w:r>
          </w:p>
        </w:tc>
        <w:tc>
          <w:tcPr>
            <w:tcW w:w="1710" w:type="dxa"/>
            <w:vAlign w:val="center"/>
          </w:tcPr>
          <w:p w14:paraId="1AB945C3" w14:textId="77777777" w:rsidR="00576FE1" w:rsidRDefault="00576FE1" w:rsidP="00115CD6">
            <w:pPr>
              <w:pStyle w:val="RRNormal"/>
              <w:spacing w:after="0" w:line="240" w:lineRule="auto"/>
              <w:jc w:val="center"/>
              <w:rPr>
                <w:lang w:val="en-GB"/>
              </w:rPr>
            </w:pPr>
            <w:r w:rsidRPr="00B16B81">
              <w:t>13 (5.4%)</w:t>
            </w:r>
          </w:p>
        </w:tc>
        <w:tc>
          <w:tcPr>
            <w:tcW w:w="1567" w:type="dxa"/>
            <w:vAlign w:val="center"/>
          </w:tcPr>
          <w:p w14:paraId="50B5FDC4" w14:textId="77777777" w:rsidR="00576FE1" w:rsidRDefault="00576FE1" w:rsidP="00115CD6">
            <w:pPr>
              <w:pStyle w:val="RRNormal"/>
              <w:spacing w:after="0" w:line="240" w:lineRule="auto"/>
              <w:jc w:val="center"/>
              <w:rPr>
                <w:lang w:val="en-GB"/>
              </w:rPr>
            </w:pPr>
            <w:r w:rsidRPr="00B16B81">
              <w:t>15 (6.2%)</w:t>
            </w:r>
          </w:p>
        </w:tc>
        <w:tc>
          <w:tcPr>
            <w:tcW w:w="1506" w:type="dxa"/>
            <w:vAlign w:val="center"/>
          </w:tcPr>
          <w:p w14:paraId="70D51D52" w14:textId="77777777" w:rsidR="00576FE1" w:rsidRDefault="00576FE1" w:rsidP="00115CD6">
            <w:pPr>
              <w:pStyle w:val="RRNormal"/>
              <w:spacing w:after="0" w:line="240" w:lineRule="auto"/>
              <w:jc w:val="center"/>
              <w:rPr>
                <w:lang w:val="en-GB"/>
              </w:rPr>
            </w:pPr>
            <w:r w:rsidRPr="00B16B81">
              <w:t>28 (5.8%)</w:t>
            </w:r>
          </w:p>
        </w:tc>
      </w:tr>
      <w:tr w:rsidR="00576FE1" w14:paraId="0C88D8F6" w14:textId="77777777" w:rsidTr="00115CD6">
        <w:trPr>
          <w:trHeight w:val="269"/>
        </w:trPr>
        <w:tc>
          <w:tcPr>
            <w:tcW w:w="4275" w:type="dxa"/>
            <w:vAlign w:val="center"/>
          </w:tcPr>
          <w:p w14:paraId="412F5779" w14:textId="77777777" w:rsidR="00576FE1" w:rsidRDefault="00576FE1" w:rsidP="00115CD6">
            <w:pPr>
              <w:pStyle w:val="RRNormal"/>
              <w:spacing w:after="0" w:line="240" w:lineRule="auto"/>
              <w:rPr>
                <w:lang w:val="en-GB"/>
              </w:rPr>
            </w:pPr>
            <w:r w:rsidRPr="00B16B81">
              <w:rPr>
                <w:b/>
              </w:rPr>
              <w:t>Metabolism and nutrition disorders</w:t>
            </w:r>
          </w:p>
        </w:tc>
        <w:tc>
          <w:tcPr>
            <w:tcW w:w="1710" w:type="dxa"/>
            <w:vAlign w:val="center"/>
          </w:tcPr>
          <w:p w14:paraId="503BA0E9" w14:textId="77777777" w:rsidR="00576FE1" w:rsidRDefault="00576FE1" w:rsidP="00115CD6">
            <w:pPr>
              <w:pStyle w:val="RRNormal"/>
              <w:spacing w:after="0" w:line="240" w:lineRule="auto"/>
              <w:jc w:val="center"/>
              <w:rPr>
                <w:lang w:val="en-GB"/>
              </w:rPr>
            </w:pPr>
            <w:r w:rsidRPr="00B16B81">
              <w:rPr>
                <w:b/>
              </w:rPr>
              <w:t>49 (20.3%)</w:t>
            </w:r>
          </w:p>
        </w:tc>
        <w:tc>
          <w:tcPr>
            <w:tcW w:w="1567" w:type="dxa"/>
            <w:vAlign w:val="center"/>
          </w:tcPr>
          <w:p w14:paraId="1A98F053" w14:textId="77777777" w:rsidR="00576FE1" w:rsidRDefault="00576FE1" w:rsidP="00115CD6">
            <w:pPr>
              <w:pStyle w:val="RRNormal"/>
              <w:spacing w:after="0" w:line="240" w:lineRule="auto"/>
              <w:jc w:val="center"/>
              <w:rPr>
                <w:lang w:val="en-GB"/>
              </w:rPr>
            </w:pPr>
            <w:r w:rsidRPr="00B16B81">
              <w:rPr>
                <w:b/>
              </w:rPr>
              <w:t>50 (20.7%)</w:t>
            </w:r>
          </w:p>
        </w:tc>
        <w:tc>
          <w:tcPr>
            <w:tcW w:w="1506" w:type="dxa"/>
            <w:vAlign w:val="center"/>
          </w:tcPr>
          <w:p w14:paraId="78486648" w14:textId="77777777" w:rsidR="00576FE1" w:rsidRDefault="00576FE1" w:rsidP="00115CD6">
            <w:pPr>
              <w:pStyle w:val="RRNormal"/>
              <w:spacing w:after="0" w:line="240" w:lineRule="auto"/>
              <w:jc w:val="center"/>
              <w:rPr>
                <w:lang w:val="en-GB"/>
              </w:rPr>
            </w:pPr>
            <w:r w:rsidRPr="00B16B81">
              <w:rPr>
                <w:b/>
              </w:rPr>
              <w:t>99 (20.5%)</w:t>
            </w:r>
          </w:p>
        </w:tc>
      </w:tr>
      <w:tr w:rsidR="00576FE1" w14:paraId="07D79495" w14:textId="77777777" w:rsidTr="00115CD6">
        <w:trPr>
          <w:trHeight w:val="269"/>
        </w:trPr>
        <w:tc>
          <w:tcPr>
            <w:tcW w:w="4275" w:type="dxa"/>
          </w:tcPr>
          <w:p w14:paraId="78F81222" w14:textId="77777777" w:rsidR="00576FE1" w:rsidRDefault="00576FE1" w:rsidP="00115CD6">
            <w:pPr>
              <w:pStyle w:val="RRNormal"/>
              <w:spacing w:after="0" w:line="240" w:lineRule="auto"/>
              <w:ind w:hanging="249"/>
              <w:rPr>
                <w:lang w:val="en-GB"/>
              </w:rPr>
            </w:pPr>
            <w:r w:rsidRPr="00B16B81">
              <w:t xml:space="preserve">    Decreased appetite</w:t>
            </w:r>
          </w:p>
        </w:tc>
        <w:tc>
          <w:tcPr>
            <w:tcW w:w="1710" w:type="dxa"/>
            <w:vAlign w:val="center"/>
          </w:tcPr>
          <w:p w14:paraId="5FDC881A" w14:textId="77777777" w:rsidR="00576FE1" w:rsidRDefault="00576FE1" w:rsidP="00115CD6">
            <w:pPr>
              <w:pStyle w:val="RRNormal"/>
              <w:spacing w:after="0" w:line="240" w:lineRule="auto"/>
              <w:jc w:val="center"/>
              <w:rPr>
                <w:lang w:val="en-GB"/>
              </w:rPr>
            </w:pPr>
            <w:r w:rsidRPr="00B16B81">
              <w:t>34 (14.1%)</w:t>
            </w:r>
          </w:p>
        </w:tc>
        <w:tc>
          <w:tcPr>
            <w:tcW w:w="1567" w:type="dxa"/>
            <w:vAlign w:val="center"/>
          </w:tcPr>
          <w:p w14:paraId="2A5E4110" w14:textId="77777777" w:rsidR="00576FE1" w:rsidRDefault="00576FE1" w:rsidP="00115CD6">
            <w:pPr>
              <w:pStyle w:val="RRNormal"/>
              <w:spacing w:after="0" w:line="240" w:lineRule="auto"/>
              <w:jc w:val="center"/>
              <w:rPr>
                <w:lang w:val="en-GB"/>
              </w:rPr>
            </w:pPr>
            <w:r w:rsidRPr="00B16B81">
              <w:t>33 (13.6%)</w:t>
            </w:r>
          </w:p>
        </w:tc>
        <w:tc>
          <w:tcPr>
            <w:tcW w:w="1506" w:type="dxa"/>
            <w:vAlign w:val="center"/>
          </w:tcPr>
          <w:p w14:paraId="7CF2C0B3" w14:textId="77777777" w:rsidR="00576FE1" w:rsidRDefault="00576FE1" w:rsidP="00115CD6">
            <w:pPr>
              <w:pStyle w:val="RRNormal"/>
              <w:spacing w:after="0" w:line="240" w:lineRule="auto"/>
              <w:jc w:val="center"/>
              <w:rPr>
                <w:lang w:val="en-GB"/>
              </w:rPr>
            </w:pPr>
            <w:r w:rsidRPr="00B16B81">
              <w:t>67 (13.9%)</w:t>
            </w:r>
          </w:p>
        </w:tc>
      </w:tr>
      <w:tr w:rsidR="00576FE1" w14:paraId="1AFA2250" w14:textId="77777777" w:rsidTr="00115CD6">
        <w:trPr>
          <w:trHeight w:val="420"/>
        </w:trPr>
        <w:tc>
          <w:tcPr>
            <w:tcW w:w="4275" w:type="dxa"/>
            <w:vAlign w:val="center"/>
          </w:tcPr>
          <w:p w14:paraId="746BCDDA" w14:textId="77777777" w:rsidR="00576FE1" w:rsidRDefault="00576FE1" w:rsidP="00115CD6">
            <w:pPr>
              <w:pStyle w:val="RRNormal"/>
              <w:spacing w:after="0" w:line="240" w:lineRule="auto"/>
              <w:rPr>
                <w:lang w:val="en-GB"/>
              </w:rPr>
            </w:pPr>
            <w:r w:rsidRPr="00B16B81">
              <w:rPr>
                <w:b/>
              </w:rPr>
              <w:t>Psychiatric disorders</w:t>
            </w:r>
          </w:p>
        </w:tc>
        <w:tc>
          <w:tcPr>
            <w:tcW w:w="1710" w:type="dxa"/>
            <w:vAlign w:val="center"/>
          </w:tcPr>
          <w:p w14:paraId="66C50719" w14:textId="77777777" w:rsidR="00576FE1" w:rsidRDefault="00576FE1" w:rsidP="00115CD6">
            <w:pPr>
              <w:pStyle w:val="RRNormal"/>
              <w:spacing w:after="0" w:line="240" w:lineRule="auto"/>
              <w:jc w:val="center"/>
              <w:rPr>
                <w:lang w:val="en-GB"/>
              </w:rPr>
            </w:pPr>
            <w:r w:rsidRPr="00B16B81">
              <w:rPr>
                <w:b/>
              </w:rPr>
              <w:t>45 (18.7%)</w:t>
            </w:r>
          </w:p>
        </w:tc>
        <w:tc>
          <w:tcPr>
            <w:tcW w:w="1567" w:type="dxa"/>
            <w:vAlign w:val="center"/>
          </w:tcPr>
          <w:p w14:paraId="2FAE414B" w14:textId="77777777" w:rsidR="00576FE1" w:rsidRDefault="00576FE1" w:rsidP="00115CD6">
            <w:pPr>
              <w:pStyle w:val="RRNormal"/>
              <w:spacing w:after="0" w:line="240" w:lineRule="auto"/>
              <w:jc w:val="center"/>
              <w:rPr>
                <w:lang w:val="en-GB"/>
              </w:rPr>
            </w:pPr>
            <w:r w:rsidRPr="00B16B81">
              <w:rPr>
                <w:b/>
              </w:rPr>
              <w:t>52 (21.5%)</w:t>
            </w:r>
          </w:p>
        </w:tc>
        <w:tc>
          <w:tcPr>
            <w:tcW w:w="1506" w:type="dxa"/>
            <w:vAlign w:val="center"/>
          </w:tcPr>
          <w:p w14:paraId="4B0BB3B6" w14:textId="77777777" w:rsidR="00576FE1" w:rsidRDefault="00576FE1" w:rsidP="00115CD6">
            <w:pPr>
              <w:pStyle w:val="RRNormal"/>
              <w:spacing w:after="0" w:line="240" w:lineRule="auto"/>
              <w:jc w:val="center"/>
              <w:rPr>
                <w:lang w:val="en-GB"/>
              </w:rPr>
            </w:pPr>
            <w:r w:rsidRPr="00B16B81">
              <w:rPr>
                <w:b/>
              </w:rPr>
              <w:t>97 (20.1%)</w:t>
            </w:r>
          </w:p>
        </w:tc>
      </w:tr>
      <w:tr w:rsidR="00576FE1" w14:paraId="324FBD9F" w14:textId="77777777" w:rsidTr="00115CD6">
        <w:trPr>
          <w:trHeight w:val="269"/>
        </w:trPr>
        <w:tc>
          <w:tcPr>
            <w:tcW w:w="4275" w:type="dxa"/>
            <w:vAlign w:val="center"/>
          </w:tcPr>
          <w:p w14:paraId="09031EB3" w14:textId="77777777" w:rsidR="00576FE1" w:rsidRDefault="00576FE1" w:rsidP="00115CD6">
            <w:pPr>
              <w:pStyle w:val="RRNormal"/>
              <w:spacing w:after="0" w:line="240" w:lineRule="auto"/>
              <w:ind w:hanging="249"/>
              <w:rPr>
                <w:lang w:val="en-GB"/>
              </w:rPr>
            </w:pPr>
            <w:r w:rsidRPr="00B16B81">
              <w:t xml:space="preserve">    Insomnia</w:t>
            </w:r>
          </w:p>
        </w:tc>
        <w:tc>
          <w:tcPr>
            <w:tcW w:w="1710" w:type="dxa"/>
            <w:vAlign w:val="center"/>
          </w:tcPr>
          <w:p w14:paraId="57BD5F04" w14:textId="77777777" w:rsidR="00576FE1" w:rsidRDefault="00576FE1" w:rsidP="00115CD6">
            <w:pPr>
              <w:pStyle w:val="RRNormal"/>
              <w:spacing w:after="0" w:line="240" w:lineRule="auto"/>
              <w:jc w:val="center"/>
              <w:rPr>
                <w:lang w:val="en-GB"/>
              </w:rPr>
            </w:pPr>
            <w:r w:rsidRPr="00B16B81">
              <w:t>18 (7.5%)</w:t>
            </w:r>
          </w:p>
        </w:tc>
        <w:tc>
          <w:tcPr>
            <w:tcW w:w="1567" w:type="dxa"/>
            <w:vAlign w:val="center"/>
          </w:tcPr>
          <w:p w14:paraId="16F2F9D1" w14:textId="77777777" w:rsidR="00576FE1" w:rsidRDefault="00576FE1" w:rsidP="00115CD6">
            <w:pPr>
              <w:pStyle w:val="RRNormal"/>
              <w:spacing w:after="0" w:line="240" w:lineRule="auto"/>
              <w:jc w:val="center"/>
              <w:rPr>
                <w:lang w:val="en-GB"/>
              </w:rPr>
            </w:pPr>
            <w:r w:rsidRPr="00B16B81">
              <w:t>21 (8.7%)</w:t>
            </w:r>
          </w:p>
        </w:tc>
        <w:tc>
          <w:tcPr>
            <w:tcW w:w="1506" w:type="dxa"/>
            <w:vAlign w:val="center"/>
          </w:tcPr>
          <w:p w14:paraId="026686D8" w14:textId="77777777" w:rsidR="00576FE1" w:rsidRDefault="00576FE1" w:rsidP="00115CD6">
            <w:pPr>
              <w:pStyle w:val="RRNormal"/>
              <w:spacing w:after="0" w:line="240" w:lineRule="auto"/>
              <w:jc w:val="center"/>
              <w:rPr>
                <w:lang w:val="en-GB"/>
              </w:rPr>
            </w:pPr>
            <w:r w:rsidRPr="00B16B81">
              <w:t>39 (8.1%)</w:t>
            </w:r>
          </w:p>
        </w:tc>
      </w:tr>
      <w:tr w:rsidR="00576FE1" w14:paraId="1AC47432" w14:textId="77777777" w:rsidTr="00115CD6">
        <w:trPr>
          <w:trHeight w:val="269"/>
        </w:trPr>
        <w:tc>
          <w:tcPr>
            <w:tcW w:w="4275" w:type="dxa"/>
            <w:vAlign w:val="center"/>
          </w:tcPr>
          <w:p w14:paraId="382A5C99" w14:textId="77777777" w:rsidR="00576FE1" w:rsidRDefault="00576FE1" w:rsidP="00115CD6">
            <w:pPr>
              <w:pStyle w:val="RRNormal"/>
              <w:spacing w:after="0" w:line="240" w:lineRule="auto"/>
              <w:ind w:hanging="249"/>
              <w:rPr>
                <w:lang w:val="en-GB"/>
              </w:rPr>
            </w:pPr>
            <w:r w:rsidRPr="00B16B81">
              <w:t xml:space="preserve">    Anxiety</w:t>
            </w:r>
          </w:p>
        </w:tc>
        <w:tc>
          <w:tcPr>
            <w:tcW w:w="1710" w:type="dxa"/>
            <w:vAlign w:val="center"/>
          </w:tcPr>
          <w:p w14:paraId="4C2F3046" w14:textId="77777777" w:rsidR="00576FE1" w:rsidRDefault="00576FE1" w:rsidP="00115CD6">
            <w:pPr>
              <w:pStyle w:val="RRNormal"/>
              <w:spacing w:after="0" w:line="240" w:lineRule="auto"/>
              <w:jc w:val="center"/>
              <w:rPr>
                <w:lang w:val="en-GB"/>
              </w:rPr>
            </w:pPr>
            <w:r w:rsidRPr="00B16B81">
              <w:t>11 (4.6%)</w:t>
            </w:r>
          </w:p>
        </w:tc>
        <w:tc>
          <w:tcPr>
            <w:tcW w:w="1567" w:type="dxa"/>
            <w:vAlign w:val="center"/>
          </w:tcPr>
          <w:p w14:paraId="495BCD56" w14:textId="77777777" w:rsidR="00576FE1" w:rsidRDefault="00576FE1" w:rsidP="00115CD6">
            <w:pPr>
              <w:pStyle w:val="RRNormal"/>
              <w:spacing w:after="0" w:line="240" w:lineRule="auto"/>
              <w:jc w:val="center"/>
              <w:rPr>
                <w:lang w:val="en-GB"/>
              </w:rPr>
            </w:pPr>
            <w:r w:rsidRPr="00B16B81">
              <w:t>19 (7.9%)</w:t>
            </w:r>
          </w:p>
        </w:tc>
        <w:tc>
          <w:tcPr>
            <w:tcW w:w="1506" w:type="dxa"/>
            <w:vAlign w:val="center"/>
          </w:tcPr>
          <w:p w14:paraId="61E14943" w14:textId="77777777" w:rsidR="00576FE1" w:rsidRDefault="00576FE1" w:rsidP="00115CD6">
            <w:pPr>
              <w:pStyle w:val="RRNormal"/>
              <w:spacing w:after="0" w:line="240" w:lineRule="auto"/>
              <w:jc w:val="center"/>
              <w:rPr>
                <w:lang w:val="en-GB"/>
              </w:rPr>
            </w:pPr>
            <w:r w:rsidRPr="00B16B81">
              <w:t>30 (6.2%)</w:t>
            </w:r>
          </w:p>
        </w:tc>
      </w:tr>
      <w:tr w:rsidR="00576FE1" w14:paraId="206B87D7" w14:textId="77777777" w:rsidTr="00115CD6">
        <w:trPr>
          <w:trHeight w:val="269"/>
        </w:trPr>
        <w:tc>
          <w:tcPr>
            <w:tcW w:w="4275" w:type="dxa"/>
            <w:vAlign w:val="center"/>
          </w:tcPr>
          <w:p w14:paraId="7DAA685E" w14:textId="77777777" w:rsidR="00576FE1" w:rsidRDefault="00576FE1" w:rsidP="00115CD6">
            <w:pPr>
              <w:pStyle w:val="RRNormal"/>
              <w:spacing w:after="0" w:line="240" w:lineRule="auto"/>
              <w:ind w:hanging="249"/>
              <w:rPr>
                <w:lang w:val="en-GB"/>
              </w:rPr>
            </w:pPr>
            <w:r w:rsidRPr="00B16B81">
              <w:t xml:space="preserve">    Depression</w:t>
            </w:r>
          </w:p>
        </w:tc>
        <w:tc>
          <w:tcPr>
            <w:tcW w:w="1710" w:type="dxa"/>
            <w:vAlign w:val="center"/>
          </w:tcPr>
          <w:p w14:paraId="0D72E5EC" w14:textId="77777777" w:rsidR="00576FE1" w:rsidRDefault="00576FE1" w:rsidP="00115CD6">
            <w:pPr>
              <w:pStyle w:val="RRNormal"/>
              <w:spacing w:after="0" w:line="240" w:lineRule="auto"/>
              <w:jc w:val="center"/>
              <w:rPr>
                <w:lang w:val="en-GB"/>
              </w:rPr>
            </w:pPr>
            <w:r w:rsidRPr="00B16B81">
              <w:t>15 (6.2%)</w:t>
            </w:r>
          </w:p>
        </w:tc>
        <w:tc>
          <w:tcPr>
            <w:tcW w:w="1567" w:type="dxa"/>
            <w:vAlign w:val="center"/>
          </w:tcPr>
          <w:p w14:paraId="0BEB474F" w14:textId="77777777" w:rsidR="00576FE1" w:rsidRDefault="00576FE1" w:rsidP="00115CD6">
            <w:pPr>
              <w:pStyle w:val="RRNormal"/>
              <w:spacing w:after="0" w:line="240" w:lineRule="auto"/>
              <w:jc w:val="center"/>
              <w:rPr>
                <w:lang w:val="en-GB"/>
              </w:rPr>
            </w:pPr>
            <w:r w:rsidRPr="00B16B81">
              <w:t>10 (4.1%)</w:t>
            </w:r>
          </w:p>
        </w:tc>
        <w:tc>
          <w:tcPr>
            <w:tcW w:w="1506" w:type="dxa"/>
            <w:vAlign w:val="center"/>
          </w:tcPr>
          <w:p w14:paraId="5C1B5A7E" w14:textId="77777777" w:rsidR="00576FE1" w:rsidRDefault="00576FE1" w:rsidP="00115CD6">
            <w:pPr>
              <w:pStyle w:val="RRNormal"/>
              <w:spacing w:after="0" w:line="240" w:lineRule="auto"/>
              <w:jc w:val="center"/>
              <w:rPr>
                <w:lang w:val="en-GB"/>
              </w:rPr>
            </w:pPr>
            <w:r w:rsidRPr="00B16B81">
              <w:t>25 (5.2%)</w:t>
            </w:r>
          </w:p>
        </w:tc>
      </w:tr>
      <w:tr w:rsidR="00576FE1" w14:paraId="1ED5349C" w14:textId="77777777" w:rsidTr="00115CD6">
        <w:trPr>
          <w:trHeight w:val="412"/>
        </w:trPr>
        <w:tc>
          <w:tcPr>
            <w:tcW w:w="4275" w:type="dxa"/>
            <w:vAlign w:val="center"/>
          </w:tcPr>
          <w:p w14:paraId="58470471" w14:textId="77777777" w:rsidR="00576FE1" w:rsidRDefault="00576FE1" w:rsidP="00115CD6">
            <w:pPr>
              <w:pStyle w:val="RRNormal"/>
              <w:spacing w:after="0" w:line="240" w:lineRule="auto"/>
              <w:rPr>
                <w:lang w:val="en-GB"/>
              </w:rPr>
            </w:pPr>
            <w:r w:rsidRPr="00B16B81">
              <w:rPr>
                <w:b/>
              </w:rPr>
              <w:t>Ear and labyrinth disorders</w:t>
            </w:r>
          </w:p>
        </w:tc>
        <w:tc>
          <w:tcPr>
            <w:tcW w:w="1710" w:type="dxa"/>
            <w:vAlign w:val="center"/>
          </w:tcPr>
          <w:p w14:paraId="37824BE0" w14:textId="77777777" w:rsidR="00576FE1" w:rsidRDefault="00576FE1" w:rsidP="00115CD6">
            <w:pPr>
              <w:pStyle w:val="RRNormal"/>
              <w:spacing w:after="0" w:line="240" w:lineRule="auto"/>
              <w:jc w:val="center"/>
              <w:rPr>
                <w:lang w:val="en-GB"/>
              </w:rPr>
            </w:pPr>
            <w:r w:rsidRPr="00B16B81">
              <w:rPr>
                <w:b/>
              </w:rPr>
              <w:t>19 (7.9%)</w:t>
            </w:r>
          </w:p>
        </w:tc>
        <w:tc>
          <w:tcPr>
            <w:tcW w:w="1567" w:type="dxa"/>
            <w:vAlign w:val="center"/>
          </w:tcPr>
          <w:p w14:paraId="1CA5AEA3" w14:textId="77777777" w:rsidR="00576FE1" w:rsidRDefault="00576FE1" w:rsidP="00115CD6">
            <w:pPr>
              <w:pStyle w:val="RRNormal"/>
              <w:spacing w:after="0" w:line="240" w:lineRule="auto"/>
              <w:jc w:val="center"/>
              <w:rPr>
                <w:lang w:val="en-GB"/>
              </w:rPr>
            </w:pPr>
            <w:r w:rsidRPr="00B16B81">
              <w:rPr>
                <w:b/>
              </w:rPr>
              <w:t>21 (8.7%)</w:t>
            </w:r>
          </w:p>
        </w:tc>
        <w:tc>
          <w:tcPr>
            <w:tcW w:w="1506" w:type="dxa"/>
            <w:vAlign w:val="center"/>
          </w:tcPr>
          <w:p w14:paraId="1B296A06" w14:textId="77777777" w:rsidR="00576FE1" w:rsidRDefault="00576FE1" w:rsidP="00115CD6">
            <w:pPr>
              <w:pStyle w:val="RRNormal"/>
              <w:spacing w:after="0" w:line="240" w:lineRule="auto"/>
              <w:jc w:val="center"/>
              <w:rPr>
                <w:lang w:val="en-GB"/>
              </w:rPr>
            </w:pPr>
            <w:r w:rsidRPr="00B16B81">
              <w:rPr>
                <w:b/>
              </w:rPr>
              <w:t>40 (8.3%)</w:t>
            </w:r>
          </w:p>
        </w:tc>
      </w:tr>
      <w:tr w:rsidR="00576FE1" w14:paraId="66B7CB29" w14:textId="77777777" w:rsidTr="00115CD6">
        <w:trPr>
          <w:trHeight w:val="269"/>
        </w:trPr>
        <w:tc>
          <w:tcPr>
            <w:tcW w:w="4275" w:type="dxa"/>
          </w:tcPr>
          <w:p w14:paraId="745002A2" w14:textId="77777777" w:rsidR="00576FE1" w:rsidRDefault="00576FE1" w:rsidP="00115CD6">
            <w:pPr>
              <w:pStyle w:val="RRNormal"/>
              <w:spacing w:after="0" w:line="240" w:lineRule="auto"/>
              <w:ind w:hanging="249"/>
              <w:rPr>
                <w:lang w:val="en-GB"/>
              </w:rPr>
            </w:pPr>
            <w:r w:rsidRPr="00B16B81">
              <w:t xml:space="preserve">    Vertigo</w:t>
            </w:r>
          </w:p>
        </w:tc>
        <w:tc>
          <w:tcPr>
            <w:tcW w:w="1710" w:type="dxa"/>
            <w:vAlign w:val="center"/>
          </w:tcPr>
          <w:p w14:paraId="3C82095F" w14:textId="77777777" w:rsidR="00576FE1" w:rsidRDefault="00576FE1" w:rsidP="00115CD6">
            <w:pPr>
              <w:pStyle w:val="RRNormal"/>
              <w:spacing w:after="0" w:line="240" w:lineRule="auto"/>
              <w:jc w:val="center"/>
              <w:rPr>
                <w:lang w:val="en-GB"/>
              </w:rPr>
            </w:pPr>
            <w:r w:rsidRPr="00B16B81">
              <w:t>13 (5.4%)</w:t>
            </w:r>
          </w:p>
        </w:tc>
        <w:tc>
          <w:tcPr>
            <w:tcW w:w="1567" w:type="dxa"/>
            <w:vAlign w:val="center"/>
          </w:tcPr>
          <w:p w14:paraId="63AE598D" w14:textId="77777777" w:rsidR="00576FE1" w:rsidRDefault="00576FE1" w:rsidP="00115CD6">
            <w:pPr>
              <w:pStyle w:val="RRNormal"/>
              <w:spacing w:after="0" w:line="240" w:lineRule="auto"/>
              <w:jc w:val="center"/>
              <w:rPr>
                <w:lang w:val="en-GB"/>
              </w:rPr>
            </w:pPr>
            <w:r w:rsidRPr="00B16B81">
              <w:t>10 (4.1%)</w:t>
            </w:r>
          </w:p>
        </w:tc>
        <w:tc>
          <w:tcPr>
            <w:tcW w:w="1506" w:type="dxa"/>
            <w:vAlign w:val="center"/>
          </w:tcPr>
          <w:p w14:paraId="32AE6079" w14:textId="77777777" w:rsidR="00576FE1" w:rsidRDefault="00576FE1" w:rsidP="00115CD6">
            <w:pPr>
              <w:pStyle w:val="RRNormal"/>
              <w:spacing w:after="0" w:line="240" w:lineRule="auto"/>
              <w:jc w:val="center"/>
              <w:rPr>
                <w:lang w:val="en-GB"/>
              </w:rPr>
            </w:pPr>
            <w:r w:rsidRPr="00B16B81">
              <w:t>23 (4.8%)</w:t>
            </w:r>
          </w:p>
        </w:tc>
      </w:tr>
      <w:tr w:rsidR="00576FE1" w:rsidRPr="00AB6D31" w14:paraId="62F63BA2" w14:textId="77777777" w:rsidTr="00115CD6">
        <w:trPr>
          <w:trHeight w:val="72"/>
        </w:trPr>
        <w:tc>
          <w:tcPr>
            <w:tcW w:w="4275" w:type="dxa"/>
          </w:tcPr>
          <w:p w14:paraId="33F9CF7E" w14:textId="77777777" w:rsidR="00576FE1" w:rsidRPr="00AB6D31" w:rsidRDefault="00576FE1" w:rsidP="00115CD6">
            <w:pPr>
              <w:pStyle w:val="RRNormal"/>
              <w:spacing w:after="0" w:line="240" w:lineRule="auto"/>
              <w:ind w:hanging="249"/>
              <w:rPr>
                <w:sz w:val="6"/>
                <w:szCs w:val="6"/>
              </w:rPr>
            </w:pPr>
          </w:p>
        </w:tc>
        <w:tc>
          <w:tcPr>
            <w:tcW w:w="1710" w:type="dxa"/>
            <w:vAlign w:val="center"/>
          </w:tcPr>
          <w:p w14:paraId="1199E852" w14:textId="77777777" w:rsidR="00576FE1" w:rsidRPr="00AB6D31" w:rsidRDefault="00576FE1" w:rsidP="00115CD6">
            <w:pPr>
              <w:pStyle w:val="RRNormal"/>
              <w:spacing w:after="0" w:line="240" w:lineRule="auto"/>
              <w:jc w:val="center"/>
              <w:rPr>
                <w:sz w:val="6"/>
                <w:szCs w:val="6"/>
              </w:rPr>
            </w:pPr>
          </w:p>
        </w:tc>
        <w:tc>
          <w:tcPr>
            <w:tcW w:w="1567" w:type="dxa"/>
            <w:vAlign w:val="center"/>
          </w:tcPr>
          <w:p w14:paraId="58725992" w14:textId="77777777" w:rsidR="00576FE1" w:rsidRPr="00AB6D31" w:rsidRDefault="00576FE1" w:rsidP="00115CD6">
            <w:pPr>
              <w:pStyle w:val="RRNormal"/>
              <w:spacing w:after="0" w:line="240" w:lineRule="auto"/>
              <w:jc w:val="center"/>
              <w:rPr>
                <w:sz w:val="6"/>
                <w:szCs w:val="6"/>
              </w:rPr>
            </w:pPr>
          </w:p>
        </w:tc>
        <w:tc>
          <w:tcPr>
            <w:tcW w:w="1506" w:type="dxa"/>
            <w:vAlign w:val="center"/>
          </w:tcPr>
          <w:p w14:paraId="35E31054" w14:textId="77777777" w:rsidR="00576FE1" w:rsidRPr="00AB6D31" w:rsidRDefault="00576FE1" w:rsidP="00115CD6">
            <w:pPr>
              <w:pStyle w:val="RRNormal"/>
              <w:spacing w:after="0" w:line="240" w:lineRule="auto"/>
              <w:jc w:val="center"/>
              <w:rPr>
                <w:sz w:val="6"/>
                <w:szCs w:val="6"/>
              </w:rPr>
            </w:pPr>
          </w:p>
        </w:tc>
      </w:tr>
    </w:tbl>
    <w:p w14:paraId="1B5A9CE1" w14:textId="6296371A" w:rsidR="00576FE1" w:rsidRPr="001B5966" w:rsidRDefault="00576FE1" w:rsidP="00576FE1">
      <w:pPr>
        <w:pStyle w:val="RRNormal"/>
        <w:rPr>
          <w:lang w:val="en-GB"/>
        </w:rPr>
      </w:pPr>
      <w:r w:rsidRPr="0011227C">
        <w:rPr>
          <w:i/>
          <w:sz w:val="18"/>
          <w:szCs w:val="18"/>
          <w:lang w:val="en-GB"/>
        </w:rPr>
        <w:t>(</w:t>
      </w:r>
      <w:r w:rsidRPr="0011227C">
        <w:rPr>
          <w:i/>
          <w:sz w:val="18"/>
          <w:szCs w:val="18"/>
          <w:u w:val="single"/>
          <w:lang w:val="en-GB"/>
        </w:rPr>
        <w:t>Cross reference</w:t>
      </w:r>
      <w:r w:rsidRPr="0011227C">
        <w:rPr>
          <w:i/>
          <w:sz w:val="18"/>
          <w:szCs w:val="18"/>
          <w:lang w:val="en-GB"/>
        </w:rPr>
        <w:t xml:space="preserve">: </w:t>
      </w:r>
      <w:r>
        <w:rPr>
          <w:i/>
          <w:sz w:val="18"/>
          <w:szCs w:val="18"/>
          <w:lang w:val="en-GB"/>
        </w:rPr>
        <w:t>Table 161</w:t>
      </w:r>
      <w:r w:rsidRPr="0011227C">
        <w:rPr>
          <w:i/>
          <w:sz w:val="18"/>
          <w:szCs w:val="18"/>
          <w:lang w:val="en-GB"/>
        </w:rPr>
        <w:t xml:space="preserve"> of Final Analysis Statistical Report dated </w:t>
      </w:r>
      <w:r w:rsidR="001B1571">
        <w:rPr>
          <w:i/>
          <w:sz w:val="18"/>
          <w:szCs w:val="18"/>
          <w:lang w:val="en-GB"/>
        </w:rPr>
        <w:t>4</w:t>
      </w:r>
      <w:r w:rsidR="001B1571" w:rsidRPr="001B1571">
        <w:rPr>
          <w:i/>
          <w:sz w:val="18"/>
          <w:szCs w:val="18"/>
          <w:vertAlign w:val="superscript"/>
          <w:lang w:val="en-GB"/>
        </w:rPr>
        <w:t>th</w:t>
      </w:r>
      <w:r w:rsidR="001B1571">
        <w:rPr>
          <w:i/>
          <w:sz w:val="18"/>
          <w:szCs w:val="18"/>
          <w:lang w:val="en-GB"/>
        </w:rPr>
        <w:t xml:space="preserve"> September</w:t>
      </w:r>
      <w:r w:rsidRPr="0011227C">
        <w:rPr>
          <w:i/>
          <w:sz w:val="18"/>
          <w:szCs w:val="18"/>
          <w:lang w:val="en-GB"/>
        </w:rPr>
        <w:t xml:space="preserve"> 2020).</w:t>
      </w:r>
    </w:p>
    <w:p w14:paraId="7E413435" w14:textId="77777777" w:rsidR="00576FE1" w:rsidRDefault="00576FE1" w:rsidP="00576FE1">
      <w:pPr>
        <w:rPr>
          <w:rFonts w:ascii="Tahoma" w:hAnsi="Tahoma" w:cs="Tahoma"/>
          <w:color w:val="000000"/>
          <w:lang w:val="en-GB"/>
        </w:rPr>
      </w:pPr>
    </w:p>
    <w:p w14:paraId="267CD89B" w14:textId="77777777" w:rsidR="00576FE1" w:rsidRDefault="00576FE1" w:rsidP="00576FE1">
      <w:pPr>
        <w:rPr>
          <w:rFonts w:ascii="Tahoma" w:hAnsi="Tahoma" w:cs="Tahoma"/>
          <w:color w:val="000000"/>
          <w:lang w:val="en-GB"/>
        </w:rPr>
      </w:pPr>
    </w:p>
    <w:p w14:paraId="1E8E75D2" w14:textId="77777777" w:rsidR="00576FE1" w:rsidRDefault="00576FE1" w:rsidP="00576FE1">
      <w:pPr>
        <w:rPr>
          <w:rFonts w:ascii="Tahoma" w:hAnsi="Tahoma" w:cs="Tahoma"/>
          <w:color w:val="000000"/>
          <w:lang w:val="en-GB"/>
        </w:rPr>
      </w:pPr>
    </w:p>
    <w:p w14:paraId="5A4AC604" w14:textId="77777777" w:rsidR="00576FE1" w:rsidRPr="0011227C" w:rsidRDefault="00576FE1" w:rsidP="00576FE1">
      <w:pPr>
        <w:keepNext/>
        <w:rPr>
          <w:lang w:val="en-GB"/>
        </w:rPr>
      </w:pPr>
    </w:p>
    <w:p w14:paraId="019B614C" w14:textId="77777777" w:rsidR="00576FE1" w:rsidRPr="003E3A66" w:rsidRDefault="00576FE1" w:rsidP="00576FE1">
      <w:pPr>
        <w:keepNext/>
        <w:adjustRightInd w:val="0"/>
        <w:rPr>
          <w:lang w:val="en-GB"/>
        </w:rPr>
        <w:sectPr w:rsidR="00576FE1" w:rsidRPr="003E3A66" w:rsidSect="00B80F8B">
          <w:pgSz w:w="11906" w:h="16838"/>
          <w:pgMar w:top="1418" w:right="1701" w:bottom="1134" w:left="1701" w:header="708" w:footer="708" w:gutter="0"/>
          <w:cols w:space="708"/>
          <w:docGrid w:linePitch="360"/>
        </w:sectPr>
      </w:pPr>
    </w:p>
    <w:p w14:paraId="0D560505" w14:textId="5ACF365E" w:rsidR="00576FE1" w:rsidRDefault="00576FE1" w:rsidP="002221CF">
      <w:pPr>
        <w:pStyle w:val="Descripcin"/>
        <w:keepNext/>
        <w:outlineLvl w:val="0"/>
      </w:pPr>
      <w:bookmarkStart w:id="673" w:name="_Ref52424973"/>
      <w:bookmarkStart w:id="674" w:name="_Toc52046492"/>
      <w:bookmarkStart w:id="675" w:name="_Toc52446215"/>
      <w:bookmarkStart w:id="676" w:name="_Toc52468172"/>
      <w:r>
        <w:lastRenderedPageBreak/>
        <w:t xml:space="preserve">Table </w:t>
      </w:r>
      <w:r>
        <w:fldChar w:fldCharType="begin"/>
      </w:r>
      <w:r>
        <w:instrText xml:space="preserve"> SEQ Table \* ARABIC </w:instrText>
      </w:r>
      <w:r>
        <w:fldChar w:fldCharType="separate"/>
      </w:r>
      <w:r w:rsidR="002221CF">
        <w:rPr>
          <w:noProof/>
        </w:rPr>
        <w:t>14</w:t>
      </w:r>
      <w:r>
        <w:fldChar w:fldCharType="end"/>
      </w:r>
      <w:bookmarkEnd w:id="673"/>
      <w:r>
        <w:t xml:space="preserve">. </w:t>
      </w:r>
      <w:r w:rsidRPr="00075F37">
        <w:t>Toxicity summary for IMP-related TEAEs reported for &gt;2% of patients in any study group (Safety population).</w:t>
      </w:r>
      <w:bookmarkEnd w:id="674"/>
      <w:bookmarkEnd w:id="675"/>
      <w:bookmarkEnd w:id="676"/>
    </w:p>
    <w:tbl>
      <w:tblPr>
        <w:tblStyle w:val="Tablaconcuadrcula"/>
        <w:tblW w:w="949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1648"/>
        <w:gridCol w:w="1612"/>
        <w:gridCol w:w="1560"/>
      </w:tblGrid>
      <w:tr w:rsidR="00576FE1" w:rsidRPr="00157FC3" w14:paraId="322162B2" w14:textId="77777777" w:rsidTr="00115CD6">
        <w:trPr>
          <w:trHeight w:val="747"/>
          <w:tblHeader/>
        </w:trPr>
        <w:tc>
          <w:tcPr>
            <w:tcW w:w="4678" w:type="dxa"/>
            <w:tcBorders>
              <w:top w:val="single" w:sz="4" w:space="0" w:color="auto"/>
              <w:bottom w:val="single" w:sz="4" w:space="0" w:color="auto"/>
            </w:tcBorders>
            <w:vAlign w:val="center"/>
          </w:tcPr>
          <w:p w14:paraId="380B3947" w14:textId="77777777" w:rsidR="00576FE1" w:rsidRPr="00157FC3" w:rsidRDefault="00576FE1" w:rsidP="00115CD6">
            <w:pPr>
              <w:keepNext/>
              <w:adjustRightInd w:val="0"/>
              <w:spacing w:after="0" w:line="240" w:lineRule="auto"/>
              <w:rPr>
                <w:b/>
                <w:bCs/>
                <w:color w:val="000000"/>
                <w:lang w:val="en-GB"/>
              </w:rPr>
            </w:pPr>
            <w:r w:rsidRPr="00157FC3">
              <w:rPr>
                <w:b/>
                <w:bCs/>
                <w:color w:val="000000"/>
                <w:lang w:val="en-GB"/>
              </w:rPr>
              <w:t>SOC / PT</w:t>
            </w:r>
          </w:p>
          <w:p w14:paraId="21A135EE" w14:textId="77777777" w:rsidR="00576FE1" w:rsidRPr="00157FC3" w:rsidRDefault="00576FE1" w:rsidP="00115CD6">
            <w:pPr>
              <w:spacing w:after="0" w:line="240" w:lineRule="auto"/>
            </w:pPr>
            <w:r w:rsidRPr="00157FC3">
              <w:rPr>
                <w:bCs/>
                <w:color w:val="000000"/>
                <w:lang w:val="en-GB"/>
              </w:rPr>
              <w:t>N (%)</w:t>
            </w:r>
          </w:p>
        </w:tc>
        <w:tc>
          <w:tcPr>
            <w:tcW w:w="1648" w:type="dxa"/>
            <w:tcBorders>
              <w:top w:val="single" w:sz="4" w:space="0" w:color="auto"/>
              <w:bottom w:val="single" w:sz="4" w:space="0" w:color="auto"/>
            </w:tcBorders>
            <w:vAlign w:val="center"/>
          </w:tcPr>
          <w:p w14:paraId="409EBCD5" w14:textId="77777777" w:rsidR="00576FE1" w:rsidRPr="00157FC3" w:rsidRDefault="00576FE1" w:rsidP="00115CD6">
            <w:pPr>
              <w:keepNext/>
              <w:adjustRightInd w:val="0"/>
              <w:spacing w:after="0" w:line="240" w:lineRule="auto"/>
              <w:jc w:val="center"/>
              <w:rPr>
                <w:b/>
                <w:bCs/>
                <w:color w:val="000000"/>
              </w:rPr>
            </w:pPr>
            <w:r w:rsidRPr="00157FC3">
              <w:rPr>
                <w:b/>
                <w:bCs/>
                <w:color w:val="000000"/>
              </w:rPr>
              <w:t>Palbociclib-</w:t>
            </w:r>
          </w:p>
          <w:p w14:paraId="24BF1B43" w14:textId="77777777" w:rsidR="00576FE1" w:rsidRPr="00157FC3" w:rsidRDefault="00576FE1" w:rsidP="00115CD6">
            <w:pPr>
              <w:keepNext/>
              <w:adjustRightInd w:val="0"/>
              <w:spacing w:after="0" w:line="240" w:lineRule="auto"/>
              <w:jc w:val="center"/>
              <w:rPr>
                <w:b/>
                <w:bCs/>
                <w:color w:val="000000"/>
              </w:rPr>
            </w:pPr>
            <w:proofErr w:type="spellStart"/>
            <w:r w:rsidRPr="00157FC3">
              <w:rPr>
                <w:b/>
                <w:bCs/>
                <w:color w:val="000000"/>
              </w:rPr>
              <w:t>Fulvestrant</w:t>
            </w:r>
            <w:proofErr w:type="spellEnd"/>
          </w:p>
          <w:p w14:paraId="528591AF" w14:textId="77777777" w:rsidR="00576FE1" w:rsidRPr="00157FC3" w:rsidRDefault="00576FE1" w:rsidP="00115CD6">
            <w:pPr>
              <w:spacing w:after="0" w:line="240" w:lineRule="auto"/>
              <w:jc w:val="center"/>
            </w:pPr>
            <w:r w:rsidRPr="00157FC3">
              <w:rPr>
                <w:bCs/>
                <w:color w:val="000000"/>
              </w:rPr>
              <w:t>(N=241)</w:t>
            </w:r>
          </w:p>
        </w:tc>
        <w:tc>
          <w:tcPr>
            <w:tcW w:w="1612" w:type="dxa"/>
            <w:tcBorders>
              <w:top w:val="single" w:sz="4" w:space="0" w:color="auto"/>
              <w:bottom w:val="single" w:sz="4" w:space="0" w:color="auto"/>
            </w:tcBorders>
            <w:vAlign w:val="center"/>
          </w:tcPr>
          <w:p w14:paraId="6932D730" w14:textId="77777777" w:rsidR="00576FE1" w:rsidRPr="00157FC3" w:rsidRDefault="00576FE1" w:rsidP="00115CD6">
            <w:pPr>
              <w:keepNext/>
              <w:adjustRightInd w:val="0"/>
              <w:spacing w:after="0" w:line="240" w:lineRule="auto"/>
              <w:jc w:val="center"/>
              <w:rPr>
                <w:b/>
                <w:bCs/>
                <w:color w:val="000000"/>
              </w:rPr>
            </w:pPr>
            <w:r w:rsidRPr="00157FC3">
              <w:rPr>
                <w:b/>
                <w:bCs/>
                <w:color w:val="000000"/>
              </w:rPr>
              <w:t>Palbociclib-</w:t>
            </w:r>
          </w:p>
          <w:p w14:paraId="5E764CDD" w14:textId="77777777" w:rsidR="00576FE1" w:rsidRPr="00157FC3" w:rsidRDefault="00576FE1" w:rsidP="00115CD6">
            <w:pPr>
              <w:keepNext/>
              <w:adjustRightInd w:val="0"/>
              <w:spacing w:after="0" w:line="240" w:lineRule="auto"/>
              <w:jc w:val="center"/>
              <w:rPr>
                <w:b/>
                <w:bCs/>
                <w:color w:val="000000"/>
              </w:rPr>
            </w:pPr>
            <w:r w:rsidRPr="00157FC3">
              <w:rPr>
                <w:b/>
                <w:bCs/>
                <w:color w:val="000000"/>
              </w:rPr>
              <w:t>Letrozole</w:t>
            </w:r>
          </w:p>
          <w:p w14:paraId="7B6FA0DC" w14:textId="77777777" w:rsidR="00576FE1" w:rsidRPr="00157FC3" w:rsidRDefault="00576FE1" w:rsidP="00115CD6">
            <w:pPr>
              <w:spacing w:after="0" w:line="240" w:lineRule="auto"/>
              <w:jc w:val="center"/>
            </w:pPr>
            <w:r w:rsidRPr="00157FC3">
              <w:rPr>
                <w:bCs/>
                <w:color w:val="000000"/>
              </w:rPr>
              <w:t>(N=242)</w:t>
            </w:r>
          </w:p>
        </w:tc>
        <w:tc>
          <w:tcPr>
            <w:tcW w:w="1560" w:type="dxa"/>
            <w:tcBorders>
              <w:top w:val="single" w:sz="4" w:space="0" w:color="auto"/>
              <w:bottom w:val="single" w:sz="4" w:space="0" w:color="auto"/>
            </w:tcBorders>
            <w:vAlign w:val="center"/>
          </w:tcPr>
          <w:p w14:paraId="047B0B51" w14:textId="77777777" w:rsidR="00576FE1" w:rsidRPr="00157FC3" w:rsidRDefault="00576FE1" w:rsidP="00115CD6">
            <w:pPr>
              <w:keepNext/>
              <w:adjustRightInd w:val="0"/>
              <w:spacing w:after="0" w:line="240" w:lineRule="auto"/>
              <w:jc w:val="center"/>
              <w:rPr>
                <w:b/>
                <w:bCs/>
                <w:color w:val="000000"/>
              </w:rPr>
            </w:pPr>
            <w:r w:rsidRPr="00157FC3">
              <w:rPr>
                <w:b/>
                <w:bCs/>
                <w:color w:val="000000"/>
              </w:rPr>
              <w:t>Overall</w:t>
            </w:r>
          </w:p>
          <w:p w14:paraId="7F6DCB68" w14:textId="77777777" w:rsidR="00576FE1" w:rsidRPr="00157FC3" w:rsidRDefault="00576FE1" w:rsidP="00115CD6">
            <w:pPr>
              <w:spacing w:after="0" w:line="240" w:lineRule="auto"/>
              <w:jc w:val="center"/>
            </w:pPr>
            <w:r w:rsidRPr="00157FC3">
              <w:rPr>
                <w:bCs/>
                <w:color w:val="000000"/>
              </w:rPr>
              <w:t>(N=483)</w:t>
            </w:r>
          </w:p>
        </w:tc>
      </w:tr>
      <w:tr w:rsidR="00576FE1" w:rsidRPr="00157FC3" w14:paraId="4E4714DD" w14:textId="77777777" w:rsidTr="00115CD6">
        <w:trPr>
          <w:trHeight w:val="573"/>
        </w:trPr>
        <w:tc>
          <w:tcPr>
            <w:tcW w:w="4678" w:type="dxa"/>
            <w:tcBorders>
              <w:top w:val="single" w:sz="4" w:space="0" w:color="auto"/>
            </w:tcBorders>
            <w:vAlign w:val="center"/>
          </w:tcPr>
          <w:p w14:paraId="45D421B4" w14:textId="77777777" w:rsidR="00576FE1" w:rsidRPr="00157FC3" w:rsidRDefault="00576FE1" w:rsidP="00115CD6">
            <w:pPr>
              <w:spacing w:after="0" w:line="240" w:lineRule="auto"/>
            </w:pPr>
            <w:r w:rsidRPr="00157FC3">
              <w:rPr>
                <w:b/>
                <w:color w:val="000000"/>
                <w:lang w:val="en-GB"/>
              </w:rPr>
              <w:t>Blood and lymphatic system disorders</w:t>
            </w:r>
          </w:p>
        </w:tc>
        <w:tc>
          <w:tcPr>
            <w:tcW w:w="1648" w:type="dxa"/>
            <w:tcBorders>
              <w:top w:val="single" w:sz="4" w:space="0" w:color="auto"/>
            </w:tcBorders>
            <w:vAlign w:val="center"/>
          </w:tcPr>
          <w:p w14:paraId="761DC477" w14:textId="77777777" w:rsidR="00576FE1" w:rsidRPr="00157FC3" w:rsidRDefault="00576FE1" w:rsidP="00115CD6">
            <w:pPr>
              <w:spacing w:after="0" w:line="240" w:lineRule="auto"/>
              <w:jc w:val="center"/>
            </w:pPr>
            <w:r w:rsidRPr="00157FC3">
              <w:rPr>
                <w:b/>
                <w:color w:val="000000"/>
              </w:rPr>
              <w:t>204 (84.6%)</w:t>
            </w:r>
          </w:p>
        </w:tc>
        <w:tc>
          <w:tcPr>
            <w:tcW w:w="1612" w:type="dxa"/>
            <w:tcBorders>
              <w:top w:val="single" w:sz="4" w:space="0" w:color="auto"/>
            </w:tcBorders>
            <w:vAlign w:val="center"/>
          </w:tcPr>
          <w:p w14:paraId="6F06ED68" w14:textId="77777777" w:rsidR="00576FE1" w:rsidRPr="00157FC3" w:rsidRDefault="00576FE1" w:rsidP="00115CD6">
            <w:pPr>
              <w:spacing w:after="0" w:line="240" w:lineRule="auto"/>
              <w:jc w:val="center"/>
            </w:pPr>
            <w:r w:rsidRPr="00157FC3">
              <w:rPr>
                <w:b/>
                <w:color w:val="000000"/>
              </w:rPr>
              <w:t>208 (86.0%)</w:t>
            </w:r>
          </w:p>
        </w:tc>
        <w:tc>
          <w:tcPr>
            <w:tcW w:w="1560" w:type="dxa"/>
            <w:tcBorders>
              <w:top w:val="single" w:sz="4" w:space="0" w:color="auto"/>
            </w:tcBorders>
            <w:vAlign w:val="center"/>
          </w:tcPr>
          <w:p w14:paraId="77CEA970" w14:textId="77777777" w:rsidR="00576FE1" w:rsidRPr="00157FC3" w:rsidRDefault="00576FE1" w:rsidP="00115CD6">
            <w:pPr>
              <w:spacing w:after="0" w:line="240" w:lineRule="auto"/>
              <w:jc w:val="center"/>
            </w:pPr>
            <w:r w:rsidRPr="00157FC3">
              <w:rPr>
                <w:b/>
                <w:color w:val="000000"/>
              </w:rPr>
              <w:t>412 (85.3%)</w:t>
            </w:r>
          </w:p>
        </w:tc>
      </w:tr>
      <w:tr w:rsidR="00576FE1" w:rsidRPr="00157FC3" w14:paraId="41226DB3" w14:textId="77777777" w:rsidTr="00115CD6">
        <w:trPr>
          <w:trHeight w:val="223"/>
        </w:trPr>
        <w:tc>
          <w:tcPr>
            <w:tcW w:w="4678" w:type="dxa"/>
            <w:vAlign w:val="center"/>
          </w:tcPr>
          <w:p w14:paraId="17F840C6" w14:textId="77777777" w:rsidR="00576FE1" w:rsidRPr="00157FC3" w:rsidRDefault="00576FE1" w:rsidP="00115CD6">
            <w:pPr>
              <w:spacing w:after="0" w:line="240" w:lineRule="auto"/>
              <w:ind w:hanging="249"/>
            </w:pPr>
            <w:r w:rsidRPr="00157FC3">
              <w:rPr>
                <w:color w:val="000000"/>
              </w:rPr>
              <w:t xml:space="preserve">    Neutropenia</w:t>
            </w:r>
          </w:p>
        </w:tc>
        <w:tc>
          <w:tcPr>
            <w:tcW w:w="1648" w:type="dxa"/>
            <w:vAlign w:val="center"/>
          </w:tcPr>
          <w:p w14:paraId="29D9A148" w14:textId="77777777" w:rsidR="00576FE1" w:rsidRPr="00157FC3" w:rsidRDefault="00576FE1" w:rsidP="00115CD6">
            <w:pPr>
              <w:spacing w:after="0" w:line="240" w:lineRule="auto"/>
              <w:jc w:val="center"/>
            </w:pPr>
            <w:r w:rsidRPr="00157FC3">
              <w:rPr>
                <w:color w:val="000000"/>
              </w:rPr>
              <w:t>195 (80.9%)</w:t>
            </w:r>
          </w:p>
        </w:tc>
        <w:tc>
          <w:tcPr>
            <w:tcW w:w="1612" w:type="dxa"/>
            <w:vAlign w:val="center"/>
          </w:tcPr>
          <w:p w14:paraId="1D0D0739" w14:textId="77777777" w:rsidR="00576FE1" w:rsidRPr="00157FC3" w:rsidRDefault="00576FE1" w:rsidP="00115CD6">
            <w:pPr>
              <w:spacing w:after="0" w:line="240" w:lineRule="auto"/>
              <w:jc w:val="center"/>
            </w:pPr>
            <w:r w:rsidRPr="00157FC3">
              <w:rPr>
                <w:color w:val="000000"/>
              </w:rPr>
              <w:t>203 (83.9%)</w:t>
            </w:r>
          </w:p>
        </w:tc>
        <w:tc>
          <w:tcPr>
            <w:tcW w:w="1560" w:type="dxa"/>
            <w:vAlign w:val="center"/>
          </w:tcPr>
          <w:p w14:paraId="17DAD4CD" w14:textId="77777777" w:rsidR="00576FE1" w:rsidRPr="00157FC3" w:rsidRDefault="00576FE1" w:rsidP="00115CD6">
            <w:pPr>
              <w:spacing w:after="0" w:line="240" w:lineRule="auto"/>
              <w:jc w:val="center"/>
            </w:pPr>
            <w:r w:rsidRPr="00157FC3">
              <w:rPr>
                <w:color w:val="000000"/>
              </w:rPr>
              <w:t>398 (82.4%)</w:t>
            </w:r>
          </w:p>
        </w:tc>
      </w:tr>
      <w:tr w:rsidR="00576FE1" w:rsidRPr="00157FC3" w14:paraId="42A235C7" w14:textId="77777777" w:rsidTr="00115CD6">
        <w:trPr>
          <w:trHeight w:val="223"/>
        </w:trPr>
        <w:tc>
          <w:tcPr>
            <w:tcW w:w="4678" w:type="dxa"/>
            <w:vAlign w:val="center"/>
          </w:tcPr>
          <w:p w14:paraId="60D752D4" w14:textId="77777777" w:rsidR="00576FE1" w:rsidRPr="00157FC3" w:rsidRDefault="00576FE1" w:rsidP="00115CD6">
            <w:pPr>
              <w:spacing w:after="0" w:line="240" w:lineRule="auto"/>
              <w:ind w:hanging="249"/>
            </w:pPr>
            <w:r w:rsidRPr="00157FC3">
              <w:rPr>
                <w:color w:val="000000"/>
              </w:rPr>
              <w:t xml:space="preserve">    Leukopenia</w:t>
            </w:r>
          </w:p>
        </w:tc>
        <w:tc>
          <w:tcPr>
            <w:tcW w:w="1648" w:type="dxa"/>
            <w:vAlign w:val="center"/>
          </w:tcPr>
          <w:p w14:paraId="3F9170F2" w14:textId="77777777" w:rsidR="00576FE1" w:rsidRPr="00157FC3" w:rsidRDefault="00576FE1" w:rsidP="00115CD6">
            <w:pPr>
              <w:spacing w:after="0" w:line="240" w:lineRule="auto"/>
              <w:jc w:val="center"/>
            </w:pPr>
            <w:r w:rsidRPr="00157FC3">
              <w:rPr>
                <w:color w:val="000000"/>
              </w:rPr>
              <w:t>52 (21.6%)</w:t>
            </w:r>
          </w:p>
        </w:tc>
        <w:tc>
          <w:tcPr>
            <w:tcW w:w="1612" w:type="dxa"/>
            <w:vAlign w:val="center"/>
          </w:tcPr>
          <w:p w14:paraId="49A6DD43" w14:textId="77777777" w:rsidR="00576FE1" w:rsidRPr="00157FC3" w:rsidRDefault="00576FE1" w:rsidP="00115CD6">
            <w:pPr>
              <w:spacing w:after="0" w:line="240" w:lineRule="auto"/>
              <w:jc w:val="center"/>
            </w:pPr>
            <w:r w:rsidRPr="00157FC3">
              <w:rPr>
                <w:color w:val="000000"/>
              </w:rPr>
              <w:t>53 (21.9%)</w:t>
            </w:r>
          </w:p>
        </w:tc>
        <w:tc>
          <w:tcPr>
            <w:tcW w:w="1560" w:type="dxa"/>
            <w:vAlign w:val="center"/>
          </w:tcPr>
          <w:p w14:paraId="21833C04" w14:textId="77777777" w:rsidR="00576FE1" w:rsidRPr="00157FC3" w:rsidRDefault="00576FE1" w:rsidP="00115CD6">
            <w:pPr>
              <w:spacing w:after="0" w:line="240" w:lineRule="auto"/>
              <w:jc w:val="center"/>
            </w:pPr>
            <w:r w:rsidRPr="00157FC3">
              <w:rPr>
                <w:color w:val="000000"/>
              </w:rPr>
              <w:t>105 (21.7%)</w:t>
            </w:r>
          </w:p>
        </w:tc>
      </w:tr>
      <w:tr w:rsidR="00576FE1" w:rsidRPr="00157FC3" w14:paraId="594D5044" w14:textId="77777777" w:rsidTr="00115CD6">
        <w:trPr>
          <w:trHeight w:val="223"/>
        </w:trPr>
        <w:tc>
          <w:tcPr>
            <w:tcW w:w="4678" w:type="dxa"/>
            <w:vAlign w:val="center"/>
          </w:tcPr>
          <w:p w14:paraId="63F5E257" w14:textId="77777777" w:rsidR="00576FE1" w:rsidRPr="00157FC3" w:rsidRDefault="00576FE1" w:rsidP="00115CD6">
            <w:pPr>
              <w:spacing w:after="0" w:line="240" w:lineRule="auto"/>
              <w:ind w:hanging="249"/>
            </w:pPr>
            <w:r w:rsidRPr="00157FC3">
              <w:rPr>
                <w:color w:val="000000"/>
              </w:rPr>
              <w:t xml:space="preserve">    </w:t>
            </w:r>
            <w:proofErr w:type="spellStart"/>
            <w:r w:rsidRPr="00157FC3">
              <w:rPr>
                <w:color w:val="000000"/>
              </w:rPr>
              <w:t>Anaemia</w:t>
            </w:r>
            <w:proofErr w:type="spellEnd"/>
          </w:p>
        </w:tc>
        <w:tc>
          <w:tcPr>
            <w:tcW w:w="1648" w:type="dxa"/>
            <w:vAlign w:val="center"/>
          </w:tcPr>
          <w:p w14:paraId="6AF915A5" w14:textId="77777777" w:rsidR="00576FE1" w:rsidRPr="00157FC3" w:rsidRDefault="00576FE1" w:rsidP="00115CD6">
            <w:pPr>
              <w:spacing w:after="0" w:line="240" w:lineRule="auto"/>
              <w:jc w:val="center"/>
            </w:pPr>
            <w:r w:rsidRPr="00157FC3">
              <w:rPr>
                <w:color w:val="000000"/>
              </w:rPr>
              <w:t>42 (17.4%)</w:t>
            </w:r>
          </w:p>
        </w:tc>
        <w:tc>
          <w:tcPr>
            <w:tcW w:w="1612" w:type="dxa"/>
            <w:vAlign w:val="center"/>
          </w:tcPr>
          <w:p w14:paraId="70C04650" w14:textId="77777777" w:rsidR="00576FE1" w:rsidRPr="00157FC3" w:rsidRDefault="00576FE1" w:rsidP="00115CD6">
            <w:pPr>
              <w:spacing w:after="0" w:line="240" w:lineRule="auto"/>
              <w:jc w:val="center"/>
            </w:pPr>
            <w:r w:rsidRPr="00157FC3">
              <w:rPr>
                <w:color w:val="000000"/>
              </w:rPr>
              <w:t>52 (21.5%)</w:t>
            </w:r>
          </w:p>
        </w:tc>
        <w:tc>
          <w:tcPr>
            <w:tcW w:w="1560" w:type="dxa"/>
            <w:vAlign w:val="center"/>
          </w:tcPr>
          <w:p w14:paraId="1B565025" w14:textId="77777777" w:rsidR="00576FE1" w:rsidRPr="00157FC3" w:rsidRDefault="00576FE1" w:rsidP="00115CD6">
            <w:pPr>
              <w:spacing w:after="0" w:line="240" w:lineRule="auto"/>
              <w:jc w:val="center"/>
            </w:pPr>
            <w:r w:rsidRPr="00157FC3">
              <w:rPr>
                <w:color w:val="000000"/>
              </w:rPr>
              <w:t>94 (19.5%)</w:t>
            </w:r>
          </w:p>
        </w:tc>
      </w:tr>
      <w:tr w:rsidR="00576FE1" w:rsidRPr="00157FC3" w14:paraId="35CD4CE1" w14:textId="77777777" w:rsidTr="00115CD6">
        <w:trPr>
          <w:trHeight w:val="223"/>
        </w:trPr>
        <w:tc>
          <w:tcPr>
            <w:tcW w:w="4678" w:type="dxa"/>
            <w:vAlign w:val="center"/>
          </w:tcPr>
          <w:p w14:paraId="060D1CB8" w14:textId="77777777" w:rsidR="00576FE1" w:rsidRPr="00157FC3" w:rsidRDefault="00576FE1" w:rsidP="00115CD6">
            <w:pPr>
              <w:spacing w:after="0" w:line="240" w:lineRule="auto"/>
              <w:ind w:hanging="249"/>
            </w:pPr>
            <w:r w:rsidRPr="00157FC3">
              <w:rPr>
                <w:color w:val="000000"/>
              </w:rPr>
              <w:t xml:space="preserve">    Thrombocytopenia</w:t>
            </w:r>
          </w:p>
        </w:tc>
        <w:tc>
          <w:tcPr>
            <w:tcW w:w="1648" w:type="dxa"/>
            <w:vAlign w:val="center"/>
          </w:tcPr>
          <w:p w14:paraId="4013746B" w14:textId="77777777" w:rsidR="00576FE1" w:rsidRPr="00157FC3" w:rsidRDefault="00576FE1" w:rsidP="00115CD6">
            <w:pPr>
              <w:spacing w:after="0" w:line="240" w:lineRule="auto"/>
              <w:jc w:val="center"/>
            </w:pPr>
            <w:r w:rsidRPr="00157FC3">
              <w:rPr>
                <w:color w:val="000000"/>
              </w:rPr>
              <w:t>39 (16.2%)</w:t>
            </w:r>
          </w:p>
        </w:tc>
        <w:tc>
          <w:tcPr>
            <w:tcW w:w="1612" w:type="dxa"/>
            <w:vAlign w:val="center"/>
          </w:tcPr>
          <w:p w14:paraId="456601D7" w14:textId="77777777" w:rsidR="00576FE1" w:rsidRPr="00157FC3" w:rsidRDefault="00576FE1" w:rsidP="00115CD6">
            <w:pPr>
              <w:spacing w:after="0" w:line="240" w:lineRule="auto"/>
              <w:jc w:val="center"/>
            </w:pPr>
            <w:r w:rsidRPr="00157FC3">
              <w:rPr>
                <w:color w:val="000000"/>
              </w:rPr>
              <w:t>35 (14.5%)</w:t>
            </w:r>
          </w:p>
        </w:tc>
        <w:tc>
          <w:tcPr>
            <w:tcW w:w="1560" w:type="dxa"/>
            <w:vAlign w:val="center"/>
          </w:tcPr>
          <w:p w14:paraId="75616E31" w14:textId="77777777" w:rsidR="00576FE1" w:rsidRPr="00157FC3" w:rsidRDefault="00576FE1" w:rsidP="00115CD6">
            <w:pPr>
              <w:spacing w:after="0" w:line="240" w:lineRule="auto"/>
              <w:jc w:val="center"/>
            </w:pPr>
            <w:r w:rsidRPr="00157FC3">
              <w:rPr>
                <w:color w:val="000000"/>
              </w:rPr>
              <w:t>74 (15.3%)</w:t>
            </w:r>
          </w:p>
        </w:tc>
      </w:tr>
      <w:tr w:rsidR="00576FE1" w:rsidRPr="00157FC3" w14:paraId="7965FC55" w14:textId="77777777" w:rsidTr="00115CD6">
        <w:trPr>
          <w:trHeight w:val="223"/>
        </w:trPr>
        <w:tc>
          <w:tcPr>
            <w:tcW w:w="4678" w:type="dxa"/>
            <w:vAlign w:val="center"/>
          </w:tcPr>
          <w:p w14:paraId="200B2FFA" w14:textId="77777777" w:rsidR="00576FE1" w:rsidRPr="00157FC3" w:rsidRDefault="00576FE1" w:rsidP="00115CD6">
            <w:pPr>
              <w:spacing w:after="0" w:line="240" w:lineRule="auto"/>
              <w:ind w:hanging="249"/>
            </w:pPr>
            <w:r w:rsidRPr="00157FC3">
              <w:rPr>
                <w:color w:val="000000"/>
              </w:rPr>
              <w:t xml:space="preserve">    Lymphopenia</w:t>
            </w:r>
          </w:p>
        </w:tc>
        <w:tc>
          <w:tcPr>
            <w:tcW w:w="1648" w:type="dxa"/>
            <w:vAlign w:val="center"/>
          </w:tcPr>
          <w:p w14:paraId="683C544C" w14:textId="77777777" w:rsidR="00576FE1" w:rsidRPr="00157FC3" w:rsidRDefault="00576FE1" w:rsidP="00115CD6">
            <w:pPr>
              <w:spacing w:after="0" w:line="240" w:lineRule="auto"/>
              <w:jc w:val="center"/>
            </w:pPr>
            <w:r w:rsidRPr="00157FC3">
              <w:rPr>
                <w:color w:val="000000"/>
              </w:rPr>
              <w:t>15 (6.2%)</w:t>
            </w:r>
          </w:p>
        </w:tc>
        <w:tc>
          <w:tcPr>
            <w:tcW w:w="1612" w:type="dxa"/>
            <w:vAlign w:val="center"/>
          </w:tcPr>
          <w:p w14:paraId="6D7AD693" w14:textId="77777777" w:rsidR="00576FE1" w:rsidRPr="00157FC3" w:rsidRDefault="00576FE1" w:rsidP="00115CD6">
            <w:pPr>
              <w:spacing w:after="0" w:line="240" w:lineRule="auto"/>
              <w:jc w:val="center"/>
            </w:pPr>
            <w:r w:rsidRPr="00157FC3">
              <w:rPr>
                <w:color w:val="000000"/>
              </w:rPr>
              <w:t>13 (5.4%)</w:t>
            </w:r>
          </w:p>
        </w:tc>
        <w:tc>
          <w:tcPr>
            <w:tcW w:w="1560" w:type="dxa"/>
            <w:vAlign w:val="center"/>
          </w:tcPr>
          <w:p w14:paraId="1C86C5FB" w14:textId="77777777" w:rsidR="00576FE1" w:rsidRPr="00157FC3" w:rsidRDefault="00576FE1" w:rsidP="00115CD6">
            <w:pPr>
              <w:spacing w:after="0" w:line="240" w:lineRule="auto"/>
              <w:jc w:val="center"/>
            </w:pPr>
            <w:r w:rsidRPr="00157FC3">
              <w:rPr>
                <w:color w:val="000000"/>
              </w:rPr>
              <w:t>28 (5.8%)</w:t>
            </w:r>
          </w:p>
        </w:tc>
      </w:tr>
      <w:tr w:rsidR="00576FE1" w:rsidRPr="00157FC3" w14:paraId="1111A590" w14:textId="77777777" w:rsidTr="00115CD6">
        <w:trPr>
          <w:trHeight w:val="538"/>
        </w:trPr>
        <w:tc>
          <w:tcPr>
            <w:tcW w:w="4678" w:type="dxa"/>
            <w:vAlign w:val="center"/>
          </w:tcPr>
          <w:p w14:paraId="588E3406" w14:textId="77777777" w:rsidR="00576FE1" w:rsidRPr="00157FC3" w:rsidRDefault="00576FE1" w:rsidP="00115CD6">
            <w:pPr>
              <w:spacing w:after="0" w:line="240" w:lineRule="auto"/>
            </w:pPr>
            <w:r w:rsidRPr="00157FC3">
              <w:rPr>
                <w:b/>
                <w:color w:val="000000"/>
                <w:lang w:val="en-GB"/>
              </w:rPr>
              <w:t>General disorders and administration site conditions</w:t>
            </w:r>
          </w:p>
        </w:tc>
        <w:tc>
          <w:tcPr>
            <w:tcW w:w="1648" w:type="dxa"/>
            <w:vAlign w:val="center"/>
          </w:tcPr>
          <w:p w14:paraId="626EC0CA" w14:textId="77777777" w:rsidR="00576FE1" w:rsidRPr="00157FC3" w:rsidRDefault="00576FE1" w:rsidP="00115CD6">
            <w:pPr>
              <w:spacing w:after="0" w:line="240" w:lineRule="auto"/>
              <w:jc w:val="center"/>
            </w:pPr>
            <w:r w:rsidRPr="00157FC3">
              <w:rPr>
                <w:b/>
                <w:color w:val="000000"/>
              </w:rPr>
              <w:t>120 (49.8%)</w:t>
            </w:r>
          </w:p>
        </w:tc>
        <w:tc>
          <w:tcPr>
            <w:tcW w:w="1612" w:type="dxa"/>
            <w:vAlign w:val="center"/>
          </w:tcPr>
          <w:p w14:paraId="4DE6F3D4" w14:textId="77777777" w:rsidR="00576FE1" w:rsidRPr="00157FC3" w:rsidRDefault="00576FE1" w:rsidP="00115CD6">
            <w:pPr>
              <w:spacing w:after="0" w:line="240" w:lineRule="auto"/>
              <w:jc w:val="center"/>
            </w:pPr>
            <w:r w:rsidRPr="00157FC3">
              <w:rPr>
                <w:b/>
                <w:color w:val="000000"/>
              </w:rPr>
              <w:t>122 (50.4%)</w:t>
            </w:r>
          </w:p>
        </w:tc>
        <w:tc>
          <w:tcPr>
            <w:tcW w:w="1560" w:type="dxa"/>
            <w:vAlign w:val="center"/>
          </w:tcPr>
          <w:p w14:paraId="3024DBD1" w14:textId="77777777" w:rsidR="00576FE1" w:rsidRPr="00157FC3" w:rsidRDefault="00576FE1" w:rsidP="00115CD6">
            <w:pPr>
              <w:spacing w:after="0" w:line="240" w:lineRule="auto"/>
              <w:jc w:val="center"/>
            </w:pPr>
            <w:r w:rsidRPr="00157FC3">
              <w:rPr>
                <w:b/>
                <w:color w:val="000000"/>
              </w:rPr>
              <w:t>242 (50.1%)</w:t>
            </w:r>
          </w:p>
        </w:tc>
      </w:tr>
      <w:tr w:rsidR="00576FE1" w:rsidRPr="00157FC3" w14:paraId="38A6A9DE" w14:textId="77777777" w:rsidTr="00115CD6">
        <w:trPr>
          <w:trHeight w:val="223"/>
        </w:trPr>
        <w:tc>
          <w:tcPr>
            <w:tcW w:w="4678" w:type="dxa"/>
            <w:vAlign w:val="center"/>
          </w:tcPr>
          <w:p w14:paraId="6D094779" w14:textId="77777777" w:rsidR="00576FE1" w:rsidRPr="00157FC3" w:rsidRDefault="00576FE1" w:rsidP="00115CD6">
            <w:pPr>
              <w:spacing w:after="0" w:line="240" w:lineRule="auto"/>
              <w:ind w:hanging="249"/>
            </w:pPr>
            <w:r w:rsidRPr="00157FC3">
              <w:rPr>
                <w:color w:val="000000"/>
              </w:rPr>
              <w:t xml:space="preserve">    Asthenia</w:t>
            </w:r>
          </w:p>
        </w:tc>
        <w:tc>
          <w:tcPr>
            <w:tcW w:w="1648" w:type="dxa"/>
            <w:vAlign w:val="center"/>
          </w:tcPr>
          <w:p w14:paraId="1807D5B6" w14:textId="77777777" w:rsidR="00576FE1" w:rsidRPr="00157FC3" w:rsidRDefault="00576FE1" w:rsidP="00115CD6">
            <w:pPr>
              <w:spacing w:after="0" w:line="240" w:lineRule="auto"/>
              <w:jc w:val="center"/>
            </w:pPr>
            <w:r w:rsidRPr="00157FC3">
              <w:rPr>
                <w:color w:val="000000"/>
              </w:rPr>
              <w:t>66 (27.4%)</w:t>
            </w:r>
          </w:p>
        </w:tc>
        <w:tc>
          <w:tcPr>
            <w:tcW w:w="1612" w:type="dxa"/>
            <w:vAlign w:val="center"/>
          </w:tcPr>
          <w:p w14:paraId="7F9E5831" w14:textId="77777777" w:rsidR="00576FE1" w:rsidRPr="00157FC3" w:rsidRDefault="00576FE1" w:rsidP="00115CD6">
            <w:pPr>
              <w:spacing w:after="0" w:line="240" w:lineRule="auto"/>
              <w:jc w:val="center"/>
            </w:pPr>
            <w:r w:rsidRPr="00157FC3">
              <w:rPr>
                <w:color w:val="000000"/>
              </w:rPr>
              <w:t>65 (26.9%)</w:t>
            </w:r>
          </w:p>
        </w:tc>
        <w:tc>
          <w:tcPr>
            <w:tcW w:w="1560" w:type="dxa"/>
            <w:vAlign w:val="center"/>
          </w:tcPr>
          <w:p w14:paraId="78AA4F07" w14:textId="77777777" w:rsidR="00576FE1" w:rsidRPr="00157FC3" w:rsidRDefault="00576FE1" w:rsidP="00115CD6">
            <w:pPr>
              <w:spacing w:after="0" w:line="240" w:lineRule="auto"/>
              <w:jc w:val="center"/>
            </w:pPr>
            <w:r w:rsidRPr="00157FC3">
              <w:rPr>
                <w:color w:val="000000"/>
              </w:rPr>
              <w:t>131 (27.1%)</w:t>
            </w:r>
          </w:p>
        </w:tc>
      </w:tr>
      <w:tr w:rsidR="00576FE1" w:rsidRPr="00157FC3" w14:paraId="65E9F72B" w14:textId="77777777" w:rsidTr="00115CD6">
        <w:trPr>
          <w:trHeight w:val="235"/>
        </w:trPr>
        <w:tc>
          <w:tcPr>
            <w:tcW w:w="4678" w:type="dxa"/>
            <w:vAlign w:val="center"/>
          </w:tcPr>
          <w:p w14:paraId="6CCF79E5" w14:textId="77777777" w:rsidR="00576FE1" w:rsidRPr="00157FC3" w:rsidRDefault="00576FE1" w:rsidP="00115CD6">
            <w:pPr>
              <w:spacing w:after="0" w:line="240" w:lineRule="auto"/>
              <w:ind w:hanging="249"/>
            </w:pPr>
            <w:r w:rsidRPr="00157FC3">
              <w:rPr>
                <w:color w:val="000000"/>
              </w:rPr>
              <w:t xml:space="preserve">    Fatigue</w:t>
            </w:r>
          </w:p>
        </w:tc>
        <w:tc>
          <w:tcPr>
            <w:tcW w:w="1648" w:type="dxa"/>
            <w:vAlign w:val="center"/>
          </w:tcPr>
          <w:p w14:paraId="6E8434A2" w14:textId="77777777" w:rsidR="00576FE1" w:rsidRPr="00157FC3" w:rsidRDefault="00576FE1" w:rsidP="00115CD6">
            <w:pPr>
              <w:spacing w:after="0" w:line="240" w:lineRule="auto"/>
              <w:jc w:val="center"/>
            </w:pPr>
            <w:r w:rsidRPr="00157FC3">
              <w:rPr>
                <w:color w:val="000000"/>
              </w:rPr>
              <w:t>50 (20.7%)</w:t>
            </w:r>
          </w:p>
        </w:tc>
        <w:tc>
          <w:tcPr>
            <w:tcW w:w="1612" w:type="dxa"/>
            <w:vAlign w:val="center"/>
          </w:tcPr>
          <w:p w14:paraId="60E42129" w14:textId="77777777" w:rsidR="00576FE1" w:rsidRPr="00157FC3" w:rsidRDefault="00576FE1" w:rsidP="00115CD6">
            <w:pPr>
              <w:spacing w:after="0" w:line="240" w:lineRule="auto"/>
              <w:jc w:val="center"/>
            </w:pPr>
            <w:r w:rsidRPr="00157FC3">
              <w:rPr>
                <w:color w:val="000000"/>
              </w:rPr>
              <w:t>55 (22.7%)</w:t>
            </w:r>
          </w:p>
        </w:tc>
        <w:tc>
          <w:tcPr>
            <w:tcW w:w="1560" w:type="dxa"/>
            <w:vAlign w:val="center"/>
          </w:tcPr>
          <w:p w14:paraId="2AD91AE8" w14:textId="77777777" w:rsidR="00576FE1" w:rsidRPr="00157FC3" w:rsidRDefault="00576FE1" w:rsidP="00115CD6">
            <w:pPr>
              <w:spacing w:after="0" w:line="240" w:lineRule="auto"/>
              <w:jc w:val="center"/>
            </w:pPr>
            <w:r w:rsidRPr="00157FC3">
              <w:rPr>
                <w:color w:val="000000"/>
              </w:rPr>
              <w:t>105 (21.7%)</w:t>
            </w:r>
          </w:p>
        </w:tc>
      </w:tr>
      <w:tr w:rsidR="00576FE1" w:rsidRPr="00157FC3" w14:paraId="41F09DDC" w14:textId="77777777" w:rsidTr="00115CD6">
        <w:trPr>
          <w:trHeight w:val="223"/>
        </w:trPr>
        <w:tc>
          <w:tcPr>
            <w:tcW w:w="4678" w:type="dxa"/>
            <w:vAlign w:val="center"/>
          </w:tcPr>
          <w:p w14:paraId="5BBC11FF" w14:textId="77777777" w:rsidR="00576FE1" w:rsidRPr="00157FC3" w:rsidRDefault="00576FE1" w:rsidP="00115CD6">
            <w:pPr>
              <w:spacing w:after="0" w:line="240" w:lineRule="auto"/>
              <w:ind w:hanging="249"/>
            </w:pPr>
            <w:r w:rsidRPr="00157FC3">
              <w:rPr>
                <w:color w:val="000000"/>
              </w:rPr>
              <w:t xml:space="preserve">    Injection site pain</w:t>
            </w:r>
          </w:p>
        </w:tc>
        <w:tc>
          <w:tcPr>
            <w:tcW w:w="1648" w:type="dxa"/>
            <w:vAlign w:val="center"/>
          </w:tcPr>
          <w:p w14:paraId="590B5A9F" w14:textId="77777777" w:rsidR="00576FE1" w:rsidRPr="00157FC3" w:rsidRDefault="00576FE1" w:rsidP="00115CD6">
            <w:pPr>
              <w:spacing w:after="0" w:line="240" w:lineRule="auto"/>
              <w:jc w:val="center"/>
            </w:pPr>
            <w:r w:rsidRPr="00157FC3">
              <w:rPr>
                <w:color w:val="000000"/>
              </w:rPr>
              <w:t>12 (5.0%)</w:t>
            </w:r>
          </w:p>
        </w:tc>
        <w:tc>
          <w:tcPr>
            <w:tcW w:w="1612" w:type="dxa"/>
            <w:vAlign w:val="center"/>
          </w:tcPr>
          <w:p w14:paraId="23A070B0" w14:textId="77777777" w:rsidR="00576FE1" w:rsidRPr="00157FC3" w:rsidRDefault="00576FE1" w:rsidP="00115CD6">
            <w:pPr>
              <w:spacing w:after="0" w:line="240" w:lineRule="auto"/>
              <w:jc w:val="center"/>
            </w:pPr>
            <w:r w:rsidRPr="00157FC3">
              <w:rPr>
                <w:color w:val="000000"/>
              </w:rPr>
              <w:t>0 (0.0%)</w:t>
            </w:r>
          </w:p>
        </w:tc>
        <w:tc>
          <w:tcPr>
            <w:tcW w:w="1560" w:type="dxa"/>
            <w:vAlign w:val="center"/>
          </w:tcPr>
          <w:p w14:paraId="5D0FCB21" w14:textId="77777777" w:rsidR="00576FE1" w:rsidRPr="00157FC3" w:rsidRDefault="00576FE1" w:rsidP="00115CD6">
            <w:pPr>
              <w:spacing w:after="0" w:line="240" w:lineRule="auto"/>
              <w:jc w:val="center"/>
            </w:pPr>
            <w:r w:rsidRPr="00157FC3">
              <w:rPr>
                <w:color w:val="000000"/>
              </w:rPr>
              <w:t>12 (2.5%)</w:t>
            </w:r>
          </w:p>
        </w:tc>
      </w:tr>
      <w:tr w:rsidR="00576FE1" w:rsidRPr="00157FC3" w14:paraId="148E8D82" w14:textId="77777777" w:rsidTr="00115CD6">
        <w:trPr>
          <w:trHeight w:val="223"/>
        </w:trPr>
        <w:tc>
          <w:tcPr>
            <w:tcW w:w="4678" w:type="dxa"/>
            <w:vAlign w:val="center"/>
          </w:tcPr>
          <w:p w14:paraId="46E4D7D7" w14:textId="77777777" w:rsidR="00576FE1" w:rsidRPr="00157FC3" w:rsidRDefault="00576FE1" w:rsidP="00115CD6">
            <w:pPr>
              <w:spacing w:after="0" w:line="240" w:lineRule="auto"/>
              <w:ind w:hanging="249"/>
            </w:pPr>
            <w:r w:rsidRPr="00157FC3">
              <w:rPr>
                <w:color w:val="000000"/>
              </w:rPr>
              <w:t xml:space="preserve">    Ill-defined disorder</w:t>
            </w:r>
          </w:p>
        </w:tc>
        <w:tc>
          <w:tcPr>
            <w:tcW w:w="1648" w:type="dxa"/>
            <w:vAlign w:val="center"/>
          </w:tcPr>
          <w:p w14:paraId="5439218E" w14:textId="77777777" w:rsidR="00576FE1" w:rsidRPr="00157FC3" w:rsidRDefault="00576FE1" w:rsidP="00115CD6">
            <w:pPr>
              <w:spacing w:after="0" w:line="240" w:lineRule="auto"/>
              <w:jc w:val="center"/>
            </w:pPr>
            <w:r w:rsidRPr="00157FC3">
              <w:rPr>
                <w:color w:val="000000"/>
              </w:rPr>
              <w:t>6 (2.5%)</w:t>
            </w:r>
          </w:p>
        </w:tc>
        <w:tc>
          <w:tcPr>
            <w:tcW w:w="1612" w:type="dxa"/>
            <w:vAlign w:val="center"/>
          </w:tcPr>
          <w:p w14:paraId="2EC9253F" w14:textId="77777777" w:rsidR="00576FE1" w:rsidRPr="00157FC3" w:rsidRDefault="00576FE1" w:rsidP="00115CD6">
            <w:pPr>
              <w:spacing w:after="0" w:line="240" w:lineRule="auto"/>
              <w:jc w:val="center"/>
            </w:pPr>
            <w:r w:rsidRPr="00157FC3">
              <w:rPr>
                <w:color w:val="000000"/>
              </w:rPr>
              <w:t>3 (1.2%)</w:t>
            </w:r>
          </w:p>
        </w:tc>
        <w:tc>
          <w:tcPr>
            <w:tcW w:w="1560" w:type="dxa"/>
            <w:vAlign w:val="center"/>
          </w:tcPr>
          <w:p w14:paraId="75A6A17F" w14:textId="77777777" w:rsidR="00576FE1" w:rsidRPr="00157FC3" w:rsidRDefault="00576FE1" w:rsidP="00115CD6">
            <w:pPr>
              <w:spacing w:after="0" w:line="240" w:lineRule="auto"/>
              <w:jc w:val="center"/>
            </w:pPr>
            <w:r w:rsidRPr="00157FC3">
              <w:rPr>
                <w:color w:val="000000"/>
              </w:rPr>
              <w:t>9 (1.9%)</w:t>
            </w:r>
          </w:p>
        </w:tc>
      </w:tr>
      <w:tr w:rsidR="00576FE1" w:rsidRPr="00157FC3" w14:paraId="1AE5C75A" w14:textId="77777777" w:rsidTr="00115CD6">
        <w:trPr>
          <w:trHeight w:val="223"/>
        </w:trPr>
        <w:tc>
          <w:tcPr>
            <w:tcW w:w="4678" w:type="dxa"/>
            <w:vAlign w:val="center"/>
          </w:tcPr>
          <w:p w14:paraId="3BD77E2E" w14:textId="77777777" w:rsidR="00576FE1" w:rsidRPr="00157FC3" w:rsidRDefault="00576FE1" w:rsidP="00115CD6">
            <w:pPr>
              <w:spacing w:after="0" w:line="240" w:lineRule="auto"/>
              <w:ind w:hanging="249"/>
            </w:pPr>
            <w:r w:rsidRPr="00157FC3">
              <w:rPr>
                <w:color w:val="000000"/>
              </w:rPr>
              <w:t xml:space="preserve">    Pyrexia</w:t>
            </w:r>
          </w:p>
        </w:tc>
        <w:tc>
          <w:tcPr>
            <w:tcW w:w="1648" w:type="dxa"/>
            <w:vAlign w:val="center"/>
          </w:tcPr>
          <w:p w14:paraId="55108F44" w14:textId="77777777" w:rsidR="00576FE1" w:rsidRPr="00157FC3" w:rsidRDefault="00576FE1" w:rsidP="00115CD6">
            <w:pPr>
              <w:spacing w:after="0" w:line="240" w:lineRule="auto"/>
              <w:jc w:val="center"/>
            </w:pPr>
            <w:r w:rsidRPr="00157FC3">
              <w:rPr>
                <w:color w:val="000000"/>
              </w:rPr>
              <w:t>5 (2.1%)</w:t>
            </w:r>
          </w:p>
        </w:tc>
        <w:tc>
          <w:tcPr>
            <w:tcW w:w="1612" w:type="dxa"/>
            <w:vAlign w:val="center"/>
          </w:tcPr>
          <w:p w14:paraId="7754F466" w14:textId="77777777" w:rsidR="00576FE1" w:rsidRPr="00157FC3" w:rsidRDefault="00576FE1" w:rsidP="00115CD6">
            <w:pPr>
              <w:spacing w:after="0" w:line="240" w:lineRule="auto"/>
              <w:jc w:val="center"/>
            </w:pPr>
            <w:r w:rsidRPr="00157FC3">
              <w:rPr>
                <w:color w:val="000000"/>
              </w:rPr>
              <w:t>4 (1.7%)</w:t>
            </w:r>
          </w:p>
        </w:tc>
        <w:tc>
          <w:tcPr>
            <w:tcW w:w="1560" w:type="dxa"/>
            <w:vAlign w:val="center"/>
          </w:tcPr>
          <w:p w14:paraId="1130DEF3" w14:textId="77777777" w:rsidR="00576FE1" w:rsidRPr="00157FC3" w:rsidRDefault="00576FE1" w:rsidP="00115CD6">
            <w:pPr>
              <w:spacing w:after="0" w:line="240" w:lineRule="auto"/>
              <w:jc w:val="center"/>
            </w:pPr>
            <w:r w:rsidRPr="00157FC3">
              <w:rPr>
                <w:color w:val="000000"/>
              </w:rPr>
              <w:t>9 (1.9%)</w:t>
            </w:r>
          </w:p>
        </w:tc>
      </w:tr>
      <w:tr w:rsidR="00576FE1" w:rsidRPr="00157FC3" w14:paraId="0F74E015" w14:textId="77777777" w:rsidTr="00115CD6">
        <w:trPr>
          <w:trHeight w:val="381"/>
        </w:trPr>
        <w:tc>
          <w:tcPr>
            <w:tcW w:w="4678" w:type="dxa"/>
            <w:vAlign w:val="center"/>
          </w:tcPr>
          <w:p w14:paraId="7C1D8E93" w14:textId="77777777" w:rsidR="00576FE1" w:rsidRPr="00157FC3" w:rsidRDefault="00576FE1" w:rsidP="00115CD6">
            <w:pPr>
              <w:spacing w:after="0" w:line="240" w:lineRule="auto"/>
            </w:pPr>
            <w:r w:rsidRPr="00157FC3">
              <w:rPr>
                <w:b/>
                <w:color w:val="000000"/>
              </w:rPr>
              <w:t>Gastrointestinal disorders</w:t>
            </w:r>
          </w:p>
        </w:tc>
        <w:tc>
          <w:tcPr>
            <w:tcW w:w="1648" w:type="dxa"/>
            <w:vAlign w:val="center"/>
          </w:tcPr>
          <w:p w14:paraId="14F3972A" w14:textId="77777777" w:rsidR="00576FE1" w:rsidRPr="00157FC3" w:rsidRDefault="00576FE1" w:rsidP="00115CD6">
            <w:pPr>
              <w:spacing w:after="0" w:line="240" w:lineRule="auto"/>
              <w:jc w:val="center"/>
            </w:pPr>
            <w:r w:rsidRPr="00157FC3">
              <w:rPr>
                <w:b/>
                <w:color w:val="000000"/>
              </w:rPr>
              <w:t>96 (39.8%)</w:t>
            </w:r>
          </w:p>
        </w:tc>
        <w:tc>
          <w:tcPr>
            <w:tcW w:w="1612" w:type="dxa"/>
            <w:vAlign w:val="center"/>
          </w:tcPr>
          <w:p w14:paraId="5FFAE02D" w14:textId="77777777" w:rsidR="00576FE1" w:rsidRPr="00157FC3" w:rsidRDefault="00576FE1" w:rsidP="00115CD6">
            <w:pPr>
              <w:spacing w:after="0" w:line="240" w:lineRule="auto"/>
              <w:jc w:val="center"/>
            </w:pPr>
            <w:r w:rsidRPr="00157FC3">
              <w:rPr>
                <w:b/>
                <w:color w:val="000000"/>
              </w:rPr>
              <w:t>107 (44.2%)</w:t>
            </w:r>
          </w:p>
        </w:tc>
        <w:tc>
          <w:tcPr>
            <w:tcW w:w="1560" w:type="dxa"/>
            <w:vAlign w:val="center"/>
          </w:tcPr>
          <w:p w14:paraId="367707D9" w14:textId="77777777" w:rsidR="00576FE1" w:rsidRPr="00157FC3" w:rsidRDefault="00576FE1" w:rsidP="00115CD6">
            <w:pPr>
              <w:spacing w:after="0" w:line="240" w:lineRule="auto"/>
              <w:jc w:val="center"/>
            </w:pPr>
            <w:r w:rsidRPr="00157FC3">
              <w:rPr>
                <w:b/>
                <w:color w:val="000000"/>
              </w:rPr>
              <w:t>203 (42.0%)</w:t>
            </w:r>
          </w:p>
        </w:tc>
      </w:tr>
      <w:tr w:rsidR="00576FE1" w:rsidRPr="00157FC3" w14:paraId="53F9254A" w14:textId="77777777" w:rsidTr="00115CD6">
        <w:trPr>
          <w:trHeight w:val="235"/>
        </w:trPr>
        <w:tc>
          <w:tcPr>
            <w:tcW w:w="4678" w:type="dxa"/>
            <w:vAlign w:val="center"/>
          </w:tcPr>
          <w:p w14:paraId="11C54DB7" w14:textId="77777777" w:rsidR="00576FE1" w:rsidRPr="00157FC3" w:rsidRDefault="00576FE1" w:rsidP="00115CD6">
            <w:pPr>
              <w:spacing w:after="0" w:line="240" w:lineRule="auto"/>
              <w:ind w:hanging="249"/>
            </w:pPr>
            <w:r w:rsidRPr="00157FC3">
              <w:rPr>
                <w:color w:val="000000"/>
              </w:rPr>
              <w:t xml:space="preserve">    Stomatitis</w:t>
            </w:r>
          </w:p>
        </w:tc>
        <w:tc>
          <w:tcPr>
            <w:tcW w:w="1648" w:type="dxa"/>
            <w:vAlign w:val="center"/>
          </w:tcPr>
          <w:p w14:paraId="59430EEA" w14:textId="77777777" w:rsidR="00576FE1" w:rsidRPr="00157FC3" w:rsidRDefault="00576FE1" w:rsidP="00115CD6">
            <w:pPr>
              <w:spacing w:after="0" w:line="240" w:lineRule="auto"/>
              <w:jc w:val="center"/>
            </w:pPr>
            <w:r w:rsidRPr="00157FC3">
              <w:rPr>
                <w:color w:val="000000"/>
              </w:rPr>
              <w:t>27 (11.2%)</w:t>
            </w:r>
          </w:p>
        </w:tc>
        <w:tc>
          <w:tcPr>
            <w:tcW w:w="1612" w:type="dxa"/>
            <w:vAlign w:val="center"/>
          </w:tcPr>
          <w:p w14:paraId="7CA01201" w14:textId="77777777" w:rsidR="00576FE1" w:rsidRPr="00157FC3" w:rsidRDefault="00576FE1" w:rsidP="00115CD6">
            <w:pPr>
              <w:spacing w:after="0" w:line="240" w:lineRule="auto"/>
              <w:jc w:val="center"/>
            </w:pPr>
            <w:r w:rsidRPr="00157FC3">
              <w:rPr>
                <w:color w:val="000000"/>
              </w:rPr>
              <w:t>41 (16.9%)</w:t>
            </w:r>
          </w:p>
        </w:tc>
        <w:tc>
          <w:tcPr>
            <w:tcW w:w="1560" w:type="dxa"/>
            <w:vAlign w:val="center"/>
          </w:tcPr>
          <w:p w14:paraId="23DF98E4" w14:textId="77777777" w:rsidR="00576FE1" w:rsidRPr="00157FC3" w:rsidRDefault="00576FE1" w:rsidP="00115CD6">
            <w:pPr>
              <w:spacing w:after="0" w:line="240" w:lineRule="auto"/>
              <w:jc w:val="center"/>
            </w:pPr>
            <w:r w:rsidRPr="00157FC3">
              <w:rPr>
                <w:color w:val="000000"/>
              </w:rPr>
              <w:t>68 (14.1%)</w:t>
            </w:r>
          </w:p>
        </w:tc>
      </w:tr>
      <w:tr w:rsidR="00576FE1" w:rsidRPr="00157FC3" w14:paraId="0E3F2882" w14:textId="77777777" w:rsidTr="00115CD6">
        <w:trPr>
          <w:trHeight w:val="223"/>
        </w:trPr>
        <w:tc>
          <w:tcPr>
            <w:tcW w:w="4678" w:type="dxa"/>
            <w:vAlign w:val="center"/>
          </w:tcPr>
          <w:p w14:paraId="18186625" w14:textId="77777777" w:rsidR="00576FE1" w:rsidRPr="00157FC3" w:rsidRDefault="00576FE1" w:rsidP="00115CD6">
            <w:pPr>
              <w:spacing w:after="0" w:line="240" w:lineRule="auto"/>
              <w:ind w:hanging="249"/>
            </w:pPr>
            <w:r w:rsidRPr="00157FC3">
              <w:rPr>
                <w:color w:val="000000"/>
              </w:rPr>
              <w:t xml:space="preserve">    Nausea</w:t>
            </w:r>
          </w:p>
        </w:tc>
        <w:tc>
          <w:tcPr>
            <w:tcW w:w="1648" w:type="dxa"/>
            <w:vAlign w:val="center"/>
          </w:tcPr>
          <w:p w14:paraId="7B13603F" w14:textId="77777777" w:rsidR="00576FE1" w:rsidRPr="00157FC3" w:rsidRDefault="00576FE1" w:rsidP="00115CD6">
            <w:pPr>
              <w:spacing w:after="0" w:line="240" w:lineRule="auto"/>
              <w:jc w:val="center"/>
            </w:pPr>
            <w:r w:rsidRPr="00157FC3">
              <w:rPr>
                <w:color w:val="000000"/>
              </w:rPr>
              <w:t>34 (14.1%)</w:t>
            </w:r>
          </w:p>
        </w:tc>
        <w:tc>
          <w:tcPr>
            <w:tcW w:w="1612" w:type="dxa"/>
            <w:vAlign w:val="center"/>
          </w:tcPr>
          <w:p w14:paraId="316043AE" w14:textId="77777777" w:rsidR="00576FE1" w:rsidRPr="00157FC3" w:rsidRDefault="00576FE1" w:rsidP="00115CD6">
            <w:pPr>
              <w:spacing w:after="0" w:line="240" w:lineRule="auto"/>
              <w:jc w:val="center"/>
            </w:pPr>
            <w:r w:rsidRPr="00157FC3">
              <w:rPr>
                <w:color w:val="000000"/>
              </w:rPr>
              <w:t>28 (11.6%)</w:t>
            </w:r>
          </w:p>
        </w:tc>
        <w:tc>
          <w:tcPr>
            <w:tcW w:w="1560" w:type="dxa"/>
            <w:vAlign w:val="center"/>
          </w:tcPr>
          <w:p w14:paraId="5511282D" w14:textId="77777777" w:rsidR="00576FE1" w:rsidRPr="00157FC3" w:rsidRDefault="00576FE1" w:rsidP="00115CD6">
            <w:pPr>
              <w:spacing w:after="0" w:line="240" w:lineRule="auto"/>
              <w:jc w:val="center"/>
            </w:pPr>
            <w:r w:rsidRPr="00157FC3">
              <w:rPr>
                <w:color w:val="000000"/>
              </w:rPr>
              <w:t>62 (12.8%)</w:t>
            </w:r>
          </w:p>
        </w:tc>
      </w:tr>
      <w:tr w:rsidR="00576FE1" w:rsidRPr="00157FC3" w14:paraId="5E67040E" w14:textId="77777777" w:rsidTr="00115CD6">
        <w:trPr>
          <w:trHeight w:val="223"/>
        </w:trPr>
        <w:tc>
          <w:tcPr>
            <w:tcW w:w="4678" w:type="dxa"/>
            <w:vAlign w:val="center"/>
          </w:tcPr>
          <w:p w14:paraId="2801B4C2" w14:textId="77777777" w:rsidR="00576FE1" w:rsidRPr="00157FC3" w:rsidRDefault="00576FE1" w:rsidP="00115CD6">
            <w:pPr>
              <w:spacing w:after="0" w:line="240" w:lineRule="auto"/>
              <w:ind w:hanging="249"/>
            </w:pPr>
            <w:r w:rsidRPr="00157FC3">
              <w:rPr>
                <w:color w:val="000000"/>
              </w:rPr>
              <w:t xml:space="preserve">    </w:t>
            </w:r>
            <w:proofErr w:type="spellStart"/>
            <w:r w:rsidRPr="00157FC3">
              <w:rPr>
                <w:color w:val="000000"/>
              </w:rPr>
              <w:t>Diarrhoea</w:t>
            </w:r>
            <w:proofErr w:type="spellEnd"/>
          </w:p>
        </w:tc>
        <w:tc>
          <w:tcPr>
            <w:tcW w:w="1648" w:type="dxa"/>
            <w:vAlign w:val="center"/>
          </w:tcPr>
          <w:p w14:paraId="64802C6C" w14:textId="77777777" w:rsidR="00576FE1" w:rsidRPr="00157FC3" w:rsidRDefault="00576FE1" w:rsidP="00115CD6">
            <w:pPr>
              <w:spacing w:after="0" w:line="240" w:lineRule="auto"/>
              <w:jc w:val="center"/>
            </w:pPr>
            <w:r w:rsidRPr="00157FC3">
              <w:rPr>
                <w:color w:val="000000"/>
              </w:rPr>
              <w:t>29 (12.0%)</w:t>
            </w:r>
          </w:p>
        </w:tc>
        <w:tc>
          <w:tcPr>
            <w:tcW w:w="1612" w:type="dxa"/>
            <w:vAlign w:val="center"/>
          </w:tcPr>
          <w:p w14:paraId="2435230C" w14:textId="77777777" w:rsidR="00576FE1" w:rsidRPr="00157FC3" w:rsidRDefault="00576FE1" w:rsidP="00115CD6">
            <w:pPr>
              <w:spacing w:after="0" w:line="240" w:lineRule="auto"/>
              <w:jc w:val="center"/>
            </w:pPr>
            <w:r w:rsidRPr="00157FC3">
              <w:rPr>
                <w:color w:val="000000"/>
              </w:rPr>
              <w:t>30 (12.4%)</w:t>
            </w:r>
          </w:p>
        </w:tc>
        <w:tc>
          <w:tcPr>
            <w:tcW w:w="1560" w:type="dxa"/>
            <w:vAlign w:val="center"/>
          </w:tcPr>
          <w:p w14:paraId="258E47D9" w14:textId="77777777" w:rsidR="00576FE1" w:rsidRPr="00157FC3" w:rsidRDefault="00576FE1" w:rsidP="00115CD6">
            <w:pPr>
              <w:spacing w:after="0" w:line="240" w:lineRule="auto"/>
              <w:jc w:val="center"/>
            </w:pPr>
            <w:r w:rsidRPr="00157FC3">
              <w:rPr>
                <w:color w:val="000000"/>
              </w:rPr>
              <w:t>59 (12.2%)</w:t>
            </w:r>
          </w:p>
        </w:tc>
      </w:tr>
      <w:tr w:rsidR="00576FE1" w:rsidRPr="00157FC3" w14:paraId="0BD8A636" w14:textId="77777777" w:rsidTr="00115CD6">
        <w:trPr>
          <w:trHeight w:val="223"/>
        </w:trPr>
        <w:tc>
          <w:tcPr>
            <w:tcW w:w="4678" w:type="dxa"/>
            <w:vAlign w:val="center"/>
          </w:tcPr>
          <w:p w14:paraId="31137E14" w14:textId="77777777" w:rsidR="00576FE1" w:rsidRPr="00157FC3" w:rsidRDefault="00576FE1" w:rsidP="00115CD6">
            <w:pPr>
              <w:spacing w:after="0" w:line="240" w:lineRule="auto"/>
              <w:ind w:hanging="249"/>
            </w:pPr>
            <w:r w:rsidRPr="00157FC3">
              <w:rPr>
                <w:color w:val="000000"/>
              </w:rPr>
              <w:t xml:space="preserve">    Vomiting</w:t>
            </w:r>
          </w:p>
        </w:tc>
        <w:tc>
          <w:tcPr>
            <w:tcW w:w="1648" w:type="dxa"/>
            <w:vAlign w:val="center"/>
          </w:tcPr>
          <w:p w14:paraId="53D89BCF" w14:textId="77777777" w:rsidR="00576FE1" w:rsidRPr="00157FC3" w:rsidRDefault="00576FE1" w:rsidP="00115CD6">
            <w:pPr>
              <w:spacing w:after="0" w:line="240" w:lineRule="auto"/>
              <w:jc w:val="center"/>
            </w:pPr>
            <w:r w:rsidRPr="00157FC3">
              <w:rPr>
                <w:color w:val="000000"/>
              </w:rPr>
              <w:t>14 (5.8%)</w:t>
            </w:r>
          </w:p>
        </w:tc>
        <w:tc>
          <w:tcPr>
            <w:tcW w:w="1612" w:type="dxa"/>
            <w:vAlign w:val="center"/>
          </w:tcPr>
          <w:p w14:paraId="37DE262C" w14:textId="77777777" w:rsidR="00576FE1" w:rsidRPr="00157FC3" w:rsidRDefault="00576FE1" w:rsidP="00115CD6">
            <w:pPr>
              <w:spacing w:after="0" w:line="240" w:lineRule="auto"/>
              <w:jc w:val="center"/>
            </w:pPr>
            <w:r w:rsidRPr="00157FC3">
              <w:rPr>
                <w:color w:val="000000"/>
              </w:rPr>
              <w:t>20 (8.3%)</w:t>
            </w:r>
          </w:p>
        </w:tc>
        <w:tc>
          <w:tcPr>
            <w:tcW w:w="1560" w:type="dxa"/>
            <w:vAlign w:val="center"/>
          </w:tcPr>
          <w:p w14:paraId="606B34E2" w14:textId="77777777" w:rsidR="00576FE1" w:rsidRPr="00157FC3" w:rsidRDefault="00576FE1" w:rsidP="00115CD6">
            <w:pPr>
              <w:spacing w:after="0" w:line="240" w:lineRule="auto"/>
              <w:jc w:val="center"/>
            </w:pPr>
            <w:r w:rsidRPr="00157FC3">
              <w:rPr>
                <w:color w:val="000000"/>
              </w:rPr>
              <w:t>34 (7.0%)</w:t>
            </w:r>
          </w:p>
        </w:tc>
      </w:tr>
      <w:tr w:rsidR="00576FE1" w:rsidRPr="00157FC3" w14:paraId="54F11D4D" w14:textId="77777777" w:rsidTr="00115CD6">
        <w:trPr>
          <w:trHeight w:val="223"/>
        </w:trPr>
        <w:tc>
          <w:tcPr>
            <w:tcW w:w="4678" w:type="dxa"/>
            <w:vAlign w:val="center"/>
          </w:tcPr>
          <w:p w14:paraId="116D0C82" w14:textId="77777777" w:rsidR="00576FE1" w:rsidRPr="00157FC3" w:rsidRDefault="00576FE1" w:rsidP="00115CD6">
            <w:pPr>
              <w:spacing w:after="0" w:line="240" w:lineRule="auto"/>
              <w:ind w:hanging="249"/>
            </w:pPr>
            <w:r w:rsidRPr="00157FC3">
              <w:rPr>
                <w:color w:val="000000"/>
              </w:rPr>
              <w:t xml:space="preserve">    Constipation</w:t>
            </w:r>
          </w:p>
        </w:tc>
        <w:tc>
          <w:tcPr>
            <w:tcW w:w="1648" w:type="dxa"/>
            <w:vAlign w:val="center"/>
          </w:tcPr>
          <w:p w14:paraId="1F85951F" w14:textId="77777777" w:rsidR="00576FE1" w:rsidRPr="00157FC3" w:rsidRDefault="00576FE1" w:rsidP="00115CD6">
            <w:pPr>
              <w:spacing w:after="0" w:line="240" w:lineRule="auto"/>
              <w:jc w:val="center"/>
            </w:pPr>
            <w:r w:rsidRPr="00157FC3">
              <w:rPr>
                <w:color w:val="000000"/>
              </w:rPr>
              <w:t>13 (5.4%)</w:t>
            </w:r>
          </w:p>
        </w:tc>
        <w:tc>
          <w:tcPr>
            <w:tcW w:w="1612" w:type="dxa"/>
            <w:vAlign w:val="center"/>
          </w:tcPr>
          <w:p w14:paraId="62B67B16" w14:textId="77777777" w:rsidR="00576FE1" w:rsidRPr="00157FC3" w:rsidRDefault="00576FE1" w:rsidP="00115CD6">
            <w:pPr>
              <w:spacing w:after="0" w:line="240" w:lineRule="auto"/>
              <w:jc w:val="center"/>
            </w:pPr>
            <w:r w:rsidRPr="00157FC3">
              <w:rPr>
                <w:color w:val="000000"/>
              </w:rPr>
              <w:t>18 (7.4%)</w:t>
            </w:r>
          </w:p>
        </w:tc>
        <w:tc>
          <w:tcPr>
            <w:tcW w:w="1560" w:type="dxa"/>
            <w:vAlign w:val="center"/>
          </w:tcPr>
          <w:p w14:paraId="0D9CD702" w14:textId="77777777" w:rsidR="00576FE1" w:rsidRPr="00157FC3" w:rsidRDefault="00576FE1" w:rsidP="00115CD6">
            <w:pPr>
              <w:spacing w:after="0" w:line="240" w:lineRule="auto"/>
              <w:jc w:val="center"/>
            </w:pPr>
            <w:r w:rsidRPr="00157FC3">
              <w:rPr>
                <w:color w:val="000000"/>
              </w:rPr>
              <w:t>31 (6.4%)</w:t>
            </w:r>
          </w:p>
        </w:tc>
      </w:tr>
      <w:tr w:rsidR="00576FE1" w:rsidRPr="00157FC3" w14:paraId="2D13A587" w14:textId="77777777" w:rsidTr="00115CD6">
        <w:trPr>
          <w:trHeight w:val="223"/>
        </w:trPr>
        <w:tc>
          <w:tcPr>
            <w:tcW w:w="4678" w:type="dxa"/>
            <w:vAlign w:val="center"/>
          </w:tcPr>
          <w:p w14:paraId="40FDE7F1" w14:textId="77777777" w:rsidR="00576FE1" w:rsidRPr="00157FC3" w:rsidRDefault="00576FE1" w:rsidP="00115CD6">
            <w:pPr>
              <w:spacing w:after="0" w:line="240" w:lineRule="auto"/>
              <w:ind w:hanging="249"/>
            </w:pPr>
            <w:r w:rsidRPr="00157FC3">
              <w:rPr>
                <w:color w:val="000000"/>
              </w:rPr>
              <w:t xml:space="preserve">    Dyspepsia</w:t>
            </w:r>
          </w:p>
        </w:tc>
        <w:tc>
          <w:tcPr>
            <w:tcW w:w="1648" w:type="dxa"/>
            <w:vAlign w:val="center"/>
          </w:tcPr>
          <w:p w14:paraId="67B7E1A3" w14:textId="77777777" w:rsidR="00576FE1" w:rsidRPr="00157FC3" w:rsidRDefault="00576FE1" w:rsidP="00115CD6">
            <w:pPr>
              <w:spacing w:after="0" w:line="240" w:lineRule="auto"/>
              <w:jc w:val="center"/>
            </w:pPr>
            <w:r w:rsidRPr="00157FC3">
              <w:rPr>
                <w:color w:val="000000"/>
              </w:rPr>
              <w:t>9 (3.7%)</w:t>
            </w:r>
          </w:p>
        </w:tc>
        <w:tc>
          <w:tcPr>
            <w:tcW w:w="1612" w:type="dxa"/>
            <w:vAlign w:val="center"/>
          </w:tcPr>
          <w:p w14:paraId="1458294C" w14:textId="77777777" w:rsidR="00576FE1" w:rsidRPr="00157FC3" w:rsidRDefault="00576FE1" w:rsidP="00115CD6">
            <w:pPr>
              <w:spacing w:after="0" w:line="240" w:lineRule="auto"/>
              <w:jc w:val="center"/>
            </w:pPr>
            <w:r w:rsidRPr="00157FC3">
              <w:rPr>
                <w:color w:val="000000"/>
              </w:rPr>
              <w:t>15 (6.2%)</w:t>
            </w:r>
          </w:p>
        </w:tc>
        <w:tc>
          <w:tcPr>
            <w:tcW w:w="1560" w:type="dxa"/>
            <w:vAlign w:val="center"/>
          </w:tcPr>
          <w:p w14:paraId="1534FE7C" w14:textId="77777777" w:rsidR="00576FE1" w:rsidRPr="00157FC3" w:rsidRDefault="00576FE1" w:rsidP="00115CD6">
            <w:pPr>
              <w:spacing w:after="0" w:line="240" w:lineRule="auto"/>
              <w:jc w:val="center"/>
            </w:pPr>
            <w:r w:rsidRPr="00157FC3">
              <w:rPr>
                <w:color w:val="000000"/>
              </w:rPr>
              <w:t>24 (5.0%)</w:t>
            </w:r>
          </w:p>
        </w:tc>
      </w:tr>
      <w:tr w:rsidR="00576FE1" w:rsidRPr="00157FC3" w14:paraId="2CD78B57" w14:textId="77777777" w:rsidTr="00115CD6">
        <w:trPr>
          <w:trHeight w:val="235"/>
        </w:trPr>
        <w:tc>
          <w:tcPr>
            <w:tcW w:w="4678" w:type="dxa"/>
            <w:vAlign w:val="center"/>
          </w:tcPr>
          <w:p w14:paraId="65C1F4A6" w14:textId="77777777" w:rsidR="00576FE1" w:rsidRPr="00157FC3" w:rsidRDefault="00576FE1" w:rsidP="00115CD6">
            <w:pPr>
              <w:spacing w:after="0" w:line="240" w:lineRule="auto"/>
              <w:ind w:hanging="249"/>
            </w:pPr>
            <w:r w:rsidRPr="00157FC3">
              <w:rPr>
                <w:color w:val="000000"/>
              </w:rPr>
              <w:t xml:space="preserve">    Abdominal pain upper</w:t>
            </w:r>
          </w:p>
        </w:tc>
        <w:tc>
          <w:tcPr>
            <w:tcW w:w="1648" w:type="dxa"/>
            <w:vAlign w:val="center"/>
          </w:tcPr>
          <w:p w14:paraId="5CD35E84" w14:textId="77777777" w:rsidR="00576FE1" w:rsidRPr="00157FC3" w:rsidRDefault="00576FE1" w:rsidP="00115CD6">
            <w:pPr>
              <w:spacing w:after="0" w:line="240" w:lineRule="auto"/>
              <w:jc w:val="center"/>
            </w:pPr>
            <w:r w:rsidRPr="00157FC3">
              <w:rPr>
                <w:color w:val="000000"/>
              </w:rPr>
              <w:t>10 (4.1%)</w:t>
            </w:r>
          </w:p>
        </w:tc>
        <w:tc>
          <w:tcPr>
            <w:tcW w:w="1612" w:type="dxa"/>
            <w:vAlign w:val="center"/>
          </w:tcPr>
          <w:p w14:paraId="33DDE278" w14:textId="77777777" w:rsidR="00576FE1" w:rsidRPr="00157FC3" w:rsidRDefault="00576FE1" w:rsidP="00115CD6">
            <w:pPr>
              <w:spacing w:after="0" w:line="240" w:lineRule="auto"/>
              <w:jc w:val="center"/>
            </w:pPr>
            <w:r w:rsidRPr="00157FC3">
              <w:rPr>
                <w:color w:val="000000"/>
              </w:rPr>
              <w:t>9 (3.7%)</w:t>
            </w:r>
          </w:p>
        </w:tc>
        <w:tc>
          <w:tcPr>
            <w:tcW w:w="1560" w:type="dxa"/>
            <w:vAlign w:val="center"/>
          </w:tcPr>
          <w:p w14:paraId="6245DA60" w14:textId="77777777" w:rsidR="00576FE1" w:rsidRPr="00157FC3" w:rsidRDefault="00576FE1" w:rsidP="00115CD6">
            <w:pPr>
              <w:spacing w:after="0" w:line="240" w:lineRule="auto"/>
              <w:jc w:val="center"/>
            </w:pPr>
            <w:r w:rsidRPr="00157FC3">
              <w:rPr>
                <w:color w:val="000000"/>
              </w:rPr>
              <w:t>19 (3.9%)</w:t>
            </w:r>
          </w:p>
        </w:tc>
      </w:tr>
      <w:tr w:rsidR="00576FE1" w:rsidRPr="00157FC3" w14:paraId="5615AEAF" w14:textId="77777777" w:rsidTr="00115CD6">
        <w:trPr>
          <w:trHeight w:val="223"/>
        </w:trPr>
        <w:tc>
          <w:tcPr>
            <w:tcW w:w="4678" w:type="dxa"/>
            <w:vAlign w:val="center"/>
          </w:tcPr>
          <w:p w14:paraId="640942BF" w14:textId="77777777" w:rsidR="00576FE1" w:rsidRPr="00157FC3" w:rsidRDefault="00576FE1" w:rsidP="00115CD6">
            <w:pPr>
              <w:spacing w:after="0" w:line="240" w:lineRule="auto"/>
              <w:ind w:hanging="249"/>
            </w:pPr>
            <w:r w:rsidRPr="00157FC3">
              <w:rPr>
                <w:color w:val="000000"/>
              </w:rPr>
              <w:t xml:space="preserve">    Mouth ulceration</w:t>
            </w:r>
          </w:p>
        </w:tc>
        <w:tc>
          <w:tcPr>
            <w:tcW w:w="1648" w:type="dxa"/>
            <w:vAlign w:val="center"/>
          </w:tcPr>
          <w:p w14:paraId="525297CA" w14:textId="77777777" w:rsidR="00576FE1" w:rsidRPr="00157FC3" w:rsidRDefault="00576FE1" w:rsidP="00115CD6">
            <w:pPr>
              <w:spacing w:after="0" w:line="240" w:lineRule="auto"/>
              <w:jc w:val="center"/>
            </w:pPr>
            <w:r w:rsidRPr="00157FC3">
              <w:rPr>
                <w:color w:val="000000"/>
              </w:rPr>
              <w:t>6 (2.5%)</w:t>
            </w:r>
          </w:p>
        </w:tc>
        <w:tc>
          <w:tcPr>
            <w:tcW w:w="1612" w:type="dxa"/>
            <w:vAlign w:val="center"/>
          </w:tcPr>
          <w:p w14:paraId="45960AA2" w14:textId="77777777" w:rsidR="00576FE1" w:rsidRPr="00157FC3" w:rsidRDefault="00576FE1" w:rsidP="00115CD6">
            <w:pPr>
              <w:spacing w:after="0" w:line="240" w:lineRule="auto"/>
              <w:jc w:val="center"/>
            </w:pPr>
            <w:r w:rsidRPr="00157FC3">
              <w:rPr>
                <w:color w:val="000000"/>
              </w:rPr>
              <w:t>6 (2.5%)</w:t>
            </w:r>
          </w:p>
        </w:tc>
        <w:tc>
          <w:tcPr>
            <w:tcW w:w="1560" w:type="dxa"/>
            <w:vAlign w:val="center"/>
          </w:tcPr>
          <w:p w14:paraId="2822B20F" w14:textId="77777777" w:rsidR="00576FE1" w:rsidRPr="00157FC3" w:rsidRDefault="00576FE1" w:rsidP="00115CD6">
            <w:pPr>
              <w:spacing w:after="0" w:line="240" w:lineRule="auto"/>
              <w:jc w:val="center"/>
            </w:pPr>
            <w:r w:rsidRPr="00157FC3">
              <w:rPr>
                <w:color w:val="000000"/>
              </w:rPr>
              <w:t>12 (2.5%)</w:t>
            </w:r>
          </w:p>
        </w:tc>
      </w:tr>
      <w:tr w:rsidR="00576FE1" w:rsidRPr="00157FC3" w14:paraId="4B5E393E" w14:textId="77777777" w:rsidTr="00115CD6">
        <w:trPr>
          <w:trHeight w:val="223"/>
        </w:trPr>
        <w:tc>
          <w:tcPr>
            <w:tcW w:w="4678" w:type="dxa"/>
            <w:vAlign w:val="center"/>
          </w:tcPr>
          <w:p w14:paraId="18DB431F" w14:textId="77777777" w:rsidR="00576FE1" w:rsidRPr="00157FC3" w:rsidRDefault="00576FE1" w:rsidP="00115CD6">
            <w:pPr>
              <w:spacing w:after="0" w:line="240" w:lineRule="auto"/>
              <w:ind w:hanging="249"/>
            </w:pPr>
            <w:r w:rsidRPr="00157FC3">
              <w:rPr>
                <w:color w:val="000000"/>
              </w:rPr>
              <w:t xml:space="preserve">    Dry mouth</w:t>
            </w:r>
          </w:p>
        </w:tc>
        <w:tc>
          <w:tcPr>
            <w:tcW w:w="1648" w:type="dxa"/>
            <w:vAlign w:val="center"/>
          </w:tcPr>
          <w:p w14:paraId="2EAAC40B" w14:textId="77777777" w:rsidR="00576FE1" w:rsidRPr="00157FC3" w:rsidRDefault="00576FE1" w:rsidP="00115CD6">
            <w:pPr>
              <w:spacing w:after="0" w:line="240" w:lineRule="auto"/>
              <w:jc w:val="center"/>
            </w:pPr>
            <w:r w:rsidRPr="00157FC3">
              <w:rPr>
                <w:color w:val="000000"/>
              </w:rPr>
              <w:t>3 (1.2%)</w:t>
            </w:r>
          </w:p>
        </w:tc>
        <w:tc>
          <w:tcPr>
            <w:tcW w:w="1612" w:type="dxa"/>
            <w:vAlign w:val="center"/>
          </w:tcPr>
          <w:p w14:paraId="682FB448" w14:textId="77777777" w:rsidR="00576FE1" w:rsidRPr="00157FC3" w:rsidRDefault="00576FE1" w:rsidP="00115CD6">
            <w:pPr>
              <w:spacing w:after="0" w:line="240" w:lineRule="auto"/>
              <w:jc w:val="center"/>
            </w:pPr>
            <w:r w:rsidRPr="00157FC3">
              <w:rPr>
                <w:color w:val="000000"/>
              </w:rPr>
              <w:t>8 (3.3%)</w:t>
            </w:r>
          </w:p>
        </w:tc>
        <w:tc>
          <w:tcPr>
            <w:tcW w:w="1560" w:type="dxa"/>
            <w:vAlign w:val="center"/>
          </w:tcPr>
          <w:p w14:paraId="092429A4" w14:textId="77777777" w:rsidR="00576FE1" w:rsidRPr="00157FC3" w:rsidRDefault="00576FE1" w:rsidP="00115CD6">
            <w:pPr>
              <w:spacing w:after="0" w:line="240" w:lineRule="auto"/>
              <w:jc w:val="center"/>
            </w:pPr>
            <w:r w:rsidRPr="00157FC3">
              <w:rPr>
                <w:color w:val="000000"/>
              </w:rPr>
              <w:t>11 (2.3%)</w:t>
            </w:r>
          </w:p>
        </w:tc>
      </w:tr>
      <w:tr w:rsidR="00576FE1" w:rsidRPr="00157FC3" w14:paraId="00004F44" w14:textId="77777777" w:rsidTr="00115CD6">
        <w:trPr>
          <w:trHeight w:val="223"/>
        </w:trPr>
        <w:tc>
          <w:tcPr>
            <w:tcW w:w="4678" w:type="dxa"/>
            <w:vAlign w:val="center"/>
          </w:tcPr>
          <w:p w14:paraId="78C6CFFE" w14:textId="77777777" w:rsidR="00576FE1" w:rsidRPr="00157FC3" w:rsidRDefault="00576FE1" w:rsidP="00115CD6">
            <w:pPr>
              <w:spacing w:after="0" w:line="240" w:lineRule="auto"/>
              <w:ind w:hanging="249"/>
            </w:pPr>
            <w:r w:rsidRPr="00157FC3">
              <w:rPr>
                <w:color w:val="000000"/>
              </w:rPr>
              <w:t xml:space="preserve">    Abdominal pain</w:t>
            </w:r>
          </w:p>
        </w:tc>
        <w:tc>
          <w:tcPr>
            <w:tcW w:w="1648" w:type="dxa"/>
            <w:vAlign w:val="center"/>
          </w:tcPr>
          <w:p w14:paraId="7E26469F" w14:textId="77777777" w:rsidR="00576FE1" w:rsidRPr="00157FC3" w:rsidRDefault="00576FE1" w:rsidP="00115CD6">
            <w:pPr>
              <w:spacing w:after="0" w:line="240" w:lineRule="auto"/>
              <w:jc w:val="center"/>
            </w:pPr>
            <w:r w:rsidRPr="00157FC3">
              <w:rPr>
                <w:color w:val="000000"/>
              </w:rPr>
              <w:t>5 (2.1%)</w:t>
            </w:r>
          </w:p>
        </w:tc>
        <w:tc>
          <w:tcPr>
            <w:tcW w:w="1612" w:type="dxa"/>
            <w:vAlign w:val="center"/>
          </w:tcPr>
          <w:p w14:paraId="1D702BA3" w14:textId="77777777" w:rsidR="00576FE1" w:rsidRPr="00157FC3" w:rsidRDefault="00576FE1" w:rsidP="00115CD6">
            <w:pPr>
              <w:spacing w:after="0" w:line="240" w:lineRule="auto"/>
              <w:jc w:val="center"/>
            </w:pPr>
            <w:r w:rsidRPr="00157FC3">
              <w:rPr>
                <w:color w:val="000000"/>
              </w:rPr>
              <w:t>2 (0.8%)</w:t>
            </w:r>
          </w:p>
        </w:tc>
        <w:tc>
          <w:tcPr>
            <w:tcW w:w="1560" w:type="dxa"/>
            <w:vAlign w:val="center"/>
          </w:tcPr>
          <w:p w14:paraId="7346D903" w14:textId="77777777" w:rsidR="00576FE1" w:rsidRPr="00157FC3" w:rsidRDefault="00576FE1" w:rsidP="00115CD6">
            <w:pPr>
              <w:spacing w:after="0" w:line="240" w:lineRule="auto"/>
              <w:jc w:val="center"/>
            </w:pPr>
            <w:r w:rsidRPr="00157FC3">
              <w:rPr>
                <w:color w:val="000000"/>
              </w:rPr>
              <w:t>7 (1.4%)</w:t>
            </w:r>
          </w:p>
        </w:tc>
      </w:tr>
      <w:tr w:rsidR="00576FE1" w:rsidRPr="00157FC3" w14:paraId="5072779F" w14:textId="77777777" w:rsidTr="00115CD6">
        <w:trPr>
          <w:trHeight w:val="543"/>
        </w:trPr>
        <w:tc>
          <w:tcPr>
            <w:tcW w:w="4678" w:type="dxa"/>
            <w:vAlign w:val="center"/>
          </w:tcPr>
          <w:p w14:paraId="26ED8AE4" w14:textId="77777777" w:rsidR="00576FE1" w:rsidRPr="00157FC3" w:rsidRDefault="00576FE1" w:rsidP="00115CD6">
            <w:pPr>
              <w:spacing w:after="0" w:line="240" w:lineRule="auto"/>
            </w:pPr>
            <w:r w:rsidRPr="00157FC3">
              <w:rPr>
                <w:b/>
                <w:color w:val="000000"/>
                <w:lang w:val="en-GB"/>
              </w:rPr>
              <w:t>Skin and subcutaneous tissue disorders</w:t>
            </w:r>
          </w:p>
        </w:tc>
        <w:tc>
          <w:tcPr>
            <w:tcW w:w="1648" w:type="dxa"/>
            <w:vAlign w:val="center"/>
          </w:tcPr>
          <w:p w14:paraId="01F62699" w14:textId="77777777" w:rsidR="00576FE1" w:rsidRPr="00157FC3" w:rsidRDefault="00576FE1" w:rsidP="00115CD6">
            <w:pPr>
              <w:spacing w:after="0" w:line="240" w:lineRule="auto"/>
              <w:jc w:val="center"/>
            </w:pPr>
            <w:r w:rsidRPr="00157FC3">
              <w:rPr>
                <w:b/>
                <w:color w:val="000000"/>
              </w:rPr>
              <w:t>79 (32.8%)</w:t>
            </w:r>
          </w:p>
        </w:tc>
        <w:tc>
          <w:tcPr>
            <w:tcW w:w="1612" w:type="dxa"/>
            <w:vAlign w:val="center"/>
          </w:tcPr>
          <w:p w14:paraId="5B336DB5" w14:textId="77777777" w:rsidR="00576FE1" w:rsidRPr="00157FC3" w:rsidRDefault="00576FE1" w:rsidP="00115CD6">
            <w:pPr>
              <w:spacing w:after="0" w:line="240" w:lineRule="auto"/>
              <w:jc w:val="center"/>
            </w:pPr>
            <w:r w:rsidRPr="00157FC3">
              <w:rPr>
                <w:b/>
                <w:color w:val="000000"/>
              </w:rPr>
              <w:t>81 (33.5%)</w:t>
            </w:r>
          </w:p>
        </w:tc>
        <w:tc>
          <w:tcPr>
            <w:tcW w:w="1560" w:type="dxa"/>
            <w:vAlign w:val="center"/>
          </w:tcPr>
          <w:p w14:paraId="5F04A673" w14:textId="77777777" w:rsidR="00576FE1" w:rsidRPr="00157FC3" w:rsidRDefault="00576FE1" w:rsidP="00115CD6">
            <w:pPr>
              <w:spacing w:after="0" w:line="240" w:lineRule="auto"/>
              <w:jc w:val="center"/>
            </w:pPr>
            <w:r w:rsidRPr="00157FC3">
              <w:rPr>
                <w:b/>
                <w:color w:val="000000"/>
              </w:rPr>
              <w:t>160 (33.1%)</w:t>
            </w:r>
          </w:p>
        </w:tc>
      </w:tr>
      <w:tr w:rsidR="00576FE1" w:rsidRPr="00157FC3" w14:paraId="2E75FE4D" w14:textId="77777777" w:rsidTr="00115CD6">
        <w:trPr>
          <w:trHeight w:val="223"/>
        </w:trPr>
        <w:tc>
          <w:tcPr>
            <w:tcW w:w="4678" w:type="dxa"/>
            <w:vAlign w:val="center"/>
          </w:tcPr>
          <w:p w14:paraId="5263F38A" w14:textId="77777777" w:rsidR="00576FE1" w:rsidRPr="00157FC3" w:rsidRDefault="00576FE1" w:rsidP="00115CD6">
            <w:pPr>
              <w:spacing w:after="0" w:line="240" w:lineRule="auto"/>
              <w:ind w:hanging="249"/>
            </w:pPr>
            <w:r w:rsidRPr="00157FC3">
              <w:rPr>
                <w:color w:val="000000"/>
              </w:rPr>
              <w:t xml:space="preserve">    Alopecia</w:t>
            </w:r>
          </w:p>
        </w:tc>
        <w:tc>
          <w:tcPr>
            <w:tcW w:w="1648" w:type="dxa"/>
            <w:vAlign w:val="center"/>
          </w:tcPr>
          <w:p w14:paraId="5F82DABC" w14:textId="77777777" w:rsidR="00576FE1" w:rsidRPr="00157FC3" w:rsidRDefault="00576FE1" w:rsidP="00115CD6">
            <w:pPr>
              <w:spacing w:after="0" w:line="240" w:lineRule="auto"/>
              <w:jc w:val="center"/>
            </w:pPr>
            <w:r w:rsidRPr="00157FC3">
              <w:rPr>
                <w:color w:val="000000"/>
              </w:rPr>
              <w:t>44 (18.3%)</w:t>
            </w:r>
          </w:p>
        </w:tc>
        <w:tc>
          <w:tcPr>
            <w:tcW w:w="1612" w:type="dxa"/>
            <w:vAlign w:val="center"/>
          </w:tcPr>
          <w:p w14:paraId="3A0E43D3" w14:textId="77777777" w:rsidR="00576FE1" w:rsidRPr="00157FC3" w:rsidRDefault="00576FE1" w:rsidP="00115CD6">
            <w:pPr>
              <w:spacing w:after="0" w:line="240" w:lineRule="auto"/>
              <w:jc w:val="center"/>
            </w:pPr>
            <w:r w:rsidRPr="00157FC3">
              <w:rPr>
                <w:color w:val="000000"/>
              </w:rPr>
              <w:t>58 (24.0%)</w:t>
            </w:r>
          </w:p>
        </w:tc>
        <w:tc>
          <w:tcPr>
            <w:tcW w:w="1560" w:type="dxa"/>
            <w:vAlign w:val="center"/>
          </w:tcPr>
          <w:p w14:paraId="504CD436" w14:textId="77777777" w:rsidR="00576FE1" w:rsidRPr="00157FC3" w:rsidRDefault="00576FE1" w:rsidP="00115CD6">
            <w:pPr>
              <w:spacing w:after="0" w:line="240" w:lineRule="auto"/>
              <w:jc w:val="center"/>
            </w:pPr>
            <w:r w:rsidRPr="00157FC3">
              <w:rPr>
                <w:color w:val="000000"/>
              </w:rPr>
              <w:t>102 (21.1%)</w:t>
            </w:r>
          </w:p>
        </w:tc>
      </w:tr>
      <w:tr w:rsidR="00576FE1" w:rsidRPr="00157FC3" w14:paraId="58C15F2C" w14:textId="77777777" w:rsidTr="00115CD6">
        <w:trPr>
          <w:trHeight w:val="235"/>
        </w:trPr>
        <w:tc>
          <w:tcPr>
            <w:tcW w:w="4678" w:type="dxa"/>
            <w:vAlign w:val="center"/>
          </w:tcPr>
          <w:p w14:paraId="7FA98BE9" w14:textId="77777777" w:rsidR="00576FE1" w:rsidRPr="00157FC3" w:rsidRDefault="00576FE1" w:rsidP="00115CD6">
            <w:pPr>
              <w:spacing w:after="0" w:line="240" w:lineRule="auto"/>
              <w:ind w:hanging="249"/>
            </w:pPr>
            <w:r w:rsidRPr="00157FC3">
              <w:rPr>
                <w:color w:val="000000"/>
              </w:rPr>
              <w:t xml:space="preserve">    Pruritus</w:t>
            </w:r>
          </w:p>
        </w:tc>
        <w:tc>
          <w:tcPr>
            <w:tcW w:w="1648" w:type="dxa"/>
            <w:vAlign w:val="center"/>
          </w:tcPr>
          <w:p w14:paraId="266975D6" w14:textId="77777777" w:rsidR="00576FE1" w:rsidRPr="00157FC3" w:rsidRDefault="00576FE1" w:rsidP="00115CD6">
            <w:pPr>
              <w:spacing w:after="0" w:line="240" w:lineRule="auto"/>
              <w:jc w:val="center"/>
            </w:pPr>
            <w:r w:rsidRPr="00157FC3">
              <w:rPr>
                <w:color w:val="000000"/>
              </w:rPr>
              <w:t>14 (5.8%)</w:t>
            </w:r>
          </w:p>
        </w:tc>
        <w:tc>
          <w:tcPr>
            <w:tcW w:w="1612" w:type="dxa"/>
            <w:vAlign w:val="center"/>
          </w:tcPr>
          <w:p w14:paraId="36DA66E3" w14:textId="77777777" w:rsidR="00576FE1" w:rsidRPr="00157FC3" w:rsidRDefault="00576FE1" w:rsidP="00115CD6">
            <w:pPr>
              <w:spacing w:after="0" w:line="240" w:lineRule="auto"/>
              <w:jc w:val="center"/>
            </w:pPr>
            <w:r w:rsidRPr="00157FC3">
              <w:rPr>
                <w:color w:val="000000"/>
              </w:rPr>
              <w:t>12 (5.0%)</w:t>
            </w:r>
          </w:p>
        </w:tc>
        <w:tc>
          <w:tcPr>
            <w:tcW w:w="1560" w:type="dxa"/>
            <w:vAlign w:val="center"/>
          </w:tcPr>
          <w:p w14:paraId="73A9EBA0" w14:textId="77777777" w:rsidR="00576FE1" w:rsidRPr="00157FC3" w:rsidRDefault="00576FE1" w:rsidP="00115CD6">
            <w:pPr>
              <w:spacing w:after="0" w:line="240" w:lineRule="auto"/>
              <w:jc w:val="center"/>
            </w:pPr>
            <w:r w:rsidRPr="00157FC3">
              <w:rPr>
                <w:color w:val="000000"/>
              </w:rPr>
              <w:t>26 (5.4%)</w:t>
            </w:r>
          </w:p>
        </w:tc>
      </w:tr>
      <w:tr w:rsidR="00576FE1" w:rsidRPr="00157FC3" w14:paraId="26D691D8" w14:textId="77777777" w:rsidTr="00115CD6">
        <w:trPr>
          <w:trHeight w:val="223"/>
        </w:trPr>
        <w:tc>
          <w:tcPr>
            <w:tcW w:w="4678" w:type="dxa"/>
            <w:vAlign w:val="center"/>
          </w:tcPr>
          <w:p w14:paraId="0D6CF32E" w14:textId="77777777" w:rsidR="00576FE1" w:rsidRPr="00157FC3" w:rsidRDefault="00576FE1" w:rsidP="00115CD6">
            <w:pPr>
              <w:spacing w:after="0" w:line="240" w:lineRule="auto"/>
              <w:ind w:hanging="249"/>
            </w:pPr>
            <w:r w:rsidRPr="00157FC3">
              <w:rPr>
                <w:color w:val="000000"/>
              </w:rPr>
              <w:t xml:space="preserve">    Rash</w:t>
            </w:r>
          </w:p>
        </w:tc>
        <w:tc>
          <w:tcPr>
            <w:tcW w:w="1648" w:type="dxa"/>
            <w:vAlign w:val="center"/>
          </w:tcPr>
          <w:p w14:paraId="27B9D72C" w14:textId="77777777" w:rsidR="00576FE1" w:rsidRPr="00157FC3" w:rsidRDefault="00576FE1" w:rsidP="00115CD6">
            <w:pPr>
              <w:spacing w:after="0" w:line="240" w:lineRule="auto"/>
              <w:jc w:val="center"/>
            </w:pPr>
            <w:r w:rsidRPr="00157FC3">
              <w:rPr>
                <w:color w:val="000000"/>
              </w:rPr>
              <w:t>15 (6.2%)</w:t>
            </w:r>
          </w:p>
        </w:tc>
        <w:tc>
          <w:tcPr>
            <w:tcW w:w="1612" w:type="dxa"/>
            <w:vAlign w:val="center"/>
          </w:tcPr>
          <w:p w14:paraId="1F8073F3" w14:textId="77777777" w:rsidR="00576FE1" w:rsidRPr="00157FC3" w:rsidRDefault="00576FE1" w:rsidP="00115CD6">
            <w:pPr>
              <w:spacing w:after="0" w:line="240" w:lineRule="auto"/>
              <w:jc w:val="center"/>
            </w:pPr>
            <w:r w:rsidRPr="00157FC3">
              <w:rPr>
                <w:color w:val="000000"/>
              </w:rPr>
              <w:t>10 (4.1%)</w:t>
            </w:r>
          </w:p>
        </w:tc>
        <w:tc>
          <w:tcPr>
            <w:tcW w:w="1560" w:type="dxa"/>
            <w:vAlign w:val="center"/>
          </w:tcPr>
          <w:p w14:paraId="1DECF743" w14:textId="77777777" w:rsidR="00576FE1" w:rsidRPr="00157FC3" w:rsidRDefault="00576FE1" w:rsidP="00115CD6">
            <w:pPr>
              <w:spacing w:after="0" w:line="240" w:lineRule="auto"/>
              <w:jc w:val="center"/>
            </w:pPr>
            <w:r w:rsidRPr="00157FC3">
              <w:rPr>
                <w:color w:val="000000"/>
              </w:rPr>
              <w:t>25 (5.2%)</w:t>
            </w:r>
          </w:p>
        </w:tc>
      </w:tr>
      <w:tr w:rsidR="00576FE1" w:rsidRPr="00157FC3" w14:paraId="771C953E" w14:textId="77777777" w:rsidTr="00115CD6">
        <w:trPr>
          <w:trHeight w:val="223"/>
        </w:trPr>
        <w:tc>
          <w:tcPr>
            <w:tcW w:w="4678" w:type="dxa"/>
            <w:vAlign w:val="center"/>
          </w:tcPr>
          <w:p w14:paraId="10A5D068" w14:textId="77777777" w:rsidR="00576FE1" w:rsidRPr="00157FC3" w:rsidRDefault="00576FE1" w:rsidP="00115CD6">
            <w:pPr>
              <w:spacing w:after="0" w:line="240" w:lineRule="auto"/>
              <w:ind w:hanging="249"/>
            </w:pPr>
            <w:r w:rsidRPr="00157FC3">
              <w:rPr>
                <w:color w:val="000000"/>
              </w:rPr>
              <w:t xml:space="preserve">    Dry skin</w:t>
            </w:r>
          </w:p>
        </w:tc>
        <w:tc>
          <w:tcPr>
            <w:tcW w:w="1648" w:type="dxa"/>
            <w:vAlign w:val="center"/>
          </w:tcPr>
          <w:p w14:paraId="4438DD74" w14:textId="77777777" w:rsidR="00576FE1" w:rsidRPr="00157FC3" w:rsidRDefault="00576FE1" w:rsidP="00115CD6">
            <w:pPr>
              <w:spacing w:after="0" w:line="240" w:lineRule="auto"/>
              <w:jc w:val="center"/>
            </w:pPr>
            <w:r w:rsidRPr="00157FC3">
              <w:rPr>
                <w:color w:val="000000"/>
              </w:rPr>
              <w:t>4 (1.7%)</w:t>
            </w:r>
          </w:p>
        </w:tc>
        <w:tc>
          <w:tcPr>
            <w:tcW w:w="1612" w:type="dxa"/>
            <w:vAlign w:val="center"/>
          </w:tcPr>
          <w:p w14:paraId="54948368" w14:textId="77777777" w:rsidR="00576FE1" w:rsidRPr="00157FC3" w:rsidRDefault="00576FE1" w:rsidP="00115CD6">
            <w:pPr>
              <w:spacing w:after="0" w:line="240" w:lineRule="auto"/>
              <w:jc w:val="center"/>
            </w:pPr>
            <w:r w:rsidRPr="00157FC3">
              <w:rPr>
                <w:color w:val="000000"/>
              </w:rPr>
              <w:t>14 (5.8%)</w:t>
            </w:r>
          </w:p>
        </w:tc>
        <w:tc>
          <w:tcPr>
            <w:tcW w:w="1560" w:type="dxa"/>
            <w:vAlign w:val="center"/>
          </w:tcPr>
          <w:p w14:paraId="60820592" w14:textId="77777777" w:rsidR="00576FE1" w:rsidRPr="00157FC3" w:rsidRDefault="00576FE1" w:rsidP="00115CD6">
            <w:pPr>
              <w:spacing w:after="0" w:line="240" w:lineRule="auto"/>
              <w:jc w:val="center"/>
            </w:pPr>
            <w:r w:rsidRPr="00157FC3">
              <w:rPr>
                <w:color w:val="000000"/>
              </w:rPr>
              <w:t>18 (3.7%)</w:t>
            </w:r>
          </w:p>
        </w:tc>
      </w:tr>
      <w:tr w:rsidR="00576FE1" w:rsidRPr="00157FC3" w14:paraId="2AABABD1" w14:textId="77777777" w:rsidTr="00115CD6">
        <w:trPr>
          <w:trHeight w:val="223"/>
        </w:trPr>
        <w:tc>
          <w:tcPr>
            <w:tcW w:w="4678" w:type="dxa"/>
            <w:vAlign w:val="center"/>
          </w:tcPr>
          <w:p w14:paraId="1E96583F" w14:textId="77777777" w:rsidR="00576FE1" w:rsidRPr="00157FC3" w:rsidRDefault="00576FE1" w:rsidP="00115CD6">
            <w:pPr>
              <w:spacing w:after="0" w:line="240" w:lineRule="auto"/>
              <w:ind w:hanging="249"/>
            </w:pPr>
            <w:r w:rsidRPr="00157FC3">
              <w:rPr>
                <w:color w:val="000000"/>
              </w:rPr>
              <w:t xml:space="preserve">    Nail toxicity</w:t>
            </w:r>
          </w:p>
        </w:tc>
        <w:tc>
          <w:tcPr>
            <w:tcW w:w="1648" w:type="dxa"/>
            <w:vAlign w:val="center"/>
          </w:tcPr>
          <w:p w14:paraId="08C431F2" w14:textId="77777777" w:rsidR="00576FE1" w:rsidRPr="00157FC3" w:rsidRDefault="00576FE1" w:rsidP="00115CD6">
            <w:pPr>
              <w:spacing w:after="0" w:line="240" w:lineRule="auto"/>
              <w:jc w:val="center"/>
            </w:pPr>
            <w:r w:rsidRPr="00157FC3">
              <w:rPr>
                <w:color w:val="000000"/>
              </w:rPr>
              <w:t>3 (1.2%)</w:t>
            </w:r>
          </w:p>
        </w:tc>
        <w:tc>
          <w:tcPr>
            <w:tcW w:w="1612" w:type="dxa"/>
            <w:vAlign w:val="center"/>
          </w:tcPr>
          <w:p w14:paraId="69BCC835" w14:textId="77777777" w:rsidR="00576FE1" w:rsidRPr="00157FC3" w:rsidRDefault="00576FE1" w:rsidP="00115CD6">
            <w:pPr>
              <w:spacing w:after="0" w:line="240" w:lineRule="auto"/>
              <w:jc w:val="center"/>
            </w:pPr>
            <w:r w:rsidRPr="00157FC3">
              <w:rPr>
                <w:color w:val="000000"/>
              </w:rPr>
              <w:t>6 (2.5%)</w:t>
            </w:r>
          </w:p>
        </w:tc>
        <w:tc>
          <w:tcPr>
            <w:tcW w:w="1560" w:type="dxa"/>
            <w:vAlign w:val="center"/>
          </w:tcPr>
          <w:p w14:paraId="0A599B68" w14:textId="77777777" w:rsidR="00576FE1" w:rsidRPr="00157FC3" w:rsidRDefault="00576FE1" w:rsidP="00115CD6">
            <w:pPr>
              <w:spacing w:after="0" w:line="240" w:lineRule="auto"/>
              <w:jc w:val="center"/>
            </w:pPr>
            <w:r w:rsidRPr="00157FC3">
              <w:rPr>
                <w:color w:val="000000"/>
              </w:rPr>
              <w:t>9 (1.9%)</w:t>
            </w:r>
          </w:p>
        </w:tc>
      </w:tr>
      <w:tr w:rsidR="00576FE1" w:rsidRPr="00157FC3" w14:paraId="712698AF" w14:textId="77777777" w:rsidTr="00115CD6">
        <w:trPr>
          <w:trHeight w:val="223"/>
        </w:trPr>
        <w:tc>
          <w:tcPr>
            <w:tcW w:w="4678" w:type="dxa"/>
            <w:vAlign w:val="center"/>
          </w:tcPr>
          <w:p w14:paraId="16EB2BE6" w14:textId="77777777" w:rsidR="00576FE1" w:rsidRPr="00157FC3" w:rsidRDefault="00576FE1" w:rsidP="00115CD6">
            <w:pPr>
              <w:spacing w:after="0" w:line="240" w:lineRule="auto"/>
              <w:ind w:hanging="249"/>
            </w:pPr>
            <w:r w:rsidRPr="00157FC3">
              <w:rPr>
                <w:color w:val="000000"/>
              </w:rPr>
              <w:t xml:space="preserve">    Xeroderma</w:t>
            </w:r>
          </w:p>
        </w:tc>
        <w:tc>
          <w:tcPr>
            <w:tcW w:w="1648" w:type="dxa"/>
            <w:vAlign w:val="center"/>
          </w:tcPr>
          <w:p w14:paraId="56FFC828" w14:textId="77777777" w:rsidR="00576FE1" w:rsidRPr="00157FC3" w:rsidRDefault="00576FE1" w:rsidP="00115CD6">
            <w:pPr>
              <w:spacing w:after="0" w:line="240" w:lineRule="auto"/>
              <w:jc w:val="center"/>
            </w:pPr>
            <w:r w:rsidRPr="00157FC3">
              <w:rPr>
                <w:color w:val="000000"/>
              </w:rPr>
              <w:t>2 (0.8%)</w:t>
            </w:r>
          </w:p>
        </w:tc>
        <w:tc>
          <w:tcPr>
            <w:tcW w:w="1612" w:type="dxa"/>
            <w:vAlign w:val="center"/>
          </w:tcPr>
          <w:p w14:paraId="2DAE89D0" w14:textId="77777777" w:rsidR="00576FE1" w:rsidRPr="00157FC3" w:rsidRDefault="00576FE1" w:rsidP="00115CD6">
            <w:pPr>
              <w:spacing w:after="0" w:line="240" w:lineRule="auto"/>
              <w:jc w:val="center"/>
            </w:pPr>
            <w:r w:rsidRPr="00157FC3">
              <w:rPr>
                <w:color w:val="000000"/>
              </w:rPr>
              <w:t>5 (2.1%)</w:t>
            </w:r>
          </w:p>
        </w:tc>
        <w:tc>
          <w:tcPr>
            <w:tcW w:w="1560" w:type="dxa"/>
            <w:vAlign w:val="center"/>
          </w:tcPr>
          <w:p w14:paraId="1BE9BDE4" w14:textId="77777777" w:rsidR="00576FE1" w:rsidRPr="00157FC3" w:rsidRDefault="00576FE1" w:rsidP="00115CD6">
            <w:pPr>
              <w:spacing w:after="0" w:line="240" w:lineRule="auto"/>
              <w:jc w:val="center"/>
            </w:pPr>
            <w:r w:rsidRPr="00157FC3">
              <w:rPr>
                <w:color w:val="000000"/>
              </w:rPr>
              <w:t>7 (1.4%)</w:t>
            </w:r>
          </w:p>
        </w:tc>
      </w:tr>
      <w:tr w:rsidR="00576FE1" w:rsidRPr="00157FC3" w14:paraId="3FF42CCE" w14:textId="77777777" w:rsidTr="00115CD6">
        <w:trPr>
          <w:trHeight w:val="585"/>
        </w:trPr>
        <w:tc>
          <w:tcPr>
            <w:tcW w:w="4678" w:type="dxa"/>
            <w:vAlign w:val="center"/>
          </w:tcPr>
          <w:p w14:paraId="70BC6F00" w14:textId="77777777" w:rsidR="00576FE1" w:rsidRPr="00157FC3" w:rsidRDefault="00576FE1" w:rsidP="00115CD6">
            <w:pPr>
              <w:spacing w:after="0" w:line="240" w:lineRule="auto"/>
            </w:pPr>
            <w:r w:rsidRPr="00157FC3">
              <w:rPr>
                <w:b/>
                <w:color w:val="000000"/>
                <w:lang w:val="en-GB"/>
              </w:rPr>
              <w:t>Musculoskeletal and connective tissue disorders</w:t>
            </w:r>
          </w:p>
        </w:tc>
        <w:tc>
          <w:tcPr>
            <w:tcW w:w="1648" w:type="dxa"/>
            <w:vAlign w:val="center"/>
          </w:tcPr>
          <w:p w14:paraId="07FB55E7" w14:textId="77777777" w:rsidR="00576FE1" w:rsidRPr="00157FC3" w:rsidRDefault="00576FE1" w:rsidP="00115CD6">
            <w:pPr>
              <w:spacing w:after="0" w:line="240" w:lineRule="auto"/>
              <w:jc w:val="center"/>
            </w:pPr>
            <w:r w:rsidRPr="00157FC3">
              <w:rPr>
                <w:b/>
                <w:color w:val="000000"/>
              </w:rPr>
              <w:t>45 (18.7%)</w:t>
            </w:r>
          </w:p>
        </w:tc>
        <w:tc>
          <w:tcPr>
            <w:tcW w:w="1612" w:type="dxa"/>
            <w:vAlign w:val="center"/>
          </w:tcPr>
          <w:p w14:paraId="501B3EFB" w14:textId="77777777" w:rsidR="00576FE1" w:rsidRPr="00157FC3" w:rsidRDefault="00576FE1" w:rsidP="00115CD6">
            <w:pPr>
              <w:spacing w:after="0" w:line="240" w:lineRule="auto"/>
              <w:jc w:val="center"/>
            </w:pPr>
            <w:r w:rsidRPr="00157FC3">
              <w:rPr>
                <w:b/>
                <w:color w:val="000000"/>
              </w:rPr>
              <w:t>70 (28.9%)</w:t>
            </w:r>
          </w:p>
        </w:tc>
        <w:tc>
          <w:tcPr>
            <w:tcW w:w="1560" w:type="dxa"/>
            <w:vAlign w:val="center"/>
          </w:tcPr>
          <w:p w14:paraId="404C08A3" w14:textId="77777777" w:rsidR="00576FE1" w:rsidRPr="00157FC3" w:rsidRDefault="00576FE1" w:rsidP="00115CD6">
            <w:pPr>
              <w:spacing w:after="0" w:line="240" w:lineRule="auto"/>
              <w:jc w:val="center"/>
            </w:pPr>
            <w:r w:rsidRPr="00157FC3">
              <w:rPr>
                <w:b/>
                <w:color w:val="000000"/>
              </w:rPr>
              <w:t>115 (23.8%)</w:t>
            </w:r>
          </w:p>
        </w:tc>
      </w:tr>
      <w:tr w:rsidR="00576FE1" w:rsidRPr="00157FC3" w14:paraId="7281F5C5" w14:textId="77777777" w:rsidTr="00115CD6">
        <w:trPr>
          <w:trHeight w:val="223"/>
        </w:trPr>
        <w:tc>
          <w:tcPr>
            <w:tcW w:w="4678" w:type="dxa"/>
            <w:vAlign w:val="center"/>
          </w:tcPr>
          <w:p w14:paraId="1567C1A4" w14:textId="77777777" w:rsidR="00576FE1" w:rsidRPr="00157FC3" w:rsidRDefault="00576FE1" w:rsidP="00115CD6">
            <w:pPr>
              <w:spacing w:after="0" w:line="240" w:lineRule="auto"/>
              <w:ind w:hanging="249"/>
            </w:pPr>
            <w:r w:rsidRPr="00157FC3">
              <w:rPr>
                <w:color w:val="000000"/>
              </w:rPr>
              <w:t xml:space="preserve">    Arthralgia</w:t>
            </w:r>
          </w:p>
        </w:tc>
        <w:tc>
          <w:tcPr>
            <w:tcW w:w="1648" w:type="dxa"/>
            <w:vAlign w:val="center"/>
          </w:tcPr>
          <w:p w14:paraId="487C6C25" w14:textId="77777777" w:rsidR="00576FE1" w:rsidRPr="00157FC3" w:rsidRDefault="00576FE1" w:rsidP="00115CD6">
            <w:pPr>
              <w:spacing w:after="0" w:line="240" w:lineRule="auto"/>
              <w:jc w:val="center"/>
            </w:pPr>
            <w:r w:rsidRPr="00157FC3">
              <w:rPr>
                <w:color w:val="000000"/>
              </w:rPr>
              <w:t>26 (10.8%)</w:t>
            </w:r>
          </w:p>
        </w:tc>
        <w:tc>
          <w:tcPr>
            <w:tcW w:w="1612" w:type="dxa"/>
            <w:vAlign w:val="center"/>
          </w:tcPr>
          <w:p w14:paraId="684DB0CA" w14:textId="77777777" w:rsidR="00576FE1" w:rsidRPr="00157FC3" w:rsidRDefault="00576FE1" w:rsidP="00115CD6">
            <w:pPr>
              <w:spacing w:after="0" w:line="240" w:lineRule="auto"/>
              <w:jc w:val="center"/>
            </w:pPr>
            <w:r w:rsidRPr="00157FC3">
              <w:rPr>
                <w:color w:val="000000"/>
              </w:rPr>
              <w:t>44 (18.2%)</w:t>
            </w:r>
          </w:p>
        </w:tc>
        <w:tc>
          <w:tcPr>
            <w:tcW w:w="1560" w:type="dxa"/>
            <w:vAlign w:val="center"/>
          </w:tcPr>
          <w:p w14:paraId="07841E10" w14:textId="77777777" w:rsidR="00576FE1" w:rsidRPr="00157FC3" w:rsidRDefault="00576FE1" w:rsidP="00115CD6">
            <w:pPr>
              <w:spacing w:after="0" w:line="240" w:lineRule="auto"/>
              <w:jc w:val="center"/>
            </w:pPr>
            <w:r w:rsidRPr="00157FC3">
              <w:rPr>
                <w:color w:val="000000"/>
              </w:rPr>
              <w:t>70 (14.5%)</w:t>
            </w:r>
          </w:p>
        </w:tc>
      </w:tr>
      <w:tr w:rsidR="00576FE1" w:rsidRPr="00157FC3" w14:paraId="2C560D5C" w14:textId="77777777" w:rsidTr="00115CD6">
        <w:trPr>
          <w:trHeight w:val="223"/>
        </w:trPr>
        <w:tc>
          <w:tcPr>
            <w:tcW w:w="4678" w:type="dxa"/>
            <w:vAlign w:val="center"/>
          </w:tcPr>
          <w:p w14:paraId="7EBE7BFA" w14:textId="77777777" w:rsidR="00576FE1" w:rsidRPr="00157FC3" w:rsidRDefault="00576FE1" w:rsidP="00115CD6">
            <w:pPr>
              <w:spacing w:after="0" w:line="240" w:lineRule="auto"/>
              <w:ind w:hanging="249"/>
            </w:pPr>
            <w:r w:rsidRPr="00157FC3">
              <w:rPr>
                <w:color w:val="000000"/>
              </w:rPr>
              <w:t xml:space="preserve">    Musculoskeletal pain</w:t>
            </w:r>
          </w:p>
        </w:tc>
        <w:tc>
          <w:tcPr>
            <w:tcW w:w="1648" w:type="dxa"/>
            <w:vAlign w:val="center"/>
          </w:tcPr>
          <w:p w14:paraId="6CA717EF" w14:textId="77777777" w:rsidR="00576FE1" w:rsidRPr="00157FC3" w:rsidRDefault="00576FE1" w:rsidP="00115CD6">
            <w:pPr>
              <w:spacing w:after="0" w:line="240" w:lineRule="auto"/>
              <w:jc w:val="center"/>
            </w:pPr>
            <w:r w:rsidRPr="00157FC3">
              <w:rPr>
                <w:color w:val="000000"/>
              </w:rPr>
              <w:t>9 (3.7%)</w:t>
            </w:r>
          </w:p>
        </w:tc>
        <w:tc>
          <w:tcPr>
            <w:tcW w:w="1612" w:type="dxa"/>
            <w:vAlign w:val="center"/>
          </w:tcPr>
          <w:p w14:paraId="614E1E3D" w14:textId="77777777" w:rsidR="00576FE1" w:rsidRPr="00157FC3" w:rsidRDefault="00576FE1" w:rsidP="00115CD6">
            <w:pPr>
              <w:spacing w:after="0" w:line="240" w:lineRule="auto"/>
              <w:jc w:val="center"/>
            </w:pPr>
            <w:r w:rsidRPr="00157FC3">
              <w:rPr>
                <w:color w:val="000000"/>
              </w:rPr>
              <w:t>11 (4.5%)</w:t>
            </w:r>
          </w:p>
        </w:tc>
        <w:tc>
          <w:tcPr>
            <w:tcW w:w="1560" w:type="dxa"/>
            <w:vAlign w:val="center"/>
          </w:tcPr>
          <w:p w14:paraId="0CEAF217" w14:textId="77777777" w:rsidR="00576FE1" w:rsidRPr="00157FC3" w:rsidRDefault="00576FE1" w:rsidP="00115CD6">
            <w:pPr>
              <w:spacing w:after="0" w:line="240" w:lineRule="auto"/>
              <w:jc w:val="center"/>
            </w:pPr>
            <w:r w:rsidRPr="00157FC3">
              <w:rPr>
                <w:color w:val="000000"/>
              </w:rPr>
              <w:t>20 (4.1%)</w:t>
            </w:r>
          </w:p>
        </w:tc>
      </w:tr>
      <w:tr w:rsidR="00576FE1" w:rsidRPr="00157FC3" w14:paraId="1F434928" w14:textId="77777777" w:rsidTr="00115CD6">
        <w:trPr>
          <w:trHeight w:val="235"/>
        </w:trPr>
        <w:tc>
          <w:tcPr>
            <w:tcW w:w="4678" w:type="dxa"/>
            <w:vAlign w:val="center"/>
          </w:tcPr>
          <w:p w14:paraId="7C4B5451" w14:textId="77777777" w:rsidR="00576FE1" w:rsidRPr="00157FC3" w:rsidRDefault="00576FE1" w:rsidP="00115CD6">
            <w:pPr>
              <w:spacing w:after="0" w:line="240" w:lineRule="auto"/>
              <w:ind w:hanging="249"/>
            </w:pPr>
            <w:r w:rsidRPr="00157FC3">
              <w:rPr>
                <w:color w:val="000000"/>
              </w:rPr>
              <w:t xml:space="preserve">    Myalgia</w:t>
            </w:r>
          </w:p>
        </w:tc>
        <w:tc>
          <w:tcPr>
            <w:tcW w:w="1648" w:type="dxa"/>
            <w:vAlign w:val="center"/>
          </w:tcPr>
          <w:p w14:paraId="70EE95B8" w14:textId="77777777" w:rsidR="00576FE1" w:rsidRPr="00157FC3" w:rsidRDefault="00576FE1" w:rsidP="00115CD6">
            <w:pPr>
              <w:spacing w:after="0" w:line="240" w:lineRule="auto"/>
              <w:jc w:val="center"/>
            </w:pPr>
            <w:r w:rsidRPr="00157FC3">
              <w:rPr>
                <w:color w:val="000000"/>
              </w:rPr>
              <w:t>6 (2.5%)</w:t>
            </w:r>
          </w:p>
        </w:tc>
        <w:tc>
          <w:tcPr>
            <w:tcW w:w="1612" w:type="dxa"/>
            <w:vAlign w:val="center"/>
          </w:tcPr>
          <w:p w14:paraId="0BF29C13" w14:textId="77777777" w:rsidR="00576FE1" w:rsidRPr="00157FC3" w:rsidRDefault="00576FE1" w:rsidP="00115CD6">
            <w:pPr>
              <w:spacing w:after="0" w:line="240" w:lineRule="auto"/>
              <w:jc w:val="center"/>
            </w:pPr>
            <w:r w:rsidRPr="00157FC3">
              <w:rPr>
                <w:color w:val="000000"/>
              </w:rPr>
              <w:t>3 (1.2%)</w:t>
            </w:r>
          </w:p>
        </w:tc>
        <w:tc>
          <w:tcPr>
            <w:tcW w:w="1560" w:type="dxa"/>
            <w:vAlign w:val="center"/>
          </w:tcPr>
          <w:p w14:paraId="755A2B7D" w14:textId="77777777" w:rsidR="00576FE1" w:rsidRPr="00157FC3" w:rsidRDefault="00576FE1" w:rsidP="00115CD6">
            <w:pPr>
              <w:spacing w:after="0" w:line="240" w:lineRule="auto"/>
              <w:jc w:val="center"/>
            </w:pPr>
            <w:r w:rsidRPr="00157FC3">
              <w:rPr>
                <w:color w:val="000000"/>
              </w:rPr>
              <w:t>9 (1.9%)</w:t>
            </w:r>
          </w:p>
        </w:tc>
      </w:tr>
      <w:tr w:rsidR="00576FE1" w:rsidRPr="00157FC3" w14:paraId="3DB3C1D2" w14:textId="77777777" w:rsidTr="00115CD6">
        <w:trPr>
          <w:trHeight w:val="223"/>
        </w:trPr>
        <w:tc>
          <w:tcPr>
            <w:tcW w:w="4678" w:type="dxa"/>
            <w:vAlign w:val="center"/>
          </w:tcPr>
          <w:p w14:paraId="735A48FD" w14:textId="77777777" w:rsidR="00576FE1" w:rsidRPr="00157FC3" w:rsidRDefault="00576FE1" w:rsidP="00115CD6">
            <w:pPr>
              <w:spacing w:after="0" w:line="240" w:lineRule="auto"/>
              <w:ind w:hanging="249"/>
            </w:pPr>
            <w:r w:rsidRPr="00157FC3">
              <w:rPr>
                <w:color w:val="000000"/>
              </w:rPr>
              <w:t xml:space="preserve">    Pain in extremity</w:t>
            </w:r>
          </w:p>
        </w:tc>
        <w:tc>
          <w:tcPr>
            <w:tcW w:w="1648" w:type="dxa"/>
            <w:vAlign w:val="center"/>
          </w:tcPr>
          <w:p w14:paraId="69AEFA5C" w14:textId="77777777" w:rsidR="00576FE1" w:rsidRPr="00157FC3" w:rsidRDefault="00576FE1" w:rsidP="00115CD6">
            <w:pPr>
              <w:spacing w:after="0" w:line="240" w:lineRule="auto"/>
              <w:jc w:val="center"/>
            </w:pPr>
            <w:r w:rsidRPr="00157FC3">
              <w:rPr>
                <w:color w:val="000000"/>
              </w:rPr>
              <w:t>5 (2.1%)</w:t>
            </w:r>
          </w:p>
        </w:tc>
        <w:tc>
          <w:tcPr>
            <w:tcW w:w="1612" w:type="dxa"/>
            <w:vAlign w:val="center"/>
          </w:tcPr>
          <w:p w14:paraId="78C77D5A" w14:textId="77777777" w:rsidR="00576FE1" w:rsidRPr="00157FC3" w:rsidRDefault="00576FE1" w:rsidP="00115CD6">
            <w:pPr>
              <w:spacing w:after="0" w:line="240" w:lineRule="auto"/>
              <w:jc w:val="center"/>
            </w:pPr>
            <w:r w:rsidRPr="00157FC3">
              <w:rPr>
                <w:color w:val="000000"/>
              </w:rPr>
              <w:t>1 (0.4%)</w:t>
            </w:r>
          </w:p>
        </w:tc>
        <w:tc>
          <w:tcPr>
            <w:tcW w:w="1560" w:type="dxa"/>
            <w:vAlign w:val="center"/>
          </w:tcPr>
          <w:p w14:paraId="1820CF0C" w14:textId="77777777" w:rsidR="00576FE1" w:rsidRPr="00157FC3" w:rsidRDefault="00576FE1" w:rsidP="00115CD6">
            <w:pPr>
              <w:spacing w:after="0" w:line="240" w:lineRule="auto"/>
              <w:jc w:val="center"/>
            </w:pPr>
            <w:r w:rsidRPr="00157FC3">
              <w:rPr>
                <w:color w:val="000000"/>
              </w:rPr>
              <w:t>6 (1.2%)</w:t>
            </w:r>
          </w:p>
        </w:tc>
      </w:tr>
      <w:tr w:rsidR="00576FE1" w:rsidRPr="00157FC3" w14:paraId="6765F27C" w14:textId="77777777" w:rsidTr="00115CD6">
        <w:trPr>
          <w:trHeight w:val="420"/>
        </w:trPr>
        <w:tc>
          <w:tcPr>
            <w:tcW w:w="4678" w:type="dxa"/>
            <w:vAlign w:val="center"/>
          </w:tcPr>
          <w:p w14:paraId="341F738D" w14:textId="77777777" w:rsidR="00576FE1" w:rsidRPr="00157FC3" w:rsidRDefault="00576FE1" w:rsidP="00115CD6">
            <w:pPr>
              <w:spacing w:after="0" w:line="240" w:lineRule="auto"/>
            </w:pPr>
            <w:r w:rsidRPr="00157FC3">
              <w:rPr>
                <w:b/>
                <w:color w:val="000000"/>
              </w:rPr>
              <w:t>Vascular disorders</w:t>
            </w:r>
          </w:p>
        </w:tc>
        <w:tc>
          <w:tcPr>
            <w:tcW w:w="1648" w:type="dxa"/>
            <w:vAlign w:val="center"/>
          </w:tcPr>
          <w:p w14:paraId="35A0AF08" w14:textId="77777777" w:rsidR="00576FE1" w:rsidRPr="00157FC3" w:rsidRDefault="00576FE1" w:rsidP="00115CD6">
            <w:pPr>
              <w:spacing w:after="0" w:line="240" w:lineRule="auto"/>
              <w:jc w:val="center"/>
            </w:pPr>
            <w:r w:rsidRPr="00157FC3">
              <w:rPr>
                <w:b/>
                <w:color w:val="000000"/>
              </w:rPr>
              <w:t>33 (13.7%)</w:t>
            </w:r>
          </w:p>
        </w:tc>
        <w:tc>
          <w:tcPr>
            <w:tcW w:w="1612" w:type="dxa"/>
            <w:vAlign w:val="center"/>
          </w:tcPr>
          <w:p w14:paraId="70679255" w14:textId="77777777" w:rsidR="00576FE1" w:rsidRPr="00157FC3" w:rsidRDefault="00576FE1" w:rsidP="00115CD6">
            <w:pPr>
              <w:spacing w:after="0" w:line="240" w:lineRule="auto"/>
              <w:jc w:val="center"/>
            </w:pPr>
            <w:r w:rsidRPr="00157FC3">
              <w:rPr>
                <w:b/>
                <w:color w:val="000000"/>
              </w:rPr>
              <w:t>40 (16.5%)</w:t>
            </w:r>
          </w:p>
        </w:tc>
        <w:tc>
          <w:tcPr>
            <w:tcW w:w="1560" w:type="dxa"/>
            <w:vAlign w:val="center"/>
          </w:tcPr>
          <w:p w14:paraId="5065AB35" w14:textId="77777777" w:rsidR="00576FE1" w:rsidRPr="00157FC3" w:rsidRDefault="00576FE1" w:rsidP="00115CD6">
            <w:pPr>
              <w:spacing w:after="0" w:line="240" w:lineRule="auto"/>
              <w:jc w:val="center"/>
            </w:pPr>
            <w:r w:rsidRPr="00157FC3">
              <w:rPr>
                <w:b/>
                <w:color w:val="000000"/>
              </w:rPr>
              <w:t>73 (15.1%)</w:t>
            </w:r>
          </w:p>
        </w:tc>
      </w:tr>
      <w:tr w:rsidR="00576FE1" w:rsidRPr="00157FC3" w14:paraId="4FAC92D2" w14:textId="77777777" w:rsidTr="00115CD6">
        <w:trPr>
          <w:trHeight w:val="235"/>
        </w:trPr>
        <w:tc>
          <w:tcPr>
            <w:tcW w:w="4678" w:type="dxa"/>
            <w:vAlign w:val="center"/>
          </w:tcPr>
          <w:p w14:paraId="4D145DE8" w14:textId="77777777" w:rsidR="00576FE1" w:rsidRPr="00157FC3" w:rsidRDefault="00576FE1" w:rsidP="00115CD6">
            <w:pPr>
              <w:spacing w:after="0" w:line="240" w:lineRule="auto"/>
              <w:ind w:hanging="249"/>
            </w:pPr>
            <w:r w:rsidRPr="00157FC3">
              <w:rPr>
                <w:color w:val="000000"/>
              </w:rPr>
              <w:t xml:space="preserve">    Hot flush</w:t>
            </w:r>
          </w:p>
        </w:tc>
        <w:tc>
          <w:tcPr>
            <w:tcW w:w="1648" w:type="dxa"/>
            <w:vAlign w:val="center"/>
          </w:tcPr>
          <w:p w14:paraId="21636579" w14:textId="77777777" w:rsidR="00576FE1" w:rsidRPr="00157FC3" w:rsidRDefault="00576FE1" w:rsidP="00115CD6">
            <w:pPr>
              <w:spacing w:after="0" w:line="240" w:lineRule="auto"/>
              <w:jc w:val="center"/>
            </w:pPr>
            <w:r w:rsidRPr="00157FC3">
              <w:rPr>
                <w:color w:val="000000"/>
              </w:rPr>
              <w:t>30 (12.4%)</w:t>
            </w:r>
          </w:p>
        </w:tc>
        <w:tc>
          <w:tcPr>
            <w:tcW w:w="1612" w:type="dxa"/>
            <w:vAlign w:val="center"/>
          </w:tcPr>
          <w:p w14:paraId="7D38A4C6" w14:textId="77777777" w:rsidR="00576FE1" w:rsidRPr="00157FC3" w:rsidRDefault="00576FE1" w:rsidP="00115CD6">
            <w:pPr>
              <w:spacing w:after="0" w:line="240" w:lineRule="auto"/>
              <w:jc w:val="center"/>
            </w:pPr>
            <w:r w:rsidRPr="00157FC3">
              <w:rPr>
                <w:color w:val="000000"/>
              </w:rPr>
              <w:t>38 (15.7%)</w:t>
            </w:r>
          </w:p>
        </w:tc>
        <w:tc>
          <w:tcPr>
            <w:tcW w:w="1560" w:type="dxa"/>
            <w:vAlign w:val="center"/>
          </w:tcPr>
          <w:p w14:paraId="01164DA0" w14:textId="77777777" w:rsidR="00576FE1" w:rsidRPr="00157FC3" w:rsidRDefault="00576FE1" w:rsidP="00115CD6">
            <w:pPr>
              <w:spacing w:after="0" w:line="240" w:lineRule="auto"/>
              <w:jc w:val="center"/>
            </w:pPr>
            <w:r w:rsidRPr="00157FC3">
              <w:rPr>
                <w:color w:val="000000"/>
              </w:rPr>
              <w:t>68 (14.1%)</w:t>
            </w:r>
          </w:p>
        </w:tc>
      </w:tr>
      <w:tr w:rsidR="00576FE1" w:rsidRPr="00157FC3" w14:paraId="1061192C" w14:textId="77777777" w:rsidTr="00115CD6">
        <w:trPr>
          <w:trHeight w:val="393"/>
        </w:trPr>
        <w:tc>
          <w:tcPr>
            <w:tcW w:w="4678" w:type="dxa"/>
            <w:vAlign w:val="center"/>
          </w:tcPr>
          <w:p w14:paraId="2A8955C3" w14:textId="77777777" w:rsidR="00576FE1" w:rsidRPr="00157FC3" w:rsidRDefault="00576FE1" w:rsidP="00115CD6">
            <w:pPr>
              <w:spacing w:after="0" w:line="240" w:lineRule="auto"/>
            </w:pPr>
            <w:r w:rsidRPr="00157FC3">
              <w:rPr>
                <w:b/>
                <w:color w:val="000000"/>
              </w:rPr>
              <w:t>Nervous system disorders</w:t>
            </w:r>
          </w:p>
        </w:tc>
        <w:tc>
          <w:tcPr>
            <w:tcW w:w="1648" w:type="dxa"/>
            <w:vAlign w:val="center"/>
          </w:tcPr>
          <w:p w14:paraId="71ABE61D" w14:textId="77777777" w:rsidR="00576FE1" w:rsidRPr="00157FC3" w:rsidRDefault="00576FE1" w:rsidP="00115CD6">
            <w:pPr>
              <w:spacing w:after="0" w:line="240" w:lineRule="auto"/>
              <w:jc w:val="center"/>
            </w:pPr>
            <w:r w:rsidRPr="00157FC3">
              <w:rPr>
                <w:b/>
                <w:color w:val="000000"/>
              </w:rPr>
              <w:t>36 (14.9%)</w:t>
            </w:r>
          </w:p>
        </w:tc>
        <w:tc>
          <w:tcPr>
            <w:tcW w:w="1612" w:type="dxa"/>
            <w:vAlign w:val="center"/>
          </w:tcPr>
          <w:p w14:paraId="6AA7E34A" w14:textId="77777777" w:rsidR="00576FE1" w:rsidRPr="00157FC3" w:rsidRDefault="00576FE1" w:rsidP="00115CD6">
            <w:pPr>
              <w:spacing w:after="0" w:line="240" w:lineRule="auto"/>
              <w:jc w:val="center"/>
            </w:pPr>
            <w:r w:rsidRPr="00157FC3">
              <w:rPr>
                <w:b/>
                <w:color w:val="000000"/>
              </w:rPr>
              <w:t>33 (13.6%)</w:t>
            </w:r>
          </w:p>
        </w:tc>
        <w:tc>
          <w:tcPr>
            <w:tcW w:w="1560" w:type="dxa"/>
            <w:vAlign w:val="center"/>
          </w:tcPr>
          <w:p w14:paraId="45C7785B" w14:textId="77777777" w:rsidR="00576FE1" w:rsidRPr="00157FC3" w:rsidRDefault="00576FE1" w:rsidP="00115CD6">
            <w:pPr>
              <w:spacing w:after="0" w:line="240" w:lineRule="auto"/>
              <w:jc w:val="center"/>
            </w:pPr>
            <w:r w:rsidRPr="00157FC3">
              <w:rPr>
                <w:b/>
                <w:color w:val="000000"/>
              </w:rPr>
              <w:t>69 (14.3%)</w:t>
            </w:r>
          </w:p>
        </w:tc>
      </w:tr>
      <w:tr w:rsidR="00576FE1" w:rsidRPr="00157FC3" w14:paraId="683B0662" w14:textId="77777777" w:rsidTr="00115CD6">
        <w:trPr>
          <w:trHeight w:val="223"/>
        </w:trPr>
        <w:tc>
          <w:tcPr>
            <w:tcW w:w="4678" w:type="dxa"/>
            <w:vAlign w:val="center"/>
          </w:tcPr>
          <w:p w14:paraId="780F65DA" w14:textId="77777777" w:rsidR="00576FE1" w:rsidRPr="00157FC3" w:rsidRDefault="00576FE1" w:rsidP="00115CD6">
            <w:pPr>
              <w:spacing w:after="0" w:line="240" w:lineRule="auto"/>
              <w:ind w:hanging="249"/>
            </w:pPr>
            <w:r w:rsidRPr="00157FC3">
              <w:rPr>
                <w:color w:val="000000"/>
              </w:rPr>
              <w:t xml:space="preserve">    Dysgeusia</w:t>
            </w:r>
          </w:p>
        </w:tc>
        <w:tc>
          <w:tcPr>
            <w:tcW w:w="1648" w:type="dxa"/>
            <w:vAlign w:val="center"/>
          </w:tcPr>
          <w:p w14:paraId="01C3573B" w14:textId="77777777" w:rsidR="00576FE1" w:rsidRPr="00157FC3" w:rsidRDefault="00576FE1" w:rsidP="00115CD6">
            <w:pPr>
              <w:spacing w:after="0" w:line="240" w:lineRule="auto"/>
              <w:jc w:val="center"/>
            </w:pPr>
            <w:r w:rsidRPr="00157FC3">
              <w:rPr>
                <w:color w:val="000000"/>
              </w:rPr>
              <w:t>13 (5.4%)</w:t>
            </w:r>
          </w:p>
        </w:tc>
        <w:tc>
          <w:tcPr>
            <w:tcW w:w="1612" w:type="dxa"/>
            <w:vAlign w:val="center"/>
          </w:tcPr>
          <w:p w14:paraId="3DF62FCD" w14:textId="77777777" w:rsidR="00576FE1" w:rsidRPr="00157FC3" w:rsidRDefault="00576FE1" w:rsidP="00115CD6">
            <w:pPr>
              <w:spacing w:after="0" w:line="240" w:lineRule="auto"/>
              <w:jc w:val="center"/>
            </w:pPr>
            <w:r w:rsidRPr="00157FC3">
              <w:rPr>
                <w:color w:val="000000"/>
              </w:rPr>
              <w:t>13 (5.4%)</w:t>
            </w:r>
          </w:p>
        </w:tc>
        <w:tc>
          <w:tcPr>
            <w:tcW w:w="1560" w:type="dxa"/>
            <w:vAlign w:val="center"/>
          </w:tcPr>
          <w:p w14:paraId="28949C40" w14:textId="77777777" w:rsidR="00576FE1" w:rsidRPr="00157FC3" w:rsidRDefault="00576FE1" w:rsidP="00115CD6">
            <w:pPr>
              <w:spacing w:after="0" w:line="240" w:lineRule="auto"/>
              <w:jc w:val="center"/>
            </w:pPr>
            <w:r w:rsidRPr="00157FC3">
              <w:rPr>
                <w:color w:val="000000"/>
              </w:rPr>
              <w:t>26 (5.4%)</w:t>
            </w:r>
          </w:p>
        </w:tc>
      </w:tr>
      <w:tr w:rsidR="00576FE1" w:rsidRPr="00157FC3" w14:paraId="310E7685" w14:textId="77777777" w:rsidTr="00115CD6">
        <w:trPr>
          <w:trHeight w:val="223"/>
        </w:trPr>
        <w:tc>
          <w:tcPr>
            <w:tcW w:w="4678" w:type="dxa"/>
            <w:vAlign w:val="center"/>
          </w:tcPr>
          <w:p w14:paraId="3B70D437" w14:textId="77777777" w:rsidR="00576FE1" w:rsidRPr="00157FC3" w:rsidRDefault="00576FE1" w:rsidP="00115CD6">
            <w:pPr>
              <w:spacing w:after="0" w:line="240" w:lineRule="auto"/>
              <w:ind w:hanging="249"/>
            </w:pPr>
            <w:r w:rsidRPr="00157FC3">
              <w:rPr>
                <w:color w:val="000000"/>
              </w:rPr>
              <w:t xml:space="preserve">    Headache</w:t>
            </w:r>
          </w:p>
        </w:tc>
        <w:tc>
          <w:tcPr>
            <w:tcW w:w="1648" w:type="dxa"/>
            <w:vAlign w:val="center"/>
          </w:tcPr>
          <w:p w14:paraId="728A0A0F" w14:textId="77777777" w:rsidR="00576FE1" w:rsidRPr="00157FC3" w:rsidRDefault="00576FE1" w:rsidP="00115CD6">
            <w:pPr>
              <w:spacing w:after="0" w:line="240" w:lineRule="auto"/>
              <w:jc w:val="center"/>
            </w:pPr>
            <w:r w:rsidRPr="00157FC3">
              <w:rPr>
                <w:color w:val="000000"/>
              </w:rPr>
              <w:t>10 (4.1%)</w:t>
            </w:r>
          </w:p>
        </w:tc>
        <w:tc>
          <w:tcPr>
            <w:tcW w:w="1612" w:type="dxa"/>
            <w:vAlign w:val="center"/>
          </w:tcPr>
          <w:p w14:paraId="34B0D79D" w14:textId="77777777" w:rsidR="00576FE1" w:rsidRPr="00157FC3" w:rsidRDefault="00576FE1" w:rsidP="00115CD6">
            <w:pPr>
              <w:spacing w:after="0" w:line="240" w:lineRule="auto"/>
              <w:jc w:val="center"/>
            </w:pPr>
            <w:r w:rsidRPr="00157FC3">
              <w:rPr>
                <w:color w:val="000000"/>
              </w:rPr>
              <w:t>7 (2.9%)</w:t>
            </w:r>
          </w:p>
        </w:tc>
        <w:tc>
          <w:tcPr>
            <w:tcW w:w="1560" w:type="dxa"/>
            <w:vAlign w:val="center"/>
          </w:tcPr>
          <w:p w14:paraId="7F4C66BE" w14:textId="77777777" w:rsidR="00576FE1" w:rsidRPr="00157FC3" w:rsidRDefault="00576FE1" w:rsidP="00115CD6">
            <w:pPr>
              <w:spacing w:after="0" w:line="240" w:lineRule="auto"/>
              <w:jc w:val="center"/>
            </w:pPr>
            <w:r w:rsidRPr="00157FC3">
              <w:rPr>
                <w:color w:val="000000"/>
              </w:rPr>
              <w:t>17 (3.5%)</w:t>
            </w:r>
          </w:p>
        </w:tc>
      </w:tr>
      <w:tr w:rsidR="00576FE1" w:rsidRPr="00157FC3" w14:paraId="05757591" w14:textId="77777777" w:rsidTr="00115CD6">
        <w:trPr>
          <w:trHeight w:val="223"/>
        </w:trPr>
        <w:tc>
          <w:tcPr>
            <w:tcW w:w="4678" w:type="dxa"/>
            <w:vAlign w:val="center"/>
          </w:tcPr>
          <w:p w14:paraId="12E58A96" w14:textId="77777777" w:rsidR="00576FE1" w:rsidRPr="00157FC3" w:rsidRDefault="00576FE1" w:rsidP="00115CD6">
            <w:pPr>
              <w:spacing w:after="0" w:line="240" w:lineRule="auto"/>
              <w:ind w:hanging="249"/>
            </w:pPr>
            <w:r w:rsidRPr="00157FC3">
              <w:rPr>
                <w:color w:val="000000"/>
              </w:rPr>
              <w:lastRenderedPageBreak/>
              <w:t xml:space="preserve">    </w:t>
            </w:r>
            <w:proofErr w:type="spellStart"/>
            <w:r w:rsidRPr="00157FC3">
              <w:rPr>
                <w:color w:val="000000"/>
              </w:rPr>
              <w:t>Paraesthesia</w:t>
            </w:r>
            <w:proofErr w:type="spellEnd"/>
          </w:p>
        </w:tc>
        <w:tc>
          <w:tcPr>
            <w:tcW w:w="1648" w:type="dxa"/>
            <w:vAlign w:val="center"/>
          </w:tcPr>
          <w:p w14:paraId="0B024DCC" w14:textId="77777777" w:rsidR="00576FE1" w:rsidRPr="00157FC3" w:rsidRDefault="00576FE1" w:rsidP="00115CD6">
            <w:pPr>
              <w:spacing w:after="0" w:line="240" w:lineRule="auto"/>
              <w:jc w:val="center"/>
            </w:pPr>
            <w:r w:rsidRPr="00157FC3">
              <w:rPr>
                <w:color w:val="000000"/>
              </w:rPr>
              <w:t>5 (2.1%)</w:t>
            </w:r>
          </w:p>
        </w:tc>
        <w:tc>
          <w:tcPr>
            <w:tcW w:w="1612" w:type="dxa"/>
            <w:vAlign w:val="center"/>
          </w:tcPr>
          <w:p w14:paraId="726F5283" w14:textId="77777777" w:rsidR="00576FE1" w:rsidRPr="00157FC3" w:rsidRDefault="00576FE1" w:rsidP="00115CD6">
            <w:pPr>
              <w:spacing w:after="0" w:line="240" w:lineRule="auto"/>
              <w:jc w:val="center"/>
            </w:pPr>
            <w:r w:rsidRPr="00157FC3">
              <w:rPr>
                <w:color w:val="000000"/>
              </w:rPr>
              <w:t>6 (2.5%)</w:t>
            </w:r>
          </w:p>
        </w:tc>
        <w:tc>
          <w:tcPr>
            <w:tcW w:w="1560" w:type="dxa"/>
            <w:vAlign w:val="center"/>
          </w:tcPr>
          <w:p w14:paraId="33BD6FC4" w14:textId="77777777" w:rsidR="00576FE1" w:rsidRPr="00157FC3" w:rsidRDefault="00576FE1" w:rsidP="00115CD6">
            <w:pPr>
              <w:spacing w:after="0" w:line="240" w:lineRule="auto"/>
              <w:jc w:val="center"/>
            </w:pPr>
            <w:r w:rsidRPr="00157FC3">
              <w:rPr>
                <w:color w:val="000000"/>
              </w:rPr>
              <w:t>11 (2.3%)</w:t>
            </w:r>
          </w:p>
        </w:tc>
      </w:tr>
      <w:tr w:rsidR="00576FE1" w:rsidRPr="00157FC3" w14:paraId="60AA4741" w14:textId="77777777" w:rsidTr="00115CD6">
        <w:trPr>
          <w:trHeight w:val="310"/>
        </w:trPr>
        <w:tc>
          <w:tcPr>
            <w:tcW w:w="4678" w:type="dxa"/>
            <w:vAlign w:val="center"/>
          </w:tcPr>
          <w:p w14:paraId="062BFA78" w14:textId="77777777" w:rsidR="00576FE1" w:rsidRPr="00157FC3" w:rsidRDefault="00576FE1" w:rsidP="00115CD6">
            <w:pPr>
              <w:spacing w:after="0" w:line="240" w:lineRule="auto"/>
            </w:pPr>
            <w:r w:rsidRPr="00157FC3">
              <w:rPr>
                <w:b/>
                <w:color w:val="000000"/>
              </w:rPr>
              <w:t>Infections and infestations</w:t>
            </w:r>
          </w:p>
        </w:tc>
        <w:tc>
          <w:tcPr>
            <w:tcW w:w="1648" w:type="dxa"/>
            <w:vAlign w:val="center"/>
          </w:tcPr>
          <w:p w14:paraId="6034894F" w14:textId="77777777" w:rsidR="00576FE1" w:rsidRPr="00157FC3" w:rsidRDefault="00576FE1" w:rsidP="00115CD6">
            <w:pPr>
              <w:spacing w:after="0" w:line="240" w:lineRule="auto"/>
              <w:jc w:val="center"/>
            </w:pPr>
            <w:r w:rsidRPr="00157FC3">
              <w:rPr>
                <w:b/>
                <w:color w:val="000000"/>
              </w:rPr>
              <w:t>27 (11.2%)</w:t>
            </w:r>
          </w:p>
        </w:tc>
        <w:tc>
          <w:tcPr>
            <w:tcW w:w="1612" w:type="dxa"/>
            <w:vAlign w:val="center"/>
          </w:tcPr>
          <w:p w14:paraId="5A8492FC" w14:textId="77777777" w:rsidR="00576FE1" w:rsidRPr="00157FC3" w:rsidRDefault="00576FE1" w:rsidP="00115CD6">
            <w:pPr>
              <w:spacing w:after="0" w:line="240" w:lineRule="auto"/>
              <w:jc w:val="center"/>
            </w:pPr>
            <w:r w:rsidRPr="00157FC3">
              <w:rPr>
                <w:b/>
                <w:color w:val="000000"/>
              </w:rPr>
              <w:t>30 (12.4%)</w:t>
            </w:r>
          </w:p>
        </w:tc>
        <w:tc>
          <w:tcPr>
            <w:tcW w:w="1560" w:type="dxa"/>
            <w:vAlign w:val="center"/>
          </w:tcPr>
          <w:p w14:paraId="2B07ADFB" w14:textId="77777777" w:rsidR="00576FE1" w:rsidRPr="00157FC3" w:rsidRDefault="00576FE1" w:rsidP="00115CD6">
            <w:pPr>
              <w:spacing w:after="0" w:line="240" w:lineRule="auto"/>
              <w:jc w:val="center"/>
            </w:pPr>
            <w:r w:rsidRPr="00157FC3">
              <w:rPr>
                <w:b/>
                <w:color w:val="000000"/>
              </w:rPr>
              <w:t>57 (11.8%)</w:t>
            </w:r>
          </w:p>
        </w:tc>
      </w:tr>
      <w:tr w:rsidR="00576FE1" w:rsidRPr="00157FC3" w14:paraId="4123DE82" w14:textId="77777777" w:rsidTr="00115CD6">
        <w:trPr>
          <w:trHeight w:val="223"/>
        </w:trPr>
        <w:tc>
          <w:tcPr>
            <w:tcW w:w="4678" w:type="dxa"/>
            <w:vAlign w:val="center"/>
          </w:tcPr>
          <w:p w14:paraId="7F7C76FB" w14:textId="77777777" w:rsidR="00576FE1" w:rsidRPr="00157FC3" w:rsidRDefault="00576FE1" w:rsidP="00115CD6">
            <w:pPr>
              <w:spacing w:after="0" w:line="240" w:lineRule="auto"/>
              <w:ind w:hanging="249"/>
            </w:pPr>
            <w:r w:rsidRPr="00157FC3">
              <w:rPr>
                <w:color w:val="000000"/>
              </w:rPr>
              <w:t xml:space="preserve">    Conjunctivitis</w:t>
            </w:r>
          </w:p>
        </w:tc>
        <w:tc>
          <w:tcPr>
            <w:tcW w:w="1648" w:type="dxa"/>
            <w:vAlign w:val="center"/>
          </w:tcPr>
          <w:p w14:paraId="64ED6A60" w14:textId="77777777" w:rsidR="00576FE1" w:rsidRPr="00157FC3" w:rsidRDefault="00576FE1" w:rsidP="00115CD6">
            <w:pPr>
              <w:spacing w:after="0" w:line="240" w:lineRule="auto"/>
              <w:jc w:val="center"/>
            </w:pPr>
            <w:r w:rsidRPr="00157FC3">
              <w:rPr>
                <w:color w:val="000000"/>
              </w:rPr>
              <w:t>5 (2.1%)</w:t>
            </w:r>
          </w:p>
        </w:tc>
        <w:tc>
          <w:tcPr>
            <w:tcW w:w="1612" w:type="dxa"/>
            <w:vAlign w:val="center"/>
          </w:tcPr>
          <w:p w14:paraId="0316D3FF" w14:textId="77777777" w:rsidR="00576FE1" w:rsidRPr="00157FC3" w:rsidRDefault="00576FE1" w:rsidP="00115CD6">
            <w:pPr>
              <w:spacing w:after="0" w:line="240" w:lineRule="auto"/>
              <w:jc w:val="center"/>
            </w:pPr>
            <w:r w:rsidRPr="00157FC3">
              <w:rPr>
                <w:color w:val="000000"/>
              </w:rPr>
              <w:t>5 (2.1%)</w:t>
            </w:r>
          </w:p>
        </w:tc>
        <w:tc>
          <w:tcPr>
            <w:tcW w:w="1560" w:type="dxa"/>
            <w:vAlign w:val="center"/>
          </w:tcPr>
          <w:p w14:paraId="1DCF9F6D" w14:textId="77777777" w:rsidR="00576FE1" w:rsidRPr="00157FC3" w:rsidRDefault="00576FE1" w:rsidP="00115CD6">
            <w:pPr>
              <w:spacing w:after="0" w:line="240" w:lineRule="auto"/>
              <w:jc w:val="center"/>
            </w:pPr>
            <w:r w:rsidRPr="00157FC3">
              <w:rPr>
                <w:color w:val="000000"/>
              </w:rPr>
              <w:t>10 (2.1%)</w:t>
            </w:r>
          </w:p>
        </w:tc>
      </w:tr>
      <w:tr w:rsidR="00576FE1" w:rsidRPr="00157FC3" w14:paraId="026E67DD" w14:textId="77777777" w:rsidTr="00115CD6">
        <w:trPr>
          <w:trHeight w:val="610"/>
        </w:trPr>
        <w:tc>
          <w:tcPr>
            <w:tcW w:w="4678" w:type="dxa"/>
            <w:vAlign w:val="center"/>
          </w:tcPr>
          <w:p w14:paraId="181BFDC4" w14:textId="77777777" w:rsidR="00576FE1" w:rsidRPr="00157FC3" w:rsidRDefault="00576FE1" w:rsidP="00115CD6">
            <w:pPr>
              <w:spacing w:after="0" w:line="240" w:lineRule="auto"/>
            </w:pPr>
            <w:r w:rsidRPr="00157FC3">
              <w:rPr>
                <w:b/>
                <w:color w:val="000000"/>
                <w:lang w:val="en-GB"/>
              </w:rPr>
              <w:t>Respiratory, thoracic and mediastinal disorders</w:t>
            </w:r>
          </w:p>
        </w:tc>
        <w:tc>
          <w:tcPr>
            <w:tcW w:w="1648" w:type="dxa"/>
            <w:vAlign w:val="center"/>
          </w:tcPr>
          <w:p w14:paraId="04E30832" w14:textId="77777777" w:rsidR="00576FE1" w:rsidRPr="00157FC3" w:rsidRDefault="00576FE1" w:rsidP="00115CD6">
            <w:pPr>
              <w:spacing w:after="0" w:line="240" w:lineRule="auto"/>
              <w:jc w:val="center"/>
            </w:pPr>
            <w:r w:rsidRPr="00157FC3">
              <w:rPr>
                <w:b/>
                <w:color w:val="000000"/>
              </w:rPr>
              <w:t>23 (9.5%)</w:t>
            </w:r>
          </w:p>
        </w:tc>
        <w:tc>
          <w:tcPr>
            <w:tcW w:w="1612" w:type="dxa"/>
            <w:vAlign w:val="center"/>
          </w:tcPr>
          <w:p w14:paraId="14BE1E4A" w14:textId="77777777" w:rsidR="00576FE1" w:rsidRPr="00157FC3" w:rsidRDefault="00576FE1" w:rsidP="00115CD6">
            <w:pPr>
              <w:spacing w:after="0" w:line="240" w:lineRule="auto"/>
              <w:jc w:val="center"/>
            </w:pPr>
            <w:r w:rsidRPr="00157FC3">
              <w:rPr>
                <w:b/>
                <w:color w:val="000000"/>
              </w:rPr>
              <w:t>25 (10.3%)</w:t>
            </w:r>
          </w:p>
        </w:tc>
        <w:tc>
          <w:tcPr>
            <w:tcW w:w="1560" w:type="dxa"/>
            <w:vAlign w:val="center"/>
          </w:tcPr>
          <w:p w14:paraId="5C9CB23B" w14:textId="77777777" w:rsidR="00576FE1" w:rsidRPr="00157FC3" w:rsidRDefault="00576FE1" w:rsidP="00115CD6">
            <w:pPr>
              <w:spacing w:after="0" w:line="240" w:lineRule="auto"/>
              <w:jc w:val="center"/>
            </w:pPr>
            <w:r w:rsidRPr="00157FC3">
              <w:rPr>
                <w:b/>
                <w:color w:val="000000"/>
              </w:rPr>
              <w:t>48 (9.9%)</w:t>
            </w:r>
          </w:p>
        </w:tc>
      </w:tr>
      <w:tr w:rsidR="00576FE1" w:rsidRPr="00157FC3" w14:paraId="39AEC187" w14:textId="77777777" w:rsidTr="00115CD6">
        <w:trPr>
          <w:trHeight w:val="223"/>
        </w:trPr>
        <w:tc>
          <w:tcPr>
            <w:tcW w:w="4678" w:type="dxa"/>
            <w:vAlign w:val="center"/>
          </w:tcPr>
          <w:p w14:paraId="60934860" w14:textId="77777777" w:rsidR="00576FE1" w:rsidRPr="00157FC3" w:rsidRDefault="00576FE1" w:rsidP="00115CD6">
            <w:pPr>
              <w:spacing w:after="0" w:line="240" w:lineRule="auto"/>
              <w:ind w:hanging="249"/>
            </w:pPr>
            <w:r w:rsidRPr="00157FC3">
              <w:rPr>
                <w:color w:val="000000"/>
              </w:rPr>
              <w:t xml:space="preserve">    Epistaxis</w:t>
            </w:r>
          </w:p>
        </w:tc>
        <w:tc>
          <w:tcPr>
            <w:tcW w:w="1648" w:type="dxa"/>
            <w:vAlign w:val="center"/>
          </w:tcPr>
          <w:p w14:paraId="0D4C6279" w14:textId="77777777" w:rsidR="00576FE1" w:rsidRPr="00157FC3" w:rsidRDefault="00576FE1" w:rsidP="00115CD6">
            <w:pPr>
              <w:spacing w:after="0" w:line="240" w:lineRule="auto"/>
              <w:jc w:val="center"/>
            </w:pPr>
            <w:r w:rsidRPr="00157FC3">
              <w:rPr>
                <w:color w:val="000000"/>
              </w:rPr>
              <w:t>7 (2.9%)</w:t>
            </w:r>
          </w:p>
        </w:tc>
        <w:tc>
          <w:tcPr>
            <w:tcW w:w="1612" w:type="dxa"/>
            <w:vAlign w:val="center"/>
          </w:tcPr>
          <w:p w14:paraId="466A6D09" w14:textId="77777777" w:rsidR="00576FE1" w:rsidRPr="00157FC3" w:rsidRDefault="00576FE1" w:rsidP="00115CD6">
            <w:pPr>
              <w:spacing w:after="0" w:line="240" w:lineRule="auto"/>
              <w:jc w:val="center"/>
            </w:pPr>
            <w:r w:rsidRPr="00157FC3">
              <w:rPr>
                <w:color w:val="000000"/>
              </w:rPr>
              <w:t>11 (4.5%)</w:t>
            </w:r>
          </w:p>
        </w:tc>
        <w:tc>
          <w:tcPr>
            <w:tcW w:w="1560" w:type="dxa"/>
            <w:vAlign w:val="center"/>
          </w:tcPr>
          <w:p w14:paraId="7BE5CB22" w14:textId="77777777" w:rsidR="00576FE1" w:rsidRPr="00157FC3" w:rsidRDefault="00576FE1" w:rsidP="00115CD6">
            <w:pPr>
              <w:spacing w:after="0" w:line="240" w:lineRule="auto"/>
              <w:jc w:val="center"/>
            </w:pPr>
            <w:r w:rsidRPr="00157FC3">
              <w:rPr>
                <w:color w:val="000000"/>
              </w:rPr>
              <w:t>18 (3.7%)</w:t>
            </w:r>
          </w:p>
        </w:tc>
      </w:tr>
      <w:tr w:rsidR="00576FE1" w:rsidRPr="00157FC3" w14:paraId="1E61B383" w14:textId="77777777" w:rsidTr="00115CD6">
        <w:trPr>
          <w:trHeight w:val="223"/>
        </w:trPr>
        <w:tc>
          <w:tcPr>
            <w:tcW w:w="4678" w:type="dxa"/>
            <w:vAlign w:val="center"/>
          </w:tcPr>
          <w:p w14:paraId="00431A5C" w14:textId="77777777" w:rsidR="00576FE1" w:rsidRPr="00157FC3" w:rsidRDefault="00576FE1" w:rsidP="00115CD6">
            <w:pPr>
              <w:spacing w:after="0" w:line="240" w:lineRule="auto"/>
              <w:ind w:hanging="249"/>
            </w:pPr>
            <w:r w:rsidRPr="00157FC3">
              <w:rPr>
                <w:color w:val="000000"/>
              </w:rPr>
              <w:t xml:space="preserve">    </w:t>
            </w:r>
            <w:proofErr w:type="spellStart"/>
            <w:r w:rsidRPr="00157FC3">
              <w:rPr>
                <w:color w:val="000000"/>
              </w:rPr>
              <w:t>Dyspnoea</w:t>
            </w:r>
            <w:proofErr w:type="spellEnd"/>
          </w:p>
        </w:tc>
        <w:tc>
          <w:tcPr>
            <w:tcW w:w="1648" w:type="dxa"/>
            <w:vAlign w:val="center"/>
          </w:tcPr>
          <w:p w14:paraId="2956E562" w14:textId="77777777" w:rsidR="00576FE1" w:rsidRPr="00157FC3" w:rsidRDefault="00576FE1" w:rsidP="00115CD6">
            <w:pPr>
              <w:spacing w:after="0" w:line="240" w:lineRule="auto"/>
              <w:jc w:val="center"/>
            </w:pPr>
            <w:r w:rsidRPr="00157FC3">
              <w:rPr>
                <w:color w:val="000000"/>
              </w:rPr>
              <w:t>3 (1.2%)</w:t>
            </w:r>
          </w:p>
        </w:tc>
        <w:tc>
          <w:tcPr>
            <w:tcW w:w="1612" w:type="dxa"/>
            <w:vAlign w:val="center"/>
          </w:tcPr>
          <w:p w14:paraId="05AAAFA8" w14:textId="77777777" w:rsidR="00576FE1" w:rsidRPr="00157FC3" w:rsidRDefault="00576FE1" w:rsidP="00115CD6">
            <w:pPr>
              <w:spacing w:after="0" w:line="240" w:lineRule="auto"/>
              <w:jc w:val="center"/>
            </w:pPr>
            <w:r w:rsidRPr="00157FC3">
              <w:rPr>
                <w:color w:val="000000"/>
              </w:rPr>
              <w:t>5 (2.1%)</w:t>
            </w:r>
          </w:p>
        </w:tc>
        <w:tc>
          <w:tcPr>
            <w:tcW w:w="1560" w:type="dxa"/>
            <w:vAlign w:val="center"/>
          </w:tcPr>
          <w:p w14:paraId="002173BC" w14:textId="77777777" w:rsidR="00576FE1" w:rsidRPr="00157FC3" w:rsidRDefault="00576FE1" w:rsidP="00115CD6">
            <w:pPr>
              <w:spacing w:after="0" w:line="240" w:lineRule="auto"/>
              <w:jc w:val="center"/>
            </w:pPr>
            <w:r w:rsidRPr="00157FC3">
              <w:rPr>
                <w:color w:val="000000"/>
              </w:rPr>
              <w:t>8 (1.7%)</w:t>
            </w:r>
          </w:p>
        </w:tc>
      </w:tr>
      <w:tr w:rsidR="00576FE1" w:rsidRPr="00157FC3" w14:paraId="61F55755" w14:textId="77777777" w:rsidTr="00115CD6">
        <w:trPr>
          <w:trHeight w:val="425"/>
        </w:trPr>
        <w:tc>
          <w:tcPr>
            <w:tcW w:w="4678" w:type="dxa"/>
            <w:vAlign w:val="center"/>
          </w:tcPr>
          <w:p w14:paraId="2530759F" w14:textId="77777777" w:rsidR="00576FE1" w:rsidRPr="00157FC3" w:rsidRDefault="00576FE1" w:rsidP="00115CD6">
            <w:pPr>
              <w:spacing w:after="0" w:line="240" w:lineRule="auto"/>
            </w:pPr>
            <w:r w:rsidRPr="00157FC3">
              <w:rPr>
                <w:b/>
                <w:color w:val="000000"/>
              </w:rPr>
              <w:t>Metabolism and nutrition disorders</w:t>
            </w:r>
          </w:p>
        </w:tc>
        <w:tc>
          <w:tcPr>
            <w:tcW w:w="1648" w:type="dxa"/>
            <w:vAlign w:val="center"/>
          </w:tcPr>
          <w:p w14:paraId="4F1D0C22" w14:textId="77777777" w:rsidR="00576FE1" w:rsidRPr="00157FC3" w:rsidRDefault="00576FE1" w:rsidP="00115CD6">
            <w:pPr>
              <w:spacing w:after="0" w:line="240" w:lineRule="auto"/>
              <w:jc w:val="center"/>
            </w:pPr>
            <w:r w:rsidRPr="00157FC3">
              <w:rPr>
                <w:b/>
                <w:color w:val="000000"/>
              </w:rPr>
              <w:t>22 (9.1%)</w:t>
            </w:r>
          </w:p>
        </w:tc>
        <w:tc>
          <w:tcPr>
            <w:tcW w:w="1612" w:type="dxa"/>
            <w:vAlign w:val="center"/>
          </w:tcPr>
          <w:p w14:paraId="2867571C" w14:textId="77777777" w:rsidR="00576FE1" w:rsidRPr="00157FC3" w:rsidRDefault="00576FE1" w:rsidP="00115CD6">
            <w:pPr>
              <w:spacing w:after="0" w:line="240" w:lineRule="auto"/>
              <w:jc w:val="center"/>
            </w:pPr>
            <w:r w:rsidRPr="00157FC3">
              <w:rPr>
                <w:b/>
                <w:color w:val="000000"/>
              </w:rPr>
              <w:t>23 (9.5%)</w:t>
            </w:r>
          </w:p>
        </w:tc>
        <w:tc>
          <w:tcPr>
            <w:tcW w:w="1560" w:type="dxa"/>
            <w:vAlign w:val="center"/>
          </w:tcPr>
          <w:p w14:paraId="1F859016" w14:textId="77777777" w:rsidR="00576FE1" w:rsidRPr="00157FC3" w:rsidRDefault="00576FE1" w:rsidP="00115CD6">
            <w:pPr>
              <w:spacing w:after="0" w:line="240" w:lineRule="auto"/>
              <w:jc w:val="center"/>
            </w:pPr>
            <w:r w:rsidRPr="00157FC3">
              <w:rPr>
                <w:b/>
                <w:color w:val="000000"/>
              </w:rPr>
              <w:t>45 (9.3%)</w:t>
            </w:r>
          </w:p>
        </w:tc>
      </w:tr>
      <w:tr w:rsidR="00576FE1" w:rsidRPr="00157FC3" w14:paraId="61541846" w14:textId="77777777" w:rsidTr="00115CD6">
        <w:trPr>
          <w:trHeight w:val="223"/>
        </w:trPr>
        <w:tc>
          <w:tcPr>
            <w:tcW w:w="4678" w:type="dxa"/>
            <w:vAlign w:val="center"/>
          </w:tcPr>
          <w:p w14:paraId="1C2452B0" w14:textId="77777777" w:rsidR="00576FE1" w:rsidRPr="00157FC3" w:rsidRDefault="00576FE1" w:rsidP="00115CD6">
            <w:pPr>
              <w:spacing w:after="0" w:line="240" w:lineRule="auto"/>
              <w:ind w:hanging="249"/>
            </w:pPr>
            <w:r w:rsidRPr="00157FC3">
              <w:rPr>
                <w:color w:val="000000"/>
              </w:rPr>
              <w:t xml:space="preserve">    Decreased appetite</w:t>
            </w:r>
          </w:p>
        </w:tc>
        <w:tc>
          <w:tcPr>
            <w:tcW w:w="1648" w:type="dxa"/>
            <w:vAlign w:val="center"/>
          </w:tcPr>
          <w:p w14:paraId="3884F89D" w14:textId="77777777" w:rsidR="00576FE1" w:rsidRPr="00157FC3" w:rsidRDefault="00576FE1" w:rsidP="00115CD6">
            <w:pPr>
              <w:spacing w:after="0" w:line="240" w:lineRule="auto"/>
              <w:jc w:val="center"/>
            </w:pPr>
            <w:r w:rsidRPr="00157FC3">
              <w:rPr>
                <w:color w:val="000000"/>
              </w:rPr>
              <w:t>18 (7.5%)</w:t>
            </w:r>
          </w:p>
        </w:tc>
        <w:tc>
          <w:tcPr>
            <w:tcW w:w="1612" w:type="dxa"/>
            <w:vAlign w:val="center"/>
          </w:tcPr>
          <w:p w14:paraId="60426E3C" w14:textId="77777777" w:rsidR="00576FE1" w:rsidRPr="00157FC3" w:rsidRDefault="00576FE1" w:rsidP="00115CD6">
            <w:pPr>
              <w:spacing w:after="0" w:line="240" w:lineRule="auto"/>
              <w:jc w:val="center"/>
            </w:pPr>
            <w:r w:rsidRPr="00157FC3">
              <w:rPr>
                <w:color w:val="000000"/>
              </w:rPr>
              <w:t>15 (6.2%)</w:t>
            </w:r>
          </w:p>
        </w:tc>
        <w:tc>
          <w:tcPr>
            <w:tcW w:w="1560" w:type="dxa"/>
            <w:vAlign w:val="center"/>
          </w:tcPr>
          <w:p w14:paraId="6F8BCD69" w14:textId="77777777" w:rsidR="00576FE1" w:rsidRPr="00157FC3" w:rsidRDefault="00576FE1" w:rsidP="00115CD6">
            <w:pPr>
              <w:spacing w:after="0" w:line="240" w:lineRule="auto"/>
              <w:jc w:val="center"/>
            </w:pPr>
            <w:r w:rsidRPr="00157FC3">
              <w:rPr>
                <w:color w:val="000000"/>
              </w:rPr>
              <w:t>33 (6.8%)</w:t>
            </w:r>
          </w:p>
        </w:tc>
      </w:tr>
      <w:tr w:rsidR="00576FE1" w:rsidRPr="00157FC3" w14:paraId="532CF7DA" w14:textId="77777777" w:rsidTr="00115CD6">
        <w:trPr>
          <w:trHeight w:val="449"/>
        </w:trPr>
        <w:tc>
          <w:tcPr>
            <w:tcW w:w="4678" w:type="dxa"/>
            <w:vAlign w:val="center"/>
          </w:tcPr>
          <w:p w14:paraId="72341B41" w14:textId="77777777" w:rsidR="00576FE1" w:rsidRPr="00157FC3" w:rsidRDefault="00576FE1" w:rsidP="00115CD6">
            <w:pPr>
              <w:spacing w:after="0" w:line="240" w:lineRule="auto"/>
            </w:pPr>
            <w:r w:rsidRPr="00157FC3">
              <w:rPr>
                <w:b/>
                <w:color w:val="000000"/>
              </w:rPr>
              <w:t>Investigations</w:t>
            </w:r>
          </w:p>
        </w:tc>
        <w:tc>
          <w:tcPr>
            <w:tcW w:w="1648" w:type="dxa"/>
            <w:vAlign w:val="center"/>
          </w:tcPr>
          <w:p w14:paraId="5406870C" w14:textId="77777777" w:rsidR="00576FE1" w:rsidRPr="00157FC3" w:rsidRDefault="00576FE1" w:rsidP="00115CD6">
            <w:pPr>
              <w:spacing w:after="0" w:line="240" w:lineRule="auto"/>
              <w:jc w:val="center"/>
            </w:pPr>
            <w:r w:rsidRPr="00157FC3">
              <w:rPr>
                <w:b/>
                <w:color w:val="000000"/>
              </w:rPr>
              <w:t>23 (9.5%)</w:t>
            </w:r>
          </w:p>
        </w:tc>
        <w:tc>
          <w:tcPr>
            <w:tcW w:w="1612" w:type="dxa"/>
            <w:vAlign w:val="center"/>
          </w:tcPr>
          <w:p w14:paraId="1977A9B5" w14:textId="77777777" w:rsidR="00576FE1" w:rsidRPr="00157FC3" w:rsidRDefault="00576FE1" w:rsidP="00115CD6">
            <w:pPr>
              <w:spacing w:after="0" w:line="240" w:lineRule="auto"/>
              <w:jc w:val="center"/>
            </w:pPr>
            <w:r w:rsidRPr="00157FC3">
              <w:rPr>
                <w:b/>
                <w:color w:val="000000"/>
              </w:rPr>
              <w:t>21 (8.7%)</w:t>
            </w:r>
          </w:p>
        </w:tc>
        <w:tc>
          <w:tcPr>
            <w:tcW w:w="1560" w:type="dxa"/>
            <w:vAlign w:val="center"/>
          </w:tcPr>
          <w:p w14:paraId="1EB65022" w14:textId="77777777" w:rsidR="00576FE1" w:rsidRPr="00157FC3" w:rsidRDefault="00576FE1" w:rsidP="00115CD6">
            <w:pPr>
              <w:spacing w:after="0" w:line="240" w:lineRule="auto"/>
              <w:jc w:val="center"/>
            </w:pPr>
            <w:r w:rsidRPr="00157FC3">
              <w:rPr>
                <w:b/>
                <w:color w:val="000000"/>
              </w:rPr>
              <w:t>44 (9.1%)</w:t>
            </w:r>
          </w:p>
        </w:tc>
      </w:tr>
      <w:tr w:rsidR="00576FE1" w:rsidRPr="00157FC3" w14:paraId="41175152" w14:textId="77777777" w:rsidTr="00115CD6">
        <w:trPr>
          <w:trHeight w:val="223"/>
        </w:trPr>
        <w:tc>
          <w:tcPr>
            <w:tcW w:w="4678" w:type="dxa"/>
            <w:vAlign w:val="center"/>
          </w:tcPr>
          <w:p w14:paraId="7F2D3551" w14:textId="77777777" w:rsidR="00576FE1" w:rsidRPr="00157FC3" w:rsidRDefault="00576FE1" w:rsidP="00115CD6">
            <w:pPr>
              <w:spacing w:after="0" w:line="240" w:lineRule="auto"/>
              <w:ind w:hanging="249"/>
            </w:pPr>
            <w:r w:rsidRPr="00157FC3">
              <w:rPr>
                <w:color w:val="000000"/>
              </w:rPr>
              <w:t xml:space="preserve">    Alanine aminotransferase increased</w:t>
            </w:r>
          </w:p>
        </w:tc>
        <w:tc>
          <w:tcPr>
            <w:tcW w:w="1648" w:type="dxa"/>
            <w:vAlign w:val="center"/>
          </w:tcPr>
          <w:p w14:paraId="04635D70" w14:textId="77777777" w:rsidR="00576FE1" w:rsidRPr="00157FC3" w:rsidRDefault="00576FE1" w:rsidP="00115CD6">
            <w:pPr>
              <w:spacing w:after="0" w:line="240" w:lineRule="auto"/>
              <w:jc w:val="center"/>
            </w:pPr>
            <w:r w:rsidRPr="00157FC3">
              <w:rPr>
                <w:color w:val="000000"/>
              </w:rPr>
              <w:t>9 (3.7%)</w:t>
            </w:r>
          </w:p>
        </w:tc>
        <w:tc>
          <w:tcPr>
            <w:tcW w:w="1612" w:type="dxa"/>
            <w:vAlign w:val="center"/>
          </w:tcPr>
          <w:p w14:paraId="730452A6" w14:textId="77777777" w:rsidR="00576FE1" w:rsidRPr="00157FC3" w:rsidRDefault="00576FE1" w:rsidP="00115CD6">
            <w:pPr>
              <w:spacing w:after="0" w:line="240" w:lineRule="auto"/>
              <w:jc w:val="center"/>
            </w:pPr>
            <w:r w:rsidRPr="00157FC3">
              <w:rPr>
                <w:color w:val="000000"/>
              </w:rPr>
              <w:t>11 (4.5%)</w:t>
            </w:r>
          </w:p>
        </w:tc>
        <w:tc>
          <w:tcPr>
            <w:tcW w:w="1560" w:type="dxa"/>
            <w:vAlign w:val="center"/>
          </w:tcPr>
          <w:p w14:paraId="07E396A8" w14:textId="77777777" w:rsidR="00576FE1" w:rsidRPr="00157FC3" w:rsidRDefault="00576FE1" w:rsidP="00115CD6">
            <w:pPr>
              <w:spacing w:after="0" w:line="240" w:lineRule="auto"/>
              <w:jc w:val="center"/>
            </w:pPr>
            <w:r w:rsidRPr="00157FC3">
              <w:rPr>
                <w:color w:val="000000"/>
              </w:rPr>
              <w:t>20 (4.1%)</w:t>
            </w:r>
          </w:p>
        </w:tc>
      </w:tr>
      <w:tr w:rsidR="00576FE1" w:rsidRPr="00157FC3" w14:paraId="4173EBD3" w14:textId="77777777" w:rsidTr="00115CD6">
        <w:trPr>
          <w:trHeight w:val="223"/>
        </w:trPr>
        <w:tc>
          <w:tcPr>
            <w:tcW w:w="4678" w:type="dxa"/>
            <w:vAlign w:val="center"/>
          </w:tcPr>
          <w:p w14:paraId="369789A9" w14:textId="77777777" w:rsidR="00576FE1" w:rsidRPr="00157FC3" w:rsidRDefault="00576FE1" w:rsidP="00115CD6">
            <w:pPr>
              <w:spacing w:after="0" w:line="240" w:lineRule="auto"/>
              <w:ind w:hanging="249"/>
            </w:pPr>
            <w:r w:rsidRPr="00157FC3">
              <w:rPr>
                <w:color w:val="000000"/>
              </w:rPr>
              <w:t xml:space="preserve">    Aspartate aminotransferase increased</w:t>
            </w:r>
          </w:p>
        </w:tc>
        <w:tc>
          <w:tcPr>
            <w:tcW w:w="1648" w:type="dxa"/>
            <w:vAlign w:val="center"/>
          </w:tcPr>
          <w:p w14:paraId="6E88EE2F" w14:textId="77777777" w:rsidR="00576FE1" w:rsidRPr="00157FC3" w:rsidRDefault="00576FE1" w:rsidP="00115CD6">
            <w:pPr>
              <w:spacing w:after="0" w:line="240" w:lineRule="auto"/>
              <w:jc w:val="center"/>
            </w:pPr>
            <w:r w:rsidRPr="00157FC3">
              <w:rPr>
                <w:color w:val="000000"/>
              </w:rPr>
              <w:t>11 (4.6%)</w:t>
            </w:r>
          </w:p>
        </w:tc>
        <w:tc>
          <w:tcPr>
            <w:tcW w:w="1612" w:type="dxa"/>
            <w:vAlign w:val="center"/>
          </w:tcPr>
          <w:p w14:paraId="16268075" w14:textId="77777777" w:rsidR="00576FE1" w:rsidRPr="00157FC3" w:rsidRDefault="00576FE1" w:rsidP="00115CD6">
            <w:pPr>
              <w:spacing w:after="0" w:line="240" w:lineRule="auto"/>
              <w:jc w:val="center"/>
            </w:pPr>
            <w:r w:rsidRPr="00157FC3">
              <w:rPr>
                <w:color w:val="000000"/>
              </w:rPr>
              <w:t>9 (3.7%)</w:t>
            </w:r>
          </w:p>
        </w:tc>
        <w:tc>
          <w:tcPr>
            <w:tcW w:w="1560" w:type="dxa"/>
            <w:vAlign w:val="center"/>
          </w:tcPr>
          <w:p w14:paraId="5E1AB3E3" w14:textId="77777777" w:rsidR="00576FE1" w:rsidRPr="00157FC3" w:rsidRDefault="00576FE1" w:rsidP="00115CD6">
            <w:pPr>
              <w:spacing w:after="0" w:line="240" w:lineRule="auto"/>
              <w:jc w:val="center"/>
            </w:pPr>
            <w:r w:rsidRPr="00157FC3">
              <w:rPr>
                <w:color w:val="000000"/>
              </w:rPr>
              <w:t>20 (4.1%)</w:t>
            </w:r>
          </w:p>
        </w:tc>
      </w:tr>
      <w:tr w:rsidR="00576FE1" w:rsidRPr="00157FC3" w14:paraId="55D1433A" w14:textId="77777777" w:rsidTr="00115CD6">
        <w:trPr>
          <w:trHeight w:val="391"/>
        </w:trPr>
        <w:tc>
          <w:tcPr>
            <w:tcW w:w="4678" w:type="dxa"/>
            <w:vAlign w:val="center"/>
          </w:tcPr>
          <w:p w14:paraId="172AC7C2" w14:textId="77777777" w:rsidR="00576FE1" w:rsidRPr="00157FC3" w:rsidRDefault="00576FE1" w:rsidP="00115CD6">
            <w:pPr>
              <w:spacing w:after="0" w:line="240" w:lineRule="auto"/>
            </w:pPr>
            <w:r w:rsidRPr="00157FC3">
              <w:rPr>
                <w:b/>
                <w:color w:val="000000"/>
              </w:rPr>
              <w:t>Eye disorders</w:t>
            </w:r>
          </w:p>
        </w:tc>
        <w:tc>
          <w:tcPr>
            <w:tcW w:w="1648" w:type="dxa"/>
            <w:vAlign w:val="center"/>
          </w:tcPr>
          <w:p w14:paraId="5F3E299A" w14:textId="77777777" w:rsidR="00576FE1" w:rsidRPr="00157FC3" w:rsidRDefault="00576FE1" w:rsidP="00115CD6">
            <w:pPr>
              <w:spacing w:after="0" w:line="240" w:lineRule="auto"/>
              <w:jc w:val="center"/>
            </w:pPr>
            <w:r w:rsidRPr="00157FC3">
              <w:rPr>
                <w:b/>
                <w:color w:val="000000"/>
              </w:rPr>
              <w:t>8 (3.3%)</w:t>
            </w:r>
          </w:p>
        </w:tc>
        <w:tc>
          <w:tcPr>
            <w:tcW w:w="1612" w:type="dxa"/>
            <w:vAlign w:val="center"/>
          </w:tcPr>
          <w:p w14:paraId="6ECEE7C3" w14:textId="77777777" w:rsidR="00576FE1" w:rsidRPr="00157FC3" w:rsidRDefault="00576FE1" w:rsidP="00115CD6">
            <w:pPr>
              <w:spacing w:after="0" w:line="240" w:lineRule="auto"/>
              <w:jc w:val="center"/>
            </w:pPr>
            <w:r w:rsidRPr="00157FC3">
              <w:rPr>
                <w:b/>
                <w:color w:val="000000"/>
              </w:rPr>
              <w:t>16 (6.6%)</w:t>
            </w:r>
          </w:p>
        </w:tc>
        <w:tc>
          <w:tcPr>
            <w:tcW w:w="1560" w:type="dxa"/>
            <w:vAlign w:val="center"/>
          </w:tcPr>
          <w:p w14:paraId="129E167C" w14:textId="77777777" w:rsidR="00576FE1" w:rsidRPr="00157FC3" w:rsidRDefault="00576FE1" w:rsidP="00115CD6">
            <w:pPr>
              <w:spacing w:after="0" w:line="240" w:lineRule="auto"/>
              <w:jc w:val="center"/>
            </w:pPr>
            <w:r w:rsidRPr="00157FC3">
              <w:rPr>
                <w:b/>
                <w:color w:val="000000"/>
              </w:rPr>
              <w:t>24 (5.0%)</w:t>
            </w:r>
          </w:p>
        </w:tc>
      </w:tr>
      <w:tr w:rsidR="00576FE1" w:rsidRPr="00157FC3" w14:paraId="036534D1" w14:textId="77777777" w:rsidTr="00115CD6">
        <w:trPr>
          <w:trHeight w:val="223"/>
        </w:trPr>
        <w:tc>
          <w:tcPr>
            <w:tcW w:w="4678" w:type="dxa"/>
            <w:vAlign w:val="center"/>
          </w:tcPr>
          <w:p w14:paraId="580CDA0A" w14:textId="77777777" w:rsidR="00576FE1" w:rsidRPr="00157FC3" w:rsidRDefault="00576FE1" w:rsidP="00115CD6">
            <w:pPr>
              <w:spacing w:after="0" w:line="240" w:lineRule="auto"/>
              <w:ind w:hanging="249"/>
            </w:pPr>
            <w:r w:rsidRPr="00157FC3">
              <w:rPr>
                <w:color w:val="000000"/>
              </w:rPr>
              <w:t xml:space="preserve">    Dry eye</w:t>
            </w:r>
          </w:p>
        </w:tc>
        <w:tc>
          <w:tcPr>
            <w:tcW w:w="1648" w:type="dxa"/>
            <w:vAlign w:val="center"/>
          </w:tcPr>
          <w:p w14:paraId="0015A6E6" w14:textId="77777777" w:rsidR="00576FE1" w:rsidRPr="00157FC3" w:rsidRDefault="00576FE1" w:rsidP="00115CD6">
            <w:pPr>
              <w:spacing w:after="0" w:line="240" w:lineRule="auto"/>
              <w:jc w:val="center"/>
            </w:pPr>
            <w:r w:rsidRPr="00157FC3">
              <w:rPr>
                <w:color w:val="000000"/>
              </w:rPr>
              <w:t>5 (2.1%)</w:t>
            </w:r>
          </w:p>
        </w:tc>
        <w:tc>
          <w:tcPr>
            <w:tcW w:w="1612" w:type="dxa"/>
            <w:vAlign w:val="center"/>
          </w:tcPr>
          <w:p w14:paraId="59B0834B" w14:textId="77777777" w:rsidR="00576FE1" w:rsidRPr="00157FC3" w:rsidRDefault="00576FE1" w:rsidP="00115CD6">
            <w:pPr>
              <w:spacing w:after="0" w:line="240" w:lineRule="auto"/>
              <w:jc w:val="center"/>
            </w:pPr>
            <w:r w:rsidRPr="00157FC3">
              <w:rPr>
                <w:color w:val="000000"/>
              </w:rPr>
              <w:t>7 (2.9%)</w:t>
            </w:r>
          </w:p>
        </w:tc>
        <w:tc>
          <w:tcPr>
            <w:tcW w:w="1560" w:type="dxa"/>
            <w:vAlign w:val="center"/>
          </w:tcPr>
          <w:p w14:paraId="63A9C7DC" w14:textId="77777777" w:rsidR="00576FE1" w:rsidRPr="00157FC3" w:rsidRDefault="00576FE1" w:rsidP="00115CD6">
            <w:pPr>
              <w:spacing w:after="0" w:line="240" w:lineRule="auto"/>
              <w:jc w:val="center"/>
            </w:pPr>
            <w:r w:rsidRPr="00157FC3">
              <w:rPr>
                <w:color w:val="000000"/>
              </w:rPr>
              <w:t>12 (2.5%)</w:t>
            </w:r>
          </w:p>
        </w:tc>
      </w:tr>
      <w:tr w:rsidR="00576FE1" w:rsidRPr="00157FC3" w14:paraId="1ADAAE81" w14:textId="77777777" w:rsidTr="00115CD6">
        <w:trPr>
          <w:trHeight w:val="458"/>
        </w:trPr>
        <w:tc>
          <w:tcPr>
            <w:tcW w:w="4678" w:type="dxa"/>
            <w:vAlign w:val="center"/>
          </w:tcPr>
          <w:p w14:paraId="5CA7ECFF" w14:textId="77777777" w:rsidR="00576FE1" w:rsidRPr="00157FC3" w:rsidRDefault="00576FE1" w:rsidP="00115CD6">
            <w:pPr>
              <w:spacing w:after="0" w:line="240" w:lineRule="auto"/>
            </w:pPr>
            <w:r w:rsidRPr="00157FC3">
              <w:rPr>
                <w:b/>
                <w:color w:val="000000"/>
              </w:rPr>
              <w:t>Psychiatric disorders</w:t>
            </w:r>
          </w:p>
        </w:tc>
        <w:tc>
          <w:tcPr>
            <w:tcW w:w="1648" w:type="dxa"/>
            <w:vAlign w:val="center"/>
          </w:tcPr>
          <w:p w14:paraId="313BDFE2" w14:textId="77777777" w:rsidR="00576FE1" w:rsidRPr="00157FC3" w:rsidRDefault="00576FE1" w:rsidP="00115CD6">
            <w:pPr>
              <w:spacing w:after="0" w:line="240" w:lineRule="auto"/>
              <w:jc w:val="center"/>
            </w:pPr>
            <w:r w:rsidRPr="00157FC3">
              <w:rPr>
                <w:b/>
                <w:color w:val="000000"/>
              </w:rPr>
              <w:t>5 (2.1%)</w:t>
            </w:r>
          </w:p>
        </w:tc>
        <w:tc>
          <w:tcPr>
            <w:tcW w:w="1612" w:type="dxa"/>
            <w:vAlign w:val="center"/>
          </w:tcPr>
          <w:p w14:paraId="6108B47F" w14:textId="77777777" w:rsidR="00576FE1" w:rsidRPr="00157FC3" w:rsidRDefault="00576FE1" w:rsidP="00115CD6">
            <w:pPr>
              <w:spacing w:after="0" w:line="240" w:lineRule="auto"/>
              <w:jc w:val="center"/>
            </w:pPr>
            <w:r w:rsidRPr="00157FC3">
              <w:rPr>
                <w:b/>
                <w:color w:val="000000"/>
              </w:rPr>
              <w:t>13 (5.4%)</w:t>
            </w:r>
          </w:p>
        </w:tc>
        <w:tc>
          <w:tcPr>
            <w:tcW w:w="1560" w:type="dxa"/>
            <w:vAlign w:val="center"/>
          </w:tcPr>
          <w:p w14:paraId="26014C59" w14:textId="77777777" w:rsidR="00576FE1" w:rsidRPr="00157FC3" w:rsidRDefault="00576FE1" w:rsidP="00115CD6">
            <w:pPr>
              <w:spacing w:after="0" w:line="240" w:lineRule="auto"/>
              <w:jc w:val="center"/>
            </w:pPr>
            <w:r w:rsidRPr="00157FC3">
              <w:rPr>
                <w:b/>
                <w:color w:val="000000"/>
              </w:rPr>
              <w:t>18 (3.7%)</w:t>
            </w:r>
          </w:p>
        </w:tc>
      </w:tr>
      <w:tr w:rsidR="00576FE1" w:rsidRPr="00157FC3" w14:paraId="5B93CACA" w14:textId="77777777" w:rsidTr="00115CD6">
        <w:trPr>
          <w:trHeight w:val="223"/>
        </w:trPr>
        <w:tc>
          <w:tcPr>
            <w:tcW w:w="4678" w:type="dxa"/>
            <w:vAlign w:val="center"/>
          </w:tcPr>
          <w:p w14:paraId="526538DE" w14:textId="77777777" w:rsidR="00576FE1" w:rsidRPr="00157FC3" w:rsidRDefault="00576FE1" w:rsidP="00115CD6">
            <w:pPr>
              <w:spacing w:after="0" w:line="240" w:lineRule="auto"/>
              <w:ind w:hanging="249"/>
            </w:pPr>
            <w:r w:rsidRPr="00157FC3">
              <w:rPr>
                <w:color w:val="000000"/>
              </w:rPr>
              <w:t xml:space="preserve">    Insomnia</w:t>
            </w:r>
          </w:p>
        </w:tc>
        <w:tc>
          <w:tcPr>
            <w:tcW w:w="1648" w:type="dxa"/>
            <w:vAlign w:val="center"/>
          </w:tcPr>
          <w:p w14:paraId="10438AB9" w14:textId="77777777" w:rsidR="00576FE1" w:rsidRPr="00157FC3" w:rsidRDefault="00576FE1" w:rsidP="00115CD6">
            <w:pPr>
              <w:spacing w:after="0" w:line="240" w:lineRule="auto"/>
              <w:jc w:val="center"/>
            </w:pPr>
            <w:r w:rsidRPr="00157FC3">
              <w:rPr>
                <w:color w:val="000000"/>
              </w:rPr>
              <w:t>1 (0.4%)</w:t>
            </w:r>
          </w:p>
        </w:tc>
        <w:tc>
          <w:tcPr>
            <w:tcW w:w="1612" w:type="dxa"/>
            <w:vAlign w:val="center"/>
          </w:tcPr>
          <w:p w14:paraId="0A2D882B" w14:textId="77777777" w:rsidR="00576FE1" w:rsidRPr="00157FC3" w:rsidRDefault="00576FE1" w:rsidP="00115CD6">
            <w:pPr>
              <w:spacing w:after="0" w:line="240" w:lineRule="auto"/>
              <w:jc w:val="center"/>
            </w:pPr>
            <w:r w:rsidRPr="00157FC3">
              <w:rPr>
                <w:color w:val="000000"/>
              </w:rPr>
              <w:t>6 (2.5%)</w:t>
            </w:r>
          </w:p>
        </w:tc>
        <w:tc>
          <w:tcPr>
            <w:tcW w:w="1560" w:type="dxa"/>
            <w:vAlign w:val="center"/>
          </w:tcPr>
          <w:p w14:paraId="0FCD8C80" w14:textId="77777777" w:rsidR="00576FE1" w:rsidRPr="00157FC3" w:rsidRDefault="00576FE1" w:rsidP="00115CD6">
            <w:pPr>
              <w:spacing w:after="0" w:line="240" w:lineRule="auto"/>
              <w:jc w:val="center"/>
            </w:pPr>
            <w:r w:rsidRPr="00157FC3">
              <w:rPr>
                <w:color w:val="000000"/>
              </w:rPr>
              <w:t>7 (1.4%)</w:t>
            </w:r>
          </w:p>
        </w:tc>
      </w:tr>
      <w:tr w:rsidR="00576FE1" w:rsidRPr="00157FC3" w14:paraId="1AE11E74" w14:textId="77777777" w:rsidTr="00115CD6">
        <w:trPr>
          <w:trHeight w:val="538"/>
        </w:trPr>
        <w:tc>
          <w:tcPr>
            <w:tcW w:w="4678" w:type="dxa"/>
            <w:vAlign w:val="center"/>
          </w:tcPr>
          <w:p w14:paraId="4FD77B60" w14:textId="77777777" w:rsidR="00576FE1" w:rsidRPr="00157FC3" w:rsidRDefault="00576FE1" w:rsidP="00115CD6">
            <w:pPr>
              <w:spacing w:after="0" w:line="240" w:lineRule="auto"/>
            </w:pPr>
            <w:r w:rsidRPr="00157FC3">
              <w:rPr>
                <w:b/>
                <w:color w:val="000000"/>
                <w:lang w:val="en-GB"/>
              </w:rPr>
              <w:t>Reproductive system and breast disorders</w:t>
            </w:r>
          </w:p>
        </w:tc>
        <w:tc>
          <w:tcPr>
            <w:tcW w:w="1648" w:type="dxa"/>
            <w:vAlign w:val="center"/>
          </w:tcPr>
          <w:p w14:paraId="18A50378" w14:textId="77777777" w:rsidR="00576FE1" w:rsidRPr="00157FC3" w:rsidRDefault="00576FE1" w:rsidP="00115CD6">
            <w:pPr>
              <w:spacing w:after="0" w:line="240" w:lineRule="auto"/>
              <w:jc w:val="center"/>
            </w:pPr>
            <w:r w:rsidRPr="00157FC3">
              <w:rPr>
                <w:b/>
                <w:color w:val="000000"/>
              </w:rPr>
              <w:t>8 (3.3%)</w:t>
            </w:r>
          </w:p>
        </w:tc>
        <w:tc>
          <w:tcPr>
            <w:tcW w:w="1612" w:type="dxa"/>
            <w:vAlign w:val="center"/>
          </w:tcPr>
          <w:p w14:paraId="0D82D429" w14:textId="77777777" w:rsidR="00576FE1" w:rsidRPr="00157FC3" w:rsidRDefault="00576FE1" w:rsidP="00115CD6">
            <w:pPr>
              <w:spacing w:after="0" w:line="240" w:lineRule="auto"/>
              <w:jc w:val="center"/>
            </w:pPr>
            <w:r w:rsidRPr="00157FC3">
              <w:rPr>
                <w:b/>
                <w:color w:val="000000"/>
              </w:rPr>
              <w:t>7 (2.9%)</w:t>
            </w:r>
          </w:p>
        </w:tc>
        <w:tc>
          <w:tcPr>
            <w:tcW w:w="1560" w:type="dxa"/>
            <w:vAlign w:val="center"/>
          </w:tcPr>
          <w:p w14:paraId="6F11D9E5" w14:textId="77777777" w:rsidR="00576FE1" w:rsidRPr="00157FC3" w:rsidRDefault="00576FE1" w:rsidP="00115CD6">
            <w:pPr>
              <w:spacing w:after="0" w:line="240" w:lineRule="auto"/>
              <w:jc w:val="center"/>
            </w:pPr>
            <w:r w:rsidRPr="00157FC3">
              <w:rPr>
                <w:b/>
                <w:color w:val="000000"/>
              </w:rPr>
              <w:t>15 (3.1%)</w:t>
            </w:r>
          </w:p>
        </w:tc>
      </w:tr>
      <w:tr w:rsidR="00576FE1" w:rsidRPr="00157FC3" w14:paraId="61EDCFCB" w14:textId="77777777" w:rsidTr="00115CD6">
        <w:trPr>
          <w:trHeight w:val="223"/>
        </w:trPr>
        <w:tc>
          <w:tcPr>
            <w:tcW w:w="4678" w:type="dxa"/>
            <w:vAlign w:val="center"/>
          </w:tcPr>
          <w:p w14:paraId="495A1025" w14:textId="77777777" w:rsidR="00576FE1" w:rsidRPr="00157FC3" w:rsidRDefault="00576FE1" w:rsidP="00115CD6">
            <w:pPr>
              <w:spacing w:after="0" w:line="240" w:lineRule="auto"/>
              <w:ind w:hanging="249"/>
            </w:pPr>
            <w:r w:rsidRPr="00157FC3">
              <w:rPr>
                <w:color w:val="000000"/>
              </w:rPr>
              <w:t xml:space="preserve">    Vulvovaginal dryness</w:t>
            </w:r>
          </w:p>
        </w:tc>
        <w:tc>
          <w:tcPr>
            <w:tcW w:w="1648" w:type="dxa"/>
            <w:vAlign w:val="center"/>
          </w:tcPr>
          <w:p w14:paraId="1F2A4AA3" w14:textId="77777777" w:rsidR="00576FE1" w:rsidRPr="00157FC3" w:rsidRDefault="00576FE1" w:rsidP="00115CD6">
            <w:pPr>
              <w:spacing w:after="0" w:line="240" w:lineRule="auto"/>
              <w:jc w:val="center"/>
            </w:pPr>
            <w:r w:rsidRPr="00157FC3">
              <w:rPr>
                <w:color w:val="000000"/>
              </w:rPr>
              <w:t>4 (1.7%)</w:t>
            </w:r>
          </w:p>
        </w:tc>
        <w:tc>
          <w:tcPr>
            <w:tcW w:w="1612" w:type="dxa"/>
            <w:vAlign w:val="center"/>
          </w:tcPr>
          <w:p w14:paraId="347E17F9" w14:textId="77777777" w:rsidR="00576FE1" w:rsidRPr="00157FC3" w:rsidRDefault="00576FE1" w:rsidP="00115CD6">
            <w:pPr>
              <w:spacing w:after="0" w:line="240" w:lineRule="auto"/>
              <w:jc w:val="center"/>
            </w:pPr>
            <w:r w:rsidRPr="00157FC3">
              <w:rPr>
                <w:color w:val="000000"/>
              </w:rPr>
              <w:t>6 (2.5%)</w:t>
            </w:r>
          </w:p>
        </w:tc>
        <w:tc>
          <w:tcPr>
            <w:tcW w:w="1560" w:type="dxa"/>
            <w:vAlign w:val="center"/>
          </w:tcPr>
          <w:p w14:paraId="646A6D3E" w14:textId="77777777" w:rsidR="00576FE1" w:rsidRPr="00157FC3" w:rsidRDefault="00576FE1" w:rsidP="00115CD6">
            <w:pPr>
              <w:spacing w:after="0" w:line="240" w:lineRule="auto"/>
              <w:jc w:val="center"/>
            </w:pPr>
            <w:r w:rsidRPr="00157FC3">
              <w:rPr>
                <w:color w:val="000000"/>
              </w:rPr>
              <w:t>10 (2.1%)</w:t>
            </w:r>
          </w:p>
        </w:tc>
      </w:tr>
      <w:tr w:rsidR="00576FE1" w:rsidRPr="001B5966" w14:paraId="704544FA" w14:textId="77777777" w:rsidTr="00115CD6">
        <w:trPr>
          <w:trHeight w:val="200"/>
        </w:trPr>
        <w:tc>
          <w:tcPr>
            <w:tcW w:w="4678" w:type="dxa"/>
            <w:vAlign w:val="center"/>
          </w:tcPr>
          <w:p w14:paraId="7B498AA4" w14:textId="77777777" w:rsidR="00576FE1" w:rsidRPr="001B5966" w:rsidRDefault="00576FE1" w:rsidP="00115CD6">
            <w:pPr>
              <w:ind w:hanging="249"/>
              <w:rPr>
                <w:color w:val="000000"/>
                <w:sz w:val="6"/>
                <w:szCs w:val="6"/>
              </w:rPr>
            </w:pPr>
          </w:p>
        </w:tc>
        <w:tc>
          <w:tcPr>
            <w:tcW w:w="1648" w:type="dxa"/>
            <w:vAlign w:val="center"/>
          </w:tcPr>
          <w:p w14:paraId="4F58A4FF" w14:textId="77777777" w:rsidR="00576FE1" w:rsidRPr="001B5966" w:rsidRDefault="00576FE1" w:rsidP="00115CD6">
            <w:pPr>
              <w:jc w:val="center"/>
              <w:rPr>
                <w:color w:val="000000"/>
                <w:sz w:val="6"/>
                <w:szCs w:val="6"/>
              </w:rPr>
            </w:pPr>
          </w:p>
        </w:tc>
        <w:tc>
          <w:tcPr>
            <w:tcW w:w="1612" w:type="dxa"/>
            <w:vAlign w:val="center"/>
          </w:tcPr>
          <w:p w14:paraId="16BEA860" w14:textId="77777777" w:rsidR="00576FE1" w:rsidRPr="001B5966" w:rsidRDefault="00576FE1" w:rsidP="00115CD6">
            <w:pPr>
              <w:jc w:val="center"/>
              <w:rPr>
                <w:color w:val="000000"/>
                <w:sz w:val="6"/>
                <w:szCs w:val="6"/>
              </w:rPr>
            </w:pPr>
          </w:p>
        </w:tc>
        <w:tc>
          <w:tcPr>
            <w:tcW w:w="1560" w:type="dxa"/>
            <w:vAlign w:val="center"/>
          </w:tcPr>
          <w:p w14:paraId="2B4E2745" w14:textId="77777777" w:rsidR="00576FE1" w:rsidRPr="001B5966" w:rsidRDefault="00576FE1" w:rsidP="00115CD6">
            <w:pPr>
              <w:jc w:val="center"/>
              <w:rPr>
                <w:color w:val="000000"/>
                <w:sz w:val="6"/>
                <w:szCs w:val="6"/>
              </w:rPr>
            </w:pPr>
          </w:p>
        </w:tc>
      </w:tr>
    </w:tbl>
    <w:p w14:paraId="2C740C87" w14:textId="221696C3" w:rsidR="00576FE1" w:rsidRDefault="00576FE1" w:rsidP="00576FE1">
      <w:pPr>
        <w:adjustRightInd w:val="0"/>
        <w:rPr>
          <w:rFonts w:ascii="Tahoma" w:hAnsi="Tahoma" w:cs="Tahoma"/>
          <w:color w:val="000000"/>
        </w:rPr>
      </w:pPr>
      <w:r w:rsidRPr="0011227C">
        <w:rPr>
          <w:i/>
          <w:sz w:val="18"/>
          <w:szCs w:val="18"/>
          <w:lang w:val="en-GB"/>
        </w:rPr>
        <w:t>(</w:t>
      </w:r>
      <w:r w:rsidRPr="0011227C">
        <w:rPr>
          <w:i/>
          <w:sz w:val="18"/>
          <w:szCs w:val="18"/>
          <w:u w:val="single"/>
          <w:lang w:val="en-GB"/>
        </w:rPr>
        <w:t>Cross reference</w:t>
      </w:r>
      <w:r w:rsidRPr="0011227C">
        <w:rPr>
          <w:i/>
          <w:sz w:val="18"/>
          <w:szCs w:val="18"/>
          <w:lang w:val="en-GB"/>
        </w:rPr>
        <w:t xml:space="preserve">: </w:t>
      </w:r>
      <w:r>
        <w:rPr>
          <w:i/>
          <w:sz w:val="18"/>
          <w:szCs w:val="18"/>
          <w:lang w:val="en-GB"/>
        </w:rPr>
        <w:t>Table 162</w:t>
      </w:r>
      <w:r w:rsidRPr="0011227C">
        <w:rPr>
          <w:i/>
          <w:sz w:val="18"/>
          <w:szCs w:val="18"/>
          <w:lang w:val="en-GB"/>
        </w:rPr>
        <w:t xml:space="preserve"> of Final Analysis Statistical Report dated </w:t>
      </w:r>
      <w:r w:rsidR="001B1571">
        <w:rPr>
          <w:i/>
          <w:sz w:val="18"/>
          <w:szCs w:val="18"/>
          <w:lang w:val="en-GB"/>
        </w:rPr>
        <w:t>4</w:t>
      </w:r>
      <w:r w:rsidR="001B1571" w:rsidRPr="001B1571">
        <w:rPr>
          <w:i/>
          <w:sz w:val="18"/>
          <w:szCs w:val="18"/>
          <w:vertAlign w:val="superscript"/>
          <w:lang w:val="en-GB"/>
        </w:rPr>
        <w:t>th</w:t>
      </w:r>
      <w:r w:rsidR="001B1571">
        <w:rPr>
          <w:i/>
          <w:sz w:val="18"/>
          <w:szCs w:val="18"/>
          <w:lang w:val="en-GB"/>
        </w:rPr>
        <w:t xml:space="preserve"> September</w:t>
      </w:r>
      <w:r w:rsidRPr="0011227C">
        <w:rPr>
          <w:i/>
          <w:sz w:val="18"/>
          <w:szCs w:val="18"/>
          <w:lang w:val="en-GB"/>
        </w:rPr>
        <w:t xml:space="preserve"> 2020).</w:t>
      </w:r>
    </w:p>
    <w:p w14:paraId="7B116B7C" w14:textId="77777777" w:rsidR="00576FE1" w:rsidRDefault="00576FE1" w:rsidP="00576FE1"/>
    <w:p w14:paraId="66556915" w14:textId="67C752D9" w:rsidR="00576FE1" w:rsidRDefault="00576FE1" w:rsidP="00800E62">
      <w:pPr>
        <w:pStyle w:val="Descripcin"/>
        <w:keepNext/>
        <w:ind w:left="284"/>
        <w:outlineLvl w:val="0"/>
      </w:pPr>
      <w:bookmarkStart w:id="677" w:name="_Ref52424981"/>
      <w:bookmarkStart w:id="678" w:name="_Toc52046493"/>
      <w:bookmarkStart w:id="679" w:name="_Toc52446216"/>
      <w:bookmarkStart w:id="680" w:name="_Toc52468173"/>
      <w:r>
        <w:lastRenderedPageBreak/>
        <w:t xml:space="preserve">Table </w:t>
      </w:r>
      <w:r>
        <w:fldChar w:fldCharType="begin"/>
      </w:r>
      <w:r>
        <w:instrText xml:space="preserve"> SEQ Table \* ARABIC </w:instrText>
      </w:r>
      <w:r>
        <w:fldChar w:fldCharType="separate"/>
      </w:r>
      <w:r w:rsidR="002221CF">
        <w:rPr>
          <w:noProof/>
        </w:rPr>
        <w:t>15</w:t>
      </w:r>
      <w:r>
        <w:fldChar w:fldCharType="end"/>
      </w:r>
      <w:bookmarkEnd w:id="677"/>
      <w:r>
        <w:t xml:space="preserve">. </w:t>
      </w:r>
      <w:r w:rsidRPr="00A0462B">
        <w:t>Toxicity summary for CTCAE grade ≥ 3 TEAEs reported for &gt;1% of patients in any study group (Safety population).</w:t>
      </w:r>
      <w:bookmarkEnd w:id="678"/>
      <w:bookmarkEnd w:id="679"/>
      <w:bookmarkEnd w:id="680"/>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828"/>
        <w:gridCol w:w="1554"/>
        <w:gridCol w:w="2036"/>
        <w:gridCol w:w="1649"/>
      </w:tblGrid>
      <w:tr w:rsidR="00576FE1" w:rsidRPr="003E3A66" w14:paraId="14289A24" w14:textId="77777777" w:rsidTr="00115CD6">
        <w:trPr>
          <w:cantSplit/>
          <w:tblHeader/>
          <w:jc w:val="center"/>
        </w:trPr>
        <w:tc>
          <w:tcPr>
            <w:tcW w:w="3828" w:type="dxa"/>
            <w:tcBorders>
              <w:left w:val="nil"/>
              <w:bottom w:val="single" w:sz="4" w:space="0" w:color="auto"/>
              <w:right w:val="nil"/>
            </w:tcBorders>
            <w:shd w:val="clear" w:color="auto" w:fill="FFFFFF"/>
            <w:tcMar>
              <w:left w:w="60" w:type="dxa"/>
              <w:right w:w="60" w:type="dxa"/>
            </w:tcMar>
            <w:vAlign w:val="center"/>
          </w:tcPr>
          <w:p w14:paraId="75AD4057" w14:textId="77777777" w:rsidR="00576FE1" w:rsidRDefault="00576FE1" w:rsidP="00115CD6">
            <w:pPr>
              <w:keepNext/>
              <w:adjustRightInd w:val="0"/>
              <w:spacing w:after="0" w:line="240" w:lineRule="auto"/>
              <w:rPr>
                <w:b/>
                <w:bCs/>
                <w:lang w:val="en-GB"/>
              </w:rPr>
            </w:pPr>
            <w:r w:rsidRPr="003E3A66">
              <w:rPr>
                <w:b/>
                <w:bCs/>
                <w:lang w:val="en-GB"/>
              </w:rPr>
              <w:t>SOC / PT</w:t>
            </w:r>
          </w:p>
          <w:p w14:paraId="128A3129" w14:textId="77777777" w:rsidR="00576FE1" w:rsidRPr="005C01C5" w:rsidRDefault="00576FE1" w:rsidP="00115CD6">
            <w:pPr>
              <w:keepNext/>
              <w:adjustRightInd w:val="0"/>
              <w:spacing w:after="0" w:line="240" w:lineRule="auto"/>
              <w:rPr>
                <w:bCs/>
                <w:lang w:val="en-GB"/>
              </w:rPr>
            </w:pPr>
            <w:r w:rsidRPr="005C01C5">
              <w:rPr>
                <w:bCs/>
                <w:lang w:val="en-GB"/>
              </w:rPr>
              <w:t>N (%)</w:t>
            </w:r>
          </w:p>
        </w:tc>
        <w:tc>
          <w:tcPr>
            <w:tcW w:w="1554" w:type="dxa"/>
            <w:tcBorders>
              <w:left w:val="nil"/>
              <w:bottom w:val="single" w:sz="4" w:space="0" w:color="auto"/>
              <w:right w:val="nil"/>
            </w:tcBorders>
            <w:shd w:val="clear" w:color="auto" w:fill="FFFFFF"/>
            <w:tcMar>
              <w:left w:w="60" w:type="dxa"/>
              <w:right w:w="60" w:type="dxa"/>
            </w:tcMar>
            <w:vAlign w:val="center"/>
          </w:tcPr>
          <w:p w14:paraId="5A8CA691" w14:textId="77777777" w:rsidR="00576FE1" w:rsidRPr="003E3A66" w:rsidRDefault="00576FE1" w:rsidP="00115CD6">
            <w:pPr>
              <w:keepNext/>
              <w:adjustRightInd w:val="0"/>
              <w:spacing w:after="0" w:line="240" w:lineRule="auto"/>
              <w:jc w:val="center"/>
              <w:rPr>
                <w:b/>
                <w:bCs/>
              </w:rPr>
            </w:pPr>
            <w:r w:rsidRPr="003E3A66">
              <w:rPr>
                <w:b/>
                <w:bCs/>
              </w:rPr>
              <w:t>Palbociclib-</w:t>
            </w:r>
          </w:p>
          <w:p w14:paraId="60DEFD1D" w14:textId="77777777" w:rsidR="00576FE1" w:rsidRPr="003E3A66" w:rsidRDefault="00576FE1" w:rsidP="00115CD6">
            <w:pPr>
              <w:keepNext/>
              <w:adjustRightInd w:val="0"/>
              <w:spacing w:after="0" w:line="240" w:lineRule="auto"/>
              <w:jc w:val="center"/>
              <w:rPr>
                <w:b/>
                <w:bCs/>
              </w:rPr>
            </w:pPr>
            <w:proofErr w:type="spellStart"/>
            <w:r w:rsidRPr="003E3A66">
              <w:rPr>
                <w:b/>
                <w:bCs/>
              </w:rPr>
              <w:t>Fulvestrant</w:t>
            </w:r>
            <w:proofErr w:type="spellEnd"/>
            <w:r w:rsidRPr="003E3A66">
              <w:rPr>
                <w:b/>
                <w:bCs/>
              </w:rPr>
              <w:t xml:space="preserve"> </w:t>
            </w:r>
          </w:p>
          <w:p w14:paraId="65A125B6" w14:textId="77777777" w:rsidR="00576FE1" w:rsidRPr="005C01C5" w:rsidRDefault="00576FE1" w:rsidP="00115CD6">
            <w:pPr>
              <w:keepNext/>
              <w:adjustRightInd w:val="0"/>
              <w:spacing w:after="0" w:line="240" w:lineRule="auto"/>
              <w:jc w:val="center"/>
              <w:rPr>
                <w:bCs/>
              </w:rPr>
            </w:pPr>
            <w:r w:rsidRPr="005C01C5">
              <w:rPr>
                <w:bCs/>
              </w:rPr>
              <w:t>(N=241)</w:t>
            </w:r>
          </w:p>
        </w:tc>
        <w:tc>
          <w:tcPr>
            <w:tcW w:w="2036" w:type="dxa"/>
            <w:tcBorders>
              <w:left w:val="nil"/>
              <w:bottom w:val="single" w:sz="4" w:space="0" w:color="auto"/>
              <w:right w:val="nil"/>
            </w:tcBorders>
            <w:shd w:val="clear" w:color="auto" w:fill="FFFFFF"/>
            <w:tcMar>
              <w:left w:w="60" w:type="dxa"/>
              <w:right w:w="60" w:type="dxa"/>
            </w:tcMar>
            <w:vAlign w:val="center"/>
          </w:tcPr>
          <w:p w14:paraId="7230B1B2" w14:textId="77777777" w:rsidR="00576FE1" w:rsidRPr="003E3A66" w:rsidRDefault="00576FE1" w:rsidP="00115CD6">
            <w:pPr>
              <w:keepNext/>
              <w:adjustRightInd w:val="0"/>
              <w:spacing w:after="0" w:line="240" w:lineRule="auto"/>
              <w:jc w:val="center"/>
              <w:rPr>
                <w:b/>
                <w:bCs/>
              </w:rPr>
            </w:pPr>
            <w:r w:rsidRPr="003E3A66">
              <w:rPr>
                <w:b/>
                <w:bCs/>
              </w:rPr>
              <w:t>Palbociclib-</w:t>
            </w:r>
          </w:p>
          <w:p w14:paraId="511E0029" w14:textId="77777777" w:rsidR="00576FE1" w:rsidRPr="003E3A66" w:rsidRDefault="00576FE1" w:rsidP="00115CD6">
            <w:pPr>
              <w:keepNext/>
              <w:adjustRightInd w:val="0"/>
              <w:spacing w:after="0" w:line="240" w:lineRule="auto"/>
              <w:jc w:val="center"/>
              <w:rPr>
                <w:b/>
                <w:bCs/>
              </w:rPr>
            </w:pPr>
            <w:r w:rsidRPr="003E3A66">
              <w:rPr>
                <w:b/>
                <w:bCs/>
              </w:rPr>
              <w:t xml:space="preserve">Letrozole </w:t>
            </w:r>
          </w:p>
          <w:p w14:paraId="06F90089" w14:textId="77777777" w:rsidR="00576FE1" w:rsidRPr="005C01C5" w:rsidRDefault="00576FE1" w:rsidP="00115CD6">
            <w:pPr>
              <w:keepNext/>
              <w:adjustRightInd w:val="0"/>
              <w:spacing w:after="0" w:line="240" w:lineRule="auto"/>
              <w:jc w:val="center"/>
              <w:rPr>
                <w:bCs/>
              </w:rPr>
            </w:pPr>
            <w:r w:rsidRPr="005C01C5">
              <w:rPr>
                <w:bCs/>
              </w:rPr>
              <w:t>(N=242)</w:t>
            </w:r>
          </w:p>
        </w:tc>
        <w:tc>
          <w:tcPr>
            <w:tcW w:w="1649" w:type="dxa"/>
            <w:tcBorders>
              <w:left w:val="nil"/>
              <w:bottom w:val="single" w:sz="4" w:space="0" w:color="auto"/>
              <w:right w:val="nil"/>
            </w:tcBorders>
            <w:shd w:val="clear" w:color="auto" w:fill="FFFFFF"/>
            <w:tcMar>
              <w:left w:w="60" w:type="dxa"/>
              <w:right w:w="60" w:type="dxa"/>
            </w:tcMar>
            <w:vAlign w:val="center"/>
          </w:tcPr>
          <w:p w14:paraId="199640DE" w14:textId="77777777" w:rsidR="00576FE1" w:rsidRPr="003E3A66" w:rsidRDefault="00576FE1" w:rsidP="00115CD6">
            <w:pPr>
              <w:keepNext/>
              <w:adjustRightInd w:val="0"/>
              <w:spacing w:after="0" w:line="240" w:lineRule="auto"/>
              <w:jc w:val="center"/>
              <w:rPr>
                <w:b/>
                <w:bCs/>
              </w:rPr>
            </w:pPr>
            <w:r w:rsidRPr="003E3A66">
              <w:rPr>
                <w:b/>
                <w:bCs/>
              </w:rPr>
              <w:t xml:space="preserve">Overall </w:t>
            </w:r>
          </w:p>
          <w:p w14:paraId="344347DC" w14:textId="77777777" w:rsidR="00576FE1" w:rsidRPr="005C01C5" w:rsidRDefault="00576FE1" w:rsidP="00115CD6">
            <w:pPr>
              <w:keepNext/>
              <w:adjustRightInd w:val="0"/>
              <w:spacing w:after="0" w:line="240" w:lineRule="auto"/>
              <w:jc w:val="center"/>
              <w:rPr>
                <w:bCs/>
              </w:rPr>
            </w:pPr>
            <w:r w:rsidRPr="005C01C5">
              <w:rPr>
                <w:bCs/>
              </w:rPr>
              <w:t>(N=483)</w:t>
            </w:r>
          </w:p>
        </w:tc>
      </w:tr>
      <w:tr w:rsidR="00576FE1" w:rsidRPr="003E3A66" w14:paraId="602FF796" w14:textId="77777777" w:rsidTr="00115CD6">
        <w:trPr>
          <w:cantSplit/>
          <w:trHeight w:val="413"/>
          <w:jc w:val="center"/>
        </w:trPr>
        <w:tc>
          <w:tcPr>
            <w:tcW w:w="3828" w:type="dxa"/>
            <w:tcBorders>
              <w:left w:val="nil"/>
              <w:bottom w:val="nil"/>
              <w:right w:val="nil"/>
            </w:tcBorders>
            <w:shd w:val="clear" w:color="auto" w:fill="FFFFFF"/>
            <w:tcMar>
              <w:left w:w="60" w:type="dxa"/>
              <w:right w:w="60" w:type="dxa"/>
            </w:tcMar>
            <w:vAlign w:val="center"/>
          </w:tcPr>
          <w:p w14:paraId="74AE1B09" w14:textId="77777777" w:rsidR="00576FE1" w:rsidRPr="003E3A66" w:rsidRDefault="00576FE1" w:rsidP="00115CD6">
            <w:pPr>
              <w:keepNext/>
              <w:adjustRightInd w:val="0"/>
              <w:spacing w:after="0" w:line="240" w:lineRule="auto"/>
              <w:rPr>
                <w:b/>
                <w:lang w:val="en-GB"/>
              </w:rPr>
            </w:pPr>
            <w:r w:rsidRPr="003E3A66">
              <w:rPr>
                <w:b/>
                <w:lang w:val="en-GB"/>
              </w:rPr>
              <w:t>Blood and lymphatic system disorders</w:t>
            </w:r>
          </w:p>
        </w:tc>
        <w:tc>
          <w:tcPr>
            <w:tcW w:w="1554" w:type="dxa"/>
            <w:tcBorders>
              <w:left w:val="nil"/>
              <w:bottom w:val="nil"/>
              <w:right w:val="nil"/>
            </w:tcBorders>
            <w:shd w:val="clear" w:color="auto" w:fill="FFFFFF"/>
            <w:tcMar>
              <w:left w:w="60" w:type="dxa"/>
              <w:right w:w="60" w:type="dxa"/>
            </w:tcMar>
            <w:vAlign w:val="center"/>
          </w:tcPr>
          <w:p w14:paraId="56501ECE" w14:textId="77777777" w:rsidR="00576FE1" w:rsidRPr="003E3A66" w:rsidRDefault="00576FE1" w:rsidP="00115CD6">
            <w:pPr>
              <w:keepNext/>
              <w:adjustRightInd w:val="0"/>
              <w:spacing w:after="0" w:line="240" w:lineRule="auto"/>
              <w:jc w:val="center"/>
              <w:rPr>
                <w:b/>
              </w:rPr>
            </w:pPr>
            <w:r w:rsidRPr="003E3A66">
              <w:rPr>
                <w:b/>
              </w:rPr>
              <w:t>164 (68.0%)</w:t>
            </w:r>
          </w:p>
        </w:tc>
        <w:tc>
          <w:tcPr>
            <w:tcW w:w="2036" w:type="dxa"/>
            <w:tcBorders>
              <w:left w:val="nil"/>
              <w:bottom w:val="nil"/>
              <w:right w:val="nil"/>
            </w:tcBorders>
            <w:shd w:val="clear" w:color="auto" w:fill="FFFFFF"/>
            <w:tcMar>
              <w:left w:w="60" w:type="dxa"/>
              <w:right w:w="60" w:type="dxa"/>
            </w:tcMar>
            <w:vAlign w:val="center"/>
          </w:tcPr>
          <w:p w14:paraId="5ABAAC76" w14:textId="77777777" w:rsidR="00576FE1" w:rsidRPr="003E3A66" w:rsidRDefault="00576FE1" w:rsidP="00115CD6">
            <w:pPr>
              <w:keepNext/>
              <w:adjustRightInd w:val="0"/>
              <w:spacing w:after="0" w:line="240" w:lineRule="auto"/>
              <w:jc w:val="center"/>
              <w:rPr>
                <w:b/>
              </w:rPr>
            </w:pPr>
            <w:r w:rsidRPr="003E3A66">
              <w:rPr>
                <w:b/>
              </w:rPr>
              <w:t>168 (69.4%)</w:t>
            </w:r>
          </w:p>
        </w:tc>
        <w:tc>
          <w:tcPr>
            <w:tcW w:w="1649" w:type="dxa"/>
            <w:tcBorders>
              <w:left w:val="nil"/>
              <w:bottom w:val="nil"/>
              <w:right w:val="nil"/>
            </w:tcBorders>
            <w:shd w:val="clear" w:color="auto" w:fill="FFFFFF"/>
            <w:tcMar>
              <w:left w:w="60" w:type="dxa"/>
              <w:right w:w="60" w:type="dxa"/>
            </w:tcMar>
            <w:vAlign w:val="center"/>
          </w:tcPr>
          <w:p w14:paraId="46770CB9" w14:textId="77777777" w:rsidR="00576FE1" w:rsidRPr="003E3A66" w:rsidRDefault="00576FE1" w:rsidP="00115CD6">
            <w:pPr>
              <w:keepNext/>
              <w:adjustRightInd w:val="0"/>
              <w:spacing w:after="0" w:line="240" w:lineRule="auto"/>
              <w:jc w:val="center"/>
              <w:rPr>
                <w:b/>
              </w:rPr>
            </w:pPr>
            <w:r w:rsidRPr="003E3A66">
              <w:rPr>
                <w:b/>
              </w:rPr>
              <w:t>332 (68.7%)</w:t>
            </w:r>
          </w:p>
        </w:tc>
      </w:tr>
      <w:tr w:rsidR="00576FE1" w:rsidRPr="003E3A66" w14:paraId="61009E30"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2B3A224A" w14:textId="77777777" w:rsidR="00576FE1" w:rsidRPr="003E3A66" w:rsidRDefault="00576FE1" w:rsidP="00115CD6">
            <w:pPr>
              <w:keepNext/>
              <w:adjustRightInd w:val="0"/>
              <w:spacing w:after="0" w:line="240" w:lineRule="auto"/>
              <w:ind w:hanging="209"/>
            </w:pPr>
            <w:r w:rsidRPr="003E3A66">
              <w:t xml:space="preserve">    Neutropenia</w:t>
            </w:r>
          </w:p>
        </w:tc>
        <w:tc>
          <w:tcPr>
            <w:tcW w:w="1554" w:type="dxa"/>
            <w:tcBorders>
              <w:top w:val="nil"/>
              <w:left w:val="nil"/>
              <w:bottom w:val="nil"/>
              <w:right w:val="nil"/>
            </w:tcBorders>
            <w:shd w:val="clear" w:color="auto" w:fill="FFFFFF"/>
            <w:tcMar>
              <w:left w:w="60" w:type="dxa"/>
              <w:right w:w="60" w:type="dxa"/>
            </w:tcMar>
            <w:vAlign w:val="center"/>
          </w:tcPr>
          <w:p w14:paraId="704240D4" w14:textId="77777777" w:rsidR="00576FE1" w:rsidRPr="003E3A66" w:rsidRDefault="00576FE1" w:rsidP="00115CD6">
            <w:pPr>
              <w:keepNext/>
              <w:adjustRightInd w:val="0"/>
              <w:spacing w:after="0" w:line="240" w:lineRule="auto"/>
              <w:jc w:val="center"/>
            </w:pPr>
            <w:r w:rsidRPr="003E3A66">
              <w:t>159 (66.0%)</w:t>
            </w:r>
          </w:p>
        </w:tc>
        <w:tc>
          <w:tcPr>
            <w:tcW w:w="2036" w:type="dxa"/>
            <w:tcBorders>
              <w:top w:val="nil"/>
              <w:left w:val="nil"/>
              <w:bottom w:val="nil"/>
              <w:right w:val="nil"/>
            </w:tcBorders>
            <w:shd w:val="clear" w:color="auto" w:fill="FFFFFF"/>
            <w:tcMar>
              <w:left w:w="60" w:type="dxa"/>
              <w:right w:w="60" w:type="dxa"/>
            </w:tcMar>
            <w:vAlign w:val="center"/>
          </w:tcPr>
          <w:p w14:paraId="38BDFDF3" w14:textId="77777777" w:rsidR="00576FE1" w:rsidRPr="003E3A66" w:rsidRDefault="00576FE1" w:rsidP="00115CD6">
            <w:pPr>
              <w:keepNext/>
              <w:adjustRightInd w:val="0"/>
              <w:spacing w:after="0" w:line="240" w:lineRule="auto"/>
              <w:jc w:val="center"/>
            </w:pPr>
            <w:r w:rsidRPr="003E3A66">
              <w:t>165 (68.2%)</w:t>
            </w:r>
          </w:p>
        </w:tc>
        <w:tc>
          <w:tcPr>
            <w:tcW w:w="1649" w:type="dxa"/>
            <w:tcBorders>
              <w:top w:val="nil"/>
              <w:left w:val="nil"/>
              <w:bottom w:val="nil"/>
              <w:right w:val="nil"/>
            </w:tcBorders>
            <w:shd w:val="clear" w:color="auto" w:fill="FFFFFF"/>
            <w:tcMar>
              <w:left w:w="60" w:type="dxa"/>
              <w:right w:w="60" w:type="dxa"/>
            </w:tcMar>
            <w:vAlign w:val="center"/>
          </w:tcPr>
          <w:p w14:paraId="6BC433B5" w14:textId="77777777" w:rsidR="00576FE1" w:rsidRPr="003E3A66" w:rsidRDefault="00576FE1" w:rsidP="00115CD6">
            <w:pPr>
              <w:keepNext/>
              <w:adjustRightInd w:val="0"/>
              <w:spacing w:after="0" w:line="240" w:lineRule="auto"/>
              <w:jc w:val="center"/>
            </w:pPr>
            <w:r w:rsidRPr="003E3A66">
              <w:t>324 (67.1%)</w:t>
            </w:r>
          </w:p>
        </w:tc>
      </w:tr>
      <w:tr w:rsidR="00576FE1" w:rsidRPr="003E3A66" w14:paraId="282D4029"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6FC185F4" w14:textId="77777777" w:rsidR="00576FE1" w:rsidRPr="003E3A66" w:rsidRDefault="00576FE1" w:rsidP="00115CD6">
            <w:pPr>
              <w:keepNext/>
              <w:adjustRightInd w:val="0"/>
              <w:spacing w:after="0" w:line="240" w:lineRule="auto"/>
              <w:ind w:hanging="209"/>
            </w:pPr>
            <w:r w:rsidRPr="003E3A66">
              <w:t xml:space="preserve">    Leukopenia</w:t>
            </w:r>
          </w:p>
        </w:tc>
        <w:tc>
          <w:tcPr>
            <w:tcW w:w="1554" w:type="dxa"/>
            <w:tcBorders>
              <w:top w:val="nil"/>
              <w:left w:val="nil"/>
              <w:bottom w:val="nil"/>
              <w:right w:val="nil"/>
            </w:tcBorders>
            <w:shd w:val="clear" w:color="auto" w:fill="FFFFFF"/>
            <w:tcMar>
              <w:left w:w="60" w:type="dxa"/>
              <w:right w:w="60" w:type="dxa"/>
            </w:tcMar>
            <w:vAlign w:val="center"/>
          </w:tcPr>
          <w:p w14:paraId="6E3CDEC5" w14:textId="77777777" w:rsidR="00576FE1" w:rsidRPr="003E3A66" w:rsidRDefault="00576FE1" w:rsidP="00115CD6">
            <w:pPr>
              <w:keepNext/>
              <w:adjustRightInd w:val="0"/>
              <w:spacing w:after="0" w:line="240" w:lineRule="auto"/>
              <w:jc w:val="center"/>
            </w:pPr>
            <w:r w:rsidRPr="003E3A66">
              <w:t>17 (7.1%)</w:t>
            </w:r>
          </w:p>
        </w:tc>
        <w:tc>
          <w:tcPr>
            <w:tcW w:w="2036" w:type="dxa"/>
            <w:tcBorders>
              <w:top w:val="nil"/>
              <w:left w:val="nil"/>
              <w:bottom w:val="nil"/>
              <w:right w:val="nil"/>
            </w:tcBorders>
            <w:shd w:val="clear" w:color="auto" w:fill="FFFFFF"/>
            <w:tcMar>
              <w:left w:w="60" w:type="dxa"/>
              <w:right w:w="60" w:type="dxa"/>
            </w:tcMar>
            <w:vAlign w:val="center"/>
          </w:tcPr>
          <w:p w14:paraId="303B1298" w14:textId="77777777" w:rsidR="00576FE1" w:rsidRPr="003E3A66" w:rsidRDefault="00576FE1" w:rsidP="00115CD6">
            <w:pPr>
              <w:keepNext/>
              <w:adjustRightInd w:val="0"/>
              <w:spacing w:after="0" w:line="240" w:lineRule="auto"/>
              <w:jc w:val="center"/>
            </w:pPr>
            <w:r w:rsidRPr="003E3A66">
              <w:t>14 (5.8%)</w:t>
            </w:r>
          </w:p>
        </w:tc>
        <w:tc>
          <w:tcPr>
            <w:tcW w:w="1649" w:type="dxa"/>
            <w:tcBorders>
              <w:top w:val="nil"/>
              <w:left w:val="nil"/>
              <w:bottom w:val="nil"/>
              <w:right w:val="nil"/>
            </w:tcBorders>
            <w:shd w:val="clear" w:color="auto" w:fill="FFFFFF"/>
            <w:tcMar>
              <w:left w:w="60" w:type="dxa"/>
              <w:right w:w="60" w:type="dxa"/>
            </w:tcMar>
            <w:vAlign w:val="center"/>
          </w:tcPr>
          <w:p w14:paraId="654521C4" w14:textId="77777777" w:rsidR="00576FE1" w:rsidRPr="003E3A66" w:rsidRDefault="00576FE1" w:rsidP="00115CD6">
            <w:pPr>
              <w:keepNext/>
              <w:adjustRightInd w:val="0"/>
              <w:spacing w:after="0" w:line="240" w:lineRule="auto"/>
              <w:jc w:val="center"/>
            </w:pPr>
            <w:r w:rsidRPr="003E3A66">
              <w:t>31 (6.4%)</w:t>
            </w:r>
          </w:p>
        </w:tc>
      </w:tr>
      <w:tr w:rsidR="00576FE1" w:rsidRPr="003E3A66" w14:paraId="7751396D"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6B032435" w14:textId="77777777" w:rsidR="00576FE1" w:rsidRPr="003E3A66" w:rsidRDefault="00576FE1" w:rsidP="00115CD6">
            <w:pPr>
              <w:keepNext/>
              <w:adjustRightInd w:val="0"/>
              <w:spacing w:after="0" w:line="240" w:lineRule="auto"/>
              <w:ind w:hanging="209"/>
            </w:pPr>
            <w:r w:rsidRPr="003E3A66">
              <w:t xml:space="preserve">    Lymphopenia</w:t>
            </w:r>
          </w:p>
        </w:tc>
        <w:tc>
          <w:tcPr>
            <w:tcW w:w="1554" w:type="dxa"/>
            <w:tcBorders>
              <w:top w:val="nil"/>
              <w:left w:val="nil"/>
              <w:bottom w:val="nil"/>
              <w:right w:val="nil"/>
            </w:tcBorders>
            <w:shd w:val="clear" w:color="auto" w:fill="FFFFFF"/>
            <w:tcMar>
              <w:left w:w="60" w:type="dxa"/>
              <w:right w:w="60" w:type="dxa"/>
            </w:tcMar>
            <w:vAlign w:val="center"/>
          </w:tcPr>
          <w:p w14:paraId="7290F1BF" w14:textId="77777777" w:rsidR="00576FE1" w:rsidRPr="003E3A66" w:rsidRDefault="00576FE1" w:rsidP="00115CD6">
            <w:pPr>
              <w:keepNext/>
              <w:adjustRightInd w:val="0"/>
              <w:spacing w:after="0" w:line="240" w:lineRule="auto"/>
              <w:jc w:val="center"/>
            </w:pPr>
            <w:r w:rsidRPr="003E3A66">
              <w:t>9 (3.7%)</w:t>
            </w:r>
          </w:p>
        </w:tc>
        <w:tc>
          <w:tcPr>
            <w:tcW w:w="2036" w:type="dxa"/>
            <w:tcBorders>
              <w:top w:val="nil"/>
              <w:left w:val="nil"/>
              <w:bottom w:val="nil"/>
              <w:right w:val="nil"/>
            </w:tcBorders>
            <w:shd w:val="clear" w:color="auto" w:fill="FFFFFF"/>
            <w:tcMar>
              <w:left w:w="60" w:type="dxa"/>
              <w:right w:w="60" w:type="dxa"/>
            </w:tcMar>
            <w:vAlign w:val="center"/>
          </w:tcPr>
          <w:p w14:paraId="3D972D30" w14:textId="77777777" w:rsidR="00576FE1" w:rsidRPr="003E3A66" w:rsidRDefault="00576FE1" w:rsidP="00115CD6">
            <w:pPr>
              <w:keepNext/>
              <w:adjustRightInd w:val="0"/>
              <w:spacing w:after="0" w:line="240" w:lineRule="auto"/>
              <w:jc w:val="center"/>
            </w:pPr>
            <w:r w:rsidRPr="003E3A66">
              <w:t>6 (2.5%)</w:t>
            </w:r>
          </w:p>
        </w:tc>
        <w:tc>
          <w:tcPr>
            <w:tcW w:w="1649" w:type="dxa"/>
            <w:tcBorders>
              <w:top w:val="nil"/>
              <w:left w:val="nil"/>
              <w:bottom w:val="nil"/>
              <w:right w:val="nil"/>
            </w:tcBorders>
            <w:shd w:val="clear" w:color="auto" w:fill="FFFFFF"/>
            <w:tcMar>
              <w:left w:w="60" w:type="dxa"/>
              <w:right w:w="60" w:type="dxa"/>
            </w:tcMar>
            <w:vAlign w:val="center"/>
          </w:tcPr>
          <w:p w14:paraId="6BAD6D91" w14:textId="77777777" w:rsidR="00576FE1" w:rsidRPr="003E3A66" w:rsidRDefault="00576FE1" w:rsidP="00115CD6">
            <w:pPr>
              <w:keepNext/>
              <w:adjustRightInd w:val="0"/>
              <w:spacing w:after="0" w:line="240" w:lineRule="auto"/>
              <w:jc w:val="center"/>
            </w:pPr>
            <w:r w:rsidRPr="003E3A66">
              <w:t>15 (3.1%)</w:t>
            </w:r>
          </w:p>
        </w:tc>
      </w:tr>
      <w:tr w:rsidR="00576FE1" w:rsidRPr="003E3A66" w14:paraId="702EED70"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0214FE37" w14:textId="77777777" w:rsidR="00576FE1" w:rsidRPr="003E3A66" w:rsidRDefault="00576FE1" w:rsidP="00115CD6">
            <w:pPr>
              <w:keepNext/>
              <w:adjustRightInd w:val="0"/>
              <w:spacing w:after="0" w:line="240" w:lineRule="auto"/>
              <w:ind w:hanging="209"/>
            </w:pPr>
            <w:r w:rsidRPr="003E3A66">
              <w:t xml:space="preserve">    </w:t>
            </w:r>
            <w:proofErr w:type="spellStart"/>
            <w:r w:rsidRPr="003E3A66">
              <w:t>Anaemia</w:t>
            </w:r>
            <w:proofErr w:type="spellEnd"/>
          </w:p>
        </w:tc>
        <w:tc>
          <w:tcPr>
            <w:tcW w:w="1554" w:type="dxa"/>
            <w:tcBorders>
              <w:top w:val="nil"/>
              <w:left w:val="nil"/>
              <w:bottom w:val="nil"/>
              <w:right w:val="nil"/>
            </w:tcBorders>
            <w:shd w:val="clear" w:color="auto" w:fill="FFFFFF"/>
            <w:tcMar>
              <w:left w:w="60" w:type="dxa"/>
              <w:right w:w="60" w:type="dxa"/>
            </w:tcMar>
            <w:vAlign w:val="center"/>
          </w:tcPr>
          <w:p w14:paraId="7A6941F1" w14:textId="77777777" w:rsidR="00576FE1" w:rsidRPr="003E3A66" w:rsidRDefault="00576FE1" w:rsidP="00115CD6">
            <w:pPr>
              <w:keepNext/>
              <w:adjustRightInd w:val="0"/>
              <w:spacing w:after="0" w:line="240" w:lineRule="auto"/>
              <w:jc w:val="center"/>
            </w:pPr>
            <w:r w:rsidRPr="003E3A66">
              <w:t>6 (2.5%)</w:t>
            </w:r>
          </w:p>
        </w:tc>
        <w:tc>
          <w:tcPr>
            <w:tcW w:w="2036" w:type="dxa"/>
            <w:tcBorders>
              <w:top w:val="nil"/>
              <w:left w:val="nil"/>
              <w:bottom w:val="nil"/>
              <w:right w:val="nil"/>
            </w:tcBorders>
            <w:shd w:val="clear" w:color="auto" w:fill="FFFFFF"/>
            <w:tcMar>
              <w:left w:w="60" w:type="dxa"/>
              <w:right w:w="60" w:type="dxa"/>
            </w:tcMar>
            <w:vAlign w:val="center"/>
          </w:tcPr>
          <w:p w14:paraId="3313C313" w14:textId="77777777" w:rsidR="00576FE1" w:rsidRPr="003E3A66" w:rsidRDefault="00576FE1" w:rsidP="00115CD6">
            <w:pPr>
              <w:keepNext/>
              <w:adjustRightInd w:val="0"/>
              <w:spacing w:after="0" w:line="240" w:lineRule="auto"/>
              <w:jc w:val="center"/>
            </w:pPr>
            <w:r w:rsidRPr="003E3A66">
              <w:t>6 (2.5%)</w:t>
            </w:r>
          </w:p>
        </w:tc>
        <w:tc>
          <w:tcPr>
            <w:tcW w:w="1649" w:type="dxa"/>
            <w:tcBorders>
              <w:top w:val="nil"/>
              <w:left w:val="nil"/>
              <w:bottom w:val="nil"/>
              <w:right w:val="nil"/>
            </w:tcBorders>
            <w:shd w:val="clear" w:color="auto" w:fill="FFFFFF"/>
            <w:tcMar>
              <w:left w:w="60" w:type="dxa"/>
              <w:right w:w="60" w:type="dxa"/>
            </w:tcMar>
            <w:vAlign w:val="center"/>
          </w:tcPr>
          <w:p w14:paraId="182F7883" w14:textId="77777777" w:rsidR="00576FE1" w:rsidRPr="003E3A66" w:rsidRDefault="00576FE1" w:rsidP="00115CD6">
            <w:pPr>
              <w:keepNext/>
              <w:adjustRightInd w:val="0"/>
              <w:spacing w:after="0" w:line="240" w:lineRule="auto"/>
              <w:jc w:val="center"/>
            </w:pPr>
            <w:r w:rsidRPr="003E3A66">
              <w:t>12 (2.5%)</w:t>
            </w:r>
          </w:p>
        </w:tc>
      </w:tr>
      <w:tr w:rsidR="00576FE1" w:rsidRPr="003E3A66" w14:paraId="0EC5484C"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5357D633" w14:textId="77777777" w:rsidR="00576FE1" w:rsidRPr="003E3A66" w:rsidRDefault="00576FE1" w:rsidP="00115CD6">
            <w:pPr>
              <w:keepNext/>
              <w:adjustRightInd w:val="0"/>
              <w:spacing w:after="0" w:line="240" w:lineRule="auto"/>
              <w:ind w:hanging="209"/>
            </w:pPr>
            <w:r w:rsidRPr="003E3A66">
              <w:t xml:space="preserve">    Thrombocytopenia</w:t>
            </w:r>
          </w:p>
        </w:tc>
        <w:tc>
          <w:tcPr>
            <w:tcW w:w="1554" w:type="dxa"/>
            <w:tcBorders>
              <w:top w:val="nil"/>
              <w:left w:val="nil"/>
              <w:bottom w:val="nil"/>
              <w:right w:val="nil"/>
            </w:tcBorders>
            <w:shd w:val="clear" w:color="auto" w:fill="FFFFFF"/>
            <w:tcMar>
              <w:left w:w="60" w:type="dxa"/>
              <w:right w:w="60" w:type="dxa"/>
            </w:tcMar>
            <w:vAlign w:val="center"/>
          </w:tcPr>
          <w:p w14:paraId="6BC14DBF" w14:textId="77777777" w:rsidR="00576FE1" w:rsidRPr="003E3A66" w:rsidRDefault="00576FE1" w:rsidP="00115CD6">
            <w:pPr>
              <w:keepNext/>
              <w:adjustRightInd w:val="0"/>
              <w:spacing w:after="0" w:line="240" w:lineRule="auto"/>
              <w:jc w:val="center"/>
            </w:pPr>
            <w:r w:rsidRPr="003E3A66">
              <w:t>3 (1.2%)</w:t>
            </w:r>
          </w:p>
        </w:tc>
        <w:tc>
          <w:tcPr>
            <w:tcW w:w="2036" w:type="dxa"/>
            <w:tcBorders>
              <w:top w:val="nil"/>
              <w:left w:val="nil"/>
              <w:bottom w:val="nil"/>
              <w:right w:val="nil"/>
            </w:tcBorders>
            <w:shd w:val="clear" w:color="auto" w:fill="FFFFFF"/>
            <w:tcMar>
              <w:left w:w="60" w:type="dxa"/>
              <w:right w:w="60" w:type="dxa"/>
            </w:tcMar>
            <w:vAlign w:val="center"/>
          </w:tcPr>
          <w:p w14:paraId="71D095D0" w14:textId="77777777" w:rsidR="00576FE1" w:rsidRPr="003E3A66" w:rsidRDefault="00576FE1" w:rsidP="00115CD6">
            <w:pPr>
              <w:keepNext/>
              <w:adjustRightInd w:val="0"/>
              <w:spacing w:after="0" w:line="240" w:lineRule="auto"/>
              <w:jc w:val="center"/>
            </w:pPr>
            <w:r w:rsidRPr="003E3A66">
              <w:t>2 (0.8%)</w:t>
            </w:r>
          </w:p>
        </w:tc>
        <w:tc>
          <w:tcPr>
            <w:tcW w:w="1649" w:type="dxa"/>
            <w:tcBorders>
              <w:top w:val="nil"/>
              <w:left w:val="nil"/>
              <w:bottom w:val="nil"/>
              <w:right w:val="nil"/>
            </w:tcBorders>
            <w:shd w:val="clear" w:color="auto" w:fill="FFFFFF"/>
            <w:tcMar>
              <w:left w:w="60" w:type="dxa"/>
              <w:right w:w="60" w:type="dxa"/>
            </w:tcMar>
            <w:vAlign w:val="center"/>
          </w:tcPr>
          <w:p w14:paraId="6A104F76" w14:textId="77777777" w:rsidR="00576FE1" w:rsidRPr="003E3A66" w:rsidRDefault="00576FE1" w:rsidP="00115CD6">
            <w:pPr>
              <w:keepNext/>
              <w:adjustRightInd w:val="0"/>
              <w:spacing w:after="0" w:line="240" w:lineRule="auto"/>
              <w:jc w:val="center"/>
            </w:pPr>
            <w:r w:rsidRPr="003E3A66">
              <w:t>5 (1.0%)</w:t>
            </w:r>
          </w:p>
        </w:tc>
      </w:tr>
      <w:tr w:rsidR="00576FE1" w:rsidRPr="003E3A66" w14:paraId="6EEF0FDA"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41734AB3" w14:textId="77777777" w:rsidR="00576FE1" w:rsidRPr="003E3A66" w:rsidRDefault="00576FE1" w:rsidP="00115CD6">
            <w:pPr>
              <w:keepNext/>
              <w:adjustRightInd w:val="0"/>
              <w:spacing w:after="0" w:line="240" w:lineRule="auto"/>
              <w:ind w:hanging="209"/>
            </w:pPr>
            <w:r w:rsidRPr="003E3A66">
              <w:t xml:space="preserve">    Febrile neutropenia</w:t>
            </w:r>
          </w:p>
        </w:tc>
        <w:tc>
          <w:tcPr>
            <w:tcW w:w="1554" w:type="dxa"/>
            <w:tcBorders>
              <w:top w:val="nil"/>
              <w:left w:val="nil"/>
              <w:bottom w:val="nil"/>
              <w:right w:val="nil"/>
            </w:tcBorders>
            <w:shd w:val="clear" w:color="auto" w:fill="FFFFFF"/>
            <w:tcMar>
              <w:left w:w="60" w:type="dxa"/>
              <w:right w:w="60" w:type="dxa"/>
            </w:tcMar>
            <w:vAlign w:val="center"/>
          </w:tcPr>
          <w:p w14:paraId="7F058C9D" w14:textId="77777777" w:rsidR="00576FE1" w:rsidRPr="003E3A66" w:rsidRDefault="00576FE1" w:rsidP="00115CD6">
            <w:pPr>
              <w:keepNext/>
              <w:adjustRightInd w:val="0"/>
              <w:spacing w:after="0" w:line="240" w:lineRule="auto"/>
              <w:jc w:val="center"/>
            </w:pPr>
            <w:r w:rsidRPr="003E3A66">
              <w:t>3 (1.2%)</w:t>
            </w:r>
          </w:p>
        </w:tc>
        <w:tc>
          <w:tcPr>
            <w:tcW w:w="2036" w:type="dxa"/>
            <w:tcBorders>
              <w:top w:val="nil"/>
              <w:left w:val="nil"/>
              <w:bottom w:val="nil"/>
              <w:right w:val="nil"/>
            </w:tcBorders>
            <w:shd w:val="clear" w:color="auto" w:fill="FFFFFF"/>
            <w:tcMar>
              <w:left w:w="60" w:type="dxa"/>
              <w:right w:w="60" w:type="dxa"/>
            </w:tcMar>
            <w:vAlign w:val="center"/>
          </w:tcPr>
          <w:p w14:paraId="12F07034" w14:textId="77777777" w:rsidR="00576FE1" w:rsidRPr="003E3A66" w:rsidRDefault="00576FE1" w:rsidP="00115CD6">
            <w:pPr>
              <w:keepNext/>
              <w:adjustRightInd w:val="0"/>
              <w:spacing w:after="0" w:line="240" w:lineRule="auto"/>
              <w:jc w:val="center"/>
            </w:pPr>
            <w:r w:rsidRPr="003E3A66">
              <w:t>1 (0.4%)</w:t>
            </w:r>
          </w:p>
        </w:tc>
        <w:tc>
          <w:tcPr>
            <w:tcW w:w="1649" w:type="dxa"/>
            <w:tcBorders>
              <w:top w:val="nil"/>
              <w:left w:val="nil"/>
              <w:bottom w:val="nil"/>
              <w:right w:val="nil"/>
            </w:tcBorders>
            <w:shd w:val="clear" w:color="auto" w:fill="FFFFFF"/>
            <w:tcMar>
              <w:left w:w="60" w:type="dxa"/>
              <w:right w:w="60" w:type="dxa"/>
            </w:tcMar>
            <w:vAlign w:val="center"/>
          </w:tcPr>
          <w:p w14:paraId="2D0D3676" w14:textId="77777777" w:rsidR="00576FE1" w:rsidRPr="003E3A66" w:rsidRDefault="00576FE1" w:rsidP="00115CD6">
            <w:pPr>
              <w:keepNext/>
              <w:adjustRightInd w:val="0"/>
              <w:spacing w:after="0" w:line="240" w:lineRule="auto"/>
              <w:jc w:val="center"/>
            </w:pPr>
            <w:r w:rsidRPr="003E3A66">
              <w:t>4 (0.8%)</w:t>
            </w:r>
          </w:p>
        </w:tc>
      </w:tr>
      <w:tr w:rsidR="00576FE1" w:rsidRPr="003E3A66" w14:paraId="36AC504F" w14:textId="77777777" w:rsidTr="00115CD6">
        <w:trPr>
          <w:cantSplit/>
          <w:trHeight w:val="448"/>
          <w:jc w:val="center"/>
        </w:trPr>
        <w:tc>
          <w:tcPr>
            <w:tcW w:w="3828" w:type="dxa"/>
            <w:tcBorders>
              <w:top w:val="nil"/>
              <w:left w:val="nil"/>
              <w:bottom w:val="nil"/>
              <w:right w:val="nil"/>
            </w:tcBorders>
            <w:shd w:val="clear" w:color="auto" w:fill="FFFFFF"/>
            <w:tcMar>
              <w:left w:w="60" w:type="dxa"/>
              <w:right w:w="60" w:type="dxa"/>
            </w:tcMar>
            <w:vAlign w:val="center"/>
          </w:tcPr>
          <w:p w14:paraId="644006DE" w14:textId="77777777" w:rsidR="00576FE1" w:rsidRPr="003E3A66" w:rsidRDefault="00576FE1" w:rsidP="00115CD6">
            <w:pPr>
              <w:keepNext/>
              <w:adjustRightInd w:val="0"/>
              <w:spacing w:after="0" w:line="240" w:lineRule="auto"/>
              <w:rPr>
                <w:b/>
              </w:rPr>
            </w:pPr>
            <w:r w:rsidRPr="003E3A66">
              <w:rPr>
                <w:b/>
              </w:rPr>
              <w:t>Infections and infestations</w:t>
            </w:r>
          </w:p>
        </w:tc>
        <w:tc>
          <w:tcPr>
            <w:tcW w:w="1554" w:type="dxa"/>
            <w:tcBorders>
              <w:top w:val="nil"/>
              <w:left w:val="nil"/>
              <w:bottom w:val="nil"/>
              <w:right w:val="nil"/>
            </w:tcBorders>
            <w:shd w:val="clear" w:color="auto" w:fill="FFFFFF"/>
            <w:tcMar>
              <w:left w:w="60" w:type="dxa"/>
              <w:right w:w="60" w:type="dxa"/>
            </w:tcMar>
            <w:vAlign w:val="center"/>
          </w:tcPr>
          <w:p w14:paraId="0754696A" w14:textId="77777777" w:rsidR="00576FE1" w:rsidRPr="003E3A66" w:rsidRDefault="00576FE1" w:rsidP="00115CD6">
            <w:pPr>
              <w:keepNext/>
              <w:adjustRightInd w:val="0"/>
              <w:spacing w:after="0" w:line="240" w:lineRule="auto"/>
              <w:jc w:val="center"/>
              <w:rPr>
                <w:b/>
              </w:rPr>
            </w:pPr>
            <w:r w:rsidRPr="003E3A66">
              <w:rPr>
                <w:b/>
              </w:rPr>
              <w:t>12 (5.0%)</w:t>
            </w:r>
          </w:p>
        </w:tc>
        <w:tc>
          <w:tcPr>
            <w:tcW w:w="2036" w:type="dxa"/>
            <w:tcBorders>
              <w:top w:val="nil"/>
              <w:left w:val="nil"/>
              <w:bottom w:val="nil"/>
              <w:right w:val="nil"/>
            </w:tcBorders>
            <w:shd w:val="clear" w:color="auto" w:fill="FFFFFF"/>
            <w:tcMar>
              <w:left w:w="60" w:type="dxa"/>
              <w:right w:w="60" w:type="dxa"/>
            </w:tcMar>
            <w:vAlign w:val="center"/>
          </w:tcPr>
          <w:p w14:paraId="4C5CB729" w14:textId="77777777" w:rsidR="00576FE1" w:rsidRPr="003E3A66" w:rsidRDefault="00576FE1" w:rsidP="00115CD6">
            <w:pPr>
              <w:keepNext/>
              <w:adjustRightInd w:val="0"/>
              <w:spacing w:after="0" w:line="240" w:lineRule="auto"/>
              <w:jc w:val="center"/>
              <w:rPr>
                <w:b/>
              </w:rPr>
            </w:pPr>
            <w:r w:rsidRPr="003E3A66">
              <w:rPr>
                <w:b/>
              </w:rPr>
              <w:t>25 (10.3%)</w:t>
            </w:r>
          </w:p>
        </w:tc>
        <w:tc>
          <w:tcPr>
            <w:tcW w:w="1649" w:type="dxa"/>
            <w:tcBorders>
              <w:top w:val="nil"/>
              <w:left w:val="nil"/>
              <w:bottom w:val="nil"/>
              <w:right w:val="nil"/>
            </w:tcBorders>
            <w:shd w:val="clear" w:color="auto" w:fill="FFFFFF"/>
            <w:tcMar>
              <w:left w:w="60" w:type="dxa"/>
              <w:right w:w="60" w:type="dxa"/>
            </w:tcMar>
            <w:vAlign w:val="center"/>
          </w:tcPr>
          <w:p w14:paraId="1BEB8DD1" w14:textId="77777777" w:rsidR="00576FE1" w:rsidRPr="003E3A66" w:rsidRDefault="00576FE1" w:rsidP="00115CD6">
            <w:pPr>
              <w:keepNext/>
              <w:adjustRightInd w:val="0"/>
              <w:spacing w:after="0" w:line="240" w:lineRule="auto"/>
              <w:jc w:val="center"/>
              <w:rPr>
                <w:b/>
              </w:rPr>
            </w:pPr>
            <w:r w:rsidRPr="003E3A66">
              <w:rPr>
                <w:b/>
              </w:rPr>
              <w:t>37 (7.7%)</w:t>
            </w:r>
          </w:p>
        </w:tc>
      </w:tr>
      <w:tr w:rsidR="00576FE1" w:rsidRPr="003E3A66" w14:paraId="2122B4DF"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0B91C82F" w14:textId="77777777" w:rsidR="00576FE1" w:rsidRPr="003E3A66" w:rsidRDefault="00576FE1" w:rsidP="00115CD6">
            <w:pPr>
              <w:keepNext/>
              <w:adjustRightInd w:val="0"/>
              <w:spacing w:after="0" w:line="240" w:lineRule="auto"/>
              <w:ind w:hanging="209"/>
            </w:pPr>
            <w:r w:rsidRPr="003E3A66">
              <w:t xml:space="preserve">    Lower respiratory tract infection</w:t>
            </w:r>
          </w:p>
        </w:tc>
        <w:tc>
          <w:tcPr>
            <w:tcW w:w="1554" w:type="dxa"/>
            <w:tcBorders>
              <w:top w:val="nil"/>
              <w:left w:val="nil"/>
              <w:bottom w:val="nil"/>
              <w:right w:val="nil"/>
            </w:tcBorders>
            <w:shd w:val="clear" w:color="auto" w:fill="FFFFFF"/>
            <w:tcMar>
              <w:left w:w="60" w:type="dxa"/>
              <w:right w:w="60" w:type="dxa"/>
            </w:tcMar>
            <w:vAlign w:val="center"/>
          </w:tcPr>
          <w:p w14:paraId="72B9729C" w14:textId="77777777" w:rsidR="00576FE1" w:rsidRPr="003E3A66" w:rsidRDefault="00576FE1" w:rsidP="00115CD6">
            <w:pPr>
              <w:keepNext/>
              <w:adjustRightInd w:val="0"/>
              <w:spacing w:after="0" w:line="240" w:lineRule="auto"/>
              <w:jc w:val="center"/>
            </w:pPr>
            <w:r w:rsidRPr="003E3A66">
              <w:t>1 (0.4%)</w:t>
            </w:r>
          </w:p>
        </w:tc>
        <w:tc>
          <w:tcPr>
            <w:tcW w:w="2036" w:type="dxa"/>
            <w:tcBorders>
              <w:top w:val="nil"/>
              <w:left w:val="nil"/>
              <w:bottom w:val="nil"/>
              <w:right w:val="nil"/>
            </w:tcBorders>
            <w:shd w:val="clear" w:color="auto" w:fill="FFFFFF"/>
            <w:tcMar>
              <w:left w:w="60" w:type="dxa"/>
              <w:right w:w="60" w:type="dxa"/>
            </w:tcMar>
            <w:vAlign w:val="center"/>
          </w:tcPr>
          <w:p w14:paraId="4F6ECC13" w14:textId="77777777" w:rsidR="00576FE1" w:rsidRPr="003E3A66" w:rsidRDefault="00576FE1" w:rsidP="00115CD6">
            <w:pPr>
              <w:keepNext/>
              <w:adjustRightInd w:val="0"/>
              <w:spacing w:after="0" w:line="240" w:lineRule="auto"/>
              <w:jc w:val="center"/>
            </w:pPr>
            <w:r w:rsidRPr="003E3A66">
              <w:t>4 (1.7%)</w:t>
            </w:r>
          </w:p>
        </w:tc>
        <w:tc>
          <w:tcPr>
            <w:tcW w:w="1649" w:type="dxa"/>
            <w:tcBorders>
              <w:top w:val="nil"/>
              <w:left w:val="nil"/>
              <w:bottom w:val="nil"/>
              <w:right w:val="nil"/>
            </w:tcBorders>
            <w:shd w:val="clear" w:color="auto" w:fill="FFFFFF"/>
            <w:tcMar>
              <w:left w:w="60" w:type="dxa"/>
              <w:right w:w="60" w:type="dxa"/>
            </w:tcMar>
            <w:vAlign w:val="center"/>
          </w:tcPr>
          <w:p w14:paraId="6897C30D" w14:textId="77777777" w:rsidR="00576FE1" w:rsidRPr="003E3A66" w:rsidRDefault="00576FE1" w:rsidP="00115CD6">
            <w:pPr>
              <w:keepNext/>
              <w:adjustRightInd w:val="0"/>
              <w:spacing w:after="0" w:line="240" w:lineRule="auto"/>
              <w:jc w:val="center"/>
            </w:pPr>
            <w:r w:rsidRPr="003E3A66">
              <w:t>5 (1.0%)</w:t>
            </w:r>
          </w:p>
        </w:tc>
      </w:tr>
      <w:tr w:rsidR="00576FE1" w:rsidRPr="003E3A66" w14:paraId="0AB180B5"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4B819F1C" w14:textId="77777777" w:rsidR="00576FE1" w:rsidRPr="003E3A66" w:rsidRDefault="00576FE1" w:rsidP="00115CD6">
            <w:pPr>
              <w:keepNext/>
              <w:adjustRightInd w:val="0"/>
              <w:spacing w:after="0" w:line="240" w:lineRule="auto"/>
              <w:ind w:hanging="209"/>
            </w:pPr>
            <w:r w:rsidRPr="003E3A66">
              <w:t xml:space="preserve">    Urinary tract infection</w:t>
            </w:r>
          </w:p>
        </w:tc>
        <w:tc>
          <w:tcPr>
            <w:tcW w:w="1554" w:type="dxa"/>
            <w:tcBorders>
              <w:top w:val="nil"/>
              <w:left w:val="nil"/>
              <w:bottom w:val="nil"/>
              <w:right w:val="nil"/>
            </w:tcBorders>
            <w:shd w:val="clear" w:color="auto" w:fill="FFFFFF"/>
            <w:tcMar>
              <w:left w:w="60" w:type="dxa"/>
              <w:right w:w="60" w:type="dxa"/>
            </w:tcMar>
            <w:vAlign w:val="center"/>
          </w:tcPr>
          <w:p w14:paraId="46C1D5AE" w14:textId="77777777" w:rsidR="00576FE1" w:rsidRPr="003E3A66" w:rsidRDefault="00576FE1" w:rsidP="00115CD6">
            <w:pPr>
              <w:keepNext/>
              <w:adjustRightInd w:val="0"/>
              <w:spacing w:after="0" w:line="240" w:lineRule="auto"/>
              <w:jc w:val="center"/>
            </w:pPr>
            <w:r w:rsidRPr="003E3A66">
              <w:t>2 (0.8%)</w:t>
            </w:r>
          </w:p>
        </w:tc>
        <w:tc>
          <w:tcPr>
            <w:tcW w:w="2036" w:type="dxa"/>
            <w:tcBorders>
              <w:top w:val="nil"/>
              <w:left w:val="nil"/>
              <w:bottom w:val="nil"/>
              <w:right w:val="nil"/>
            </w:tcBorders>
            <w:shd w:val="clear" w:color="auto" w:fill="FFFFFF"/>
            <w:tcMar>
              <w:left w:w="60" w:type="dxa"/>
              <w:right w:w="60" w:type="dxa"/>
            </w:tcMar>
            <w:vAlign w:val="center"/>
          </w:tcPr>
          <w:p w14:paraId="152F4C41" w14:textId="77777777" w:rsidR="00576FE1" w:rsidRPr="003E3A66" w:rsidRDefault="00576FE1" w:rsidP="00115CD6">
            <w:pPr>
              <w:keepNext/>
              <w:adjustRightInd w:val="0"/>
              <w:spacing w:after="0" w:line="240" w:lineRule="auto"/>
              <w:jc w:val="center"/>
            </w:pPr>
            <w:r w:rsidRPr="003E3A66">
              <w:t>3 (1.2%)</w:t>
            </w:r>
          </w:p>
        </w:tc>
        <w:tc>
          <w:tcPr>
            <w:tcW w:w="1649" w:type="dxa"/>
            <w:tcBorders>
              <w:top w:val="nil"/>
              <w:left w:val="nil"/>
              <w:bottom w:val="nil"/>
              <w:right w:val="nil"/>
            </w:tcBorders>
            <w:shd w:val="clear" w:color="auto" w:fill="FFFFFF"/>
            <w:tcMar>
              <w:left w:w="60" w:type="dxa"/>
              <w:right w:w="60" w:type="dxa"/>
            </w:tcMar>
            <w:vAlign w:val="center"/>
          </w:tcPr>
          <w:p w14:paraId="528D1D7F" w14:textId="77777777" w:rsidR="00576FE1" w:rsidRPr="003E3A66" w:rsidRDefault="00576FE1" w:rsidP="00115CD6">
            <w:pPr>
              <w:keepNext/>
              <w:adjustRightInd w:val="0"/>
              <w:spacing w:after="0" w:line="240" w:lineRule="auto"/>
              <w:jc w:val="center"/>
            </w:pPr>
            <w:r w:rsidRPr="003E3A66">
              <w:t>5 (1.0%)</w:t>
            </w:r>
          </w:p>
        </w:tc>
      </w:tr>
      <w:tr w:rsidR="00576FE1" w:rsidRPr="003E3A66" w14:paraId="41EF6151" w14:textId="77777777" w:rsidTr="00115CD6">
        <w:trPr>
          <w:cantSplit/>
          <w:trHeight w:val="391"/>
          <w:jc w:val="center"/>
        </w:trPr>
        <w:tc>
          <w:tcPr>
            <w:tcW w:w="3828" w:type="dxa"/>
            <w:tcBorders>
              <w:top w:val="nil"/>
              <w:left w:val="nil"/>
              <w:bottom w:val="nil"/>
              <w:right w:val="nil"/>
            </w:tcBorders>
            <w:shd w:val="clear" w:color="auto" w:fill="FFFFFF"/>
            <w:tcMar>
              <w:left w:w="60" w:type="dxa"/>
              <w:right w:w="60" w:type="dxa"/>
            </w:tcMar>
            <w:vAlign w:val="center"/>
          </w:tcPr>
          <w:p w14:paraId="56A364FD" w14:textId="77777777" w:rsidR="00576FE1" w:rsidRPr="003E3A66" w:rsidRDefault="00576FE1" w:rsidP="00115CD6">
            <w:pPr>
              <w:keepNext/>
              <w:adjustRightInd w:val="0"/>
              <w:spacing w:after="0" w:line="240" w:lineRule="auto"/>
              <w:rPr>
                <w:b/>
              </w:rPr>
            </w:pPr>
            <w:r w:rsidRPr="003E3A66">
              <w:rPr>
                <w:b/>
              </w:rPr>
              <w:t>Gastrointestinal disorders</w:t>
            </w:r>
          </w:p>
        </w:tc>
        <w:tc>
          <w:tcPr>
            <w:tcW w:w="1554" w:type="dxa"/>
            <w:tcBorders>
              <w:top w:val="nil"/>
              <w:left w:val="nil"/>
              <w:bottom w:val="nil"/>
              <w:right w:val="nil"/>
            </w:tcBorders>
            <w:shd w:val="clear" w:color="auto" w:fill="FFFFFF"/>
            <w:tcMar>
              <w:left w:w="60" w:type="dxa"/>
              <w:right w:w="60" w:type="dxa"/>
            </w:tcMar>
            <w:vAlign w:val="center"/>
          </w:tcPr>
          <w:p w14:paraId="55661174" w14:textId="77777777" w:rsidR="00576FE1" w:rsidRPr="003E3A66" w:rsidRDefault="00576FE1" w:rsidP="00115CD6">
            <w:pPr>
              <w:keepNext/>
              <w:adjustRightInd w:val="0"/>
              <w:spacing w:after="0" w:line="240" w:lineRule="auto"/>
              <w:jc w:val="center"/>
              <w:rPr>
                <w:b/>
              </w:rPr>
            </w:pPr>
            <w:r w:rsidRPr="003E3A66">
              <w:rPr>
                <w:b/>
              </w:rPr>
              <w:t>14 (5.8%)</w:t>
            </w:r>
          </w:p>
        </w:tc>
        <w:tc>
          <w:tcPr>
            <w:tcW w:w="2036" w:type="dxa"/>
            <w:tcBorders>
              <w:top w:val="nil"/>
              <w:left w:val="nil"/>
              <w:bottom w:val="nil"/>
              <w:right w:val="nil"/>
            </w:tcBorders>
            <w:shd w:val="clear" w:color="auto" w:fill="FFFFFF"/>
            <w:tcMar>
              <w:left w:w="60" w:type="dxa"/>
              <w:right w:w="60" w:type="dxa"/>
            </w:tcMar>
            <w:vAlign w:val="center"/>
          </w:tcPr>
          <w:p w14:paraId="47B87D49" w14:textId="77777777" w:rsidR="00576FE1" w:rsidRPr="003E3A66" w:rsidRDefault="00576FE1" w:rsidP="00115CD6">
            <w:pPr>
              <w:keepNext/>
              <w:adjustRightInd w:val="0"/>
              <w:spacing w:after="0" w:line="240" w:lineRule="auto"/>
              <w:jc w:val="center"/>
              <w:rPr>
                <w:b/>
              </w:rPr>
            </w:pPr>
            <w:r w:rsidRPr="003E3A66">
              <w:rPr>
                <w:b/>
              </w:rPr>
              <w:t>14 (5.8%)</w:t>
            </w:r>
          </w:p>
        </w:tc>
        <w:tc>
          <w:tcPr>
            <w:tcW w:w="1649" w:type="dxa"/>
            <w:tcBorders>
              <w:top w:val="nil"/>
              <w:left w:val="nil"/>
              <w:bottom w:val="nil"/>
              <w:right w:val="nil"/>
            </w:tcBorders>
            <w:shd w:val="clear" w:color="auto" w:fill="FFFFFF"/>
            <w:tcMar>
              <w:left w:w="60" w:type="dxa"/>
              <w:right w:w="60" w:type="dxa"/>
            </w:tcMar>
            <w:vAlign w:val="center"/>
          </w:tcPr>
          <w:p w14:paraId="0BAB33D0" w14:textId="77777777" w:rsidR="00576FE1" w:rsidRPr="003E3A66" w:rsidRDefault="00576FE1" w:rsidP="00115CD6">
            <w:pPr>
              <w:keepNext/>
              <w:adjustRightInd w:val="0"/>
              <w:spacing w:after="0" w:line="240" w:lineRule="auto"/>
              <w:jc w:val="center"/>
              <w:rPr>
                <w:b/>
              </w:rPr>
            </w:pPr>
            <w:r w:rsidRPr="003E3A66">
              <w:rPr>
                <w:b/>
              </w:rPr>
              <w:t>28 (5.8%)</w:t>
            </w:r>
          </w:p>
        </w:tc>
      </w:tr>
      <w:tr w:rsidR="00576FE1" w:rsidRPr="003E3A66" w14:paraId="4A8E4D28"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17754774" w14:textId="77777777" w:rsidR="00576FE1" w:rsidRPr="003E3A66" w:rsidRDefault="00576FE1" w:rsidP="00115CD6">
            <w:pPr>
              <w:keepNext/>
              <w:adjustRightInd w:val="0"/>
              <w:spacing w:after="0" w:line="240" w:lineRule="auto"/>
              <w:ind w:hanging="209"/>
            </w:pPr>
            <w:r w:rsidRPr="003E3A66">
              <w:t xml:space="preserve">    </w:t>
            </w:r>
            <w:proofErr w:type="spellStart"/>
            <w:r w:rsidRPr="003E3A66">
              <w:t>Diarrhoea</w:t>
            </w:r>
            <w:proofErr w:type="spellEnd"/>
          </w:p>
        </w:tc>
        <w:tc>
          <w:tcPr>
            <w:tcW w:w="1554" w:type="dxa"/>
            <w:tcBorders>
              <w:top w:val="nil"/>
              <w:left w:val="nil"/>
              <w:bottom w:val="nil"/>
              <w:right w:val="nil"/>
            </w:tcBorders>
            <w:shd w:val="clear" w:color="auto" w:fill="FFFFFF"/>
            <w:tcMar>
              <w:left w:w="60" w:type="dxa"/>
              <w:right w:w="60" w:type="dxa"/>
            </w:tcMar>
            <w:vAlign w:val="center"/>
          </w:tcPr>
          <w:p w14:paraId="0942FD9E" w14:textId="77777777" w:rsidR="00576FE1" w:rsidRPr="003E3A66" w:rsidRDefault="00576FE1" w:rsidP="00115CD6">
            <w:pPr>
              <w:keepNext/>
              <w:adjustRightInd w:val="0"/>
              <w:spacing w:after="0" w:line="240" w:lineRule="auto"/>
              <w:jc w:val="center"/>
            </w:pPr>
            <w:r w:rsidRPr="003E3A66">
              <w:t>4 (1.7%)</w:t>
            </w:r>
          </w:p>
        </w:tc>
        <w:tc>
          <w:tcPr>
            <w:tcW w:w="2036" w:type="dxa"/>
            <w:tcBorders>
              <w:top w:val="nil"/>
              <w:left w:val="nil"/>
              <w:bottom w:val="nil"/>
              <w:right w:val="nil"/>
            </w:tcBorders>
            <w:shd w:val="clear" w:color="auto" w:fill="FFFFFF"/>
            <w:tcMar>
              <w:left w:w="60" w:type="dxa"/>
              <w:right w:w="60" w:type="dxa"/>
            </w:tcMar>
            <w:vAlign w:val="center"/>
          </w:tcPr>
          <w:p w14:paraId="6A084D05" w14:textId="77777777" w:rsidR="00576FE1" w:rsidRPr="003E3A66" w:rsidRDefault="00576FE1" w:rsidP="00115CD6">
            <w:pPr>
              <w:keepNext/>
              <w:adjustRightInd w:val="0"/>
              <w:spacing w:after="0" w:line="240" w:lineRule="auto"/>
              <w:jc w:val="center"/>
            </w:pPr>
            <w:r w:rsidRPr="003E3A66">
              <w:t>3 (1.2%)</w:t>
            </w:r>
          </w:p>
        </w:tc>
        <w:tc>
          <w:tcPr>
            <w:tcW w:w="1649" w:type="dxa"/>
            <w:tcBorders>
              <w:top w:val="nil"/>
              <w:left w:val="nil"/>
              <w:bottom w:val="nil"/>
              <w:right w:val="nil"/>
            </w:tcBorders>
            <w:shd w:val="clear" w:color="auto" w:fill="FFFFFF"/>
            <w:tcMar>
              <w:left w:w="60" w:type="dxa"/>
              <w:right w:w="60" w:type="dxa"/>
            </w:tcMar>
            <w:vAlign w:val="center"/>
          </w:tcPr>
          <w:p w14:paraId="5B7FA29D" w14:textId="77777777" w:rsidR="00576FE1" w:rsidRPr="003E3A66" w:rsidRDefault="00576FE1" w:rsidP="00115CD6">
            <w:pPr>
              <w:keepNext/>
              <w:adjustRightInd w:val="0"/>
              <w:spacing w:after="0" w:line="240" w:lineRule="auto"/>
              <w:jc w:val="center"/>
            </w:pPr>
            <w:r w:rsidRPr="003E3A66">
              <w:t>7 (1.4%)</w:t>
            </w:r>
          </w:p>
        </w:tc>
      </w:tr>
      <w:tr w:rsidR="00576FE1" w:rsidRPr="003E3A66" w14:paraId="3BFCBB8D" w14:textId="77777777" w:rsidTr="00115CD6">
        <w:trPr>
          <w:cantSplit/>
          <w:trHeight w:val="73"/>
          <w:jc w:val="center"/>
        </w:trPr>
        <w:tc>
          <w:tcPr>
            <w:tcW w:w="3828" w:type="dxa"/>
            <w:tcBorders>
              <w:top w:val="nil"/>
              <w:left w:val="nil"/>
              <w:bottom w:val="nil"/>
              <w:right w:val="nil"/>
            </w:tcBorders>
            <w:shd w:val="clear" w:color="auto" w:fill="FFFFFF"/>
            <w:tcMar>
              <w:left w:w="60" w:type="dxa"/>
              <w:right w:w="60" w:type="dxa"/>
            </w:tcMar>
            <w:vAlign w:val="center"/>
          </w:tcPr>
          <w:p w14:paraId="5032D57E" w14:textId="77777777" w:rsidR="00576FE1" w:rsidRPr="003E3A66" w:rsidRDefault="00576FE1" w:rsidP="00115CD6">
            <w:pPr>
              <w:keepNext/>
              <w:adjustRightInd w:val="0"/>
              <w:spacing w:after="0" w:line="240" w:lineRule="auto"/>
              <w:ind w:hanging="209"/>
            </w:pPr>
            <w:r w:rsidRPr="003E3A66">
              <w:t xml:space="preserve">    Constipation</w:t>
            </w:r>
          </w:p>
        </w:tc>
        <w:tc>
          <w:tcPr>
            <w:tcW w:w="1554" w:type="dxa"/>
            <w:tcBorders>
              <w:top w:val="nil"/>
              <w:left w:val="nil"/>
              <w:bottom w:val="nil"/>
              <w:right w:val="nil"/>
            </w:tcBorders>
            <w:shd w:val="clear" w:color="auto" w:fill="FFFFFF"/>
            <w:tcMar>
              <w:left w:w="60" w:type="dxa"/>
              <w:right w:w="60" w:type="dxa"/>
            </w:tcMar>
            <w:vAlign w:val="center"/>
          </w:tcPr>
          <w:p w14:paraId="49351412" w14:textId="77777777" w:rsidR="00576FE1" w:rsidRPr="003E3A66" w:rsidRDefault="00576FE1" w:rsidP="00115CD6">
            <w:pPr>
              <w:keepNext/>
              <w:adjustRightInd w:val="0"/>
              <w:spacing w:after="0" w:line="240" w:lineRule="auto"/>
              <w:jc w:val="center"/>
            </w:pPr>
            <w:r w:rsidRPr="003E3A66">
              <w:t>0 (0.0%)</w:t>
            </w:r>
          </w:p>
        </w:tc>
        <w:tc>
          <w:tcPr>
            <w:tcW w:w="2036" w:type="dxa"/>
            <w:tcBorders>
              <w:top w:val="nil"/>
              <w:left w:val="nil"/>
              <w:bottom w:val="nil"/>
              <w:right w:val="nil"/>
            </w:tcBorders>
            <w:shd w:val="clear" w:color="auto" w:fill="FFFFFF"/>
            <w:tcMar>
              <w:left w:w="60" w:type="dxa"/>
              <w:right w:w="60" w:type="dxa"/>
            </w:tcMar>
            <w:vAlign w:val="center"/>
          </w:tcPr>
          <w:p w14:paraId="144FD374" w14:textId="77777777" w:rsidR="00576FE1" w:rsidRPr="003E3A66" w:rsidRDefault="00576FE1" w:rsidP="00115CD6">
            <w:pPr>
              <w:keepNext/>
              <w:adjustRightInd w:val="0"/>
              <w:spacing w:after="0" w:line="240" w:lineRule="auto"/>
              <w:jc w:val="center"/>
            </w:pPr>
            <w:r w:rsidRPr="003E3A66">
              <w:t>3 (1.2%)</w:t>
            </w:r>
          </w:p>
        </w:tc>
        <w:tc>
          <w:tcPr>
            <w:tcW w:w="1649" w:type="dxa"/>
            <w:tcBorders>
              <w:top w:val="nil"/>
              <w:left w:val="nil"/>
              <w:bottom w:val="nil"/>
              <w:right w:val="nil"/>
            </w:tcBorders>
            <w:shd w:val="clear" w:color="auto" w:fill="FFFFFF"/>
            <w:tcMar>
              <w:left w:w="60" w:type="dxa"/>
              <w:right w:w="60" w:type="dxa"/>
            </w:tcMar>
            <w:vAlign w:val="center"/>
          </w:tcPr>
          <w:p w14:paraId="556FC59B" w14:textId="77777777" w:rsidR="00576FE1" w:rsidRPr="003E3A66" w:rsidRDefault="00576FE1" w:rsidP="00115CD6">
            <w:pPr>
              <w:keepNext/>
              <w:adjustRightInd w:val="0"/>
              <w:spacing w:after="0" w:line="240" w:lineRule="auto"/>
              <w:jc w:val="center"/>
            </w:pPr>
            <w:r w:rsidRPr="003E3A66">
              <w:t>3 (0.6%)</w:t>
            </w:r>
          </w:p>
        </w:tc>
      </w:tr>
      <w:tr w:rsidR="00576FE1" w:rsidRPr="003E3A66" w14:paraId="64CCE635"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69B3EDCE" w14:textId="77777777" w:rsidR="00576FE1" w:rsidRPr="003E3A66" w:rsidRDefault="00576FE1" w:rsidP="00115CD6">
            <w:pPr>
              <w:keepNext/>
              <w:adjustRightInd w:val="0"/>
              <w:spacing w:after="0" w:line="240" w:lineRule="auto"/>
              <w:ind w:hanging="209"/>
            </w:pPr>
            <w:r w:rsidRPr="003E3A66">
              <w:t xml:space="preserve">    Nausea</w:t>
            </w:r>
          </w:p>
        </w:tc>
        <w:tc>
          <w:tcPr>
            <w:tcW w:w="1554" w:type="dxa"/>
            <w:tcBorders>
              <w:top w:val="nil"/>
              <w:left w:val="nil"/>
              <w:bottom w:val="nil"/>
              <w:right w:val="nil"/>
            </w:tcBorders>
            <w:shd w:val="clear" w:color="auto" w:fill="FFFFFF"/>
            <w:tcMar>
              <w:left w:w="60" w:type="dxa"/>
              <w:right w:w="60" w:type="dxa"/>
            </w:tcMar>
            <w:vAlign w:val="center"/>
          </w:tcPr>
          <w:p w14:paraId="36B6F305" w14:textId="77777777" w:rsidR="00576FE1" w:rsidRPr="003E3A66" w:rsidRDefault="00576FE1" w:rsidP="00115CD6">
            <w:pPr>
              <w:keepNext/>
              <w:adjustRightInd w:val="0"/>
              <w:spacing w:after="0" w:line="240" w:lineRule="auto"/>
              <w:jc w:val="center"/>
            </w:pPr>
            <w:r w:rsidRPr="003E3A66">
              <w:t>3 (1.2%)</w:t>
            </w:r>
          </w:p>
        </w:tc>
        <w:tc>
          <w:tcPr>
            <w:tcW w:w="2036" w:type="dxa"/>
            <w:tcBorders>
              <w:top w:val="nil"/>
              <w:left w:val="nil"/>
              <w:bottom w:val="nil"/>
              <w:right w:val="nil"/>
            </w:tcBorders>
            <w:shd w:val="clear" w:color="auto" w:fill="FFFFFF"/>
            <w:tcMar>
              <w:left w:w="60" w:type="dxa"/>
              <w:right w:w="60" w:type="dxa"/>
            </w:tcMar>
            <w:vAlign w:val="center"/>
          </w:tcPr>
          <w:p w14:paraId="2395D1F9" w14:textId="77777777" w:rsidR="00576FE1" w:rsidRPr="003E3A66" w:rsidRDefault="00576FE1" w:rsidP="00115CD6">
            <w:pPr>
              <w:keepNext/>
              <w:adjustRightInd w:val="0"/>
              <w:spacing w:after="0" w:line="240" w:lineRule="auto"/>
              <w:jc w:val="center"/>
            </w:pPr>
            <w:r w:rsidRPr="003E3A66">
              <w:t>0 (0.0%)</w:t>
            </w:r>
          </w:p>
        </w:tc>
        <w:tc>
          <w:tcPr>
            <w:tcW w:w="1649" w:type="dxa"/>
            <w:tcBorders>
              <w:top w:val="nil"/>
              <w:left w:val="nil"/>
              <w:bottom w:val="nil"/>
              <w:right w:val="nil"/>
            </w:tcBorders>
            <w:shd w:val="clear" w:color="auto" w:fill="FFFFFF"/>
            <w:tcMar>
              <w:left w:w="60" w:type="dxa"/>
              <w:right w:w="60" w:type="dxa"/>
            </w:tcMar>
            <w:vAlign w:val="center"/>
          </w:tcPr>
          <w:p w14:paraId="45A4F80D" w14:textId="77777777" w:rsidR="00576FE1" w:rsidRPr="003E3A66" w:rsidRDefault="00576FE1" w:rsidP="00115CD6">
            <w:pPr>
              <w:keepNext/>
              <w:adjustRightInd w:val="0"/>
              <w:spacing w:after="0" w:line="240" w:lineRule="auto"/>
              <w:jc w:val="center"/>
            </w:pPr>
            <w:r w:rsidRPr="003E3A66">
              <w:t>3 (0.6%)</w:t>
            </w:r>
          </w:p>
        </w:tc>
      </w:tr>
      <w:tr w:rsidR="00576FE1" w:rsidRPr="003E3A66" w14:paraId="498F0E42" w14:textId="77777777" w:rsidTr="00115CD6">
        <w:trPr>
          <w:cantSplit/>
          <w:trHeight w:val="536"/>
          <w:jc w:val="center"/>
        </w:trPr>
        <w:tc>
          <w:tcPr>
            <w:tcW w:w="3828" w:type="dxa"/>
            <w:tcBorders>
              <w:top w:val="nil"/>
              <w:left w:val="nil"/>
              <w:bottom w:val="nil"/>
              <w:right w:val="nil"/>
            </w:tcBorders>
            <w:shd w:val="clear" w:color="auto" w:fill="FFFFFF"/>
            <w:tcMar>
              <w:left w:w="60" w:type="dxa"/>
              <w:right w:w="60" w:type="dxa"/>
            </w:tcMar>
            <w:vAlign w:val="center"/>
          </w:tcPr>
          <w:p w14:paraId="23A87724" w14:textId="77777777" w:rsidR="00576FE1" w:rsidRPr="003E3A66" w:rsidRDefault="00576FE1" w:rsidP="00115CD6">
            <w:pPr>
              <w:keepNext/>
              <w:adjustRightInd w:val="0"/>
              <w:spacing w:after="0" w:line="240" w:lineRule="auto"/>
              <w:rPr>
                <w:b/>
                <w:lang w:val="en-GB"/>
              </w:rPr>
            </w:pPr>
            <w:r w:rsidRPr="003E3A66">
              <w:rPr>
                <w:b/>
                <w:lang w:val="en-GB"/>
              </w:rPr>
              <w:t>General disorders and administration site conditions</w:t>
            </w:r>
          </w:p>
        </w:tc>
        <w:tc>
          <w:tcPr>
            <w:tcW w:w="1554" w:type="dxa"/>
            <w:tcBorders>
              <w:top w:val="nil"/>
              <w:left w:val="nil"/>
              <w:bottom w:val="nil"/>
              <w:right w:val="nil"/>
            </w:tcBorders>
            <w:shd w:val="clear" w:color="auto" w:fill="FFFFFF"/>
            <w:tcMar>
              <w:left w:w="60" w:type="dxa"/>
              <w:right w:w="60" w:type="dxa"/>
            </w:tcMar>
            <w:vAlign w:val="center"/>
          </w:tcPr>
          <w:p w14:paraId="10EF6B89" w14:textId="77777777" w:rsidR="00576FE1" w:rsidRPr="003E3A66" w:rsidRDefault="00576FE1" w:rsidP="00115CD6">
            <w:pPr>
              <w:keepNext/>
              <w:adjustRightInd w:val="0"/>
              <w:spacing w:after="0" w:line="240" w:lineRule="auto"/>
              <w:jc w:val="center"/>
              <w:rPr>
                <w:b/>
              </w:rPr>
            </w:pPr>
            <w:r w:rsidRPr="003E3A66">
              <w:rPr>
                <w:b/>
              </w:rPr>
              <w:t>14 (5.8%)</w:t>
            </w:r>
          </w:p>
        </w:tc>
        <w:tc>
          <w:tcPr>
            <w:tcW w:w="2036" w:type="dxa"/>
            <w:tcBorders>
              <w:top w:val="nil"/>
              <w:left w:val="nil"/>
              <w:bottom w:val="nil"/>
              <w:right w:val="nil"/>
            </w:tcBorders>
            <w:shd w:val="clear" w:color="auto" w:fill="FFFFFF"/>
            <w:tcMar>
              <w:left w:w="60" w:type="dxa"/>
              <w:right w:w="60" w:type="dxa"/>
            </w:tcMar>
            <w:vAlign w:val="center"/>
          </w:tcPr>
          <w:p w14:paraId="4BFD16E0" w14:textId="77777777" w:rsidR="00576FE1" w:rsidRPr="003E3A66" w:rsidRDefault="00576FE1" w:rsidP="00115CD6">
            <w:pPr>
              <w:keepNext/>
              <w:adjustRightInd w:val="0"/>
              <w:spacing w:after="0" w:line="240" w:lineRule="auto"/>
              <w:jc w:val="center"/>
              <w:rPr>
                <w:b/>
              </w:rPr>
            </w:pPr>
            <w:r w:rsidRPr="003E3A66">
              <w:rPr>
                <w:b/>
              </w:rPr>
              <w:t>11 (4.5%)</w:t>
            </w:r>
          </w:p>
        </w:tc>
        <w:tc>
          <w:tcPr>
            <w:tcW w:w="1649" w:type="dxa"/>
            <w:tcBorders>
              <w:top w:val="nil"/>
              <w:left w:val="nil"/>
              <w:bottom w:val="nil"/>
              <w:right w:val="nil"/>
            </w:tcBorders>
            <w:shd w:val="clear" w:color="auto" w:fill="FFFFFF"/>
            <w:tcMar>
              <w:left w:w="60" w:type="dxa"/>
              <w:right w:w="60" w:type="dxa"/>
            </w:tcMar>
            <w:vAlign w:val="center"/>
          </w:tcPr>
          <w:p w14:paraId="47635A61" w14:textId="77777777" w:rsidR="00576FE1" w:rsidRPr="003E3A66" w:rsidRDefault="00576FE1" w:rsidP="00115CD6">
            <w:pPr>
              <w:keepNext/>
              <w:adjustRightInd w:val="0"/>
              <w:spacing w:after="0" w:line="240" w:lineRule="auto"/>
              <w:jc w:val="center"/>
              <w:rPr>
                <w:b/>
              </w:rPr>
            </w:pPr>
            <w:r w:rsidRPr="003E3A66">
              <w:rPr>
                <w:b/>
              </w:rPr>
              <w:t>25 (5.2%)</w:t>
            </w:r>
          </w:p>
        </w:tc>
      </w:tr>
      <w:tr w:rsidR="00576FE1" w:rsidRPr="003E3A66" w14:paraId="358B6009"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1022DDB6" w14:textId="77777777" w:rsidR="00576FE1" w:rsidRPr="003E3A66" w:rsidRDefault="00576FE1" w:rsidP="00115CD6">
            <w:pPr>
              <w:keepNext/>
              <w:adjustRightInd w:val="0"/>
              <w:spacing w:after="0" w:line="240" w:lineRule="auto"/>
              <w:ind w:hanging="209"/>
            </w:pPr>
            <w:r w:rsidRPr="003E3A66">
              <w:t xml:space="preserve">    Asthenia</w:t>
            </w:r>
          </w:p>
        </w:tc>
        <w:tc>
          <w:tcPr>
            <w:tcW w:w="1554" w:type="dxa"/>
            <w:tcBorders>
              <w:top w:val="nil"/>
              <w:left w:val="nil"/>
              <w:bottom w:val="nil"/>
              <w:right w:val="nil"/>
            </w:tcBorders>
            <w:shd w:val="clear" w:color="auto" w:fill="FFFFFF"/>
            <w:tcMar>
              <w:left w:w="60" w:type="dxa"/>
              <w:right w:w="60" w:type="dxa"/>
            </w:tcMar>
            <w:vAlign w:val="center"/>
          </w:tcPr>
          <w:p w14:paraId="24A03987" w14:textId="77777777" w:rsidR="00576FE1" w:rsidRPr="003E3A66" w:rsidRDefault="00576FE1" w:rsidP="00115CD6">
            <w:pPr>
              <w:keepNext/>
              <w:adjustRightInd w:val="0"/>
              <w:spacing w:after="0" w:line="240" w:lineRule="auto"/>
              <w:jc w:val="center"/>
            </w:pPr>
            <w:r w:rsidRPr="003E3A66">
              <w:t>7 (2.9%)</w:t>
            </w:r>
          </w:p>
        </w:tc>
        <w:tc>
          <w:tcPr>
            <w:tcW w:w="2036" w:type="dxa"/>
            <w:tcBorders>
              <w:top w:val="nil"/>
              <w:left w:val="nil"/>
              <w:bottom w:val="nil"/>
              <w:right w:val="nil"/>
            </w:tcBorders>
            <w:shd w:val="clear" w:color="auto" w:fill="FFFFFF"/>
            <w:tcMar>
              <w:left w:w="60" w:type="dxa"/>
              <w:right w:w="60" w:type="dxa"/>
            </w:tcMar>
            <w:vAlign w:val="center"/>
          </w:tcPr>
          <w:p w14:paraId="31CBC28A" w14:textId="77777777" w:rsidR="00576FE1" w:rsidRPr="003E3A66" w:rsidRDefault="00576FE1" w:rsidP="00115CD6">
            <w:pPr>
              <w:keepNext/>
              <w:adjustRightInd w:val="0"/>
              <w:spacing w:after="0" w:line="240" w:lineRule="auto"/>
              <w:jc w:val="center"/>
            </w:pPr>
            <w:r w:rsidRPr="003E3A66">
              <w:t>5 (2.1%)</w:t>
            </w:r>
          </w:p>
        </w:tc>
        <w:tc>
          <w:tcPr>
            <w:tcW w:w="1649" w:type="dxa"/>
            <w:tcBorders>
              <w:top w:val="nil"/>
              <w:left w:val="nil"/>
              <w:bottom w:val="nil"/>
              <w:right w:val="nil"/>
            </w:tcBorders>
            <w:shd w:val="clear" w:color="auto" w:fill="FFFFFF"/>
            <w:tcMar>
              <w:left w:w="60" w:type="dxa"/>
              <w:right w:w="60" w:type="dxa"/>
            </w:tcMar>
            <w:vAlign w:val="center"/>
          </w:tcPr>
          <w:p w14:paraId="70F30172" w14:textId="77777777" w:rsidR="00576FE1" w:rsidRPr="003E3A66" w:rsidRDefault="00576FE1" w:rsidP="00115CD6">
            <w:pPr>
              <w:keepNext/>
              <w:adjustRightInd w:val="0"/>
              <w:spacing w:after="0" w:line="240" w:lineRule="auto"/>
              <w:jc w:val="center"/>
            </w:pPr>
            <w:r w:rsidRPr="003E3A66">
              <w:t>12 (2.5%)</w:t>
            </w:r>
          </w:p>
        </w:tc>
      </w:tr>
      <w:tr w:rsidR="00576FE1" w:rsidRPr="003E3A66" w14:paraId="40951FDA"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3EF00938" w14:textId="77777777" w:rsidR="00576FE1" w:rsidRPr="003E3A66" w:rsidRDefault="00576FE1" w:rsidP="00115CD6">
            <w:pPr>
              <w:keepNext/>
              <w:adjustRightInd w:val="0"/>
              <w:spacing w:after="0" w:line="240" w:lineRule="auto"/>
              <w:ind w:hanging="209"/>
            </w:pPr>
            <w:r w:rsidRPr="003E3A66">
              <w:t xml:space="preserve">    Fatigue</w:t>
            </w:r>
          </w:p>
        </w:tc>
        <w:tc>
          <w:tcPr>
            <w:tcW w:w="1554" w:type="dxa"/>
            <w:tcBorders>
              <w:top w:val="nil"/>
              <w:left w:val="nil"/>
              <w:bottom w:val="nil"/>
              <w:right w:val="nil"/>
            </w:tcBorders>
            <w:shd w:val="clear" w:color="auto" w:fill="FFFFFF"/>
            <w:tcMar>
              <w:left w:w="60" w:type="dxa"/>
              <w:right w:w="60" w:type="dxa"/>
            </w:tcMar>
            <w:vAlign w:val="center"/>
          </w:tcPr>
          <w:p w14:paraId="199E7BEB" w14:textId="77777777" w:rsidR="00576FE1" w:rsidRPr="003E3A66" w:rsidRDefault="00576FE1" w:rsidP="00115CD6">
            <w:pPr>
              <w:keepNext/>
              <w:adjustRightInd w:val="0"/>
              <w:spacing w:after="0" w:line="240" w:lineRule="auto"/>
              <w:jc w:val="center"/>
            </w:pPr>
            <w:r w:rsidRPr="003E3A66">
              <w:t>4 (1.7%)</w:t>
            </w:r>
          </w:p>
        </w:tc>
        <w:tc>
          <w:tcPr>
            <w:tcW w:w="2036" w:type="dxa"/>
            <w:tcBorders>
              <w:top w:val="nil"/>
              <w:left w:val="nil"/>
              <w:bottom w:val="nil"/>
              <w:right w:val="nil"/>
            </w:tcBorders>
            <w:shd w:val="clear" w:color="auto" w:fill="FFFFFF"/>
            <w:tcMar>
              <w:left w:w="60" w:type="dxa"/>
              <w:right w:w="60" w:type="dxa"/>
            </w:tcMar>
            <w:vAlign w:val="center"/>
          </w:tcPr>
          <w:p w14:paraId="7004A04A" w14:textId="77777777" w:rsidR="00576FE1" w:rsidRPr="003E3A66" w:rsidRDefault="00576FE1" w:rsidP="00115CD6">
            <w:pPr>
              <w:keepNext/>
              <w:adjustRightInd w:val="0"/>
              <w:spacing w:after="0" w:line="240" w:lineRule="auto"/>
              <w:jc w:val="center"/>
            </w:pPr>
            <w:r w:rsidRPr="003E3A66">
              <w:t>4 (1.7%)</w:t>
            </w:r>
          </w:p>
        </w:tc>
        <w:tc>
          <w:tcPr>
            <w:tcW w:w="1649" w:type="dxa"/>
            <w:tcBorders>
              <w:top w:val="nil"/>
              <w:left w:val="nil"/>
              <w:bottom w:val="nil"/>
              <w:right w:val="nil"/>
            </w:tcBorders>
            <w:shd w:val="clear" w:color="auto" w:fill="FFFFFF"/>
            <w:tcMar>
              <w:left w:w="60" w:type="dxa"/>
              <w:right w:w="60" w:type="dxa"/>
            </w:tcMar>
            <w:vAlign w:val="center"/>
          </w:tcPr>
          <w:p w14:paraId="7C862061" w14:textId="77777777" w:rsidR="00576FE1" w:rsidRPr="003E3A66" w:rsidRDefault="00576FE1" w:rsidP="00115CD6">
            <w:pPr>
              <w:keepNext/>
              <w:adjustRightInd w:val="0"/>
              <w:spacing w:after="0" w:line="240" w:lineRule="auto"/>
              <w:jc w:val="center"/>
            </w:pPr>
            <w:r w:rsidRPr="003E3A66">
              <w:t>8 (1.7%)</w:t>
            </w:r>
          </w:p>
        </w:tc>
      </w:tr>
      <w:tr w:rsidR="00576FE1" w:rsidRPr="003E3A66" w14:paraId="612FB1F6" w14:textId="77777777" w:rsidTr="00115CD6">
        <w:trPr>
          <w:cantSplit/>
          <w:trHeight w:val="444"/>
          <w:jc w:val="center"/>
        </w:trPr>
        <w:tc>
          <w:tcPr>
            <w:tcW w:w="3828" w:type="dxa"/>
            <w:tcBorders>
              <w:top w:val="nil"/>
              <w:left w:val="nil"/>
              <w:bottom w:val="nil"/>
              <w:right w:val="nil"/>
            </w:tcBorders>
            <w:shd w:val="clear" w:color="auto" w:fill="FFFFFF"/>
            <w:tcMar>
              <w:left w:w="60" w:type="dxa"/>
              <w:right w:w="60" w:type="dxa"/>
            </w:tcMar>
            <w:vAlign w:val="center"/>
          </w:tcPr>
          <w:p w14:paraId="33F3B65A" w14:textId="77777777" w:rsidR="00576FE1" w:rsidRPr="003E3A66" w:rsidRDefault="00576FE1" w:rsidP="00115CD6">
            <w:pPr>
              <w:keepNext/>
              <w:adjustRightInd w:val="0"/>
              <w:spacing w:after="0" w:line="240" w:lineRule="auto"/>
              <w:rPr>
                <w:b/>
              </w:rPr>
            </w:pPr>
            <w:r w:rsidRPr="003E3A66">
              <w:rPr>
                <w:b/>
              </w:rPr>
              <w:t>Investigations</w:t>
            </w:r>
          </w:p>
        </w:tc>
        <w:tc>
          <w:tcPr>
            <w:tcW w:w="1554" w:type="dxa"/>
            <w:tcBorders>
              <w:top w:val="nil"/>
              <w:left w:val="nil"/>
              <w:bottom w:val="nil"/>
              <w:right w:val="nil"/>
            </w:tcBorders>
            <w:shd w:val="clear" w:color="auto" w:fill="FFFFFF"/>
            <w:tcMar>
              <w:left w:w="60" w:type="dxa"/>
              <w:right w:w="60" w:type="dxa"/>
            </w:tcMar>
            <w:vAlign w:val="center"/>
          </w:tcPr>
          <w:p w14:paraId="27A77177" w14:textId="77777777" w:rsidR="00576FE1" w:rsidRPr="003E3A66" w:rsidRDefault="00576FE1" w:rsidP="00115CD6">
            <w:pPr>
              <w:keepNext/>
              <w:adjustRightInd w:val="0"/>
              <w:spacing w:after="0" w:line="240" w:lineRule="auto"/>
              <w:jc w:val="center"/>
              <w:rPr>
                <w:b/>
              </w:rPr>
            </w:pPr>
            <w:r w:rsidRPr="003E3A66">
              <w:rPr>
                <w:b/>
              </w:rPr>
              <w:t>16 (6.6%)</w:t>
            </w:r>
          </w:p>
        </w:tc>
        <w:tc>
          <w:tcPr>
            <w:tcW w:w="2036" w:type="dxa"/>
            <w:tcBorders>
              <w:top w:val="nil"/>
              <w:left w:val="nil"/>
              <w:bottom w:val="nil"/>
              <w:right w:val="nil"/>
            </w:tcBorders>
            <w:shd w:val="clear" w:color="auto" w:fill="FFFFFF"/>
            <w:tcMar>
              <w:left w:w="60" w:type="dxa"/>
              <w:right w:w="60" w:type="dxa"/>
            </w:tcMar>
            <w:vAlign w:val="center"/>
          </w:tcPr>
          <w:p w14:paraId="5DB8A2BE" w14:textId="77777777" w:rsidR="00576FE1" w:rsidRPr="003E3A66" w:rsidRDefault="00576FE1" w:rsidP="00115CD6">
            <w:pPr>
              <w:keepNext/>
              <w:adjustRightInd w:val="0"/>
              <w:spacing w:after="0" w:line="240" w:lineRule="auto"/>
              <w:jc w:val="center"/>
              <w:rPr>
                <w:b/>
              </w:rPr>
            </w:pPr>
            <w:r w:rsidRPr="003E3A66">
              <w:rPr>
                <w:b/>
              </w:rPr>
              <w:t>9 (3.7%)</w:t>
            </w:r>
          </w:p>
        </w:tc>
        <w:tc>
          <w:tcPr>
            <w:tcW w:w="1649" w:type="dxa"/>
            <w:tcBorders>
              <w:top w:val="nil"/>
              <w:left w:val="nil"/>
              <w:bottom w:val="nil"/>
              <w:right w:val="nil"/>
            </w:tcBorders>
            <w:shd w:val="clear" w:color="auto" w:fill="FFFFFF"/>
            <w:tcMar>
              <w:left w:w="60" w:type="dxa"/>
              <w:right w:w="60" w:type="dxa"/>
            </w:tcMar>
            <w:vAlign w:val="center"/>
          </w:tcPr>
          <w:p w14:paraId="0F483BED" w14:textId="77777777" w:rsidR="00576FE1" w:rsidRPr="003E3A66" w:rsidRDefault="00576FE1" w:rsidP="00115CD6">
            <w:pPr>
              <w:keepNext/>
              <w:adjustRightInd w:val="0"/>
              <w:spacing w:after="0" w:line="240" w:lineRule="auto"/>
              <w:jc w:val="center"/>
              <w:rPr>
                <w:b/>
              </w:rPr>
            </w:pPr>
            <w:r w:rsidRPr="003E3A66">
              <w:rPr>
                <w:b/>
              </w:rPr>
              <w:t>25 (5.2%)</w:t>
            </w:r>
          </w:p>
        </w:tc>
      </w:tr>
      <w:tr w:rsidR="00576FE1" w:rsidRPr="003E3A66" w14:paraId="4AB822A2"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7DCB136A" w14:textId="77777777" w:rsidR="00576FE1" w:rsidRPr="003E3A66" w:rsidRDefault="00576FE1" w:rsidP="00115CD6">
            <w:pPr>
              <w:keepNext/>
              <w:adjustRightInd w:val="0"/>
              <w:spacing w:after="0" w:line="240" w:lineRule="auto"/>
              <w:ind w:hanging="209"/>
            </w:pPr>
            <w:r w:rsidRPr="003E3A66">
              <w:t xml:space="preserve">    Alanine aminotransferase increased</w:t>
            </w:r>
          </w:p>
        </w:tc>
        <w:tc>
          <w:tcPr>
            <w:tcW w:w="1554" w:type="dxa"/>
            <w:tcBorders>
              <w:top w:val="nil"/>
              <w:left w:val="nil"/>
              <w:bottom w:val="nil"/>
              <w:right w:val="nil"/>
            </w:tcBorders>
            <w:shd w:val="clear" w:color="auto" w:fill="FFFFFF"/>
            <w:tcMar>
              <w:left w:w="60" w:type="dxa"/>
              <w:right w:w="60" w:type="dxa"/>
            </w:tcMar>
            <w:vAlign w:val="center"/>
          </w:tcPr>
          <w:p w14:paraId="72B4BCAB" w14:textId="77777777" w:rsidR="00576FE1" w:rsidRPr="003E3A66" w:rsidRDefault="00576FE1" w:rsidP="00115CD6">
            <w:pPr>
              <w:keepNext/>
              <w:adjustRightInd w:val="0"/>
              <w:spacing w:after="0" w:line="240" w:lineRule="auto"/>
              <w:ind w:hanging="209"/>
              <w:jc w:val="center"/>
            </w:pPr>
            <w:r w:rsidRPr="003E3A66">
              <w:t>9 (3.7%)</w:t>
            </w:r>
          </w:p>
        </w:tc>
        <w:tc>
          <w:tcPr>
            <w:tcW w:w="2036" w:type="dxa"/>
            <w:tcBorders>
              <w:top w:val="nil"/>
              <w:left w:val="nil"/>
              <w:bottom w:val="nil"/>
              <w:right w:val="nil"/>
            </w:tcBorders>
            <w:shd w:val="clear" w:color="auto" w:fill="FFFFFF"/>
            <w:tcMar>
              <w:left w:w="60" w:type="dxa"/>
              <w:right w:w="60" w:type="dxa"/>
            </w:tcMar>
            <w:vAlign w:val="center"/>
          </w:tcPr>
          <w:p w14:paraId="1AB6F35F" w14:textId="77777777" w:rsidR="00576FE1" w:rsidRPr="003E3A66" w:rsidRDefault="00576FE1" w:rsidP="00115CD6">
            <w:pPr>
              <w:keepNext/>
              <w:adjustRightInd w:val="0"/>
              <w:spacing w:after="0" w:line="240" w:lineRule="auto"/>
              <w:jc w:val="center"/>
            </w:pPr>
            <w:r w:rsidRPr="003E3A66">
              <w:t>3 (1.2%)</w:t>
            </w:r>
          </w:p>
        </w:tc>
        <w:tc>
          <w:tcPr>
            <w:tcW w:w="1649" w:type="dxa"/>
            <w:tcBorders>
              <w:top w:val="nil"/>
              <w:left w:val="nil"/>
              <w:bottom w:val="nil"/>
              <w:right w:val="nil"/>
            </w:tcBorders>
            <w:shd w:val="clear" w:color="auto" w:fill="FFFFFF"/>
            <w:tcMar>
              <w:left w:w="60" w:type="dxa"/>
              <w:right w:w="60" w:type="dxa"/>
            </w:tcMar>
            <w:vAlign w:val="center"/>
          </w:tcPr>
          <w:p w14:paraId="77A331BD" w14:textId="77777777" w:rsidR="00576FE1" w:rsidRPr="003E3A66" w:rsidRDefault="00576FE1" w:rsidP="00115CD6">
            <w:pPr>
              <w:keepNext/>
              <w:adjustRightInd w:val="0"/>
              <w:spacing w:after="0" w:line="240" w:lineRule="auto"/>
              <w:jc w:val="center"/>
            </w:pPr>
            <w:r w:rsidRPr="003E3A66">
              <w:t>12 (2.5%)</w:t>
            </w:r>
          </w:p>
        </w:tc>
      </w:tr>
      <w:tr w:rsidR="00576FE1" w:rsidRPr="003E3A66" w14:paraId="7D384C02"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15158E2D" w14:textId="77777777" w:rsidR="00576FE1" w:rsidRPr="003E3A66" w:rsidRDefault="00576FE1" w:rsidP="00115CD6">
            <w:pPr>
              <w:keepNext/>
              <w:adjustRightInd w:val="0"/>
              <w:spacing w:after="0" w:line="240" w:lineRule="auto"/>
              <w:ind w:hanging="209"/>
            </w:pPr>
            <w:r w:rsidRPr="003E3A66">
              <w:t xml:space="preserve">    Aspartate aminotransferase increased</w:t>
            </w:r>
          </w:p>
        </w:tc>
        <w:tc>
          <w:tcPr>
            <w:tcW w:w="1554" w:type="dxa"/>
            <w:tcBorders>
              <w:top w:val="nil"/>
              <w:left w:val="nil"/>
              <w:bottom w:val="nil"/>
              <w:right w:val="nil"/>
            </w:tcBorders>
            <w:shd w:val="clear" w:color="auto" w:fill="FFFFFF"/>
            <w:tcMar>
              <w:left w:w="60" w:type="dxa"/>
              <w:right w:w="60" w:type="dxa"/>
            </w:tcMar>
            <w:vAlign w:val="center"/>
          </w:tcPr>
          <w:p w14:paraId="76FC0858" w14:textId="77777777" w:rsidR="00576FE1" w:rsidRPr="003E3A66" w:rsidRDefault="00576FE1" w:rsidP="00115CD6">
            <w:pPr>
              <w:keepNext/>
              <w:adjustRightInd w:val="0"/>
              <w:spacing w:after="0" w:line="240" w:lineRule="auto"/>
              <w:ind w:hanging="209"/>
              <w:jc w:val="center"/>
            </w:pPr>
            <w:r w:rsidRPr="003E3A66">
              <w:t>6 (2.5%)</w:t>
            </w:r>
          </w:p>
        </w:tc>
        <w:tc>
          <w:tcPr>
            <w:tcW w:w="2036" w:type="dxa"/>
            <w:tcBorders>
              <w:top w:val="nil"/>
              <w:left w:val="nil"/>
              <w:bottom w:val="nil"/>
              <w:right w:val="nil"/>
            </w:tcBorders>
            <w:shd w:val="clear" w:color="auto" w:fill="FFFFFF"/>
            <w:tcMar>
              <w:left w:w="60" w:type="dxa"/>
              <w:right w:w="60" w:type="dxa"/>
            </w:tcMar>
            <w:vAlign w:val="center"/>
          </w:tcPr>
          <w:p w14:paraId="3DD91A6B" w14:textId="77777777" w:rsidR="00576FE1" w:rsidRPr="003E3A66" w:rsidRDefault="00576FE1" w:rsidP="00115CD6">
            <w:pPr>
              <w:keepNext/>
              <w:adjustRightInd w:val="0"/>
              <w:spacing w:after="0" w:line="240" w:lineRule="auto"/>
              <w:jc w:val="center"/>
            </w:pPr>
            <w:r w:rsidRPr="003E3A66">
              <w:t>3 (1.2%)</w:t>
            </w:r>
          </w:p>
        </w:tc>
        <w:tc>
          <w:tcPr>
            <w:tcW w:w="1649" w:type="dxa"/>
            <w:tcBorders>
              <w:top w:val="nil"/>
              <w:left w:val="nil"/>
              <w:bottom w:val="nil"/>
              <w:right w:val="nil"/>
            </w:tcBorders>
            <w:shd w:val="clear" w:color="auto" w:fill="FFFFFF"/>
            <w:tcMar>
              <w:left w:w="60" w:type="dxa"/>
              <w:right w:w="60" w:type="dxa"/>
            </w:tcMar>
            <w:vAlign w:val="center"/>
          </w:tcPr>
          <w:p w14:paraId="4CD75DDA" w14:textId="77777777" w:rsidR="00576FE1" w:rsidRPr="003E3A66" w:rsidRDefault="00576FE1" w:rsidP="00115CD6">
            <w:pPr>
              <w:keepNext/>
              <w:adjustRightInd w:val="0"/>
              <w:spacing w:after="0" w:line="240" w:lineRule="auto"/>
              <w:jc w:val="center"/>
            </w:pPr>
            <w:r w:rsidRPr="003E3A66">
              <w:t>9 (1.9%)</w:t>
            </w:r>
          </w:p>
        </w:tc>
      </w:tr>
      <w:tr w:rsidR="00576FE1" w:rsidRPr="003E3A66" w14:paraId="45B55AD4"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73C8E46E" w14:textId="77777777" w:rsidR="00576FE1" w:rsidRPr="003E3A66" w:rsidRDefault="00576FE1" w:rsidP="00115CD6">
            <w:pPr>
              <w:keepNext/>
              <w:adjustRightInd w:val="0"/>
              <w:spacing w:after="0" w:line="240" w:lineRule="auto"/>
              <w:ind w:hanging="209"/>
            </w:pPr>
            <w:r w:rsidRPr="003E3A66">
              <w:t xml:space="preserve">    Gamma-</w:t>
            </w:r>
            <w:proofErr w:type="spellStart"/>
            <w:r w:rsidRPr="003E3A66">
              <w:t>glutamyltransferase</w:t>
            </w:r>
            <w:proofErr w:type="spellEnd"/>
            <w:r w:rsidRPr="003E3A66">
              <w:t xml:space="preserve"> increased</w:t>
            </w:r>
          </w:p>
        </w:tc>
        <w:tc>
          <w:tcPr>
            <w:tcW w:w="1554" w:type="dxa"/>
            <w:tcBorders>
              <w:top w:val="nil"/>
              <w:left w:val="nil"/>
              <w:bottom w:val="nil"/>
              <w:right w:val="nil"/>
            </w:tcBorders>
            <w:shd w:val="clear" w:color="auto" w:fill="FFFFFF"/>
            <w:tcMar>
              <w:left w:w="60" w:type="dxa"/>
              <w:right w:w="60" w:type="dxa"/>
            </w:tcMar>
            <w:vAlign w:val="center"/>
          </w:tcPr>
          <w:p w14:paraId="7CF04BF7" w14:textId="77777777" w:rsidR="00576FE1" w:rsidRPr="003E3A66" w:rsidRDefault="00576FE1" w:rsidP="00115CD6">
            <w:pPr>
              <w:keepNext/>
              <w:adjustRightInd w:val="0"/>
              <w:spacing w:after="0" w:line="240" w:lineRule="auto"/>
              <w:ind w:hanging="209"/>
              <w:jc w:val="center"/>
            </w:pPr>
            <w:r w:rsidRPr="003E3A66">
              <w:t>2 (0.8%)</w:t>
            </w:r>
          </w:p>
        </w:tc>
        <w:tc>
          <w:tcPr>
            <w:tcW w:w="2036" w:type="dxa"/>
            <w:tcBorders>
              <w:top w:val="nil"/>
              <w:left w:val="nil"/>
              <w:bottom w:val="nil"/>
              <w:right w:val="nil"/>
            </w:tcBorders>
            <w:shd w:val="clear" w:color="auto" w:fill="FFFFFF"/>
            <w:tcMar>
              <w:left w:w="60" w:type="dxa"/>
              <w:right w:w="60" w:type="dxa"/>
            </w:tcMar>
            <w:vAlign w:val="center"/>
          </w:tcPr>
          <w:p w14:paraId="299F3440" w14:textId="77777777" w:rsidR="00576FE1" w:rsidRPr="003E3A66" w:rsidRDefault="00576FE1" w:rsidP="00115CD6">
            <w:pPr>
              <w:keepNext/>
              <w:adjustRightInd w:val="0"/>
              <w:spacing w:after="0" w:line="240" w:lineRule="auto"/>
              <w:jc w:val="center"/>
            </w:pPr>
            <w:r w:rsidRPr="003E3A66">
              <w:t>4 (1.7%)</w:t>
            </w:r>
          </w:p>
        </w:tc>
        <w:tc>
          <w:tcPr>
            <w:tcW w:w="1649" w:type="dxa"/>
            <w:tcBorders>
              <w:top w:val="nil"/>
              <w:left w:val="nil"/>
              <w:bottom w:val="nil"/>
              <w:right w:val="nil"/>
            </w:tcBorders>
            <w:shd w:val="clear" w:color="auto" w:fill="FFFFFF"/>
            <w:tcMar>
              <w:left w:w="60" w:type="dxa"/>
              <w:right w:w="60" w:type="dxa"/>
            </w:tcMar>
            <w:vAlign w:val="center"/>
          </w:tcPr>
          <w:p w14:paraId="5BA435EB" w14:textId="77777777" w:rsidR="00576FE1" w:rsidRPr="003E3A66" w:rsidRDefault="00576FE1" w:rsidP="00115CD6">
            <w:pPr>
              <w:keepNext/>
              <w:adjustRightInd w:val="0"/>
              <w:spacing w:after="0" w:line="240" w:lineRule="auto"/>
              <w:jc w:val="center"/>
            </w:pPr>
            <w:r w:rsidRPr="003E3A66">
              <w:t>6 (1.2%)</w:t>
            </w:r>
          </w:p>
        </w:tc>
      </w:tr>
      <w:tr w:rsidR="00576FE1" w:rsidRPr="003E3A66" w14:paraId="2B3CC73D" w14:textId="77777777" w:rsidTr="00115CD6">
        <w:trPr>
          <w:cantSplit/>
          <w:trHeight w:val="609"/>
          <w:jc w:val="center"/>
        </w:trPr>
        <w:tc>
          <w:tcPr>
            <w:tcW w:w="3828" w:type="dxa"/>
            <w:tcBorders>
              <w:top w:val="nil"/>
              <w:left w:val="nil"/>
              <w:bottom w:val="nil"/>
              <w:right w:val="nil"/>
            </w:tcBorders>
            <w:shd w:val="clear" w:color="auto" w:fill="FFFFFF"/>
            <w:tcMar>
              <w:left w:w="60" w:type="dxa"/>
              <w:right w:w="60" w:type="dxa"/>
            </w:tcMar>
            <w:vAlign w:val="center"/>
          </w:tcPr>
          <w:p w14:paraId="596A446A" w14:textId="77777777" w:rsidR="00576FE1" w:rsidRPr="003E3A66" w:rsidRDefault="00576FE1" w:rsidP="00115CD6">
            <w:pPr>
              <w:keepNext/>
              <w:adjustRightInd w:val="0"/>
              <w:spacing w:after="0" w:line="240" w:lineRule="auto"/>
              <w:rPr>
                <w:b/>
                <w:lang w:val="en-GB"/>
              </w:rPr>
            </w:pPr>
            <w:r w:rsidRPr="003E3A66">
              <w:rPr>
                <w:b/>
                <w:lang w:val="en-GB"/>
              </w:rPr>
              <w:t>Respiratory, thoracic and mediastinal disorders</w:t>
            </w:r>
          </w:p>
        </w:tc>
        <w:tc>
          <w:tcPr>
            <w:tcW w:w="1554" w:type="dxa"/>
            <w:tcBorders>
              <w:top w:val="nil"/>
              <w:left w:val="nil"/>
              <w:bottom w:val="nil"/>
              <w:right w:val="nil"/>
            </w:tcBorders>
            <w:shd w:val="clear" w:color="auto" w:fill="FFFFFF"/>
            <w:tcMar>
              <w:left w:w="60" w:type="dxa"/>
              <w:right w:w="60" w:type="dxa"/>
            </w:tcMar>
            <w:vAlign w:val="center"/>
          </w:tcPr>
          <w:p w14:paraId="5CCF88B2" w14:textId="77777777" w:rsidR="00576FE1" w:rsidRPr="003E3A66" w:rsidRDefault="00576FE1" w:rsidP="00115CD6">
            <w:pPr>
              <w:keepNext/>
              <w:adjustRightInd w:val="0"/>
              <w:spacing w:after="0" w:line="240" w:lineRule="auto"/>
              <w:jc w:val="center"/>
              <w:rPr>
                <w:b/>
              </w:rPr>
            </w:pPr>
            <w:r w:rsidRPr="003E3A66">
              <w:rPr>
                <w:b/>
              </w:rPr>
              <w:t>1</w:t>
            </w:r>
            <w:r>
              <w:rPr>
                <w:b/>
              </w:rPr>
              <w:t>6</w:t>
            </w:r>
            <w:r w:rsidRPr="003E3A66">
              <w:rPr>
                <w:b/>
              </w:rPr>
              <w:t xml:space="preserve"> (</w:t>
            </w:r>
            <w:r>
              <w:rPr>
                <w:b/>
              </w:rPr>
              <w:t>6</w:t>
            </w:r>
            <w:r w:rsidRPr="003E3A66">
              <w:rPr>
                <w:b/>
              </w:rPr>
              <w:t>.</w:t>
            </w:r>
            <w:r>
              <w:rPr>
                <w:b/>
              </w:rPr>
              <w:t>6</w:t>
            </w:r>
            <w:r w:rsidRPr="003E3A66">
              <w:rPr>
                <w:b/>
              </w:rPr>
              <w:t>%)</w:t>
            </w:r>
          </w:p>
        </w:tc>
        <w:tc>
          <w:tcPr>
            <w:tcW w:w="2036" w:type="dxa"/>
            <w:tcBorders>
              <w:top w:val="nil"/>
              <w:left w:val="nil"/>
              <w:bottom w:val="nil"/>
              <w:right w:val="nil"/>
            </w:tcBorders>
            <w:shd w:val="clear" w:color="auto" w:fill="FFFFFF"/>
            <w:tcMar>
              <w:left w:w="60" w:type="dxa"/>
              <w:right w:w="60" w:type="dxa"/>
            </w:tcMar>
            <w:vAlign w:val="center"/>
          </w:tcPr>
          <w:p w14:paraId="20BC0DFA" w14:textId="5187C0C2" w:rsidR="00576FE1" w:rsidRPr="003E3A66" w:rsidRDefault="008D7D7C" w:rsidP="008D7D7C">
            <w:pPr>
              <w:keepNext/>
              <w:adjustRightInd w:val="0"/>
              <w:spacing w:after="0" w:line="240" w:lineRule="auto"/>
              <w:jc w:val="center"/>
              <w:rPr>
                <w:b/>
              </w:rPr>
            </w:pPr>
            <w:r>
              <w:rPr>
                <w:b/>
              </w:rPr>
              <w:t>12</w:t>
            </w:r>
            <w:r w:rsidR="00576FE1" w:rsidRPr="003E3A66">
              <w:rPr>
                <w:b/>
              </w:rPr>
              <w:t xml:space="preserve"> (</w:t>
            </w:r>
            <w:r>
              <w:rPr>
                <w:b/>
              </w:rPr>
              <w:t>5</w:t>
            </w:r>
            <w:r w:rsidR="00576FE1" w:rsidRPr="003E3A66">
              <w:rPr>
                <w:b/>
              </w:rPr>
              <w:t>.</w:t>
            </w:r>
            <w:r>
              <w:rPr>
                <w:b/>
              </w:rPr>
              <w:t>0</w:t>
            </w:r>
            <w:r w:rsidR="00576FE1" w:rsidRPr="003E3A66">
              <w:rPr>
                <w:b/>
              </w:rPr>
              <w:t>%)</w:t>
            </w:r>
          </w:p>
        </w:tc>
        <w:tc>
          <w:tcPr>
            <w:tcW w:w="1649" w:type="dxa"/>
            <w:tcBorders>
              <w:top w:val="nil"/>
              <w:left w:val="nil"/>
              <w:bottom w:val="nil"/>
              <w:right w:val="nil"/>
            </w:tcBorders>
            <w:shd w:val="clear" w:color="auto" w:fill="FFFFFF"/>
            <w:tcMar>
              <w:left w:w="60" w:type="dxa"/>
              <w:right w:w="60" w:type="dxa"/>
            </w:tcMar>
            <w:vAlign w:val="center"/>
          </w:tcPr>
          <w:p w14:paraId="6970E637" w14:textId="575E6190" w:rsidR="00576FE1" w:rsidRPr="003E3A66" w:rsidRDefault="008D7D7C" w:rsidP="008D7D7C">
            <w:pPr>
              <w:keepNext/>
              <w:adjustRightInd w:val="0"/>
              <w:spacing w:after="0" w:line="240" w:lineRule="auto"/>
              <w:jc w:val="center"/>
              <w:rPr>
                <w:b/>
              </w:rPr>
            </w:pPr>
            <w:r>
              <w:rPr>
                <w:b/>
              </w:rPr>
              <w:t>28</w:t>
            </w:r>
            <w:r w:rsidR="00576FE1" w:rsidRPr="003E3A66">
              <w:rPr>
                <w:b/>
              </w:rPr>
              <w:t xml:space="preserve"> (</w:t>
            </w:r>
            <w:r>
              <w:rPr>
                <w:b/>
              </w:rPr>
              <w:t>5.8</w:t>
            </w:r>
            <w:r w:rsidR="00576FE1" w:rsidRPr="003E3A66">
              <w:rPr>
                <w:b/>
              </w:rPr>
              <w:t>%)</w:t>
            </w:r>
          </w:p>
        </w:tc>
      </w:tr>
      <w:tr w:rsidR="00576FE1" w:rsidRPr="003E3A66" w14:paraId="1732006F"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55B44148" w14:textId="77777777" w:rsidR="00576FE1" w:rsidRPr="003E3A66" w:rsidRDefault="00576FE1" w:rsidP="00115CD6">
            <w:pPr>
              <w:keepNext/>
              <w:adjustRightInd w:val="0"/>
              <w:spacing w:after="0" w:line="240" w:lineRule="auto"/>
              <w:ind w:hanging="209"/>
            </w:pPr>
            <w:r w:rsidRPr="003E3A66">
              <w:t xml:space="preserve">    Pulmonary embolism</w:t>
            </w:r>
          </w:p>
        </w:tc>
        <w:tc>
          <w:tcPr>
            <w:tcW w:w="1554" w:type="dxa"/>
            <w:tcBorders>
              <w:top w:val="nil"/>
              <w:left w:val="nil"/>
              <w:bottom w:val="nil"/>
              <w:right w:val="nil"/>
            </w:tcBorders>
            <w:shd w:val="clear" w:color="auto" w:fill="FFFFFF"/>
            <w:tcMar>
              <w:left w:w="60" w:type="dxa"/>
              <w:right w:w="60" w:type="dxa"/>
            </w:tcMar>
            <w:vAlign w:val="center"/>
          </w:tcPr>
          <w:p w14:paraId="7F3943FD" w14:textId="77777777" w:rsidR="00576FE1" w:rsidRPr="003E3A66" w:rsidRDefault="00576FE1" w:rsidP="00115CD6">
            <w:pPr>
              <w:keepNext/>
              <w:adjustRightInd w:val="0"/>
              <w:spacing w:after="0" w:line="240" w:lineRule="auto"/>
              <w:jc w:val="center"/>
            </w:pPr>
            <w:r>
              <w:t>12</w:t>
            </w:r>
            <w:r w:rsidRPr="003E3A66">
              <w:t xml:space="preserve"> (</w:t>
            </w:r>
            <w:r>
              <w:t>5</w:t>
            </w:r>
            <w:r w:rsidRPr="003E3A66">
              <w:t>.</w:t>
            </w:r>
            <w:r>
              <w:t>0</w:t>
            </w:r>
            <w:r w:rsidRPr="003E3A66">
              <w:t>%)</w:t>
            </w:r>
          </w:p>
        </w:tc>
        <w:tc>
          <w:tcPr>
            <w:tcW w:w="2036" w:type="dxa"/>
            <w:tcBorders>
              <w:top w:val="nil"/>
              <w:left w:val="nil"/>
              <w:bottom w:val="nil"/>
              <w:right w:val="nil"/>
            </w:tcBorders>
            <w:shd w:val="clear" w:color="auto" w:fill="FFFFFF"/>
            <w:tcMar>
              <w:left w:w="60" w:type="dxa"/>
              <w:right w:w="60" w:type="dxa"/>
            </w:tcMar>
            <w:vAlign w:val="center"/>
          </w:tcPr>
          <w:p w14:paraId="52F24322" w14:textId="77777777" w:rsidR="00576FE1" w:rsidRPr="003E3A66" w:rsidRDefault="00576FE1" w:rsidP="00115CD6">
            <w:pPr>
              <w:keepNext/>
              <w:adjustRightInd w:val="0"/>
              <w:spacing w:after="0" w:line="240" w:lineRule="auto"/>
              <w:jc w:val="center"/>
            </w:pPr>
            <w:r>
              <w:t>6</w:t>
            </w:r>
            <w:r w:rsidRPr="003E3A66">
              <w:t xml:space="preserve"> (</w:t>
            </w:r>
            <w:r>
              <w:t>2</w:t>
            </w:r>
            <w:r w:rsidRPr="003E3A66">
              <w:t>.</w:t>
            </w:r>
            <w:r>
              <w:t>5</w:t>
            </w:r>
            <w:r w:rsidRPr="003E3A66">
              <w:t>%)</w:t>
            </w:r>
          </w:p>
        </w:tc>
        <w:tc>
          <w:tcPr>
            <w:tcW w:w="1649" w:type="dxa"/>
            <w:tcBorders>
              <w:top w:val="nil"/>
              <w:left w:val="nil"/>
              <w:bottom w:val="nil"/>
              <w:right w:val="nil"/>
            </w:tcBorders>
            <w:shd w:val="clear" w:color="auto" w:fill="FFFFFF"/>
            <w:tcMar>
              <w:left w:w="60" w:type="dxa"/>
              <w:right w:w="60" w:type="dxa"/>
            </w:tcMar>
            <w:vAlign w:val="center"/>
          </w:tcPr>
          <w:p w14:paraId="330663DE" w14:textId="77777777" w:rsidR="00576FE1" w:rsidRPr="003E3A66" w:rsidRDefault="00576FE1" w:rsidP="00115CD6">
            <w:pPr>
              <w:keepNext/>
              <w:adjustRightInd w:val="0"/>
              <w:spacing w:after="0" w:line="240" w:lineRule="auto"/>
              <w:jc w:val="center"/>
            </w:pPr>
            <w:r w:rsidRPr="003E3A66">
              <w:t>1</w:t>
            </w:r>
            <w:r>
              <w:t>8</w:t>
            </w:r>
            <w:r w:rsidRPr="003E3A66">
              <w:t xml:space="preserve"> (</w:t>
            </w:r>
            <w:r>
              <w:t>3</w:t>
            </w:r>
            <w:r w:rsidRPr="003E3A66">
              <w:t>.</w:t>
            </w:r>
            <w:r>
              <w:t>7</w:t>
            </w:r>
            <w:r w:rsidRPr="003E3A66">
              <w:t>%)</w:t>
            </w:r>
          </w:p>
        </w:tc>
      </w:tr>
      <w:tr w:rsidR="00576FE1" w:rsidRPr="003E3A66" w14:paraId="7E3B14E2"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7447726B" w14:textId="77777777" w:rsidR="00576FE1" w:rsidRPr="003E3A66" w:rsidRDefault="00576FE1" w:rsidP="00115CD6">
            <w:pPr>
              <w:keepNext/>
              <w:adjustRightInd w:val="0"/>
              <w:spacing w:after="0" w:line="240" w:lineRule="auto"/>
              <w:ind w:hanging="209"/>
            </w:pPr>
            <w:r w:rsidRPr="003E3A66">
              <w:t xml:space="preserve">    Pleural effusion</w:t>
            </w:r>
          </w:p>
        </w:tc>
        <w:tc>
          <w:tcPr>
            <w:tcW w:w="1554" w:type="dxa"/>
            <w:tcBorders>
              <w:top w:val="nil"/>
              <w:left w:val="nil"/>
              <w:bottom w:val="nil"/>
              <w:right w:val="nil"/>
            </w:tcBorders>
            <w:shd w:val="clear" w:color="auto" w:fill="FFFFFF"/>
            <w:tcMar>
              <w:left w:w="60" w:type="dxa"/>
              <w:right w:w="60" w:type="dxa"/>
            </w:tcMar>
            <w:vAlign w:val="center"/>
          </w:tcPr>
          <w:p w14:paraId="73FD79BD" w14:textId="77777777" w:rsidR="00576FE1" w:rsidRPr="003E3A66" w:rsidRDefault="00576FE1" w:rsidP="00115CD6">
            <w:pPr>
              <w:keepNext/>
              <w:adjustRightInd w:val="0"/>
              <w:spacing w:after="0" w:line="240" w:lineRule="auto"/>
              <w:jc w:val="center"/>
            </w:pPr>
            <w:r w:rsidRPr="003E3A66">
              <w:t>2 (0.8%)</w:t>
            </w:r>
          </w:p>
        </w:tc>
        <w:tc>
          <w:tcPr>
            <w:tcW w:w="2036" w:type="dxa"/>
            <w:tcBorders>
              <w:top w:val="nil"/>
              <w:left w:val="nil"/>
              <w:bottom w:val="nil"/>
              <w:right w:val="nil"/>
            </w:tcBorders>
            <w:shd w:val="clear" w:color="auto" w:fill="FFFFFF"/>
            <w:tcMar>
              <w:left w:w="60" w:type="dxa"/>
              <w:right w:w="60" w:type="dxa"/>
            </w:tcMar>
            <w:vAlign w:val="center"/>
          </w:tcPr>
          <w:p w14:paraId="5E344610" w14:textId="77777777" w:rsidR="00576FE1" w:rsidRPr="003E3A66" w:rsidRDefault="00576FE1" w:rsidP="00115CD6">
            <w:pPr>
              <w:keepNext/>
              <w:adjustRightInd w:val="0"/>
              <w:spacing w:after="0" w:line="240" w:lineRule="auto"/>
              <w:jc w:val="center"/>
            </w:pPr>
            <w:r w:rsidRPr="003E3A66">
              <w:t>2 (0.8%)</w:t>
            </w:r>
          </w:p>
        </w:tc>
        <w:tc>
          <w:tcPr>
            <w:tcW w:w="1649" w:type="dxa"/>
            <w:tcBorders>
              <w:top w:val="nil"/>
              <w:left w:val="nil"/>
              <w:bottom w:val="nil"/>
              <w:right w:val="nil"/>
            </w:tcBorders>
            <w:shd w:val="clear" w:color="auto" w:fill="FFFFFF"/>
            <w:tcMar>
              <w:left w:w="60" w:type="dxa"/>
              <w:right w:w="60" w:type="dxa"/>
            </w:tcMar>
            <w:vAlign w:val="center"/>
          </w:tcPr>
          <w:p w14:paraId="1670BE23" w14:textId="77777777" w:rsidR="00576FE1" w:rsidRPr="003E3A66" w:rsidRDefault="00576FE1" w:rsidP="00115CD6">
            <w:pPr>
              <w:keepNext/>
              <w:adjustRightInd w:val="0"/>
              <w:spacing w:after="0" w:line="240" w:lineRule="auto"/>
              <w:jc w:val="center"/>
            </w:pPr>
            <w:r w:rsidRPr="003E3A66">
              <w:t>4 (0.8%)</w:t>
            </w:r>
          </w:p>
        </w:tc>
      </w:tr>
      <w:tr w:rsidR="00576FE1" w:rsidRPr="003E3A66" w14:paraId="7ED01FBC"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3B9D2FF1" w14:textId="77777777" w:rsidR="00576FE1" w:rsidRPr="003E3A66" w:rsidRDefault="00576FE1" w:rsidP="00115CD6">
            <w:pPr>
              <w:keepNext/>
              <w:adjustRightInd w:val="0"/>
              <w:spacing w:after="0" w:line="240" w:lineRule="auto"/>
              <w:ind w:hanging="209"/>
            </w:pPr>
            <w:r w:rsidRPr="003E3A66">
              <w:t xml:space="preserve">    </w:t>
            </w:r>
            <w:proofErr w:type="spellStart"/>
            <w:r w:rsidRPr="003E3A66">
              <w:t>Dyspnoea</w:t>
            </w:r>
            <w:proofErr w:type="spellEnd"/>
          </w:p>
        </w:tc>
        <w:tc>
          <w:tcPr>
            <w:tcW w:w="1554" w:type="dxa"/>
            <w:tcBorders>
              <w:top w:val="nil"/>
              <w:left w:val="nil"/>
              <w:bottom w:val="nil"/>
              <w:right w:val="nil"/>
            </w:tcBorders>
            <w:shd w:val="clear" w:color="auto" w:fill="FFFFFF"/>
            <w:tcMar>
              <w:left w:w="60" w:type="dxa"/>
              <w:right w:w="60" w:type="dxa"/>
            </w:tcMar>
            <w:vAlign w:val="center"/>
          </w:tcPr>
          <w:p w14:paraId="1845048C" w14:textId="77777777" w:rsidR="00576FE1" w:rsidRPr="003E3A66" w:rsidRDefault="00576FE1" w:rsidP="00115CD6">
            <w:pPr>
              <w:keepNext/>
              <w:adjustRightInd w:val="0"/>
              <w:spacing w:after="0" w:line="240" w:lineRule="auto"/>
              <w:jc w:val="center"/>
            </w:pPr>
            <w:r w:rsidRPr="003E3A66">
              <w:t>0 (0.0%)</w:t>
            </w:r>
          </w:p>
        </w:tc>
        <w:tc>
          <w:tcPr>
            <w:tcW w:w="2036" w:type="dxa"/>
            <w:tcBorders>
              <w:top w:val="nil"/>
              <w:left w:val="nil"/>
              <w:bottom w:val="nil"/>
              <w:right w:val="nil"/>
            </w:tcBorders>
            <w:shd w:val="clear" w:color="auto" w:fill="FFFFFF"/>
            <w:tcMar>
              <w:left w:w="60" w:type="dxa"/>
              <w:right w:w="60" w:type="dxa"/>
            </w:tcMar>
            <w:vAlign w:val="center"/>
          </w:tcPr>
          <w:p w14:paraId="2ACC3A17" w14:textId="77777777" w:rsidR="00576FE1" w:rsidRPr="003E3A66" w:rsidRDefault="00576FE1" w:rsidP="00115CD6">
            <w:pPr>
              <w:keepNext/>
              <w:adjustRightInd w:val="0"/>
              <w:spacing w:after="0" w:line="240" w:lineRule="auto"/>
              <w:jc w:val="center"/>
            </w:pPr>
            <w:r w:rsidRPr="003E3A66">
              <w:t>3 (1.2%)</w:t>
            </w:r>
          </w:p>
        </w:tc>
        <w:tc>
          <w:tcPr>
            <w:tcW w:w="1649" w:type="dxa"/>
            <w:tcBorders>
              <w:top w:val="nil"/>
              <w:left w:val="nil"/>
              <w:bottom w:val="nil"/>
              <w:right w:val="nil"/>
            </w:tcBorders>
            <w:shd w:val="clear" w:color="auto" w:fill="FFFFFF"/>
            <w:tcMar>
              <w:left w:w="60" w:type="dxa"/>
              <w:right w:w="60" w:type="dxa"/>
            </w:tcMar>
            <w:vAlign w:val="center"/>
          </w:tcPr>
          <w:p w14:paraId="77DD45EA" w14:textId="77777777" w:rsidR="00576FE1" w:rsidRPr="003E3A66" w:rsidRDefault="00576FE1" w:rsidP="00115CD6">
            <w:pPr>
              <w:keepNext/>
              <w:adjustRightInd w:val="0"/>
              <w:spacing w:after="0" w:line="240" w:lineRule="auto"/>
              <w:jc w:val="center"/>
            </w:pPr>
            <w:r w:rsidRPr="003E3A66">
              <w:t>3 (0.6%)</w:t>
            </w:r>
          </w:p>
        </w:tc>
      </w:tr>
      <w:tr w:rsidR="00576FE1" w:rsidRPr="003E3A66" w14:paraId="4F4467C4" w14:textId="77777777" w:rsidTr="00115CD6">
        <w:trPr>
          <w:cantSplit/>
          <w:trHeight w:val="582"/>
          <w:jc w:val="center"/>
        </w:trPr>
        <w:tc>
          <w:tcPr>
            <w:tcW w:w="3828" w:type="dxa"/>
            <w:tcBorders>
              <w:top w:val="nil"/>
              <w:left w:val="nil"/>
              <w:bottom w:val="nil"/>
              <w:right w:val="nil"/>
            </w:tcBorders>
            <w:shd w:val="clear" w:color="auto" w:fill="FFFFFF"/>
            <w:tcMar>
              <w:left w:w="60" w:type="dxa"/>
              <w:right w:w="60" w:type="dxa"/>
            </w:tcMar>
            <w:vAlign w:val="center"/>
          </w:tcPr>
          <w:p w14:paraId="115E67B6" w14:textId="77777777" w:rsidR="00576FE1" w:rsidRPr="003E3A66" w:rsidRDefault="00576FE1" w:rsidP="00115CD6">
            <w:pPr>
              <w:keepNext/>
              <w:adjustRightInd w:val="0"/>
              <w:spacing w:after="0" w:line="240" w:lineRule="auto"/>
              <w:rPr>
                <w:b/>
                <w:lang w:val="en-GB"/>
              </w:rPr>
            </w:pPr>
            <w:r w:rsidRPr="003E3A66">
              <w:rPr>
                <w:b/>
                <w:lang w:val="en-GB"/>
              </w:rPr>
              <w:t>Musculoskeletal and connective tissue disorders</w:t>
            </w:r>
          </w:p>
        </w:tc>
        <w:tc>
          <w:tcPr>
            <w:tcW w:w="1554" w:type="dxa"/>
            <w:tcBorders>
              <w:top w:val="nil"/>
              <w:left w:val="nil"/>
              <w:bottom w:val="nil"/>
              <w:right w:val="nil"/>
            </w:tcBorders>
            <w:shd w:val="clear" w:color="auto" w:fill="FFFFFF"/>
            <w:tcMar>
              <w:left w:w="60" w:type="dxa"/>
              <w:right w:w="60" w:type="dxa"/>
            </w:tcMar>
            <w:vAlign w:val="center"/>
          </w:tcPr>
          <w:p w14:paraId="6DBD60B2" w14:textId="77777777" w:rsidR="00576FE1" w:rsidRPr="003E3A66" w:rsidRDefault="00576FE1" w:rsidP="00115CD6">
            <w:pPr>
              <w:keepNext/>
              <w:adjustRightInd w:val="0"/>
              <w:spacing w:after="0" w:line="240" w:lineRule="auto"/>
              <w:jc w:val="center"/>
              <w:rPr>
                <w:b/>
              </w:rPr>
            </w:pPr>
            <w:r w:rsidRPr="003E3A66">
              <w:rPr>
                <w:b/>
              </w:rPr>
              <w:t>16 (6.6%)</w:t>
            </w:r>
          </w:p>
        </w:tc>
        <w:tc>
          <w:tcPr>
            <w:tcW w:w="2036" w:type="dxa"/>
            <w:tcBorders>
              <w:top w:val="nil"/>
              <w:left w:val="nil"/>
              <w:bottom w:val="nil"/>
              <w:right w:val="nil"/>
            </w:tcBorders>
            <w:shd w:val="clear" w:color="auto" w:fill="FFFFFF"/>
            <w:tcMar>
              <w:left w:w="60" w:type="dxa"/>
              <w:right w:w="60" w:type="dxa"/>
            </w:tcMar>
            <w:vAlign w:val="center"/>
          </w:tcPr>
          <w:p w14:paraId="1533739E" w14:textId="77777777" w:rsidR="00576FE1" w:rsidRPr="003E3A66" w:rsidRDefault="00576FE1" w:rsidP="00115CD6">
            <w:pPr>
              <w:keepNext/>
              <w:adjustRightInd w:val="0"/>
              <w:spacing w:after="0" w:line="240" w:lineRule="auto"/>
              <w:jc w:val="center"/>
              <w:rPr>
                <w:b/>
              </w:rPr>
            </w:pPr>
            <w:r w:rsidRPr="003E3A66">
              <w:rPr>
                <w:b/>
              </w:rPr>
              <w:t>5 (2.1%)</w:t>
            </w:r>
          </w:p>
        </w:tc>
        <w:tc>
          <w:tcPr>
            <w:tcW w:w="1649" w:type="dxa"/>
            <w:tcBorders>
              <w:top w:val="nil"/>
              <w:left w:val="nil"/>
              <w:bottom w:val="nil"/>
              <w:right w:val="nil"/>
            </w:tcBorders>
            <w:shd w:val="clear" w:color="auto" w:fill="FFFFFF"/>
            <w:tcMar>
              <w:left w:w="60" w:type="dxa"/>
              <w:right w:w="60" w:type="dxa"/>
            </w:tcMar>
            <w:vAlign w:val="center"/>
          </w:tcPr>
          <w:p w14:paraId="71E73E0D" w14:textId="77777777" w:rsidR="00576FE1" w:rsidRPr="003E3A66" w:rsidRDefault="00576FE1" w:rsidP="00115CD6">
            <w:pPr>
              <w:keepNext/>
              <w:adjustRightInd w:val="0"/>
              <w:spacing w:after="0" w:line="240" w:lineRule="auto"/>
              <w:jc w:val="center"/>
              <w:rPr>
                <w:b/>
              </w:rPr>
            </w:pPr>
            <w:r w:rsidRPr="003E3A66">
              <w:rPr>
                <w:b/>
              </w:rPr>
              <w:t>21 (4.3%)</w:t>
            </w:r>
          </w:p>
        </w:tc>
      </w:tr>
      <w:tr w:rsidR="00576FE1" w:rsidRPr="003E3A66" w14:paraId="306BC994"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0E4DAB8A" w14:textId="77777777" w:rsidR="00576FE1" w:rsidRPr="003E3A66" w:rsidRDefault="00576FE1" w:rsidP="00115CD6">
            <w:pPr>
              <w:keepNext/>
              <w:adjustRightInd w:val="0"/>
              <w:spacing w:after="0" w:line="240" w:lineRule="auto"/>
              <w:ind w:hanging="209"/>
            </w:pPr>
            <w:r w:rsidRPr="003E3A66">
              <w:t xml:space="preserve">    Back pain</w:t>
            </w:r>
          </w:p>
        </w:tc>
        <w:tc>
          <w:tcPr>
            <w:tcW w:w="1554" w:type="dxa"/>
            <w:tcBorders>
              <w:top w:val="nil"/>
              <w:left w:val="nil"/>
              <w:bottom w:val="nil"/>
              <w:right w:val="nil"/>
            </w:tcBorders>
            <w:shd w:val="clear" w:color="auto" w:fill="FFFFFF"/>
            <w:tcMar>
              <w:left w:w="60" w:type="dxa"/>
              <w:right w:w="60" w:type="dxa"/>
            </w:tcMar>
            <w:vAlign w:val="center"/>
          </w:tcPr>
          <w:p w14:paraId="54BA7EBC" w14:textId="77777777" w:rsidR="00576FE1" w:rsidRPr="003E3A66" w:rsidRDefault="00576FE1" w:rsidP="00115CD6">
            <w:pPr>
              <w:keepNext/>
              <w:adjustRightInd w:val="0"/>
              <w:spacing w:after="0" w:line="240" w:lineRule="auto"/>
              <w:jc w:val="center"/>
            </w:pPr>
            <w:r w:rsidRPr="003E3A66">
              <w:t>7 (2.9%)</w:t>
            </w:r>
          </w:p>
        </w:tc>
        <w:tc>
          <w:tcPr>
            <w:tcW w:w="2036" w:type="dxa"/>
            <w:tcBorders>
              <w:top w:val="nil"/>
              <w:left w:val="nil"/>
              <w:bottom w:val="nil"/>
              <w:right w:val="nil"/>
            </w:tcBorders>
            <w:shd w:val="clear" w:color="auto" w:fill="FFFFFF"/>
            <w:tcMar>
              <w:left w:w="60" w:type="dxa"/>
              <w:right w:w="60" w:type="dxa"/>
            </w:tcMar>
            <w:vAlign w:val="center"/>
          </w:tcPr>
          <w:p w14:paraId="119CD594" w14:textId="77777777" w:rsidR="00576FE1" w:rsidRPr="003E3A66" w:rsidRDefault="00576FE1" w:rsidP="00115CD6">
            <w:pPr>
              <w:keepNext/>
              <w:adjustRightInd w:val="0"/>
              <w:spacing w:after="0" w:line="240" w:lineRule="auto"/>
              <w:jc w:val="center"/>
            </w:pPr>
            <w:r w:rsidRPr="003E3A66">
              <w:t>1 (0.4%)</w:t>
            </w:r>
          </w:p>
        </w:tc>
        <w:tc>
          <w:tcPr>
            <w:tcW w:w="1649" w:type="dxa"/>
            <w:tcBorders>
              <w:top w:val="nil"/>
              <w:left w:val="nil"/>
              <w:bottom w:val="nil"/>
              <w:right w:val="nil"/>
            </w:tcBorders>
            <w:shd w:val="clear" w:color="auto" w:fill="FFFFFF"/>
            <w:tcMar>
              <w:left w:w="60" w:type="dxa"/>
              <w:right w:w="60" w:type="dxa"/>
            </w:tcMar>
            <w:vAlign w:val="center"/>
          </w:tcPr>
          <w:p w14:paraId="48BA5C17" w14:textId="77777777" w:rsidR="00576FE1" w:rsidRPr="003E3A66" w:rsidRDefault="00576FE1" w:rsidP="00115CD6">
            <w:pPr>
              <w:keepNext/>
              <w:adjustRightInd w:val="0"/>
              <w:spacing w:after="0" w:line="240" w:lineRule="auto"/>
              <w:jc w:val="center"/>
            </w:pPr>
            <w:r w:rsidRPr="003E3A66">
              <w:t>8 (1.7%)</w:t>
            </w:r>
          </w:p>
        </w:tc>
      </w:tr>
      <w:tr w:rsidR="00576FE1" w:rsidRPr="003E3A66" w14:paraId="4D02D596" w14:textId="77777777" w:rsidTr="00115CD6">
        <w:trPr>
          <w:cantSplit/>
          <w:jc w:val="center"/>
        </w:trPr>
        <w:tc>
          <w:tcPr>
            <w:tcW w:w="3828" w:type="dxa"/>
            <w:tcBorders>
              <w:top w:val="nil"/>
              <w:left w:val="nil"/>
              <w:bottom w:val="nil"/>
              <w:right w:val="nil"/>
            </w:tcBorders>
            <w:shd w:val="clear" w:color="auto" w:fill="FFFFFF"/>
            <w:tcMar>
              <w:left w:w="60" w:type="dxa"/>
              <w:right w:w="60" w:type="dxa"/>
            </w:tcMar>
            <w:vAlign w:val="center"/>
          </w:tcPr>
          <w:p w14:paraId="322109D5" w14:textId="77777777" w:rsidR="00576FE1" w:rsidRPr="003E3A66" w:rsidRDefault="00576FE1" w:rsidP="00115CD6">
            <w:pPr>
              <w:keepNext/>
              <w:adjustRightInd w:val="0"/>
              <w:spacing w:after="0" w:line="240" w:lineRule="auto"/>
              <w:ind w:hanging="209"/>
            </w:pPr>
            <w:r w:rsidRPr="003E3A66">
              <w:t xml:space="preserve">    Pain in extremity</w:t>
            </w:r>
          </w:p>
        </w:tc>
        <w:tc>
          <w:tcPr>
            <w:tcW w:w="1554" w:type="dxa"/>
            <w:tcBorders>
              <w:top w:val="nil"/>
              <w:left w:val="nil"/>
              <w:bottom w:val="nil"/>
              <w:right w:val="nil"/>
            </w:tcBorders>
            <w:shd w:val="clear" w:color="auto" w:fill="FFFFFF"/>
            <w:tcMar>
              <w:left w:w="60" w:type="dxa"/>
              <w:right w:w="60" w:type="dxa"/>
            </w:tcMar>
            <w:vAlign w:val="center"/>
          </w:tcPr>
          <w:p w14:paraId="38830CC4" w14:textId="77777777" w:rsidR="00576FE1" w:rsidRPr="003E3A66" w:rsidRDefault="00576FE1" w:rsidP="00115CD6">
            <w:pPr>
              <w:keepNext/>
              <w:adjustRightInd w:val="0"/>
              <w:spacing w:after="0" w:line="240" w:lineRule="auto"/>
              <w:jc w:val="center"/>
            </w:pPr>
            <w:r w:rsidRPr="003E3A66">
              <w:t>3 (1.2%)</w:t>
            </w:r>
          </w:p>
        </w:tc>
        <w:tc>
          <w:tcPr>
            <w:tcW w:w="2036" w:type="dxa"/>
            <w:tcBorders>
              <w:top w:val="nil"/>
              <w:left w:val="nil"/>
              <w:bottom w:val="nil"/>
              <w:right w:val="nil"/>
            </w:tcBorders>
            <w:shd w:val="clear" w:color="auto" w:fill="FFFFFF"/>
            <w:tcMar>
              <w:left w:w="60" w:type="dxa"/>
              <w:right w:w="60" w:type="dxa"/>
            </w:tcMar>
            <w:vAlign w:val="center"/>
          </w:tcPr>
          <w:p w14:paraId="168D939F" w14:textId="77777777" w:rsidR="00576FE1" w:rsidRPr="003E3A66" w:rsidRDefault="00576FE1" w:rsidP="00115CD6">
            <w:pPr>
              <w:keepNext/>
              <w:adjustRightInd w:val="0"/>
              <w:spacing w:after="0" w:line="240" w:lineRule="auto"/>
              <w:jc w:val="center"/>
            </w:pPr>
            <w:r w:rsidRPr="003E3A66">
              <w:t>0 (0.0%)</w:t>
            </w:r>
          </w:p>
        </w:tc>
        <w:tc>
          <w:tcPr>
            <w:tcW w:w="1649" w:type="dxa"/>
            <w:tcBorders>
              <w:top w:val="nil"/>
              <w:left w:val="nil"/>
              <w:bottom w:val="nil"/>
              <w:right w:val="nil"/>
            </w:tcBorders>
            <w:shd w:val="clear" w:color="auto" w:fill="FFFFFF"/>
            <w:tcMar>
              <w:left w:w="60" w:type="dxa"/>
              <w:right w:w="60" w:type="dxa"/>
            </w:tcMar>
            <w:vAlign w:val="center"/>
          </w:tcPr>
          <w:p w14:paraId="5064FB20" w14:textId="77777777" w:rsidR="00576FE1" w:rsidRPr="003E3A66" w:rsidRDefault="00576FE1" w:rsidP="00115CD6">
            <w:pPr>
              <w:keepNext/>
              <w:adjustRightInd w:val="0"/>
              <w:spacing w:after="0" w:line="240" w:lineRule="auto"/>
              <w:jc w:val="center"/>
            </w:pPr>
            <w:r w:rsidRPr="003E3A66">
              <w:t>3 (0.6%)</w:t>
            </w:r>
          </w:p>
        </w:tc>
      </w:tr>
      <w:tr w:rsidR="00576FE1" w:rsidRPr="003E3A66" w14:paraId="1C9B32F5" w14:textId="77777777" w:rsidTr="00115CD6">
        <w:trPr>
          <w:cantSplit/>
          <w:trHeight w:val="485"/>
          <w:jc w:val="center"/>
        </w:trPr>
        <w:tc>
          <w:tcPr>
            <w:tcW w:w="3828" w:type="dxa"/>
            <w:tcBorders>
              <w:top w:val="nil"/>
              <w:left w:val="nil"/>
              <w:bottom w:val="nil"/>
              <w:right w:val="nil"/>
            </w:tcBorders>
            <w:shd w:val="clear" w:color="auto" w:fill="FFFFFF"/>
            <w:tcMar>
              <w:left w:w="60" w:type="dxa"/>
              <w:right w:w="60" w:type="dxa"/>
            </w:tcMar>
            <w:vAlign w:val="center"/>
          </w:tcPr>
          <w:p w14:paraId="00C8C8F7" w14:textId="77777777" w:rsidR="00576FE1" w:rsidRPr="003E3A66" w:rsidRDefault="00576FE1" w:rsidP="00115CD6">
            <w:pPr>
              <w:keepNext/>
              <w:adjustRightInd w:val="0"/>
              <w:spacing w:after="0" w:line="240" w:lineRule="auto"/>
              <w:rPr>
                <w:b/>
              </w:rPr>
            </w:pPr>
            <w:r w:rsidRPr="003E3A66">
              <w:rPr>
                <w:b/>
              </w:rPr>
              <w:t>Vascular disorders</w:t>
            </w:r>
          </w:p>
        </w:tc>
        <w:tc>
          <w:tcPr>
            <w:tcW w:w="1554" w:type="dxa"/>
            <w:tcBorders>
              <w:top w:val="nil"/>
              <w:left w:val="nil"/>
              <w:bottom w:val="nil"/>
              <w:right w:val="nil"/>
            </w:tcBorders>
            <w:shd w:val="clear" w:color="auto" w:fill="FFFFFF"/>
            <w:tcMar>
              <w:left w:w="60" w:type="dxa"/>
              <w:right w:w="60" w:type="dxa"/>
            </w:tcMar>
            <w:vAlign w:val="center"/>
          </w:tcPr>
          <w:p w14:paraId="31D26DAB" w14:textId="77777777" w:rsidR="00576FE1" w:rsidRPr="003E3A66" w:rsidRDefault="00576FE1" w:rsidP="00115CD6">
            <w:pPr>
              <w:keepNext/>
              <w:adjustRightInd w:val="0"/>
              <w:spacing w:after="0" w:line="240" w:lineRule="auto"/>
              <w:jc w:val="center"/>
              <w:rPr>
                <w:b/>
              </w:rPr>
            </w:pPr>
            <w:r w:rsidRPr="003E3A66">
              <w:rPr>
                <w:b/>
              </w:rPr>
              <w:t>6 (2.5%)</w:t>
            </w:r>
          </w:p>
        </w:tc>
        <w:tc>
          <w:tcPr>
            <w:tcW w:w="2036" w:type="dxa"/>
            <w:tcBorders>
              <w:top w:val="nil"/>
              <w:left w:val="nil"/>
              <w:bottom w:val="nil"/>
              <w:right w:val="nil"/>
            </w:tcBorders>
            <w:shd w:val="clear" w:color="auto" w:fill="FFFFFF"/>
            <w:tcMar>
              <w:left w:w="60" w:type="dxa"/>
              <w:right w:w="60" w:type="dxa"/>
            </w:tcMar>
            <w:vAlign w:val="center"/>
          </w:tcPr>
          <w:p w14:paraId="70C60CF7" w14:textId="77777777" w:rsidR="00576FE1" w:rsidRPr="003E3A66" w:rsidRDefault="00576FE1" w:rsidP="00115CD6">
            <w:pPr>
              <w:keepNext/>
              <w:adjustRightInd w:val="0"/>
              <w:spacing w:after="0" w:line="240" w:lineRule="auto"/>
              <w:jc w:val="center"/>
              <w:rPr>
                <w:b/>
              </w:rPr>
            </w:pPr>
            <w:r w:rsidRPr="003E3A66">
              <w:rPr>
                <w:b/>
              </w:rPr>
              <w:t>4 (1.7%)</w:t>
            </w:r>
          </w:p>
        </w:tc>
        <w:tc>
          <w:tcPr>
            <w:tcW w:w="1649" w:type="dxa"/>
            <w:tcBorders>
              <w:top w:val="nil"/>
              <w:left w:val="nil"/>
              <w:bottom w:val="nil"/>
              <w:right w:val="nil"/>
            </w:tcBorders>
            <w:shd w:val="clear" w:color="auto" w:fill="FFFFFF"/>
            <w:tcMar>
              <w:left w:w="60" w:type="dxa"/>
              <w:right w:w="60" w:type="dxa"/>
            </w:tcMar>
            <w:vAlign w:val="center"/>
          </w:tcPr>
          <w:p w14:paraId="78EC4EE2" w14:textId="77777777" w:rsidR="00576FE1" w:rsidRPr="003E3A66" w:rsidRDefault="00576FE1" w:rsidP="00115CD6">
            <w:pPr>
              <w:keepNext/>
              <w:adjustRightInd w:val="0"/>
              <w:spacing w:after="0" w:line="240" w:lineRule="auto"/>
              <w:jc w:val="center"/>
              <w:rPr>
                <w:b/>
              </w:rPr>
            </w:pPr>
            <w:r w:rsidRPr="003E3A66">
              <w:rPr>
                <w:b/>
              </w:rPr>
              <w:t>10 (2.1%)</w:t>
            </w:r>
          </w:p>
        </w:tc>
      </w:tr>
      <w:tr w:rsidR="00576FE1" w:rsidRPr="003E3A66" w14:paraId="1DE8CC45" w14:textId="77777777" w:rsidTr="00115CD6">
        <w:trPr>
          <w:cantSplit/>
          <w:jc w:val="center"/>
        </w:trPr>
        <w:tc>
          <w:tcPr>
            <w:tcW w:w="3828" w:type="dxa"/>
            <w:tcBorders>
              <w:top w:val="nil"/>
              <w:left w:val="nil"/>
              <w:bottom w:val="nil"/>
              <w:right w:val="nil"/>
            </w:tcBorders>
            <w:shd w:val="clear" w:color="auto" w:fill="FFFFFF"/>
            <w:tcMar>
              <w:left w:w="60" w:type="dxa"/>
              <w:right w:w="60" w:type="dxa"/>
            </w:tcMar>
          </w:tcPr>
          <w:p w14:paraId="08FEA86A" w14:textId="77777777" w:rsidR="00576FE1" w:rsidRPr="003E3A66" w:rsidRDefault="00576FE1" w:rsidP="00115CD6">
            <w:pPr>
              <w:keepNext/>
              <w:adjustRightInd w:val="0"/>
              <w:spacing w:after="0" w:line="240" w:lineRule="auto"/>
              <w:ind w:hanging="209"/>
            </w:pPr>
            <w:r w:rsidRPr="003E3A66">
              <w:t xml:space="preserve">    Hypertension</w:t>
            </w:r>
          </w:p>
        </w:tc>
        <w:tc>
          <w:tcPr>
            <w:tcW w:w="1554" w:type="dxa"/>
            <w:tcBorders>
              <w:top w:val="nil"/>
              <w:left w:val="nil"/>
              <w:bottom w:val="nil"/>
              <w:right w:val="nil"/>
            </w:tcBorders>
            <w:shd w:val="clear" w:color="auto" w:fill="FFFFFF"/>
            <w:tcMar>
              <w:left w:w="60" w:type="dxa"/>
              <w:right w:w="60" w:type="dxa"/>
            </w:tcMar>
            <w:vAlign w:val="center"/>
          </w:tcPr>
          <w:p w14:paraId="2C8FA1F5" w14:textId="77777777" w:rsidR="00576FE1" w:rsidRPr="003E3A66" w:rsidRDefault="00576FE1" w:rsidP="00115CD6">
            <w:pPr>
              <w:keepNext/>
              <w:adjustRightInd w:val="0"/>
              <w:spacing w:after="0" w:line="240" w:lineRule="auto"/>
              <w:jc w:val="center"/>
            </w:pPr>
            <w:r w:rsidRPr="003E3A66">
              <w:t>3 (1.2%)</w:t>
            </w:r>
          </w:p>
        </w:tc>
        <w:tc>
          <w:tcPr>
            <w:tcW w:w="2036" w:type="dxa"/>
            <w:tcBorders>
              <w:top w:val="nil"/>
              <w:left w:val="nil"/>
              <w:bottom w:val="nil"/>
              <w:right w:val="nil"/>
            </w:tcBorders>
            <w:shd w:val="clear" w:color="auto" w:fill="FFFFFF"/>
            <w:tcMar>
              <w:left w:w="60" w:type="dxa"/>
              <w:right w:w="60" w:type="dxa"/>
            </w:tcMar>
            <w:vAlign w:val="center"/>
          </w:tcPr>
          <w:p w14:paraId="1D44F75E" w14:textId="77777777" w:rsidR="00576FE1" w:rsidRPr="003E3A66" w:rsidRDefault="00576FE1" w:rsidP="00115CD6">
            <w:pPr>
              <w:keepNext/>
              <w:adjustRightInd w:val="0"/>
              <w:spacing w:after="0" w:line="240" w:lineRule="auto"/>
              <w:jc w:val="center"/>
            </w:pPr>
            <w:r w:rsidRPr="003E3A66">
              <w:t>4 (1.7%)</w:t>
            </w:r>
          </w:p>
        </w:tc>
        <w:tc>
          <w:tcPr>
            <w:tcW w:w="1649" w:type="dxa"/>
            <w:tcBorders>
              <w:top w:val="nil"/>
              <w:left w:val="nil"/>
              <w:bottom w:val="nil"/>
              <w:right w:val="nil"/>
            </w:tcBorders>
            <w:shd w:val="clear" w:color="auto" w:fill="FFFFFF"/>
            <w:tcMar>
              <w:left w:w="60" w:type="dxa"/>
              <w:right w:w="60" w:type="dxa"/>
            </w:tcMar>
            <w:vAlign w:val="center"/>
          </w:tcPr>
          <w:p w14:paraId="79D28FEF" w14:textId="77777777" w:rsidR="00576FE1" w:rsidRPr="003E3A66" w:rsidRDefault="00576FE1" w:rsidP="00115CD6">
            <w:pPr>
              <w:keepNext/>
              <w:adjustRightInd w:val="0"/>
              <w:spacing w:after="0" w:line="240" w:lineRule="auto"/>
              <w:jc w:val="center"/>
            </w:pPr>
            <w:r w:rsidRPr="003E3A66">
              <w:t>7 (1.4%)</w:t>
            </w:r>
          </w:p>
        </w:tc>
      </w:tr>
      <w:tr w:rsidR="00576FE1" w:rsidRPr="003E3A66" w14:paraId="24250A6F" w14:textId="77777777" w:rsidTr="00115CD6">
        <w:trPr>
          <w:cantSplit/>
          <w:trHeight w:val="73"/>
          <w:jc w:val="center"/>
        </w:trPr>
        <w:tc>
          <w:tcPr>
            <w:tcW w:w="3828" w:type="dxa"/>
            <w:tcBorders>
              <w:top w:val="nil"/>
              <w:left w:val="nil"/>
              <w:right w:val="nil"/>
            </w:tcBorders>
            <w:shd w:val="clear" w:color="auto" w:fill="FFFFFF"/>
            <w:tcMar>
              <w:left w:w="60" w:type="dxa"/>
              <w:right w:w="60" w:type="dxa"/>
            </w:tcMar>
          </w:tcPr>
          <w:p w14:paraId="06F14411" w14:textId="77777777" w:rsidR="00576FE1" w:rsidRPr="001224D4" w:rsidRDefault="00576FE1" w:rsidP="00115CD6">
            <w:pPr>
              <w:keepNext/>
              <w:adjustRightInd w:val="0"/>
              <w:spacing w:after="0" w:line="240" w:lineRule="auto"/>
              <w:rPr>
                <w:sz w:val="6"/>
                <w:szCs w:val="6"/>
              </w:rPr>
            </w:pPr>
          </w:p>
        </w:tc>
        <w:tc>
          <w:tcPr>
            <w:tcW w:w="1554" w:type="dxa"/>
            <w:tcBorders>
              <w:top w:val="nil"/>
              <w:left w:val="nil"/>
              <w:right w:val="nil"/>
            </w:tcBorders>
            <w:shd w:val="clear" w:color="auto" w:fill="FFFFFF"/>
            <w:tcMar>
              <w:left w:w="60" w:type="dxa"/>
              <w:right w:w="60" w:type="dxa"/>
            </w:tcMar>
            <w:vAlign w:val="center"/>
          </w:tcPr>
          <w:p w14:paraId="70CD0136" w14:textId="77777777" w:rsidR="00576FE1" w:rsidRPr="001224D4" w:rsidRDefault="00576FE1" w:rsidP="00115CD6">
            <w:pPr>
              <w:keepNext/>
              <w:adjustRightInd w:val="0"/>
              <w:spacing w:after="0" w:line="240" w:lineRule="auto"/>
              <w:jc w:val="center"/>
              <w:rPr>
                <w:sz w:val="6"/>
                <w:szCs w:val="6"/>
              </w:rPr>
            </w:pPr>
          </w:p>
        </w:tc>
        <w:tc>
          <w:tcPr>
            <w:tcW w:w="2036" w:type="dxa"/>
            <w:tcBorders>
              <w:top w:val="nil"/>
              <w:left w:val="nil"/>
              <w:right w:val="nil"/>
            </w:tcBorders>
            <w:shd w:val="clear" w:color="auto" w:fill="FFFFFF"/>
            <w:tcMar>
              <w:left w:w="60" w:type="dxa"/>
              <w:right w:w="60" w:type="dxa"/>
            </w:tcMar>
            <w:vAlign w:val="center"/>
          </w:tcPr>
          <w:p w14:paraId="03B467F0" w14:textId="77777777" w:rsidR="00576FE1" w:rsidRPr="001224D4" w:rsidRDefault="00576FE1" w:rsidP="00115CD6">
            <w:pPr>
              <w:keepNext/>
              <w:adjustRightInd w:val="0"/>
              <w:spacing w:after="0" w:line="240" w:lineRule="auto"/>
              <w:jc w:val="center"/>
              <w:rPr>
                <w:sz w:val="6"/>
                <w:szCs w:val="6"/>
              </w:rPr>
            </w:pPr>
          </w:p>
        </w:tc>
        <w:tc>
          <w:tcPr>
            <w:tcW w:w="1649" w:type="dxa"/>
            <w:tcBorders>
              <w:top w:val="nil"/>
              <w:left w:val="nil"/>
              <w:right w:val="nil"/>
            </w:tcBorders>
            <w:shd w:val="clear" w:color="auto" w:fill="FFFFFF"/>
            <w:tcMar>
              <w:left w:w="60" w:type="dxa"/>
              <w:right w:w="60" w:type="dxa"/>
            </w:tcMar>
            <w:vAlign w:val="center"/>
          </w:tcPr>
          <w:p w14:paraId="3B040448" w14:textId="77777777" w:rsidR="00576FE1" w:rsidRPr="001224D4" w:rsidRDefault="00576FE1" w:rsidP="00115CD6">
            <w:pPr>
              <w:keepNext/>
              <w:adjustRightInd w:val="0"/>
              <w:spacing w:after="0" w:line="240" w:lineRule="auto"/>
              <w:jc w:val="center"/>
              <w:rPr>
                <w:sz w:val="6"/>
                <w:szCs w:val="6"/>
              </w:rPr>
            </w:pPr>
          </w:p>
        </w:tc>
      </w:tr>
    </w:tbl>
    <w:p w14:paraId="3C0E1AB8" w14:textId="3FDFC171" w:rsidR="00576FE1" w:rsidRPr="0011227C" w:rsidRDefault="00576FE1" w:rsidP="00800E62">
      <w:pPr>
        <w:ind w:left="284"/>
        <w:rPr>
          <w:lang w:val="en-GB"/>
        </w:rPr>
      </w:pPr>
      <w:r w:rsidRPr="0011227C">
        <w:rPr>
          <w:i/>
          <w:sz w:val="18"/>
          <w:szCs w:val="18"/>
          <w:lang w:val="en-GB"/>
        </w:rPr>
        <w:t>(</w:t>
      </w:r>
      <w:r w:rsidRPr="0011227C">
        <w:rPr>
          <w:i/>
          <w:sz w:val="18"/>
          <w:szCs w:val="18"/>
          <w:u w:val="single"/>
          <w:lang w:val="en-GB"/>
        </w:rPr>
        <w:t>Cross reference</w:t>
      </w:r>
      <w:r w:rsidRPr="0011227C">
        <w:rPr>
          <w:i/>
          <w:sz w:val="18"/>
          <w:szCs w:val="18"/>
          <w:lang w:val="en-GB"/>
        </w:rPr>
        <w:t xml:space="preserve">: </w:t>
      </w:r>
      <w:r>
        <w:rPr>
          <w:i/>
          <w:sz w:val="18"/>
          <w:szCs w:val="18"/>
          <w:lang w:val="en-GB"/>
        </w:rPr>
        <w:t>Table 164</w:t>
      </w:r>
      <w:r w:rsidRPr="0011227C">
        <w:rPr>
          <w:i/>
          <w:sz w:val="18"/>
          <w:szCs w:val="18"/>
          <w:lang w:val="en-GB"/>
        </w:rPr>
        <w:t xml:space="preserve"> of Final Analysis Statistical Report dated </w:t>
      </w:r>
      <w:r w:rsidR="001B1571">
        <w:rPr>
          <w:i/>
          <w:sz w:val="18"/>
          <w:szCs w:val="18"/>
          <w:lang w:val="en-GB"/>
        </w:rPr>
        <w:t>4</w:t>
      </w:r>
      <w:r w:rsidR="001B1571" w:rsidRPr="001B1571">
        <w:rPr>
          <w:i/>
          <w:sz w:val="18"/>
          <w:szCs w:val="18"/>
          <w:vertAlign w:val="superscript"/>
          <w:lang w:val="en-GB"/>
        </w:rPr>
        <w:t>th</w:t>
      </w:r>
      <w:r w:rsidR="001B1571">
        <w:rPr>
          <w:i/>
          <w:sz w:val="18"/>
          <w:szCs w:val="18"/>
          <w:lang w:val="en-GB"/>
        </w:rPr>
        <w:t xml:space="preserve"> September</w:t>
      </w:r>
      <w:r w:rsidRPr="0011227C">
        <w:rPr>
          <w:i/>
          <w:sz w:val="18"/>
          <w:szCs w:val="18"/>
          <w:lang w:val="en-GB"/>
        </w:rPr>
        <w:t xml:space="preserve"> 2020).</w:t>
      </w:r>
      <w:r w:rsidRPr="0011227C">
        <w:rPr>
          <w:lang w:val="en-GB"/>
        </w:rPr>
        <w:br w:type="page"/>
      </w:r>
    </w:p>
    <w:p w14:paraId="0423C8E2" w14:textId="74DCEBE6" w:rsidR="00576FE1" w:rsidRDefault="00576FE1" w:rsidP="00800E62">
      <w:pPr>
        <w:pStyle w:val="Descripcin"/>
        <w:keepNext/>
        <w:outlineLvl w:val="0"/>
      </w:pPr>
      <w:bookmarkStart w:id="681" w:name="_Ref52424987"/>
      <w:bookmarkStart w:id="682" w:name="_Toc52046494"/>
      <w:bookmarkStart w:id="683" w:name="_Toc52446217"/>
      <w:bookmarkStart w:id="684" w:name="_Toc52468174"/>
      <w:r>
        <w:lastRenderedPageBreak/>
        <w:t xml:space="preserve">Table </w:t>
      </w:r>
      <w:r>
        <w:fldChar w:fldCharType="begin"/>
      </w:r>
      <w:r>
        <w:instrText xml:space="preserve"> SEQ Table \* ARABIC </w:instrText>
      </w:r>
      <w:r>
        <w:fldChar w:fldCharType="separate"/>
      </w:r>
      <w:r w:rsidR="002221CF">
        <w:rPr>
          <w:noProof/>
        </w:rPr>
        <w:t>16</w:t>
      </w:r>
      <w:r>
        <w:fldChar w:fldCharType="end"/>
      </w:r>
      <w:bookmarkEnd w:id="681"/>
      <w:r>
        <w:t xml:space="preserve">. </w:t>
      </w:r>
      <w:r w:rsidRPr="00EA592B">
        <w:t>Toxicity summary for IMP-related CTCAE grade ≥ 3 TEAEs reported for &gt;1% of patients in any study group (Safety population).</w:t>
      </w:r>
      <w:bookmarkEnd w:id="682"/>
      <w:bookmarkEnd w:id="683"/>
      <w:bookmarkEnd w:id="684"/>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69"/>
        <w:gridCol w:w="1701"/>
        <w:gridCol w:w="1656"/>
        <w:gridCol w:w="1463"/>
      </w:tblGrid>
      <w:tr w:rsidR="00576FE1" w:rsidRPr="005C01C5" w14:paraId="79FA0F88" w14:textId="77777777" w:rsidTr="00800E62">
        <w:trPr>
          <w:cantSplit/>
          <w:tblHeader/>
        </w:trPr>
        <w:tc>
          <w:tcPr>
            <w:tcW w:w="3969" w:type="dxa"/>
            <w:tcBorders>
              <w:left w:val="nil"/>
              <w:bottom w:val="single" w:sz="4" w:space="0" w:color="auto"/>
              <w:right w:val="nil"/>
            </w:tcBorders>
            <w:shd w:val="clear" w:color="auto" w:fill="FFFFFF"/>
            <w:tcMar>
              <w:top w:w="0" w:type="dxa"/>
              <w:left w:w="60" w:type="dxa"/>
              <w:bottom w:w="0" w:type="dxa"/>
              <w:right w:w="60" w:type="dxa"/>
            </w:tcMar>
            <w:vAlign w:val="center"/>
          </w:tcPr>
          <w:p w14:paraId="6BDE36E1" w14:textId="77777777" w:rsidR="00576FE1" w:rsidRDefault="00576FE1" w:rsidP="00115CD6">
            <w:pPr>
              <w:keepNext/>
              <w:adjustRightInd w:val="0"/>
              <w:spacing w:after="0" w:line="240" w:lineRule="auto"/>
              <w:rPr>
                <w:b/>
                <w:bCs/>
                <w:color w:val="000000"/>
                <w:lang w:val="en-GB"/>
              </w:rPr>
            </w:pPr>
            <w:r>
              <w:rPr>
                <w:b/>
                <w:bCs/>
                <w:color w:val="000000"/>
                <w:lang w:val="en-GB"/>
              </w:rPr>
              <w:t>SOC / PT</w:t>
            </w:r>
          </w:p>
          <w:p w14:paraId="46EC3918" w14:textId="77777777" w:rsidR="00576FE1" w:rsidRPr="005C01C5" w:rsidRDefault="00576FE1" w:rsidP="00115CD6">
            <w:pPr>
              <w:keepNext/>
              <w:adjustRightInd w:val="0"/>
              <w:spacing w:after="0" w:line="240" w:lineRule="auto"/>
              <w:rPr>
                <w:bCs/>
                <w:color w:val="000000"/>
                <w:lang w:val="en-GB"/>
              </w:rPr>
            </w:pPr>
            <w:r w:rsidRPr="005C01C5">
              <w:rPr>
                <w:bCs/>
                <w:color w:val="000000"/>
                <w:lang w:val="en-GB"/>
              </w:rPr>
              <w:t>N (%)</w:t>
            </w:r>
          </w:p>
        </w:tc>
        <w:tc>
          <w:tcPr>
            <w:tcW w:w="1701" w:type="dxa"/>
            <w:tcBorders>
              <w:left w:val="nil"/>
              <w:bottom w:val="single" w:sz="4" w:space="0" w:color="auto"/>
              <w:right w:val="nil"/>
            </w:tcBorders>
            <w:shd w:val="clear" w:color="auto" w:fill="FFFFFF"/>
            <w:tcMar>
              <w:top w:w="0" w:type="dxa"/>
              <w:left w:w="60" w:type="dxa"/>
              <w:bottom w:w="0" w:type="dxa"/>
              <w:right w:w="60" w:type="dxa"/>
            </w:tcMar>
            <w:vAlign w:val="center"/>
            <w:hideMark/>
          </w:tcPr>
          <w:p w14:paraId="6F572229" w14:textId="77777777" w:rsidR="00576FE1" w:rsidRPr="005C01C5" w:rsidRDefault="00576FE1" w:rsidP="00115CD6">
            <w:pPr>
              <w:keepNext/>
              <w:adjustRightInd w:val="0"/>
              <w:spacing w:after="0" w:line="240" w:lineRule="auto"/>
              <w:jc w:val="center"/>
              <w:rPr>
                <w:b/>
                <w:bCs/>
                <w:color w:val="000000"/>
              </w:rPr>
            </w:pPr>
            <w:r w:rsidRPr="005C01C5">
              <w:rPr>
                <w:b/>
                <w:bCs/>
                <w:color w:val="000000"/>
              </w:rPr>
              <w:t>Palbociclib-</w:t>
            </w:r>
          </w:p>
          <w:p w14:paraId="7CC673EE" w14:textId="77777777" w:rsidR="00576FE1" w:rsidRPr="005C01C5" w:rsidRDefault="00576FE1" w:rsidP="00115CD6">
            <w:pPr>
              <w:keepNext/>
              <w:adjustRightInd w:val="0"/>
              <w:spacing w:after="0" w:line="240" w:lineRule="auto"/>
              <w:jc w:val="center"/>
              <w:rPr>
                <w:b/>
                <w:bCs/>
                <w:color w:val="000000"/>
              </w:rPr>
            </w:pPr>
            <w:proofErr w:type="spellStart"/>
            <w:r w:rsidRPr="005C01C5">
              <w:rPr>
                <w:b/>
                <w:bCs/>
                <w:color w:val="000000"/>
              </w:rPr>
              <w:t>Fulvestrant</w:t>
            </w:r>
            <w:proofErr w:type="spellEnd"/>
            <w:r w:rsidRPr="005C01C5">
              <w:rPr>
                <w:b/>
                <w:bCs/>
                <w:color w:val="000000"/>
              </w:rPr>
              <w:t xml:space="preserve"> </w:t>
            </w:r>
          </w:p>
          <w:p w14:paraId="645A672C" w14:textId="77777777" w:rsidR="00576FE1" w:rsidRPr="001224D4" w:rsidRDefault="00576FE1" w:rsidP="00115CD6">
            <w:pPr>
              <w:keepNext/>
              <w:adjustRightInd w:val="0"/>
              <w:spacing w:after="0" w:line="240" w:lineRule="auto"/>
              <w:jc w:val="center"/>
              <w:rPr>
                <w:bCs/>
                <w:color w:val="000000"/>
              </w:rPr>
            </w:pPr>
            <w:r w:rsidRPr="001224D4">
              <w:rPr>
                <w:bCs/>
                <w:color w:val="000000"/>
              </w:rPr>
              <w:t>(N=241)</w:t>
            </w:r>
          </w:p>
        </w:tc>
        <w:tc>
          <w:tcPr>
            <w:tcW w:w="1656" w:type="dxa"/>
            <w:tcBorders>
              <w:left w:val="nil"/>
              <w:bottom w:val="single" w:sz="4" w:space="0" w:color="auto"/>
              <w:right w:val="nil"/>
            </w:tcBorders>
            <w:shd w:val="clear" w:color="auto" w:fill="FFFFFF"/>
            <w:tcMar>
              <w:top w:w="0" w:type="dxa"/>
              <w:left w:w="60" w:type="dxa"/>
              <w:bottom w:w="0" w:type="dxa"/>
              <w:right w:w="60" w:type="dxa"/>
            </w:tcMar>
            <w:vAlign w:val="center"/>
            <w:hideMark/>
          </w:tcPr>
          <w:p w14:paraId="7B34EA9B" w14:textId="77777777" w:rsidR="00576FE1" w:rsidRPr="005C01C5" w:rsidRDefault="00576FE1" w:rsidP="00115CD6">
            <w:pPr>
              <w:keepNext/>
              <w:adjustRightInd w:val="0"/>
              <w:spacing w:after="0" w:line="240" w:lineRule="auto"/>
              <w:jc w:val="center"/>
              <w:rPr>
                <w:b/>
                <w:bCs/>
                <w:color w:val="000000"/>
              </w:rPr>
            </w:pPr>
            <w:r w:rsidRPr="005C01C5">
              <w:rPr>
                <w:b/>
                <w:bCs/>
                <w:color w:val="000000"/>
              </w:rPr>
              <w:t>Palbociclib-</w:t>
            </w:r>
          </w:p>
          <w:p w14:paraId="38194487" w14:textId="77777777" w:rsidR="00576FE1" w:rsidRPr="005C01C5" w:rsidRDefault="00576FE1" w:rsidP="00115CD6">
            <w:pPr>
              <w:keepNext/>
              <w:adjustRightInd w:val="0"/>
              <w:spacing w:after="0" w:line="240" w:lineRule="auto"/>
              <w:jc w:val="center"/>
              <w:rPr>
                <w:b/>
                <w:bCs/>
                <w:color w:val="000000"/>
              </w:rPr>
            </w:pPr>
            <w:r w:rsidRPr="005C01C5">
              <w:rPr>
                <w:b/>
                <w:bCs/>
                <w:color w:val="000000"/>
              </w:rPr>
              <w:t xml:space="preserve">Letrozole </w:t>
            </w:r>
          </w:p>
          <w:p w14:paraId="3C66D193" w14:textId="77777777" w:rsidR="00576FE1" w:rsidRPr="001224D4" w:rsidRDefault="00576FE1" w:rsidP="00115CD6">
            <w:pPr>
              <w:keepNext/>
              <w:adjustRightInd w:val="0"/>
              <w:spacing w:after="0" w:line="240" w:lineRule="auto"/>
              <w:jc w:val="center"/>
              <w:rPr>
                <w:bCs/>
                <w:color w:val="000000"/>
              </w:rPr>
            </w:pPr>
            <w:r w:rsidRPr="001224D4">
              <w:rPr>
                <w:bCs/>
                <w:color w:val="000000"/>
              </w:rPr>
              <w:t>(N=242)</w:t>
            </w:r>
          </w:p>
        </w:tc>
        <w:tc>
          <w:tcPr>
            <w:tcW w:w="1463" w:type="dxa"/>
            <w:tcBorders>
              <w:left w:val="nil"/>
              <w:bottom w:val="single" w:sz="4" w:space="0" w:color="auto"/>
              <w:right w:val="nil"/>
            </w:tcBorders>
            <w:shd w:val="clear" w:color="auto" w:fill="FFFFFF"/>
            <w:tcMar>
              <w:top w:w="0" w:type="dxa"/>
              <w:left w:w="60" w:type="dxa"/>
              <w:bottom w:w="0" w:type="dxa"/>
              <w:right w:w="60" w:type="dxa"/>
            </w:tcMar>
            <w:vAlign w:val="center"/>
            <w:hideMark/>
          </w:tcPr>
          <w:p w14:paraId="4F82C8C5" w14:textId="77777777" w:rsidR="00576FE1" w:rsidRPr="005C01C5" w:rsidRDefault="00576FE1" w:rsidP="00115CD6">
            <w:pPr>
              <w:keepNext/>
              <w:adjustRightInd w:val="0"/>
              <w:spacing w:after="0" w:line="240" w:lineRule="auto"/>
              <w:jc w:val="center"/>
              <w:rPr>
                <w:b/>
                <w:bCs/>
                <w:color w:val="000000"/>
              </w:rPr>
            </w:pPr>
            <w:r w:rsidRPr="005C01C5">
              <w:rPr>
                <w:b/>
                <w:bCs/>
                <w:color w:val="000000"/>
              </w:rPr>
              <w:t xml:space="preserve">Overall </w:t>
            </w:r>
          </w:p>
          <w:p w14:paraId="675D1BA2" w14:textId="77777777" w:rsidR="00576FE1" w:rsidRPr="001224D4" w:rsidRDefault="00576FE1" w:rsidP="00115CD6">
            <w:pPr>
              <w:keepNext/>
              <w:adjustRightInd w:val="0"/>
              <w:spacing w:after="0" w:line="240" w:lineRule="auto"/>
              <w:jc w:val="center"/>
              <w:rPr>
                <w:bCs/>
                <w:color w:val="000000"/>
              </w:rPr>
            </w:pPr>
            <w:r w:rsidRPr="001224D4">
              <w:rPr>
                <w:bCs/>
                <w:color w:val="000000"/>
              </w:rPr>
              <w:t>(N=483)</w:t>
            </w:r>
          </w:p>
        </w:tc>
      </w:tr>
      <w:tr w:rsidR="00576FE1" w:rsidRPr="005C01C5" w14:paraId="6629FB0C" w14:textId="77777777" w:rsidTr="00800E62">
        <w:trPr>
          <w:cantSplit/>
          <w:trHeight w:val="414"/>
        </w:trPr>
        <w:tc>
          <w:tcPr>
            <w:tcW w:w="3969" w:type="dxa"/>
            <w:tcBorders>
              <w:left w:val="nil"/>
              <w:bottom w:val="nil"/>
              <w:right w:val="nil"/>
            </w:tcBorders>
            <w:shd w:val="clear" w:color="auto" w:fill="FFFFFF"/>
            <w:tcMar>
              <w:top w:w="0" w:type="dxa"/>
              <w:left w:w="60" w:type="dxa"/>
              <w:bottom w:w="0" w:type="dxa"/>
              <w:right w:w="60" w:type="dxa"/>
            </w:tcMar>
            <w:vAlign w:val="center"/>
            <w:hideMark/>
          </w:tcPr>
          <w:p w14:paraId="0932D403" w14:textId="77777777" w:rsidR="00576FE1" w:rsidRPr="005C01C5" w:rsidRDefault="00576FE1" w:rsidP="00115CD6">
            <w:pPr>
              <w:keepNext/>
              <w:adjustRightInd w:val="0"/>
              <w:spacing w:after="0" w:line="240" w:lineRule="auto"/>
              <w:rPr>
                <w:b/>
                <w:color w:val="000000"/>
                <w:lang w:val="en-GB"/>
              </w:rPr>
            </w:pPr>
            <w:r w:rsidRPr="005C01C5">
              <w:rPr>
                <w:b/>
                <w:color w:val="000000"/>
                <w:lang w:val="en-GB"/>
              </w:rPr>
              <w:t>Blood and lymphatic system disorders</w:t>
            </w:r>
          </w:p>
        </w:tc>
        <w:tc>
          <w:tcPr>
            <w:tcW w:w="1701" w:type="dxa"/>
            <w:tcBorders>
              <w:left w:val="nil"/>
              <w:bottom w:val="nil"/>
              <w:right w:val="nil"/>
            </w:tcBorders>
            <w:shd w:val="clear" w:color="auto" w:fill="FFFFFF"/>
            <w:tcMar>
              <w:top w:w="0" w:type="dxa"/>
              <w:left w:w="60" w:type="dxa"/>
              <w:bottom w:w="0" w:type="dxa"/>
              <w:right w:w="60" w:type="dxa"/>
            </w:tcMar>
            <w:vAlign w:val="center"/>
            <w:hideMark/>
          </w:tcPr>
          <w:p w14:paraId="7DFC3773" w14:textId="77777777" w:rsidR="00576FE1" w:rsidRPr="005C01C5" w:rsidRDefault="00576FE1" w:rsidP="00115CD6">
            <w:pPr>
              <w:keepNext/>
              <w:adjustRightInd w:val="0"/>
              <w:spacing w:after="0" w:line="240" w:lineRule="auto"/>
              <w:jc w:val="center"/>
              <w:rPr>
                <w:b/>
                <w:color w:val="000000"/>
              </w:rPr>
            </w:pPr>
            <w:r w:rsidRPr="005C01C5">
              <w:rPr>
                <w:b/>
                <w:color w:val="000000"/>
              </w:rPr>
              <w:t>159 (66.0%)</w:t>
            </w:r>
          </w:p>
        </w:tc>
        <w:tc>
          <w:tcPr>
            <w:tcW w:w="1656" w:type="dxa"/>
            <w:tcBorders>
              <w:left w:val="nil"/>
              <w:bottom w:val="nil"/>
              <w:right w:val="nil"/>
            </w:tcBorders>
            <w:shd w:val="clear" w:color="auto" w:fill="FFFFFF"/>
            <w:tcMar>
              <w:top w:w="0" w:type="dxa"/>
              <w:left w:w="60" w:type="dxa"/>
              <w:bottom w:w="0" w:type="dxa"/>
              <w:right w:w="60" w:type="dxa"/>
            </w:tcMar>
            <w:vAlign w:val="center"/>
            <w:hideMark/>
          </w:tcPr>
          <w:p w14:paraId="4FE8381A" w14:textId="77777777" w:rsidR="00576FE1" w:rsidRPr="005C01C5" w:rsidRDefault="00576FE1" w:rsidP="00115CD6">
            <w:pPr>
              <w:keepNext/>
              <w:adjustRightInd w:val="0"/>
              <w:spacing w:after="0" w:line="240" w:lineRule="auto"/>
              <w:jc w:val="center"/>
              <w:rPr>
                <w:b/>
                <w:color w:val="000000"/>
              </w:rPr>
            </w:pPr>
            <w:r w:rsidRPr="005C01C5">
              <w:rPr>
                <w:b/>
                <w:color w:val="000000"/>
              </w:rPr>
              <w:t>164 (67.8%)</w:t>
            </w:r>
          </w:p>
        </w:tc>
        <w:tc>
          <w:tcPr>
            <w:tcW w:w="1463" w:type="dxa"/>
            <w:tcBorders>
              <w:left w:val="nil"/>
              <w:bottom w:val="nil"/>
              <w:right w:val="nil"/>
            </w:tcBorders>
            <w:shd w:val="clear" w:color="auto" w:fill="FFFFFF"/>
            <w:tcMar>
              <w:top w:w="0" w:type="dxa"/>
              <w:left w:w="60" w:type="dxa"/>
              <w:bottom w:w="0" w:type="dxa"/>
              <w:right w:w="60" w:type="dxa"/>
            </w:tcMar>
            <w:vAlign w:val="center"/>
            <w:hideMark/>
          </w:tcPr>
          <w:p w14:paraId="1ABD2B11" w14:textId="77777777" w:rsidR="00576FE1" w:rsidRPr="005C01C5" w:rsidRDefault="00576FE1" w:rsidP="00115CD6">
            <w:pPr>
              <w:keepNext/>
              <w:adjustRightInd w:val="0"/>
              <w:spacing w:after="0" w:line="240" w:lineRule="auto"/>
              <w:jc w:val="center"/>
              <w:rPr>
                <w:b/>
                <w:color w:val="000000"/>
              </w:rPr>
            </w:pPr>
            <w:r w:rsidRPr="005C01C5">
              <w:rPr>
                <w:b/>
                <w:color w:val="000000"/>
              </w:rPr>
              <w:t>323 (66.9%)</w:t>
            </w:r>
          </w:p>
        </w:tc>
      </w:tr>
      <w:tr w:rsidR="00576FE1" w:rsidRPr="005C01C5" w14:paraId="1D88C727" w14:textId="77777777" w:rsidTr="00800E62">
        <w:trPr>
          <w:cantSplit/>
        </w:trPr>
        <w:tc>
          <w:tcPr>
            <w:tcW w:w="3969" w:type="dxa"/>
            <w:tcBorders>
              <w:top w:val="nil"/>
              <w:left w:val="nil"/>
              <w:bottom w:val="nil"/>
              <w:right w:val="nil"/>
            </w:tcBorders>
            <w:shd w:val="clear" w:color="auto" w:fill="FFFFFF"/>
            <w:tcMar>
              <w:top w:w="0" w:type="dxa"/>
              <w:left w:w="60" w:type="dxa"/>
              <w:bottom w:w="0" w:type="dxa"/>
              <w:right w:w="60" w:type="dxa"/>
            </w:tcMar>
            <w:vAlign w:val="center"/>
            <w:hideMark/>
          </w:tcPr>
          <w:p w14:paraId="7390ED53" w14:textId="77777777" w:rsidR="00576FE1" w:rsidRPr="005C01C5" w:rsidRDefault="00576FE1" w:rsidP="00115CD6">
            <w:pPr>
              <w:keepNext/>
              <w:adjustRightInd w:val="0"/>
              <w:spacing w:after="0" w:line="240" w:lineRule="auto"/>
              <w:ind w:hanging="209"/>
              <w:rPr>
                <w:color w:val="000000"/>
              </w:rPr>
            </w:pPr>
            <w:r w:rsidRPr="005C01C5">
              <w:rPr>
                <w:color w:val="000000"/>
              </w:rPr>
              <w:t xml:space="preserve">    Neutropenia</w:t>
            </w:r>
          </w:p>
        </w:tc>
        <w:tc>
          <w:tcPr>
            <w:tcW w:w="1701" w:type="dxa"/>
            <w:tcBorders>
              <w:top w:val="nil"/>
              <w:left w:val="nil"/>
              <w:bottom w:val="nil"/>
              <w:right w:val="nil"/>
            </w:tcBorders>
            <w:shd w:val="clear" w:color="auto" w:fill="FFFFFF"/>
            <w:tcMar>
              <w:top w:w="0" w:type="dxa"/>
              <w:left w:w="60" w:type="dxa"/>
              <w:bottom w:w="0" w:type="dxa"/>
              <w:right w:w="60" w:type="dxa"/>
            </w:tcMar>
            <w:vAlign w:val="center"/>
            <w:hideMark/>
          </w:tcPr>
          <w:p w14:paraId="19ED6D8F" w14:textId="77777777" w:rsidR="00576FE1" w:rsidRPr="005C01C5" w:rsidRDefault="00576FE1" w:rsidP="00115CD6">
            <w:pPr>
              <w:keepNext/>
              <w:adjustRightInd w:val="0"/>
              <w:spacing w:after="0" w:line="240" w:lineRule="auto"/>
              <w:jc w:val="center"/>
              <w:rPr>
                <w:color w:val="000000"/>
              </w:rPr>
            </w:pPr>
            <w:r w:rsidRPr="005C01C5">
              <w:rPr>
                <w:color w:val="000000"/>
              </w:rPr>
              <w:t>156 (64.7%)</w:t>
            </w:r>
          </w:p>
        </w:tc>
        <w:tc>
          <w:tcPr>
            <w:tcW w:w="1656" w:type="dxa"/>
            <w:tcBorders>
              <w:top w:val="nil"/>
              <w:left w:val="nil"/>
              <w:bottom w:val="nil"/>
              <w:right w:val="nil"/>
            </w:tcBorders>
            <w:shd w:val="clear" w:color="auto" w:fill="FFFFFF"/>
            <w:tcMar>
              <w:top w:w="0" w:type="dxa"/>
              <w:left w:w="60" w:type="dxa"/>
              <w:bottom w:w="0" w:type="dxa"/>
              <w:right w:w="60" w:type="dxa"/>
            </w:tcMar>
            <w:vAlign w:val="center"/>
            <w:hideMark/>
          </w:tcPr>
          <w:p w14:paraId="4490C9B6" w14:textId="77777777" w:rsidR="00576FE1" w:rsidRPr="005C01C5" w:rsidRDefault="00576FE1" w:rsidP="00115CD6">
            <w:pPr>
              <w:keepNext/>
              <w:adjustRightInd w:val="0"/>
              <w:spacing w:after="0" w:line="240" w:lineRule="auto"/>
              <w:jc w:val="center"/>
              <w:rPr>
                <w:color w:val="000000"/>
              </w:rPr>
            </w:pPr>
            <w:r w:rsidRPr="005C01C5">
              <w:rPr>
                <w:color w:val="000000"/>
              </w:rPr>
              <w:t>164 (67.8%)</w:t>
            </w:r>
          </w:p>
        </w:tc>
        <w:tc>
          <w:tcPr>
            <w:tcW w:w="1463" w:type="dxa"/>
            <w:tcBorders>
              <w:top w:val="nil"/>
              <w:left w:val="nil"/>
              <w:bottom w:val="nil"/>
              <w:right w:val="nil"/>
            </w:tcBorders>
            <w:shd w:val="clear" w:color="auto" w:fill="FFFFFF"/>
            <w:tcMar>
              <w:top w:w="0" w:type="dxa"/>
              <w:left w:w="60" w:type="dxa"/>
              <w:bottom w:w="0" w:type="dxa"/>
              <w:right w:w="60" w:type="dxa"/>
            </w:tcMar>
            <w:vAlign w:val="center"/>
            <w:hideMark/>
          </w:tcPr>
          <w:p w14:paraId="01971EE4" w14:textId="77777777" w:rsidR="00576FE1" w:rsidRPr="005C01C5" w:rsidRDefault="00576FE1" w:rsidP="00115CD6">
            <w:pPr>
              <w:keepNext/>
              <w:adjustRightInd w:val="0"/>
              <w:spacing w:after="0" w:line="240" w:lineRule="auto"/>
              <w:jc w:val="center"/>
              <w:rPr>
                <w:color w:val="000000"/>
              </w:rPr>
            </w:pPr>
            <w:r w:rsidRPr="005C01C5">
              <w:rPr>
                <w:color w:val="000000"/>
              </w:rPr>
              <w:t>320 (66.3%)</w:t>
            </w:r>
          </w:p>
        </w:tc>
      </w:tr>
      <w:tr w:rsidR="00576FE1" w:rsidRPr="005C01C5" w14:paraId="59958ED9" w14:textId="77777777" w:rsidTr="00800E62">
        <w:trPr>
          <w:cantSplit/>
        </w:trPr>
        <w:tc>
          <w:tcPr>
            <w:tcW w:w="3969" w:type="dxa"/>
            <w:tcBorders>
              <w:top w:val="nil"/>
              <w:left w:val="nil"/>
              <w:bottom w:val="nil"/>
              <w:right w:val="nil"/>
            </w:tcBorders>
            <w:shd w:val="clear" w:color="auto" w:fill="FFFFFF"/>
            <w:tcMar>
              <w:top w:w="0" w:type="dxa"/>
              <w:left w:w="60" w:type="dxa"/>
              <w:bottom w:w="0" w:type="dxa"/>
              <w:right w:w="60" w:type="dxa"/>
            </w:tcMar>
            <w:vAlign w:val="center"/>
            <w:hideMark/>
          </w:tcPr>
          <w:p w14:paraId="234CF119" w14:textId="77777777" w:rsidR="00576FE1" w:rsidRPr="005C01C5" w:rsidRDefault="00576FE1" w:rsidP="00115CD6">
            <w:pPr>
              <w:keepNext/>
              <w:adjustRightInd w:val="0"/>
              <w:spacing w:after="0" w:line="240" w:lineRule="auto"/>
              <w:ind w:hanging="209"/>
              <w:rPr>
                <w:color w:val="000000"/>
              </w:rPr>
            </w:pPr>
            <w:r w:rsidRPr="005C01C5">
              <w:rPr>
                <w:color w:val="000000"/>
              </w:rPr>
              <w:t xml:space="preserve">    Leukopenia</w:t>
            </w:r>
          </w:p>
        </w:tc>
        <w:tc>
          <w:tcPr>
            <w:tcW w:w="1701" w:type="dxa"/>
            <w:tcBorders>
              <w:top w:val="nil"/>
              <w:left w:val="nil"/>
              <w:bottom w:val="nil"/>
              <w:right w:val="nil"/>
            </w:tcBorders>
            <w:shd w:val="clear" w:color="auto" w:fill="FFFFFF"/>
            <w:tcMar>
              <w:top w:w="0" w:type="dxa"/>
              <w:left w:w="60" w:type="dxa"/>
              <w:bottom w:w="0" w:type="dxa"/>
              <w:right w:w="60" w:type="dxa"/>
            </w:tcMar>
            <w:vAlign w:val="center"/>
            <w:hideMark/>
          </w:tcPr>
          <w:p w14:paraId="59CA0776" w14:textId="77777777" w:rsidR="00576FE1" w:rsidRPr="005C01C5" w:rsidRDefault="00576FE1" w:rsidP="00115CD6">
            <w:pPr>
              <w:keepNext/>
              <w:adjustRightInd w:val="0"/>
              <w:spacing w:after="0" w:line="240" w:lineRule="auto"/>
              <w:jc w:val="center"/>
              <w:rPr>
                <w:color w:val="000000"/>
              </w:rPr>
            </w:pPr>
            <w:r w:rsidRPr="005C01C5">
              <w:rPr>
                <w:color w:val="000000"/>
              </w:rPr>
              <w:t>17 (7.1%)</w:t>
            </w:r>
          </w:p>
        </w:tc>
        <w:tc>
          <w:tcPr>
            <w:tcW w:w="1656" w:type="dxa"/>
            <w:tcBorders>
              <w:top w:val="nil"/>
              <w:left w:val="nil"/>
              <w:bottom w:val="nil"/>
              <w:right w:val="nil"/>
            </w:tcBorders>
            <w:shd w:val="clear" w:color="auto" w:fill="FFFFFF"/>
            <w:tcMar>
              <w:top w:w="0" w:type="dxa"/>
              <w:left w:w="60" w:type="dxa"/>
              <w:bottom w:w="0" w:type="dxa"/>
              <w:right w:w="60" w:type="dxa"/>
            </w:tcMar>
            <w:vAlign w:val="center"/>
            <w:hideMark/>
          </w:tcPr>
          <w:p w14:paraId="368D24FA" w14:textId="77777777" w:rsidR="00576FE1" w:rsidRPr="005C01C5" w:rsidRDefault="00576FE1" w:rsidP="00115CD6">
            <w:pPr>
              <w:keepNext/>
              <w:adjustRightInd w:val="0"/>
              <w:spacing w:after="0" w:line="240" w:lineRule="auto"/>
              <w:jc w:val="center"/>
              <w:rPr>
                <w:color w:val="000000"/>
              </w:rPr>
            </w:pPr>
            <w:r w:rsidRPr="005C01C5">
              <w:rPr>
                <w:color w:val="000000"/>
              </w:rPr>
              <w:t>14 (5.8%)</w:t>
            </w:r>
          </w:p>
        </w:tc>
        <w:tc>
          <w:tcPr>
            <w:tcW w:w="1463" w:type="dxa"/>
            <w:tcBorders>
              <w:top w:val="nil"/>
              <w:left w:val="nil"/>
              <w:bottom w:val="nil"/>
              <w:right w:val="nil"/>
            </w:tcBorders>
            <w:shd w:val="clear" w:color="auto" w:fill="FFFFFF"/>
            <w:tcMar>
              <w:top w:w="0" w:type="dxa"/>
              <w:left w:w="60" w:type="dxa"/>
              <w:bottom w:w="0" w:type="dxa"/>
              <w:right w:w="60" w:type="dxa"/>
            </w:tcMar>
            <w:vAlign w:val="center"/>
            <w:hideMark/>
          </w:tcPr>
          <w:p w14:paraId="5FD06A94" w14:textId="77777777" w:rsidR="00576FE1" w:rsidRPr="005C01C5" w:rsidRDefault="00576FE1" w:rsidP="00115CD6">
            <w:pPr>
              <w:keepNext/>
              <w:adjustRightInd w:val="0"/>
              <w:spacing w:after="0" w:line="240" w:lineRule="auto"/>
              <w:jc w:val="center"/>
              <w:rPr>
                <w:color w:val="000000"/>
              </w:rPr>
            </w:pPr>
            <w:r w:rsidRPr="005C01C5">
              <w:rPr>
                <w:color w:val="000000"/>
              </w:rPr>
              <w:t>31 (6.4%)</w:t>
            </w:r>
          </w:p>
        </w:tc>
      </w:tr>
      <w:tr w:rsidR="00576FE1" w:rsidRPr="005C01C5" w14:paraId="4C3038C4" w14:textId="77777777" w:rsidTr="00800E62">
        <w:trPr>
          <w:cantSplit/>
        </w:trPr>
        <w:tc>
          <w:tcPr>
            <w:tcW w:w="3969" w:type="dxa"/>
            <w:tcBorders>
              <w:top w:val="nil"/>
              <w:left w:val="nil"/>
              <w:bottom w:val="nil"/>
              <w:right w:val="nil"/>
            </w:tcBorders>
            <w:shd w:val="clear" w:color="auto" w:fill="FFFFFF"/>
            <w:tcMar>
              <w:top w:w="0" w:type="dxa"/>
              <w:left w:w="60" w:type="dxa"/>
              <w:bottom w:w="0" w:type="dxa"/>
              <w:right w:w="60" w:type="dxa"/>
            </w:tcMar>
            <w:vAlign w:val="center"/>
            <w:hideMark/>
          </w:tcPr>
          <w:p w14:paraId="599607ED" w14:textId="77777777" w:rsidR="00576FE1" w:rsidRPr="005C01C5" w:rsidRDefault="00576FE1" w:rsidP="00115CD6">
            <w:pPr>
              <w:keepNext/>
              <w:adjustRightInd w:val="0"/>
              <w:spacing w:after="0" w:line="240" w:lineRule="auto"/>
              <w:ind w:hanging="209"/>
              <w:rPr>
                <w:color w:val="000000"/>
              </w:rPr>
            </w:pPr>
            <w:r w:rsidRPr="005C01C5">
              <w:rPr>
                <w:color w:val="000000"/>
              </w:rPr>
              <w:t xml:space="preserve">    Lymphopenia</w:t>
            </w:r>
          </w:p>
        </w:tc>
        <w:tc>
          <w:tcPr>
            <w:tcW w:w="1701" w:type="dxa"/>
            <w:tcBorders>
              <w:top w:val="nil"/>
              <w:left w:val="nil"/>
              <w:bottom w:val="nil"/>
              <w:right w:val="nil"/>
            </w:tcBorders>
            <w:shd w:val="clear" w:color="auto" w:fill="FFFFFF"/>
            <w:tcMar>
              <w:top w:w="0" w:type="dxa"/>
              <w:left w:w="60" w:type="dxa"/>
              <w:bottom w:w="0" w:type="dxa"/>
              <w:right w:w="60" w:type="dxa"/>
            </w:tcMar>
            <w:vAlign w:val="center"/>
            <w:hideMark/>
          </w:tcPr>
          <w:p w14:paraId="6BBAFAEB" w14:textId="77777777" w:rsidR="00576FE1" w:rsidRPr="005C01C5" w:rsidRDefault="00576FE1" w:rsidP="00115CD6">
            <w:pPr>
              <w:keepNext/>
              <w:adjustRightInd w:val="0"/>
              <w:spacing w:after="0" w:line="240" w:lineRule="auto"/>
              <w:jc w:val="center"/>
              <w:rPr>
                <w:color w:val="000000"/>
              </w:rPr>
            </w:pPr>
            <w:r w:rsidRPr="005C01C5">
              <w:rPr>
                <w:color w:val="000000"/>
              </w:rPr>
              <w:t>7 (2.9%)</w:t>
            </w:r>
          </w:p>
        </w:tc>
        <w:tc>
          <w:tcPr>
            <w:tcW w:w="1656" w:type="dxa"/>
            <w:tcBorders>
              <w:top w:val="nil"/>
              <w:left w:val="nil"/>
              <w:bottom w:val="nil"/>
              <w:right w:val="nil"/>
            </w:tcBorders>
            <w:shd w:val="clear" w:color="auto" w:fill="FFFFFF"/>
            <w:tcMar>
              <w:top w:w="0" w:type="dxa"/>
              <w:left w:w="60" w:type="dxa"/>
              <w:bottom w:w="0" w:type="dxa"/>
              <w:right w:w="60" w:type="dxa"/>
            </w:tcMar>
            <w:vAlign w:val="center"/>
            <w:hideMark/>
          </w:tcPr>
          <w:p w14:paraId="7F38F1D1" w14:textId="77777777" w:rsidR="00576FE1" w:rsidRPr="005C01C5" w:rsidRDefault="00576FE1" w:rsidP="00115CD6">
            <w:pPr>
              <w:keepNext/>
              <w:adjustRightInd w:val="0"/>
              <w:spacing w:after="0" w:line="240" w:lineRule="auto"/>
              <w:jc w:val="center"/>
              <w:rPr>
                <w:color w:val="000000"/>
              </w:rPr>
            </w:pPr>
            <w:r w:rsidRPr="005C01C5">
              <w:rPr>
                <w:color w:val="000000"/>
              </w:rPr>
              <w:t>2 (0.8%)</w:t>
            </w:r>
          </w:p>
        </w:tc>
        <w:tc>
          <w:tcPr>
            <w:tcW w:w="1463" w:type="dxa"/>
            <w:tcBorders>
              <w:top w:val="nil"/>
              <w:left w:val="nil"/>
              <w:bottom w:val="nil"/>
              <w:right w:val="nil"/>
            </w:tcBorders>
            <w:shd w:val="clear" w:color="auto" w:fill="FFFFFF"/>
            <w:tcMar>
              <w:top w:w="0" w:type="dxa"/>
              <w:left w:w="60" w:type="dxa"/>
              <w:bottom w:w="0" w:type="dxa"/>
              <w:right w:w="60" w:type="dxa"/>
            </w:tcMar>
            <w:vAlign w:val="center"/>
            <w:hideMark/>
          </w:tcPr>
          <w:p w14:paraId="46A1E738" w14:textId="77777777" w:rsidR="00576FE1" w:rsidRPr="005C01C5" w:rsidRDefault="00576FE1" w:rsidP="00115CD6">
            <w:pPr>
              <w:keepNext/>
              <w:adjustRightInd w:val="0"/>
              <w:spacing w:after="0" w:line="240" w:lineRule="auto"/>
              <w:jc w:val="center"/>
              <w:rPr>
                <w:color w:val="000000"/>
              </w:rPr>
            </w:pPr>
            <w:r w:rsidRPr="005C01C5">
              <w:rPr>
                <w:color w:val="000000"/>
              </w:rPr>
              <w:t>9 (1.9%)</w:t>
            </w:r>
          </w:p>
        </w:tc>
      </w:tr>
      <w:tr w:rsidR="00576FE1" w:rsidRPr="005C01C5" w14:paraId="72823FD1" w14:textId="77777777" w:rsidTr="00800E62">
        <w:trPr>
          <w:cantSplit/>
        </w:trPr>
        <w:tc>
          <w:tcPr>
            <w:tcW w:w="3969" w:type="dxa"/>
            <w:tcBorders>
              <w:top w:val="nil"/>
              <w:left w:val="nil"/>
              <w:bottom w:val="nil"/>
              <w:right w:val="nil"/>
            </w:tcBorders>
            <w:shd w:val="clear" w:color="auto" w:fill="FFFFFF"/>
            <w:tcMar>
              <w:top w:w="0" w:type="dxa"/>
              <w:left w:w="60" w:type="dxa"/>
              <w:bottom w:w="0" w:type="dxa"/>
              <w:right w:w="60" w:type="dxa"/>
            </w:tcMar>
            <w:vAlign w:val="center"/>
            <w:hideMark/>
          </w:tcPr>
          <w:p w14:paraId="70FEA6D8" w14:textId="77777777" w:rsidR="00576FE1" w:rsidRPr="005C01C5" w:rsidRDefault="00576FE1" w:rsidP="00115CD6">
            <w:pPr>
              <w:keepNext/>
              <w:adjustRightInd w:val="0"/>
              <w:spacing w:after="0" w:line="240" w:lineRule="auto"/>
              <w:ind w:hanging="209"/>
              <w:rPr>
                <w:color w:val="000000"/>
              </w:rPr>
            </w:pPr>
            <w:r w:rsidRPr="005C01C5">
              <w:rPr>
                <w:color w:val="000000"/>
              </w:rPr>
              <w:t xml:space="preserve">    </w:t>
            </w:r>
            <w:proofErr w:type="spellStart"/>
            <w:r w:rsidRPr="005C01C5">
              <w:rPr>
                <w:color w:val="000000"/>
              </w:rPr>
              <w:t>Anaemia</w:t>
            </w:r>
            <w:proofErr w:type="spellEnd"/>
          </w:p>
        </w:tc>
        <w:tc>
          <w:tcPr>
            <w:tcW w:w="1701" w:type="dxa"/>
            <w:tcBorders>
              <w:top w:val="nil"/>
              <w:left w:val="nil"/>
              <w:bottom w:val="nil"/>
              <w:right w:val="nil"/>
            </w:tcBorders>
            <w:shd w:val="clear" w:color="auto" w:fill="FFFFFF"/>
            <w:tcMar>
              <w:top w:w="0" w:type="dxa"/>
              <w:left w:w="60" w:type="dxa"/>
              <w:bottom w:w="0" w:type="dxa"/>
              <w:right w:w="60" w:type="dxa"/>
            </w:tcMar>
            <w:vAlign w:val="center"/>
            <w:hideMark/>
          </w:tcPr>
          <w:p w14:paraId="74539F08" w14:textId="77777777" w:rsidR="00576FE1" w:rsidRPr="005C01C5" w:rsidRDefault="00576FE1" w:rsidP="00115CD6">
            <w:pPr>
              <w:keepNext/>
              <w:adjustRightInd w:val="0"/>
              <w:spacing w:after="0" w:line="240" w:lineRule="auto"/>
              <w:jc w:val="center"/>
              <w:rPr>
                <w:color w:val="000000"/>
              </w:rPr>
            </w:pPr>
            <w:r w:rsidRPr="005C01C5">
              <w:rPr>
                <w:color w:val="000000"/>
              </w:rPr>
              <w:t>5 (2.1%)</w:t>
            </w:r>
          </w:p>
        </w:tc>
        <w:tc>
          <w:tcPr>
            <w:tcW w:w="1656" w:type="dxa"/>
            <w:tcBorders>
              <w:top w:val="nil"/>
              <w:left w:val="nil"/>
              <w:bottom w:val="nil"/>
              <w:right w:val="nil"/>
            </w:tcBorders>
            <w:shd w:val="clear" w:color="auto" w:fill="FFFFFF"/>
            <w:tcMar>
              <w:top w:w="0" w:type="dxa"/>
              <w:left w:w="60" w:type="dxa"/>
              <w:bottom w:w="0" w:type="dxa"/>
              <w:right w:w="60" w:type="dxa"/>
            </w:tcMar>
            <w:vAlign w:val="center"/>
            <w:hideMark/>
          </w:tcPr>
          <w:p w14:paraId="4708EBC5" w14:textId="77777777" w:rsidR="00576FE1" w:rsidRPr="005C01C5" w:rsidRDefault="00576FE1" w:rsidP="00115CD6">
            <w:pPr>
              <w:keepNext/>
              <w:adjustRightInd w:val="0"/>
              <w:spacing w:after="0" w:line="240" w:lineRule="auto"/>
              <w:jc w:val="center"/>
              <w:rPr>
                <w:color w:val="000000"/>
              </w:rPr>
            </w:pPr>
            <w:r w:rsidRPr="005C01C5">
              <w:rPr>
                <w:color w:val="000000"/>
              </w:rPr>
              <w:t>3 (1.2%)</w:t>
            </w:r>
          </w:p>
        </w:tc>
        <w:tc>
          <w:tcPr>
            <w:tcW w:w="1463" w:type="dxa"/>
            <w:tcBorders>
              <w:top w:val="nil"/>
              <w:left w:val="nil"/>
              <w:bottom w:val="nil"/>
              <w:right w:val="nil"/>
            </w:tcBorders>
            <w:shd w:val="clear" w:color="auto" w:fill="FFFFFF"/>
            <w:tcMar>
              <w:top w:w="0" w:type="dxa"/>
              <w:left w:w="60" w:type="dxa"/>
              <w:bottom w:w="0" w:type="dxa"/>
              <w:right w:w="60" w:type="dxa"/>
            </w:tcMar>
            <w:vAlign w:val="center"/>
            <w:hideMark/>
          </w:tcPr>
          <w:p w14:paraId="3C49B3C4" w14:textId="77777777" w:rsidR="00576FE1" w:rsidRPr="005C01C5" w:rsidRDefault="00576FE1" w:rsidP="00115CD6">
            <w:pPr>
              <w:keepNext/>
              <w:adjustRightInd w:val="0"/>
              <w:spacing w:after="0" w:line="240" w:lineRule="auto"/>
              <w:jc w:val="center"/>
              <w:rPr>
                <w:color w:val="000000"/>
              </w:rPr>
            </w:pPr>
            <w:r w:rsidRPr="005C01C5">
              <w:rPr>
                <w:color w:val="000000"/>
              </w:rPr>
              <w:t>8 (1.7%)</w:t>
            </w:r>
          </w:p>
        </w:tc>
      </w:tr>
      <w:tr w:rsidR="00576FE1" w:rsidRPr="005C01C5" w14:paraId="038CDAAD" w14:textId="77777777" w:rsidTr="00800E62">
        <w:trPr>
          <w:cantSplit/>
          <w:trHeight w:val="592"/>
        </w:trPr>
        <w:tc>
          <w:tcPr>
            <w:tcW w:w="3969" w:type="dxa"/>
            <w:tcBorders>
              <w:top w:val="nil"/>
              <w:left w:val="nil"/>
              <w:bottom w:val="nil"/>
              <w:right w:val="nil"/>
            </w:tcBorders>
            <w:shd w:val="clear" w:color="auto" w:fill="FFFFFF"/>
            <w:tcMar>
              <w:top w:w="0" w:type="dxa"/>
              <w:left w:w="60" w:type="dxa"/>
              <w:bottom w:w="0" w:type="dxa"/>
              <w:right w:w="60" w:type="dxa"/>
            </w:tcMar>
            <w:vAlign w:val="center"/>
            <w:hideMark/>
          </w:tcPr>
          <w:p w14:paraId="09D7180F" w14:textId="77777777" w:rsidR="00576FE1" w:rsidRPr="005C01C5" w:rsidRDefault="00576FE1" w:rsidP="00115CD6">
            <w:pPr>
              <w:keepNext/>
              <w:adjustRightInd w:val="0"/>
              <w:spacing w:after="0" w:line="240" w:lineRule="auto"/>
              <w:rPr>
                <w:b/>
                <w:color w:val="000000"/>
                <w:lang w:val="en-GB"/>
              </w:rPr>
            </w:pPr>
            <w:r w:rsidRPr="005C01C5">
              <w:rPr>
                <w:b/>
                <w:color w:val="000000"/>
                <w:lang w:val="en-GB"/>
              </w:rPr>
              <w:t>General disorders and administration site conditions</w:t>
            </w:r>
          </w:p>
        </w:tc>
        <w:tc>
          <w:tcPr>
            <w:tcW w:w="1701" w:type="dxa"/>
            <w:tcBorders>
              <w:top w:val="nil"/>
              <w:left w:val="nil"/>
              <w:bottom w:val="nil"/>
              <w:right w:val="nil"/>
            </w:tcBorders>
            <w:shd w:val="clear" w:color="auto" w:fill="FFFFFF"/>
            <w:tcMar>
              <w:top w:w="0" w:type="dxa"/>
              <w:left w:w="60" w:type="dxa"/>
              <w:bottom w:w="0" w:type="dxa"/>
              <w:right w:w="60" w:type="dxa"/>
            </w:tcMar>
            <w:vAlign w:val="center"/>
            <w:hideMark/>
          </w:tcPr>
          <w:p w14:paraId="1BC2B6EB" w14:textId="77777777" w:rsidR="00576FE1" w:rsidRPr="005C01C5" w:rsidRDefault="00576FE1" w:rsidP="00115CD6">
            <w:pPr>
              <w:keepNext/>
              <w:adjustRightInd w:val="0"/>
              <w:spacing w:after="0" w:line="240" w:lineRule="auto"/>
              <w:jc w:val="center"/>
              <w:rPr>
                <w:b/>
                <w:color w:val="000000"/>
              </w:rPr>
            </w:pPr>
            <w:r w:rsidRPr="005C01C5">
              <w:rPr>
                <w:b/>
                <w:color w:val="000000"/>
              </w:rPr>
              <w:t>10 (4.1%)</w:t>
            </w:r>
          </w:p>
        </w:tc>
        <w:tc>
          <w:tcPr>
            <w:tcW w:w="1656" w:type="dxa"/>
            <w:tcBorders>
              <w:top w:val="nil"/>
              <w:left w:val="nil"/>
              <w:bottom w:val="nil"/>
              <w:right w:val="nil"/>
            </w:tcBorders>
            <w:shd w:val="clear" w:color="auto" w:fill="FFFFFF"/>
            <w:tcMar>
              <w:top w:w="0" w:type="dxa"/>
              <w:left w:w="60" w:type="dxa"/>
              <w:bottom w:w="0" w:type="dxa"/>
              <w:right w:w="60" w:type="dxa"/>
            </w:tcMar>
            <w:vAlign w:val="center"/>
            <w:hideMark/>
          </w:tcPr>
          <w:p w14:paraId="17F00315" w14:textId="77777777" w:rsidR="00576FE1" w:rsidRPr="005C01C5" w:rsidRDefault="00576FE1" w:rsidP="00115CD6">
            <w:pPr>
              <w:keepNext/>
              <w:adjustRightInd w:val="0"/>
              <w:spacing w:after="0" w:line="240" w:lineRule="auto"/>
              <w:jc w:val="center"/>
              <w:rPr>
                <w:b/>
                <w:color w:val="000000"/>
              </w:rPr>
            </w:pPr>
            <w:r w:rsidRPr="005C01C5">
              <w:rPr>
                <w:b/>
                <w:color w:val="000000"/>
              </w:rPr>
              <w:t>5 (2.1%)</w:t>
            </w:r>
          </w:p>
        </w:tc>
        <w:tc>
          <w:tcPr>
            <w:tcW w:w="1463" w:type="dxa"/>
            <w:tcBorders>
              <w:top w:val="nil"/>
              <w:left w:val="nil"/>
              <w:bottom w:val="nil"/>
              <w:right w:val="nil"/>
            </w:tcBorders>
            <w:shd w:val="clear" w:color="auto" w:fill="FFFFFF"/>
            <w:tcMar>
              <w:top w:w="0" w:type="dxa"/>
              <w:left w:w="60" w:type="dxa"/>
              <w:bottom w:w="0" w:type="dxa"/>
              <w:right w:w="60" w:type="dxa"/>
            </w:tcMar>
            <w:vAlign w:val="center"/>
            <w:hideMark/>
          </w:tcPr>
          <w:p w14:paraId="6DB2E876" w14:textId="77777777" w:rsidR="00576FE1" w:rsidRPr="005C01C5" w:rsidRDefault="00576FE1" w:rsidP="00115CD6">
            <w:pPr>
              <w:keepNext/>
              <w:adjustRightInd w:val="0"/>
              <w:spacing w:after="0" w:line="240" w:lineRule="auto"/>
              <w:jc w:val="center"/>
              <w:rPr>
                <w:b/>
                <w:color w:val="000000"/>
              </w:rPr>
            </w:pPr>
            <w:r w:rsidRPr="005C01C5">
              <w:rPr>
                <w:b/>
                <w:color w:val="000000"/>
              </w:rPr>
              <w:t>15 (3.1%)</w:t>
            </w:r>
          </w:p>
        </w:tc>
      </w:tr>
      <w:tr w:rsidR="00576FE1" w:rsidRPr="005C01C5" w14:paraId="7D24DB20" w14:textId="77777777" w:rsidTr="00800E62">
        <w:trPr>
          <w:cantSplit/>
        </w:trPr>
        <w:tc>
          <w:tcPr>
            <w:tcW w:w="3969" w:type="dxa"/>
            <w:tcBorders>
              <w:top w:val="nil"/>
              <w:left w:val="nil"/>
              <w:bottom w:val="nil"/>
              <w:right w:val="nil"/>
            </w:tcBorders>
            <w:shd w:val="clear" w:color="auto" w:fill="FFFFFF"/>
            <w:tcMar>
              <w:top w:w="0" w:type="dxa"/>
              <w:left w:w="60" w:type="dxa"/>
              <w:bottom w:w="0" w:type="dxa"/>
              <w:right w:w="60" w:type="dxa"/>
            </w:tcMar>
            <w:vAlign w:val="center"/>
            <w:hideMark/>
          </w:tcPr>
          <w:p w14:paraId="4DADD03A" w14:textId="77777777" w:rsidR="00576FE1" w:rsidRPr="005C01C5" w:rsidRDefault="00576FE1" w:rsidP="00115CD6">
            <w:pPr>
              <w:keepNext/>
              <w:adjustRightInd w:val="0"/>
              <w:spacing w:after="0" w:line="240" w:lineRule="auto"/>
              <w:ind w:hanging="209"/>
              <w:rPr>
                <w:color w:val="000000"/>
              </w:rPr>
            </w:pPr>
            <w:r w:rsidRPr="005C01C5">
              <w:rPr>
                <w:color w:val="000000"/>
              </w:rPr>
              <w:t xml:space="preserve">    Asthenia</w:t>
            </w:r>
          </w:p>
        </w:tc>
        <w:tc>
          <w:tcPr>
            <w:tcW w:w="1701" w:type="dxa"/>
            <w:tcBorders>
              <w:top w:val="nil"/>
              <w:left w:val="nil"/>
              <w:bottom w:val="nil"/>
              <w:right w:val="nil"/>
            </w:tcBorders>
            <w:shd w:val="clear" w:color="auto" w:fill="FFFFFF"/>
            <w:tcMar>
              <w:top w:w="0" w:type="dxa"/>
              <w:left w:w="60" w:type="dxa"/>
              <w:bottom w:w="0" w:type="dxa"/>
              <w:right w:w="60" w:type="dxa"/>
            </w:tcMar>
            <w:vAlign w:val="center"/>
            <w:hideMark/>
          </w:tcPr>
          <w:p w14:paraId="201A0F73" w14:textId="77777777" w:rsidR="00576FE1" w:rsidRPr="005C01C5" w:rsidRDefault="00576FE1" w:rsidP="00115CD6">
            <w:pPr>
              <w:keepNext/>
              <w:adjustRightInd w:val="0"/>
              <w:spacing w:after="0" w:line="240" w:lineRule="auto"/>
              <w:jc w:val="center"/>
              <w:rPr>
                <w:color w:val="000000"/>
              </w:rPr>
            </w:pPr>
            <w:r w:rsidRPr="005C01C5">
              <w:rPr>
                <w:color w:val="000000"/>
              </w:rPr>
              <w:t>5 (2.1%)</w:t>
            </w:r>
          </w:p>
        </w:tc>
        <w:tc>
          <w:tcPr>
            <w:tcW w:w="1656" w:type="dxa"/>
            <w:tcBorders>
              <w:top w:val="nil"/>
              <w:left w:val="nil"/>
              <w:bottom w:val="nil"/>
              <w:right w:val="nil"/>
            </w:tcBorders>
            <w:shd w:val="clear" w:color="auto" w:fill="FFFFFF"/>
            <w:tcMar>
              <w:top w:w="0" w:type="dxa"/>
              <w:left w:w="60" w:type="dxa"/>
              <w:bottom w:w="0" w:type="dxa"/>
              <w:right w:w="60" w:type="dxa"/>
            </w:tcMar>
            <w:vAlign w:val="center"/>
            <w:hideMark/>
          </w:tcPr>
          <w:p w14:paraId="22CF621B" w14:textId="77777777" w:rsidR="00576FE1" w:rsidRPr="005C01C5" w:rsidRDefault="00576FE1" w:rsidP="00115CD6">
            <w:pPr>
              <w:keepNext/>
              <w:adjustRightInd w:val="0"/>
              <w:spacing w:after="0" w:line="240" w:lineRule="auto"/>
              <w:jc w:val="center"/>
              <w:rPr>
                <w:color w:val="000000"/>
              </w:rPr>
            </w:pPr>
            <w:r w:rsidRPr="005C01C5">
              <w:rPr>
                <w:color w:val="000000"/>
              </w:rPr>
              <w:t>3 (1.2%)</w:t>
            </w:r>
          </w:p>
        </w:tc>
        <w:tc>
          <w:tcPr>
            <w:tcW w:w="1463" w:type="dxa"/>
            <w:tcBorders>
              <w:top w:val="nil"/>
              <w:left w:val="nil"/>
              <w:bottom w:val="nil"/>
              <w:right w:val="nil"/>
            </w:tcBorders>
            <w:shd w:val="clear" w:color="auto" w:fill="FFFFFF"/>
            <w:tcMar>
              <w:top w:w="0" w:type="dxa"/>
              <w:left w:w="60" w:type="dxa"/>
              <w:bottom w:w="0" w:type="dxa"/>
              <w:right w:w="60" w:type="dxa"/>
            </w:tcMar>
            <w:vAlign w:val="center"/>
            <w:hideMark/>
          </w:tcPr>
          <w:p w14:paraId="08F3698C" w14:textId="77777777" w:rsidR="00576FE1" w:rsidRPr="005C01C5" w:rsidRDefault="00576FE1" w:rsidP="00115CD6">
            <w:pPr>
              <w:keepNext/>
              <w:adjustRightInd w:val="0"/>
              <w:spacing w:after="0" w:line="240" w:lineRule="auto"/>
              <w:jc w:val="center"/>
              <w:rPr>
                <w:color w:val="000000"/>
              </w:rPr>
            </w:pPr>
            <w:r w:rsidRPr="005C01C5">
              <w:rPr>
                <w:color w:val="000000"/>
              </w:rPr>
              <w:t>8 (1.7%)</w:t>
            </w:r>
          </w:p>
        </w:tc>
      </w:tr>
      <w:tr w:rsidR="00576FE1" w:rsidRPr="005C01C5" w14:paraId="2E44520A" w14:textId="77777777" w:rsidTr="00800E62">
        <w:trPr>
          <w:cantSplit/>
        </w:trPr>
        <w:tc>
          <w:tcPr>
            <w:tcW w:w="3969" w:type="dxa"/>
            <w:tcBorders>
              <w:top w:val="nil"/>
              <w:left w:val="nil"/>
              <w:bottom w:val="nil"/>
              <w:right w:val="nil"/>
            </w:tcBorders>
            <w:shd w:val="clear" w:color="auto" w:fill="FFFFFF"/>
            <w:tcMar>
              <w:top w:w="0" w:type="dxa"/>
              <w:left w:w="60" w:type="dxa"/>
              <w:bottom w:w="0" w:type="dxa"/>
              <w:right w:w="60" w:type="dxa"/>
            </w:tcMar>
            <w:vAlign w:val="center"/>
            <w:hideMark/>
          </w:tcPr>
          <w:p w14:paraId="09F74E78" w14:textId="77777777" w:rsidR="00576FE1" w:rsidRPr="005C01C5" w:rsidRDefault="00576FE1" w:rsidP="00115CD6">
            <w:pPr>
              <w:keepNext/>
              <w:adjustRightInd w:val="0"/>
              <w:spacing w:after="0" w:line="240" w:lineRule="auto"/>
              <w:ind w:hanging="209"/>
              <w:rPr>
                <w:color w:val="000000"/>
              </w:rPr>
            </w:pPr>
            <w:r w:rsidRPr="005C01C5">
              <w:rPr>
                <w:color w:val="000000"/>
              </w:rPr>
              <w:t xml:space="preserve">    Fatigue</w:t>
            </w:r>
          </w:p>
        </w:tc>
        <w:tc>
          <w:tcPr>
            <w:tcW w:w="1701" w:type="dxa"/>
            <w:tcBorders>
              <w:top w:val="nil"/>
              <w:left w:val="nil"/>
              <w:bottom w:val="nil"/>
              <w:right w:val="nil"/>
            </w:tcBorders>
            <w:shd w:val="clear" w:color="auto" w:fill="FFFFFF"/>
            <w:tcMar>
              <w:top w:w="0" w:type="dxa"/>
              <w:left w:w="60" w:type="dxa"/>
              <w:bottom w:w="0" w:type="dxa"/>
              <w:right w:w="60" w:type="dxa"/>
            </w:tcMar>
            <w:vAlign w:val="center"/>
            <w:hideMark/>
          </w:tcPr>
          <w:p w14:paraId="6F89FE2C" w14:textId="77777777" w:rsidR="00576FE1" w:rsidRPr="005C01C5" w:rsidRDefault="00576FE1" w:rsidP="00115CD6">
            <w:pPr>
              <w:keepNext/>
              <w:adjustRightInd w:val="0"/>
              <w:spacing w:after="0" w:line="240" w:lineRule="auto"/>
              <w:jc w:val="center"/>
              <w:rPr>
                <w:color w:val="000000"/>
              </w:rPr>
            </w:pPr>
            <w:r w:rsidRPr="005C01C5">
              <w:rPr>
                <w:color w:val="000000"/>
              </w:rPr>
              <w:t>3 (1.2%)</w:t>
            </w:r>
          </w:p>
        </w:tc>
        <w:tc>
          <w:tcPr>
            <w:tcW w:w="1656" w:type="dxa"/>
            <w:tcBorders>
              <w:top w:val="nil"/>
              <w:left w:val="nil"/>
              <w:bottom w:val="nil"/>
              <w:right w:val="nil"/>
            </w:tcBorders>
            <w:shd w:val="clear" w:color="auto" w:fill="FFFFFF"/>
            <w:tcMar>
              <w:top w:w="0" w:type="dxa"/>
              <w:left w:w="60" w:type="dxa"/>
              <w:bottom w:w="0" w:type="dxa"/>
              <w:right w:w="60" w:type="dxa"/>
            </w:tcMar>
            <w:vAlign w:val="center"/>
            <w:hideMark/>
          </w:tcPr>
          <w:p w14:paraId="1BE8E11D" w14:textId="77777777" w:rsidR="00576FE1" w:rsidRPr="005C01C5" w:rsidRDefault="00576FE1" w:rsidP="00115CD6">
            <w:pPr>
              <w:keepNext/>
              <w:adjustRightInd w:val="0"/>
              <w:spacing w:after="0" w:line="240" w:lineRule="auto"/>
              <w:jc w:val="center"/>
              <w:rPr>
                <w:color w:val="000000"/>
              </w:rPr>
            </w:pPr>
            <w:r w:rsidRPr="005C01C5">
              <w:rPr>
                <w:color w:val="000000"/>
              </w:rPr>
              <w:t>2 (0.8%)</w:t>
            </w:r>
          </w:p>
        </w:tc>
        <w:tc>
          <w:tcPr>
            <w:tcW w:w="1463" w:type="dxa"/>
            <w:tcBorders>
              <w:top w:val="nil"/>
              <w:left w:val="nil"/>
              <w:bottom w:val="nil"/>
              <w:right w:val="nil"/>
            </w:tcBorders>
            <w:shd w:val="clear" w:color="auto" w:fill="FFFFFF"/>
            <w:tcMar>
              <w:top w:w="0" w:type="dxa"/>
              <w:left w:w="60" w:type="dxa"/>
              <w:bottom w:w="0" w:type="dxa"/>
              <w:right w:w="60" w:type="dxa"/>
            </w:tcMar>
            <w:vAlign w:val="center"/>
            <w:hideMark/>
          </w:tcPr>
          <w:p w14:paraId="5010C437" w14:textId="77777777" w:rsidR="00576FE1" w:rsidRPr="005C01C5" w:rsidRDefault="00576FE1" w:rsidP="00115CD6">
            <w:pPr>
              <w:keepNext/>
              <w:adjustRightInd w:val="0"/>
              <w:spacing w:after="0" w:line="240" w:lineRule="auto"/>
              <w:jc w:val="center"/>
              <w:rPr>
                <w:color w:val="000000"/>
              </w:rPr>
            </w:pPr>
            <w:r w:rsidRPr="005C01C5">
              <w:rPr>
                <w:color w:val="000000"/>
              </w:rPr>
              <w:t>5 (1.0%)</w:t>
            </w:r>
          </w:p>
        </w:tc>
      </w:tr>
      <w:tr w:rsidR="00576FE1" w:rsidRPr="005C01C5" w14:paraId="2E2826A7" w14:textId="77777777" w:rsidTr="00800E62">
        <w:trPr>
          <w:cantSplit/>
          <w:trHeight w:val="442"/>
        </w:trPr>
        <w:tc>
          <w:tcPr>
            <w:tcW w:w="3969" w:type="dxa"/>
            <w:tcBorders>
              <w:top w:val="nil"/>
              <w:left w:val="nil"/>
              <w:bottom w:val="nil"/>
              <w:right w:val="nil"/>
            </w:tcBorders>
            <w:shd w:val="clear" w:color="auto" w:fill="FFFFFF"/>
            <w:tcMar>
              <w:top w:w="0" w:type="dxa"/>
              <w:left w:w="60" w:type="dxa"/>
              <w:bottom w:w="0" w:type="dxa"/>
              <w:right w:w="60" w:type="dxa"/>
            </w:tcMar>
            <w:vAlign w:val="center"/>
            <w:hideMark/>
          </w:tcPr>
          <w:p w14:paraId="0E0C1E3B" w14:textId="77777777" w:rsidR="00576FE1" w:rsidRPr="005C01C5" w:rsidRDefault="00576FE1" w:rsidP="00115CD6">
            <w:pPr>
              <w:keepNext/>
              <w:adjustRightInd w:val="0"/>
              <w:spacing w:after="0" w:line="240" w:lineRule="auto"/>
              <w:rPr>
                <w:b/>
                <w:color w:val="000000"/>
              </w:rPr>
            </w:pPr>
            <w:r w:rsidRPr="005C01C5">
              <w:rPr>
                <w:b/>
                <w:color w:val="000000"/>
              </w:rPr>
              <w:t>Investigations</w:t>
            </w:r>
          </w:p>
        </w:tc>
        <w:tc>
          <w:tcPr>
            <w:tcW w:w="1701" w:type="dxa"/>
            <w:tcBorders>
              <w:top w:val="nil"/>
              <w:left w:val="nil"/>
              <w:bottom w:val="nil"/>
              <w:right w:val="nil"/>
            </w:tcBorders>
            <w:shd w:val="clear" w:color="auto" w:fill="FFFFFF"/>
            <w:tcMar>
              <w:top w:w="0" w:type="dxa"/>
              <w:left w:w="60" w:type="dxa"/>
              <w:bottom w:w="0" w:type="dxa"/>
              <w:right w:w="60" w:type="dxa"/>
            </w:tcMar>
            <w:vAlign w:val="center"/>
            <w:hideMark/>
          </w:tcPr>
          <w:p w14:paraId="01F073B0" w14:textId="77777777" w:rsidR="00576FE1" w:rsidRPr="005C01C5" w:rsidRDefault="00576FE1" w:rsidP="00115CD6">
            <w:pPr>
              <w:keepNext/>
              <w:adjustRightInd w:val="0"/>
              <w:spacing w:after="0" w:line="240" w:lineRule="auto"/>
              <w:jc w:val="center"/>
              <w:rPr>
                <w:b/>
                <w:color w:val="000000"/>
              </w:rPr>
            </w:pPr>
            <w:r w:rsidRPr="005C01C5">
              <w:rPr>
                <w:b/>
                <w:color w:val="000000"/>
              </w:rPr>
              <w:t>10 (4.1%)</w:t>
            </w:r>
          </w:p>
        </w:tc>
        <w:tc>
          <w:tcPr>
            <w:tcW w:w="1656" w:type="dxa"/>
            <w:tcBorders>
              <w:top w:val="nil"/>
              <w:left w:val="nil"/>
              <w:bottom w:val="nil"/>
              <w:right w:val="nil"/>
            </w:tcBorders>
            <w:shd w:val="clear" w:color="auto" w:fill="FFFFFF"/>
            <w:tcMar>
              <w:top w:w="0" w:type="dxa"/>
              <w:left w:w="60" w:type="dxa"/>
              <w:bottom w:w="0" w:type="dxa"/>
              <w:right w:w="60" w:type="dxa"/>
            </w:tcMar>
            <w:vAlign w:val="center"/>
            <w:hideMark/>
          </w:tcPr>
          <w:p w14:paraId="0092C789" w14:textId="77777777" w:rsidR="00576FE1" w:rsidRPr="005C01C5" w:rsidRDefault="00576FE1" w:rsidP="00115CD6">
            <w:pPr>
              <w:keepNext/>
              <w:adjustRightInd w:val="0"/>
              <w:spacing w:after="0" w:line="240" w:lineRule="auto"/>
              <w:jc w:val="center"/>
              <w:rPr>
                <w:b/>
                <w:color w:val="000000"/>
              </w:rPr>
            </w:pPr>
            <w:r w:rsidRPr="005C01C5">
              <w:rPr>
                <w:b/>
                <w:color w:val="000000"/>
              </w:rPr>
              <w:t>4 (1.7%)</w:t>
            </w:r>
          </w:p>
        </w:tc>
        <w:tc>
          <w:tcPr>
            <w:tcW w:w="1463" w:type="dxa"/>
            <w:tcBorders>
              <w:top w:val="nil"/>
              <w:left w:val="nil"/>
              <w:bottom w:val="nil"/>
              <w:right w:val="nil"/>
            </w:tcBorders>
            <w:shd w:val="clear" w:color="auto" w:fill="FFFFFF"/>
            <w:tcMar>
              <w:top w:w="0" w:type="dxa"/>
              <w:left w:w="60" w:type="dxa"/>
              <w:bottom w:w="0" w:type="dxa"/>
              <w:right w:w="60" w:type="dxa"/>
            </w:tcMar>
            <w:vAlign w:val="center"/>
            <w:hideMark/>
          </w:tcPr>
          <w:p w14:paraId="19FD86C6" w14:textId="77777777" w:rsidR="00576FE1" w:rsidRPr="005C01C5" w:rsidRDefault="00576FE1" w:rsidP="00115CD6">
            <w:pPr>
              <w:keepNext/>
              <w:adjustRightInd w:val="0"/>
              <w:spacing w:after="0" w:line="240" w:lineRule="auto"/>
              <w:jc w:val="center"/>
              <w:rPr>
                <w:b/>
                <w:color w:val="000000"/>
              </w:rPr>
            </w:pPr>
            <w:r w:rsidRPr="005C01C5">
              <w:rPr>
                <w:b/>
                <w:color w:val="000000"/>
              </w:rPr>
              <w:t>14 (2.9%)</w:t>
            </w:r>
          </w:p>
        </w:tc>
      </w:tr>
      <w:tr w:rsidR="00576FE1" w:rsidRPr="005C01C5" w14:paraId="58DC6BF2" w14:textId="77777777" w:rsidTr="00800E62">
        <w:trPr>
          <w:cantSplit/>
        </w:trPr>
        <w:tc>
          <w:tcPr>
            <w:tcW w:w="3969" w:type="dxa"/>
            <w:tcBorders>
              <w:top w:val="nil"/>
              <w:left w:val="nil"/>
              <w:bottom w:val="nil"/>
              <w:right w:val="nil"/>
            </w:tcBorders>
            <w:shd w:val="clear" w:color="auto" w:fill="FFFFFF"/>
            <w:tcMar>
              <w:top w:w="0" w:type="dxa"/>
              <w:left w:w="60" w:type="dxa"/>
              <w:bottom w:w="0" w:type="dxa"/>
              <w:right w:w="60" w:type="dxa"/>
            </w:tcMar>
            <w:vAlign w:val="center"/>
            <w:hideMark/>
          </w:tcPr>
          <w:p w14:paraId="555F9B61" w14:textId="77777777" w:rsidR="00576FE1" w:rsidRPr="005C01C5" w:rsidRDefault="00576FE1" w:rsidP="00115CD6">
            <w:pPr>
              <w:keepNext/>
              <w:adjustRightInd w:val="0"/>
              <w:spacing w:after="0" w:line="240" w:lineRule="auto"/>
              <w:ind w:hanging="209"/>
              <w:rPr>
                <w:color w:val="000000"/>
              </w:rPr>
            </w:pPr>
            <w:r w:rsidRPr="005C01C5">
              <w:rPr>
                <w:color w:val="000000"/>
              </w:rPr>
              <w:t xml:space="preserve">    Alanine aminotransferase increased</w:t>
            </w:r>
          </w:p>
        </w:tc>
        <w:tc>
          <w:tcPr>
            <w:tcW w:w="1701" w:type="dxa"/>
            <w:tcBorders>
              <w:top w:val="nil"/>
              <w:left w:val="nil"/>
              <w:bottom w:val="nil"/>
              <w:right w:val="nil"/>
            </w:tcBorders>
            <w:shd w:val="clear" w:color="auto" w:fill="FFFFFF"/>
            <w:tcMar>
              <w:top w:w="0" w:type="dxa"/>
              <w:left w:w="60" w:type="dxa"/>
              <w:bottom w:w="0" w:type="dxa"/>
              <w:right w:w="60" w:type="dxa"/>
            </w:tcMar>
            <w:vAlign w:val="center"/>
            <w:hideMark/>
          </w:tcPr>
          <w:p w14:paraId="4FD8CBED" w14:textId="77777777" w:rsidR="00576FE1" w:rsidRPr="005C01C5" w:rsidRDefault="00576FE1" w:rsidP="00115CD6">
            <w:pPr>
              <w:keepNext/>
              <w:adjustRightInd w:val="0"/>
              <w:spacing w:after="0" w:line="240" w:lineRule="auto"/>
              <w:jc w:val="center"/>
              <w:rPr>
                <w:color w:val="000000"/>
              </w:rPr>
            </w:pPr>
            <w:r w:rsidRPr="005C01C5">
              <w:rPr>
                <w:color w:val="000000"/>
              </w:rPr>
              <w:t>8 (3.3%)</w:t>
            </w:r>
          </w:p>
        </w:tc>
        <w:tc>
          <w:tcPr>
            <w:tcW w:w="1656" w:type="dxa"/>
            <w:tcBorders>
              <w:top w:val="nil"/>
              <w:left w:val="nil"/>
              <w:bottom w:val="nil"/>
              <w:right w:val="nil"/>
            </w:tcBorders>
            <w:shd w:val="clear" w:color="auto" w:fill="FFFFFF"/>
            <w:tcMar>
              <w:top w:w="0" w:type="dxa"/>
              <w:left w:w="60" w:type="dxa"/>
              <w:bottom w:w="0" w:type="dxa"/>
              <w:right w:w="60" w:type="dxa"/>
            </w:tcMar>
            <w:vAlign w:val="center"/>
            <w:hideMark/>
          </w:tcPr>
          <w:p w14:paraId="4B142E52" w14:textId="77777777" w:rsidR="00576FE1" w:rsidRPr="005C01C5" w:rsidRDefault="00576FE1" w:rsidP="00115CD6">
            <w:pPr>
              <w:keepNext/>
              <w:adjustRightInd w:val="0"/>
              <w:spacing w:after="0" w:line="240" w:lineRule="auto"/>
              <w:jc w:val="center"/>
              <w:rPr>
                <w:color w:val="000000"/>
              </w:rPr>
            </w:pPr>
            <w:r w:rsidRPr="005C01C5">
              <w:rPr>
                <w:color w:val="000000"/>
              </w:rPr>
              <w:t>3 (1.2%)</w:t>
            </w:r>
          </w:p>
        </w:tc>
        <w:tc>
          <w:tcPr>
            <w:tcW w:w="1463" w:type="dxa"/>
            <w:tcBorders>
              <w:top w:val="nil"/>
              <w:left w:val="nil"/>
              <w:bottom w:val="nil"/>
              <w:right w:val="nil"/>
            </w:tcBorders>
            <w:shd w:val="clear" w:color="auto" w:fill="FFFFFF"/>
            <w:tcMar>
              <w:top w:w="0" w:type="dxa"/>
              <w:left w:w="60" w:type="dxa"/>
              <w:bottom w:w="0" w:type="dxa"/>
              <w:right w:w="60" w:type="dxa"/>
            </w:tcMar>
            <w:vAlign w:val="center"/>
            <w:hideMark/>
          </w:tcPr>
          <w:p w14:paraId="6041D6DB" w14:textId="77777777" w:rsidR="00576FE1" w:rsidRPr="005C01C5" w:rsidRDefault="00576FE1" w:rsidP="00115CD6">
            <w:pPr>
              <w:keepNext/>
              <w:adjustRightInd w:val="0"/>
              <w:spacing w:after="0" w:line="240" w:lineRule="auto"/>
              <w:jc w:val="center"/>
              <w:rPr>
                <w:color w:val="000000"/>
              </w:rPr>
            </w:pPr>
            <w:r w:rsidRPr="005C01C5">
              <w:rPr>
                <w:color w:val="000000"/>
              </w:rPr>
              <w:t>11 (2.3%)</w:t>
            </w:r>
          </w:p>
        </w:tc>
      </w:tr>
      <w:tr w:rsidR="00576FE1" w:rsidRPr="005C01C5" w14:paraId="25B95341" w14:textId="77777777" w:rsidTr="00800E62">
        <w:trPr>
          <w:cantSplit/>
        </w:trPr>
        <w:tc>
          <w:tcPr>
            <w:tcW w:w="3969" w:type="dxa"/>
            <w:tcBorders>
              <w:top w:val="nil"/>
              <w:left w:val="nil"/>
              <w:bottom w:val="nil"/>
              <w:right w:val="nil"/>
            </w:tcBorders>
            <w:shd w:val="clear" w:color="auto" w:fill="FFFFFF"/>
            <w:tcMar>
              <w:top w:w="0" w:type="dxa"/>
              <w:left w:w="60" w:type="dxa"/>
              <w:bottom w:w="0" w:type="dxa"/>
              <w:right w:w="60" w:type="dxa"/>
            </w:tcMar>
            <w:vAlign w:val="center"/>
            <w:hideMark/>
          </w:tcPr>
          <w:p w14:paraId="1B25FB55" w14:textId="77777777" w:rsidR="00576FE1" w:rsidRPr="005C01C5" w:rsidRDefault="00576FE1" w:rsidP="00115CD6">
            <w:pPr>
              <w:keepNext/>
              <w:adjustRightInd w:val="0"/>
              <w:spacing w:after="0" w:line="240" w:lineRule="auto"/>
              <w:ind w:hanging="209"/>
              <w:rPr>
                <w:color w:val="000000"/>
              </w:rPr>
            </w:pPr>
            <w:r w:rsidRPr="005C01C5">
              <w:rPr>
                <w:color w:val="000000"/>
              </w:rPr>
              <w:t xml:space="preserve">    Aspartate aminotransferase increased</w:t>
            </w:r>
          </w:p>
        </w:tc>
        <w:tc>
          <w:tcPr>
            <w:tcW w:w="1701" w:type="dxa"/>
            <w:tcBorders>
              <w:top w:val="nil"/>
              <w:left w:val="nil"/>
              <w:bottom w:val="nil"/>
              <w:right w:val="nil"/>
            </w:tcBorders>
            <w:shd w:val="clear" w:color="auto" w:fill="FFFFFF"/>
            <w:tcMar>
              <w:top w:w="0" w:type="dxa"/>
              <w:left w:w="60" w:type="dxa"/>
              <w:bottom w:w="0" w:type="dxa"/>
              <w:right w:w="60" w:type="dxa"/>
            </w:tcMar>
            <w:vAlign w:val="center"/>
            <w:hideMark/>
          </w:tcPr>
          <w:p w14:paraId="1B27AC3F" w14:textId="77777777" w:rsidR="00576FE1" w:rsidRPr="005C01C5" w:rsidRDefault="00576FE1" w:rsidP="00115CD6">
            <w:pPr>
              <w:keepNext/>
              <w:adjustRightInd w:val="0"/>
              <w:spacing w:after="0" w:line="240" w:lineRule="auto"/>
              <w:jc w:val="center"/>
              <w:rPr>
                <w:color w:val="000000"/>
              </w:rPr>
            </w:pPr>
            <w:r w:rsidRPr="005C01C5">
              <w:rPr>
                <w:color w:val="000000"/>
              </w:rPr>
              <w:t>5 (2.1%)</w:t>
            </w:r>
          </w:p>
        </w:tc>
        <w:tc>
          <w:tcPr>
            <w:tcW w:w="1656" w:type="dxa"/>
            <w:tcBorders>
              <w:top w:val="nil"/>
              <w:left w:val="nil"/>
              <w:bottom w:val="nil"/>
              <w:right w:val="nil"/>
            </w:tcBorders>
            <w:shd w:val="clear" w:color="auto" w:fill="FFFFFF"/>
            <w:tcMar>
              <w:top w:w="0" w:type="dxa"/>
              <w:left w:w="60" w:type="dxa"/>
              <w:bottom w:w="0" w:type="dxa"/>
              <w:right w:w="60" w:type="dxa"/>
            </w:tcMar>
            <w:vAlign w:val="center"/>
            <w:hideMark/>
          </w:tcPr>
          <w:p w14:paraId="5C07A17C" w14:textId="77777777" w:rsidR="00576FE1" w:rsidRPr="005C01C5" w:rsidRDefault="00576FE1" w:rsidP="00115CD6">
            <w:pPr>
              <w:keepNext/>
              <w:adjustRightInd w:val="0"/>
              <w:spacing w:after="0" w:line="240" w:lineRule="auto"/>
              <w:jc w:val="center"/>
              <w:rPr>
                <w:color w:val="000000"/>
              </w:rPr>
            </w:pPr>
            <w:r w:rsidRPr="005C01C5">
              <w:rPr>
                <w:color w:val="000000"/>
              </w:rPr>
              <w:t>3 (1.2%)</w:t>
            </w:r>
          </w:p>
        </w:tc>
        <w:tc>
          <w:tcPr>
            <w:tcW w:w="1463" w:type="dxa"/>
            <w:tcBorders>
              <w:top w:val="nil"/>
              <w:left w:val="nil"/>
              <w:bottom w:val="nil"/>
              <w:right w:val="nil"/>
            </w:tcBorders>
            <w:shd w:val="clear" w:color="auto" w:fill="FFFFFF"/>
            <w:tcMar>
              <w:top w:w="0" w:type="dxa"/>
              <w:left w:w="60" w:type="dxa"/>
              <w:bottom w:w="0" w:type="dxa"/>
              <w:right w:w="60" w:type="dxa"/>
            </w:tcMar>
            <w:vAlign w:val="center"/>
            <w:hideMark/>
          </w:tcPr>
          <w:p w14:paraId="2BCAFF85" w14:textId="77777777" w:rsidR="00576FE1" w:rsidRPr="005C01C5" w:rsidRDefault="00576FE1" w:rsidP="00115CD6">
            <w:pPr>
              <w:keepNext/>
              <w:adjustRightInd w:val="0"/>
              <w:spacing w:after="0" w:line="240" w:lineRule="auto"/>
              <w:jc w:val="center"/>
              <w:rPr>
                <w:color w:val="000000"/>
              </w:rPr>
            </w:pPr>
            <w:r w:rsidRPr="005C01C5">
              <w:rPr>
                <w:color w:val="000000"/>
              </w:rPr>
              <w:t>8 (1.7%)</w:t>
            </w:r>
          </w:p>
        </w:tc>
      </w:tr>
      <w:tr w:rsidR="00576FE1" w:rsidRPr="001224D4" w14:paraId="3A7829E2" w14:textId="77777777" w:rsidTr="00800E62">
        <w:trPr>
          <w:cantSplit/>
        </w:trPr>
        <w:tc>
          <w:tcPr>
            <w:tcW w:w="3969" w:type="dxa"/>
            <w:tcBorders>
              <w:top w:val="nil"/>
              <w:left w:val="nil"/>
              <w:right w:val="nil"/>
            </w:tcBorders>
            <w:shd w:val="clear" w:color="auto" w:fill="FFFFFF"/>
            <w:tcMar>
              <w:top w:w="0" w:type="dxa"/>
              <w:left w:w="60" w:type="dxa"/>
              <w:bottom w:w="0" w:type="dxa"/>
              <w:right w:w="60" w:type="dxa"/>
            </w:tcMar>
            <w:vAlign w:val="center"/>
          </w:tcPr>
          <w:p w14:paraId="51BBB875" w14:textId="77777777" w:rsidR="00576FE1" w:rsidRPr="001224D4" w:rsidRDefault="00576FE1" w:rsidP="00115CD6">
            <w:pPr>
              <w:keepNext/>
              <w:adjustRightInd w:val="0"/>
              <w:spacing w:after="0" w:line="240" w:lineRule="auto"/>
              <w:rPr>
                <w:color w:val="000000"/>
                <w:sz w:val="6"/>
                <w:szCs w:val="6"/>
              </w:rPr>
            </w:pPr>
          </w:p>
        </w:tc>
        <w:tc>
          <w:tcPr>
            <w:tcW w:w="1701" w:type="dxa"/>
            <w:tcBorders>
              <w:top w:val="nil"/>
              <w:left w:val="nil"/>
              <w:right w:val="nil"/>
            </w:tcBorders>
            <w:shd w:val="clear" w:color="auto" w:fill="FFFFFF"/>
            <w:tcMar>
              <w:top w:w="0" w:type="dxa"/>
              <w:left w:w="60" w:type="dxa"/>
              <w:bottom w:w="0" w:type="dxa"/>
              <w:right w:w="60" w:type="dxa"/>
            </w:tcMar>
            <w:vAlign w:val="center"/>
          </w:tcPr>
          <w:p w14:paraId="29A04429" w14:textId="77777777" w:rsidR="00576FE1" w:rsidRPr="001224D4" w:rsidRDefault="00576FE1" w:rsidP="00115CD6">
            <w:pPr>
              <w:keepNext/>
              <w:adjustRightInd w:val="0"/>
              <w:spacing w:after="0" w:line="240" w:lineRule="auto"/>
              <w:jc w:val="center"/>
              <w:rPr>
                <w:color w:val="000000"/>
                <w:sz w:val="6"/>
                <w:szCs w:val="6"/>
              </w:rPr>
            </w:pPr>
          </w:p>
        </w:tc>
        <w:tc>
          <w:tcPr>
            <w:tcW w:w="1656" w:type="dxa"/>
            <w:tcBorders>
              <w:top w:val="nil"/>
              <w:left w:val="nil"/>
              <w:right w:val="nil"/>
            </w:tcBorders>
            <w:shd w:val="clear" w:color="auto" w:fill="FFFFFF"/>
            <w:tcMar>
              <w:top w:w="0" w:type="dxa"/>
              <w:left w:w="60" w:type="dxa"/>
              <w:bottom w:w="0" w:type="dxa"/>
              <w:right w:w="60" w:type="dxa"/>
            </w:tcMar>
            <w:vAlign w:val="center"/>
          </w:tcPr>
          <w:p w14:paraId="0463A2B4" w14:textId="77777777" w:rsidR="00576FE1" w:rsidRPr="001224D4" w:rsidRDefault="00576FE1" w:rsidP="00115CD6">
            <w:pPr>
              <w:keepNext/>
              <w:adjustRightInd w:val="0"/>
              <w:spacing w:after="0" w:line="240" w:lineRule="auto"/>
              <w:jc w:val="center"/>
              <w:rPr>
                <w:color w:val="000000"/>
                <w:sz w:val="6"/>
                <w:szCs w:val="6"/>
              </w:rPr>
            </w:pPr>
          </w:p>
        </w:tc>
        <w:tc>
          <w:tcPr>
            <w:tcW w:w="1463" w:type="dxa"/>
            <w:tcBorders>
              <w:top w:val="nil"/>
              <w:left w:val="nil"/>
              <w:right w:val="nil"/>
            </w:tcBorders>
            <w:shd w:val="clear" w:color="auto" w:fill="FFFFFF"/>
            <w:tcMar>
              <w:top w:w="0" w:type="dxa"/>
              <w:left w:w="60" w:type="dxa"/>
              <w:bottom w:w="0" w:type="dxa"/>
              <w:right w:w="60" w:type="dxa"/>
            </w:tcMar>
            <w:vAlign w:val="center"/>
          </w:tcPr>
          <w:p w14:paraId="7D6583A4" w14:textId="77777777" w:rsidR="00576FE1" w:rsidRPr="001224D4" w:rsidRDefault="00576FE1" w:rsidP="00115CD6">
            <w:pPr>
              <w:keepNext/>
              <w:adjustRightInd w:val="0"/>
              <w:spacing w:after="0" w:line="240" w:lineRule="auto"/>
              <w:jc w:val="center"/>
              <w:rPr>
                <w:color w:val="000000"/>
                <w:sz w:val="6"/>
                <w:szCs w:val="6"/>
              </w:rPr>
            </w:pPr>
          </w:p>
        </w:tc>
      </w:tr>
    </w:tbl>
    <w:p w14:paraId="2EEB8DF5" w14:textId="52B6D7D9" w:rsidR="00576FE1" w:rsidRPr="0011227C" w:rsidRDefault="00576FE1" w:rsidP="00576FE1">
      <w:pPr>
        <w:rPr>
          <w:rFonts w:ascii="Tahoma" w:hAnsi="Tahoma" w:cs="Times New Roman"/>
          <w:lang w:val="en-GB"/>
        </w:rPr>
      </w:pPr>
      <w:r w:rsidRPr="0011227C">
        <w:rPr>
          <w:i/>
          <w:sz w:val="18"/>
          <w:szCs w:val="18"/>
          <w:lang w:val="en-GB"/>
        </w:rPr>
        <w:t>(</w:t>
      </w:r>
      <w:r w:rsidRPr="0011227C">
        <w:rPr>
          <w:i/>
          <w:sz w:val="18"/>
          <w:szCs w:val="18"/>
          <w:u w:val="single"/>
          <w:lang w:val="en-GB"/>
        </w:rPr>
        <w:t>Cross reference</w:t>
      </w:r>
      <w:r w:rsidRPr="0011227C">
        <w:rPr>
          <w:i/>
          <w:sz w:val="18"/>
          <w:szCs w:val="18"/>
          <w:lang w:val="en-GB"/>
        </w:rPr>
        <w:t xml:space="preserve">: </w:t>
      </w:r>
      <w:r>
        <w:rPr>
          <w:i/>
          <w:sz w:val="18"/>
          <w:szCs w:val="18"/>
          <w:lang w:val="en-GB"/>
        </w:rPr>
        <w:t>Table 165</w:t>
      </w:r>
      <w:r w:rsidRPr="0011227C">
        <w:rPr>
          <w:i/>
          <w:sz w:val="18"/>
          <w:szCs w:val="18"/>
          <w:lang w:val="en-GB"/>
        </w:rPr>
        <w:t xml:space="preserve"> of Final Analysis Statistical Report dated </w:t>
      </w:r>
      <w:r w:rsidR="001B1571">
        <w:rPr>
          <w:i/>
          <w:sz w:val="18"/>
          <w:szCs w:val="18"/>
          <w:lang w:val="en-GB"/>
        </w:rPr>
        <w:t>4</w:t>
      </w:r>
      <w:r w:rsidR="001B1571" w:rsidRPr="001B1571">
        <w:rPr>
          <w:i/>
          <w:sz w:val="18"/>
          <w:szCs w:val="18"/>
          <w:vertAlign w:val="superscript"/>
          <w:lang w:val="en-GB"/>
        </w:rPr>
        <w:t>th</w:t>
      </w:r>
      <w:r w:rsidR="001B1571">
        <w:rPr>
          <w:i/>
          <w:sz w:val="18"/>
          <w:szCs w:val="18"/>
          <w:lang w:val="en-GB"/>
        </w:rPr>
        <w:t xml:space="preserve"> September</w:t>
      </w:r>
      <w:r w:rsidRPr="0011227C">
        <w:rPr>
          <w:i/>
          <w:sz w:val="18"/>
          <w:szCs w:val="18"/>
          <w:lang w:val="en-GB"/>
        </w:rPr>
        <w:t xml:space="preserve"> 2020).</w:t>
      </w:r>
    </w:p>
    <w:p w14:paraId="1DB1B517" w14:textId="77777777" w:rsidR="00576FE1" w:rsidRPr="0011227C" w:rsidRDefault="00576FE1" w:rsidP="00576FE1">
      <w:pPr>
        <w:rPr>
          <w:lang w:val="en-GB"/>
        </w:rPr>
      </w:pPr>
    </w:p>
    <w:p w14:paraId="457CF8F7" w14:textId="77777777" w:rsidR="00576FE1" w:rsidRDefault="00576FE1" w:rsidP="00576FE1">
      <w:pPr>
        <w:rPr>
          <w:rFonts w:ascii="Tahoma" w:hAnsi="Tahoma" w:cs="Tahoma"/>
          <w:color w:val="000000"/>
        </w:rPr>
      </w:pPr>
    </w:p>
    <w:p w14:paraId="6667EBC0" w14:textId="77777777" w:rsidR="00576FE1" w:rsidRPr="0011227C" w:rsidRDefault="00576FE1" w:rsidP="00576FE1">
      <w:pPr>
        <w:rPr>
          <w:lang w:val="en-GB"/>
        </w:rPr>
      </w:pPr>
    </w:p>
    <w:p w14:paraId="3BCC24A7" w14:textId="0982AB44" w:rsidR="00576FE1" w:rsidRDefault="00576FE1" w:rsidP="002221CF">
      <w:pPr>
        <w:pStyle w:val="Descripcin"/>
        <w:keepNext/>
        <w:outlineLvl w:val="0"/>
      </w:pPr>
      <w:bookmarkStart w:id="685" w:name="_Ref52424944"/>
      <w:bookmarkStart w:id="686" w:name="_Toc52046495"/>
      <w:bookmarkStart w:id="687" w:name="_Toc52446218"/>
      <w:bookmarkStart w:id="688" w:name="_Toc52468175"/>
      <w:r>
        <w:lastRenderedPageBreak/>
        <w:t xml:space="preserve">Table </w:t>
      </w:r>
      <w:r>
        <w:fldChar w:fldCharType="begin"/>
      </w:r>
      <w:r>
        <w:instrText xml:space="preserve"> SEQ Table \* ARABIC </w:instrText>
      </w:r>
      <w:r>
        <w:fldChar w:fldCharType="separate"/>
      </w:r>
      <w:r w:rsidR="002221CF">
        <w:rPr>
          <w:noProof/>
        </w:rPr>
        <w:t>17</w:t>
      </w:r>
      <w:r>
        <w:fldChar w:fldCharType="end"/>
      </w:r>
      <w:bookmarkEnd w:id="685"/>
      <w:r>
        <w:t xml:space="preserve">. </w:t>
      </w:r>
      <w:r w:rsidRPr="00D24B27">
        <w:t>Toxicity summary for serious TEAEs reported for ≥ 3 of patients (Safety population).</w:t>
      </w:r>
      <w:bookmarkEnd w:id="686"/>
      <w:bookmarkEnd w:id="687"/>
      <w:bookmarkEnd w:id="688"/>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106"/>
        <w:gridCol w:w="1701"/>
        <w:gridCol w:w="1559"/>
        <w:gridCol w:w="1560"/>
      </w:tblGrid>
      <w:tr w:rsidR="00576FE1" w:rsidRPr="001224D4" w14:paraId="0F69472A" w14:textId="77777777" w:rsidTr="00800E62">
        <w:trPr>
          <w:cantSplit/>
          <w:tblHeader/>
        </w:trPr>
        <w:tc>
          <w:tcPr>
            <w:tcW w:w="4106" w:type="dxa"/>
            <w:tcBorders>
              <w:left w:val="nil"/>
              <w:bottom w:val="single" w:sz="4" w:space="0" w:color="auto"/>
              <w:right w:val="nil"/>
            </w:tcBorders>
            <w:shd w:val="clear" w:color="auto" w:fill="FFFFFF"/>
            <w:tcMar>
              <w:left w:w="60" w:type="dxa"/>
              <w:right w:w="60" w:type="dxa"/>
            </w:tcMar>
            <w:vAlign w:val="center"/>
          </w:tcPr>
          <w:p w14:paraId="21A6F6D5" w14:textId="77777777" w:rsidR="00576FE1" w:rsidRPr="001224D4" w:rsidRDefault="00576FE1" w:rsidP="00115CD6">
            <w:pPr>
              <w:keepNext/>
              <w:adjustRightInd w:val="0"/>
              <w:spacing w:after="0" w:line="240" w:lineRule="auto"/>
              <w:rPr>
                <w:b/>
                <w:bCs/>
                <w:lang w:val="en-GB"/>
              </w:rPr>
            </w:pPr>
            <w:r w:rsidRPr="001224D4">
              <w:rPr>
                <w:b/>
                <w:bCs/>
                <w:lang w:val="en-GB"/>
              </w:rPr>
              <w:t>SOC / PT</w:t>
            </w:r>
          </w:p>
          <w:p w14:paraId="1D580CE4" w14:textId="77777777" w:rsidR="00576FE1" w:rsidRPr="001224D4" w:rsidRDefault="00576FE1" w:rsidP="00115CD6">
            <w:pPr>
              <w:keepNext/>
              <w:adjustRightInd w:val="0"/>
              <w:spacing w:after="0" w:line="240" w:lineRule="auto"/>
              <w:rPr>
                <w:b/>
                <w:bCs/>
                <w:lang w:val="en-GB"/>
              </w:rPr>
            </w:pPr>
            <w:r w:rsidRPr="001224D4">
              <w:rPr>
                <w:bCs/>
                <w:lang w:val="en-GB"/>
              </w:rPr>
              <w:t>N (%)</w:t>
            </w:r>
          </w:p>
        </w:tc>
        <w:tc>
          <w:tcPr>
            <w:tcW w:w="1701" w:type="dxa"/>
            <w:tcBorders>
              <w:left w:val="nil"/>
              <w:bottom w:val="single" w:sz="4" w:space="0" w:color="auto"/>
              <w:right w:val="nil"/>
            </w:tcBorders>
            <w:shd w:val="clear" w:color="auto" w:fill="FFFFFF"/>
            <w:tcMar>
              <w:left w:w="60" w:type="dxa"/>
              <w:right w:w="60" w:type="dxa"/>
            </w:tcMar>
            <w:vAlign w:val="center"/>
          </w:tcPr>
          <w:p w14:paraId="55F3538E" w14:textId="77777777" w:rsidR="00576FE1" w:rsidRPr="001224D4" w:rsidRDefault="00576FE1" w:rsidP="00115CD6">
            <w:pPr>
              <w:keepNext/>
              <w:adjustRightInd w:val="0"/>
              <w:spacing w:after="0" w:line="240" w:lineRule="auto"/>
              <w:jc w:val="center"/>
              <w:rPr>
                <w:b/>
                <w:bCs/>
              </w:rPr>
            </w:pPr>
            <w:r w:rsidRPr="001224D4">
              <w:rPr>
                <w:b/>
                <w:bCs/>
              </w:rPr>
              <w:t>Palbociclib-</w:t>
            </w:r>
          </w:p>
          <w:p w14:paraId="72D9486C" w14:textId="77777777" w:rsidR="00576FE1" w:rsidRPr="001224D4" w:rsidRDefault="00576FE1" w:rsidP="00115CD6">
            <w:pPr>
              <w:keepNext/>
              <w:adjustRightInd w:val="0"/>
              <w:spacing w:after="0" w:line="240" w:lineRule="auto"/>
              <w:jc w:val="center"/>
              <w:rPr>
                <w:b/>
                <w:bCs/>
              </w:rPr>
            </w:pPr>
            <w:proofErr w:type="spellStart"/>
            <w:r w:rsidRPr="001224D4">
              <w:rPr>
                <w:b/>
                <w:bCs/>
              </w:rPr>
              <w:t>Fulvestrant</w:t>
            </w:r>
            <w:proofErr w:type="spellEnd"/>
            <w:r w:rsidRPr="001224D4">
              <w:rPr>
                <w:b/>
                <w:bCs/>
              </w:rPr>
              <w:t xml:space="preserve"> </w:t>
            </w:r>
          </w:p>
          <w:p w14:paraId="14BC4F46" w14:textId="77777777" w:rsidR="00576FE1" w:rsidRPr="001224D4" w:rsidRDefault="00576FE1" w:rsidP="00115CD6">
            <w:pPr>
              <w:keepNext/>
              <w:adjustRightInd w:val="0"/>
              <w:spacing w:after="0" w:line="240" w:lineRule="auto"/>
              <w:jc w:val="center"/>
              <w:rPr>
                <w:bCs/>
              </w:rPr>
            </w:pPr>
            <w:r w:rsidRPr="001224D4">
              <w:rPr>
                <w:bCs/>
              </w:rPr>
              <w:t>(N=241)</w:t>
            </w:r>
          </w:p>
        </w:tc>
        <w:tc>
          <w:tcPr>
            <w:tcW w:w="1559" w:type="dxa"/>
            <w:tcBorders>
              <w:left w:val="nil"/>
              <w:bottom w:val="single" w:sz="4" w:space="0" w:color="auto"/>
              <w:right w:val="nil"/>
            </w:tcBorders>
            <w:shd w:val="clear" w:color="auto" w:fill="FFFFFF"/>
            <w:tcMar>
              <w:left w:w="60" w:type="dxa"/>
              <w:right w:w="60" w:type="dxa"/>
            </w:tcMar>
            <w:vAlign w:val="center"/>
          </w:tcPr>
          <w:p w14:paraId="1739E39C" w14:textId="77777777" w:rsidR="00576FE1" w:rsidRPr="001224D4" w:rsidRDefault="00576FE1" w:rsidP="00115CD6">
            <w:pPr>
              <w:keepNext/>
              <w:adjustRightInd w:val="0"/>
              <w:spacing w:after="0" w:line="240" w:lineRule="auto"/>
              <w:jc w:val="center"/>
              <w:rPr>
                <w:b/>
                <w:bCs/>
              </w:rPr>
            </w:pPr>
            <w:r w:rsidRPr="001224D4">
              <w:rPr>
                <w:b/>
                <w:bCs/>
              </w:rPr>
              <w:t>Palbociclib-</w:t>
            </w:r>
          </w:p>
          <w:p w14:paraId="22DD8D79" w14:textId="77777777" w:rsidR="00576FE1" w:rsidRPr="001224D4" w:rsidRDefault="00576FE1" w:rsidP="00115CD6">
            <w:pPr>
              <w:keepNext/>
              <w:adjustRightInd w:val="0"/>
              <w:spacing w:after="0" w:line="240" w:lineRule="auto"/>
              <w:jc w:val="center"/>
              <w:rPr>
                <w:b/>
                <w:bCs/>
              </w:rPr>
            </w:pPr>
            <w:r w:rsidRPr="001224D4">
              <w:rPr>
                <w:b/>
                <w:bCs/>
              </w:rPr>
              <w:t xml:space="preserve">Letrozole </w:t>
            </w:r>
          </w:p>
          <w:p w14:paraId="28891E78" w14:textId="77777777" w:rsidR="00576FE1" w:rsidRPr="001224D4" w:rsidRDefault="00576FE1" w:rsidP="00115CD6">
            <w:pPr>
              <w:keepNext/>
              <w:adjustRightInd w:val="0"/>
              <w:spacing w:after="0" w:line="240" w:lineRule="auto"/>
              <w:jc w:val="center"/>
              <w:rPr>
                <w:bCs/>
              </w:rPr>
            </w:pPr>
            <w:r w:rsidRPr="001224D4">
              <w:rPr>
                <w:bCs/>
              </w:rPr>
              <w:t>(N=242)</w:t>
            </w:r>
          </w:p>
        </w:tc>
        <w:tc>
          <w:tcPr>
            <w:tcW w:w="1560" w:type="dxa"/>
            <w:tcBorders>
              <w:left w:val="nil"/>
              <w:bottom w:val="single" w:sz="4" w:space="0" w:color="auto"/>
              <w:right w:val="nil"/>
            </w:tcBorders>
            <w:shd w:val="clear" w:color="auto" w:fill="FFFFFF"/>
            <w:tcMar>
              <w:left w:w="60" w:type="dxa"/>
              <w:right w:w="60" w:type="dxa"/>
            </w:tcMar>
            <w:vAlign w:val="center"/>
          </w:tcPr>
          <w:p w14:paraId="2F62AE52" w14:textId="77777777" w:rsidR="00576FE1" w:rsidRPr="001224D4" w:rsidRDefault="00576FE1" w:rsidP="00115CD6">
            <w:pPr>
              <w:keepNext/>
              <w:adjustRightInd w:val="0"/>
              <w:spacing w:after="0" w:line="240" w:lineRule="auto"/>
              <w:jc w:val="center"/>
              <w:rPr>
                <w:b/>
                <w:bCs/>
              </w:rPr>
            </w:pPr>
            <w:r w:rsidRPr="001224D4">
              <w:rPr>
                <w:b/>
                <w:bCs/>
              </w:rPr>
              <w:t xml:space="preserve">Overall </w:t>
            </w:r>
          </w:p>
          <w:p w14:paraId="77C659A0" w14:textId="77777777" w:rsidR="00576FE1" w:rsidRPr="001224D4" w:rsidRDefault="00576FE1" w:rsidP="00115CD6">
            <w:pPr>
              <w:keepNext/>
              <w:adjustRightInd w:val="0"/>
              <w:spacing w:after="0" w:line="240" w:lineRule="auto"/>
              <w:jc w:val="center"/>
              <w:rPr>
                <w:bCs/>
              </w:rPr>
            </w:pPr>
            <w:r w:rsidRPr="001224D4">
              <w:rPr>
                <w:bCs/>
              </w:rPr>
              <w:t>(N=483)</w:t>
            </w:r>
          </w:p>
        </w:tc>
      </w:tr>
      <w:tr w:rsidR="00576FE1" w:rsidRPr="001224D4" w14:paraId="70EB47B4" w14:textId="77777777" w:rsidTr="00800E62">
        <w:trPr>
          <w:cantSplit/>
          <w:trHeight w:val="413"/>
        </w:trPr>
        <w:tc>
          <w:tcPr>
            <w:tcW w:w="4106" w:type="dxa"/>
            <w:tcBorders>
              <w:left w:val="nil"/>
              <w:bottom w:val="nil"/>
              <w:right w:val="nil"/>
            </w:tcBorders>
            <w:shd w:val="clear" w:color="auto" w:fill="FFFFFF"/>
            <w:tcMar>
              <w:left w:w="60" w:type="dxa"/>
              <w:right w:w="60" w:type="dxa"/>
            </w:tcMar>
            <w:vAlign w:val="center"/>
          </w:tcPr>
          <w:p w14:paraId="54DBC96F" w14:textId="77777777" w:rsidR="00576FE1" w:rsidRPr="001224D4" w:rsidRDefault="00576FE1" w:rsidP="00115CD6">
            <w:pPr>
              <w:keepNext/>
              <w:adjustRightInd w:val="0"/>
              <w:spacing w:after="0" w:line="240" w:lineRule="auto"/>
              <w:rPr>
                <w:b/>
              </w:rPr>
            </w:pPr>
            <w:r w:rsidRPr="001224D4">
              <w:rPr>
                <w:b/>
              </w:rPr>
              <w:t>Infections and infestations</w:t>
            </w:r>
          </w:p>
        </w:tc>
        <w:tc>
          <w:tcPr>
            <w:tcW w:w="1701" w:type="dxa"/>
            <w:tcBorders>
              <w:left w:val="nil"/>
              <w:bottom w:val="nil"/>
              <w:right w:val="nil"/>
            </w:tcBorders>
            <w:shd w:val="clear" w:color="auto" w:fill="FFFFFF"/>
            <w:tcMar>
              <w:left w:w="60" w:type="dxa"/>
              <w:right w:w="60" w:type="dxa"/>
            </w:tcMar>
            <w:vAlign w:val="center"/>
          </w:tcPr>
          <w:p w14:paraId="0ECB837D" w14:textId="77777777" w:rsidR="00576FE1" w:rsidRPr="001224D4" w:rsidRDefault="00576FE1" w:rsidP="00115CD6">
            <w:pPr>
              <w:keepNext/>
              <w:adjustRightInd w:val="0"/>
              <w:spacing w:after="0" w:line="240" w:lineRule="auto"/>
              <w:jc w:val="center"/>
              <w:rPr>
                <w:b/>
              </w:rPr>
            </w:pPr>
            <w:r w:rsidRPr="001224D4">
              <w:rPr>
                <w:b/>
              </w:rPr>
              <w:t>11 (4.6%)</w:t>
            </w:r>
          </w:p>
        </w:tc>
        <w:tc>
          <w:tcPr>
            <w:tcW w:w="1559" w:type="dxa"/>
            <w:tcBorders>
              <w:left w:val="nil"/>
              <w:bottom w:val="nil"/>
              <w:right w:val="nil"/>
            </w:tcBorders>
            <w:shd w:val="clear" w:color="auto" w:fill="FFFFFF"/>
            <w:tcMar>
              <w:left w:w="60" w:type="dxa"/>
              <w:right w:w="60" w:type="dxa"/>
            </w:tcMar>
            <w:vAlign w:val="center"/>
          </w:tcPr>
          <w:p w14:paraId="308015EC" w14:textId="77777777" w:rsidR="00576FE1" w:rsidRPr="001224D4" w:rsidRDefault="00576FE1" w:rsidP="00115CD6">
            <w:pPr>
              <w:keepNext/>
              <w:adjustRightInd w:val="0"/>
              <w:spacing w:after="0" w:line="240" w:lineRule="auto"/>
              <w:jc w:val="center"/>
              <w:rPr>
                <w:b/>
              </w:rPr>
            </w:pPr>
            <w:r w:rsidRPr="001224D4">
              <w:rPr>
                <w:b/>
              </w:rPr>
              <w:t>21 (8.7%)</w:t>
            </w:r>
          </w:p>
        </w:tc>
        <w:tc>
          <w:tcPr>
            <w:tcW w:w="1560" w:type="dxa"/>
            <w:tcBorders>
              <w:left w:val="nil"/>
              <w:bottom w:val="nil"/>
              <w:right w:val="nil"/>
            </w:tcBorders>
            <w:shd w:val="clear" w:color="auto" w:fill="FFFFFF"/>
            <w:tcMar>
              <w:left w:w="60" w:type="dxa"/>
              <w:right w:w="60" w:type="dxa"/>
            </w:tcMar>
            <w:vAlign w:val="center"/>
          </w:tcPr>
          <w:p w14:paraId="3CD5CB76" w14:textId="77777777" w:rsidR="00576FE1" w:rsidRPr="001224D4" w:rsidRDefault="00576FE1" w:rsidP="00115CD6">
            <w:pPr>
              <w:keepNext/>
              <w:adjustRightInd w:val="0"/>
              <w:spacing w:after="0" w:line="240" w:lineRule="auto"/>
              <w:jc w:val="center"/>
              <w:rPr>
                <w:b/>
              </w:rPr>
            </w:pPr>
            <w:r w:rsidRPr="001224D4">
              <w:rPr>
                <w:b/>
              </w:rPr>
              <w:t>32 (6.6%)</w:t>
            </w:r>
          </w:p>
        </w:tc>
      </w:tr>
      <w:tr w:rsidR="00576FE1" w:rsidRPr="001224D4" w14:paraId="6874E40D"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0D2ABC6E" w14:textId="77777777" w:rsidR="00576FE1" w:rsidRPr="001224D4" w:rsidRDefault="00576FE1" w:rsidP="00115CD6">
            <w:pPr>
              <w:keepNext/>
              <w:adjustRightInd w:val="0"/>
              <w:spacing w:after="0" w:line="240" w:lineRule="auto"/>
              <w:ind w:hanging="211"/>
            </w:pPr>
            <w:r w:rsidRPr="001224D4">
              <w:t xml:space="preserve">    Pneumonia</w:t>
            </w:r>
          </w:p>
        </w:tc>
        <w:tc>
          <w:tcPr>
            <w:tcW w:w="1701" w:type="dxa"/>
            <w:tcBorders>
              <w:top w:val="nil"/>
              <w:left w:val="nil"/>
              <w:bottom w:val="nil"/>
              <w:right w:val="nil"/>
            </w:tcBorders>
            <w:shd w:val="clear" w:color="auto" w:fill="FFFFFF"/>
            <w:tcMar>
              <w:left w:w="60" w:type="dxa"/>
              <w:right w:w="60" w:type="dxa"/>
            </w:tcMar>
            <w:vAlign w:val="center"/>
          </w:tcPr>
          <w:p w14:paraId="3B8B7B23" w14:textId="77777777" w:rsidR="00576FE1" w:rsidRPr="001224D4" w:rsidRDefault="00576FE1" w:rsidP="00115CD6">
            <w:pPr>
              <w:keepNext/>
              <w:adjustRightInd w:val="0"/>
              <w:spacing w:after="0" w:line="240" w:lineRule="auto"/>
              <w:jc w:val="center"/>
            </w:pPr>
            <w:r w:rsidRPr="001224D4">
              <w:t>2 (0.8%)</w:t>
            </w:r>
          </w:p>
        </w:tc>
        <w:tc>
          <w:tcPr>
            <w:tcW w:w="1559" w:type="dxa"/>
            <w:tcBorders>
              <w:top w:val="nil"/>
              <w:left w:val="nil"/>
              <w:bottom w:val="nil"/>
              <w:right w:val="nil"/>
            </w:tcBorders>
            <w:shd w:val="clear" w:color="auto" w:fill="FFFFFF"/>
            <w:tcMar>
              <w:left w:w="60" w:type="dxa"/>
              <w:right w:w="60" w:type="dxa"/>
            </w:tcMar>
            <w:vAlign w:val="center"/>
          </w:tcPr>
          <w:p w14:paraId="70FFC9E0" w14:textId="77777777" w:rsidR="00576FE1" w:rsidRPr="001224D4" w:rsidRDefault="00576FE1" w:rsidP="00115CD6">
            <w:pPr>
              <w:keepNext/>
              <w:adjustRightInd w:val="0"/>
              <w:spacing w:after="0" w:line="240" w:lineRule="auto"/>
              <w:jc w:val="center"/>
            </w:pPr>
            <w:r w:rsidRPr="001224D4">
              <w:t>3 (1.2%)</w:t>
            </w:r>
          </w:p>
        </w:tc>
        <w:tc>
          <w:tcPr>
            <w:tcW w:w="1560" w:type="dxa"/>
            <w:tcBorders>
              <w:top w:val="nil"/>
              <w:left w:val="nil"/>
              <w:bottom w:val="nil"/>
              <w:right w:val="nil"/>
            </w:tcBorders>
            <w:shd w:val="clear" w:color="auto" w:fill="FFFFFF"/>
            <w:tcMar>
              <w:left w:w="60" w:type="dxa"/>
              <w:right w:w="60" w:type="dxa"/>
            </w:tcMar>
            <w:vAlign w:val="center"/>
          </w:tcPr>
          <w:p w14:paraId="1FF08040" w14:textId="77777777" w:rsidR="00576FE1" w:rsidRPr="001224D4" w:rsidRDefault="00576FE1" w:rsidP="00115CD6">
            <w:pPr>
              <w:keepNext/>
              <w:adjustRightInd w:val="0"/>
              <w:spacing w:after="0" w:line="240" w:lineRule="auto"/>
              <w:jc w:val="center"/>
            </w:pPr>
            <w:r w:rsidRPr="001224D4">
              <w:t>5 (1.0%)</w:t>
            </w:r>
          </w:p>
        </w:tc>
      </w:tr>
      <w:tr w:rsidR="00576FE1" w:rsidRPr="001224D4" w14:paraId="71CC9193"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675DA787" w14:textId="77777777" w:rsidR="00576FE1" w:rsidRPr="001224D4" w:rsidRDefault="00576FE1" w:rsidP="00115CD6">
            <w:pPr>
              <w:keepNext/>
              <w:adjustRightInd w:val="0"/>
              <w:spacing w:after="0" w:line="240" w:lineRule="auto"/>
              <w:ind w:hanging="211"/>
            </w:pPr>
            <w:r w:rsidRPr="001224D4">
              <w:t xml:space="preserve">    Urinary tract infection</w:t>
            </w:r>
          </w:p>
        </w:tc>
        <w:tc>
          <w:tcPr>
            <w:tcW w:w="1701" w:type="dxa"/>
            <w:tcBorders>
              <w:top w:val="nil"/>
              <w:left w:val="nil"/>
              <w:bottom w:val="nil"/>
              <w:right w:val="nil"/>
            </w:tcBorders>
            <w:shd w:val="clear" w:color="auto" w:fill="FFFFFF"/>
            <w:tcMar>
              <w:left w:w="60" w:type="dxa"/>
              <w:right w:w="60" w:type="dxa"/>
            </w:tcMar>
            <w:vAlign w:val="center"/>
          </w:tcPr>
          <w:p w14:paraId="0EF0D9F6" w14:textId="77777777" w:rsidR="00576FE1" w:rsidRPr="001224D4" w:rsidRDefault="00576FE1" w:rsidP="00115CD6">
            <w:pPr>
              <w:keepNext/>
              <w:adjustRightInd w:val="0"/>
              <w:spacing w:after="0" w:line="240" w:lineRule="auto"/>
              <w:jc w:val="center"/>
            </w:pPr>
            <w:r w:rsidRPr="001224D4">
              <w:t>2 (0.8%)</w:t>
            </w:r>
          </w:p>
        </w:tc>
        <w:tc>
          <w:tcPr>
            <w:tcW w:w="1559" w:type="dxa"/>
            <w:tcBorders>
              <w:top w:val="nil"/>
              <w:left w:val="nil"/>
              <w:bottom w:val="nil"/>
              <w:right w:val="nil"/>
            </w:tcBorders>
            <w:shd w:val="clear" w:color="auto" w:fill="FFFFFF"/>
            <w:tcMar>
              <w:left w:w="60" w:type="dxa"/>
              <w:right w:w="60" w:type="dxa"/>
            </w:tcMar>
            <w:vAlign w:val="center"/>
          </w:tcPr>
          <w:p w14:paraId="48E665C5" w14:textId="77777777" w:rsidR="00576FE1" w:rsidRPr="001224D4" w:rsidRDefault="00576FE1" w:rsidP="00115CD6">
            <w:pPr>
              <w:keepNext/>
              <w:adjustRightInd w:val="0"/>
              <w:spacing w:after="0" w:line="240" w:lineRule="auto"/>
              <w:jc w:val="center"/>
            </w:pPr>
            <w:r w:rsidRPr="001224D4">
              <w:t>3 (1.2%)</w:t>
            </w:r>
          </w:p>
        </w:tc>
        <w:tc>
          <w:tcPr>
            <w:tcW w:w="1560" w:type="dxa"/>
            <w:tcBorders>
              <w:top w:val="nil"/>
              <w:left w:val="nil"/>
              <w:bottom w:val="nil"/>
              <w:right w:val="nil"/>
            </w:tcBorders>
            <w:shd w:val="clear" w:color="auto" w:fill="FFFFFF"/>
            <w:tcMar>
              <w:left w:w="60" w:type="dxa"/>
              <w:right w:w="60" w:type="dxa"/>
            </w:tcMar>
            <w:vAlign w:val="center"/>
          </w:tcPr>
          <w:p w14:paraId="49DB0145" w14:textId="77777777" w:rsidR="00576FE1" w:rsidRPr="001224D4" w:rsidRDefault="00576FE1" w:rsidP="00115CD6">
            <w:pPr>
              <w:keepNext/>
              <w:adjustRightInd w:val="0"/>
              <w:spacing w:after="0" w:line="240" w:lineRule="auto"/>
              <w:jc w:val="center"/>
            </w:pPr>
            <w:r w:rsidRPr="001224D4">
              <w:t>5 (1.0%)</w:t>
            </w:r>
          </w:p>
        </w:tc>
      </w:tr>
      <w:tr w:rsidR="00576FE1" w:rsidRPr="001224D4" w14:paraId="2A80D368"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4FF9A89E" w14:textId="77777777" w:rsidR="00576FE1" w:rsidRPr="001224D4" w:rsidRDefault="00576FE1" w:rsidP="00115CD6">
            <w:pPr>
              <w:keepNext/>
              <w:adjustRightInd w:val="0"/>
              <w:spacing w:after="0" w:line="240" w:lineRule="auto"/>
              <w:ind w:hanging="211"/>
            </w:pPr>
            <w:r w:rsidRPr="001224D4">
              <w:t xml:space="preserve">    Lower respiratory tract infection</w:t>
            </w:r>
          </w:p>
        </w:tc>
        <w:tc>
          <w:tcPr>
            <w:tcW w:w="1701" w:type="dxa"/>
            <w:tcBorders>
              <w:top w:val="nil"/>
              <w:left w:val="nil"/>
              <w:bottom w:val="nil"/>
              <w:right w:val="nil"/>
            </w:tcBorders>
            <w:shd w:val="clear" w:color="auto" w:fill="FFFFFF"/>
            <w:tcMar>
              <w:left w:w="60" w:type="dxa"/>
              <w:right w:w="60" w:type="dxa"/>
            </w:tcMar>
            <w:vAlign w:val="center"/>
          </w:tcPr>
          <w:p w14:paraId="37C684C0" w14:textId="77777777" w:rsidR="00576FE1" w:rsidRPr="001224D4" w:rsidRDefault="00576FE1" w:rsidP="00115CD6">
            <w:pPr>
              <w:keepNext/>
              <w:adjustRightInd w:val="0"/>
              <w:spacing w:after="0" w:line="240" w:lineRule="auto"/>
              <w:jc w:val="center"/>
            </w:pPr>
            <w:r w:rsidRPr="001224D4">
              <w:t>1 (0.4%)</w:t>
            </w:r>
          </w:p>
        </w:tc>
        <w:tc>
          <w:tcPr>
            <w:tcW w:w="1559" w:type="dxa"/>
            <w:tcBorders>
              <w:top w:val="nil"/>
              <w:left w:val="nil"/>
              <w:bottom w:val="nil"/>
              <w:right w:val="nil"/>
            </w:tcBorders>
            <w:shd w:val="clear" w:color="auto" w:fill="FFFFFF"/>
            <w:tcMar>
              <w:left w:w="60" w:type="dxa"/>
              <w:right w:w="60" w:type="dxa"/>
            </w:tcMar>
            <w:vAlign w:val="center"/>
          </w:tcPr>
          <w:p w14:paraId="55DF7AF0" w14:textId="77777777" w:rsidR="00576FE1" w:rsidRPr="001224D4" w:rsidRDefault="00576FE1" w:rsidP="00115CD6">
            <w:pPr>
              <w:keepNext/>
              <w:adjustRightInd w:val="0"/>
              <w:spacing w:after="0" w:line="240" w:lineRule="auto"/>
              <w:jc w:val="center"/>
            </w:pPr>
            <w:r w:rsidRPr="001224D4">
              <w:t>3 (1.2%)</w:t>
            </w:r>
          </w:p>
        </w:tc>
        <w:tc>
          <w:tcPr>
            <w:tcW w:w="1560" w:type="dxa"/>
            <w:tcBorders>
              <w:top w:val="nil"/>
              <w:left w:val="nil"/>
              <w:bottom w:val="nil"/>
              <w:right w:val="nil"/>
            </w:tcBorders>
            <w:shd w:val="clear" w:color="auto" w:fill="FFFFFF"/>
            <w:tcMar>
              <w:left w:w="60" w:type="dxa"/>
              <w:right w:w="60" w:type="dxa"/>
            </w:tcMar>
            <w:vAlign w:val="center"/>
          </w:tcPr>
          <w:p w14:paraId="797C2413" w14:textId="77777777" w:rsidR="00576FE1" w:rsidRPr="001224D4" w:rsidRDefault="00576FE1" w:rsidP="00115CD6">
            <w:pPr>
              <w:keepNext/>
              <w:adjustRightInd w:val="0"/>
              <w:spacing w:after="0" w:line="240" w:lineRule="auto"/>
              <w:jc w:val="center"/>
            </w:pPr>
            <w:r w:rsidRPr="001224D4">
              <w:t>4 (0.8%)</w:t>
            </w:r>
          </w:p>
        </w:tc>
      </w:tr>
      <w:tr w:rsidR="00576FE1" w:rsidRPr="001224D4" w14:paraId="672DA617"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2B3B02D7" w14:textId="77777777" w:rsidR="00576FE1" w:rsidRPr="001224D4" w:rsidRDefault="00576FE1" w:rsidP="00115CD6">
            <w:pPr>
              <w:keepNext/>
              <w:adjustRightInd w:val="0"/>
              <w:spacing w:after="0" w:line="240" w:lineRule="auto"/>
              <w:ind w:hanging="211"/>
            </w:pPr>
            <w:r w:rsidRPr="001224D4">
              <w:t xml:space="preserve">    Respiratory tract infection</w:t>
            </w:r>
          </w:p>
        </w:tc>
        <w:tc>
          <w:tcPr>
            <w:tcW w:w="1701" w:type="dxa"/>
            <w:tcBorders>
              <w:top w:val="nil"/>
              <w:left w:val="nil"/>
              <w:bottom w:val="nil"/>
              <w:right w:val="nil"/>
            </w:tcBorders>
            <w:shd w:val="clear" w:color="auto" w:fill="FFFFFF"/>
            <w:tcMar>
              <w:left w:w="60" w:type="dxa"/>
              <w:right w:w="60" w:type="dxa"/>
            </w:tcMar>
            <w:vAlign w:val="center"/>
          </w:tcPr>
          <w:p w14:paraId="11E8C594" w14:textId="77777777" w:rsidR="00576FE1" w:rsidRPr="001224D4" w:rsidRDefault="00576FE1" w:rsidP="00115CD6">
            <w:pPr>
              <w:keepNext/>
              <w:adjustRightInd w:val="0"/>
              <w:spacing w:after="0" w:line="240" w:lineRule="auto"/>
              <w:jc w:val="center"/>
            </w:pPr>
            <w:r w:rsidRPr="001224D4">
              <w:t>2 (0.8%)</w:t>
            </w:r>
          </w:p>
        </w:tc>
        <w:tc>
          <w:tcPr>
            <w:tcW w:w="1559" w:type="dxa"/>
            <w:tcBorders>
              <w:top w:val="nil"/>
              <w:left w:val="nil"/>
              <w:bottom w:val="nil"/>
              <w:right w:val="nil"/>
            </w:tcBorders>
            <w:shd w:val="clear" w:color="auto" w:fill="FFFFFF"/>
            <w:tcMar>
              <w:left w:w="60" w:type="dxa"/>
              <w:right w:w="60" w:type="dxa"/>
            </w:tcMar>
            <w:vAlign w:val="center"/>
          </w:tcPr>
          <w:p w14:paraId="29F07F95" w14:textId="77777777" w:rsidR="00576FE1" w:rsidRPr="001224D4" w:rsidRDefault="00576FE1" w:rsidP="00115CD6">
            <w:pPr>
              <w:keepNext/>
              <w:adjustRightInd w:val="0"/>
              <w:spacing w:after="0" w:line="240" w:lineRule="auto"/>
              <w:jc w:val="center"/>
            </w:pPr>
            <w:r w:rsidRPr="001224D4">
              <w:t>2 (0.8%)</w:t>
            </w:r>
          </w:p>
        </w:tc>
        <w:tc>
          <w:tcPr>
            <w:tcW w:w="1560" w:type="dxa"/>
            <w:tcBorders>
              <w:top w:val="nil"/>
              <w:left w:val="nil"/>
              <w:bottom w:val="nil"/>
              <w:right w:val="nil"/>
            </w:tcBorders>
            <w:shd w:val="clear" w:color="auto" w:fill="FFFFFF"/>
            <w:tcMar>
              <w:left w:w="60" w:type="dxa"/>
              <w:right w:w="60" w:type="dxa"/>
            </w:tcMar>
            <w:vAlign w:val="center"/>
          </w:tcPr>
          <w:p w14:paraId="0A5B2F2E" w14:textId="77777777" w:rsidR="00576FE1" w:rsidRPr="001224D4" w:rsidRDefault="00576FE1" w:rsidP="00115CD6">
            <w:pPr>
              <w:keepNext/>
              <w:adjustRightInd w:val="0"/>
              <w:spacing w:after="0" w:line="240" w:lineRule="auto"/>
              <w:jc w:val="center"/>
            </w:pPr>
            <w:r w:rsidRPr="001224D4">
              <w:t>4 (0.8%)</w:t>
            </w:r>
          </w:p>
        </w:tc>
      </w:tr>
      <w:tr w:rsidR="00576FE1" w:rsidRPr="001224D4" w14:paraId="3BD0EACE"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5D49AAE7" w14:textId="77777777" w:rsidR="00576FE1" w:rsidRPr="001224D4" w:rsidRDefault="00576FE1" w:rsidP="00115CD6">
            <w:pPr>
              <w:keepNext/>
              <w:adjustRightInd w:val="0"/>
              <w:spacing w:after="0" w:line="240" w:lineRule="auto"/>
              <w:ind w:hanging="211"/>
            </w:pPr>
            <w:r w:rsidRPr="001224D4">
              <w:t xml:space="preserve">    Influenza</w:t>
            </w:r>
          </w:p>
        </w:tc>
        <w:tc>
          <w:tcPr>
            <w:tcW w:w="1701" w:type="dxa"/>
            <w:tcBorders>
              <w:top w:val="nil"/>
              <w:left w:val="nil"/>
              <w:bottom w:val="nil"/>
              <w:right w:val="nil"/>
            </w:tcBorders>
            <w:shd w:val="clear" w:color="auto" w:fill="FFFFFF"/>
            <w:tcMar>
              <w:left w:w="60" w:type="dxa"/>
              <w:right w:w="60" w:type="dxa"/>
            </w:tcMar>
            <w:vAlign w:val="center"/>
          </w:tcPr>
          <w:p w14:paraId="6E2E44FE" w14:textId="77777777" w:rsidR="00576FE1" w:rsidRPr="001224D4" w:rsidRDefault="00576FE1" w:rsidP="00115CD6">
            <w:pPr>
              <w:keepNext/>
              <w:adjustRightInd w:val="0"/>
              <w:spacing w:after="0" w:line="240" w:lineRule="auto"/>
              <w:jc w:val="center"/>
            </w:pPr>
            <w:r w:rsidRPr="001224D4">
              <w:t>2 (0.8%)</w:t>
            </w:r>
          </w:p>
        </w:tc>
        <w:tc>
          <w:tcPr>
            <w:tcW w:w="1559" w:type="dxa"/>
            <w:tcBorders>
              <w:top w:val="nil"/>
              <w:left w:val="nil"/>
              <w:bottom w:val="nil"/>
              <w:right w:val="nil"/>
            </w:tcBorders>
            <w:shd w:val="clear" w:color="auto" w:fill="FFFFFF"/>
            <w:tcMar>
              <w:left w:w="60" w:type="dxa"/>
              <w:right w:w="60" w:type="dxa"/>
            </w:tcMar>
            <w:vAlign w:val="center"/>
          </w:tcPr>
          <w:p w14:paraId="0019C5C1" w14:textId="77777777" w:rsidR="00576FE1" w:rsidRPr="001224D4" w:rsidRDefault="00576FE1" w:rsidP="00115CD6">
            <w:pPr>
              <w:keepNext/>
              <w:adjustRightInd w:val="0"/>
              <w:spacing w:after="0" w:line="240" w:lineRule="auto"/>
              <w:jc w:val="center"/>
            </w:pPr>
            <w:r w:rsidRPr="001224D4">
              <w:t>1 (0.4%)</w:t>
            </w:r>
          </w:p>
        </w:tc>
        <w:tc>
          <w:tcPr>
            <w:tcW w:w="1560" w:type="dxa"/>
            <w:tcBorders>
              <w:top w:val="nil"/>
              <w:left w:val="nil"/>
              <w:bottom w:val="nil"/>
              <w:right w:val="nil"/>
            </w:tcBorders>
            <w:shd w:val="clear" w:color="auto" w:fill="FFFFFF"/>
            <w:tcMar>
              <w:left w:w="60" w:type="dxa"/>
              <w:right w:w="60" w:type="dxa"/>
            </w:tcMar>
            <w:vAlign w:val="center"/>
          </w:tcPr>
          <w:p w14:paraId="77C42BCA" w14:textId="77777777" w:rsidR="00576FE1" w:rsidRPr="001224D4" w:rsidRDefault="00576FE1" w:rsidP="00115CD6">
            <w:pPr>
              <w:keepNext/>
              <w:adjustRightInd w:val="0"/>
              <w:spacing w:after="0" w:line="240" w:lineRule="auto"/>
              <w:jc w:val="center"/>
            </w:pPr>
            <w:r w:rsidRPr="001224D4">
              <w:t>3 (0.6%)</w:t>
            </w:r>
          </w:p>
        </w:tc>
      </w:tr>
      <w:tr w:rsidR="00576FE1" w:rsidRPr="001224D4" w14:paraId="56543927"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58CCC337" w14:textId="77777777" w:rsidR="00576FE1" w:rsidRPr="001224D4" w:rsidRDefault="00576FE1" w:rsidP="00115CD6">
            <w:pPr>
              <w:keepNext/>
              <w:adjustRightInd w:val="0"/>
              <w:spacing w:after="0" w:line="240" w:lineRule="auto"/>
              <w:rPr>
                <w:b/>
                <w:lang w:val="en-GB"/>
              </w:rPr>
            </w:pPr>
            <w:r w:rsidRPr="001224D4">
              <w:rPr>
                <w:b/>
                <w:lang w:val="en-GB"/>
              </w:rPr>
              <w:t>Respiratory, thoracic and mediastinal disorders</w:t>
            </w:r>
          </w:p>
        </w:tc>
        <w:tc>
          <w:tcPr>
            <w:tcW w:w="1701" w:type="dxa"/>
            <w:tcBorders>
              <w:top w:val="nil"/>
              <w:left w:val="nil"/>
              <w:bottom w:val="nil"/>
              <w:right w:val="nil"/>
            </w:tcBorders>
            <w:shd w:val="clear" w:color="auto" w:fill="FFFFFF"/>
            <w:tcMar>
              <w:left w:w="60" w:type="dxa"/>
              <w:right w:w="60" w:type="dxa"/>
            </w:tcMar>
            <w:vAlign w:val="center"/>
          </w:tcPr>
          <w:p w14:paraId="426A01C7" w14:textId="77777777" w:rsidR="00576FE1" w:rsidRPr="001224D4" w:rsidRDefault="00576FE1" w:rsidP="00115CD6">
            <w:pPr>
              <w:keepNext/>
              <w:adjustRightInd w:val="0"/>
              <w:spacing w:after="0" w:line="240" w:lineRule="auto"/>
              <w:jc w:val="center"/>
              <w:rPr>
                <w:b/>
              </w:rPr>
            </w:pPr>
            <w:r w:rsidRPr="001224D4">
              <w:rPr>
                <w:b/>
              </w:rPr>
              <w:t>15 (6.2%)</w:t>
            </w:r>
          </w:p>
        </w:tc>
        <w:tc>
          <w:tcPr>
            <w:tcW w:w="1559" w:type="dxa"/>
            <w:tcBorders>
              <w:top w:val="nil"/>
              <w:left w:val="nil"/>
              <w:bottom w:val="nil"/>
              <w:right w:val="nil"/>
            </w:tcBorders>
            <w:shd w:val="clear" w:color="auto" w:fill="FFFFFF"/>
            <w:tcMar>
              <w:left w:w="60" w:type="dxa"/>
              <w:right w:w="60" w:type="dxa"/>
            </w:tcMar>
            <w:vAlign w:val="center"/>
          </w:tcPr>
          <w:p w14:paraId="77D2FF3D" w14:textId="77777777" w:rsidR="00576FE1" w:rsidRPr="001224D4" w:rsidRDefault="00576FE1" w:rsidP="00115CD6">
            <w:pPr>
              <w:keepNext/>
              <w:adjustRightInd w:val="0"/>
              <w:spacing w:after="0" w:line="240" w:lineRule="auto"/>
              <w:jc w:val="center"/>
              <w:rPr>
                <w:b/>
              </w:rPr>
            </w:pPr>
            <w:r w:rsidRPr="001224D4">
              <w:rPr>
                <w:b/>
              </w:rPr>
              <w:t>7 (2.9%)</w:t>
            </w:r>
          </w:p>
        </w:tc>
        <w:tc>
          <w:tcPr>
            <w:tcW w:w="1560" w:type="dxa"/>
            <w:tcBorders>
              <w:top w:val="nil"/>
              <w:left w:val="nil"/>
              <w:bottom w:val="nil"/>
              <w:right w:val="nil"/>
            </w:tcBorders>
            <w:shd w:val="clear" w:color="auto" w:fill="FFFFFF"/>
            <w:tcMar>
              <w:left w:w="60" w:type="dxa"/>
              <w:right w:w="60" w:type="dxa"/>
            </w:tcMar>
            <w:vAlign w:val="center"/>
          </w:tcPr>
          <w:p w14:paraId="7496C017" w14:textId="77777777" w:rsidR="00576FE1" w:rsidRPr="001224D4" w:rsidRDefault="00576FE1" w:rsidP="00115CD6">
            <w:pPr>
              <w:keepNext/>
              <w:adjustRightInd w:val="0"/>
              <w:spacing w:after="0" w:line="240" w:lineRule="auto"/>
              <w:jc w:val="center"/>
              <w:rPr>
                <w:b/>
              </w:rPr>
            </w:pPr>
            <w:r w:rsidRPr="001224D4">
              <w:rPr>
                <w:b/>
              </w:rPr>
              <w:t>22 (4.6%)</w:t>
            </w:r>
          </w:p>
        </w:tc>
      </w:tr>
      <w:tr w:rsidR="00576FE1" w:rsidRPr="001224D4" w14:paraId="10F67250"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78215E50" w14:textId="77777777" w:rsidR="00576FE1" w:rsidRPr="001224D4" w:rsidRDefault="00576FE1" w:rsidP="00115CD6">
            <w:pPr>
              <w:keepNext/>
              <w:adjustRightInd w:val="0"/>
              <w:spacing w:after="0" w:line="240" w:lineRule="auto"/>
              <w:ind w:hanging="211"/>
            </w:pPr>
            <w:r w:rsidRPr="001224D4">
              <w:t xml:space="preserve">    Pulmonary embolism</w:t>
            </w:r>
          </w:p>
        </w:tc>
        <w:tc>
          <w:tcPr>
            <w:tcW w:w="1701" w:type="dxa"/>
            <w:tcBorders>
              <w:top w:val="nil"/>
              <w:left w:val="nil"/>
              <w:bottom w:val="nil"/>
              <w:right w:val="nil"/>
            </w:tcBorders>
            <w:shd w:val="clear" w:color="auto" w:fill="FFFFFF"/>
            <w:tcMar>
              <w:left w:w="60" w:type="dxa"/>
              <w:right w:w="60" w:type="dxa"/>
            </w:tcMar>
            <w:vAlign w:val="center"/>
          </w:tcPr>
          <w:p w14:paraId="332C1867" w14:textId="77777777" w:rsidR="00576FE1" w:rsidRPr="001224D4" w:rsidRDefault="00576FE1" w:rsidP="00115CD6">
            <w:pPr>
              <w:keepNext/>
              <w:adjustRightInd w:val="0"/>
              <w:spacing w:after="0" w:line="240" w:lineRule="auto"/>
              <w:jc w:val="center"/>
            </w:pPr>
            <w:r w:rsidRPr="001224D4">
              <w:t>6 (2.5%)</w:t>
            </w:r>
          </w:p>
        </w:tc>
        <w:tc>
          <w:tcPr>
            <w:tcW w:w="1559" w:type="dxa"/>
            <w:tcBorders>
              <w:top w:val="nil"/>
              <w:left w:val="nil"/>
              <w:bottom w:val="nil"/>
              <w:right w:val="nil"/>
            </w:tcBorders>
            <w:shd w:val="clear" w:color="auto" w:fill="FFFFFF"/>
            <w:tcMar>
              <w:left w:w="60" w:type="dxa"/>
              <w:right w:w="60" w:type="dxa"/>
            </w:tcMar>
            <w:vAlign w:val="center"/>
          </w:tcPr>
          <w:p w14:paraId="3DB0EC47" w14:textId="77777777" w:rsidR="00576FE1" w:rsidRPr="001224D4" w:rsidRDefault="00576FE1" w:rsidP="00115CD6">
            <w:pPr>
              <w:keepNext/>
              <w:adjustRightInd w:val="0"/>
              <w:spacing w:after="0" w:line="240" w:lineRule="auto"/>
              <w:jc w:val="center"/>
            </w:pPr>
            <w:r w:rsidRPr="001224D4">
              <w:t>2 (0.8%)</w:t>
            </w:r>
          </w:p>
        </w:tc>
        <w:tc>
          <w:tcPr>
            <w:tcW w:w="1560" w:type="dxa"/>
            <w:tcBorders>
              <w:top w:val="nil"/>
              <w:left w:val="nil"/>
              <w:bottom w:val="nil"/>
              <w:right w:val="nil"/>
            </w:tcBorders>
            <w:shd w:val="clear" w:color="auto" w:fill="FFFFFF"/>
            <w:tcMar>
              <w:left w:w="60" w:type="dxa"/>
              <w:right w:w="60" w:type="dxa"/>
            </w:tcMar>
            <w:vAlign w:val="center"/>
          </w:tcPr>
          <w:p w14:paraId="476536DC" w14:textId="77777777" w:rsidR="00576FE1" w:rsidRPr="001224D4" w:rsidRDefault="00576FE1" w:rsidP="00115CD6">
            <w:pPr>
              <w:keepNext/>
              <w:adjustRightInd w:val="0"/>
              <w:spacing w:after="0" w:line="240" w:lineRule="auto"/>
              <w:jc w:val="center"/>
            </w:pPr>
            <w:r w:rsidRPr="001224D4">
              <w:t>8 (1.7%)</w:t>
            </w:r>
          </w:p>
        </w:tc>
      </w:tr>
      <w:tr w:rsidR="00576FE1" w:rsidRPr="001224D4" w14:paraId="22B94318"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598C191D" w14:textId="77777777" w:rsidR="00576FE1" w:rsidRPr="001224D4" w:rsidRDefault="00576FE1" w:rsidP="00115CD6">
            <w:pPr>
              <w:keepNext/>
              <w:adjustRightInd w:val="0"/>
              <w:spacing w:after="0" w:line="240" w:lineRule="auto"/>
              <w:ind w:hanging="211"/>
            </w:pPr>
            <w:r w:rsidRPr="001224D4">
              <w:t xml:space="preserve">    Pleural effusion</w:t>
            </w:r>
          </w:p>
        </w:tc>
        <w:tc>
          <w:tcPr>
            <w:tcW w:w="1701" w:type="dxa"/>
            <w:tcBorders>
              <w:top w:val="nil"/>
              <w:left w:val="nil"/>
              <w:bottom w:val="nil"/>
              <w:right w:val="nil"/>
            </w:tcBorders>
            <w:shd w:val="clear" w:color="auto" w:fill="FFFFFF"/>
            <w:tcMar>
              <w:left w:w="60" w:type="dxa"/>
              <w:right w:w="60" w:type="dxa"/>
            </w:tcMar>
            <w:vAlign w:val="center"/>
          </w:tcPr>
          <w:p w14:paraId="6EAC5442" w14:textId="77777777" w:rsidR="00576FE1" w:rsidRPr="001224D4" w:rsidRDefault="00576FE1" w:rsidP="00115CD6">
            <w:pPr>
              <w:keepNext/>
              <w:adjustRightInd w:val="0"/>
              <w:spacing w:after="0" w:line="240" w:lineRule="auto"/>
              <w:jc w:val="center"/>
            </w:pPr>
            <w:r w:rsidRPr="001224D4">
              <w:t>3 (1.2%)</w:t>
            </w:r>
          </w:p>
        </w:tc>
        <w:tc>
          <w:tcPr>
            <w:tcW w:w="1559" w:type="dxa"/>
            <w:tcBorders>
              <w:top w:val="nil"/>
              <w:left w:val="nil"/>
              <w:bottom w:val="nil"/>
              <w:right w:val="nil"/>
            </w:tcBorders>
            <w:shd w:val="clear" w:color="auto" w:fill="FFFFFF"/>
            <w:tcMar>
              <w:left w:w="60" w:type="dxa"/>
              <w:right w:w="60" w:type="dxa"/>
            </w:tcMar>
            <w:vAlign w:val="center"/>
          </w:tcPr>
          <w:p w14:paraId="6429694D" w14:textId="77777777" w:rsidR="00576FE1" w:rsidRPr="001224D4" w:rsidRDefault="00576FE1" w:rsidP="00115CD6">
            <w:pPr>
              <w:keepNext/>
              <w:adjustRightInd w:val="0"/>
              <w:spacing w:after="0" w:line="240" w:lineRule="auto"/>
              <w:jc w:val="center"/>
            </w:pPr>
            <w:r w:rsidRPr="001224D4">
              <w:t>2 (0.8%)</w:t>
            </w:r>
          </w:p>
        </w:tc>
        <w:tc>
          <w:tcPr>
            <w:tcW w:w="1560" w:type="dxa"/>
            <w:tcBorders>
              <w:top w:val="nil"/>
              <w:left w:val="nil"/>
              <w:bottom w:val="nil"/>
              <w:right w:val="nil"/>
            </w:tcBorders>
            <w:shd w:val="clear" w:color="auto" w:fill="FFFFFF"/>
            <w:tcMar>
              <w:left w:w="60" w:type="dxa"/>
              <w:right w:w="60" w:type="dxa"/>
            </w:tcMar>
            <w:vAlign w:val="center"/>
          </w:tcPr>
          <w:p w14:paraId="23B99C98" w14:textId="77777777" w:rsidR="00576FE1" w:rsidRPr="001224D4" w:rsidRDefault="00576FE1" w:rsidP="00115CD6">
            <w:pPr>
              <w:keepNext/>
              <w:adjustRightInd w:val="0"/>
              <w:spacing w:after="0" w:line="240" w:lineRule="auto"/>
              <w:jc w:val="center"/>
            </w:pPr>
            <w:r w:rsidRPr="001224D4">
              <w:t>5 (1.0%)</w:t>
            </w:r>
          </w:p>
        </w:tc>
      </w:tr>
      <w:tr w:rsidR="00576FE1" w:rsidRPr="001224D4" w14:paraId="29908D56"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384FBB52" w14:textId="77777777" w:rsidR="00576FE1" w:rsidRPr="001224D4" w:rsidRDefault="00576FE1" w:rsidP="00115CD6">
            <w:pPr>
              <w:keepNext/>
              <w:adjustRightInd w:val="0"/>
              <w:spacing w:after="0" w:line="240" w:lineRule="auto"/>
              <w:ind w:hanging="211"/>
            </w:pPr>
            <w:r w:rsidRPr="001224D4">
              <w:t xml:space="preserve">    Pneumonitis</w:t>
            </w:r>
          </w:p>
        </w:tc>
        <w:tc>
          <w:tcPr>
            <w:tcW w:w="1701" w:type="dxa"/>
            <w:tcBorders>
              <w:top w:val="nil"/>
              <w:left w:val="nil"/>
              <w:bottom w:val="nil"/>
              <w:right w:val="nil"/>
            </w:tcBorders>
            <w:shd w:val="clear" w:color="auto" w:fill="FFFFFF"/>
            <w:tcMar>
              <w:left w:w="60" w:type="dxa"/>
              <w:right w:w="60" w:type="dxa"/>
            </w:tcMar>
            <w:vAlign w:val="center"/>
          </w:tcPr>
          <w:p w14:paraId="65D21D31" w14:textId="77777777" w:rsidR="00576FE1" w:rsidRPr="001224D4" w:rsidRDefault="00576FE1" w:rsidP="00115CD6">
            <w:pPr>
              <w:keepNext/>
              <w:adjustRightInd w:val="0"/>
              <w:spacing w:after="0" w:line="240" w:lineRule="auto"/>
              <w:jc w:val="center"/>
            </w:pPr>
            <w:r w:rsidRPr="001224D4">
              <w:t>2 (0.8%)</w:t>
            </w:r>
          </w:p>
        </w:tc>
        <w:tc>
          <w:tcPr>
            <w:tcW w:w="1559" w:type="dxa"/>
            <w:tcBorders>
              <w:top w:val="nil"/>
              <w:left w:val="nil"/>
              <w:bottom w:val="nil"/>
              <w:right w:val="nil"/>
            </w:tcBorders>
            <w:shd w:val="clear" w:color="auto" w:fill="FFFFFF"/>
            <w:tcMar>
              <w:left w:w="60" w:type="dxa"/>
              <w:right w:w="60" w:type="dxa"/>
            </w:tcMar>
            <w:vAlign w:val="center"/>
          </w:tcPr>
          <w:p w14:paraId="48B6C9ED" w14:textId="77777777" w:rsidR="00576FE1" w:rsidRPr="001224D4" w:rsidRDefault="00576FE1" w:rsidP="00115CD6">
            <w:pPr>
              <w:keepNext/>
              <w:adjustRightInd w:val="0"/>
              <w:spacing w:after="0" w:line="240" w:lineRule="auto"/>
              <w:jc w:val="center"/>
            </w:pPr>
            <w:r w:rsidRPr="001224D4">
              <w:t>1 (0.4%)</w:t>
            </w:r>
          </w:p>
        </w:tc>
        <w:tc>
          <w:tcPr>
            <w:tcW w:w="1560" w:type="dxa"/>
            <w:tcBorders>
              <w:top w:val="nil"/>
              <w:left w:val="nil"/>
              <w:bottom w:val="nil"/>
              <w:right w:val="nil"/>
            </w:tcBorders>
            <w:shd w:val="clear" w:color="auto" w:fill="FFFFFF"/>
            <w:tcMar>
              <w:left w:w="60" w:type="dxa"/>
              <w:right w:w="60" w:type="dxa"/>
            </w:tcMar>
            <w:vAlign w:val="center"/>
          </w:tcPr>
          <w:p w14:paraId="276D5CDF" w14:textId="77777777" w:rsidR="00576FE1" w:rsidRPr="001224D4" w:rsidRDefault="00576FE1" w:rsidP="00115CD6">
            <w:pPr>
              <w:keepNext/>
              <w:adjustRightInd w:val="0"/>
              <w:spacing w:after="0" w:line="240" w:lineRule="auto"/>
              <w:jc w:val="center"/>
            </w:pPr>
            <w:r w:rsidRPr="001224D4">
              <w:t>3 (0.6%)</w:t>
            </w:r>
          </w:p>
        </w:tc>
      </w:tr>
      <w:tr w:rsidR="00576FE1" w:rsidRPr="001224D4" w14:paraId="1B03E52D"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298AEA2B" w14:textId="77777777" w:rsidR="00576FE1" w:rsidRPr="001224D4" w:rsidRDefault="00576FE1" w:rsidP="00115CD6">
            <w:pPr>
              <w:keepNext/>
              <w:adjustRightInd w:val="0"/>
              <w:spacing w:after="0" w:line="240" w:lineRule="auto"/>
              <w:rPr>
                <w:b/>
                <w:lang w:val="en-GB"/>
              </w:rPr>
            </w:pPr>
            <w:r w:rsidRPr="001224D4">
              <w:rPr>
                <w:b/>
                <w:lang w:val="en-GB"/>
              </w:rPr>
              <w:t>Injury, poisoning and procedural complications</w:t>
            </w:r>
          </w:p>
        </w:tc>
        <w:tc>
          <w:tcPr>
            <w:tcW w:w="1701" w:type="dxa"/>
            <w:tcBorders>
              <w:top w:val="nil"/>
              <w:left w:val="nil"/>
              <w:bottom w:val="nil"/>
              <w:right w:val="nil"/>
            </w:tcBorders>
            <w:shd w:val="clear" w:color="auto" w:fill="FFFFFF"/>
            <w:tcMar>
              <w:left w:w="60" w:type="dxa"/>
              <w:right w:w="60" w:type="dxa"/>
            </w:tcMar>
            <w:vAlign w:val="center"/>
          </w:tcPr>
          <w:p w14:paraId="514649DD" w14:textId="77777777" w:rsidR="00576FE1" w:rsidRPr="001224D4" w:rsidRDefault="00576FE1" w:rsidP="00115CD6">
            <w:pPr>
              <w:keepNext/>
              <w:adjustRightInd w:val="0"/>
              <w:spacing w:after="0" w:line="240" w:lineRule="auto"/>
              <w:jc w:val="center"/>
              <w:rPr>
                <w:b/>
              </w:rPr>
            </w:pPr>
            <w:r w:rsidRPr="001224D4">
              <w:rPr>
                <w:b/>
              </w:rPr>
              <w:t>8 (3.3%)</w:t>
            </w:r>
          </w:p>
        </w:tc>
        <w:tc>
          <w:tcPr>
            <w:tcW w:w="1559" w:type="dxa"/>
            <w:tcBorders>
              <w:top w:val="nil"/>
              <w:left w:val="nil"/>
              <w:bottom w:val="nil"/>
              <w:right w:val="nil"/>
            </w:tcBorders>
            <w:shd w:val="clear" w:color="auto" w:fill="FFFFFF"/>
            <w:tcMar>
              <w:left w:w="60" w:type="dxa"/>
              <w:right w:w="60" w:type="dxa"/>
            </w:tcMar>
            <w:vAlign w:val="center"/>
          </w:tcPr>
          <w:p w14:paraId="108C7FC0" w14:textId="77777777" w:rsidR="00576FE1" w:rsidRPr="001224D4" w:rsidRDefault="00576FE1" w:rsidP="00115CD6">
            <w:pPr>
              <w:keepNext/>
              <w:adjustRightInd w:val="0"/>
              <w:spacing w:after="0" w:line="240" w:lineRule="auto"/>
              <w:jc w:val="center"/>
              <w:rPr>
                <w:b/>
              </w:rPr>
            </w:pPr>
            <w:r w:rsidRPr="001224D4">
              <w:rPr>
                <w:b/>
              </w:rPr>
              <w:t>8 (3.3%)</w:t>
            </w:r>
          </w:p>
        </w:tc>
        <w:tc>
          <w:tcPr>
            <w:tcW w:w="1560" w:type="dxa"/>
            <w:tcBorders>
              <w:top w:val="nil"/>
              <w:left w:val="nil"/>
              <w:bottom w:val="nil"/>
              <w:right w:val="nil"/>
            </w:tcBorders>
            <w:shd w:val="clear" w:color="auto" w:fill="FFFFFF"/>
            <w:tcMar>
              <w:left w:w="60" w:type="dxa"/>
              <w:right w:w="60" w:type="dxa"/>
            </w:tcMar>
            <w:vAlign w:val="center"/>
          </w:tcPr>
          <w:p w14:paraId="790DA1C4" w14:textId="77777777" w:rsidR="00576FE1" w:rsidRPr="001224D4" w:rsidRDefault="00576FE1" w:rsidP="00115CD6">
            <w:pPr>
              <w:keepNext/>
              <w:adjustRightInd w:val="0"/>
              <w:spacing w:after="0" w:line="240" w:lineRule="auto"/>
              <w:jc w:val="center"/>
              <w:rPr>
                <w:b/>
              </w:rPr>
            </w:pPr>
            <w:r w:rsidRPr="001224D4">
              <w:rPr>
                <w:b/>
              </w:rPr>
              <w:t>16 (3.3%)</w:t>
            </w:r>
          </w:p>
        </w:tc>
      </w:tr>
      <w:tr w:rsidR="00576FE1" w:rsidRPr="001224D4" w14:paraId="5FC4C945"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7F7BA452" w14:textId="77777777" w:rsidR="00576FE1" w:rsidRPr="001224D4" w:rsidRDefault="00576FE1" w:rsidP="00115CD6">
            <w:pPr>
              <w:keepNext/>
              <w:adjustRightInd w:val="0"/>
              <w:spacing w:after="0" w:line="240" w:lineRule="auto"/>
              <w:ind w:hanging="211"/>
            </w:pPr>
            <w:r w:rsidRPr="001224D4">
              <w:t xml:space="preserve">    Hip fracture</w:t>
            </w:r>
          </w:p>
        </w:tc>
        <w:tc>
          <w:tcPr>
            <w:tcW w:w="1701" w:type="dxa"/>
            <w:tcBorders>
              <w:top w:val="nil"/>
              <w:left w:val="nil"/>
              <w:bottom w:val="nil"/>
              <w:right w:val="nil"/>
            </w:tcBorders>
            <w:shd w:val="clear" w:color="auto" w:fill="FFFFFF"/>
            <w:tcMar>
              <w:left w:w="60" w:type="dxa"/>
              <w:right w:w="60" w:type="dxa"/>
            </w:tcMar>
            <w:vAlign w:val="center"/>
          </w:tcPr>
          <w:p w14:paraId="455BC7BD" w14:textId="77777777" w:rsidR="00576FE1" w:rsidRPr="001224D4" w:rsidRDefault="00576FE1" w:rsidP="00115CD6">
            <w:pPr>
              <w:keepNext/>
              <w:adjustRightInd w:val="0"/>
              <w:spacing w:after="0" w:line="240" w:lineRule="auto"/>
              <w:jc w:val="center"/>
            </w:pPr>
            <w:r w:rsidRPr="001224D4">
              <w:t>1 (0.4%)</w:t>
            </w:r>
          </w:p>
        </w:tc>
        <w:tc>
          <w:tcPr>
            <w:tcW w:w="1559" w:type="dxa"/>
            <w:tcBorders>
              <w:top w:val="nil"/>
              <w:left w:val="nil"/>
              <w:bottom w:val="nil"/>
              <w:right w:val="nil"/>
            </w:tcBorders>
            <w:shd w:val="clear" w:color="auto" w:fill="FFFFFF"/>
            <w:tcMar>
              <w:left w:w="60" w:type="dxa"/>
              <w:right w:w="60" w:type="dxa"/>
            </w:tcMar>
            <w:vAlign w:val="center"/>
          </w:tcPr>
          <w:p w14:paraId="6D0A7181" w14:textId="77777777" w:rsidR="00576FE1" w:rsidRPr="001224D4" w:rsidRDefault="00576FE1" w:rsidP="00115CD6">
            <w:pPr>
              <w:keepNext/>
              <w:adjustRightInd w:val="0"/>
              <w:spacing w:after="0" w:line="240" w:lineRule="auto"/>
              <w:jc w:val="center"/>
            </w:pPr>
            <w:r w:rsidRPr="001224D4">
              <w:t>3 (1.2%)</w:t>
            </w:r>
          </w:p>
        </w:tc>
        <w:tc>
          <w:tcPr>
            <w:tcW w:w="1560" w:type="dxa"/>
            <w:tcBorders>
              <w:top w:val="nil"/>
              <w:left w:val="nil"/>
              <w:bottom w:val="nil"/>
              <w:right w:val="nil"/>
            </w:tcBorders>
            <w:shd w:val="clear" w:color="auto" w:fill="FFFFFF"/>
            <w:tcMar>
              <w:left w:w="60" w:type="dxa"/>
              <w:right w:w="60" w:type="dxa"/>
            </w:tcMar>
            <w:vAlign w:val="center"/>
          </w:tcPr>
          <w:p w14:paraId="44B14585" w14:textId="77777777" w:rsidR="00576FE1" w:rsidRPr="001224D4" w:rsidRDefault="00576FE1" w:rsidP="00115CD6">
            <w:pPr>
              <w:keepNext/>
              <w:adjustRightInd w:val="0"/>
              <w:spacing w:after="0" w:line="240" w:lineRule="auto"/>
              <w:jc w:val="center"/>
            </w:pPr>
            <w:r w:rsidRPr="001224D4">
              <w:t>4 (0.8%)</w:t>
            </w:r>
          </w:p>
        </w:tc>
      </w:tr>
      <w:tr w:rsidR="00576FE1" w:rsidRPr="001224D4" w14:paraId="6292F6DE"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1B6A409F" w14:textId="77777777" w:rsidR="00576FE1" w:rsidRPr="001224D4" w:rsidRDefault="00576FE1" w:rsidP="00115CD6">
            <w:pPr>
              <w:keepNext/>
              <w:adjustRightInd w:val="0"/>
              <w:spacing w:after="0" w:line="240" w:lineRule="auto"/>
              <w:ind w:hanging="211"/>
            </w:pPr>
            <w:r w:rsidRPr="001224D4">
              <w:t xml:space="preserve">    Femur fracture</w:t>
            </w:r>
          </w:p>
        </w:tc>
        <w:tc>
          <w:tcPr>
            <w:tcW w:w="1701" w:type="dxa"/>
            <w:tcBorders>
              <w:top w:val="nil"/>
              <w:left w:val="nil"/>
              <w:bottom w:val="nil"/>
              <w:right w:val="nil"/>
            </w:tcBorders>
            <w:shd w:val="clear" w:color="auto" w:fill="FFFFFF"/>
            <w:tcMar>
              <w:left w:w="60" w:type="dxa"/>
              <w:right w:w="60" w:type="dxa"/>
            </w:tcMar>
            <w:vAlign w:val="center"/>
          </w:tcPr>
          <w:p w14:paraId="563DE475" w14:textId="77777777" w:rsidR="00576FE1" w:rsidRPr="001224D4" w:rsidRDefault="00576FE1" w:rsidP="00115CD6">
            <w:pPr>
              <w:keepNext/>
              <w:adjustRightInd w:val="0"/>
              <w:spacing w:after="0" w:line="240" w:lineRule="auto"/>
              <w:jc w:val="center"/>
            </w:pPr>
            <w:r w:rsidRPr="001224D4">
              <w:t>2 (0.8%)</w:t>
            </w:r>
          </w:p>
        </w:tc>
        <w:tc>
          <w:tcPr>
            <w:tcW w:w="1559" w:type="dxa"/>
            <w:tcBorders>
              <w:top w:val="nil"/>
              <w:left w:val="nil"/>
              <w:bottom w:val="nil"/>
              <w:right w:val="nil"/>
            </w:tcBorders>
            <w:shd w:val="clear" w:color="auto" w:fill="FFFFFF"/>
            <w:tcMar>
              <w:left w:w="60" w:type="dxa"/>
              <w:right w:w="60" w:type="dxa"/>
            </w:tcMar>
            <w:vAlign w:val="center"/>
          </w:tcPr>
          <w:p w14:paraId="1F724E66" w14:textId="77777777" w:rsidR="00576FE1" w:rsidRPr="001224D4" w:rsidRDefault="00576FE1" w:rsidP="00115CD6">
            <w:pPr>
              <w:keepNext/>
              <w:adjustRightInd w:val="0"/>
              <w:spacing w:after="0" w:line="240" w:lineRule="auto"/>
              <w:jc w:val="center"/>
            </w:pPr>
            <w:r w:rsidRPr="001224D4">
              <w:t>1 (0.4%)</w:t>
            </w:r>
          </w:p>
        </w:tc>
        <w:tc>
          <w:tcPr>
            <w:tcW w:w="1560" w:type="dxa"/>
            <w:tcBorders>
              <w:top w:val="nil"/>
              <w:left w:val="nil"/>
              <w:bottom w:val="nil"/>
              <w:right w:val="nil"/>
            </w:tcBorders>
            <w:shd w:val="clear" w:color="auto" w:fill="FFFFFF"/>
            <w:tcMar>
              <w:left w:w="60" w:type="dxa"/>
              <w:right w:w="60" w:type="dxa"/>
            </w:tcMar>
            <w:vAlign w:val="center"/>
          </w:tcPr>
          <w:p w14:paraId="7F365620" w14:textId="77777777" w:rsidR="00576FE1" w:rsidRPr="001224D4" w:rsidRDefault="00576FE1" w:rsidP="00115CD6">
            <w:pPr>
              <w:keepNext/>
              <w:adjustRightInd w:val="0"/>
              <w:spacing w:after="0" w:line="240" w:lineRule="auto"/>
              <w:jc w:val="center"/>
            </w:pPr>
            <w:r w:rsidRPr="001224D4">
              <w:t>3 (0.6%)</w:t>
            </w:r>
          </w:p>
        </w:tc>
      </w:tr>
      <w:tr w:rsidR="00576FE1" w:rsidRPr="001224D4" w14:paraId="1CFD4DAE" w14:textId="77777777" w:rsidTr="00800E62">
        <w:trPr>
          <w:cantSplit/>
          <w:trHeight w:val="467"/>
        </w:trPr>
        <w:tc>
          <w:tcPr>
            <w:tcW w:w="4106" w:type="dxa"/>
            <w:tcBorders>
              <w:top w:val="nil"/>
              <w:left w:val="nil"/>
              <w:bottom w:val="nil"/>
              <w:right w:val="nil"/>
            </w:tcBorders>
            <w:shd w:val="clear" w:color="auto" w:fill="FFFFFF"/>
            <w:tcMar>
              <w:left w:w="60" w:type="dxa"/>
              <w:right w:w="60" w:type="dxa"/>
            </w:tcMar>
            <w:vAlign w:val="center"/>
          </w:tcPr>
          <w:p w14:paraId="3B159C8F" w14:textId="77777777" w:rsidR="00576FE1" w:rsidRPr="001224D4" w:rsidRDefault="00576FE1" w:rsidP="00115CD6">
            <w:pPr>
              <w:keepNext/>
              <w:adjustRightInd w:val="0"/>
              <w:spacing w:after="0" w:line="240" w:lineRule="auto"/>
              <w:rPr>
                <w:b/>
              </w:rPr>
            </w:pPr>
            <w:r w:rsidRPr="001224D4">
              <w:rPr>
                <w:b/>
              </w:rPr>
              <w:t>Gastrointestinal disorders</w:t>
            </w:r>
          </w:p>
        </w:tc>
        <w:tc>
          <w:tcPr>
            <w:tcW w:w="1701" w:type="dxa"/>
            <w:tcBorders>
              <w:top w:val="nil"/>
              <w:left w:val="nil"/>
              <w:bottom w:val="nil"/>
              <w:right w:val="nil"/>
            </w:tcBorders>
            <w:shd w:val="clear" w:color="auto" w:fill="FFFFFF"/>
            <w:tcMar>
              <w:left w:w="60" w:type="dxa"/>
              <w:right w:w="60" w:type="dxa"/>
            </w:tcMar>
            <w:vAlign w:val="center"/>
          </w:tcPr>
          <w:p w14:paraId="4723E1BB" w14:textId="77777777" w:rsidR="00576FE1" w:rsidRPr="001224D4" w:rsidRDefault="00576FE1" w:rsidP="00115CD6">
            <w:pPr>
              <w:keepNext/>
              <w:adjustRightInd w:val="0"/>
              <w:spacing w:after="0" w:line="240" w:lineRule="auto"/>
              <w:jc w:val="center"/>
              <w:rPr>
                <w:b/>
              </w:rPr>
            </w:pPr>
            <w:r w:rsidRPr="001224D4">
              <w:rPr>
                <w:b/>
              </w:rPr>
              <w:t>8 (3.3%)</w:t>
            </w:r>
          </w:p>
        </w:tc>
        <w:tc>
          <w:tcPr>
            <w:tcW w:w="1559" w:type="dxa"/>
            <w:tcBorders>
              <w:top w:val="nil"/>
              <w:left w:val="nil"/>
              <w:bottom w:val="nil"/>
              <w:right w:val="nil"/>
            </w:tcBorders>
            <w:shd w:val="clear" w:color="auto" w:fill="FFFFFF"/>
            <w:tcMar>
              <w:left w:w="60" w:type="dxa"/>
              <w:right w:w="60" w:type="dxa"/>
            </w:tcMar>
            <w:vAlign w:val="center"/>
          </w:tcPr>
          <w:p w14:paraId="46979D39" w14:textId="77777777" w:rsidR="00576FE1" w:rsidRPr="001224D4" w:rsidRDefault="00576FE1" w:rsidP="00115CD6">
            <w:pPr>
              <w:keepNext/>
              <w:adjustRightInd w:val="0"/>
              <w:spacing w:after="0" w:line="240" w:lineRule="auto"/>
              <w:jc w:val="center"/>
              <w:rPr>
                <w:b/>
              </w:rPr>
            </w:pPr>
            <w:r w:rsidRPr="001224D4">
              <w:rPr>
                <w:b/>
              </w:rPr>
              <w:t>7 (2.9%)</w:t>
            </w:r>
          </w:p>
        </w:tc>
        <w:tc>
          <w:tcPr>
            <w:tcW w:w="1560" w:type="dxa"/>
            <w:tcBorders>
              <w:top w:val="nil"/>
              <w:left w:val="nil"/>
              <w:bottom w:val="nil"/>
              <w:right w:val="nil"/>
            </w:tcBorders>
            <w:shd w:val="clear" w:color="auto" w:fill="FFFFFF"/>
            <w:tcMar>
              <w:left w:w="60" w:type="dxa"/>
              <w:right w:w="60" w:type="dxa"/>
            </w:tcMar>
            <w:vAlign w:val="center"/>
          </w:tcPr>
          <w:p w14:paraId="417768D3" w14:textId="77777777" w:rsidR="00576FE1" w:rsidRPr="001224D4" w:rsidRDefault="00576FE1" w:rsidP="00115CD6">
            <w:pPr>
              <w:keepNext/>
              <w:adjustRightInd w:val="0"/>
              <w:spacing w:after="0" w:line="240" w:lineRule="auto"/>
              <w:jc w:val="center"/>
              <w:rPr>
                <w:b/>
              </w:rPr>
            </w:pPr>
            <w:r w:rsidRPr="001224D4">
              <w:rPr>
                <w:b/>
              </w:rPr>
              <w:t>15 (3.1%)</w:t>
            </w:r>
          </w:p>
        </w:tc>
      </w:tr>
      <w:tr w:rsidR="00576FE1" w:rsidRPr="001224D4" w14:paraId="491F3130"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3C99DCAF" w14:textId="77777777" w:rsidR="00576FE1" w:rsidRPr="001224D4" w:rsidRDefault="00576FE1" w:rsidP="00115CD6">
            <w:pPr>
              <w:keepNext/>
              <w:adjustRightInd w:val="0"/>
              <w:spacing w:after="0" w:line="240" w:lineRule="auto"/>
              <w:ind w:hanging="211"/>
            </w:pPr>
            <w:r w:rsidRPr="001224D4">
              <w:t xml:space="preserve">    Abdominal pain</w:t>
            </w:r>
          </w:p>
        </w:tc>
        <w:tc>
          <w:tcPr>
            <w:tcW w:w="1701" w:type="dxa"/>
            <w:tcBorders>
              <w:top w:val="nil"/>
              <w:left w:val="nil"/>
              <w:bottom w:val="nil"/>
              <w:right w:val="nil"/>
            </w:tcBorders>
            <w:shd w:val="clear" w:color="auto" w:fill="FFFFFF"/>
            <w:tcMar>
              <w:left w:w="60" w:type="dxa"/>
              <w:right w:w="60" w:type="dxa"/>
            </w:tcMar>
            <w:vAlign w:val="center"/>
          </w:tcPr>
          <w:p w14:paraId="75B4028F" w14:textId="77777777" w:rsidR="00576FE1" w:rsidRPr="001224D4" w:rsidRDefault="00576FE1" w:rsidP="00115CD6">
            <w:pPr>
              <w:keepNext/>
              <w:adjustRightInd w:val="0"/>
              <w:spacing w:after="0" w:line="240" w:lineRule="auto"/>
              <w:jc w:val="center"/>
            </w:pPr>
            <w:r w:rsidRPr="001224D4">
              <w:t>2 (0.8%)</w:t>
            </w:r>
          </w:p>
        </w:tc>
        <w:tc>
          <w:tcPr>
            <w:tcW w:w="1559" w:type="dxa"/>
            <w:tcBorders>
              <w:top w:val="nil"/>
              <w:left w:val="nil"/>
              <w:bottom w:val="nil"/>
              <w:right w:val="nil"/>
            </w:tcBorders>
            <w:shd w:val="clear" w:color="auto" w:fill="FFFFFF"/>
            <w:tcMar>
              <w:left w:w="60" w:type="dxa"/>
              <w:right w:w="60" w:type="dxa"/>
            </w:tcMar>
            <w:vAlign w:val="center"/>
          </w:tcPr>
          <w:p w14:paraId="15D311C0" w14:textId="77777777" w:rsidR="00576FE1" w:rsidRPr="001224D4" w:rsidRDefault="00576FE1" w:rsidP="00115CD6">
            <w:pPr>
              <w:keepNext/>
              <w:adjustRightInd w:val="0"/>
              <w:spacing w:after="0" w:line="240" w:lineRule="auto"/>
              <w:jc w:val="center"/>
            </w:pPr>
            <w:r w:rsidRPr="001224D4">
              <w:t>1 (0.4%)</w:t>
            </w:r>
          </w:p>
        </w:tc>
        <w:tc>
          <w:tcPr>
            <w:tcW w:w="1560" w:type="dxa"/>
            <w:tcBorders>
              <w:top w:val="nil"/>
              <w:left w:val="nil"/>
              <w:bottom w:val="nil"/>
              <w:right w:val="nil"/>
            </w:tcBorders>
            <w:shd w:val="clear" w:color="auto" w:fill="FFFFFF"/>
            <w:tcMar>
              <w:left w:w="60" w:type="dxa"/>
              <w:right w:w="60" w:type="dxa"/>
            </w:tcMar>
            <w:vAlign w:val="center"/>
          </w:tcPr>
          <w:p w14:paraId="5D5CB882" w14:textId="77777777" w:rsidR="00576FE1" w:rsidRPr="001224D4" w:rsidRDefault="00576FE1" w:rsidP="00115CD6">
            <w:pPr>
              <w:keepNext/>
              <w:adjustRightInd w:val="0"/>
              <w:spacing w:after="0" w:line="240" w:lineRule="auto"/>
              <w:jc w:val="center"/>
            </w:pPr>
            <w:r w:rsidRPr="001224D4">
              <w:t>3 (0.6%)</w:t>
            </w:r>
          </w:p>
        </w:tc>
      </w:tr>
      <w:tr w:rsidR="00576FE1" w:rsidRPr="001224D4" w14:paraId="74D78998"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4CAECFBC" w14:textId="77777777" w:rsidR="00576FE1" w:rsidRPr="001224D4" w:rsidRDefault="00576FE1" w:rsidP="00115CD6">
            <w:pPr>
              <w:keepNext/>
              <w:adjustRightInd w:val="0"/>
              <w:spacing w:after="0" w:line="240" w:lineRule="auto"/>
              <w:ind w:hanging="211"/>
            </w:pPr>
            <w:r w:rsidRPr="001224D4">
              <w:t xml:space="preserve">    </w:t>
            </w:r>
            <w:proofErr w:type="spellStart"/>
            <w:r w:rsidRPr="001224D4">
              <w:t>Diarrhoea</w:t>
            </w:r>
            <w:proofErr w:type="spellEnd"/>
          </w:p>
        </w:tc>
        <w:tc>
          <w:tcPr>
            <w:tcW w:w="1701" w:type="dxa"/>
            <w:tcBorders>
              <w:top w:val="nil"/>
              <w:left w:val="nil"/>
              <w:bottom w:val="nil"/>
              <w:right w:val="nil"/>
            </w:tcBorders>
            <w:shd w:val="clear" w:color="auto" w:fill="FFFFFF"/>
            <w:tcMar>
              <w:left w:w="60" w:type="dxa"/>
              <w:right w:w="60" w:type="dxa"/>
            </w:tcMar>
            <w:vAlign w:val="center"/>
          </w:tcPr>
          <w:p w14:paraId="69643C35" w14:textId="77777777" w:rsidR="00576FE1" w:rsidRPr="001224D4" w:rsidRDefault="00576FE1" w:rsidP="00115CD6">
            <w:pPr>
              <w:keepNext/>
              <w:adjustRightInd w:val="0"/>
              <w:spacing w:after="0" w:line="240" w:lineRule="auto"/>
              <w:jc w:val="center"/>
            </w:pPr>
            <w:r w:rsidRPr="001224D4">
              <w:t>2 (0.8%)</w:t>
            </w:r>
          </w:p>
        </w:tc>
        <w:tc>
          <w:tcPr>
            <w:tcW w:w="1559" w:type="dxa"/>
            <w:tcBorders>
              <w:top w:val="nil"/>
              <w:left w:val="nil"/>
              <w:bottom w:val="nil"/>
              <w:right w:val="nil"/>
            </w:tcBorders>
            <w:shd w:val="clear" w:color="auto" w:fill="FFFFFF"/>
            <w:tcMar>
              <w:left w:w="60" w:type="dxa"/>
              <w:right w:w="60" w:type="dxa"/>
            </w:tcMar>
            <w:vAlign w:val="center"/>
          </w:tcPr>
          <w:p w14:paraId="4566A016" w14:textId="77777777" w:rsidR="00576FE1" w:rsidRPr="001224D4" w:rsidRDefault="00576FE1" w:rsidP="00115CD6">
            <w:pPr>
              <w:keepNext/>
              <w:adjustRightInd w:val="0"/>
              <w:spacing w:after="0" w:line="240" w:lineRule="auto"/>
              <w:jc w:val="center"/>
            </w:pPr>
            <w:r w:rsidRPr="001224D4">
              <w:t>1 (0.4%)</w:t>
            </w:r>
          </w:p>
        </w:tc>
        <w:tc>
          <w:tcPr>
            <w:tcW w:w="1560" w:type="dxa"/>
            <w:tcBorders>
              <w:top w:val="nil"/>
              <w:left w:val="nil"/>
              <w:bottom w:val="nil"/>
              <w:right w:val="nil"/>
            </w:tcBorders>
            <w:shd w:val="clear" w:color="auto" w:fill="FFFFFF"/>
            <w:tcMar>
              <w:left w:w="60" w:type="dxa"/>
              <w:right w:w="60" w:type="dxa"/>
            </w:tcMar>
            <w:vAlign w:val="center"/>
          </w:tcPr>
          <w:p w14:paraId="0D1835E0" w14:textId="77777777" w:rsidR="00576FE1" w:rsidRPr="001224D4" w:rsidRDefault="00576FE1" w:rsidP="00115CD6">
            <w:pPr>
              <w:keepNext/>
              <w:adjustRightInd w:val="0"/>
              <w:spacing w:after="0" w:line="240" w:lineRule="auto"/>
              <w:jc w:val="center"/>
            </w:pPr>
            <w:r w:rsidRPr="001224D4">
              <w:t>3 (0.6%)</w:t>
            </w:r>
          </w:p>
        </w:tc>
      </w:tr>
      <w:tr w:rsidR="00576FE1" w:rsidRPr="001224D4" w14:paraId="47540926" w14:textId="77777777" w:rsidTr="00800E62">
        <w:trPr>
          <w:cantSplit/>
          <w:trHeight w:val="367"/>
        </w:trPr>
        <w:tc>
          <w:tcPr>
            <w:tcW w:w="4106" w:type="dxa"/>
            <w:tcBorders>
              <w:top w:val="nil"/>
              <w:left w:val="nil"/>
              <w:bottom w:val="nil"/>
              <w:right w:val="nil"/>
            </w:tcBorders>
            <w:shd w:val="clear" w:color="auto" w:fill="FFFFFF"/>
            <w:tcMar>
              <w:left w:w="60" w:type="dxa"/>
              <w:right w:w="60" w:type="dxa"/>
            </w:tcMar>
            <w:vAlign w:val="center"/>
          </w:tcPr>
          <w:p w14:paraId="0BC68768" w14:textId="77777777" w:rsidR="00576FE1" w:rsidRPr="001224D4" w:rsidRDefault="00576FE1" w:rsidP="00115CD6">
            <w:pPr>
              <w:keepNext/>
              <w:adjustRightInd w:val="0"/>
              <w:spacing w:after="0" w:line="240" w:lineRule="auto"/>
              <w:rPr>
                <w:b/>
                <w:lang w:val="en-GB"/>
              </w:rPr>
            </w:pPr>
            <w:r w:rsidRPr="001224D4">
              <w:rPr>
                <w:b/>
                <w:lang w:val="en-GB"/>
              </w:rPr>
              <w:t>Blood and lymphatic system disorders</w:t>
            </w:r>
          </w:p>
        </w:tc>
        <w:tc>
          <w:tcPr>
            <w:tcW w:w="1701" w:type="dxa"/>
            <w:tcBorders>
              <w:top w:val="nil"/>
              <w:left w:val="nil"/>
              <w:bottom w:val="nil"/>
              <w:right w:val="nil"/>
            </w:tcBorders>
            <w:shd w:val="clear" w:color="auto" w:fill="FFFFFF"/>
            <w:tcMar>
              <w:left w:w="60" w:type="dxa"/>
              <w:right w:w="60" w:type="dxa"/>
            </w:tcMar>
            <w:vAlign w:val="center"/>
          </w:tcPr>
          <w:p w14:paraId="5A454592" w14:textId="77777777" w:rsidR="00576FE1" w:rsidRPr="001224D4" w:rsidRDefault="00576FE1" w:rsidP="00115CD6">
            <w:pPr>
              <w:keepNext/>
              <w:adjustRightInd w:val="0"/>
              <w:spacing w:after="0" w:line="240" w:lineRule="auto"/>
              <w:jc w:val="center"/>
              <w:rPr>
                <w:b/>
              </w:rPr>
            </w:pPr>
            <w:r w:rsidRPr="001224D4">
              <w:rPr>
                <w:b/>
              </w:rPr>
              <w:t>8 (3.3%)</w:t>
            </w:r>
          </w:p>
        </w:tc>
        <w:tc>
          <w:tcPr>
            <w:tcW w:w="1559" w:type="dxa"/>
            <w:tcBorders>
              <w:top w:val="nil"/>
              <w:left w:val="nil"/>
              <w:bottom w:val="nil"/>
              <w:right w:val="nil"/>
            </w:tcBorders>
            <w:shd w:val="clear" w:color="auto" w:fill="FFFFFF"/>
            <w:tcMar>
              <w:left w:w="60" w:type="dxa"/>
              <w:right w:w="60" w:type="dxa"/>
            </w:tcMar>
            <w:vAlign w:val="center"/>
          </w:tcPr>
          <w:p w14:paraId="2E8AD2FF" w14:textId="77777777" w:rsidR="00576FE1" w:rsidRPr="001224D4" w:rsidRDefault="00576FE1" w:rsidP="00115CD6">
            <w:pPr>
              <w:keepNext/>
              <w:adjustRightInd w:val="0"/>
              <w:spacing w:after="0" w:line="240" w:lineRule="auto"/>
              <w:jc w:val="center"/>
              <w:rPr>
                <w:b/>
              </w:rPr>
            </w:pPr>
            <w:r w:rsidRPr="001224D4">
              <w:rPr>
                <w:b/>
              </w:rPr>
              <w:t>2 (0.8%)</w:t>
            </w:r>
          </w:p>
        </w:tc>
        <w:tc>
          <w:tcPr>
            <w:tcW w:w="1560" w:type="dxa"/>
            <w:tcBorders>
              <w:top w:val="nil"/>
              <w:left w:val="nil"/>
              <w:bottom w:val="nil"/>
              <w:right w:val="nil"/>
            </w:tcBorders>
            <w:shd w:val="clear" w:color="auto" w:fill="FFFFFF"/>
            <w:tcMar>
              <w:left w:w="60" w:type="dxa"/>
              <w:right w:w="60" w:type="dxa"/>
            </w:tcMar>
            <w:vAlign w:val="center"/>
          </w:tcPr>
          <w:p w14:paraId="1ECD5C20" w14:textId="77777777" w:rsidR="00576FE1" w:rsidRPr="001224D4" w:rsidRDefault="00576FE1" w:rsidP="00115CD6">
            <w:pPr>
              <w:keepNext/>
              <w:adjustRightInd w:val="0"/>
              <w:spacing w:after="0" w:line="240" w:lineRule="auto"/>
              <w:jc w:val="center"/>
              <w:rPr>
                <w:b/>
              </w:rPr>
            </w:pPr>
            <w:r w:rsidRPr="001224D4">
              <w:rPr>
                <w:b/>
              </w:rPr>
              <w:t>10 (2.1%)</w:t>
            </w:r>
          </w:p>
        </w:tc>
      </w:tr>
      <w:tr w:rsidR="00576FE1" w:rsidRPr="001224D4" w14:paraId="311E3549"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7DEFC241" w14:textId="77777777" w:rsidR="00576FE1" w:rsidRPr="001224D4" w:rsidRDefault="00576FE1" w:rsidP="00115CD6">
            <w:pPr>
              <w:keepNext/>
              <w:adjustRightInd w:val="0"/>
              <w:spacing w:after="0" w:line="240" w:lineRule="auto"/>
              <w:ind w:hanging="211"/>
            </w:pPr>
            <w:r w:rsidRPr="001224D4">
              <w:t xml:space="preserve">    </w:t>
            </w:r>
            <w:proofErr w:type="spellStart"/>
            <w:r w:rsidRPr="001224D4">
              <w:t>Anaemia</w:t>
            </w:r>
            <w:proofErr w:type="spellEnd"/>
          </w:p>
        </w:tc>
        <w:tc>
          <w:tcPr>
            <w:tcW w:w="1701" w:type="dxa"/>
            <w:tcBorders>
              <w:top w:val="nil"/>
              <w:left w:val="nil"/>
              <w:bottom w:val="nil"/>
              <w:right w:val="nil"/>
            </w:tcBorders>
            <w:shd w:val="clear" w:color="auto" w:fill="FFFFFF"/>
            <w:tcMar>
              <w:left w:w="60" w:type="dxa"/>
              <w:right w:w="60" w:type="dxa"/>
            </w:tcMar>
            <w:vAlign w:val="center"/>
          </w:tcPr>
          <w:p w14:paraId="71FC3471" w14:textId="77777777" w:rsidR="00576FE1" w:rsidRPr="001224D4" w:rsidRDefault="00576FE1" w:rsidP="00115CD6">
            <w:pPr>
              <w:keepNext/>
              <w:adjustRightInd w:val="0"/>
              <w:spacing w:after="0" w:line="240" w:lineRule="auto"/>
              <w:jc w:val="center"/>
            </w:pPr>
            <w:r w:rsidRPr="001224D4">
              <w:t>3 (1.2%)</w:t>
            </w:r>
          </w:p>
        </w:tc>
        <w:tc>
          <w:tcPr>
            <w:tcW w:w="1559" w:type="dxa"/>
            <w:tcBorders>
              <w:top w:val="nil"/>
              <w:left w:val="nil"/>
              <w:bottom w:val="nil"/>
              <w:right w:val="nil"/>
            </w:tcBorders>
            <w:shd w:val="clear" w:color="auto" w:fill="FFFFFF"/>
            <w:tcMar>
              <w:left w:w="60" w:type="dxa"/>
              <w:right w:w="60" w:type="dxa"/>
            </w:tcMar>
            <w:vAlign w:val="center"/>
          </w:tcPr>
          <w:p w14:paraId="7374C490" w14:textId="77777777" w:rsidR="00576FE1" w:rsidRPr="001224D4" w:rsidRDefault="00576FE1" w:rsidP="00115CD6">
            <w:pPr>
              <w:keepNext/>
              <w:adjustRightInd w:val="0"/>
              <w:spacing w:after="0" w:line="240" w:lineRule="auto"/>
              <w:jc w:val="center"/>
            </w:pPr>
            <w:r w:rsidRPr="001224D4">
              <w:t>1 (0.4%)</w:t>
            </w:r>
          </w:p>
        </w:tc>
        <w:tc>
          <w:tcPr>
            <w:tcW w:w="1560" w:type="dxa"/>
            <w:tcBorders>
              <w:top w:val="nil"/>
              <w:left w:val="nil"/>
              <w:bottom w:val="nil"/>
              <w:right w:val="nil"/>
            </w:tcBorders>
            <w:shd w:val="clear" w:color="auto" w:fill="FFFFFF"/>
            <w:tcMar>
              <w:left w:w="60" w:type="dxa"/>
              <w:right w:w="60" w:type="dxa"/>
            </w:tcMar>
            <w:vAlign w:val="center"/>
          </w:tcPr>
          <w:p w14:paraId="61A5CFB5" w14:textId="77777777" w:rsidR="00576FE1" w:rsidRPr="001224D4" w:rsidRDefault="00576FE1" w:rsidP="00115CD6">
            <w:pPr>
              <w:keepNext/>
              <w:adjustRightInd w:val="0"/>
              <w:spacing w:after="0" w:line="240" w:lineRule="auto"/>
              <w:jc w:val="center"/>
            </w:pPr>
            <w:r w:rsidRPr="001224D4">
              <w:t>4 (0.8%)</w:t>
            </w:r>
          </w:p>
        </w:tc>
      </w:tr>
      <w:tr w:rsidR="00576FE1" w:rsidRPr="001224D4" w14:paraId="22F798C3"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6EEF05E3" w14:textId="77777777" w:rsidR="00576FE1" w:rsidRPr="001224D4" w:rsidRDefault="00576FE1" w:rsidP="00115CD6">
            <w:pPr>
              <w:keepNext/>
              <w:adjustRightInd w:val="0"/>
              <w:spacing w:after="0" w:line="240" w:lineRule="auto"/>
              <w:ind w:hanging="211"/>
            </w:pPr>
            <w:r w:rsidRPr="001224D4">
              <w:t xml:space="preserve">    Neutropenia</w:t>
            </w:r>
          </w:p>
        </w:tc>
        <w:tc>
          <w:tcPr>
            <w:tcW w:w="1701" w:type="dxa"/>
            <w:tcBorders>
              <w:top w:val="nil"/>
              <w:left w:val="nil"/>
              <w:bottom w:val="nil"/>
              <w:right w:val="nil"/>
            </w:tcBorders>
            <w:shd w:val="clear" w:color="auto" w:fill="FFFFFF"/>
            <w:tcMar>
              <w:left w:w="60" w:type="dxa"/>
              <w:right w:w="60" w:type="dxa"/>
            </w:tcMar>
            <w:vAlign w:val="center"/>
          </w:tcPr>
          <w:p w14:paraId="62C1C388" w14:textId="77777777" w:rsidR="00576FE1" w:rsidRPr="001224D4" w:rsidRDefault="00576FE1" w:rsidP="00115CD6">
            <w:pPr>
              <w:keepNext/>
              <w:adjustRightInd w:val="0"/>
              <w:spacing w:after="0" w:line="240" w:lineRule="auto"/>
              <w:jc w:val="center"/>
            </w:pPr>
            <w:r w:rsidRPr="001224D4">
              <w:t>2 (0.8%)</w:t>
            </w:r>
          </w:p>
        </w:tc>
        <w:tc>
          <w:tcPr>
            <w:tcW w:w="1559" w:type="dxa"/>
            <w:tcBorders>
              <w:top w:val="nil"/>
              <w:left w:val="nil"/>
              <w:bottom w:val="nil"/>
              <w:right w:val="nil"/>
            </w:tcBorders>
            <w:shd w:val="clear" w:color="auto" w:fill="FFFFFF"/>
            <w:tcMar>
              <w:left w:w="60" w:type="dxa"/>
              <w:right w:w="60" w:type="dxa"/>
            </w:tcMar>
            <w:vAlign w:val="center"/>
          </w:tcPr>
          <w:p w14:paraId="3E77322A" w14:textId="77777777" w:rsidR="00576FE1" w:rsidRPr="001224D4" w:rsidRDefault="00576FE1" w:rsidP="00115CD6">
            <w:pPr>
              <w:keepNext/>
              <w:adjustRightInd w:val="0"/>
              <w:spacing w:after="0" w:line="240" w:lineRule="auto"/>
              <w:jc w:val="center"/>
            </w:pPr>
            <w:r w:rsidRPr="001224D4">
              <w:t>1 (0.4%)</w:t>
            </w:r>
          </w:p>
        </w:tc>
        <w:tc>
          <w:tcPr>
            <w:tcW w:w="1560" w:type="dxa"/>
            <w:tcBorders>
              <w:top w:val="nil"/>
              <w:left w:val="nil"/>
              <w:bottom w:val="nil"/>
              <w:right w:val="nil"/>
            </w:tcBorders>
            <w:shd w:val="clear" w:color="auto" w:fill="FFFFFF"/>
            <w:tcMar>
              <w:left w:w="60" w:type="dxa"/>
              <w:right w:w="60" w:type="dxa"/>
            </w:tcMar>
            <w:vAlign w:val="center"/>
          </w:tcPr>
          <w:p w14:paraId="7DCC5576" w14:textId="77777777" w:rsidR="00576FE1" w:rsidRPr="001224D4" w:rsidRDefault="00576FE1" w:rsidP="00115CD6">
            <w:pPr>
              <w:keepNext/>
              <w:adjustRightInd w:val="0"/>
              <w:spacing w:after="0" w:line="240" w:lineRule="auto"/>
              <w:jc w:val="center"/>
            </w:pPr>
            <w:r w:rsidRPr="001224D4">
              <w:t>3 (0.6%)</w:t>
            </w:r>
          </w:p>
        </w:tc>
      </w:tr>
      <w:tr w:rsidR="00576FE1" w:rsidRPr="001224D4" w14:paraId="5D8CB62F" w14:textId="77777777" w:rsidTr="00800E62">
        <w:trPr>
          <w:cantSplit/>
          <w:trHeight w:val="351"/>
        </w:trPr>
        <w:tc>
          <w:tcPr>
            <w:tcW w:w="4106" w:type="dxa"/>
            <w:tcBorders>
              <w:top w:val="nil"/>
              <w:left w:val="nil"/>
              <w:bottom w:val="nil"/>
              <w:right w:val="nil"/>
            </w:tcBorders>
            <w:shd w:val="clear" w:color="auto" w:fill="FFFFFF"/>
            <w:tcMar>
              <w:left w:w="60" w:type="dxa"/>
              <w:right w:w="60" w:type="dxa"/>
            </w:tcMar>
            <w:vAlign w:val="center"/>
          </w:tcPr>
          <w:p w14:paraId="0FAC454A" w14:textId="77777777" w:rsidR="00576FE1" w:rsidRPr="001224D4" w:rsidRDefault="00576FE1" w:rsidP="00115CD6">
            <w:pPr>
              <w:keepNext/>
              <w:adjustRightInd w:val="0"/>
              <w:spacing w:after="0" w:line="240" w:lineRule="auto"/>
              <w:rPr>
                <w:b/>
              </w:rPr>
            </w:pPr>
            <w:r w:rsidRPr="001224D4">
              <w:rPr>
                <w:b/>
              </w:rPr>
              <w:t>Investigations</w:t>
            </w:r>
          </w:p>
        </w:tc>
        <w:tc>
          <w:tcPr>
            <w:tcW w:w="1701" w:type="dxa"/>
            <w:tcBorders>
              <w:top w:val="nil"/>
              <w:left w:val="nil"/>
              <w:bottom w:val="nil"/>
              <w:right w:val="nil"/>
            </w:tcBorders>
            <w:shd w:val="clear" w:color="auto" w:fill="FFFFFF"/>
            <w:tcMar>
              <w:left w:w="60" w:type="dxa"/>
              <w:right w:w="60" w:type="dxa"/>
            </w:tcMar>
            <w:vAlign w:val="center"/>
          </w:tcPr>
          <w:p w14:paraId="5EEAD031" w14:textId="77777777" w:rsidR="00576FE1" w:rsidRPr="001224D4" w:rsidRDefault="00576FE1" w:rsidP="00115CD6">
            <w:pPr>
              <w:keepNext/>
              <w:adjustRightInd w:val="0"/>
              <w:spacing w:after="0" w:line="240" w:lineRule="auto"/>
              <w:jc w:val="center"/>
              <w:rPr>
                <w:b/>
              </w:rPr>
            </w:pPr>
            <w:r w:rsidRPr="001224D4">
              <w:rPr>
                <w:b/>
              </w:rPr>
              <w:t>7 (2.9%)</w:t>
            </w:r>
          </w:p>
        </w:tc>
        <w:tc>
          <w:tcPr>
            <w:tcW w:w="1559" w:type="dxa"/>
            <w:tcBorders>
              <w:top w:val="nil"/>
              <w:left w:val="nil"/>
              <w:bottom w:val="nil"/>
              <w:right w:val="nil"/>
            </w:tcBorders>
            <w:shd w:val="clear" w:color="auto" w:fill="FFFFFF"/>
            <w:tcMar>
              <w:left w:w="60" w:type="dxa"/>
              <w:right w:w="60" w:type="dxa"/>
            </w:tcMar>
            <w:vAlign w:val="center"/>
          </w:tcPr>
          <w:p w14:paraId="7141DD5C" w14:textId="77777777" w:rsidR="00576FE1" w:rsidRPr="001224D4" w:rsidRDefault="00576FE1" w:rsidP="00115CD6">
            <w:pPr>
              <w:keepNext/>
              <w:adjustRightInd w:val="0"/>
              <w:spacing w:after="0" w:line="240" w:lineRule="auto"/>
              <w:jc w:val="center"/>
              <w:rPr>
                <w:b/>
              </w:rPr>
            </w:pPr>
            <w:r w:rsidRPr="001224D4">
              <w:rPr>
                <w:b/>
              </w:rPr>
              <w:t>2 (0.8%)</w:t>
            </w:r>
          </w:p>
        </w:tc>
        <w:tc>
          <w:tcPr>
            <w:tcW w:w="1560" w:type="dxa"/>
            <w:tcBorders>
              <w:top w:val="nil"/>
              <w:left w:val="nil"/>
              <w:bottom w:val="nil"/>
              <w:right w:val="nil"/>
            </w:tcBorders>
            <w:shd w:val="clear" w:color="auto" w:fill="FFFFFF"/>
            <w:tcMar>
              <w:left w:w="60" w:type="dxa"/>
              <w:right w:w="60" w:type="dxa"/>
            </w:tcMar>
            <w:vAlign w:val="center"/>
          </w:tcPr>
          <w:p w14:paraId="06D61267" w14:textId="77777777" w:rsidR="00576FE1" w:rsidRPr="001224D4" w:rsidRDefault="00576FE1" w:rsidP="00115CD6">
            <w:pPr>
              <w:keepNext/>
              <w:adjustRightInd w:val="0"/>
              <w:spacing w:after="0" w:line="240" w:lineRule="auto"/>
              <w:jc w:val="center"/>
              <w:rPr>
                <w:b/>
              </w:rPr>
            </w:pPr>
            <w:r w:rsidRPr="001224D4">
              <w:rPr>
                <w:b/>
              </w:rPr>
              <w:t>9 (1.9%)</w:t>
            </w:r>
          </w:p>
        </w:tc>
      </w:tr>
      <w:tr w:rsidR="00576FE1" w:rsidRPr="001224D4" w14:paraId="7005034C"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7A360ED3" w14:textId="77777777" w:rsidR="00576FE1" w:rsidRPr="001224D4" w:rsidRDefault="00576FE1" w:rsidP="00115CD6">
            <w:pPr>
              <w:keepNext/>
              <w:adjustRightInd w:val="0"/>
              <w:spacing w:after="0" w:line="240" w:lineRule="auto"/>
              <w:ind w:hanging="211"/>
            </w:pPr>
            <w:r w:rsidRPr="001224D4">
              <w:t xml:space="preserve">    Alanine aminotransferase increased</w:t>
            </w:r>
          </w:p>
        </w:tc>
        <w:tc>
          <w:tcPr>
            <w:tcW w:w="1701" w:type="dxa"/>
            <w:tcBorders>
              <w:top w:val="nil"/>
              <w:left w:val="nil"/>
              <w:bottom w:val="nil"/>
              <w:right w:val="nil"/>
            </w:tcBorders>
            <w:shd w:val="clear" w:color="auto" w:fill="FFFFFF"/>
            <w:tcMar>
              <w:left w:w="60" w:type="dxa"/>
              <w:right w:w="60" w:type="dxa"/>
            </w:tcMar>
            <w:vAlign w:val="center"/>
          </w:tcPr>
          <w:p w14:paraId="06E3A81F" w14:textId="77777777" w:rsidR="00576FE1" w:rsidRPr="001224D4" w:rsidRDefault="00576FE1" w:rsidP="00115CD6">
            <w:pPr>
              <w:keepNext/>
              <w:adjustRightInd w:val="0"/>
              <w:spacing w:after="0" w:line="240" w:lineRule="auto"/>
              <w:jc w:val="center"/>
            </w:pPr>
            <w:r w:rsidRPr="001224D4">
              <w:t>5 (2.1%)</w:t>
            </w:r>
          </w:p>
        </w:tc>
        <w:tc>
          <w:tcPr>
            <w:tcW w:w="1559" w:type="dxa"/>
            <w:tcBorders>
              <w:top w:val="nil"/>
              <w:left w:val="nil"/>
              <w:bottom w:val="nil"/>
              <w:right w:val="nil"/>
            </w:tcBorders>
            <w:shd w:val="clear" w:color="auto" w:fill="FFFFFF"/>
            <w:tcMar>
              <w:left w:w="60" w:type="dxa"/>
              <w:right w:w="60" w:type="dxa"/>
            </w:tcMar>
            <w:vAlign w:val="center"/>
          </w:tcPr>
          <w:p w14:paraId="66B55D4A" w14:textId="77777777" w:rsidR="00576FE1" w:rsidRPr="001224D4" w:rsidRDefault="00576FE1" w:rsidP="00115CD6">
            <w:pPr>
              <w:keepNext/>
              <w:adjustRightInd w:val="0"/>
              <w:spacing w:after="0" w:line="240" w:lineRule="auto"/>
              <w:jc w:val="center"/>
            </w:pPr>
            <w:r w:rsidRPr="001224D4">
              <w:t>0 (0.0%)</w:t>
            </w:r>
          </w:p>
        </w:tc>
        <w:tc>
          <w:tcPr>
            <w:tcW w:w="1560" w:type="dxa"/>
            <w:tcBorders>
              <w:top w:val="nil"/>
              <w:left w:val="nil"/>
              <w:bottom w:val="nil"/>
              <w:right w:val="nil"/>
            </w:tcBorders>
            <w:shd w:val="clear" w:color="auto" w:fill="FFFFFF"/>
            <w:tcMar>
              <w:left w:w="60" w:type="dxa"/>
              <w:right w:w="60" w:type="dxa"/>
            </w:tcMar>
            <w:vAlign w:val="center"/>
          </w:tcPr>
          <w:p w14:paraId="56C8CA48" w14:textId="77777777" w:rsidR="00576FE1" w:rsidRPr="001224D4" w:rsidRDefault="00576FE1" w:rsidP="00115CD6">
            <w:pPr>
              <w:keepNext/>
              <w:adjustRightInd w:val="0"/>
              <w:spacing w:after="0" w:line="240" w:lineRule="auto"/>
              <w:jc w:val="center"/>
            </w:pPr>
            <w:r w:rsidRPr="001224D4">
              <w:t>5 (1.0%)</w:t>
            </w:r>
          </w:p>
        </w:tc>
      </w:tr>
      <w:tr w:rsidR="00576FE1" w:rsidRPr="001224D4" w14:paraId="6CF8BD97"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0B5C5DF8" w14:textId="77777777" w:rsidR="00576FE1" w:rsidRPr="001224D4" w:rsidRDefault="00576FE1" w:rsidP="00115CD6">
            <w:pPr>
              <w:keepNext/>
              <w:adjustRightInd w:val="0"/>
              <w:spacing w:after="0" w:line="240" w:lineRule="auto"/>
              <w:ind w:hanging="211"/>
            </w:pPr>
            <w:r w:rsidRPr="001224D4">
              <w:t xml:space="preserve">    Aspartate aminotransferase increased</w:t>
            </w:r>
          </w:p>
        </w:tc>
        <w:tc>
          <w:tcPr>
            <w:tcW w:w="1701" w:type="dxa"/>
            <w:tcBorders>
              <w:top w:val="nil"/>
              <w:left w:val="nil"/>
              <w:bottom w:val="nil"/>
              <w:right w:val="nil"/>
            </w:tcBorders>
            <w:shd w:val="clear" w:color="auto" w:fill="FFFFFF"/>
            <w:tcMar>
              <w:left w:w="60" w:type="dxa"/>
              <w:right w:w="60" w:type="dxa"/>
            </w:tcMar>
            <w:vAlign w:val="center"/>
          </w:tcPr>
          <w:p w14:paraId="718DA12C" w14:textId="77777777" w:rsidR="00576FE1" w:rsidRPr="001224D4" w:rsidRDefault="00576FE1" w:rsidP="00115CD6">
            <w:pPr>
              <w:keepNext/>
              <w:adjustRightInd w:val="0"/>
              <w:spacing w:after="0" w:line="240" w:lineRule="auto"/>
              <w:jc w:val="center"/>
            </w:pPr>
            <w:r w:rsidRPr="001224D4">
              <w:t>3 (1.2%)</w:t>
            </w:r>
          </w:p>
        </w:tc>
        <w:tc>
          <w:tcPr>
            <w:tcW w:w="1559" w:type="dxa"/>
            <w:tcBorders>
              <w:top w:val="nil"/>
              <w:left w:val="nil"/>
              <w:bottom w:val="nil"/>
              <w:right w:val="nil"/>
            </w:tcBorders>
            <w:shd w:val="clear" w:color="auto" w:fill="FFFFFF"/>
            <w:tcMar>
              <w:left w:w="60" w:type="dxa"/>
              <w:right w:w="60" w:type="dxa"/>
            </w:tcMar>
            <w:vAlign w:val="center"/>
          </w:tcPr>
          <w:p w14:paraId="616D0A05" w14:textId="77777777" w:rsidR="00576FE1" w:rsidRPr="001224D4" w:rsidRDefault="00576FE1" w:rsidP="00115CD6">
            <w:pPr>
              <w:keepNext/>
              <w:adjustRightInd w:val="0"/>
              <w:spacing w:after="0" w:line="240" w:lineRule="auto"/>
              <w:jc w:val="center"/>
            </w:pPr>
            <w:r w:rsidRPr="001224D4">
              <w:t>0 (0.0%)</w:t>
            </w:r>
          </w:p>
        </w:tc>
        <w:tc>
          <w:tcPr>
            <w:tcW w:w="1560" w:type="dxa"/>
            <w:tcBorders>
              <w:top w:val="nil"/>
              <w:left w:val="nil"/>
              <w:bottom w:val="nil"/>
              <w:right w:val="nil"/>
            </w:tcBorders>
            <w:shd w:val="clear" w:color="auto" w:fill="FFFFFF"/>
            <w:tcMar>
              <w:left w:w="60" w:type="dxa"/>
              <w:right w:w="60" w:type="dxa"/>
            </w:tcMar>
            <w:vAlign w:val="center"/>
          </w:tcPr>
          <w:p w14:paraId="2F265788" w14:textId="77777777" w:rsidR="00576FE1" w:rsidRPr="001224D4" w:rsidRDefault="00576FE1" w:rsidP="00115CD6">
            <w:pPr>
              <w:keepNext/>
              <w:adjustRightInd w:val="0"/>
              <w:spacing w:after="0" w:line="240" w:lineRule="auto"/>
              <w:jc w:val="center"/>
            </w:pPr>
            <w:r w:rsidRPr="001224D4">
              <w:t>3 (0.6%)</w:t>
            </w:r>
          </w:p>
        </w:tc>
      </w:tr>
      <w:tr w:rsidR="00576FE1" w:rsidRPr="001224D4" w14:paraId="12C2E551"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1D8E4B1C" w14:textId="77777777" w:rsidR="00576FE1" w:rsidRPr="001224D4" w:rsidRDefault="00576FE1" w:rsidP="00115CD6">
            <w:pPr>
              <w:keepNext/>
              <w:adjustRightInd w:val="0"/>
              <w:spacing w:after="0" w:line="240" w:lineRule="auto"/>
              <w:rPr>
                <w:b/>
                <w:lang w:val="en-GB"/>
              </w:rPr>
            </w:pPr>
            <w:r w:rsidRPr="001224D4">
              <w:rPr>
                <w:b/>
                <w:lang w:val="en-GB"/>
              </w:rPr>
              <w:t>Musculoskeletal and connective tissue disorders</w:t>
            </w:r>
          </w:p>
        </w:tc>
        <w:tc>
          <w:tcPr>
            <w:tcW w:w="1701" w:type="dxa"/>
            <w:tcBorders>
              <w:top w:val="nil"/>
              <w:left w:val="nil"/>
              <w:bottom w:val="nil"/>
              <w:right w:val="nil"/>
            </w:tcBorders>
            <w:shd w:val="clear" w:color="auto" w:fill="FFFFFF"/>
            <w:tcMar>
              <w:left w:w="60" w:type="dxa"/>
              <w:right w:w="60" w:type="dxa"/>
            </w:tcMar>
            <w:vAlign w:val="center"/>
          </w:tcPr>
          <w:p w14:paraId="76E43162" w14:textId="77777777" w:rsidR="00576FE1" w:rsidRPr="001224D4" w:rsidRDefault="00576FE1" w:rsidP="00115CD6">
            <w:pPr>
              <w:keepNext/>
              <w:adjustRightInd w:val="0"/>
              <w:spacing w:after="0" w:line="240" w:lineRule="auto"/>
              <w:jc w:val="center"/>
              <w:rPr>
                <w:b/>
              </w:rPr>
            </w:pPr>
            <w:r w:rsidRPr="001224D4">
              <w:rPr>
                <w:b/>
              </w:rPr>
              <w:t>6 (2.5%)</w:t>
            </w:r>
          </w:p>
        </w:tc>
        <w:tc>
          <w:tcPr>
            <w:tcW w:w="1559" w:type="dxa"/>
            <w:tcBorders>
              <w:top w:val="nil"/>
              <w:left w:val="nil"/>
              <w:bottom w:val="nil"/>
              <w:right w:val="nil"/>
            </w:tcBorders>
            <w:shd w:val="clear" w:color="auto" w:fill="FFFFFF"/>
            <w:tcMar>
              <w:left w:w="60" w:type="dxa"/>
              <w:right w:w="60" w:type="dxa"/>
            </w:tcMar>
            <w:vAlign w:val="center"/>
          </w:tcPr>
          <w:p w14:paraId="2B476FFE" w14:textId="77777777" w:rsidR="00576FE1" w:rsidRPr="001224D4" w:rsidRDefault="00576FE1" w:rsidP="00115CD6">
            <w:pPr>
              <w:keepNext/>
              <w:adjustRightInd w:val="0"/>
              <w:spacing w:after="0" w:line="240" w:lineRule="auto"/>
              <w:jc w:val="center"/>
              <w:rPr>
                <w:b/>
              </w:rPr>
            </w:pPr>
            <w:r w:rsidRPr="001224D4">
              <w:rPr>
                <w:b/>
              </w:rPr>
              <w:t>2 (0.8%)</w:t>
            </w:r>
          </w:p>
        </w:tc>
        <w:tc>
          <w:tcPr>
            <w:tcW w:w="1560" w:type="dxa"/>
            <w:tcBorders>
              <w:top w:val="nil"/>
              <w:left w:val="nil"/>
              <w:bottom w:val="nil"/>
              <w:right w:val="nil"/>
            </w:tcBorders>
            <w:shd w:val="clear" w:color="auto" w:fill="FFFFFF"/>
            <w:tcMar>
              <w:left w:w="60" w:type="dxa"/>
              <w:right w:w="60" w:type="dxa"/>
            </w:tcMar>
            <w:vAlign w:val="center"/>
          </w:tcPr>
          <w:p w14:paraId="6EA0329F" w14:textId="77777777" w:rsidR="00576FE1" w:rsidRPr="001224D4" w:rsidRDefault="00576FE1" w:rsidP="00115CD6">
            <w:pPr>
              <w:keepNext/>
              <w:adjustRightInd w:val="0"/>
              <w:spacing w:after="0" w:line="240" w:lineRule="auto"/>
              <w:jc w:val="center"/>
              <w:rPr>
                <w:b/>
              </w:rPr>
            </w:pPr>
            <w:r w:rsidRPr="001224D4">
              <w:rPr>
                <w:b/>
              </w:rPr>
              <w:t>8 (1.7%)</w:t>
            </w:r>
          </w:p>
        </w:tc>
      </w:tr>
      <w:tr w:rsidR="00576FE1" w:rsidRPr="001224D4" w14:paraId="451A2931"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59E40919" w14:textId="77777777" w:rsidR="00576FE1" w:rsidRPr="001224D4" w:rsidRDefault="00576FE1" w:rsidP="00115CD6">
            <w:pPr>
              <w:keepNext/>
              <w:adjustRightInd w:val="0"/>
              <w:spacing w:after="0" w:line="240" w:lineRule="auto"/>
              <w:ind w:hanging="211"/>
            </w:pPr>
            <w:r w:rsidRPr="001224D4">
              <w:t xml:space="preserve">    Back pain</w:t>
            </w:r>
          </w:p>
        </w:tc>
        <w:tc>
          <w:tcPr>
            <w:tcW w:w="1701" w:type="dxa"/>
            <w:tcBorders>
              <w:top w:val="nil"/>
              <w:left w:val="nil"/>
              <w:bottom w:val="nil"/>
              <w:right w:val="nil"/>
            </w:tcBorders>
            <w:shd w:val="clear" w:color="auto" w:fill="FFFFFF"/>
            <w:tcMar>
              <w:left w:w="60" w:type="dxa"/>
              <w:right w:w="60" w:type="dxa"/>
            </w:tcMar>
            <w:vAlign w:val="center"/>
          </w:tcPr>
          <w:p w14:paraId="1C3DF886" w14:textId="77777777" w:rsidR="00576FE1" w:rsidRPr="001224D4" w:rsidRDefault="00576FE1" w:rsidP="00115CD6">
            <w:pPr>
              <w:keepNext/>
              <w:adjustRightInd w:val="0"/>
              <w:spacing w:after="0" w:line="240" w:lineRule="auto"/>
              <w:jc w:val="center"/>
            </w:pPr>
            <w:r w:rsidRPr="001224D4">
              <w:t>3 (1.2%)</w:t>
            </w:r>
          </w:p>
        </w:tc>
        <w:tc>
          <w:tcPr>
            <w:tcW w:w="1559" w:type="dxa"/>
            <w:tcBorders>
              <w:top w:val="nil"/>
              <w:left w:val="nil"/>
              <w:bottom w:val="nil"/>
              <w:right w:val="nil"/>
            </w:tcBorders>
            <w:shd w:val="clear" w:color="auto" w:fill="FFFFFF"/>
            <w:tcMar>
              <w:left w:w="60" w:type="dxa"/>
              <w:right w:w="60" w:type="dxa"/>
            </w:tcMar>
            <w:vAlign w:val="center"/>
          </w:tcPr>
          <w:p w14:paraId="1073EA80" w14:textId="77777777" w:rsidR="00576FE1" w:rsidRPr="001224D4" w:rsidRDefault="00576FE1" w:rsidP="00115CD6">
            <w:pPr>
              <w:keepNext/>
              <w:adjustRightInd w:val="0"/>
              <w:spacing w:after="0" w:line="240" w:lineRule="auto"/>
              <w:jc w:val="center"/>
            </w:pPr>
            <w:r w:rsidRPr="001224D4">
              <w:t>0 (0.0%)</w:t>
            </w:r>
          </w:p>
        </w:tc>
        <w:tc>
          <w:tcPr>
            <w:tcW w:w="1560" w:type="dxa"/>
            <w:tcBorders>
              <w:top w:val="nil"/>
              <w:left w:val="nil"/>
              <w:bottom w:val="nil"/>
              <w:right w:val="nil"/>
            </w:tcBorders>
            <w:shd w:val="clear" w:color="auto" w:fill="FFFFFF"/>
            <w:tcMar>
              <w:left w:w="60" w:type="dxa"/>
              <w:right w:w="60" w:type="dxa"/>
            </w:tcMar>
            <w:vAlign w:val="center"/>
          </w:tcPr>
          <w:p w14:paraId="49F7DE5B" w14:textId="77777777" w:rsidR="00576FE1" w:rsidRPr="001224D4" w:rsidRDefault="00576FE1" w:rsidP="00115CD6">
            <w:pPr>
              <w:keepNext/>
              <w:adjustRightInd w:val="0"/>
              <w:spacing w:after="0" w:line="240" w:lineRule="auto"/>
              <w:jc w:val="center"/>
            </w:pPr>
            <w:r w:rsidRPr="001224D4">
              <w:t>3 (0.6%)</w:t>
            </w:r>
          </w:p>
        </w:tc>
      </w:tr>
      <w:tr w:rsidR="00576FE1" w:rsidRPr="001224D4" w14:paraId="68112013"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17AB185E" w14:textId="77777777" w:rsidR="00576FE1" w:rsidRPr="001224D4" w:rsidRDefault="00576FE1" w:rsidP="00115CD6">
            <w:pPr>
              <w:keepNext/>
              <w:adjustRightInd w:val="0"/>
              <w:spacing w:after="0" w:line="240" w:lineRule="auto"/>
              <w:rPr>
                <w:b/>
                <w:lang w:val="en-GB"/>
              </w:rPr>
            </w:pPr>
            <w:r w:rsidRPr="001224D4">
              <w:rPr>
                <w:b/>
                <w:lang w:val="en-GB"/>
              </w:rPr>
              <w:t>General disorders and administration site conditions</w:t>
            </w:r>
          </w:p>
        </w:tc>
        <w:tc>
          <w:tcPr>
            <w:tcW w:w="1701" w:type="dxa"/>
            <w:tcBorders>
              <w:top w:val="nil"/>
              <w:left w:val="nil"/>
              <w:bottom w:val="nil"/>
              <w:right w:val="nil"/>
            </w:tcBorders>
            <w:shd w:val="clear" w:color="auto" w:fill="FFFFFF"/>
            <w:tcMar>
              <w:left w:w="60" w:type="dxa"/>
              <w:right w:w="60" w:type="dxa"/>
            </w:tcMar>
            <w:vAlign w:val="center"/>
          </w:tcPr>
          <w:p w14:paraId="19D28047" w14:textId="77777777" w:rsidR="00576FE1" w:rsidRPr="001224D4" w:rsidRDefault="00576FE1" w:rsidP="00115CD6">
            <w:pPr>
              <w:keepNext/>
              <w:adjustRightInd w:val="0"/>
              <w:spacing w:after="0" w:line="240" w:lineRule="auto"/>
              <w:jc w:val="center"/>
              <w:rPr>
                <w:b/>
              </w:rPr>
            </w:pPr>
            <w:r w:rsidRPr="001224D4">
              <w:rPr>
                <w:b/>
              </w:rPr>
              <w:t>5 (2.1%)</w:t>
            </w:r>
          </w:p>
        </w:tc>
        <w:tc>
          <w:tcPr>
            <w:tcW w:w="1559" w:type="dxa"/>
            <w:tcBorders>
              <w:top w:val="nil"/>
              <w:left w:val="nil"/>
              <w:bottom w:val="nil"/>
              <w:right w:val="nil"/>
            </w:tcBorders>
            <w:shd w:val="clear" w:color="auto" w:fill="FFFFFF"/>
            <w:tcMar>
              <w:left w:w="60" w:type="dxa"/>
              <w:right w:w="60" w:type="dxa"/>
            </w:tcMar>
            <w:vAlign w:val="center"/>
          </w:tcPr>
          <w:p w14:paraId="3B8FEB20" w14:textId="77777777" w:rsidR="00576FE1" w:rsidRPr="001224D4" w:rsidRDefault="00576FE1" w:rsidP="00115CD6">
            <w:pPr>
              <w:keepNext/>
              <w:adjustRightInd w:val="0"/>
              <w:spacing w:after="0" w:line="240" w:lineRule="auto"/>
              <w:jc w:val="center"/>
              <w:rPr>
                <w:b/>
              </w:rPr>
            </w:pPr>
            <w:r w:rsidRPr="001224D4">
              <w:rPr>
                <w:b/>
              </w:rPr>
              <w:t>2 (0.8%)</w:t>
            </w:r>
          </w:p>
        </w:tc>
        <w:tc>
          <w:tcPr>
            <w:tcW w:w="1560" w:type="dxa"/>
            <w:tcBorders>
              <w:top w:val="nil"/>
              <w:left w:val="nil"/>
              <w:bottom w:val="nil"/>
              <w:right w:val="nil"/>
            </w:tcBorders>
            <w:shd w:val="clear" w:color="auto" w:fill="FFFFFF"/>
            <w:tcMar>
              <w:left w:w="60" w:type="dxa"/>
              <w:right w:w="60" w:type="dxa"/>
            </w:tcMar>
            <w:vAlign w:val="center"/>
          </w:tcPr>
          <w:p w14:paraId="1B3C0178" w14:textId="77777777" w:rsidR="00576FE1" w:rsidRPr="001224D4" w:rsidRDefault="00576FE1" w:rsidP="00115CD6">
            <w:pPr>
              <w:keepNext/>
              <w:adjustRightInd w:val="0"/>
              <w:spacing w:after="0" w:line="240" w:lineRule="auto"/>
              <w:jc w:val="center"/>
              <w:rPr>
                <w:b/>
              </w:rPr>
            </w:pPr>
            <w:r w:rsidRPr="001224D4">
              <w:rPr>
                <w:b/>
              </w:rPr>
              <w:t>7 (1.4%)</w:t>
            </w:r>
          </w:p>
        </w:tc>
      </w:tr>
      <w:tr w:rsidR="00576FE1" w:rsidRPr="001224D4" w14:paraId="02E801A3" w14:textId="77777777" w:rsidTr="00800E62">
        <w:trPr>
          <w:cantSplit/>
        </w:trPr>
        <w:tc>
          <w:tcPr>
            <w:tcW w:w="4106" w:type="dxa"/>
            <w:tcBorders>
              <w:top w:val="nil"/>
              <w:left w:val="nil"/>
              <w:bottom w:val="nil"/>
              <w:right w:val="nil"/>
            </w:tcBorders>
            <w:shd w:val="clear" w:color="auto" w:fill="FFFFFF"/>
            <w:tcMar>
              <w:left w:w="60" w:type="dxa"/>
              <w:right w:w="60" w:type="dxa"/>
            </w:tcMar>
            <w:vAlign w:val="center"/>
          </w:tcPr>
          <w:p w14:paraId="74085DAE" w14:textId="77777777" w:rsidR="00576FE1" w:rsidRPr="001224D4" w:rsidRDefault="00576FE1" w:rsidP="00115CD6">
            <w:pPr>
              <w:keepNext/>
              <w:adjustRightInd w:val="0"/>
              <w:spacing w:after="0" w:line="240" w:lineRule="auto"/>
              <w:ind w:hanging="211"/>
            </w:pPr>
            <w:r w:rsidRPr="001224D4">
              <w:t xml:space="preserve">    Pyrexia</w:t>
            </w:r>
          </w:p>
        </w:tc>
        <w:tc>
          <w:tcPr>
            <w:tcW w:w="1701" w:type="dxa"/>
            <w:tcBorders>
              <w:top w:val="nil"/>
              <w:left w:val="nil"/>
              <w:bottom w:val="nil"/>
              <w:right w:val="nil"/>
            </w:tcBorders>
            <w:shd w:val="clear" w:color="auto" w:fill="FFFFFF"/>
            <w:tcMar>
              <w:left w:w="60" w:type="dxa"/>
              <w:right w:w="60" w:type="dxa"/>
            </w:tcMar>
            <w:vAlign w:val="center"/>
          </w:tcPr>
          <w:p w14:paraId="7FFEC1CF" w14:textId="77777777" w:rsidR="00576FE1" w:rsidRPr="001224D4" w:rsidRDefault="00576FE1" w:rsidP="00115CD6">
            <w:pPr>
              <w:keepNext/>
              <w:adjustRightInd w:val="0"/>
              <w:spacing w:after="0" w:line="240" w:lineRule="auto"/>
              <w:jc w:val="center"/>
            </w:pPr>
            <w:r w:rsidRPr="001224D4">
              <w:t>3 (1.2%)</w:t>
            </w:r>
          </w:p>
        </w:tc>
        <w:tc>
          <w:tcPr>
            <w:tcW w:w="1559" w:type="dxa"/>
            <w:tcBorders>
              <w:top w:val="nil"/>
              <w:left w:val="nil"/>
              <w:bottom w:val="nil"/>
              <w:right w:val="nil"/>
            </w:tcBorders>
            <w:shd w:val="clear" w:color="auto" w:fill="FFFFFF"/>
            <w:tcMar>
              <w:left w:w="60" w:type="dxa"/>
              <w:right w:w="60" w:type="dxa"/>
            </w:tcMar>
            <w:vAlign w:val="center"/>
          </w:tcPr>
          <w:p w14:paraId="6B5E2E17" w14:textId="77777777" w:rsidR="00576FE1" w:rsidRPr="001224D4" w:rsidRDefault="00576FE1" w:rsidP="00115CD6">
            <w:pPr>
              <w:keepNext/>
              <w:adjustRightInd w:val="0"/>
              <w:spacing w:after="0" w:line="240" w:lineRule="auto"/>
              <w:jc w:val="center"/>
            </w:pPr>
            <w:r w:rsidRPr="001224D4">
              <w:t>0 (0.0%)</w:t>
            </w:r>
          </w:p>
        </w:tc>
        <w:tc>
          <w:tcPr>
            <w:tcW w:w="1560" w:type="dxa"/>
            <w:tcBorders>
              <w:top w:val="nil"/>
              <w:left w:val="nil"/>
              <w:bottom w:val="nil"/>
              <w:right w:val="nil"/>
            </w:tcBorders>
            <w:shd w:val="clear" w:color="auto" w:fill="FFFFFF"/>
            <w:tcMar>
              <w:left w:w="60" w:type="dxa"/>
              <w:right w:w="60" w:type="dxa"/>
            </w:tcMar>
            <w:vAlign w:val="center"/>
          </w:tcPr>
          <w:p w14:paraId="171B06FE" w14:textId="77777777" w:rsidR="00576FE1" w:rsidRPr="001224D4" w:rsidRDefault="00576FE1" w:rsidP="00115CD6">
            <w:pPr>
              <w:keepNext/>
              <w:adjustRightInd w:val="0"/>
              <w:spacing w:after="0" w:line="240" w:lineRule="auto"/>
              <w:jc w:val="center"/>
            </w:pPr>
            <w:r w:rsidRPr="001224D4">
              <w:t>3 (0.6%)</w:t>
            </w:r>
          </w:p>
        </w:tc>
      </w:tr>
      <w:tr w:rsidR="00576FE1" w:rsidRPr="001224D4" w14:paraId="2740285B" w14:textId="77777777" w:rsidTr="00800E62">
        <w:trPr>
          <w:cantSplit/>
        </w:trPr>
        <w:tc>
          <w:tcPr>
            <w:tcW w:w="4106" w:type="dxa"/>
            <w:tcBorders>
              <w:top w:val="nil"/>
              <w:left w:val="nil"/>
              <w:right w:val="nil"/>
            </w:tcBorders>
            <w:shd w:val="clear" w:color="auto" w:fill="FFFFFF"/>
            <w:tcMar>
              <w:left w:w="60" w:type="dxa"/>
              <w:right w:w="60" w:type="dxa"/>
            </w:tcMar>
            <w:vAlign w:val="center"/>
          </w:tcPr>
          <w:p w14:paraId="19938902" w14:textId="77777777" w:rsidR="00576FE1" w:rsidRPr="001658EF" w:rsidRDefault="00576FE1" w:rsidP="00115CD6">
            <w:pPr>
              <w:keepNext/>
              <w:adjustRightInd w:val="0"/>
              <w:spacing w:after="0" w:line="240" w:lineRule="auto"/>
              <w:rPr>
                <w:sz w:val="6"/>
                <w:szCs w:val="6"/>
              </w:rPr>
            </w:pPr>
          </w:p>
        </w:tc>
        <w:tc>
          <w:tcPr>
            <w:tcW w:w="1701" w:type="dxa"/>
            <w:tcBorders>
              <w:top w:val="nil"/>
              <w:left w:val="nil"/>
              <w:right w:val="nil"/>
            </w:tcBorders>
            <w:shd w:val="clear" w:color="auto" w:fill="FFFFFF"/>
            <w:tcMar>
              <w:left w:w="60" w:type="dxa"/>
              <w:right w:w="60" w:type="dxa"/>
            </w:tcMar>
            <w:vAlign w:val="center"/>
          </w:tcPr>
          <w:p w14:paraId="4BFBCD72" w14:textId="77777777" w:rsidR="00576FE1" w:rsidRPr="001658EF" w:rsidRDefault="00576FE1" w:rsidP="00115CD6">
            <w:pPr>
              <w:keepNext/>
              <w:adjustRightInd w:val="0"/>
              <w:spacing w:after="0" w:line="240" w:lineRule="auto"/>
              <w:jc w:val="center"/>
              <w:rPr>
                <w:sz w:val="6"/>
                <w:szCs w:val="6"/>
              </w:rPr>
            </w:pPr>
          </w:p>
        </w:tc>
        <w:tc>
          <w:tcPr>
            <w:tcW w:w="1559" w:type="dxa"/>
            <w:tcBorders>
              <w:top w:val="nil"/>
              <w:left w:val="nil"/>
              <w:right w:val="nil"/>
            </w:tcBorders>
            <w:shd w:val="clear" w:color="auto" w:fill="FFFFFF"/>
            <w:tcMar>
              <w:left w:w="60" w:type="dxa"/>
              <w:right w:w="60" w:type="dxa"/>
            </w:tcMar>
            <w:vAlign w:val="center"/>
          </w:tcPr>
          <w:p w14:paraId="16057658" w14:textId="77777777" w:rsidR="00576FE1" w:rsidRPr="001658EF" w:rsidRDefault="00576FE1" w:rsidP="00115CD6">
            <w:pPr>
              <w:keepNext/>
              <w:adjustRightInd w:val="0"/>
              <w:spacing w:after="0" w:line="240" w:lineRule="auto"/>
              <w:jc w:val="center"/>
              <w:rPr>
                <w:sz w:val="6"/>
                <w:szCs w:val="6"/>
              </w:rPr>
            </w:pPr>
          </w:p>
        </w:tc>
        <w:tc>
          <w:tcPr>
            <w:tcW w:w="1560" w:type="dxa"/>
            <w:tcBorders>
              <w:top w:val="nil"/>
              <w:left w:val="nil"/>
              <w:right w:val="nil"/>
            </w:tcBorders>
            <w:shd w:val="clear" w:color="auto" w:fill="FFFFFF"/>
            <w:tcMar>
              <w:left w:w="60" w:type="dxa"/>
              <w:right w:w="60" w:type="dxa"/>
            </w:tcMar>
            <w:vAlign w:val="center"/>
          </w:tcPr>
          <w:p w14:paraId="6A99BEF8" w14:textId="77777777" w:rsidR="00576FE1" w:rsidRPr="001658EF" w:rsidRDefault="00576FE1" w:rsidP="00115CD6">
            <w:pPr>
              <w:keepNext/>
              <w:adjustRightInd w:val="0"/>
              <w:spacing w:after="0" w:line="240" w:lineRule="auto"/>
              <w:jc w:val="center"/>
              <w:rPr>
                <w:sz w:val="6"/>
                <w:szCs w:val="6"/>
              </w:rPr>
            </w:pPr>
          </w:p>
        </w:tc>
      </w:tr>
    </w:tbl>
    <w:p w14:paraId="6358F2FD" w14:textId="357E13CE" w:rsidR="00576FE1" w:rsidRDefault="00576FE1" w:rsidP="00576FE1">
      <w:pPr>
        <w:rPr>
          <w:lang w:val="en-GB"/>
        </w:rPr>
      </w:pPr>
      <w:r w:rsidRPr="0011227C">
        <w:rPr>
          <w:i/>
          <w:sz w:val="18"/>
          <w:szCs w:val="18"/>
          <w:lang w:val="en-GB"/>
        </w:rPr>
        <w:t>(</w:t>
      </w:r>
      <w:r w:rsidRPr="0011227C">
        <w:rPr>
          <w:i/>
          <w:sz w:val="18"/>
          <w:szCs w:val="18"/>
          <w:u w:val="single"/>
          <w:lang w:val="en-GB"/>
        </w:rPr>
        <w:t>Cross reference</w:t>
      </w:r>
      <w:r w:rsidRPr="0011227C">
        <w:rPr>
          <w:i/>
          <w:sz w:val="18"/>
          <w:szCs w:val="18"/>
          <w:lang w:val="en-GB"/>
        </w:rPr>
        <w:t xml:space="preserve">: </w:t>
      </w:r>
      <w:r>
        <w:rPr>
          <w:i/>
          <w:sz w:val="18"/>
          <w:szCs w:val="18"/>
          <w:lang w:val="en-GB"/>
        </w:rPr>
        <w:t>Table 166</w:t>
      </w:r>
      <w:r w:rsidRPr="0011227C">
        <w:rPr>
          <w:i/>
          <w:sz w:val="18"/>
          <w:szCs w:val="18"/>
          <w:lang w:val="en-GB"/>
        </w:rPr>
        <w:t xml:space="preserve"> of Final Analysis Statistical Report dated </w:t>
      </w:r>
      <w:r w:rsidR="001B1571">
        <w:rPr>
          <w:i/>
          <w:sz w:val="18"/>
          <w:szCs w:val="18"/>
          <w:lang w:val="en-GB"/>
        </w:rPr>
        <w:t>4</w:t>
      </w:r>
      <w:r w:rsidR="001B1571" w:rsidRPr="001B1571">
        <w:rPr>
          <w:i/>
          <w:sz w:val="18"/>
          <w:szCs w:val="18"/>
          <w:vertAlign w:val="superscript"/>
          <w:lang w:val="en-GB"/>
        </w:rPr>
        <w:t>th</w:t>
      </w:r>
      <w:r w:rsidR="001B1571">
        <w:rPr>
          <w:i/>
          <w:sz w:val="18"/>
          <w:szCs w:val="18"/>
          <w:lang w:val="en-GB"/>
        </w:rPr>
        <w:t xml:space="preserve"> September</w:t>
      </w:r>
      <w:r w:rsidRPr="0011227C">
        <w:rPr>
          <w:i/>
          <w:sz w:val="18"/>
          <w:szCs w:val="18"/>
          <w:lang w:val="en-GB"/>
        </w:rPr>
        <w:t xml:space="preserve"> 2020).</w:t>
      </w:r>
    </w:p>
    <w:p w14:paraId="666EBC22" w14:textId="77777777" w:rsidR="00576FE1" w:rsidRDefault="00576FE1" w:rsidP="00576FE1">
      <w:pPr>
        <w:rPr>
          <w:lang w:val="en-GB"/>
        </w:rPr>
      </w:pPr>
    </w:p>
    <w:p w14:paraId="41345797" w14:textId="7A42C86F" w:rsidR="00576FE1" w:rsidRDefault="00576FE1" w:rsidP="002221CF">
      <w:pPr>
        <w:pStyle w:val="Descripcin"/>
        <w:keepNext/>
        <w:outlineLvl w:val="0"/>
      </w:pPr>
      <w:bookmarkStart w:id="689" w:name="_Ref52426761"/>
      <w:bookmarkStart w:id="690" w:name="_Toc52046496"/>
      <w:bookmarkStart w:id="691" w:name="_Toc52446219"/>
      <w:bookmarkStart w:id="692" w:name="_Toc52468176"/>
      <w:r>
        <w:lastRenderedPageBreak/>
        <w:t xml:space="preserve">Table </w:t>
      </w:r>
      <w:r>
        <w:fldChar w:fldCharType="begin"/>
      </w:r>
      <w:r>
        <w:instrText xml:space="preserve"> SEQ Table \* ARABIC </w:instrText>
      </w:r>
      <w:r>
        <w:fldChar w:fldCharType="separate"/>
      </w:r>
      <w:r w:rsidR="002221CF">
        <w:rPr>
          <w:noProof/>
        </w:rPr>
        <w:t>18</w:t>
      </w:r>
      <w:r>
        <w:fldChar w:fldCharType="end"/>
      </w:r>
      <w:bookmarkEnd w:id="689"/>
      <w:r>
        <w:t xml:space="preserve">. </w:t>
      </w:r>
      <w:r w:rsidRPr="003D069A">
        <w:t>Toxicity summary for all serious and IMP-related (Safety population).</w:t>
      </w:r>
      <w:bookmarkEnd w:id="690"/>
      <w:bookmarkEnd w:id="691"/>
      <w:bookmarkEnd w:id="692"/>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69"/>
        <w:gridCol w:w="1838"/>
        <w:gridCol w:w="1701"/>
        <w:gridCol w:w="1559"/>
      </w:tblGrid>
      <w:tr w:rsidR="00576FE1" w:rsidRPr="00793DA1" w14:paraId="114B7EEA" w14:textId="77777777" w:rsidTr="00800E62">
        <w:trPr>
          <w:cantSplit/>
          <w:tblHeader/>
        </w:trPr>
        <w:tc>
          <w:tcPr>
            <w:tcW w:w="3969" w:type="dxa"/>
            <w:tcBorders>
              <w:left w:val="nil"/>
              <w:bottom w:val="single" w:sz="4" w:space="0" w:color="auto"/>
              <w:right w:val="nil"/>
            </w:tcBorders>
            <w:shd w:val="clear" w:color="auto" w:fill="FFFFFF"/>
            <w:tcMar>
              <w:left w:w="60" w:type="dxa"/>
              <w:right w:w="60" w:type="dxa"/>
            </w:tcMar>
            <w:vAlign w:val="center"/>
          </w:tcPr>
          <w:p w14:paraId="101123A2" w14:textId="77777777" w:rsidR="00576FE1" w:rsidRPr="00E55E01" w:rsidRDefault="00576FE1" w:rsidP="00115CD6">
            <w:pPr>
              <w:keepNext/>
              <w:adjustRightInd w:val="0"/>
              <w:spacing w:after="0" w:line="240" w:lineRule="auto"/>
              <w:rPr>
                <w:b/>
                <w:bCs/>
                <w:lang w:val="en-GB"/>
              </w:rPr>
            </w:pPr>
            <w:r w:rsidRPr="00793DA1">
              <w:rPr>
                <w:b/>
                <w:bCs/>
                <w:lang w:val="en-GB"/>
              </w:rPr>
              <w:t>SOC</w:t>
            </w:r>
            <w:r w:rsidRPr="00E55E01">
              <w:rPr>
                <w:b/>
                <w:bCs/>
                <w:lang w:val="en-GB"/>
              </w:rPr>
              <w:t xml:space="preserve"> / PT</w:t>
            </w:r>
          </w:p>
          <w:p w14:paraId="7C90C747" w14:textId="77777777" w:rsidR="00576FE1" w:rsidRPr="00E80CB2" w:rsidRDefault="00576FE1" w:rsidP="00115CD6">
            <w:pPr>
              <w:keepNext/>
              <w:adjustRightInd w:val="0"/>
              <w:spacing w:after="0" w:line="240" w:lineRule="auto"/>
              <w:rPr>
                <w:bCs/>
                <w:lang w:val="en-GB"/>
              </w:rPr>
            </w:pPr>
            <w:r w:rsidRPr="00E80CB2">
              <w:rPr>
                <w:bCs/>
                <w:lang w:val="en-GB"/>
              </w:rPr>
              <w:t>N (%)</w:t>
            </w:r>
          </w:p>
        </w:tc>
        <w:tc>
          <w:tcPr>
            <w:tcW w:w="1838" w:type="dxa"/>
            <w:tcBorders>
              <w:left w:val="nil"/>
              <w:bottom w:val="single" w:sz="4" w:space="0" w:color="auto"/>
              <w:right w:val="nil"/>
            </w:tcBorders>
            <w:shd w:val="clear" w:color="auto" w:fill="FFFFFF"/>
            <w:tcMar>
              <w:left w:w="60" w:type="dxa"/>
              <w:right w:w="60" w:type="dxa"/>
            </w:tcMar>
            <w:vAlign w:val="center"/>
          </w:tcPr>
          <w:p w14:paraId="5939EF4B" w14:textId="77777777" w:rsidR="00576FE1" w:rsidRPr="00793DA1" w:rsidRDefault="00576FE1" w:rsidP="00115CD6">
            <w:pPr>
              <w:keepNext/>
              <w:adjustRightInd w:val="0"/>
              <w:spacing w:after="0" w:line="240" w:lineRule="auto"/>
              <w:jc w:val="center"/>
              <w:rPr>
                <w:b/>
                <w:bCs/>
              </w:rPr>
            </w:pPr>
            <w:r w:rsidRPr="00793DA1">
              <w:rPr>
                <w:b/>
                <w:bCs/>
              </w:rPr>
              <w:t>Palbociclib-</w:t>
            </w:r>
          </w:p>
          <w:p w14:paraId="1E9DFDDE" w14:textId="77777777" w:rsidR="00576FE1" w:rsidRPr="00793DA1" w:rsidRDefault="00576FE1" w:rsidP="00115CD6">
            <w:pPr>
              <w:keepNext/>
              <w:adjustRightInd w:val="0"/>
              <w:spacing w:after="0" w:line="240" w:lineRule="auto"/>
              <w:jc w:val="center"/>
              <w:rPr>
                <w:b/>
                <w:bCs/>
              </w:rPr>
            </w:pPr>
            <w:proofErr w:type="spellStart"/>
            <w:r w:rsidRPr="00793DA1">
              <w:rPr>
                <w:b/>
                <w:bCs/>
              </w:rPr>
              <w:t>Fulvestrant</w:t>
            </w:r>
            <w:proofErr w:type="spellEnd"/>
            <w:r w:rsidRPr="00793DA1">
              <w:rPr>
                <w:b/>
                <w:bCs/>
              </w:rPr>
              <w:t xml:space="preserve"> </w:t>
            </w:r>
          </w:p>
          <w:p w14:paraId="2E20FD86" w14:textId="77777777" w:rsidR="00576FE1" w:rsidRPr="00E80CB2" w:rsidRDefault="00576FE1" w:rsidP="00115CD6">
            <w:pPr>
              <w:keepNext/>
              <w:adjustRightInd w:val="0"/>
              <w:spacing w:after="0" w:line="240" w:lineRule="auto"/>
              <w:jc w:val="center"/>
              <w:rPr>
                <w:bCs/>
              </w:rPr>
            </w:pPr>
            <w:r w:rsidRPr="00E80CB2">
              <w:rPr>
                <w:bCs/>
              </w:rPr>
              <w:t>(N=241)</w:t>
            </w:r>
          </w:p>
        </w:tc>
        <w:tc>
          <w:tcPr>
            <w:tcW w:w="1701" w:type="dxa"/>
            <w:tcBorders>
              <w:left w:val="nil"/>
              <w:bottom w:val="single" w:sz="4" w:space="0" w:color="auto"/>
              <w:right w:val="nil"/>
            </w:tcBorders>
            <w:shd w:val="clear" w:color="auto" w:fill="FFFFFF"/>
            <w:tcMar>
              <w:left w:w="60" w:type="dxa"/>
              <w:right w:w="60" w:type="dxa"/>
            </w:tcMar>
            <w:vAlign w:val="center"/>
          </w:tcPr>
          <w:p w14:paraId="42AAC948" w14:textId="77777777" w:rsidR="00576FE1" w:rsidRPr="00793DA1" w:rsidRDefault="00576FE1" w:rsidP="00115CD6">
            <w:pPr>
              <w:keepNext/>
              <w:adjustRightInd w:val="0"/>
              <w:spacing w:after="0" w:line="240" w:lineRule="auto"/>
              <w:jc w:val="center"/>
              <w:rPr>
                <w:b/>
                <w:bCs/>
              </w:rPr>
            </w:pPr>
            <w:r w:rsidRPr="00793DA1">
              <w:rPr>
                <w:b/>
                <w:bCs/>
              </w:rPr>
              <w:t>Palbociclib-</w:t>
            </w:r>
          </w:p>
          <w:p w14:paraId="2CF8B390" w14:textId="77777777" w:rsidR="00576FE1" w:rsidRPr="00793DA1" w:rsidRDefault="00576FE1" w:rsidP="00115CD6">
            <w:pPr>
              <w:keepNext/>
              <w:adjustRightInd w:val="0"/>
              <w:spacing w:after="0" w:line="240" w:lineRule="auto"/>
              <w:jc w:val="center"/>
              <w:rPr>
                <w:b/>
                <w:bCs/>
              </w:rPr>
            </w:pPr>
            <w:r w:rsidRPr="00793DA1">
              <w:rPr>
                <w:b/>
                <w:bCs/>
              </w:rPr>
              <w:t xml:space="preserve">Letrozole </w:t>
            </w:r>
          </w:p>
          <w:p w14:paraId="5C0D5E12" w14:textId="77777777" w:rsidR="00576FE1" w:rsidRPr="00E80CB2" w:rsidRDefault="00576FE1" w:rsidP="00115CD6">
            <w:pPr>
              <w:keepNext/>
              <w:adjustRightInd w:val="0"/>
              <w:spacing w:after="0" w:line="240" w:lineRule="auto"/>
              <w:jc w:val="center"/>
              <w:rPr>
                <w:bCs/>
              </w:rPr>
            </w:pPr>
            <w:r w:rsidRPr="00E80CB2">
              <w:rPr>
                <w:bCs/>
              </w:rPr>
              <w:t>(N=242)</w:t>
            </w:r>
          </w:p>
        </w:tc>
        <w:tc>
          <w:tcPr>
            <w:tcW w:w="1559" w:type="dxa"/>
            <w:tcBorders>
              <w:left w:val="nil"/>
              <w:bottom w:val="single" w:sz="4" w:space="0" w:color="auto"/>
              <w:right w:val="nil"/>
            </w:tcBorders>
            <w:shd w:val="clear" w:color="auto" w:fill="FFFFFF"/>
            <w:tcMar>
              <w:left w:w="60" w:type="dxa"/>
              <w:right w:w="60" w:type="dxa"/>
            </w:tcMar>
            <w:vAlign w:val="center"/>
          </w:tcPr>
          <w:p w14:paraId="07DED2AD" w14:textId="77777777" w:rsidR="00576FE1" w:rsidRPr="00793DA1" w:rsidRDefault="00576FE1" w:rsidP="00115CD6">
            <w:pPr>
              <w:keepNext/>
              <w:adjustRightInd w:val="0"/>
              <w:spacing w:after="0" w:line="240" w:lineRule="auto"/>
              <w:jc w:val="center"/>
              <w:rPr>
                <w:b/>
                <w:bCs/>
              </w:rPr>
            </w:pPr>
            <w:r w:rsidRPr="00793DA1">
              <w:rPr>
                <w:b/>
                <w:bCs/>
              </w:rPr>
              <w:t xml:space="preserve">Overall </w:t>
            </w:r>
          </w:p>
          <w:p w14:paraId="0A44ED2D" w14:textId="77777777" w:rsidR="00576FE1" w:rsidRPr="00E80CB2" w:rsidRDefault="00576FE1" w:rsidP="00115CD6">
            <w:pPr>
              <w:keepNext/>
              <w:adjustRightInd w:val="0"/>
              <w:spacing w:after="0" w:line="240" w:lineRule="auto"/>
              <w:jc w:val="center"/>
              <w:rPr>
                <w:bCs/>
              </w:rPr>
            </w:pPr>
            <w:r w:rsidRPr="00E80CB2">
              <w:rPr>
                <w:bCs/>
              </w:rPr>
              <w:t>(N=483)</w:t>
            </w:r>
          </w:p>
        </w:tc>
      </w:tr>
      <w:tr w:rsidR="00576FE1" w:rsidRPr="00793DA1" w14:paraId="5124E038" w14:textId="77777777" w:rsidTr="00800E62">
        <w:trPr>
          <w:cantSplit/>
          <w:trHeight w:val="354"/>
        </w:trPr>
        <w:tc>
          <w:tcPr>
            <w:tcW w:w="3969" w:type="dxa"/>
            <w:tcBorders>
              <w:left w:val="nil"/>
              <w:bottom w:val="nil"/>
              <w:right w:val="nil"/>
            </w:tcBorders>
            <w:shd w:val="clear" w:color="auto" w:fill="FFFFFF"/>
            <w:tcMar>
              <w:left w:w="60" w:type="dxa"/>
              <w:right w:w="60" w:type="dxa"/>
            </w:tcMar>
            <w:vAlign w:val="center"/>
          </w:tcPr>
          <w:p w14:paraId="185086E4" w14:textId="77777777" w:rsidR="00576FE1" w:rsidRPr="00793DA1" w:rsidRDefault="00576FE1" w:rsidP="00115CD6">
            <w:pPr>
              <w:keepNext/>
              <w:adjustRightInd w:val="0"/>
              <w:spacing w:after="0" w:line="240" w:lineRule="auto"/>
              <w:rPr>
                <w:b/>
                <w:lang w:val="en-GB"/>
              </w:rPr>
            </w:pPr>
            <w:r w:rsidRPr="00793DA1">
              <w:rPr>
                <w:b/>
                <w:lang w:val="en-GB"/>
              </w:rPr>
              <w:t>Blood and lymphatic system disorders</w:t>
            </w:r>
          </w:p>
        </w:tc>
        <w:tc>
          <w:tcPr>
            <w:tcW w:w="1838" w:type="dxa"/>
            <w:tcBorders>
              <w:left w:val="nil"/>
              <w:bottom w:val="nil"/>
              <w:right w:val="nil"/>
            </w:tcBorders>
            <w:shd w:val="clear" w:color="auto" w:fill="FFFFFF"/>
            <w:tcMar>
              <w:left w:w="60" w:type="dxa"/>
              <w:right w:w="60" w:type="dxa"/>
            </w:tcMar>
            <w:vAlign w:val="center"/>
          </w:tcPr>
          <w:p w14:paraId="64538EED" w14:textId="77777777" w:rsidR="00576FE1" w:rsidRPr="00793DA1" w:rsidRDefault="00576FE1" w:rsidP="00115CD6">
            <w:pPr>
              <w:keepNext/>
              <w:adjustRightInd w:val="0"/>
              <w:spacing w:after="0" w:line="240" w:lineRule="auto"/>
              <w:jc w:val="center"/>
              <w:rPr>
                <w:b/>
              </w:rPr>
            </w:pPr>
            <w:r w:rsidRPr="00793DA1">
              <w:rPr>
                <w:b/>
              </w:rPr>
              <w:t>6 (2.5%)</w:t>
            </w:r>
          </w:p>
        </w:tc>
        <w:tc>
          <w:tcPr>
            <w:tcW w:w="1701" w:type="dxa"/>
            <w:tcBorders>
              <w:left w:val="nil"/>
              <w:bottom w:val="nil"/>
              <w:right w:val="nil"/>
            </w:tcBorders>
            <w:shd w:val="clear" w:color="auto" w:fill="FFFFFF"/>
            <w:tcMar>
              <w:left w:w="60" w:type="dxa"/>
              <w:right w:w="60" w:type="dxa"/>
            </w:tcMar>
            <w:vAlign w:val="center"/>
          </w:tcPr>
          <w:p w14:paraId="749EF97A" w14:textId="77777777" w:rsidR="00576FE1" w:rsidRPr="00793DA1" w:rsidRDefault="00576FE1" w:rsidP="00115CD6">
            <w:pPr>
              <w:keepNext/>
              <w:adjustRightInd w:val="0"/>
              <w:spacing w:after="0" w:line="240" w:lineRule="auto"/>
              <w:jc w:val="center"/>
              <w:rPr>
                <w:b/>
              </w:rPr>
            </w:pPr>
            <w:r w:rsidRPr="00793DA1">
              <w:rPr>
                <w:b/>
              </w:rPr>
              <w:t>2 (0.8%)</w:t>
            </w:r>
          </w:p>
        </w:tc>
        <w:tc>
          <w:tcPr>
            <w:tcW w:w="1559" w:type="dxa"/>
            <w:tcBorders>
              <w:left w:val="nil"/>
              <w:bottom w:val="nil"/>
              <w:right w:val="nil"/>
            </w:tcBorders>
            <w:shd w:val="clear" w:color="auto" w:fill="FFFFFF"/>
            <w:tcMar>
              <w:left w:w="60" w:type="dxa"/>
              <w:right w:w="60" w:type="dxa"/>
            </w:tcMar>
            <w:vAlign w:val="center"/>
          </w:tcPr>
          <w:p w14:paraId="11D5C64B" w14:textId="77777777" w:rsidR="00576FE1" w:rsidRPr="00793DA1" w:rsidRDefault="00576FE1" w:rsidP="00115CD6">
            <w:pPr>
              <w:keepNext/>
              <w:adjustRightInd w:val="0"/>
              <w:spacing w:after="0" w:line="240" w:lineRule="auto"/>
              <w:jc w:val="center"/>
              <w:rPr>
                <w:b/>
              </w:rPr>
            </w:pPr>
            <w:r w:rsidRPr="00793DA1">
              <w:rPr>
                <w:b/>
              </w:rPr>
              <w:t>8 (1.7%)</w:t>
            </w:r>
          </w:p>
        </w:tc>
      </w:tr>
      <w:tr w:rsidR="00576FE1" w:rsidRPr="00793DA1" w14:paraId="12C93C68"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0EBAAE4C" w14:textId="77777777" w:rsidR="00576FE1" w:rsidRPr="00793DA1" w:rsidRDefault="00576FE1" w:rsidP="00115CD6">
            <w:pPr>
              <w:keepNext/>
              <w:adjustRightInd w:val="0"/>
              <w:spacing w:after="0" w:line="240" w:lineRule="auto"/>
            </w:pPr>
            <w:r w:rsidRPr="00793DA1">
              <w:t xml:space="preserve">    </w:t>
            </w:r>
            <w:proofErr w:type="spellStart"/>
            <w:r w:rsidRPr="00793DA1">
              <w:t>Anaemia</w:t>
            </w:r>
            <w:proofErr w:type="spellEnd"/>
          </w:p>
        </w:tc>
        <w:tc>
          <w:tcPr>
            <w:tcW w:w="1838" w:type="dxa"/>
            <w:tcBorders>
              <w:top w:val="nil"/>
              <w:left w:val="nil"/>
              <w:bottom w:val="nil"/>
              <w:right w:val="nil"/>
            </w:tcBorders>
            <w:shd w:val="clear" w:color="auto" w:fill="FFFFFF"/>
            <w:tcMar>
              <w:left w:w="60" w:type="dxa"/>
              <w:right w:w="60" w:type="dxa"/>
            </w:tcMar>
            <w:vAlign w:val="center"/>
          </w:tcPr>
          <w:p w14:paraId="2ABD46F1" w14:textId="77777777" w:rsidR="00576FE1" w:rsidRPr="00793DA1" w:rsidRDefault="00576FE1" w:rsidP="00115CD6">
            <w:pPr>
              <w:keepNext/>
              <w:adjustRightInd w:val="0"/>
              <w:spacing w:after="0" w:line="240" w:lineRule="auto"/>
              <w:jc w:val="center"/>
            </w:pPr>
            <w:r w:rsidRPr="00793DA1">
              <w:t>3 (1.2%)</w:t>
            </w:r>
          </w:p>
        </w:tc>
        <w:tc>
          <w:tcPr>
            <w:tcW w:w="1701" w:type="dxa"/>
            <w:tcBorders>
              <w:top w:val="nil"/>
              <w:left w:val="nil"/>
              <w:bottom w:val="nil"/>
              <w:right w:val="nil"/>
            </w:tcBorders>
            <w:shd w:val="clear" w:color="auto" w:fill="FFFFFF"/>
            <w:tcMar>
              <w:left w:w="60" w:type="dxa"/>
              <w:right w:w="60" w:type="dxa"/>
            </w:tcMar>
            <w:vAlign w:val="center"/>
          </w:tcPr>
          <w:p w14:paraId="3A576145" w14:textId="77777777" w:rsidR="00576FE1" w:rsidRPr="00793DA1" w:rsidRDefault="00576FE1" w:rsidP="00115CD6">
            <w:pPr>
              <w:keepNext/>
              <w:adjustRightInd w:val="0"/>
              <w:spacing w:after="0" w:line="240" w:lineRule="auto"/>
              <w:jc w:val="center"/>
            </w:pPr>
            <w:r w:rsidRPr="00793DA1">
              <w:t>1 (0.4%)</w:t>
            </w:r>
          </w:p>
        </w:tc>
        <w:tc>
          <w:tcPr>
            <w:tcW w:w="1559" w:type="dxa"/>
            <w:tcBorders>
              <w:top w:val="nil"/>
              <w:left w:val="nil"/>
              <w:bottom w:val="nil"/>
              <w:right w:val="nil"/>
            </w:tcBorders>
            <w:shd w:val="clear" w:color="auto" w:fill="FFFFFF"/>
            <w:tcMar>
              <w:left w:w="60" w:type="dxa"/>
              <w:right w:w="60" w:type="dxa"/>
            </w:tcMar>
            <w:vAlign w:val="center"/>
          </w:tcPr>
          <w:p w14:paraId="453B661D" w14:textId="77777777" w:rsidR="00576FE1" w:rsidRPr="00793DA1" w:rsidRDefault="00576FE1" w:rsidP="00115CD6">
            <w:pPr>
              <w:keepNext/>
              <w:adjustRightInd w:val="0"/>
              <w:spacing w:after="0" w:line="240" w:lineRule="auto"/>
              <w:jc w:val="center"/>
            </w:pPr>
            <w:r w:rsidRPr="00793DA1">
              <w:t>4 (0.8%)</w:t>
            </w:r>
          </w:p>
        </w:tc>
      </w:tr>
      <w:tr w:rsidR="00576FE1" w:rsidRPr="00793DA1" w14:paraId="310733D7"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4D1F1B67" w14:textId="77777777" w:rsidR="00576FE1" w:rsidRPr="00793DA1" w:rsidRDefault="00576FE1" w:rsidP="00115CD6">
            <w:pPr>
              <w:keepNext/>
              <w:adjustRightInd w:val="0"/>
              <w:spacing w:after="0" w:line="240" w:lineRule="auto"/>
            </w:pPr>
            <w:r w:rsidRPr="00793DA1">
              <w:t xml:space="preserve">    Neutropenia</w:t>
            </w:r>
          </w:p>
        </w:tc>
        <w:tc>
          <w:tcPr>
            <w:tcW w:w="1838" w:type="dxa"/>
            <w:tcBorders>
              <w:top w:val="nil"/>
              <w:left w:val="nil"/>
              <w:bottom w:val="nil"/>
              <w:right w:val="nil"/>
            </w:tcBorders>
            <w:shd w:val="clear" w:color="auto" w:fill="FFFFFF"/>
            <w:tcMar>
              <w:left w:w="60" w:type="dxa"/>
              <w:right w:w="60" w:type="dxa"/>
            </w:tcMar>
            <w:vAlign w:val="center"/>
          </w:tcPr>
          <w:p w14:paraId="3D6B0C0B" w14:textId="77777777" w:rsidR="00576FE1" w:rsidRPr="00793DA1" w:rsidRDefault="00576FE1" w:rsidP="00115CD6">
            <w:pPr>
              <w:keepNext/>
              <w:adjustRightInd w:val="0"/>
              <w:spacing w:after="0" w:line="240" w:lineRule="auto"/>
              <w:jc w:val="center"/>
            </w:pPr>
            <w:r w:rsidRPr="00793DA1">
              <w:t>2 (0.8%)</w:t>
            </w:r>
          </w:p>
        </w:tc>
        <w:tc>
          <w:tcPr>
            <w:tcW w:w="1701" w:type="dxa"/>
            <w:tcBorders>
              <w:top w:val="nil"/>
              <w:left w:val="nil"/>
              <w:bottom w:val="nil"/>
              <w:right w:val="nil"/>
            </w:tcBorders>
            <w:shd w:val="clear" w:color="auto" w:fill="FFFFFF"/>
            <w:tcMar>
              <w:left w:w="60" w:type="dxa"/>
              <w:right w:w="60" w:type="dxa"/>
            </w:tcMar>
            <w:vAlign w:val="center"/>
          </w:tcPr>
          <w:p w14:paraId="4EB9E2BA" w14:textId="77777777" w:rsidR="00576FE1" w:rsidRPr="00793DA1" w:rsidRDefault="00576FE1" w:rsidP="00115CD6">
            <w:pPr>
              <w:keepNext/>
              <w:adjustRightInd w:val="0"/>
              <w:spacing w:after="0" w:line="240" w:lineRule="auto"/>
              <w:jc w:val="center"/>
            </w:pPr>
            <w:r w:rsidRPr="00793DA1">
              <w:t>1 (0.4%)</w:t>
            </w:r>
          </w:p>
        </w:tc>
        <w:tc>
          <w:tcPr>
            <w:tcW w:w="1559" w:type="dxa"/>
            <w:tcBorders>
              <w:top w:val="nil"/>
              <w:left w:val="nil"/>
              <w:bottom w:val="nil"/>
              <w:right w:val="nil"/>
            </w:tcBorders>
            <w:shd w:val="clear" w:color="auto" w:fill="FFFFFF"/>
            <w:tcMar>
              <w:left w:w="60" w:type="dxa"/>
              <w:right w:w="60" w:type="dxa"/>
            </w:tcMar>
            <w:vAlign w:val="center"/>
          </w:tcPr>
          <w:p w14:paraId="4C3BE684" w14:textId="77777777" w:rsidR="00576FE1" w:rsidRPr="00793DA1" w:rsidRDefault="00576FE1" w:rsidP="00115CD6">
            <w:pPr>
              <w:keepNext/>
              <w:adjustRightInd w:val="0"/>
              <w:spacing w:after="0" w:line="240" w:lineRule="auto"/>
              <w:jc w:val="center"/>
            </w:pPr>
            <w:r w:rsidRPr="00793DA1">
              <w:t>3 (0.6%)</w:t>
            </w:r>
          </w:p>
        </w:tc>
      </w:tr>
      <w:tr w:rsidR="00576FE1" w:rsidRPr="00793DA1" w14:paraId="42EECEC7"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7C5C896E" w14:textId="77777777" w:rsidR="00576FE1" w:rsidRPr="00793DA1" w:rsidRDefault="00576FE1" w:rsidP="00115CD6">
            <w:pPr>
              <w:keepNext/>
              <w:adjustRightInd w:val="0"/>
              <w:spacing w:after="0" w:line="240" w:lineRule="auto"/>
            </w:pPr>
            <w:r w:rsidRPr="00793DA1">
              <w:t xml:space="preserve">    Febrile neutropenia</w:t>
            </w:r>
          </w:p>
        </w:tc>
        <w:tc>
          <w:tcPr>
            <w:tcW w:w="1838" w:type="dxa"/>
            <w:tcBorders>
              <w:top w:val="nil"/>
              <w:left w:val="nil"/>
              <w:bottom w:val="nil"/>
              <w:right w:val="nil"/>
            </w:tcBorders>
            <w:shd w:val="clear" w:color="auto" w:fill="FFFFFF"/>
            <w:tcMar>
              <w:left w:w="60" w:type="dxa"/>
              <w:right w:w="60" w:type="dxa"/>
            </w:tcMar>
            <w:vAlign w:val="center"/>
          </w:tcPr>
          <w:p w14:paraId="0511485C" w14:textId="77777777" w:rsidR="00576FE1" w:rsidRPr="00793DA1" w:rsidRDefault="00576FE1" w:rsidP="00115CD6">
            <w:pPr>
              <w:keepNext/>
              <w:adjustRightInd w:val="0"/>
              <w:spacing w:after="0" w:line="240" w:lineRule="auto"/>
              <w:jc w:val="center"/>
            </w:pPr>
            <w:r w:rsidRPr="00793DA1">
              <w:t>1 (0.4%)</w:t>
            </w:r>
          </w:p>
        </w:tc>
        <w:tc>
          <w:tcPr>
            <w:tcW w:w="1701" w:type="dxa"/>
            <w:tcBorders>
              <w:top w:val="nil"/>
              <w:left w:val="nil"/>
              <w:bottom w:val="nil"/>
              <w:right w:val="nil"/>
            </w:tcBorders>
            <w:shd w:val="clear" w:color="auto" w:fill="FFFFFF"/>
            <w:tcMar>
              <w:left w:w="60" w:type="dxa"/>
              <w:right w:w="60" w:type="dxa"/>
            </w:tcMar>
            <w:vAlign w:val="center"/>
          </w:tcPr>
          <w:p w14:paraId="0311AD98" w14:textId="77777777" w:rsidR="00576FE1" w:rsidRPr="00793DA1" w:rsidRDefault="00576FE1" w:rsidP="00115CD6">
            <w:pPr>
              <w:keepNext/>
              <w:adjustRightInd w:val="0"/>
              <w:spacing w:after="0" w:line="240" w:lineRule="auto"/>
              <w:jc w:val="center"/>
            </w:pPr>
            <w:r w:rsidRPr="00793DA1">
              <w:t>0 (0.0%)</w:t>
            </w:r>
          </w:p>
        </w:tc>
        <w:tc>
          <w:tcPr>
            <w:tcW w:w="1559" w:type="dxa"/>
            <w:tcBorders>
              <w:top w:val="nil"/>
              <w:left w:val="nil"/>
              <w:bottom w:val="nil"/>
              <w:right w:val="nil"/>
            </w:tcBorders>
            <w:shd w:val="clear" w:color="auto" w:fill="FFFFFF"/>
            <w:tcMar>
              <w:left w:w="60" w:type="dxa"/>
              <w:right w:w="60" w:type="dxa"/>
            </w:tcMar>
            <w:vAlign w:val="center"/>
          </w:tcPr>
          <w:p w14:paraId="583D4E39" w14:textId="77777777" w:rsidR="00576FE1" w:rsidRPr="00793DA1" w:rsidRDefault="00576FE1" w:rsidP="00115CD6">
            <w:pPr>
              <w:keepNext/>
              <w:adjustRightInd w:val="0"/>
              <w:spacing w:after="0" w:line="240" w:lineRule="auto"/>
              <w:jc w:val="center"/>
            </w:pPr>
            <w:r w:rsidRPr="00793DA1">
              <w:t>1 (0.2%)</w:t>
            </w:r>
          </w:p>
        </w:tc>
      </w:tr>
      <w:tr w:rsidR="00576FE1" w:rsidRPr="00793DA1" w14:paraId="4B424FA2"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5E7F929D" w14:textId="77777777" w:rsidR="00576FE1" w:rsidRPr="00793DA1" w:rsidRDefault="00576FE1" w:rsidP="00115CD6">
            <w:pPr>
              <w:keepNext/>
              <w:adjustRightInd w:val="0"/>
              <w:spacing w:after="0" w:line="240" w:lineRule="auto"/>
              <w:rPr>
                <w:b/>
                <w:lang w:val="en-GB"/>
              </w:rPr>
            </w:pPr>
            <w:r w:rsidRPr="00793DA1">
              <w:rPr>
                <w:b/>
                <w:lang w:val="en-GB"/>
              </w:rPr>
              <w:t>Respiratory, thoracic and mediastinal disorders</w:t>
            </w:r>
          </w:p>
        </w:tc>
        <w:tc>
          <w:tcPr>
            <w:tcW w:w="1838" w:type="dxa"/>
            <w:tcBorders>
              <w:top w:val="nil"/>
              <w:left w:val="nil"/>
              <w:bottom w:val="nil"/>
              <w:right w:val="nil"/>
            </w:tcBorders>
            <w:shd w:val="clear" w:color="auto" w:fill="FFFFFF"/>
            <w:tcMar>
              <w:left w:w="60" w:type="dxa"/>
              <w:right w:w="60" w:type="dxa"/>
            </w:tcMar>
            <w:vAlign w:val="center"/>
          </w:tcPr>
          <w:p w14:paraId="5F288792" w14:textId="77777777" w:rsidR="00576FE1" w:rsidRPr="00793DA1" w:rsidRDefault="00576FE1" w:rsidP="00115CD6">
            <w:pPr>
              <w:keepNext/>
              <w:adjustRightInd w:val="0"/>
              <w:spacing w:after="0" w:line="240" w:lineRule="auto"/>
              <w:jc w:val="center"/>
              <w:rPr>
                <w:b/>
              </w:rPr>
            </w:pPr>
            <w:r w:rsidRPr="00793DA1">
              <w:rPr>
                <w:b/>
              </w:rPr>
              <w:t>5 (2.1%)</w:t>
            </w:r>
          </w:p>
        </w:tc>
        <w:tc>
          <w:tcPr>
            <w:tcW w:w="1701" w:type="dxa"/>
            <w:tcBorders>
              <w:top w:val="nil"/>
              <w:left w:val="nil"/>
              <w:bottom w:val="nil"/>
              <w:right w:val="nil"/>
            </w:tcBorders>
            <w:shd w:val="clear" w:color="auto" w:fill="FFFFFF"/>
            <w:tcMar>
              <w:left w:w="60" w:type="dxa"/>
              <w:right w:w="60" w:type="dxa"/>
            </w:tcMar>
            <w:vAlign w:val="center"/>
          </w:tcPr>
          <w:p w14:paraId="30E5D384" w14:textId="77777777" w:rsidR="00576FE1" w:rsidRPr="00793DA1" w:rsidRDefault="00576FE1" w:rsidP="00115CD6">
            <w:pPr>
              <w:keepNext/>
              <w:adjustRightInd w:val="0"/>
              <w:spacing w:after="0" w:line="240" w:lineRule="auto"/>
              <w:jc w:val="center"/>
              <w:rPr>
                <w:b/>
              </w:rPr>
            </w:pPr>
            <w:r w:rsidRPr="00793DA1">
              <w:rPr>
                <w:b/>
              </w:rPr>
              <w:t>1 (0.4%)</w:t>
            </w:r>
          </w:p>
        </w:tc>
        <w:tc>
          <w:tcPr>
            <w:tcW w:w="1559" w:type="dxa"/>
            <w:tcBorders>
              <w:top w:val="nil"/>
              <w:left w:val="nil"/>
              <w:bottom w:val="nil"/>
              <w:right w:val="nil"/>
            </w:tcBorders>
            <w:shd w:val="clear" w:color="auto" w:fill="FFFFFF"/>
            <w:tcMar>
              <w:left w:w="60" w:type="dxa"/>
              <w:right w:w="60" w:type="dxa"/>
            </w:tcMar>
            <w:vAlign w:val="center"/>
          </w:tcPr>
          <w:p w14:paraId="7BF042DF" w14:textId="77777777" w:rsidR="00576FE1" w:rsidRPr="00793DA1" w:rsidRDefault="00576FE1" w:rsidP="00115CD6">
            <w:pPr>
              <w:keepNext/>
              <w:adjustRightInd w:val="0"/>
              <w:spacing w:after="0" w:line="240" w:lineRule="auto"/>
              <w:jc w:val="center"/>
              <w:rPr>
                <w:b/>
              </w:rPr>
            </w:pPr>
            <w:r w:rsidRPr="00793DA1">
              <w:rPr>
                <w:b/>
              </w:rPr>
              <w:t>6 (1.2%)</w:t>
            </w:r>
          </w:p>
        </w:tc>
      </w:tr>
      <w:tr w:rsidR="00576FE1" w:rsidRPr="00793DA1" w14:paraId="22227F1C"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49F5E5F9" w14:textId="77777777" w:rsidR="00576FE1" w:rsidRPr="00793DA1" w:rsidRDefault="00576FE1" w:rsidP="00115CD6">
            <w:pPr>
              <w:keepNext/>
              <w:adjustRightInd w:val="0"/>
              <w:spacing w:after="0" w:line="240" w:lineRule="auto"/>
            </w:pPr>
            <w:r w:rsidRPr="00793DA1">
              <w:t xml:space="preserve">    Pneumonitis</w:t>
            </w:r>
          </w:p>
        </w:tc>
        <w:tc>
          <w:tcPr>
            <w:tcW w:w="1838" w:type="dxa"/>
            <w:tcBorders>
              <w:top w:val="nil"/>
              <w:left w:val="nil"/>
              <w:bottom w:val="nil"/>
              <w:right w:val="nil"/>
            </w:tcBorders>
            <w:shd w:val="clear" w:color="auto" w:fill="FFFFFF"/>
            <w:tcMar>
              <w:left w:w="60" w:type="dxa"/>
              <w:right w:w="60" w:type="dxa"/>
            </w:tcMar>
            <w:vAlign w:val="center"/>
          </w:tcPr>
          <w:p w14:paraId="79845F6A" w14:textId="77777777" w:rsidR="00576FE1" w:rsidRPr="00793DA1" w:rsidRDefault="00576FE1" w:rsidP="00115CD6">
            <w:pPr>
              <w:keepNext/>
              <w:adjustRightInd w:val="0"/>
              <w:spacing w:after="0" w:line="240" w:lineRule="auto"/>
              <w:jc w:val="center"/>
            </w:pPr>
            <w:r w:rsidRPr="00793DA1">
              <w:t>2 (0.8%)</w:t>
            </w:r>
          </w:p>
        </w:tc>
        <w:tc>
          <w:tcPr>
            <w:tcW w:w="1701" w:type="dxa"/>
            <w:tcBorders>
              <w:top w:val="nil"/>
              <w:left w:val="nil"/>
              <w:bottom w:val="nil"/>
              <w:right w:val="nil"/>
            </w:tcBorders>
            <w:shd w:val="clear" w:color="auto" w:fill="FFFFFF"/>
            <w:tcMar>
              <w:left w:w="60" w:type="dxa"/>
              <w:right w:w="60" w:type="dxa"/>
            </w:tcMar>
            <w:vAlign w:val="center"/>
          </w:tcPr>
          <w:p w14:paraId="664D5D2B" w14:textId="77777777" w:rsidR="00576FE1" w:rsidRPr="00793DA1" w:rsidRDefault="00576FE1" w:rsidP="00115CD6">
            <w:pPr>
              <w:keepNext/>
              <w:adjustRightInd w:val="0"/>
              <w:spacing w:after="0" w:line="240" w:lineRule="auto"/>
              <w:jc w:val="center"/>
            </w:pPr>
            <w:r w:rsidRPr="00793DA1">
              <w:t>1 (0.4%)</w:t>
            </w:r>
          </w:p>
        </w:tc>
        <w:tc>
          <w:tcPr>
            <w:tcW w:w="1559" w:type="dxa"/>
            <w:tcBorders>
              <w:top w:val="nil"/>
              <w:left w:val="nil"/>
              <w:bottom w:val="nil"/>
              <w:right w:val="nil"/>
            </w:tcBorders>
            <w:shd w:val="clear" w:color="auto" w:fill="FFFFFF"/>
            <w:tcMar>
              <w:left w:w="60" w:type="dxa"/>
              <w:right w:w="60" w:type="dxa"/>
            </w:tcMar>
            <w:vAlign w:val="center"/>
          </w:tcPr>
          <w:p w14:paraId="40FC179B" w14:textId="77777777" w:rsidR="00576FE1" w:rsidRPr="00793DA1" w:rsidRDefault="00576FE1" w:rsidP="00115CD6">
            <w:pPr>
              <w:keepNext/>
              <w:adjustRightInd w:val="0"/>
              <w:spacing w:after="0" w:line="240" w:lineRule="auto"/>
              <w:jc w:val="center"/>
            </w:pPr>
            <w:r w:rsidRPr="00793DA1">
              <w:t>3 (0.6%)</w:t>
            </w:r>
          </w:p>
        </w:tc>
      </w:tr>
      <w:tr w:rsidR="00576FE1" w:rsidRPr="00793DA1" w14:paraId="2FC94E21" w14:textId="77777777" w:rsidTr="00800E62">
        <w:trPr>
          <w:cantSplit/>
          <w:trHeight w:val="89"/>
        </w:trPr>
        <w:tc>
          <w:tcPr>
            <w:tcW w:w="3969" w:type="dxa"/>
            <w:tcBorders>
              <w:top w:val="nil"/>
              <w:left w:val="nil"/>
              <w:bottom w:val="nil"/>
              <w:right w:val="nil"/>
            </w:tcBorders>
            <w:shd w:val="clear" w:color="auto" w:fill="FFFFFF"/>
            <w:tcMar>
              <w:left w:w="60" w:type="dxa"/>
              <w:right w:w="60" w:type="dxa"/>
            </w:tcMar>
            <w:vAlign w:val="center"/>
          </w:tcPr>
          <w:p w14:paraId="20731AEF" w14:textId="77777777" w:rsidR="00576FE1" w:rsidRPr="00793DA1" w:rsidRDefault="00576FE1" w:rsidP="00115CD6">
            <w:pPr>
              <w:keepNext/>
              <w:adjustRightInd w:val="0"/>
              <w:spacing w:after="0" w:line="240" w:lineRule="auto"/>
            </w:pPr>
            <w:r w:rsidRPr="00793DA1">
              <w:t xml:space="preserve">    Pulmonary embolism</w:t>
            </w:r>
          </w:p>
        </w:tc>
        <w:tc>
          <w:tcPr>
            <w:tcW w:w="1838" w:type="dxa"/>
            <w:tcBorders>
              <w:top w:val="nil"/>
              <w:left w:val="nil"/>
              <w:bottom w:val="nil"/>
              <w:right w:val="nil"/>
            </w:tcBorders>
            <w:shd w:val="clear" w:color="auto" w:fill="FFFFFF"/>
            <w:tcMar>
              <w:left w:w="60" w:type="dxa"/>
              <w:right w:w="60" w:type="dxa"/>
            </w:tcMar>
            <w:vAlign w:val="center"/>
          </w:tcPr>
          <w:p w14:paraId="7ADCFA6B" w14:textId="77777777" w:rsidR="00576FE1" w:rsidRPr="00793DA1" w:rsidRDefault="00576FE1" w:rsidP="00115CD6">
            <w:pPr>
              <w:keepNext/>
              <w:adjustRightInd w:val="0"/>
              <w:spacing w:after="0" w:line="240" w:lineRule="auto"/>
              <w:jc w:val="center"/>
            </w:pPr>
            <w:r w:rsidRPr="00793DA1">
              <w:t>2 (0.8%)</w:t>
            </w:r>
          </w:p>
        </w:tc>
        <w:tc>
          <w:tcPr>
            <w:tcW w:w="1701" w:type="dxa"/>
            <w:tcBorders>
              <w:top w:val="nil"/>
              <w:left w:val="nil"/>
              <w:bottom w:val="nil"/>
              <w:right w:val="nil"/>
            </w:tcBorders>
            <w:shd w:val="clear" w:color="auto" w:fill="FFFFFF"/>
            <w:tcMar>
              <w:left w:w="60" w:type="dxa"/>
              <w:right w:w="60" w:type="dxa"/>
            </w:tcMar>
            <w:vAlign w:val="center"/>
          </w:tcPr>
          <w:p w14:paraId="0A7FD289" w14:textId="77777777" w:rsidR="00576FE1" w:rsidRPr="00793DA1" w:rsidRDefault="00576FE1" w:rsidP="00115CD6">
            <w:pPr>
              <w:keepNext/>
              <w:adjustRightInd w:val="0"/>
              <w:spacing w:after="0" w:line="240" w:lineRule="auto"/>
              <w:jc w:val="center"/>
            </w:pPr>
            <w:r w:rsidRPr="00793DA1">
              <w:t>0 (0.0%)</w:t>
            </w:r>
          </w:p>
        </w:tc>
        <w:tc>
          <w:tcPr>
            <w:tcW w:w="1559" w:type="dxa"/>
            <w:tcBorders>
              <w:top w:val="nil"/>
              <w:left w:val="nil"/>
              <w:bottom w:val="nil"/>
              <w:right w:val="nil"/>
            </w:tcBorders>
            <w:shd w:val="clear" w:color="auto" w:fill="FFFFFF"/>
            <w:tcMar>
              <w:left w:w="60" w:type="dxa"/>
              <w:right w:w="60" w:type="dxa"/>
            </w:tcMar>
            <w:vAlign w:val="center"/>
          </w:tcPr>
          <w:p w14:paraId="64BC8864" w14:textId="77777777" w:rsidR="00576FE1" w:rsidRPr="00793DA1" w:rsidRDefault="00576FE1" w:rsidP="00115CD6">
            <w:pPr>
              <w:keepNext/>
              <w:adjustRightInd w:val="0"/>
              <w:spacing w:after="0" w:line="240" w:lineRule="auto"/>
              <w:jc w:val="center"/>
            </w:pPr>
            <w:r w:rsidRPr="00793DA1">
              <w:t>2 (0.4%)</w:t>
            </w:r>
          </w:p>
        </w:tc>
      </w:tr>
      <w:tr w:rsidR="00576FE1" w:rsidRPr="00793DA1" w14:paraId="4DA1C1E2"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58C70DBF" w14:textId="77777777" w:rsidR="00576FE1" w:rsidRPr="00793DA1" w:rsidRDefault="00576FE1" w:rsidP="00115CD6">
            <w:pPr>
              <w:keepNext/>
              <w:adjustRightInd w:val="0"/>
              <w:spacing w:after="0" w:line="240" w:lineRule="auto"/>
            </w:pPr>
            <w:r w:rsidRPr="00793DA1">
              <w:t xml:space="preserve">    Cough</w:t>
            </w:r>
          </w:p>
        </w:tc>
        <w:tc>
          <w:tcPr>
            <w:tcW w:w="1838" w:type="dxa"/>
            <w:tcBorders>
              <w:top w:val="nil"/>
              <w:left w:val="nil"/>
              <w:bottom w:val="nil"/>
              <w:right w:val="nil"/>
            </w:tcBorders>
            <w:shd w:val="clear" w:color="auto" w:fill="FFFFFF"/>
            <w:tcMar>
              <w:left w:w="60" w:type="dxa"/>
              <w:right w:w="60" w:type="dxa"/>
            </w:tcMar>
            <w:vAlign w:val="center"/>
          </w:tcPr>
          <w:p w14:paraId="67673658" w14:textId="77777777" w:rsidR="00576FE1" w:rsidRPr="00793DA1" w:rsidRDefault="00576FE1" w:rsidP="00115CD6">
            <w:pPr>
              <w:keepNext/>
              <w:adjustRightInd w:val="0"/>
              <w:spacing w:after="0" w:line="240" w:lineRule="auto"/>
              <w:jc w:val="center"/>
            </w:pPr>
            <w:r w:rsidRPr="00793DA1">
              <w:t>1 (0.4%)</w:t>
            </w:r>
          </w:p>
        </w:tc>
        <w:tc>
          <w:tcPr>
            <w:tcW w:w="1701" w:type="dxa"/>
            <w:tcBorders>
              <w:top w:val="nil"/>
              <w:left w:val="nil"/>
              <w:bottom w:val="nil"/>
              <w:right w:val="nil"/>
            </w:tcBorders>
            <w:shd w:val="clear" w:color="auto" w:fill="FFFFFF"/>
            <w:tcMar>
              <w:left w:w="60" w:type="dxa"/>
              <w:right w:w="60" w:type="dxa"/>
            </w:tcMar>
            <w:vAlign w:val="center"/>
          </w:tcPr>
          <w:p w14:paraId="7D9CC5A0" w14:textId="77777777" w:rsidR="00576FE1" w:rsidRPr="00793DA1" w:rsidRDefault="00576FE1" w:rsidP="00115CD6">
            <w:pPr>
              <w:keepNext/>
              <w:adjustRightInd w:val="0"/>
              <w:spacing w:after="0" w:line="240" w:lineRule="auto"/>
              <w:jc w:val="center"/>
            </w:pPr>
            <w:r w:rsidRPr="00793DA1">
              <w:t>0 (0.0%)</w:t>
            </w:r>
          </w:p>
        </w:tc>
        <w:tc>
          <w:tcPr>
            <w:tcW w:w="1559" w:type="dxa"/>
            <w:tcBorders>
              <w:top w:val="nil"/>
              <w:left w:val="nil"/>
              <w:bottom w:val="nil"/>
              <w:right w:val="nil"/>
            </w:tcBorders>
            <w:shd w:val="clear" w:color="auto" w:fill="FFFFFF"/>
            <w:tcMar>
              <w:left w:w="60" w:type="dxa"/>
              <w:right w:w="60" w:type="dxa"/>
            </w:tcMar>
            <w:vAlign w:val="center"/>
          </w:tcPr>
          <w:p w14:paraId="02568E67" w14:textId="77777777" w:rsidR="00576FE1" w:rsidRPr="00793DA1" w:rsidRDefault="00576FE1" w:rsidP="00115CD6">
            <w:pPr>
              <w:keepNext/>
              <w:adjustRightInd w:val="0"/>
              <w:spacing w:after="0" w:line="240" w:lineRule="auto"/>
              <w:jc w:val="center"/>
            </w:pPr>
            <w:r w:rsidRPr="00793DA1">
              <w:t>1 (0.2%)</w:t>
            </w:r>
          </w:p>
        </w:tc>
      </w:tr>
      <w:tr w:rsidR="00576FE1" w:rsidRPr="00793DA1" w14:paraId="34F5D808" w14:textId="77777777" w:rsidTr="00800E62">
        <w:trPr>
          <w:cantSplit/>
          <w:trHeight w:val="345"/>
        </w:trPr>
        <w:tc>
          <w:tcPr>
            <w:tcW w:w="3969" w:type="dxa"/>
            <w:tcBorders>
              <w:top w:val="nil"/>
              <w:left w:val="nil"/>
              <w:bottom w:val="nil"/>
              <w:right w:val="nil"/>
            </w:tcBorders>
            <w:shd w:val="clear" w:color="auto" w:fill="FFFFFF"/>
            <w:tcMar>
              <w:left w:w="60" w:type="dxa"/>
              <w:right w:w="60" w:type="dxa"/>
            </w:tcMar>
            <w:vAlign w:val="center"/>
          </w:tcPr>
          <w:p w14:paraId="5197EB59" w14:textId="77777777" w:rsidR="00576FE1" w:rsidRPr="00793DA1" w:rsidRDefault="00576FE1" w:rsidP="00115CD6">
            <w:pPr>
              <w:keepNext/>
              <w:adjustRightInd w:val="0"/>
              <w:spacing w:after="0" w:line="240" w:lineRule="auto"/>
              <w:rPr>
                <w:b/>
              </w:rPr>
            </w:pPr>
            <w:r w:rsidRPr="00793DA1">
              <w:rPr>
                <w:b/>
              </w:rPr>
              <w:t>Investigations</w:t>
            </w:r>
          </w:p>
        </w:tc>
        <w:tc>
          <w:tcPr>
            <w:tcW w:w="1838" w:type="dxa"/>
            <w:tcBorders>
              <w:top w:val="nil"/>
              <w:left w:val="nil"/>
              <w:bottom w:val="nil"/>
              <w:right w:val="nil"/>
            </w:tcBorders>
            <w:shd w:val="clear" w:color="auto" w:fill="FFFFFF"/>
            <w:tcMar>
              <w:left w:w="60" w:type="dxa"/>
              <w:right w:w="60" w:type="dxa"/>
            </w:tcMar>
            <w:vAlign w:val="center"/>
          </w:tcPr>
          <w:p w14:paraId="4C2C838F" w14:textId="77777777" w:rsidR="00576FE1" w:rsidRPr="00793DA1" w:rsidRDefault="00576FE1" w:rsidP="00115CD6">
            <w:pPr>
              <w:keepNext/>
              <w:adjustRightInd w:val="0"/>
              <w:spacing w:after="0" w:line="240" w:lineRule="auto"/>
              <w:jc w:val="center"/>
              <w:rPr>
                <w:b/>
              </w:rPr>
            </w:pPr>
            <w:r w:rsidRPr="00793DA1">
              <w:rPr>
                <w:b/>
              </w:rPr>
              <w:t>5 (2.1%)</w:t>
            </w:r>
          </w:p>
        </w:tc>
        <w:tc>
          <w:tcPr>
            <w:tcW w:w="1701" w:type="dxa"/>
            <w:tcBorders>
              <w:top w:val="nil"/>
              <w:left w:val="nil"/>
              <w:bottom w:val="nil"/>
              <w:right w:val="nil"/>
            </w:tcBorders>
            <w:shd w:val="clear" w:color="auto" w:fill="FFFFFF"/>
            <w:tcMar>
              <w:left w:w="60" w:type="dxa"/>
              <w:right w:w="60" w:type="dxa"/>
            </w:tcMar>
            <w:vAlign w:val="center"/>
          </w:tcPr>
          <w:p w14:paraId="62BFD0B3" w14:textId="77777777" w:rsidR="00576FE1" w:rsidRPr="00793DA1" w:rsidRDefault="00576FE1" w:rsidP="00115CD6">
            <w:pPr>
              <w:keepNext/>
              <w:adjustRightInd w:val="0"/>
              <w:spacing w:after="0" w:line="240" w:lineRule="auto"/>
              <w:jc w:val="center"/>
              <w:rPr>
                <w:b/>
              </w:rPr>
            </w:pPr>
            <w:r w:rsidRPr="00793DA1">
              <w:rPr>
                <w:b/>
              </w:rPr>
              <w:t>0 (0.0%)</w:t>
            </w:r>
          </w:p>
        </w:tc>
        <w:tc>
          <w:tcPr>
            <w:tcW w:w="1559" w:type="dxa"/>
            <w:tcBorders>
              <w:top w:val="nil"/>
              <w:left w:val="nil"/>
              <w:bottom w:val="nil"/>
              <w:right w:val="nil"/>
            </w:tcBorders>
            <w:shd w:val="clear" w:color="auto" w:fill="FFFFFF"/>
            <w:tcMar>
              <w:left w:w="60" w:type="dxa"/>
              <w:right w:w="60" w:type="dxa"/>
            </w:tcMar>
            <w:vAlign w:val="center"/>
          </w:tcPr>
          <w:p w14:paraId="73B6555D" w14:textId="77777777" w:rsidR="00576FE1" w:rsidRPr="00793DA1" w:rsidRDefault="00576FE1" w:rsidP="00115CD6">
            <w:pPr>
              <w:keepNext/>
              <w:adjustRightInd w:val="0"/>
              <w:spacing w:after="0" w:line="240" w:lineRule="auto"/>
              <w:jc w:val="center"/>
              <w:rPr>
                <w:b/>
              </w:rPr>
            </w:pPr>
            <w:r w:rsidRPr="00793DA1">
              <w:rPr>
                <w:b/>
              </w:rPr>
              <w:t>5 (1.0%)</w:t>
            </w:r>
          </w:p>
        </w:tc>
      </w:tr>
      <w:tr w:rsidR="00576FE1" w:rsidRPr="00793DA1" w14:paraId="4F8BA3CD"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566D7F80" w14:textId="77777777" w:rsidR="00576FE1" w:rsidRPr="00793DA1" w:rsidRDefault="00576FE1" w:rsidP="00115CD6">
            <w:pPr>
              <w:keepNext/>
              <w:adjustRightInd w:val="0"/>
              <w:spacing w:after="0" w:line="240" w:lineRule="auto"/>
            </w:pPr>
            <w:r w:rsidRPr="00793DA1">
              <w:t xml:space="preserve">    Alanine aminotransferase increased</w:t>
            </w:r>
          </w:p>
        </w:tc>
        <w:tc>
          <w:tcPr>
            <w:tcW w:w="1838" w:type="dxa"/>
            <w:tcBorders>
              <w:top w:val="nil"/>
              <w:left w:val="nil"/>
              <w:bottom w:val="nil"/>
              <w:right w:val="nil"/>
            </w:tcBorders>
            <w:shd w:val="clear" w:color="auto" w:fill="FFFFFF"/>
            <w:tcMar>
              <w:left w:w="60" w:type="dxa"/>
              <w:right w:w="60" w:type="dxa"/>
            </w:tcMar>
            <w:vAlign w:val="center"/>
          </w:tcPr>
          <w:p w14:paraId="41C12E1D" w14:textId="77777777" w:rsidR="00576FE1" w:rsidRPr="00793DA1" w:rsidRDefault="00576FE1" w:rsidP="00115CD6">
            <w:pPr>
              <w:keepNext/>
              <w:adjustRightInd w:val="0"/>
              <w:spacing w:after="0" w:line="240" w:lineRule="auto"/>
              <w:jc w:val="center"/>
            </w:pPr>
            <w:r w:rsidRPr="00793DA1">
              <w:t>4 (1.7%)</w:t>
            </w:r>
          </w:p>
        </w:tc>
        <w:tc>
          <w:tcPr>
            <w:tcW w:w="1701" w:type="dxa"/>
            <w:tcBorders>
              <w:top w:val="nil"/>
              <w:left w:val="nil"/>
              <w:bottom w:val="nil"/>
              <w:right w:val="nil"/>
            </w:tcBorders>
            <w:shd w:val="clear" w:color="auto" w:fill="FFFFFF"/>
            <w:tcMar>
              <w:left w:w="60" w:type="dxa"/>
              <w:right w:w="60" w:type="dxa"/>
            </w:tcMar>
            <w:vAlign w:val="center"/>
          </w:tcPr>
          <w:p w14:paraId="2B12D57E" w14:textId="77777777" w:rsidR="00576FE1" w:rsidRPr="00793DA1" w:rsidRDefault="00576FE1" w:rsidP="00115CD6">
            <w:pPr>
              <w:keepNext/>
              <w:adjustRightInd w:val="0"/>
              <w:spacing w:after="0" w:line="240" w:lineRule="auto"/>
              <w:jc w:val="center"/>
            </w:pPr>
            <w:r w:rsidRPr="00793DA1">
              <w:t>0 (0.0%)</w:t>
            </w:r>
          </w:p>
        </w:tc>
        <w:tc>
          <w:tcPr>
            <w:tcW w:w="1559" w:type="dxa"/>
            <w:tcBorders>
              <w:top w:val="nil"/>
              <w:left w:val="nil"/>
              <w:bottom w:val="nil"/>
              <w:right w:val="nil"/>
            </w:tcBorders>
            <w:shd w:val="clear" w:color="auto" w:fill="FFFFFF"/>
            <w:tcMar>
              <w:left w:w="60" w:type="dxa"/>
              <w:right w:w="60" w:type="dxa"/>
            </w:tcMar>
            <w:vAlign w:val="center"/>
          </w:tcPr>
          <w:p w14:paraId="0C951D24" w14:textId="77777777" w:rsidR="00576FE1" w:rsidRPr="00793DA1" w:rsidRDefault="00576FE1" w:rsidP="00115CD6">
            <w:pPr>
              <w:keepNext/>
              <w:adjustRightInd w:val="0"/>
              <w:spacing w:after="0" w:line="240" w:lineRule="auto"/>
              <w:jc w:val="center"/>
            </w:pPr>
            <w:r w:rsidRPr="00793DA1">
              <w:t>4 (0.8%)</w:t>
            </w:r>
          </w:p>
        </w:tc>
      </w:tr>
      <w:tr w:rsidR="00576FE1" w:rsidRPr="00793DA1" w14:paraId="64C4A4A8"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3B17D261" w14:textId="77777777" w:rsidR="00576FE1" w:rsidRPr="00793DA1" w:rsidRDefault="00576FE1" w:rsidP="00115CD6">
            <w:pPr>
              <w:keepNext/>
              <w:adjustRightInd w:val="0"/>
              <w:spacing w:after="0" w:line="240" w:lineRule="auto"/>
            </w:pPr>
            <w:r w:rsidRPr="00793DA1">
              <w:t xml:space="preserve">    Aspartate aminotransferase increased</w:t>
            </w:r>
          </w:p>
        </w:tc>
        <w:tc>
          <w:tcPr>
            <w:tcW w:w="1838" w:type="dxa"/>
            <w:tcBorders>
              <w:top w:val="nil"/>
              <w:left w:val="nil"/>
              <w:bottom w:val="nil"/>
              <w:right w:val="nil"/>
            </w:tcBorders>
            <w:shd w:val="clear" w:color="auto" w:fill="FFFFFF"/>
            <w:tcMar>
              <w:left w:w="60" w:type="dxa"/>
              <w:right w:w="60" w:type="dxa"/>
            </w:tcMar>
            <w:vAlign w:val="center"/>
          </w:tcPr>
          <w:p w14:paraId="1BEEA417" w14:textId="77777777" w:rsidR="00576FE1" w:rsidRPr="00793DA1" w:rsidRDefault="00576FE1" w:rsidP="00115CD6">
            <w:pPr>
              <w:keepNext/>
              <w:adjustRightInd w:val="0"/>
              <w:spacing w:after="0" w:line="240" w:lineRule="auto"/>
              <w:jc w:val="center"/>
            </w:pPr>
            <w:r w:rsidRPr="00793DA1">
              <w:t>2 (0.8%)</w:t>
            </w:r>
          </w:p>
        </w:tc>
        <w:tc>
          <w:tcPr>
            <w:tcW w:w="1701" w:type="dxa"/>
            <w:tcBorders>
              <w:top w:val="nil"/>
              <w:left w:val="nil"/>
              <w:bottom w:val="nil"/>
              <w:right w:val="nil"/>
            </w:tcBorders>
            <w:shd w:val="clear" w:color="auto" w:fill="FFFFFF"/>
            <w:tcMar>
              <w:left w:w="60" w:type="dxa"/>
              <w:right w:w="60" w:type="dxa"/>
            </w:tcMar>
            <w:vAlign w:val="center"/>
          </w:tcPr>
          <w:p w14:paraId="2D19B975" w14:textId="77777777" w:rsidR="00576FE1" w:rsidRPr="00793DA1" w:rsidRDefault="00576FE1" w:rsidP="00115CD6">
            <w:pPr>
              <w:keepNext/>
              <w:adjustRightInd w:val="0"/>
              <w:spacing w:after="0" w:line="240" w:lineRule="auto"/>
              <w:jc w:val="center"/>
            </w:pPr>
            <w:r w:rsidRPr="00793DA1">
              <w:t>0 (0.0%)</w:t>
            </w:r>
          </w:p>
        </w:tc>
        <w:tc>
          <w:tcPr>
            <w:tcW w:w="1559" w:type="dxa"/>
            <w:tcBorders>
              <w:top w:val="nil"/>
              <w:left w:val="nil"/>
              <w:bottom w:val="nil"/>
              <w:right w:val="nil"/>
            </w:tcBorders>
            <w:shd w:val="clear" w:color="auto" w:fill="FFFFFF"/>
            <w:tcMar>
              <w:left w:w="60" w:type="dxa"/>
              <w:right w:w="60" w:type="dxa"/>
            </w:tcMar>
            <w:vAlign w:val="center"/>
          </w:tcPr>
          <w:p w14:paraId="4EEC92B2" w14:textId="77777777" w:rsidR="00576FE1" w:rsidRPr="00793DA1" w:rsidRDefault="00576FE1" w:rsidP="00115CD6">
            <w:pPr>
              <w:keepNext/>
              <w:adjustRightInd w:val="0"/>
              <w:spacing w:after="0" w:line="240" w:lineRule="auto"/>
              <w:jc w:val="center"/>
            </w:pPr>
            <w:r w:rsidRPr="00793DA1">
              <w:t>2 (0.4%)</w:t>
            </w:r>
          </w:p>
        </w:tc>
      </w:tr>
      <w:tr w:rsidR="00576FE1" w:rsidRPr="00793DA1" w14:paraId="0D96C644"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66EDB3BF" w14:textId="77777777" w:rsidR="00576FE1" w:rsidRPr="00793DA1" w:rsidRDefault="00576FE1" w:rsidP="00115CD6">
            <w:pPr>
              <w:keepNext/>
              <w:adjustRightInd w:val="0"/>
              <w:spacing w:after="0" w:line="240" w:lineRule="auto"/>
            </w:pPr>
            <w:r w:rsidRPr="00793DA1">
              <w:t xml:space="preserve">    Electrocardiogram QT prolonged</w:t>
            </w:r>
          </w:p>
        </w:tc>
        <w:tc>
          <w:tcPr>
            <w:tcW w:w="1838" w:type="dxa"/>
            <w:tcBorders>
              <w:top w:val="nil"/>
              <w:left w:val="nil"/>
              <w:bottom w:val="nil"/>
              <w:right w:val="nil"/>
            </w:tcBorders>
            <w:shd w:val="clear" w:color="auto" w:fill="FFFFFF"/>
            <w:tcMar>
              <w:left w:w="60" w:type="dxa"/>
              <w:right w:w="60" w:type="dxa"/>
            </w:tcMar>
            <w:vAlign w:val="center"/>
          </w:tcPr>
          <w:p w14:paraId="481583BF" w14:textId="77777777" w:rsidR="00576FE1" w:rsidRPr="00793DA1" w:rsidRDefault="00576FE1" w:rsidP="00115CD6">
            <w:pPr>
              <w:keepNext/>
              <w:adjustRightInd w:val="0"/>
              <w:spacing w:after="0" w:line="240" w:lineRule="auto"/>
              <w:jc w:val="center"/>
            </w:pPr>
            <w:r w:rsidRPr="00793DA1">
              <w:t>1 (0.4%)</w:t>
            </w:r>
          </w:p>
        </w:tc>
        <w:tc>
          <w:tcPr>
            <w:tcW w:w="1701" w:type="dxa"/>
            <w:tcBorders>
              <w:top w:val="nil"/>
              <w:left w:val="nil"/>
              <w:bottom w:val="nil"/>
              <w:right w:val="nil"/>
            </w:tcBorders>
            <w:shd w:val="clear" w:color="auto" w:fill="FFFFFF"/>
            <w:tcMar>
              <w:left w:w="60" w:type="dxa"/>
              <w:right w:w="60" w:type="dxa"/>
            </w:tcMar>
            <w:vAlign w:val="center"/>
          </w:tcPr>
          <w:p w14:paraId="7C6C1CA9" w14:textId="77777777" w:rsidR="00576FE1" w:rsidRPr="00793DA1" w:rsidRDefault="00576FE1" w:rsidP="00115CD6">
            <w:pPr>
              <w:keepNext/>
              <w:adjustRightInd w:val="0"/>
              <w:spacing w:after="0" w:line="240" w:lineRule="auto"/>
              <w:jc w:val="center"/>
            </w:pPr>
            <w:r w:rsidRPr="00793DA1">
              <w:t>0 (0.0%)</w:t>
            </w:r>
          </w:p>
        </w:tc>
        <w:tc>
          <w:tcPr>
            <w:tcW w:w="1559" w:type="dxa"/>
            <w:tcBorders>
              <w:top w:val="nil"/>
              <w:left w:val="nil"/>
              <w:bottom w:val="nil"/>
              <w:right w:val="nil"/>
            </w:tcBorders>
            <w:shd w:val="clear" w:color="auto" w:fill="FFFFFF"/>
            <w:tcMar>
              <w:left w:w="60" w:type="dxa"/>
              <w:right w:w="60" w:type="dxa"/>
            </w:tcMar>
            <w:vAlign w:val="center"/>
          </w:tcPr>
          <w:p w14:paraId="5A947D46" w14:textId="77777777" w:rsidR="00576FE1" w:rsidRPr="00793DA1" w:rsidRDefault="00576FE1" w:rsidP="00115CD6">
            <w:pPr>
              <w:keepNext/>
              <w:adjustRightInd w:val="0"/>
              <w:spacing w:after="0" w:line="240" w:lineRule="auto"/>
              <w:jc w:val="center"/>
            </w:pPr>
            <w:r w:rsidRPr="00793DA1">
              <w:t>1 (0.2%)</w:t>
            </w:r>
          </w:p>
        </w:tc>
      </w:tr>
      <w:tr w:rsidR="00576FE1" w:rsidRPr="00793DA1" w14:paraId="693FF34A" w14:textId="77777777" w:rsidTr="00800E62">
        <w:trPr>
          <w:cantSplit/>
          <w:trHeight w:val="404"/>
        </w:trPr>
        <w:tc>
          <w:tcPr>
            <w:tcW w:w="3969" w:type="dxa"/>
            <w:tcBorders>
              <w:top w:val="nil"/>
              <w:left w:val="nil"/>
              <w:bottom w:val="nil"/>
              <w:right w:val="nil"/>
            </w:tcBorders>
            <w:shd w:val="clear" w:color="auto" w:fill="FFFFFF"/>
            <w:tcMar>
              <w:left w:w="60" w:type="dxa"/>
              <w:right w:w="60" w:type="dxa"/>
            </w:tcMar>
            <w:vAlign w:val="center"/>
          </w:tcPr>
          <w:p w14:paraId="6C40DE64" w14:textId="77777777" w:rsidR="00576FE1" w:rsidRPr="00793DA1" w:rsidRDefault="00576FE1" w:rsidP="00115CD6">
            <w:pPr>
              <w:keepNext/>
              <w:adjustRightInd w:val="0"/>
              <w:spacing w:after="0" w:line="240" w:lineRule="auto"/>
              <w:rPr>
                <w:b/>
              </w:rPr>
            </w:pPr>
            <w:r w:rsidRPr="00793DA1">
              <w:rPr>
                <w:b/>
              </w:rPr>
              <w:t>Infections and infestations</w:t>
            </w:r>
          </w:p>
        </w:tc>
        <w:tc>
          <w:tcPr>
            <w:tcW w:w="1838" w:type="dxa"/>
            <w:tcBorders>
              <w:top w:val="nil"/>
              <w:left w:val="nil"/>
              <w:bottom w:val="nil"/>
              <w:right w:val="nil"/>
            </w:tcBorders>
            <w:shd w:val="clear" w:color="auto" w:fill="FFFFFF"/>
            <w:tcMar>
              <w:left w:w="60" w:type="dxa"/>
              <w:right w:w="60" w:type="dxa"/>
            </w:tcMar>
            <w:vAlign w:val="center"/>
          </w:tcPr>
          <w:p w14:paraId="0FA08B4E" w14:textId="77777777" w:rsidR="00576FE1" w:rsidRPr="00793DA1" w:rsidRDefault="00576FE1" w:rsidP="00115CD6">
            <w:pPr>
              <w:keepNext/>
              <w:adjustRightInd w:val="0"/>
              <w:spacing w:after="0" w:line="240" w:lineRule="auto"/>
              <w:jc w:val="center"/>
              <w:rPr>
                <w:b/>
              </w:rPr>
            </w:pPr>
            <w:r w:rsidRPr="00793DA1">
              <w:rPr>
                <w:b/>
              </w:rPr>
              <w:t>1 (0.4%)</w:t>
            </w:r>
          </w:p>
        </w:tc>
        <w:tc>
          <w:tcPr>
            <w:tcW w:w="1701" w:type="dxa"/>
            <w:tcBorders>
              <w:top w:val="nil"/>
              <w:left w:val="nil"/>
              <w:bottom w:val="nil"/>
              <w:right w:val="nil"/>
            </w:tcBorders>
            <w:shd w:val="clear" w:color="auto" w:fill="FFFFFF"/>
            <w:tcMar>
              <w:left w:w="60" w:type="dxa"/>
              <w:right w:w="60" w:type="dxa"/>
            </w:tcMar>
            <w:vAlign w:val="center"/>
          </w:tcPr>
          <w:p w14:paraId="1D0CF53F" w14:textId="77777777" w:rsidR="00576FE1" w:rsidRPr="00793DA1" w:rsidRDefault="00576FE1" w:rsidP="00115CD6">
            <w:pPr>
              <w:keepNext/>
              <w:adjustRightInd w:val="0"/>
              <w:spacing w:after="0" w:line="240" w:lineRule="auto"/>
              <w:jc w:val="center"/>
              <w:rPr>
                <w:b/>
              </w:rPr>
            </w:pPr>
            <w:r w:rsidRPr="00793DA1">
              <w:rPr>
                <w:b/>
              </w:rPr>
              <w:t>3 (1.2%)</w:t>
            </w:r>
          </w:p>
        </w:tc>
        <w:tc>
          <w:tcPr>
            <w:tcW w:w="1559" w:type="dxa"/>
            <w:tcBorders>
              <w:top w:val="nil"/>
              <w:left w:val="nil"/>
              <w:bottom w:val="nil"/>
              <w:right w:val="nil"/>
            </w:tcBorders>
            <w:shd w:val="clear" w:color="auto" w:fill="FFFFFF"/>
            <w:tcMar>
              <w:left w:w="60" w:type="dxa"/>
              <w:right w:w="60" w:type="dxa"/>
            </w:tcMar>
            <w:vAlign w:val="center"/>
          </w:tcPr>
          <w:p w14:paraId="1529376C" w14:textId="77777777" w:rsidR="00576FE1" w:rsidRPr="00793DA1" w:rsidRDefault="00576FE1" w:rsidP="00115CD6">
            <w:pPr>
              <w:keepNext/>
              <w:adjustRightInd w:val="0"/>
              <w:spacing w:after="0" w:line="240" w:lineRule="auto"/>
              <w:jc w:val="center"/>
              <w:rPr>
                <w:b/>
              </w:rPr>
            </w:pPr>
            <w:r w:rsidRPr="00793DA1">
              <w:rPr>
                <w:b/>
              </w:rPr>
              <w:t>4 (0.8%)</w:t>
            </w:r>
          </w:p>
        </w:tc>
      </w:tr>
      <w:tr w:rsidR="00576FE1" w:rsidRPr="00793DA1" w14:paraId="0F0D238E"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55653B8B" w14:textId="77777777" w:rsidR="00576FE1" w:rsidRPr="00793DA1" w:rsidRDefault="00576FE1" w:rsidP="00115CD6">
            <w:pPr>
              <w:keepNext/>
              <w:adjustRightInd w:val="0"/>
              <w:spacing w:after="0" w:line="240" w:lineRule="auto"/>
            </w:pPr>
            <w:r w:rsidRPr="00793DA1">
              <w:t xml:space="preserve">    Pneumonia</w:t>
            </w:r>
          </w:p>
        </w:tc>
        <w:tc>
          <w:tcPr>
            <w:tcW w:w="1838" w:type="dxa"/>
            <w:tcBorders>
              <w:top w:val="nil"/>
              <w:left w:val="nil"/>
              <w:bottom w:val="nil"/>
              <w:right w:val="nil"/>
            </w:tcBorders>
            <w:shd w:val="clear" w:color="auto" w:fill="FFFFFF"/>
            <w:tcMar>
              <w:left w:w="60" w:type="dxa"/>
              <w:right w:w="60" w:type="dxa"/>
            </w:tcMar>
            <w:vAlign w:val="center"/>
          </w:tcPr>
          <w:p w14:paraId="27AA1F49" w14:textId="77777777" w:rsidR="00576FE1" w:rsidRPr="00793DA1" w:rsidRDefault="00576FE1" w:rsidP="00115CD6">
            <w:pPr>
              <w:keepNext/>
              <w:adjustRightInd w:val="0"/>
              <w:spacing w:after="0" w:line="240" w:lineRule="auto"/>
              <w:jc w:val="center"/>
            </w:pPr>
            <w:r w:rsidRPr="00793DA1">
              <w:t>0 (0.0%)</w:t>
            </w:r>
          </w:p>
        </w:tc>
        <w:tc>
          <w:tcPr>
            <w:tcW w:w="1701" w:type="dxa"/>
            <w:tcBorders>
              <w:top w:val="nil"/>
              <w:left w:val="nil"/>
              <w:bottom w:val="nil"/>
              <w:right w:val="nil"/>
            </w:tcBorders>
            <w:shd w:val="clear" w:color="auto" w:fill="FFFFFF"/>
            <w:tcMar>
              <w:left w:w="60" w:type="dxa"/>
              <w:right w:w="60" w:type="dxa"/>
            </w:tcMar>
            <w:vAlign w:val="center"/>
          </w:tcPr>
          <w:p w14:paraId="447EFA8D" w14:textId="77777777" w:rsidR="00576FE1" w:rsidRPr="00793DA1" w:rsidRDefault="00576FE1" w:rsidP="00115CD6">
            <w:pPr>
              <w:keepNext/>
              <w:adjustRightInd w:val="0"/>
              <w:spacing w:after="0" w:line="240" w:lineRule="auto"/>
              <w:jc w:val="center"/>
            </w:pPr>
            <w:r w:rsidRPr="00793DA1">
              <w:t>2 (0.8%)</w:t>
            </w:r>
          </w:p>
        </w:tc>
        <w:tc>
          <w:tcPr>
            <w:tcW w:w="1559" w:type="dxa"/>
            <w:tcBorders>
              <w:top w:val="nil"/>
              <w:left w:val="nil"/>
              <w:bottom w:val="nil"/>
              <w:right w:val="nil"/>
            </w:tcBorders>
            <w:shd w:val="clear" w:color="auto" w:fill="FFFFFF"/>
            <w:tcMar>
              <w:left w:w="60" w:type="dxa"/>
              <w:right w:w="60" w:type="dxa"/>
            </w:tcMar>
            <w:vAlign w:val="center"/>
          </w:tcPr>
          <w:p w14:paraId="565ED48E" w14:textId="77777777" w:rsidR="00576FE1" w:rsidRPr="00793DA1" w:rsidRDefault="00576FE1" w:rsidP="00115CD6">
            <w:pPr>
              <w:keepNext/>
              <w:adjustRightInd w:val="0"/>
              <w:spacing w:after="0" w:line="240" w:lineRule="auto"/>
              <w:jc w:val="center"/>
            </w:pPr>
            <w:r w:rsidRPr="00793DA1">
              <w:t>2 (0.4%)</w:t>
            </w:r>
          </w:p>
        </w:tc>
      </w:tr>
      <w:tr w:rsidR="00576FE1" w:rsidRPr="00793DA1" w14:paraId="7F1D1E40"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0619BB82" w14:textId="77777777" w:rsidR="00576FE1" w:rsidRPr="00793DA1" w:rsidRDefault="00576FE1" w:rsidP="00115CD6">
            <w:pPr>
              <w:keepNext/>
              <w:adjustRightInd w:val="0"/>
              <w:spacing w:after="0" w:line="240" w:lineRule="auto"/>
            </w:pPr>
            <w:r w:rsidRPr="00793DA1">
              <w:t xml:space="preserve">    Lower respiratory tract infection</w:t>
            </w:r>
          </w:p>
        </w:tc>
        <w:tc>
          <w:tcPr>
            <w:tcW w:w="1838" w:type="dxa"/>
            <w:tcBorders>
              <w:top w:val="nil"/>
              <w:left w:val="nil"/>
              <w:bottom w:val="nil"/>
              <w:right w:val="nil"/>
            </w:tcBorders>
            <w:shd w:val="clear" w:color="auto" w:fill="FFFFFF"/>
            <w:tcMar>
              <w:left w:w="60" w:type="dxa"/>
              <w:right w:w="60" w:type="dxa"/>
            </w:tcMar>
            <w:vAlign w:val="center"/>
          </w:tcPr>
          <w:p w14:paraId="243B1131" w14:textId="77777777" w:rsidR="00576FE1" w:rsidRPr="00793DA1" w:rsidRDefault="00576FE1" w:rsidP="00115CD6">
            <w:pPr>
              <w:keepNext/>
              <w:adjustRightInd w:val="0"/>
              <w:spacing w:after="0" w:line="240" w:lineRule="auto"/>
              <w:jc w:val="center"/>
            </w:pPr>
            <w:r w:rsidRPr="00793DA1">
              <w:t>1 (0.4%)</w:t>
            </w:r>
          </w:p>
        </w:tc>
        <w:tc>
          <w:tcPr>
            <w:tcW w:w="1701" w:type="dxa"/>
            <w:tcBorders>
              <w:top w:val="nil"/>
              <w:left w:val="nil"/>
              <w:bottom w:val="nil"/>
              <w:right w:val="nil"/>
            </w:tcBorders>
            <w:shd w:val="clear" w:color="auto" w:fill="FFFFFF"/>
            <w:tcMar>
              <w:left w:w="60" w:type="dxa"/>
              <w:right w:w="60" w:type="dxa"/>
            </w:tcMar>
            <w:vAlign w:val="center"/>
          </w:tcPr>
          <w:p w14:paraId="090F49AA" w14:textId="77777777" w:rsidR="00576FE1" w:rsidRPr="00793DA1" w:rsidRDefault="00576FE1" w:rsidP="00115CD6">
            <w:pPr>
              <w:keepNext/>
              <w:adjustRightInd w:val="0"/>
              <w:spacing w:after="0" w:line="240" w:lineRule="auto"/>
              <w:jc w:val="center"/>
            </w:pPr>
            <w:r w:rsidRPr="00793DA1">
              <w:t>0 (0.0%)</w:t>
            </w:r>
          </w:p>
        </w:tc>
        <w:tc>
          <w:tcPr>
            <w:tcW w:w="1559" w:type="dxa"/>
            <w:tcBorders>
              <w:top w:val="nil"/>
              <w:left w:val="nil"/>
              <w:bottom w:val="nil"/>
              <w:right w:val="nil"/>
            </w:tcBorders>
            <w:shd w:val="clear" w:color="auto" w:fill="FFFFFF"/>
            <w:tcMar>
              <w:left w:w="60" w:type="dxa"/>
              <w:right w:w="60" w:type="dxa"/>
            </w:tcMar>
            <w:vAlign w:val="center"/>
          </w:tcPr>
          <w:p w14:paraId="2A89AF76" w14:textId="77777777" w:rsidR="00576FE1" w:rsidRPr="00793DA1" w:rsidRDefault="00576FE1" w:rsidP="00115CD6">
            <w:pPr>
              <w:keepNext/>
              <w:adjustRightInd w:val="0"/>
              <w:spacing w:after="0" w:line="240" w:lineRule="auto"/>
              <w:jc w:val="center"/>
            </w:pPr>
            <w:r w:rsidRPr="00793DA1">
              <w:t>1 (0.2%)</w:t>
            </w:r>
          </w:p>
        </w:tc>
      </w:tr>
      <w:tr w:rsidR="00576FE1" w:rsidRPr="00793DA1" w14:paraId="53482A21"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1B1E7C08" w14:textId="77777777" w:rsidR="00576FE1" w:rsidRPr="00793DA1" w:rsidRDefault="00576FE1" w:rsidP="00115CD6">
            <w:pPr>
              <w:keepNext/>
              <w:adjustRightInd w:val="0"/>
              <w:spacing w:after="0" w:line="240" w:lineRule="auto"/>
            </w:pPr>
            <w:r w:rsidRPr="00793DA1">
              <w:t xml:space="preserve">    Urinary tract infection bacterial</w:t>
            </w:r>
          </w:p>
        </w:tc>
        <w:tc>
          <w:tcPr>
            <w:tcW w:w="1838" w:type="dxa"/>
            <w:tcBorders>
              <w:top w:val="nil"/>
              <w:left w:val="nil"/>
              <w:bottom w:val="nil"/>
              <w:right w:val="nil"/>
            </w:tcBorders>
            <w:shd w:val="clear" w:color="auto" w:fill="FFFFFF"/>
            <w:tcMar>
              <w:left w:w="60" w:type="dxa"/>
              <w:right w:w="60" w:type="dxa"/>
            </w:tcMar>
            <w:vAlign w:val="center"/>
          </w:tcPr>
          <w:p w14:paraId="7B88FF44" w14:textId="77777777" w:rsidR="00576FE1" w:rsidRPr="00793DA1" w:rsidRDefault="00576FE1" w:rsidP="00115CD6">
            <w:pPr>
              <w:keepNext/>
              <w:adjustRightInd w:val="0"/>
              <w:spacing w:after="0" w:line="240" w:lineRule="auto"/>
              <w:jc w:val="center"/>
            </w:pPr>
            <w:r w:rsidRPr="00793DA1">
              <w:t>0 (0.0%)</w:t>
            </w:r>
          </w:p>
        </w:tc>
        <w:tc>
          <w:tcPr>
            <w:tcW w:w="1701" w:type="dxa"/>
            <w:tcBorders>
              <w:top w:val="nil"/>
              <w:left w:val="nil"/>
              <w:bottom w:val="nil"/>
              <w:right w:val="nil"/>
            </w:tcBorders>
            <w:shd w:val="clear" w:color="auto" w:fill="FFFFFF"/>
            <w:tcMar>
              <w:left w:w="60" w:type="dxa"/>
              <w:right w:w="60" w:type="dxa"/>
            </w:tcMar>
            <w:vAlign w:val="center"/>
          </w:tcPr>
          <w:p w14:paraId="51B5D507" w14:textId="77777777" w:rsidR="00576FE1" w:rsidRPr="00793DA1" w:rsidRDefault="00576FE1" w:rsidP="00115CD6">
            <w:pPr>
              <w:keepNext/>
              <w:adjustRightInd w:val="0"/>
              <w:spacing w:after="0" w:line="240" w:lineRule="auto"/>
              <w:jc w:val="center"/>
            </w:pPr>
            <w:r w:rsidRPr="00793DA1">
              <w:t>1 (0.4%)</w:t>
            </w:r>
          </w:p>
        </w:tc>
        <w:tc>
          <w:tcPr>
            <w:tcW w:w="1559" w:type="dxa"/>
            <w:tcBorders>
              <w:top w:val="nil"/>
              <w:left w:val="nil"/>
              <w:bottom w:val="nil"/>
              <w:right w:val="nil"/>
            </w:tcBorders>
            <w:shd w:val="clear" w:color="auto" w:fill="FFFFFF"/>
            <w:tcMar>
              <w:left w:w="60" w:type="dxa"/>
              <w:right w:w="60" w:type="dxa"/>
            </w:tcMar>
            <w:vAlign w:val="center"/>
          </w:tcPr>
          <w:p w14:paraId="47BA5B2A" w14:textId="77777777" w:rsidR="00576FE1" w:rsidRPr="00793DA1" w:rsidRDefault="00576FE1" w:rsidP="00115CD6">
            <w:pPr>
              <w:keepNext/>
              <w:adjustRightInd w:val="0"/>
              <w:spacing w:after="0" w:line="240" w:lineRule="auto"/>
              <w:jc w:val="center"/>
            </w:pPr>
            <w:r w:rsidRPr="00793DA1">
              <w:t>1 (0.2%)</w:t>
            </w:r>
          </w:p>
        </w:tc>
      </w:tr>
      <w:tr w:rsidR="00576FE1" w:rsidRPr="00793DA1" w14:paraId="2253C998" w14:textId="77777777" w:rsidTr="00800E62">
        <w:trPr>
          <w:cantSplit/>
          <w:trHeight w:val="395"/>
        </w:trPr>
        <w:tc>
          <w:tcPr>
            <w:tcW w:w="3969" w:type="dxa"/>
            <w:tcBorders>
              <w:top w:val="nil"/>
              <w:left w:val="nil"/>
              <w:bottom w:val="nil"/>
              <w:right w:val="nil"/>
            </w:tcBorders>
            <w:shd w:val="clear" w:color="auto" w:fill="FFFFFF"/>
            <w:tcMar>
              <w:left w:w="60" w:type="dxa"/>
              <w:right w:w="60" w:type="dxa"/>
            </w:tcMar>
            <w:vAlign w:val="center"/>
          </w:tcPr>
          <w:p w14:paraId="128525F5" w14:textId="77777777" w:rsidR="00576FE1" w:rsidRPr="00793DA1" w:rsidRDefault="00576FE1" w:rsidP="00115CD6">
            <w:pPr>
              <w:keepNext/>
              <w:adjustRightInd w:val="0"/>
              <w:spacing w:after="0" w:line="240" w:lineRule="auto"/>
              <w:rPr>
                <w:b/>
              </w:rPr>
            </w:pPr>
            <w:r w:rsidRPr="00793DA1">
              <w:rPr>
                <w:b/>
              </w:rPr>
              <w:t>Gastrointestinal disorders</w:t>
            </w:r>
          </w:p>
        </w:tc>
        <w:tc>
          <w:tcPr>
            <w:tcW w:w="1838" w:type="dxa"/>
            <w:tcBorders>
              <w:top w:val="nil"/>
              <w:left w:val="nil"/>
              <w:bottom w:val="nil"/>
              <w:right w:val="nil"/>
            </w:tcBorders>
            <w:shd w:val="clear" w:color="auto" w:fill="FFFFFF"/>
            <w:tcMar>
              <w:left w:w="60" w:type="dxa"/>
              <w:right w:w="60" w:type="dxa"/>
            </w:tcMar>
            <w:vAlign w:val="center"/>
          </w:tcPr>
          <w:p w14:paraId="190DE60C" w14:textId="77777777" w:rsidR="00576FE1" w:rsidRPr="00793DA1" w:rsidRDefault="00576FE1" w:rsidP="00115CD6">
            <w:pPr>
              <w:keepNext/>
              <w:adjustRightInd w:val="0"/>
              <w:spacing w:after="0" w:line="240" w:lineRule="auto"/>
              <w:jc w:val="center"/>
              <w:rPr>
                <w:b/>
              </w:rPr>
            </w:pPr>
            <w:r w:rsidRPr="00793DA1">
              <w:rPr>
                <w:b/>
              </w:rPr>
              <w:t>2 (0.8%)</w:t>
            </w:r>
          </w:p>
        </w:tc>
        <w:tc>
          <w:tcPr>
            <w:tcW w:w="1701" w:type="dxa"/>
            <w:tcBorders>
              <w:top w:val="nil"/>
              <w:left w:val="nil"/>
              <w:bottom w:val="nil"/>
              <w:right w:val="nil"/>
            </w:tcBorders>
            <w:shd w:val="clear" w:color="auto" w:fill="FFFFFF"/>
            <w:tcMar>
              <w:left w:w="60" w:type="dxa"/>
              <w:right w:w="60" w:type="dxa"/>
            </w:tcMar>
            <w:vAlign w:val="center"/>
          </w:tcPr>
          <w:p w14:paraId="453F1D1F" w14:textId="77777777" w:rsidR="00576FE1" w:rsidRPr="00793DA1" w:rsidRDefault="00576FE1" w:rsidP="00115CD6">
            <w:pPr>
              <w:keepNext/>
              <w:adjustRightInd w:val="0"/>
              <w:spacing w:after="0" w:line="240" w:lineRule="auto"/>
              <w:jc w:val="center"/>
              <w:rPr>
                <w:b/>
              </w:rPr>
            </w:pPr>
            <w:r w:rsidRPr="00793DA1">
              <w:rPr>
                <w:b/>
              </w:rPr>
              <w:t>1 (0.4%)</w:t>
            </w:r>
          </w:p>
        </w:tc>
        <w:tc>
          <w:tcPr>
            <w:tcW w:w="1559" w:type="dxa"/>
            <w:tcBorders>
              <w:top w:val="nil"/>
              <w:left w:val="nil"/>
              <w:bottom w:val="nil"/>
              <w:right w:val="nil"/>
            </w:tcBorders>
            <w:shd w:val="clear" w:color="auto" w:fill="FFFFFF"/>
            <w:tcMar>
              <w:left w:w="60" w:type="dxa"/>
              <w:right w:w="60" w:type="dxa"/>
            </w:tcMar>
            <w:vAlign w:val="center"/>
          </w:tcPr>
          <w:p w14:paraId="214D0209" w14:textId="77777777" w:rsidR="00576FE1" w:rsidRPr="00793DA1" w:rsidRDefault="00576FE1" w:rsidP="00115CD6">
            <w:pPr>
              <w:keepNext/>
              <w:adjustRightInd w:val="0"/>
              <w:spacing w:after="0" w:line="240" w:lineRule="auto"/>
              <w:jc w:val="center"/>
              <w:rPr>
                <w:b/>
              </w:rPr>
            </w:pPr>
            <w:r w:rsidRPr="00793DA1">
              <w:rPr>
                <w:b/>
              </w:rPr>
              <w:t>3 (0.6%)</w:t>
            </w:r>
          </w:p>
        </w:tc>
      </w:tr>
      <w:tr w:rsidR="00576FE1" w:rsidRPr="00793DA1" w14:paraId="7EDF2645"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03699A26" w14:textId="77777777" w:rsidR="00576FE1" w:rsidRPr="00793DA1" w:rsidRDefault="00576FE1" w:rsidP="00115CD6">
            <w:pPr>
              <w:keepNext/>
              <w:adjustRightInd w:val="0"/>
              <w:spacing w:after="0" w:line="240" w:lineRule="auto"/>
            </w:pPr>
            <w:r w:rsidRPr="00793DA1">
              <w:t xml:space="preserve">    Abdominal pain</w:t>
            </w:r>
          </w:p>
        </w:tc>
        <w:tc>
          <w:tcPr>
            <w:tcW w:w="1838" w:type="dxa"/>
            <w:tcBorders>
              <w:top w:val="nil"/>
              <w:left w:val="nil"/>
              <w:bottom w:val="nil"/>
              <w:right w:val="nil"/>
            </w:tcBorders>
            <w:shd w:val="clear" w:color="auto" w:fill="FFFFFF"/>
            <w:tcMar>
              <w:left w:w="60" w:type="dxa"/>
              <w:right w:w="60" w:type="dxa"/>
            </w:tcMar>
            <w:vAlign w:val="center"/>
          </w:tcPr>
          <w:p w14:paraId="054B53B0" w14:textId="77777777" w:rsidR="00576FE1" w:rsidRPr="00793DA1" w:rsidRDefault="00576FE1" w:rsidP="00115CD6">
            <w:pPr>
              <w:keepNext/>
              <w:adjustRightInd w:val="0"/>
              <w:spacing w:after="0" w:line="240" w:lineRule="auto"/>
              <w:jc w:val="center"/>
            </w:pPr>
            <w:r w:rsidRPr="00793DA1">
              <w:t>1 (0.4%)</w:t>
            </w:r>
          </w:p>
        </w:tc>
        <w:tc>
          <w:tcPr>
            <w:tcW w:w="1701" w:type="dxa"/>
            <w:tcBorders>
              <w:top w:val="nil"/>
              <w:left w:val="nil"/>
              <w:bottom w:val="nil"/>
              <w:right w:val="nil"/>
            </w:tcBorders>
            <w:shd w:val="clear" w:color="auto" w:fill="FFFFFF"/>
            <w:tcMar>
              <w:left w:w="60" w:type="dxa"/>
              <w:right w:w="60" w:type="dxa"/>
            </w:tcMar>
            <w:vAlign w:val="center"/>
          </w:tcPr>
          <w:p w14:paraId="35D63D09" w14:textId="77777777" w:rsidR="00576FE1" w:rsidRPr="00793DA1" w:rsidRDefault="00576FE1" w:rsidP="00115CD6">
            <w:pPr>
              <w:keepNext/>
              <w:adjustRightInd w:val="0"/>
              <w:spacing w:after="0" w:line="240" w:lineRule="auto"/>
              <w:jc w:val="center"/>
            </w:pPr>
            <w:r w:rsidRPr="00793DA1">
              <w:t>0 (0.0%)</w:t>
            </w:r>
          </w:p>
        </w:tc>
        <w:tc>
          <w:tcPr>
            <w:tcW w:w="1559" w:type="dxa"/>
            <w:tcBorders>
              <w:top w:val="nil"/>
              <w:left w:val="nil"/>
              <w:bottom w:val="nil"/>
              <w:right w:val="nil"/>
            </w:tcBorders>
            <w:shd w:val="clear" w:color="auto" w:fill="FFFFFF"/>
            <w:tcMar>
              <w:left w:w="60" w:type="dxa"/>
              <w:right w:w="60" w:type="dxa"/>
            </w:tcMar>
            <w:vAlign w:val="center"/>
          </w:tcPr>
          <w:p w14:paraId="76F061A6" w14:textId="77777777" w:rsidR="00576FE1" w:rsidRPr="00793DA1" w:rsidRDefault="00576FE1" w:rsidP="00115CD6">
            <w:pPr>
              <w:keepNext/>
              <w:adjustRightInd w:val="0"/>
              <w:spacing w:after="0" w:line="240" w:lineRule="auto"/>
              <w:jc w:val="center"/>
            </w:pPr>
            <w:r w:rsidRPr="00793DA1">
              <w:t>1 (0.2%)</w:t>
            </w:r>
          </w:p>
        </w:tc>
      </w:tr>
      <w:tr w:rsidR="00576FE1" w:rsidRPr="00793DA1" w14:paraId="55FAA29D"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51CC26C4" w14:textId="77777777" w:rsidR="00576FE1" w:rsidRPr="00793DA1" w:rsidRDefault="00576FE1" w:rsidP="00115CD6">
            <w:pPr>
              <w:keepNext/>
              <w:adjustRightInd w:val="0"/>
              <w:spacing w:after="0" w:line="240" w:lineRule="auto"/>
            </w:pPr>
            <w:r w:rsidRPr="00793DA1">
              <w:t xml:space="preserve">    </w:t>
            </w:r>
            <w:proofErr w:type="spellStart"/>
            <w:r w:rsidRPr="00793DA1">
              <w:t>Diarrhoea</w:t>
            </w:r>
            <w:proofErr w:type="spellEnd"/>
          </w:p>
        </w:tc>
        <w:tc>
          <w:tcPr>
            <w:tcW w:w="1838" w:type="dxa"/>
            <w:tcBorders>
              <w:top w:val="nil"/>
              <w:left w:val="nil"/>
              <w:bottom w:val="nil"/>
              <w:right w:val="nil"/>
            </w:tcBorders>
            <w:shd w:val="clear" w:color="auto" w:fill="FFFFFF"/>
            <w:tcMar>
              <w:left w:w="60" w:type="dxa"/>
              <w:right w:w="60" w:type="dxa"/>
            </w:tcMar>
            <w:vAlign w:val="center"/>
          </w:tcPr>
          <w:p w14:paraId="1FF8173B" w14:textId="77777777" w:rsidR="00576FE1" w:rsidRPr="00793DA1" w:rsidRDefault="00576FE1" w:rsidP="00115CD6">
            <w:pPr>
              <w:keepNext/>
              <w:adjustRightInd w:val="0"/>
              <w:spacing w:after="0" w:line="240" w:lineRule="auto"/>
              <w:jc w:val="center"/>
            </w:pPr>
            <w:r w:rsidRPr="00793DA1">
              <w:t>1 (0.4%)</w:t>
            </w:r>
          </w:p>
        </w:tc>
        <w:tc>
          <w:tcPr>
            <w:tcW w:w="1701" w:type="dxa"/>
            <w:tcBorders>
              <w:top w:val="nil"/>
              <w:left w:val="nil"/>
              <w:bottom w:val="nil"/>
              <w:right w:val="nil"/>
            </w:tcBorders>
            <w:shd w:val="clear" w:color="auto" w:fill="FFFFFF"/>
            <w:tcMar>
              <w:left w:w="60" w:type="dxa"/>
              <w:right w:w="60" w:type="dxa"/>
            </w:tcMar>
            <w:vAlign w:val="center"/>
          </w:tcPr>
          <w:p w14:paraId="0B9FE6BD" w14:textId="77777777" w:rsidR="00576FE1" w:rsidRPr="00793DA1" w:rsidRDefault="00576FE1" w:rsidP="00115CD6">
            <w:pPr>
              <w:keepNext/>
              <w:adjustRightInd w:val="0"/>
              <w:spacing w:after="0" w:line="240" w:lineRule="auto"/>
              <w:jc w:val="center"/>
            </w:pPr>
            <w:r w:rsidRPr="00793DA1">
              <w:t>0 (0.0%)</w:t>
            </w:r>
          </w:p>
        </w:tc>
        <w:tc>
          <w:tcPr>
            <w:tcW w:w="1559" w:type="dxa"/>
            <w:tcBorders>
              <w:top w:val="nil"/>
              <w:left w:val="nil"/>
              <w:bottom w:val="nil"/>
              <w:right w:val="nil"/>
            </w:tcBorders>
            <w:shd w:val="clear" w:color="auto" w:fill="FFFFFF"/>
            <w:tcMar>
              <w:left w:w="60" w:type="dxa"/>
              <w:right w:w="60" w:type="dxa"/>
            </w:tcMar>
            <w:vAlign w:val="center"/>
          </w:tcPr>
          <w:p w14:paraId="10638BE6" w14:textId="77777777" w:rsidR="00576FE1" w:rsidRPr="00793DA1" w:rsidRDefault="00576FE1" w:rsidP="00115CD6">
            <w:pPr>
              <w:keepNext/>
              <w:adjustRightInd w:val="0"/>
              <w:spacing w:after="0" w:line="240" w:lineRule="auto"/>
              <w:jc w:val="center"/>
            </w:pPr>
            <w:r w:rsidRPr="00793DA1">
              <w:t>1 (0.2%)</w:t>
            </w:r>
          </w:p>
        </w:tc>
      </w:tr>
      <w:tr w:rsidR="00576FE1" w:rsidRPr="00793DA1" w14:paraId="252D5EAD"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0B3D3363" w14:textId="77777777" w:rsidR="00576FE1" w:rsidRPr="00793DA1" w:rsidRDefault="00576FE1" w:rsidP="00115CD6">
            <w:pPr>
              <w:keepNext/>
              <w:adjustRightInd w:val="0"/>
              <w:spacing w:after="0" w:line="240" w:lineRule="auto"/>
            </w:pPr>
            <w:r w:rsidRPr="00793DA1">
              <w:t xml:space="preserve">    Stomatitis</w:t>
            </w:r>
          </w:p>
        </w:tc>
        <w:tc>
          <w:tcPr>
            <w:tcW w:w="1838" w:type="dxa"/>
            <w:tcBorders>
              <w:top w:val="nil"/>
              <w:left w:val="nil"/>
              <w:bottom w:val="nil"/>
              <w:right w:val="nil"/>
            </w:tcBorders>
            <w:shd w:val="clear" w:color="auto" w:fill="FFFFFF"/>
            <w:tcMar>
              <w:left w:w="60" w:type="dxa"/>
              <w:right w:w="60" w:type="dxa"/>
            </w:tcMar>
            <w:vAlign w:val="center"/>
          </w:tcPr>
          <w:p w14:paraId="45E901FB" w14:textId="77777777" w:rsidR="00576FE1" w:rsidRPr="00793DA1" w:rsidRDefault="00576FE1" w:rsidP="00115CD6">
            <w:pPr>
              <w:keepNext/>
              <w:adjustRightInd w:val="0"/>
              <w:spacing w:after="0" w:line="240" w:lineRule="auto"/>
              <w:jc w:val="center"/>
            </w:pPr>
            <w:r w:rsidRPr="00793DA1">
              <w:t>0 (0.0%)</w:t>
            </w:r>
          </w:p>
        </w:tc>
        <w:tc>
          <w:tcPr>
            <w:tcW w:w="1701" w:type="dxa"/>
            <w:tcBorders>
              <w:top w:val="nil"/>
              <w:left w:val="nil"/>
              <w:bottom w:val="nil"/>
              <w:right w:val="nil"/>
            </w:tcBorders>
            <w:shd w:val="clear" w:color="auto" w:fill="FFFFFF"/>
            <w:tcMar>
              <w:left w:w="60" w:type="dxa"/>
              <w:right w:w="60" w:type="dxa"/>
            </w:tcMar>
            <w:vAlign w:val="center"/>
          </w:tcPr>
          <w:p w14:paraId="16FDC9AF" w14:textId="77777777" w:rsidR="00576FE1" w:rsidRPr="00793DA1" w:rsidRDefault="00576FE1" w:rsidP="00115CD6">
            <w:pPr>
              <w:keepNext/>
              <w:adjustRightInd w:val="0"/>
              <w:spacing w:after="0" w:line="240" w:lineRule="auto"/>
              <w:jc w:val="center"/>
            </w:pPr>
            <w:r w:rsidRPr="00793DA1">
              <w:t>1 (0.4%)</w:t>
            </w:r>
          </w:p>
        </w:tc>
        <w:tc>
          <w:tcPr>
            <w:tcW w:w="1559" w:type="dxa"/>
            <w:tcBorders>
              <w:top w:val="nil"/>
              <w:left w:val="nil"/>
              <w:bottom w:val="nil"/>
              <w:right w:val="nil"/>
            </w:tcBorders>
            <w:shd w:val="clear" w:color="auto" w:fill="FFFFFF"/>
            <w:tcMar>
              <w:left w:w="60" w:type="dxa"/>
              <w:right w:w="60" w:type="dxa"/>
            </w:tcMar>
            <w:vAlign w:val="center"/>
          </w:tcPr>
          <w:p w14:paraId="212F0DB3" w14:textId="77777777" w:rsidR="00576FE1" w:rsidRPr="00793DA1" w:rsidRDefault="00576FE1" w:rsidP="00115CD6">
            <w:pPr>
              <w:keepNext/>
              <w:adjustRightInd w:val="0"/>
              <w:spacing w:after="0" w:line="240" w:lineRule="auto"/>
              <w:jc w:val="center"/>
            </w:pPr>
            <w:r w:rsidRPr="00793DA1">
              <w:t>1 (0.2%)</w:t>
            </w:r>
          </w:p>
        </w:tc>
      </w:tr>
      <w:tr w:rsidR="00576FE1" w:rsidRPr="00793DA1" w14:paraId="13BD3483"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5895D3BC" w14:textId="77777777" w:rsidR="00576FE1" w:rsidRPr="00793DA1" w:rsidRDefault="00576FE1" w:rsidP="00115CD6">
            <w:pPr>
              <w:keepNext/>
              <w:adjustRightInd w:val="0"/>
              <w:spacing w:after="0" w:line="240" w:lineRule="auto"/>
            </w:pPr>
            <w:r w:rsidRPr="00793DA1">
              <w:t xml:space="preserve">    Vomiting</w:t>
            </w:r>
          </w:p>
        </w:tc>
        <w:tc>
          <w:tcPr>
            <w:tcW w:w="1838" w:type="dxa"/>
            <w:tcBorders>
              <w:top w:val="nil"/>
              <w:left w:val="nil"/>
              <w:bottom w:val="nil"/>
              <w:right w:val="nil"/>
            </w:tcBorders>
            <w:shd w:val="clear" w:color="auto" w:fill="FFFFFF"/>
            <w:tcMar>
              <w:left w:w="60" w:type="dxa"/>
              <w:right w:w="60" w:type="dxa"/>
            </w:tcMar>
            <w:vAlign w:val="center"/>
          </w:tcPr>
          <w:p w14:paraId="06E8B8AE" w14:textId="77777777" w:rsidR="00576FE1" w:rsidRPr="00793DA1" w:rsidRDefault="00576FE1" w:rsidP="00115CD6">
            <w:pPr>
              <w:keepNext/>
              <w:adjustRightInd w:val="0"/>
              <w:spacing w:after="0" w:line="240" w:lineRule="auto"/>
              <w:jc w:val="center"/>
            </w:pPr>
            <w:r w:rsidRPr="00793DA1">
              <w:t>1 (0.4%)</w:t>
            </w:r>
          </w:p>
        </w:tc>
        <w:tc>
          <w:tcPr>
            <w:tcW w:w="1701" w:type="dxa"/>
            <w:tcBorders>
              <w:top w:val="nil"/>
              <w:left w:val="nil"/>
              <w:bottom w:val="nil"/>
              <w:right w:val="nil"/>
            </w:tcBorders>
            <w:shd w:val="clear" w:color="auto" w:fill="FFFFFF"/>
            <w:tcMar>
              <w:left w:w="60" w:type="dxa"/>
              <w:right w:w="60" w:type="dxa"/>
            </w:tcMar>
            <w:vAlign w:val="center"/>
          </w:tcPr>
          <w:p w14:paraId="29019579" w14:textId="77777777" w:rsidR="00576FE1" w:rsidRPr="00793DA1" w:rsidRDefault="00576FE1" w:rsidP="00115CD6">
            <w:pPr>
              <w:keepNext/>
              <w:adjustRightInd w:val="0"/>
              <w:spacing w:after="0" w:line="240" w:lineRule="auto"/>
              <w:jc w:val="center"/>
            </w:pPr>
            <w:r w:rsidRPr="00793DA1">
              <w:t>0 (0.0%)</w:t>
            </w:r>
          </w:p>
        </w:tc>
        <w:tc>
          <w:tcPr>
            <w:tcW w:w="1559" w:type="dxa"/>
            <w:tcBorders>
              <w:top w:val="nil"/>
              <w:left w:val="nil"/>
              <w:bottom w:val="nil"/>
              <w:right w:val="nil"/>
            </w:tcBorders>
            <w:shd w:val="clear" w:color="auto" w:fill="FFFFFF"/>
            <w:tcMar>
              <w:left w:w="60" w:type="dxa"/>
              <w:right w:w="60" w:type="dxa"/>
            </w:tcMar>
            <w:vAlign w:val="center"/>
          </w:tcPr>
          <w:p w14:paraId="3CD00784" w14:textId="77777777" w:rsidR="00576FE1" w:rsidRPr="00793DA1" w:rsidRDefault="00576FE1" w:rsidP="00115CD6">
            <w:pPr>
              <w:keepNext/>
              <w:adjustRightInd w:val="0"/>
              <w:spacing w:after="0" w:line="240" w:lineRule="auto"/>
              <w:jc w:val="center"/>
            </w:pPr>
            <w:r w:rsidRPr="00793DA1">
              <w:t>1 (0.2%)</w:t>
            </w:r>
          </w:p>
        </w:tc>
      </w:tr>
      <w:tr w:rsidR="00576FE1" w:rsidRPr="00793DA1" w14:paraId="2E826C4E" w14:textId="77777777" w:rsidTr="00800E62">
        <w:trPr>
          <w:cantSplit/>
          <w:trHeight w:val="452"/>
        </w:trPr>
        <w:tc>
          <w:tcPr>
            <w:tcW w:w="3969" w:type="dxa"/>
            <w:tcBorders>
              <w:top w:val="nil"/>
              <w:left w:val="nil"/>
              <w:bottom w:val="nil"/>
              <w:right w:val="nil"/>
            </w:tcBorders>
            <w:shd w:val="clear" w:color="auto" w:fill="FFFFFF"/>
            <w:tcMar>
              <w:left w:w="60" w:type="dxa"/>
              <w:right w:w="60" w:type="dxa"/>
            </w:tcMar>
            <w:vAlign w:val="center"/>
          </w:tcPr>
          <w:p w14:paraId="5C944C19" w14:textId="77777777" w:rsidR="00576FE1" w:rsidRPr="00793DA1" w:rsidRDefault="00576FE1" w:rsidP="00115CD6">
            <w:pPr>
              <w:keepNext/>
              <w:adjustRightInd w:val="0"/>
              <w:spacing w:after="0" w:line="240" w:lineRule="auto"/>
              <w:rPr>
                <w:b/>
              </w:rPr>
            </w:pPr>
            <w:r w:rsidRPr="00793DA1">
              <w:rPr>
                <w:b/>
              </w:rPr>
              <w:t>Vascular disorders</w:t>
            </w:r>
          </w:p>
        </w:tc>
        <w:tc>
          <w:tcPr>
            <w:tcW w:w="1838" w:type="dxa"/>
            <w:tcBorders>
              <w:top w:val="nil"/>
              <w:left w:val="nil"/>
              <w:bottom w:val="nil"/>
              <w:right w:val="nil"/>
            </w:tcBorders>
            <w:shd w:val="clear" w:color="auto" w:fill="FFFFFF"/>
            <w:tcMar>
              <w:left w:w="60" w:type="dxa"/>
              <w:right w:w="60" w:type="dxa"/>
            </w:tcMar>
            <w:vAlign w:val="center"/>
          </w:tcPr>
          <w:p w14:paraId="40383200" w14:textId="77777777" w:rsidR="00576FE1" w:rsidRPr="00793DA1" w:rsidRDefault="00576FE1" w:rsidP="00115CD6">
            <w:pPr>
              <w:keepNext/>
              <w:adjustRightInd w:val="0"/>
              <w:spacing w:after="0" w:line="240" w:lineRule="auto"/>
              <w:jc w:val="center"/>
              <w:rPr>
                <w:b/>
              </w:rPr>
            </w:pPr>
            <w:r w:rsidRPr="00793DA1">
              <w:rPr>
                <w:b/>
              </w:rPr>
              <w:t>2 (0.8%)</w:t>
            </w:r>
          </w:p>
        </w:tc>
        <w:tc>
          <w:tcPr>
            <w:tcW w:w="1701" w:type="dxa"/>
            <w:tcBorders>
              <w:top w:val="nil"/>
              <w:left w:val="nil"/>
              <w:bottom w:val="nil"/>
              <w:right w:val="nil"/>
            </w:tcBorders>
            <w:shd w:val="clear" w:color="auto" w:fill="FFFFFF"/>
            <w:tcMar>
              <w:left w:w="60" w:type="dxa"/>
              <w:right w:w="60" w:type="dxa"/>
            </w:tcMar>
            <w:vAlign w:val="center"/>
          </w:tcPr>
          <w:p w14:paraId="46E2F873" w14:textId="77777777" w:rsidR="00576FE1" w:rsidRPr="00793DA1" w:rsidRDefault="00576FE1" w:rsidP="00115CD6">
            <w:pPr>
              <w:keepNext/>
              <w:adjustRightInd w:val="0"/>
              <w:spacing w:after="0" w:line="240" w:lineRule="auto"/>
              <w:jc w:val="center"/>
              <w:rPr>
                <w:b/>
              </w:rPr>
            </w:pPr>
            <w:r w:rsidRPr="00793DA1">
              <w:rPr>
                <w:b/>
              </w:rPr>
              <w:t>0 (0.0%)</w:t>
            </w:r>
          </w:p>
        </w:tc>
        <w:tc>
          <w:tcPr>
            <w:tcW w:w="1559" w:type="dxa"/>
            <w:tcBorders>
              <w:top w:val="nil"/>
              <w:left w:val="nil"/>
              <w:bottom w:val="nil"/>
              <w:right w:val="nil"/>
            </w:tcBorders>
            <w:shd w:val="clear" w:color="auto" w:fill="FFFFFF"/>
            <w:tcMar>
              <w:left w:w="60" w:type="dxa"/>
              <w:right w:w="60" w:type="dxa"/>
            </w:tcMar>
            <w:vAlign w:val="center"/>
          </w:tcPr>
          <w:p w14:paraId="0C623470" w14:textId="77777777" w:rsidR="00576FE1" w:rsidRPr="00793DA1" w:rsidRDefault="00576FE1" w:rsidP="00115CD6">
            <w:pPr>
              <w:keepNext/>
              <w:adjustRightInd w:val="0"/>
              <w:spacing w:after="0" w:line="240" w:lineRule="auto"/>
              <w:jc w:val="center"/>
              <w:rPr>
                <w:b/>
              </w:rPr>
            </w:pPr>
            <w:r w:rsidRPr="00793DA1">
              <w:rPr>
                <w:b/>
              </w:rPr>
              <w:t>2 (0.4%)</w:t>
            </w:r>
          </w:p>
        </w:tc>
      </w:tr>
      <w:tr w:rsidR="00576FE1" w:rsidRPr="00793DA1" w14:paraId="01F5EA7A"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5C81A7FA" w14:textId="77777777" w:rsidR="00576FE1" w:rsidRPr="00793DA1" w:rsidRDefault="00576FE1" w:rsidP="00115CD6">
            <w:pPr>
              <w:keepNext/>
              <w:adjustRightInd w:val="0"/>
              <w:spacing w:after="0" w:line="240" w:lineRule="auto"/>
            </w:pPr>
            <w:r w:rsidRPr="00793DA1">
              <w:t xml:space="preserve">    Peripheral </w:t>
            </w:r>
            <w:proofErr w:type="spellStart"/>
            <w:r w:rsidRPr="00793DA1">
              <w:t>ischaemia</w:t>
            </w:r>
            <w:proofErr w:type="spellEnd"/>
          </w:p>
        </w:tc>
        <w:tc>
          <w:tcPr>
            <w:tcW w:w="1838" w:type="dxa"/>
            <w:tcBorders>
              <w:top w:val="nil"/>
              <w:left w:val="nil"/>
              <w:bottom w:val="nil"/>
              <w:right w:val="nil"/>
            </w:tcBorders>
            <w:shd w:val="clear" w:color="auto" w:fill="FFFFFF"/>
            <w:tcMar>
              <w:left w:w="60" w:type="dxa"/>
              <w:right w:w="60" w:type="dxa"/>
            </w:tcMar>
            <w:vAlign w:val="center"/>
          </w:tcPr>
          <w:p w14:paraId="75161223" w14:textId="77777777" w:rsidR="00576FE1" w:rsidRPr="00793DA1" w:rsidRDefault="00576FE1" w:rsidP="00115CD6">
            <w:pPr>
              <w:keepNext/>
              <w:adjustRightInd w:val="0"/>
              <w:spacing w:after="0" w:line="240" w:lineRule="auto"/>
              <w:jc w:val="center"/>
            </w:pPr>
            <w:r w:rsidRPr="00793DA1">
              <w:t>1 (0.4%)</w:t>
            </w:r>
          </w:p>
        </w:tc>
        <w:tc>
          <w:tcPr>
            <w:tcW w:w="1701" w:type="dxa"/>
            <w:tcBorders>
              <w:top w:val="nil"/>
              <w:left w:val="nil"/>
              <w:bottom w:val="nil"/>
              <w:right w:val="nil"/>
            </w:tcBorders>
            <w:shd w:val="clear" w:color="auto" w:fill="FFFFFF"/>
            <w:tcMar>
              <w:left w:w="60" w:type="dxa"/>
              <w:right w:w="60" w:type="dxa"/>
            </w:tcMar>
            <w:vAlign w:val="center"/>
          </w:tcPr>
          <w:p w14:paraId="6AC2AD44" w14:textId="77777777" w:rsidR="00576FE1" w:rsidRPr="00793DA1" w:rsidRDefault="00576FE1" w:rsidP="00115CD6">
            <w:pPr>
              <w:keepNext/>
              <w:adjustRightInd w:val="0"/>
              <w:spacing w:after="0" w:line="240" w:lineRule="auto"/>
              <w:jc w:val="center"/>
            </w:pPr>
            <w:r w:rsidRPr="00793DA1">
              <w:t>0 (0.0%)</w:t>
            </w:r>
          </w:p>
        </w:tc>
        <w:tc>
          <w:tcPr>
            <w:tcW w:w="1559" w:type="dxa"/>
            <w:tcBorders>
              <w:top w:val="nil"/>
              <w:left w:val="nil"/>
              <w:bottom w:val="nil"/>
              <w:right w:val="nil"/>
            </w:tcBorders>
            <w:shd w:val="clear" w:color="auto" w:fill="FFFFFF"/>
            <w:tcMar>
              <w:left w:w="60" w:type="dxa"/>
              <w:right w:w="60" w:type="dxa"/>
            </w:tcMar>
            <w:vAlign w:val="center"/>
          </w:tcPr>
          <w:p w14:paraId="497E00EA" w14:textId="77777777" w:rsidR="00576FE1" w:rsidRPr="00793DA1" w:rsidRDefault="00576FE1" w:rsidP="00115CD6">
            <w:pPr>
              <w:keepNext/>
              <w:adjustRightInd w:val="0"/>
              <w:spacing w:after="0" w:line="240" w:lineRule="auto"/>
              <w:jc w:val="center"/>
            </w:pPr>
            <w:r w:rsidRPr="00793DA1">
              <w:t>1 (0.2%)</w:t>
            </w:r>
          </w:p>
        </w:tc>
      </w:tr>
      <w:tr w:rsidR="00576FE1" w:rsidRPr="00793DA1" w14:paraId="536D69CD"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5230F926" w14:textId="77777777" w:rsidR="00576FE1" w:rsidRPr="00793DA1" w:rsidRDefault="00576FE1" w:rsidP="00115CD6">
            <w:pPr>
              <w:keepNext/>
              <w:adjustRightInd w:val="0"/>
              <w:spacing w:after="0" w:line="240" w:lineRule="auto"/>
            </w:pPr>
            <w:r w:rsidRPr="00793DA1">
              <w:t xml:space="preserve">    Thrombosis</w:t>
            </w:r>
          </w:p>
        </w:tc>
        <w:tc>
          <w:tcPr>
            <w:tcW w:w="1838" w:type="dxa"/>
            <w:tcBorders>
              <w:top w:val="nil"/>
              <w:left w:val="nil"/>
              <w:bottom w:val="nil"/>
              <w:right w:val="nil"/>
            </w:tcBorders>
            <w:shd w:val="clear" w:color="auto" w:fill="FFFFFF"/>
            <w:tcMar>
              <w:left w:w="60" w:type="dxa"/>
              <w:right w:w="60" w:type="dxa"/>
            </w:tcMar>
            <w:vAlign w:val="center"/>
          </w:tcPr>
          <w:p w14:paraId="3BD314CD" w14:textId="77777777" w:rsidR="00576FE1" w:rsidRPr="00793DA1" w:rsidRDefault="00576FE1" w:rsidP="00115CD6">
            <w:pPr>
              <w:keepNext/>
              <w:adjustRightInd w:val="0"/>
              <w:spacing w:after="0" w:line="240" w:lineRule="auto"/>
              <w:jc w:val="center"/>
            </w:pPr>
            <w:r w:rsidRPr="00793DA1">
              <w:t>1 (0.4%)</w:t>
            </w:r>
          </w:p>
        </w:tc>
        <w:tc>
          <w:tcPr>
            <w:tcW w:w="1701" w:type="dxa"/>
            <w:tcBorders>
              <w:top w:val="nil"/>
              <w:left w:val="nil"/>
              <w:bottom w:val="nil"/>
              <w:right w:val="nil"/>
            </w:tcBorders>
            <w:shd w:val="clear" w:color="auto" w:fill="FFFFFF"/>
            <w:tcMar>
              <w:left w:w="60" w:type="dxa"/>
              <w:right w:w="60" w:type="dxa"/>
            </w:tcMar>
            <w:vAlign w:val="center"/>
          </w:tcPr>
          <w:p w14:paraId="2BD1DFD4" w14:textId="77777777" w:rsidR="00576FE1" w:rsidRPr="00793DA1" w:rsidRDefault="00576FE1" w:rsidP="00115CD6">
            <w:pPr>
              <w:keepNext/>
              <w:adjustRightInd w:val="0"/>
              <w:spacing w:after="0" w:line="240" w:lineRule="auto"/>
              <w:jc w:val="center"/>
            </w:pPr>
            <w:r w:rsidRPr="00793DA1">
              <w:t>0 (0.0%)</w:t>
            </w:r>
          </w:p>
        </w:tc>
        <w:tc>
          <w:tcPr>
            <w:tcW w:w="1559" w:type="dxa"/>
            <w:tcBorders>
              <w:top w:val="nil"/>
              <w:left w:val="nil"/>
              <w:bottom w:val="nil"/>
              <w:right w:val="nil"/>
            </w:tcBorders>
            <w:shd w:val="clear" w:color="auto" w:fill="FFFFFF"/>
            <w:tcMar>
              <w:left w:w="60" w:type="dxa"/>
              <w:right w:w="60" w:type="dxa"/>
            </w:tcMar>
            <w:vAlign w:val="center"/>
          </w:tcPr>
          <w:p w14:paraId="2D849C50" w14:textId="77777777" w:rsidR="00576FE1" w:rsidRPr="00793DA1" w:rsidRDefault="00576FE1" w:rsidP="00115CD6">
            <w:pPr>
              <w:keepNext/>
              <w:adjustRightInd w:val="0"/>
              <w:spacing w:after="0" w:line="240" w:lineRule="auto"/>
              <w:jc w:val="center"/>
            </w:pPr>
            <w:r w:rsidRPr="00793DA1">
              <w:t>1 (0.2%)</w:t>
            </w:r>
          </w:p>
        </w:tc>
      </w:tr>
      <w:tr w:rsidR="00576FE1" w:rsidRPr="00793DA1" w14:paraId="68103B33"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2780B4EA" w14:textId="77777777" w:rsidR="00576FE1" w:rsidRPr="00793DA1" w:rsidRDefault="00576FE1" w:rsidP="00115CD6">
            <w:pPr>
              <w:keepNext/>
              <w:adjustRightInd w:val="0"/>
              <w:spacing w:after="0" w:line="240" w:lineRule="auto"/>
              <w:rPr>
                <w:b/>
                <w:lang w:val="en-GB"/>
              </w:rPr>
            </w:pPr>
            <w:r w:rsidRPr="00793DA1">
              <w:rPr>
                <w:b/>
                <w:lang w:val="en-GB"/>
              </w:rPr>
              <w:t>General disorders and administration site conditions</w:t>
            </w:r>
          </w:p>
        </w:tc>
        <w:tc>
          <w:tcPr>
            <w:tcW w:w="1838" w:type="dxa"/>
            <w:tcBorders>
              <w:top w:val="nil"/>
              <w:left w:val="nil"/>
              <w:bottom w:val="nil"/>
              <w:right w:val="nil"/>
            </w:tcBorders>
            <w:shd w:val="clear" w:color="auto" w:fill="FFFFFF"/>
            <w:tcMar>
              <w:left w:w="60" w:type="dxa"/>
              <w:right w:w="60" w:type="dxa"/>
            </w:tcMar>
            <w:vAlign w:val="center"/>
          </w:tcPr>
          <w:p w14:paraId="0FA94DE0" w14:textId="77777777" w:rsidR="00576FE1" w:rsidRPr="00793DA1" w:rsidRDefault="00576FE1" w:rsidP="00115CD6">
            <w:pPr>
              <w:keepNext/>
              <w:adjustRightInd w:val="0"/>
              <w:spacing w:after="0" w:line="240" w:lineRule="auto"/>
              <w:jc w:val="center"/>
              <w:rPr>
                <w:b/>
              </w:rPr>
            </w:pPr>
            <w:r w:rsidRPr="00793DA1">
              <w:rPr>
                <w:b/>
              </w:rPr>
              <w:t>1 (0.4%)</w:t>
            </w:r>
          </w:p>
        </w:tc>
        <w:tc>
          <w:tcPr>
            <w:tcW w:w="1701" w:type="dxa"/>
            <w:tcBorders>
              <w:top w:val="nil"/>
              <w:left w:val="nil"/>
              <w:bottom w:val="nil"/>
              <w:right w:val="nil"/>
            </w:tcBorders>
            <w:shd w:val="clear" w:color="auto" w:fill="FFFFFF"/>
            <w:tcMar>
              <w:left w:w="60" w:type="dxa"/>
              <w:right w:w="60" w:type="dxa"/>
            </w:tcMar>
            <w:vAlign w:val="center"/>
          </w:tcPr>
          <w:p w14:paraId="6D1D4E2F" w14:textId="77777777" w:rsidR="00576FE1" w:rsidRPr="00793DA1" w:rsidRDefault="00576FE1" w:rsidP="00115CD6">
            <w:pPr>
              <w:keepNext/>
              <w:adjustRightInd w:val="0"/>
              <w:spacing w:after="0" w:line="240" w:lineRule="auto"/>
              <w:jc w:val="center"/>
              <w:rPr>
                <w:b/>
              </w:rPr>
            </w:pPr>
            <w:r w:rsidRPr="00793DA1">
              <w:rPr>
                <w:b/>
              </w:rPr>
              <w:t>0 (0.0%)</w:t>
            </w:r>
          </w:p>
        </w:tc>
        <w:tc>
          <w:tcPr>
            <w:tcW w:w="1559" w:type="dxa"/>
            <w:tcBorders>
              <w:top w:val="nil"/>
              <w:left w:val="nil"/>
              <w:bottom w:val="nil"/>
              <w:right w:val="nil"/>
            </w:tcBorders>
            <w:shd w:val="clear" w:color="auto" w:fill="FFFFFF"/>
            <w:tcMar>
              <w:left w:w="60" w:type="dxa"/>
              <w:right w:w="60" w:type="dxa"/>
            </w:tcMar>
            <w:vAlign w:val="center"/>
          </w:tcPr>
          <w:p w14:paraId="184D49AD" w14:textId="77777777" w:rsidR="00576FE1" w:rsidRPr="00793DA1" w:rsidRDefault="00576FE1" w:rsidP="00115CD6">
            <w:pPr>
              <w:keepNext/>
              <w:adjustRightInd w:val="0"/>
              <w:spacing w:after="0" w:line="240" w:lineRule="auto"/>
              <w:jc w:val="center"/>
              <w:rPr>
                <w:b/>
              </w:rPr>
            </w:pPr>
            <w:r w:rsidRPr="00793DA1">
              <w:rPr>
                <w:b/>
              </w:rPr>
              <w:t>1 (0.2%)</w:t>
            </w:r>
          </w:p>
        </w:tc>
      </w:tr>
      <w:tr w:rsidR="00576FE1" w:rsidRPr="00793DA1" w14:paraId="15C5C787"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51BC0D0F" w14:textId="77777777" w:rsidR="00576FE1" w:rsidRPr="00793DA1" w:rsidRDefault="00576FE1" w:rsidP="00115CD6">
            <w:pPr>
              <w:keepNext/>
              <w:adjustRightInd w:val="0"/>
              <w:spacing w:after="0" w:line="240" w:lineRule="auto"/>
            </w:pPr>
            <w:r w:rsidRPr="00793DA1">
              <w:t xml:space="preserve">    Pyrexia</w:t>
            </w:r>
          </w:p>
        </w:tc>
        <w:tc>
          <w:tcPr>
            <w:tcW w:w="1838" w:type="dxa"/>
            <w:tcBorders>
              <w:top w:val="nil"/>
              <w:left w:val="nil"/>
              <w:bottom w:val="nil"/>
              <w:right w:val="nil"/>
            </w:tcBorders>
            <w:shd w:val="clear" w:color="auto" w:fill="FFFFFF"/>
            <w:tcMar>
              <w:left w:w="60" w:type="dxa"/>
              <w:right w:w="60" w:type="dxa"/>
            </w:tcMar>
            <w:vAlign w:val="center"/>
          </w:tcPr>
          <w:p w14:paraId="364DEA1E" w14:textId="77777777" w:rsidR="00576FE1" w:rsidRPr="00793DA1" w:rsidRDefault="00576FE1" w:rsidP="00115CD6">
            <w:pPr>
              <w:keepNext/>
              <w:adjustRightInd w:val="0"/>
              <w:spacing w:after="0" w:line="240" w:lineRule="auto"/>
              <w:jc w:val="center"/>
            </w:pPr>
            <w:r w:rsidRPr="00793DA1">
              <w:t>1 (0.4%)</w:t>
            </w:r>
          </w:p>
        </w:tc>
        <w:tc>
          <w:tcPr>
            <w:tcW w:w="1701" w:type="dxa"/>
            <w:tcBorders>
              <w:top w:val="nil"/>
              <w:left w:val="nil"/>
              <w:bottom w:val="nil"/>
              <w:right w:val="nil"/>
            </w:tcBorders>
            <w:shd w:val="clear" w:color="auto" w:fill="FFFFFF"/>
            <w:tcMar>
              <w:left w:w="60" w:type="dxa"/>
              <w:right w:w="60" w:type="dxa"/>
            </w:tcMar>
            <w:vAlign w:val="center"/>
          </w:tcPr>
          <w:p w14:paraId="661B496D" w14:textId="77777777" w:rsidR="00576FE1" w:rsidRPr="00793DA1" w:rsidRDefault="00576FE1" w:rsidP="00115CD6">
            <w:pPr>
              <w:keepNext/>
              <w:adjustRightInd w:val="0"/>
              <w:spacing w:after="0" w:line="240" w:lineRule="auto"/>
              <w:jc w:val="center"/>
            </w:pPr>
            <w:r w:rsidRPr="00793DA1">
              <w:t>0 (0.0%)</w:t>
            </w:r>
          </w:p>
        </w:tc>
        <w:tc>
          <w:tcPr>
            <w:tcW w:w="1559" w:type="dxa"/>
            <w:tcBorders>
              <w:top w:val="nil"/>
              <w:left w:val="nil"/>
              <w:bottom w:val="nil"/>
              <w:right w:val="nil"/>
            </w:tcBorders>
            <w:shd w:val="clear" w:color="auto" w:fill="FFFFFF"/>
            <w:tcMar>
              <w:left w:w="60" w:type="dxa"/>
              <w:right w:w="60" w:type="dxa"/>
            </w:tcMar>
            <w:vAlign w:val="center"/>
          </w:tcPr>
          <w:p w14:paraId="3FDCD435" w14:textId="77777777" w:rsidR="00576FE1" w:rsidRPr="00793DA1" w:rsidRDefault="00576FE1" w:rsidP="00115CD6">
            <w:pPr>
              <w:keepNext/>
              <w:adjustRightInd w:val="0"/>
              <w:spacing w:after="0" w:line="240" w:lineRule="auto"/>
              <w:jc w:val="center"/>
            </w:pPr>
            <w:r w:rsidRPr="00793DA1">
              <w:t>1 (0.2%)</w:t>
            </w:r>
          </w:p>
        </w:tc>
      </w:tr>
      <w:tr w:rsidR="00576FE1" w:rsidRPr="00793DA1" w14:paraId="138CC88C" w14:textId="77777777" w:rsidTr="00800E62">
        <w:trPr>
          <w:cantSplit/>
          <w:trHeight w:val="445"/>
        </w:trPr>
        <w:tc>
          <w:tcPr>
            <w:tcW w:w="3969" w:type="dxa"/>
            <w:tcBorders>
              <w:top w:val="nil"/>
              <w:left w:val="nil"/>
              <w:bottom w:val="nil"/>
              <w:right w:val="nil"/>
            </w:tcBorders>
            <w:shd w:val="clear" w:color="auto" w:fill="FFFFFF"/>
            <w:tcMar>
              <w:left w:w="60" w:type="dxa"/>
              <w:right w:w="60" w:type="dxa"/>
            </w:tcMar>
            <w:vAlign w:val="center"/>
          </w:tcPr>
          <w:p w14:paraId="5F844A73" w14:textId="77777777" w:rsidR="00576FE1" w:rsidRPr="00793DA1" w:rsidRDefault="00576FE1" w:rsidP="00115CD6">
            <w:pPr>
              <w:keepNext/>
              <w:adjustRightInd w:val="0"/>
              <w:spacing w:after="0" w:line="240" w:lineRule="auto"/>
              <w:rPr>
                <w:b/>
              </w:rPr>
            </w:pPr>
            <w:r w:rsidRPr="00793DA1">
              <w:rPr>
                <w:b/>
              </w:rPr>
              <w:t>Hepatobiliary disorders</w:t>
            </w:r>
          </w:p>
        </w:tc>
        <w:tc>
          <w:tcPr>
            <w:tcW w:w="1838" w:type="dxa"/>
            <w:tcBorders>
              <w:top w:val="nil"/>
              <w:left w:val="nil"/>
              <w:bottom w:val="nil"/>
              <w:right w:val="nil"/>
            </w:tcBorders>
            <w:shd w:val="clear" w:color="auto" w:fill="FFFFFF"/>
            <w:tcMar>
              <w:left w:w="60" w:type="dxa"/>
              <w:right w:w="60" w:type="dxa"/>
            </w:tcMar>
            <w:vAlign w:val="center"/>
          </w:tcPr>
          <w:p w14:paraId="712917C2" w14:textId="77777777" w:rsidR="00576FE1" w:rsidRPr="00793DA1" w:rsidRDefault="00576FE1" w:rsidP="00115CD6">
            <w:pPr>
              <w:keepNext/>
              <w:adjustRightInd w:val="0"/>
              <w:spacing w:after="0" w:line="240" w:lineRule="auto"/>
              <w:jc w:val="center"/>
              <w:rPr>
                <w:b/>
              </w:rPr>
            </w:pPr>
            <w:r w:rsidRPr="00793DA1">
              <w:rPr>
                <w:b/>
              </w:rPr>
              <w:t>1 (0.4%)</w:t>
            </w:r>
          </w:p>
        </w:tc>
        <w:tc>
          <w:tcPr>
            <w:tcW w:w="1701" w:type="dxa"/>
            <w:tcBorders>
              <w:top w:val="nil"/>
              <w:left w:val="nil"/>
              <w:bottom w:val="nil"/>
              <w:right w:val="nil"/>
            </w:tcBorders>
            <w:shd w:val="clear" w:color="auto" w:fill="FFFFFF"/>
            <w:tcMar>
              <w:left w:w="60" w:type="dxa"/>
              <w:right w:w="60" w:type="dxa"/>
            </w:tcMar>
            <w:vAlign w:val="center"/>
          </w:tcPr>
          <w:p w14:paraId="50816297" w14:textId="77777777" w:rsidR="00576FE1" w:rsidRPr="00793DA1" w:rsidRDefault="00576FE1" w:rsidP="00115CD6">
            <w:pPr>
              <w:keepNext/>
              <w:adjustRightInd w:val="0"/>
              <w:spacing w:after="0" w:line="240" w:lineRule="auto"/>
              <w:jc w:val="center"/>
              <w:rPr>
                <w:b/>
              </w:rPr>
            </w:pPr>
            <w:r w:rsidRPr="00793DA1">
              <w:rPr>
                <w:b/>
              </w:rPr>
              <w:t>0 (0.0%)</w:t>
            </w:r>
          </w:p>
        </w:tc>
        <w:tc>
          <w:tcPr>
            <w:tcW w:w="1559" w:type="dxa"/>
            <w:tcBorders>
              <w:top w:val="nil"/>
              <w:left w:val="nil"/>
              <w:bottom w:val="nil"/>
              <w:right w:val="nil"/>
            </w:tcBorders>
            <w:shd w:val="clear" w:color="auto" w:fill="FFFFFF"/>
            <w:tcMar>
              <w:left w:w="60" w:type="dxa"/>
              <w:right w:w="60" w:type="dxa"/>
            </w:tcMar>
            <w:vAlign w:val="center"/>
          </w:tcPr>
          <w:p w14:paraId="0EB0111A" w14:textId="77777777" w:rsidR="00576FE1" w:rsidRPr="00793DA1" w:rsidRDefault="00576FE1" w:rsidP="00115CD6">
            <w:pPr>
              <w:keepNext/>
              <w:adjustRightInd w:val="0"/>
              <w:spacing w:after="0" w:line="240" w:lineRule="auto"/>
              <w:jc w:val="center"/>
              <w:rPr>
                <w:b/>
              </w:rPr>
            </w:pPr>
            <w:r w:rsidRPr="00793DA1">
              <w:rPr>
                <w:b/>
              </w:rPr>
              <w:t>1 (0.2%)</w:t>
            </w:r>
          </w:p>
        </w:tc>
      </w:tr>
      <w:tr w:rsidR="00576FE1" w:rsidRPr="00793DA1" w14:paraId="306E8616"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1AF65BE2" w14:textId="77777777" w:rsidR="00576FE1" w:rsidRPr="00793DA1" w:rsidRDefault="00576FE1" w:rsidP="00115CD6">
            <w:pPr>
              <w:keepNext/>
              <w:adjustRightInd w:val="0"/>
              <w:spacing w:after="0" w:line="240" w:lineRule="auto"/>
            </w:pPr>
            <w:r w:rsidRPr="00793DA1">
              <w:t xml:space="preserve">    Drug-induced liver injury</w:t>
            </w:r>
          </w:p>
        </w:tc>
        <w:tc>
          <w:tcPr>
            <w:tcW w:w="1838" w:type="dxa"/>
            <w:tcBorders>
              <w:top w:val="nil"/>
              <w:left w:val="nil"/>
              <w:bottom w:val="nil"/>
              <w:right w:val="nil"/>
            </w:tcBorders>
            <w:shd w:val="clear" w:color="auto" w:fill="FFFFFF"/>
            <w:tcMar>
              <w:left w:w="60" w:type="dxa"/>
              <w:right w:w="60" w:type="dxa"/>
            </w:tcMar>
            <w:vAlign w:val="center"/>
          </w:tcPr>
          <w:p w14:paraId="782FA957" w14:textId="77777777" w:rsidR="00576FE1" w:rsidRPr="00793DA1" w:rsidRDefault="00576FE1" w:rsidP="00115CD6">
            <w:pPr>
              <w:keepNext/>
              <w:adjustRightInd w:val="0"/>
              <w:spacing w:after="0" w:line="240" w:lineRule="auto"/>
              <w:jc w:val="center"/>
            </w:pPr>
            <w:r w:rsidRPr="00793DA1">
              <w:t>1 (0.4%)</w:t>
            </w:r>
          </w:p>
        </w:tc>
        <w:tc>
          <w:tcPr>
            <w:tcW w:w="1701" w:type="dxa"/>
            <w:tcBorders>
              <w:top w:val="nil"/>
              <w:left w:val="nil"/>
              <w:bottom w:val="nil"/>
              <w:right w:val="nil"/>
            </w:tcBorders>
            <w:shd w:val="clear" w:color="auto" w:fill="FFFFFF"/>
            <w:tcMar>
              <w:left w:w="60" w:type="dxa"/>
              <w:right w:w="60" w:type="dxa"/>
            </w:tcMar>
            <w:vAlign w:val="center"/>
          </w:tcPr>
          <w:p w14:paraId="5780704E" w14:textId="77777777" w:rsidR="00576FE1" w:rsidRPr="00793DA1" w:rsidRDefault="00576FE1" w:rsidP="00115CD6">
            <w:pPr>
              <w:keepNext/>
              <w:adjustRightInd w:val="0"/>
              <w:spacing w:after="0" w:line="240" w:lineRule="auto"/>
              <w:jc w:val="center"/>
            </w:pPr>
            <w:r w:rsidRPr="00793DA1">
              <w:t>0 (0.0%)</w:t>
            </w:r>
          </w:p>
        </w:tc>
        <w:tc>
          <w:tcPr>
            <w:tcW w:w="1559" w:type="dxa"/>
            <w:tcBorders>
              <w:top w:val="nil"/>
              <w:left w:val="nil"/>
              <w:bottom w:val="nil"/>
              <w:right w:val="nil"/>
            </w:tcBorders>
            <w:shd w:val="clear" w:color="auto" w:fill="FFFFFF"/>
            <w:tcMar>
              <w:left w:w="60" w:type="dxa"/>
              <w:right w:w="60" w:type="dxa"/>
            </w:tcMar>
            <w:vAlign w:val="center"/>
          </w:tcPr>
          <w:p w14:paraId="75614A5B" w14:textId="77777777" w:rsidR="00576FE1" w:rsidRPr="00793DA1" w:rsidRDefault="00576FE1" w:rsidP="00115CD6">
            <w:pPr>
              <w:keepNext/>
              <w:adjustRightInd w:val="0"/>
              <w:spacing w:after="0" w:line="240" w:lineRule="auto"/>
              <w:jc w:val="center"/>
            </w:pPr>
            <w:r w:rsidRPr="00793DA1">
              <w:t>1 (0.2%)</w:t>
            </w:r>
          </w:p>
        </w:tc>
      </w:tr>
      <w:tr w:rsidR="00576FE1" w:rsidRPr="00793DA1" w14:paraId="1DBDF69D" w14:textId="77777777" w:rsidTr="00800E62">
        <w:trPr>
          <w:cantSplit/>
          <w:trHeight w:val="395"/>
        </w:trPr>
        <w:tc>
          <w:tcPr>
            <w:tcW w:w="3969" w:type="dxa"/>
            <w:tcBorders>
              <w:top w:val="nil"/>
              <w:left w:val="nil"/>
              <w:bottom w:val="nil"/>
              <w:right w:val="nil"/>
            </w:tcBorders>
            <w:shd w:val="clear" w:color="auto" w:fill="FFFFFF"/>
            <w:tcMar>
              <w:left w:w="60" w:type="dxa"/>
              <w:right w:w="60" w:type="dxa"/>
            </w:tcMar>
            <w:vAlign w:val="center"/>
          </w:tcPr>
          <w:p w14:paraId="1B1ACBBE" w14:textId="77777777" w:rsidR="00576FE1" w:rsidRPr="00793DA1" w:rsidRDefault="00576FE1" w:rsidP="00115CD6">
            <w:pPr>
              <w:keepNext/>
              <w:adjustRightInd w:val="0"/>
              <w:spacing w:after="0" w:line="240" w:lineRule="auto"/>
              <w:rPr>
                <w:b/>
              </w:rPr>
            </w:pPr>
            <w:r w:rsidRPr="00793DA1">
              <w:rPr>
                <w:b/>
              </w:rPr>
              <w:t>Psychiatric disorders</w:t>
            </w:r>
          </w:p>
        </w:tc>
        <w:tc>
          <w:tcPr>
            <w:tcW w:w="1838" w:type="dxa"/>
            <w:tcBorders>
              <w:top w:val="nil"/>
              <w:left w:val="nil"/>
              <w:bottom w:val="nil"/>
              <w:right w:val="nil"/>
            </w:tcBorders>
            <w:shd w:val="clear" w:color="auto" w:fill="FFFFFF"/>
            <w:tcMar>
              <w:left w:w="60" w:type="dxa"/>
              <w:right w:w="60" w:type="dxa"/>
            </w:tcMar>
            <w:vAlign w:val="center"/>
          </w:tcPr>
          <w:p w14:paraId="6E06F204" w14:textId="77777777" w:rsidR="00576FE1" w:rsidRPr="00793DA1" w:rsidRDefault="00576FE1" w:rsidP="00115CD6">
            <w:pPr>
              <w:keepNext/>
              <w:adjustRightInd w:val="0"/>
              <w:spacing w:after="0" w:line="240" w:lineRule="auto"/>
              <w:jc w:val="center"/>
              <w:rPr>
                <w:b/>
              </w:rPr>
            </w:pPr>
            <w:r w:rsidRPr="00793DA1">
              <w:rPr>
                <w:b/>
              </w:rPr>
              <w:t>1 (0.4%)</w:t>
            </w:r>
          </w:p>
        </w:tc>
        <w:tc>
          <w:tcPr>
            <w:tcW w:w="1701" w:type="dxa"/>
            <w:tcBorders>
              <w:top w:val="nil"/>
              <w:left w:val="nil"/>
              <w:bottom w:val="nil"/>
              <w:right w:val="nil"/>
            </w:tcBorders>
            <w:shd w:val="clear" w:color="auto" w:fill="FFFFFF"/>
            <w:tcMar>
              <w:left w:w="60" w:type="dxa"/>
              <w:right w:w="60" w:type="dxa"/>
            </w:tcMar>
            <w:vAlign w:val="center"/>
          </w:tcPr>
          <w:p w14:paraId="1B7F73EC" w14:textId="77777777" w:rsidR="00576FE1" w:rsidRPr="00793DA1" w:rsidRDefault="00576FE1" w:rsidP="00115CD6">
            <w:pPr>
              <w:keepNext/>
              <w:adjustRightInd w:val="0"/>
              <w:spacing w:after="0" w:line="240" w:lineRule="auto"/>
              <w:jc w:val="center"/>
              <w:rPr>
                <w:b/>
              </w:rPr>
            </w:pPr>
            <w:r w:rsidRPr="00793DA1">
              <w:rPr>
                <w:b/>
              </w:rPr>
              <w:t>0 (0.0%)</w:t>
            </w:r>
          </w:p>
        </w:tc>
        <w:tc>
          <w:tcPr>
            <w:tcW w:w="1559" w:type="dxa"/>
            <w:tcBorders>
              <w:top w:val="nil"/>
              <w:left w:val="nil"/>
              <w:bottom w:val="nil"/>
              <w:right w:val="nil"/>
            </w:tcBorders>
            <w:shd w:val="clear" w:color="auto" w:fill="FFFFFF"/>
            <w:tcMar>
              <w:left w:w="60" w:type="dxa"/>
              <w:right w:w="60" w:type="dxa"/>
            </w:tcMar>
            <w:vAlign w:val="center"/>
          </w:tcPr>
          <w:p w14:paraId="038EF0F1" w14:textId="77777777" w:rsidR="00576FE1" w:rsidRPr="00793DA1" w:rsidRDefault="00576FE1" w:rsidP="00115CD6">
            <w:pPr>
              <w:keepNext/>
              <w:adjustRightInd w:val="0"/>
              <w:spacing w:after="0" w:line="240" w:lineRule="auto"/>
              <w:jc w:val="center"/>
              <w:rPr>
                <w:b/>
              </w:rPr>
            </w:pPr>
            <w:r w:rsidRPr="00793DA1">
              <w:rPr>
                <w:b/>
              </w:rPr>
              <w:t>1 (0.2%)</w:t>
            </w:r>
          </w:p>
        </w:tc>
      </w:tr>
      <w:tr w:rsidR="00576FE1" w:rsidRPr="00793DA1" w14:paraId="1942985D"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1BAAAD32" w14:textId="77777777" w:rsidR="00576FE1" w:rsidRPr="00793DA1" w:rsidRDefault="00576FE1" w:rsidP="00115CD6">
            <w:pPr>
              <w:keepNext/>
              <w:adjustRightInd w:val="0"/>
              <w:spacing w:after="0" w:line="240" w:lineRule="auto"/>
            </w:pPr>
            <w:r w:rsidRPr="00793DA1">
              <w:t xml:space="preserve">    Hallucinations, mixed</w:t>
            </w:r>
          </w:p>
        </w:tc>
        <w:tc>
          <w:tcPr>
            <w:tcW w:w="1838" w:type="dxa"/>
            <w:tcBorders>
              <w:top w:val="nil"/>
              <w:left w:val="nil"/>
              <w:bottom w:val="nil"/>
              <w:right w:val="nil"/>
            </w:tcBorders>
            <w:shd w:val="clear" w:color="auto" w:fill="FFFFFF"/>
            <w:tcMar>
              <w:left w:w="60" w:type="dxa"/>
              <w:right w:w="60" w:type="dxa"/>
            </w:tcMar>
            <w:vAlign w:val="center"/>
          </w:tcPr>
          <w:p w14:paraId="7DC30790" w14:textId="77777777" w:rsidR="00576FE1" w:rsidRPr="00793DA1" w:rsidRDefault="00576FE1" w:rsidP="00115CD6">
            <w:pPr>
              <w:keepNext/>
              <w:adjustRightInd w:val="0"/>
              <w:spacing w:after="0" w:line="240" w:lineRule="auto"/>
              <w:jc w:val="center"/>
            </w:pPr>
            <w:r w:rsidRPr="00793DA1">
              <w:t>1 (0.4%)</w:t>
            </w:r>
          </w:p>
        </w:tc>
        <w:tc>
          <w:tcPr>
            <w:tcW w:w="1701" w:type="dxa"/>
            <w:tcBorders>
              <w:top w:val="nil"/>
              <w:left w:val="nil"/>
              <w:bottom w:val="nil"/>
              <w:right w:val="nil"/>
            </w:tcBorders>
            <w:shd w:val="clear" w:color="auto" w:fill="FFFFFF"/>
            <w:tcMar>
              <w:left w:w="60" w:type="dxa"/>
              <w:right w:w="60" w:type="dxa"/>
            </w:tcMar>
            <w:vAlign w:val="center"/>
          </w:tcPr>
          <w:p w14:paraId="3E062C8E" w14:textId="77777777" w:rsidR="00576FE1" w:rsidRPr="00793DA1" w:rsidRDefault="00576FE1" w:rsidP="00115CD6">
            <w:pPr>
              <w:keepNext/>
              <w:adjustRightInd w:val="0"/>
              <w:spacing w:after="0" w:line="240" w:lineRule="auto"/>
              <w:jc w:val="center"/>
            </w:pPr>
            <w:r w:rsidRPr="00793DA1">
              <w:t>0 (0.0%)</w:t>
            </w:r>
          </w:p>
        </w:tc>
        <w:tc>
          <w:tcPr>
            <w:tcW w:w="1559" w:type="dxa"/>
            <w:tcBorders>
              <w:top w:val="nil"/>
              <w:left w:val="nil"/>
              <w:bottom w:val="nil"/>
              <w:right w:val="nil"/>
            </w:tcBorders>
            <w:shd w:val="clear" w:color="auto" w:fill="FFFFFF"/>
            <w:tcMar>
              <w:left w:w="60" w:type="dxa"/>
              <w:right w:w="60" w:type="dxa"/>
            </w:tcMar>
            <w:vAlign w:val="center"/>
          </w:tcPr>
          <w:p w14:paraId="0DE80633" w14:textId="77777777" w:rsidR="00576FE1" w:rsidRPr="00793DA1" w:rsidRDefault="00576FE1" w:rsidP="00115CD6">
            <w:pPr>
              <w:keepNext/>
              <w:adjustRightInd w:val="0"/>
              <w:spacing w:after="0" w:line="240" w:lineRule="auto"/>
              <w:jc w:val="center"/>
            </w:pPr>
            <w:r w:rsidRPr="00793DA1">
              <w:t>1 (0.2%)</w:t>
            </w:r>
          </w:p>
        </w:tc>
      </w:tr>
      <w:tr w:rsidR="00576FE1" w:rsidRPr="00793DA1" w14:paraId="39E6C802" w14:textId="77777777" w:rsidTr="00800E62">
        <w:trPr>
          <w:cantSplit/>
          <w:trHeight w:val="331"/>
        </w:trPr>
        <w:tc>
          <w:tcPr>
            <w:tcW w:w="3969" w:type="dxa"/>
            <w:tcBorders>
              <w:top w:val="nil"/>
              <w:left w:val="nil"/>
              <w:bottom w:val="nil"/>
              <w:right w:val="nil"/>
            </w:tcBorders>
            <w:shd w:val="clear" w:color="auto" w:fill="FFFFFF"/>
            <w:tcMar>
              <w:left w:w="60" w:type="dxa"/>
              <w:right w:w="60" w:type="dxa"/>
            </w:tcMar>
            <w:vAlign w:val="center"/>
          </w:tcPr>
          <w:p w14:paraId="2ADBE65A" w14:textId="77777777" w:rsidR="00576FE1" w:rsidRPr="00793DA1" w:rsidRDefault="00576FE1" w:rsidP="00115CD6">
            <w:pPr>
              <w:keepNext/>
              <w:adjustRightInd w:val="0"/>
              <w:spacing w:after="0" w:line="240" w:lineRule="auto"/>
              <w:rPr>
                <w:b/>
              </w:rPr>
            </w:pPr>
            <w:r w:rsidRPr="00793DA1">
              <w:rPr>
                <w:b/>
              </w:rPr>
              <w:t>Renal and urinary disorders</w:t>
            </w:r>
          </w:p>
        </w:tc>
        <w:tc>
          <w:tcPr>
            <w:tcW w:w="1838" w:type="dxa"/>
            <w:tcBorders>
              <w:top w:val="nil"/>
              <w:left w:val="nil"/>
              <w:bottom w:val="nil"/>
              <w:right w:val="nil"/>
            </w:tcBorders>
            <w:shd w:val="clear" w:color="auto" w:fill="FFFFFF"/>
            <w:tcMar>
              <w:left w:w="60" w:type="dxa"/>
              <w:right w:w="60" w:type="dxa"/>
            </w:tcMar>
            <w:vAlign w:val="center"/>
          </w:tcPr>
          <w:p w14:paraId="5120D7DF" w14:textId="77777777" w:rsidR="00576FE1" w:rsidRPr="00793DA1" w:rsidRDefault="00576FE1" w:rsidP="00115CD6">
            <w:pPr>
              <w:keepNext/>
              <w:adjustRightInd w:val="0"/>
              <w:spacing w:after="0" w:line="240" w:lineRule="auto"/>
              <w:jc w:val="center"/>
              <w:rPr>
                <w:b/>
              </w:rPr>
            </w:pPr>
            <w:r w:rsidRPr="00793DA1">
              <w:rPr>
                <w:b/>
              </w:rPr>
              <w:t>1 (0.4%)</w:t>
            </w:r>
          </w:p>
        </w:tc>
        <w:tc>
          <w:tcPr>
            <w:tcW w:w="1701" w:type="dxa"/>
            <w:tcBorders>
              <w:top w:val="nil"/>
              <w:left w:val="nil"/>
              <w:bottom w:val="nil"/>
              <w:right w:val="nil"/>
            </w:tcBorders>
            <w:shd w:val="clear" w:color="auto" w:fill="FFFFFF"/>
            <w:tcMar>
              <w:left w:w="60" w:type="dxa"/>
              <w:right w:w="60" w:type="dxa"/>
            </w:tcMar>
            <w:vAlign w:val="center"/>
          </w:tcPr>
          <w:p w14:paraId="7406634B" w14:textId="77777777" w:rsidR="00576FE1" w:rsidRPr="00793DA1" w:rsidRDefault="00576FE1" w:rsidP="00115CD6">
            <w:pPr>
              <w:keepNext/>
              <w:adjustRightInd w:val="0"/>
              <w:spacing w:after="0" w:line="240" w:lineRule="auto"/>
              <w:jc w:val="center"/>
              <w:rPr>
                <w:b/>
              </w:rPr>
            </w:pPr>
            <w:r w:rsidRPr="00793DA1">
              <w:rPr>
                <w:b/>
              </w:rPr>
              <w:t>0 (0.0%)</w:t>
            </w:r>
          </w:p>
        </w:tc>
        <w:tc>
          <w:tcPr>
            <w:tcW w:w="1559" w:type="dxa"/>
            <w:tcBorders>
              <w:top w:val="nil"/>
              <w:left w:val="nil"/>
              <w:bottom w:val="nil"/>
              <w:right w:val="nil"/>
            </w:tcBorders>
            <w:shd w:val="clear" w:color="auto" w:fill="FFFFFF"/>
            <w:tcMar>
              <w:left w:w="60" w:type="dxa"/>
              <w:right w:w="60" w:type="dxa"/>
            </w:tcMar>
            <w:vAlign w:val="center"/>
          </w:tcPr>
          <w:p w14:paraId="341C39EB" w14:textId="77777777" w:rsidR="00576FE1" w:rsidRPr="00793DA1" w:rsidRDefault="00576FE1" w:rsidP="00115CD6">
            <w:pPr>
              <w:keepNext/>
              <w:adjustRightInd w:val="0"/>
              <w:spacing w:after="0" w:line="240" w:lineRule="auto"/>
              <w:jc w:val="center"/>
              <w:rPr>
                <w:b/>
              </w:rPr>
            </w:pPr>
            <w:r w:rsidRPr="00793DA1">
              <w:rPr>
                <w:b/>
              </w:rPr>
              <w:t>1 (0.2%)</w:t>
            </w:r>
          </w:p>
        </w:tc>
      </w:tr>
      <w:tr w:rsidR="00576FE1" w:rsidRPr="00793DA1" w14:paraId="29DB62D4" w14:textId="77777777" w:rsidTr="00800E62">
        <w:trPr>
          <w:cantSplit/>
        </w:trPr>
        <w:tc>
          <w:tcPr>
            <w:tcW w:w="3969" w:type="dxa"/>
            <w:tcBorders>
              <w:top w:val="nil"/>
              <w:left w:val="nil"/>
              <w:bottom w:val="nil"/>
              <w:right w:val="nil"/>
            </w:tcBorders>
            <w:shd w:val="clear" w:color="auto" w:fill="FFFFFF"/>
            <w:tcMar>
              <w:left w:w="60" w:type="dxa"/>
              <w:right w:w="60" w:type="dxa"/>
            </w:tcMar>
            <w:vAlign w:val="center"/>
          </w:tcPr>
          <w:p w14:paraId="6593D42F" w14:textId="77777777" w:rsidR="00576FE1" w:rsidRPr="00793DA1" w:rsidRDefault="00576FE1" w:rsidP="00115CD6">
            <w:pPr>
              <w:keepNext/>
              <w:adjustRightInd w:val="0"/>
              <w:spacing w:after="0" w:line="240" w:lineRule="auto"/>
            </w:pPr>
            <w:r w:rsidRPr="00793DA1">
              <w:t xml:space="preserve">    Renal failure</w:t>
            </w:r>
          </w:p>
        </w:tc>
        <w:tc>
          <w:tcPr>
            <w:tcW w:w="1838" w:type="dxa"/>
            <w:tcBorders>
              <w:top w:val="nil"/>
              <w:left w:val="nil"/>
              <w:bottom w:val="nil"/>
              <w:right w:val="nil"/>
            </w:tcBorders>
            <w:shd w:val="clear" w:color="auto" w:fill="FFFFFF"/>
            <w:tcMar>
              <w:left w:w="60" w:type="dxa"/>
              <w:right w:w="60" w:type="dxa"/>
            </w:tcMar>
            <w:vAlign w:val="center"/>
          </w:tcPr>
          <w:p w14:paraId="733FF8A5" w14:textId="77777777" w:rsidR="00576FE1" w:rsidRPr="00793DA1" w:rsidRDefault="00576FE1" w:rsidP="00115CD6">
            <w:pPr>
              <w:keepNext/>
              <w:adjustRightInd w:val="0"/>
              <w:spacing w:after="0" w:line="240" w:lineRule="auto"/>
              <w:jc w:val="center"/>
            </w:pPr>
            <w:r w:rsidRPr="00793DA1">
              <w:t>1 (0.4%)</w:t>
            </w:r>
          </w:p>
        </w:tc>
        <w:tc>
          <w:tcPr>
            <w:tcW w:w="1701" w:type="dxa"/>
            <w:tcBorders>
              <w:top w:val="nil"/>
              <w:left w:val="nil"/>
              <w:bottom w:val="nil"/>
              <w:right w:val="nil"/>
            </w:tcBorders>
            <w:shd w:val="clear" w:color="auto" w:fill="FFFFFF"/>
            <w:tcMar>
              <w:left w:w="60" w:type="dxa"/>
              <w:right w:w="60" w:type="dxa"/>
            </w:tcMar>
            <w:vAlign w:val="center"/>
          </w:tcPr>
          <w:p w14:paraId="7832CF85" w14:textId="77777777" w:rsidR="00576FE1" w:rsidRPr="00793DA1" w:rsidRDefault="00576FE1" w:rsidP="00115CD6">
            <w:pPr>
              <w:keepNext/>
              <w:adjustRightInd w:val="0"/>
              <w:spacing w:after="0" w:line="240" w:lineRule="auto"/>
              <w:jc w:val="center"/>
            </w:pPr>
            <w:r w:rsidRPr="00793DA1">
              <w:t>0 (0.0%)</w:t>
            </w:r>
          </w:p>
        </w:tc>
        <w:tc>
          <w:tcPr>
            <w:tcW w:w="1559" w:type="dxa"/>
            <w:tcBorders>
              <w:top w:val="nil"/>
              <w:left w:val="nil"/>
              <w:bottom w:val="nil"/>
              <w:right w:val="nil"/>
            </w:tcBorders>
            <w:shd w:val="clear" w:color="auto" w:fill="FFFFFF"/>
            <w:tcMar>
              <w:left w:w="60" w:type="dxa"/>
              <w:right w:w="60" w:type="dxa"/>
            </w:tcMar>
            <w:vAlign w:val="center"/>
          </w:tcPr>
          <w:p w14:paraId="50500BA4" w14:textId="77777777" w:rsidR="00576FE1" w:rsidRPr="00793DA1" w:rsidRDefault="00576FE1" w:rsidP="00115CD6">
            <w:pPr>
              <w:keepNext/>
              <w:adjustRightInd w:val="0"/>
              <w:spacing w:after="0" w:line="240" w:lineRule="auto"/>
              <w:jc w:val="center"/>
            </w:pPr>
            <w:r w:rsidRPr="00793DA1">
              <w:t>1 (0.2%)</w:t>
            </w:r>
          </w:p>
        </w:tc>
      </w:tr>
      <w:tr w:rsidR="00576FE1" w:rsidRPr="00E80CB2" w14:paraId="69B67409" w14:textId="77777777" w:rsidTr="00800E62">
        <w:trPr>
          <w:cantSplit/>
        </w:trPr>
        <w:tc>
          <w:tcPr>
            <w:tcW w:w="3969" w:type="dxa"/>
            <w:tcBorders>
              <w:top w:val="nil"/>
              <w:left w:val="nil"/>
              <w:right w:val="nil"/>
            </w:tcBorders>
            <w:shd w:val="clear" w:color="auto" w:fill="FFFFFF"/>
            <w:tcMar>
              <w:left w:w="60" w:type="dxa"/>
              <w:right w:w="60" w:type="dxa"/>
            </w:tcMar>
            <w:vAlign w:val="center"/>
          </w:tcPr>
          <w:p w14:paraId="606B2718" w14:textId="77777777" w:rsidR="00576FE1" w:rsidRPr="00E80CB2" w:rsidRDefault="00576FE1" w:rsidP="00115CD6">
            <w:pPr>
              <w:keepNext/>
              <w:adjustRightInd w:val="0"/>
              <w:spacing w:after="0" w:line="240" w:lineRule="auto"/>
              <w:rPr>
                <w:sz w:val="6"/>
                <w:szCs w:val="6"/>
              </w:rPr>
            </w:pPr>
          </w:p>
        </w:tc>
        <w:tc>
          <w:tcPr>
            <w:tcW w:w="1838" w:type="dxa"/>
            <w:tcBorders>
              <w:top w:val="nil"/>
              <w:left w:val="nil"/>
              <w:right w:val="nil"/>
            </w:tcBorders>
            <w:shd w:val="clear" w:color="auto" w:fill="FFFFFF"/>
            <w:tcMar>
              <w:left w:w="60" w:type="dxa"/>
              <w:right w:w="60" w:type="dxa"/>
            </w:tcMar>
            <w:vAlign w:val="center"/>
          </w:tcPr>
          <w:p w14:paraId="09C7B9E2" w14:textId="77777777" w:rsidR="00576FE1" w:rsidRPr="00E80CB2" w:rsidRDefault="00576FE1" w:rsidP="00115CD6">
            <w:pPr>
              <w:keepNext/>
              <w:adjustRightInd w:val="0"/>
              <w:spacing w:after="0" w:line="240" w:lineRule="auto"/>
              <w:jc w:val="center"/>
              <w:rPr>
                <w:sz w:val="6"/>
                <w:szCs w:val="6"/>
              </w:rPr>
            </w:pPr>
          </w:p>
        </w:tc>
        <w:tc>
          <w:tcPr>
            <w:tcW w:w="1701" w:type="dxa"/>
            <w:tcBorders>
              <w:top w:val="nil"/>
              <w:left w:val="nil"/>
              <w:right w:val="nil"/>
            </w:tcBorders>
            <w:shd w:val="clear" w:color="auto" w:fill="FFFFFF"/>
            <w:tcMar>
              <w:left w:w="60" w:type="dxa"/>
              <w:right w:w="60" w:type="dxa"/>
            </w:tcMar>
            <w:vAlign w:val="center"/>
          </w:tcPr>
          <w:p w14:paraId="4E32D7BC" w14:textId="77777777" w:rsidR="00576FE1" w:rsidRPr="00E80CB2" w:rsidRDefault="00576FE1" w:rsidP="00115CD6">
            <w:pPr>
              <w:keepNext/>
              <w:adjustRightInd w:val="0"/>
              <w:spacing w:after="0" w:line="240" w:lineRule="auto"/>
              <w:jc w:val="center"/>
              <w:rPr>
                <w:sz w:val="6"/>
                <w:szCs w:val="6"/>
              </w:rPr>
            </w:pPr>
          </w:p>
        </w:tc>
        <w:tc>
          <w:tcPr>
            <w:tcW w:w="1559" w:type="dxa"/>
            <w:tcBorders>
              <w:top w:val="nil"/>
              <w:left w:val="nil"/>
              <w:right w:val="nil"/>
            </w:tcBorders>
            <w:shd w:val="clear" w:color="auto" w:fill="FFFFFF"/>
            <w:tcMar>
              <w:left w:w="60" w:type="dxa"/>
              <w:right w:w="60" w:type="dxa"/>
            </w:tcMar>
            <w:vAlign w:val="center"/>
          </w:tcPr>
          <w:p w14:paraId="0F8B2FD3" w14:textId="77777777" w:rsidR="00576FE1" w:rsidRPr="00E80CB2" w:rsidRDefault="00576FE1" w:rsidP="00115CD6">
            <w:pPr>
              <w:keepNext/>
              <w:adjustRightInd w:val="0"/>
              <w:spacing w:after="0" w:line="240" w:lineRule="auto"/>
              <w:jc w:val="center"/>
              <w:rPr>
                <w:sz w:val="6"/>
                <w:szCs w:val="6"/>
              </w:rPr>
            </w:pPr>
          </w:p>
        </w:tc>
      </w:tr>
    </w:tbl>
    <w:p w14:paraId="178E7AED" w14:textId="52423ECC" w:rsidR="00576FE1" w:rsidRPr="0011227C" w:rsidRDefault="00576FE1" w:rsidP="00576FE1">
      <w:pPr>
        <w:adjustRightInd w:val="0"/>
        <w:rPr>
          <w:rFonts w:ascii="Tahoma" w:hAnsi="Tahoma" w:cs="Tahoma"/>
          <w:color w:val="000000"/>
          <w:lang w:val="en-GB"/>
        </w:rPr>
      </w:pPr>
      <w:r w:rsidRPr="0011227C">
        <w:rPr>
          <w:i/>
          <w:sz w:val="18"/>
          <w:szCs w:val="18"/>
          <w:lang w:val="en-GB"/>
        </w:rPr>
        <w:t>(</w:t>
      </w:r>
      <w:r w:rsidRPr="0011227C">
        <w:rPr>
          <w:i/>
          <w:sz w:val="18"/>
          <w:szCs w:val="18"/>
          <w:u w:val="single"/>
          <w:lang w:val="en-GB"/>
        </w:rPr>
        <w:t>Cross reference</w:t>
      </w:r>
      <w:r w:rsidRPr="0011227C">
        <w:rPr>
          <w:i/>
          <w:sz w:val="18"/>
          <w:szCs w:val="18"/>
          <w:lang w:val="en-GB"/>
        </w:rPr>
        <w:t xml:space="preserve">: </w:t>
      </w:r>
      <w:r>
        <w:rPr>
          <w:i/>
          <w:sz w:val="18"/>
          <w:szCs w:val="18"/>
          <w:lang w:val="en-GB"/>
        </w:rPr>
        <w:t xml:space="preserve">Table 167 </w:t>
      </w:r>
      <w:r w:rsidRPr="0011227C">
        <w:rPr>
          <w:i/>
          <w:sz w:val="18"/>
          <w:szCs w:val="18"/>
          <w:lang w:val="en-GB"/>
        </w:rPr>
        <w:t xml:space="preserve">of Final Analysis Statistical Report dated </w:t>
      </w:r>
      <w:r w:rsidR="001B1571">
        <w:rPr>
          <w:i/>
          <w:sz w:val="18"/>
          <w:szCs w:val="18"/>
          <w:lang w:val="en-GB"/>
        </w:rPr>
        <w:t>4th</w:t>
      </w:r>
      <w:r w:rsidRPr="0011227C">
        <w:rPr>
          <w:i/>
          <w:sz w:val="18"/>
          <w:szCs w:val="18"/>
          <w:lang w:val="en-GB"/>
        </w:rPr>
        <w:t xml:space="preserve"> </w:t>
      </w:r>
      <w:r w:rsidR="001B1571">
        <w:rPr>
          <w:i/>
          <w:sz w:val="18"/>
          <w:szCs w:val="18"/>
          <w:lang w:val="en-GB"/>
        </w:rPr>
        <w:t>September</w:t>
      </w:r>
      <w:r w:rsidRPr="0011227C">
        <w:rPr>
          <w:i/>
          <w:sz w:val="18"/>
          <w:szCs w:val="18"/>
          <w:lang w:val="en-GB"/>
        </w:rPr>
        <w:t xml:space="preserve"> 2020).</w:t>
      </w:r>
    </w:p>
    <w:p w14:paraId="500EA106" w14:textId="77777777" w:rsidR="00576FE1" w:rsidRDefault="00576FE1" w:rsidP="00576FE1">
      <w:pPr>
        <w:rPr>
          <w:lang w:val="en-GB"/>
        </w:rPr>
      </w:pPr>
    </w:p>
    <w:p w14:paraId="5C445598" w14:textId="77777777" w:rsidR="00576FE1" w:rsidRPr="0011227C" w:rsidRDefault="00576FE1" w:rsidP="00576FE1">
      <w:pPr>
        <w:rPr>
          <w:lang w:val="en-GB"/>
        </w:rPr>
      </w:pPr>
      <w:bookmarkStart w:id="693" w:name="_Toc47375290"/>
      <w:bookmarkStart w:id="694" w:name="_Toc48328323"/>
    </w:p>
    <w:p w14:paraId="44949012" w14:textId="77777777" w:rsidR="00576FE1" w:rsidRPr="0011227C" w:rsidRDefault="00576FE1" w:rsidP="00576FE1">
      <w:pPr>
        <w:rPr>
          <w:lang w:val="en-GB"/>
        </w:rPr>
      </w:pPr>
    </w:p>
    <w:p w14:paraId="1267D2F1" w14:textId="77777777" w:rsidR="00576FE1" w:rsidRPr="0011227C" w:rsidRDefault="00576FE1" w:rsidP="00576FE1">
      <w:pPr>
        <w:rPr>
          <w:lang w:val="en-GB"/>
        </w:rPr>
      </w:pPr>
    </w:p>
    <w:p w14:paraId="01CB13D1" w14:textId="25386D2C" w:rsidR="00576FE1" w:rsidRDefault="00576FE1" w:rsidP="002221CF">
      <w:pPr>
        <w:pStyle w:val="Descripcin"/>
        <w:keepNext/>
        <w:outlineLvl w:val="0"/>
      </w:pPr>
      <w:bookmarkStart w:id="695" w:name="_Ref52424957"/>
      <w:bookmarkStart w:id="696" w:name="_Toc52046497"/>
      <w:bookmarkStart w:id="697" w:name="_Toc52446220"/>
      <w:bookmarkStart w:id="698" w:name="_Toc52468177"/>
      <w:bookmarkEnd w:id="693"/>
      <w:bookmarkEnd w:id="694"/>
      <w:r>
        <w:lastRenderedPageBreak/>
        <w:t xml:space="preserve">Table </w:t>
      </w:r>
      <w:r>
        <w:fldChar w:fldCharType="begin"/>
      </w:r>
      <w:r>
        <w:instrText xml:space="preserve"> SEQ Table \* ARABIC </w:instrText>
      </w:r>
      <w:r>
        <w:fldChar w:fldCharType="separate"/>
      </w:r>
      <w:r w:rsidR="002221CF">
        <w:rPr>
          <w:noProof/>
        </w:rPr>
        <w:t>19</w:t>
      </w:r>
      <w:r>
        <w:fldChar w:fldCharType="end"/>
      </w:r>
      <w:bookmarkEnd w:id="695"/>
      <w:r>
        <w:t xml:space="preserve">. </w:t>
      </w:r>
      <w:r w:rsidRPr="00654A7E">
        <w:t>Toxicity summary for all TEAEs leading to treatment discontinuation (Safety population).</w:t>
      </w:r>
      <w:bookmarkEnd w:id="696"/>
      <w:bookmarkEnd w:id="697"/>
      <w:bookmarkEnd w:id="698"/>
    </w:p>
    <w:tbl>
      <w:tblPr>
        <w:tblW w:w="8730" w:type="dxa"/>
        <w:tblBorders>
          <w:top w:val="single" w:sz="8" w:space="0" w:color="auto"/>
          <w:bottom w:val="single" w:sz="8" w:space="0" w:color="auto"/>
        </w:tblBorders>
        <w:tblCellMar>
          <w:left w:w="0" w:type="dxa"/>
          <w:right w:w="0" w:type="dxa"/>
        </w:tblCellMar>
        <w:tblLook w:val="0000" w:firstRow="0" w:lastRow="0" w:firstColumn="0" w:lastColumn="0" w:noHBand="0" w:noVBand="0"/>
      </w:tblPr>
      <w:tblGrid>
        <w:gridCol w:w="4111"/>
        <w:gridCol w:w="1559"/>
        <w:gridCol w:w="1701"/>
        <w:gridCol w:w="1359"/>
      </w:tblGrid>
      <w:tr w:rsidR="00576FE1" w:rsidRPr="002809F3" w14:paraId="7C762F1D" w14:textId="77777777" w:rsidTr="00800E62">
        <w:trPr>
          <w:cantSplit/>
          <w:trHeight w:val="772"/>
          <w:tblHeader/>
        </w:trPr>
        <w:tc>
          <w:tcPr>
            <w:tcW w:w="4111" w:type="dxa"/>
            <w:tcBorders>
              <w:top w:val="single" w:sz="8" w:space="0" w:color="auto"/>
              <w:bottom w:val="single" w:sz="8" w:space="0" w:color="auto"/>
            </w:tcBorders>
            <w:shd w:val="clear" w:color="auto" w:fill="FFFFFF"/>
            <w:tcMar>
              <w:left w:w="60" w:type="dxa"/>
              <w:right w:w="60" w:type="dxa"/>
            </w:tcMar>
            <w:vAlign w:val="center"/>
          </w:tcPr>
          <w:p w14:paraId="66C3D7F2" w14:textId="77777777" w:rsidR="00576FE1" w:rsidRPr="00E55E01" w:rsidRDefault="00576FE1" w:rsidP="00115CD6">
            <w:pPr>
              <w:keepNext/>
              <w:adjustRightInd w:val="0"/>
              <w:spacing w:after="0" w:line="240" w:lineRule="auto"/>
              <w:rPr>
                <w:b/>
                <w:bCs/>
                <w:lang w:val="en-GB"/>
              </w:rPr>
            </w:pPr>
            <w:r w:rsidRPr="00793DA1">
              <w:rPr>
                <w:b/>
                <w:bCs/>
                <w:lang w:val="en-GB"/>
              </w:rPr>
              <w:t>SOC</w:t>
            </w:r>
            <w:r w:rsidRPr="00E55E01">
              <w:rPr>
                <w:b/>
                <w:bCs/>
                <w:lang w:val="en-GB"/>
              </w:rPr>
              <w:t xml:space="preserve"> / PT</w:t>
            </w:r>
          </w:p>
          <w:p w14:paraId="02404067" w14:textId="77777777" w:rsidR="00576FE1" w:rsidRPr="002809F3" w:rsidRDefault="00576FE1" w:rsidP="00115CD6">
            <w:pPr>
              <w:keepNext/>
              <w:adjustRightInd w:val="0"/>
              <w:spacing w:after="0" w:line="240" w:lineRule="auto"/>
              <w:rPr>
                <w:b/>
                <w:bCs/>
                <w:color w:val="000000"/>
                <w:lang w:val="en-GB"/>
              </w:rPr>
            </w:pPr>
            <w:r w:rsidRPr="00E80CB2">
              <w:rPr>
                <w:bCs/>
                <w:lang w:val="en-GB"/>
              </w:rPr>
              <w:t>N (%)</w:t>
            </w:r>
          </w:p>
        </w:tc>
        <w:tc>
          <w:tcPr>
            <w:tcW w:w="1559" w:type="dxa"/>
            <w:tcBorders>
              <w:top w:val="single" w:sz="8" w:space="0" w:color="auto"/>
              <w:bottom w:val="single" w:sz="8" w:space="0" w:color="auto"/>
            </w:tcBorders>
            <w:shd w:val="clear" w:color="auto" w:fill="FFFFFF"/>
            <w:tcMar>
              <w:left w:w="60" w:type="dxa"/>
              <w:right w:w="60" w:type="dxa"/>
            </w:tcMar>
            <w:vAlign w:val="center"/>
          </w:tcPr>
          <w:p w14:paraId="75F35F98" w14:textId="77777777" w:rsidR="00576FE1" w:rsidRPr="002809F3" w:rsidRDefault="00576FE1" w:rsidP="00115CD6">
            <w:pPr>
              <w:keepNext/>
              <w:adjustRightInd w:val="0"/>
              <w:spacing w:after="0" w:line="240" w:lineRule="auto"/>
              <w:jc w:val="center"/>
              <w:rPr>
                <w:b/>
                <w:bCs/>
                <w:color w:val="000000"/>
              </w:rPr>
            </w:pPr>
            <w:r w:rsidRPr="002809F3">
              <w:rPr>
                <w:b/>
                <w:bCs/>
                <w:color w:val="000000"/>
              </w:rPr>
              <w:t>Palbociclib-</w:t>
            </w:r>
          </w:p>
          <w:p w14:paraId="14A7428F" w14:textId="77777777" w:rsidR="00576FE1" w:rsidRPr="002809F3" w:rsidRDefault="00576FE1" w:rsidP="00115CD6">
            <w:pPr>
              <w:keepNext/>
              <w:adjustRightInd w:val="0"/>
              <w:spacing w:after="0" w:line="240" w:lineRule="auto"/>
              <w:jc w:val="center"/>
              <w:rPr>
                <w:b/>
                <w:bCs/>
                <w:color w:val="000000"/>
              </w:rPr>
            </w:pPr>
            <w:proofErr w:type="spellStart"/>
            <w:r w:rsidRPr="002809F3">
              <w:rPr>
                <w:b/>
                <w:bCs/>
                <w:color w:val="000000"/>
              </w:rPr>
              <w:t>Fulvestrant</w:t>
            </w:r>
            <w:proofErr w:type="spellEnd"/>
            <w:r w:rsidRPr="002809F3">
              <w:rPr>
                <w:b/>
                <w:bCs/>
                <w:color w:val="000000"/>
              </w:rPr>
              <w:t xml:space="preserve"> </w:t>
            </w:r>
          </w:p>
          <w:p w14:paraId="6FB12790" w14:textId="77777777" w:rsidR="00576FE1" w:rsidRPr="002809F3" w:rsidRDefault="00576FE1" w:rsidP="00115CD6">
            <w:pPr>
              <w:keepNext/>
              <w:adjustRightInd w:val="0"/>
              <w:spacing w:after="0" w:line="240" w:lineRule="auto"/>
              <w:jc w:val="center"/>
              <w:rPr>
                <w:b/>
                <w:bCs/>
                <w:color w:val="000000"/>
              </w:rPr>
            </w:pPr>
            <w:r w:rsidRPr="002809F3">
              <w:rPr>
                <w:b/>
                <w:bCs/>
                <w:color w:val="000000"/>
              </w:rPr>
              <w:t>(N=241)</w:t>
            </w:r>
          </w:p>
        </w:tc>
        <w:tc>
          <w:tcPr>
            <w:tcW w:w="1701" w:type="dxa"/>
            <w:tcBorders>
              <w:top w:val="single" w:sz="8" w:space="0" w:color="auto"/>
              <w:bottom w:val="single" w:sz="8" w:space="0" w:color="auto"/>
            </w:tcBorders>
            <w:shd w:val="clear" w:color="auto" w:fill="FFFFFF"/>
            <w:tcMar>
              <w:left w:w="60" w:type="dxa"/>
              <w:right w:w="60" w:type="dxa"/>
            </w:tcMar>
            <w:vAlign w:val="center"/>
          </w:tcPr>
          <w:p w14:paraId="7A47A151" w14:textId="77777777" w:rsidR="00576FE1" w:rsidRPr="002809F3" w:rsidRDefault="00576FE1" w:rsidP="00115CD6">
            <w:pPr>
              <w:keepNext/>
              <w:adjustRightInd w:val="0"/>
              <w:spacing w:after="0" w:line="240" w:lineRule="auto"/>
              <w:jc w:val="center"/>
              <w:rPr>
                <w:b/>
                <w:bCs/>
                <w:color w:val="000000"/>
              </w:rPr>
            </w:pPr>
            <w:r w:rsidRPr="002809F3">
              <w:rPr>
                <w:b/>
                <w:bCs/>
                <w:color w:val="000000"/>
              </w:rPr>
              <w:t>Palbociclib-</w:t>
            </w:r>
          </w:p>
          <w:p w14:paraId="290490BF" w14:textId="77777777" w:rsidR="00576FE1" w:rsidRPr="002809F3" w:rsidRDefault="00576FE1" w:rsidP="00115CD6">
            <w:pPr>
              <w:keepNext/>
              <w:adjustRightInd w:val="0"/>
              <w:spacing w:after="0" w:line="240" w:lineRule="auto"/>
              <w:jc w:val="center"/>
              <w:rPr>
                <w:b/>
                <w:bCs/>
                <w:color w:val="000000"/>
              </w:rPr>
            </w:pPr>
            <w:r w:rsidRPr="002809F3">
              <w:rPr>
                <w:b/>
                <w:bCs/>
                <w:color w:val="000000"/>
              </w:rPr>
              <w:t xml:space="preserve">Letrozole </w:t>
            </w:r>
          </w:p>
          <w:p w14:paraId="2F31ADA7" w14:textId="77777777" w:rsidR="00576FE1" w:rsidRPr="002809F3" w:rsidRDefault="00576FE1" w:rsidP="00115CD6">
            <w:pPr>
              <w:keepNext/>
              <w:adjustRightInd w:val="0"/>
              <w:spacing w:after="0" w:line="240" w:lineRule="auto"/>
              <w:jc w:val="center"/>
              <w:rPr>
                <w:b/>
                <w:bCs/>
                <w:color w:val="000000"/>
              </w:rPr>
            </w:pPr>
            <w:r w:rsidRPr="002809F3">
              <w:rPr>
                <w:b/>
                <w:bCs/>
                <w:color w:val="000000"/>
              </w:rPr>
              <w:t>(N=242)</w:t>
            </w:r>
          </w:p>
        </w:tc>
        <w:tc>
          <w:tcPr>
            <w:tcW w:w="1359" w:type="dxa"/>
            <w:tcBorders>
              <w:top w:val="single" w:sz="8" w:space="0" w:color="auto"/>
              <w:bottom w:val="single" w:sz="8" w:space="0" w:color="auto"/>
            </w:tcBorders>
            <w:shd w:val="clear" w:color="auto" w:fill="FFFFFF"/>
            <w:tcMar>
              <w:left w:w="60" w:type="dxa"/>
              <w:right w:w="60" w:type="dxa"/>
            </w:tcMar>
            <w:vAlign w:val="center"/>
          </w:tcPr>
          <w:p w14:paraId="1FDFB756" w14:textId="77777777" w:rsidR="00576FE1" w:rsidRPr="002809F3" w:rsidRDefault="00576FE1" w:rsidP="00115CD6">
            <w:pPr>
              <w:keepNext/>
              <w:adjustRightInd w:val="0"/>
              <w:spacing w:after="0" w:line="240" w:lineRule="auto"/>
              <w:jc w:val="center"/>
              <w:rPr>
                <w:b/>
                <w:bCs/>
                <w:color w:val="000000"/>
              </w:rPr>
            </w:pPr>
            <w:r w:rsidRPr="002809F3">
              <w:rPr>
                <w:b/>
                <w:bCs/>
                <w:color w:val="000000"/>
              </w:rPr>
              <w:t xml:space="preserve">Overall </w:t>
            </w:r>
          </w:p>
          <w:p w14:paraId="648925A6" w14:textId="77777777" w:rsidR="00576FE1" w:rsidRPr="002809F3" w:rsidRDefault="00576FE1" w:rsidP="00115CD6">
            <w:pPr>
              <w:keepNext/>
              <w:adjustRightInd w:val="0"/>
              <w:spacing w:after="0" w:line="240" w:lineRule="auto"/>
              <w:jc w:val="center"/>
              <w:rPr>
                <w:b/>
                <w:bCs/>
                <w:color w:val="000000"/>
              </w:rPr>
            </w:pPr>
            <w:r w:rsidRPr="002809F3">
              <w:rPr>
                <w:b/>
                <w:bCs/>
                <w:color w:val="000000"/>
              </w:rPr>
              <w:t>(N=483)</w:t>
            </w:r>
          </w:p>
        </w:tc>
      </w:tr>
      <w:tr w:rsidR="00576FE1" w:rsidRPr="002809F3" w14:paraId="170F3C81" w14:textId="77777777" w:rsidTr="00800E62">
        <w:trPr>
          <w:cantSplit/>
          <w:trHeight w:val="272"/>
        </w:trPr>
        <w:tc>
          <w:tcPr>
            <w:tcW w:w="4111" w:type="dxa"/>
            <w:shd w:val="clear" w:color="auto" w:fill="FFFFFF"/>
            <w:tcMar>
              <w:left w:w="60" w:type="dxa"/>
              <w:right w:w="60" w:type="dxa"/>
            </w:tcMar>
            <w:vAlign w:val="center"/>
          </w:tcPr>
          <w:p w14:paraId="5CFA5542" w14:textId="77777777" w:rsidR="00576FE1" w:rsidRPr="002809F3" w:rsidRDefault="00576FE1" w:rsidP="00115CD6">
            <w:pPr>
              <w:spacing w:after="0" w:line="240" w:lineRule="auto"/>
              <w:rPr>
                <w:b/>
                <w:color w:val="000000"/>
                <w:lang w:val="en-GB"/>
              </w:rPr>
            </w:pPr>
            <w:r w:rsidRPr="002809F3">
              <w:rPr>
                <w:b/>
                <w:color w:val="000000"/>
                <w:lang w:val="en-GB"/>
              </w:rPr>
              <w:t>Respiratory, thoracic and mediastinal disorders</w:t>
            </w:r>
          </w:p>
        </w:tc>
        <w:tc>
          <w:tcPr>
            <w:tcW w:w="1559" w:type="dxa"/>
            <w:shd w:val="clear" w:color="auto" w:fill="FFFFFF"/>
            <w:tcMar>
              <w:left w:w="60" w:type="dxa"/>
              <w:right w:w="60" w:type="dxa"/>
            </w:tcMar>
            <w:vAlign w:val="center"/>
          </w:tcPr>
          <w:p w14:paraId="0AA5AA35" w14:textId="77777777" w:rsidR="00576FE1" w:rsidRPr="002809F3" w:rsidRDefault="00576FE1" w:rsidP="00115CD6">
            <w:pPr>
              <w:keepNext/>
              <w:adjustRightInd w:val="0"/>
              <w:spacing w:after="0" w:line="240" w:lineRule="auto"/>
              <w:jc w:val="center"/>
              <w:rPr>
                <w:b/>
                <w:color w:val="000000"/>
              </w:rPr>
            </w:pPr>
            <w:r w:rsidRPr="002809F3">
              <w:rPr>
                <w:b/>
                <w:color w:val="000000"/>
              </w:rPr>
              <w:t>2 (0.8%)</w:t>
            </w:r>
          </w:p>
        </w:tc>
        <w:tc>
          <w:tcPr>
            <w:tcW w:w="1701" w:type="dxa"/>
            <w:shd w:val="clear" w:color="auto" w:fill="FFFFFF"/>
            <w:tcMar>
              <w:left w:w="60" w:type="dxa"/>
              <w:right w:w="60" w:type="dxa"/>
            </w:tcMar>
            <w:vAlign w:val="center"/>
          </w:tcPr>
          <w:p w14:paraId="107F75F1" w14:textId="77777777" w:rsidR="00576FE1" w:rsidRPr="002809F3" w:rsidRDefault="00576FE1" w:rsidP="00115CD6">
            <w:pPr>
              <w:keepNext/>
              <w:adjustRightInd w:val="0"/>
              <w:spacing w:after="0" w:line="240" w:lineRule="auto"/>
              <w:jc w:val="center"/>
              <w:rPr>
                <w:b/>
                <w:color w:val="000000"/>
              </w:rPr>
            </w:pPr>
            <w:r>
              <w:rPr>
                <w:b/>
                <w:color w:val="000000"/>
              </w:rPr>
              <w:t>4</w:t>
            </w:r>
            <w:r w:rsidRPr="002809F3">
              <w:rPr>
                <w:b/>
                <w:color w:val="000000"/>
              </w:rPr>
              <w:t xml:space="preserve"> (</w:t>
            </w:r>
            <w:r>
              <w:rPr>
                <w:b/>
                <w:color w:val="000000"/>
              </w:rPr>
              <w:t>1.7</w:t>
            </w:r>
            <w:r w:rsidRPr="002809F3">
              <w:rPr>
                <w:b/>
                <w:color w:val="000000"/>
              </w:rPr>
              <w:t>%)</w:t>
            </w:r>
          </w:p>
        </w:tc>
        <w:tc>
          <w:tcPr>
            <w:tcW w:w="1359" w:type="dxa"/>
            <w:shd w:val="clear" w:color="auto" w:fill="FFFFFF"/>
            <w:tcMar>
              <w:left w:w="60" w:type="dxa"/>
              <w:right w:w="60" w:type="dxa"/>
            </w:tcMar>
            <w:vAlign w:val="center"/>
          </w:tcPr>
          <w:p w14:paraId="04DC6B5B" w14:textId="77777777" w:rsidR="00576FE1" w:rsidRPr="002809F3" w:rsidRDefault="00576FE1" w:rsidP="00115CD6">
            <w:pPr>
              <w:keepNext/>
              <w:adjustRightInd w:val="0"/>
              <w:spacing w:after="0" w:line="240" w:lineRule="auto"/>
              <w:jc w:val="center"/>
              <w:rPr>
                <w:b/>
                <w:color w:val="000000"/>
              </w:rPr>
            </w:pPr>
            <w:r>
              <w:rPr>
                <w:b/>
                <w:color w:val="000000"/>
              </w:rPr>
              <w:t>6</w:t>
            </w:r>
            <w:r w:rsidRPr="002809F3">
              <w:rPr>
                <w:b/>
                <w:color w:val="000000"/>
              </w:rPr>
              <w:t xml:space="preserve"> (1.</w:t>
            </w:r>
            <w:r>
              <w:rPr>
                <w:b/>
                <w:color w:val="000000"/>
              </w:rPr>
              <w:t>2</w:t>
            </w:r>
            <w:r w:rsidRPr="002809F3">
              <w:rPr>
                <w:b/>
                <w:color w:val="000000"/>
              </w:rPr>
              <w:t>%)</w:t>
            </w:r>
          </w:p>
        </w:tc>
      </w:tr>
      <w:tr w:rsidR="00576FE1" w:rsidRPr="002809F3" w14:paraId="5B056F22" w14:textId="77777777" w:rsidTr="00800E62">
        <w:trPr>
          <w:cantSplit/>
          <w:trHeight w:val="250"/>
        </w:trPr>
        <w:tc>
          <w:tcPr>
            <w:tcW w:w="4111" w:type="dxa"/>
            <w:shd w:val="clear" w:color="auto" w:fill="FFFFFF"/>
            <w:tcMar>
              <w:left w:w="60" w:type="dxa"/>
              <w:right w:w="60" w:type="dxa"/>
            </w:tcMar>
            <w:vAlign w:val="center"/>
          </w:tcPr>
          <w:p w14:paraId="3E90EE6A" w14:textId="77777777" w:rsidR="00576FE1" w:rsidRPr="002809F3" w:rsidRDefault="00576FE1" w:rsidP="00115CD6">
            <w:pPr>
              <w:spacing w:after="0" w:line="240" w:lineRule="auto"/>
              <w:rPr>
                <w:color w:val="000000"/>
              </w:rPr>
            </w:pPr>
            <w:proofErr w:type="spellStart"/>
            <w:r w:rsidRPr="002809F3">
              <w:rPr>
                <w:color w:val="000000"/>
              </w:rPr>
              <w:t>Dyspnoea</w:t>
            </w:r>
            <w:proofErr w:type="spellEnd"/>
          </w:p>
        </w:tc>
        <w:tc>
          <w:tcPr>
            <w:tcW w:w="1559" w:type="dxa"/>
            <w:shd w:val="clear" w:color="auto" w:fill="FFFFFF"/>
            <w:tcMar>
              <w:left w:w="60" w:type="dxa"/>
              <w:right w:w="60" w:type="dxa"/>
            </w:tcMar>
            <w:vAlign w:val="center"/>
          </w:tcPr>
          <w:p w14:paraId="59173245"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701" w:type="dxa"/>
            <w:shd w:val="clear" w:color="auto" w:fill="FFFFFF"/>
            <w:tcMar>
              <w:left w:w="60" w:type="dxa"/>
              <w:right w:w="60" w:type="dxa"/>
            </w:tcMar>
            <w:vAlign w:val="center"/>
          </w:tcPr>
          <w:p w14:paraId="69F07222"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48575FDD" w14:textId="77777777" w:rsidR="00576FE1" w:rsidRPr="002809F3" w:rsidRDefault="00576FE1" w:rsidP="00115CD6">
            <w:pPr>
              <w:keepNext/>
              <w:adjustRightInd w:val="0"/>
              <w:spacing w:after="0" w:line="240" w:lineRule="auto"/>
              <w:jc w:val="center"/>
              <w:rPr>
                <w:color w:val="000000"/>
              </w:rPr>
            </w:pPr>
            <w:r w:rsidRPr="002809F3">
              <w:rPr>
                <w:color w:val="000000"/>
              </w:rPr>
              <w:t>2 (0.4%)</w:t>
            </w:r>
          </w:p>
        </w:tc>
      </w:tr>
      <w:tr w:rsidR="00576FE1" w:rsidRPr="002809F3" w14:paraId="25F70A7E" w14:textId="77777777" w:rsidTr="00800E62">
        <w:trPr>
          <w:cantSplit/>
          <w:trHeight w:val="272"/>
        </w:trPr>
        <w:tc>
          <w:tcPr>
            <w:tcW w:w="4111" w:type="dxa"/>
            <w:shd w:val="clear" w:color="auto" w:fill="FFFFFF"/>
            <w:tcMar>
              <w:left w:w="60" w:type="dxa"/>
              <w:right w:w="60" w:type="dxa"/>
            </w:tcMar>
            <w:vAlign w:val="center"/>
          </w:tcPr>
          <w:p w14:paraId="7A8560FC" w14:textId="77777777" w:rsidR="00576FE1" w:rsidRPr="002809F3" w:rsidRDefault="00576FE1" w:rsidP="00115CD6">
            <w:pPr>
              <w:spacing w:after="0" w:line="240" w:lineRule="auto"/>
              <w:rPr>
                <w:color w:val="000000"/>
              </w:rPr>
            </w:pPr>
            <w:r w:rsidRPr="002809F3">
              <w:rPr>
                <w:color w:val="000000"/>
              </w:rPr>
              <w:t>Pulmonary embolism</w:t>
            </w:r>
          </w:p>
        </w:tc>
        <w:tc>
          <w:tcPr>
            <w:tcW w:w="1559" w:type="dxa"/>
            <w:shd w:val="clear" w:color="auto" w:fill="FFFFFF"/>
            <w:tcMar>
              <w:left w:w="60" w:type="dxa"/>
              <w:right w:w="60" w:type="dxa"/>
            </w:tcMar>
            <w:vAlign w:val="center"/>
          </w:tcPr>
          <w:p w14:paraId="69E6AA7E"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701" w:type="dxa"/>
            <w:shd w:val="clear" w:color="auto" w:fill="FFFFFF"/>
            <w:tcMar>
              <w:left w:w="60" w:type="dxa"/>
              <w:right w:w="60" w:type="dxa"/>
            </w:tcMar>
            <w:vAlign w:val="center"/>
          </w:tcPr>
          <w:p w14:paraId="512782DB"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73D3F8A7" w14:textId="77777777" w:rsidR="00576FE1" w:rsidRPr="002809F3" w:rsidRDefault="00576FE1" w:rsidP="00115CD6">
            <w:pPr>
              <w:keepNext/>
              <w:adjustRightInd w:val="0"/>
              <w:spacing w:after="0" w:line="240" w:lineRule="auto"/>
              <w:jc w:val="center"/>
              <w:rPr>
                <w:color w:val="000000"/>
              </w:rPr>
            </w:pPr>
            <w:r>
              <w:rPr>
                <w:color w:val="000000"/>
              </w:rPr>
              <w:t>2</w:t>
            </w:r>
            <w:r w:rsidRPr="002809F3">
              <w:rPr>
                <w:color w:val="000000"/>
              </w:rPr>
              <w:t xml:space="preserve"> (0.</w:t>
            </w:r>
            <w:r>
              <w:rPr>
                <w:color w:val="000000"/>
              </w:rPr>
              <w:t>4</w:t>
            </w:r>
            <w:r w:rsidRPr="002809F3">
              <w:rPr>
                <w:color w:val="000000"/>
              </w:rPr>
              <w:t>%)</w:t>
            </w:r>
          </w:p>
        </w:tc>
      </w:tr>
      <w:tr w:rsidR="00576FE1" w:rsidRPr="002809F3" w14:paraId="325B0E46" w14:textId="77777777" w:rsidTr="00800E62">
        <w:trPr>
          <w:cantSplit/>
          <w:trHeight w:val="250"/>
        </w:trPr>
        <w:tc>
          <w:tcPr>
            <w:tcW w:w="4111" w:type="dxa"/>
            <w:shd w:val="clear" w:color="auto" w:fill="FFFFFF"/>
            <w:tcMar>
              <w:left w:w="60" w:type="dxa"/>
              <w:right w:w="60" w:type="dxa"/>
            </w:tcMar>
            <w:vAlign w:val="center"/>
          </w:tcPr>
          <w:p w14:paraId="115A45F0" w14:textId="77777777" w:rsidR="00576FE1" w:rsidRPr="002809F3" w:rsidRDefault="00576FE1" w:rsidP="00115CD6">
            <w:pPr>
              <w:spacing w:after="0" w:line="240" w:lineRule="auto"/>
              <w:rPr>
                <w:color w:val="000000"/>
              </w:rPr>
            </w:pPr>
            <w:r w:rsidRPr="002809F3">
              <w:rPr>
                <w:color w:val="000000"/>
              </w:rPr>
              <w:t>Nasal congestion</w:t>
            </w:r>
          </w:p>
        </w:tc>
        <w:tc>
          <w:tcPr>
            <w:tcW w:w="1559" w:type="dxa"/>
            <w:shd w:val="clear" w:color="auto" w:fill="FFFFFF"/>
            <w:tcMar>
              <w:left w:w="60" w:type="dxa"/>
              <w:right w:w="60" w:type="dxa"/>
            </w:tcMar>
            <w:vAlign w:val="center"/>
          </w:tcPr>
          <w:p w14:paraId="4F39CA93"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701" w:type="dxa"/>
            <w:shd w:val="clear" w:color="auto" w:fill="FFFFFF"/>
            <w:tcMar>
              <w:left w:w="60" w:type="dxa"/>
              <w:right w:w="60" w:type="dxa"/>
            </w:tcMar>
            <w:vAlign w:val="center"/>
          </w:tcPr>
          <w:p w14:paraId="771D40B1"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3847B798"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3C01DC2F" w14:textId="77777777" w:rsidTr="00800E62">
        <w:trPr>
          <w:cantSplit/>
          <w:trHeight w:val="272"/>
        </w:trPr>
        <w:tc>
          <w:tcPr>
            <w:tcW w:w="4111" w:type="dxa"/>
            <w:shd w:val="clear" w:color="auto" w:fill="FFFFFF"/>
            <w:tcMar>
              <w:left w:w="60" w:type="dxa"/>
              <w:right w:w="60" w:type="dxa"/>
            </w:tcMar>
            <w:vAlign w:val="center"/>
          </w:tcPr>
          <w:p w14:paraId="6A3F54EA" w14:textId="77777777" w:rsidR="00576FE1" w:rsidRPr="002809F3" w:rsidRDefault="00576FE1" w:rsidP="00115CD6">
            <w:pPr>
              <w:spacing w:after="0" w:line="240" w:lineRule="auto"/>
              <w:rPr>
                <w:color w:val="000000"/>
              </w:rPr>
            </w:pPr>
            <w:r w:rsidRPr="002809F3">
              <w:rPr>
                <w:color w:val="000000"/>
              </w:rPr>
              <w:t>Chronic obstructive pulmonary disease</w:t>
            </w:r>
          </w:p>
        </w:tc>
        <w:tc>
          <w:tcPr>
            <w:tcW w:w="1559" w:type="dxa"/>
            <w:shd w:val="clear" w:color="auto" w:fill="FFFFFF"/>
            <w:tcMar>
              <w:left w:w="60" w:type="dxa"/>
              <w:right w:w="60" w:type="dxa"/>
            </w:tcMar>
            <w:vAlign w:val="center"/>
          </w:tcPr>
          <w:p w14:paraId="1AA98BC6"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701" w:type="dxa"/>
            <w:shd w:val="clear" w:color="auto" w:fill="FFFFFF"/>
            <w:tcMar>
              <w:left w:w="60" w:type="dxa"/>
              <w:right w:w="60" w:type="dxa"/>
            </w:tcMar>
            <w:vAlign w:val="center"/>
          </w:tcPr>
          <w:p w14:paraId="7563DA95"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12C5740D"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7D0A6AC1" w14:textId="77777777" w:rsidTr="00800E62">
        <w:trPr>
          <w:cantSplit/>
          <w:trHeight w:val="250"/>
        </w:trPr>
        <w:tc>
          <w:tcPr>
            <w:tcW w:w="4111" w:type="dxa"/>
            <w:shd w:val="clear" w:color="auto" w:fill="FFFFFF"/>
            <w:tcMar>
              <w:left w:w="60" w:type="dxa"/>
              <w:right w:w="60" w:type="dxa"/>
            </w:tcMar>
            <w:vAlign w:val="center"/>
          </w:tcPr>
          <w:p w14:paraId="2E68B92A" w14:textId="77777777" w:rsidR="00576FE1" w:rsidRPr="002809F3" w:rsidRDefault="00576FE1" w:rsidP="00115CD6">
            <w:pPr>
              <w:spacing w:after="0" w:line="240" w:lineRule="auto"/>
              <w:rPr>
                <w:color w:val="000000"/>
              </w:rPr>
            </w:pPr>
            <w:r w:rsidRPr="002809F3">
              <w:rPr>
                <w:color w:val="000000"/>
              </w:rPr>
              <w:t>Hydrothorax</w:t>
            </w:r>
          </w:p>
        </w:tc>
        <w:tc>
          <w:tcPr>
            <w:tcW w:w="1559" w:type="dxa"/>
            <w:shd w:val="clear" w:color="auto" w:fill="FFFFFF"/>
            <w:tcMar>
              <w:left w:w="60" w:type="dxa"/>
              <w:right w:w="60" w:type="dxa"/>
            </w:tcMar>
            <w:vAlign w:val="center"/>
          </w:tcPr>
          <w:p w14:paraId="02943BAE"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701" w:type="dxa"/>
            <w:shd w:val="clear" w:color="auto" w:fill="FFFFFF"/>
            <w:tcMar>
              <w:left w:w="60" w:type="dxa"/>
              <w:right w:w="60" w:type="dxa"/>
            </w:tcMar>
            <w:vAlign w:val="center"/>
          </w:tcPr>
          <w:p w14:paraId="0BC23744"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34CECFE6"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3F151B5E" w14:textId="77777777" w:rsidTr="00800E62">
        <w:trPr>
          <w:cantSplit/>
          <w:trHeight w:val="272"/>
        </w:trPr>
        <w:tc>
          <w:tcPr>
            <w:tcW w:w="4111" w:type="dxa"/>
            <w:shd w:val="clear" w:color="auto" w:fill="FFFFFF"/>
            <w:tcMar>
              <w:left w:w="60" w:type="dxa"/>
              <w:right w:w="60" w:type="dxa"/>
            </w:tcMar>
            <w:vAlign w:val="center"/>
          </w:tcPr>
          <w:p w14:paraId="13AE789F" w14:textId="77777777" w:rsidR="00576FE1" w:rsidRPr="002809F3" w:rsidRDefault="00576FE1" w:rsidP="00115CD6">
            <w:pPr>
              <w:spacing w:after="0" w:line="240" w:lineRule="auto"/>
              <w:rPr>
                <w:color w:val="000000"/>
              </w:rPr>
            </w:pPr>
            <w:proofErr w:type="spellStart"/>
            <w:r w:rsidRPr="002809F3">
              <w:rPr>
                <w:color w:val="000000"/>
              </w:rPr>
              <w:t>Apnoea</w:t>
            </w:r>
            <w:proofErr w:type="spellEnd"/>
          </w:p>
        </w:tc>
        <w:tc>
          <w:tcPr>
            <w:tcW w:w="1559" w:type="dxa"/>
            <w:shd w:val="clear" w:color="auto" w:fill="FFFFFF"/>
            <w:tcMar>
              <w:left w:w="60" w:type="dxa"/>
              <w:right w:w="60" w:type="dxa"/>
            </w:tcMar>
            <w:vAlign w:val="center"/>
          </w:tcPr>
          <w:p w14:paraId="2756296E"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701" w:type="dxa"/>
            <w:shd w:val="clear" w:color="auto" w:fill="FFFFFF"/>
            <w:tcMar>
              <w:left w:w="60" w:type="dxa"/>
              <w:right w:w="60" w:type="dxa"/>
            </w:tcMar>
            <w:vAlign w:val="center"/>
          </w:tcPr>
          <w:p w14:paraId="2F80273F"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626E5DE6"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061EF64C" w14:textId="77777777" w:rsidTr="00800E62">
        <w:trPr>
          <w:cantSplit/>
          <w:trHeight w:val="250"/>
        </w:trPr>
        <w:tc>
          <w:tcPr>
            <w:tcW w:w="4111" w:type="dxa"/>
            <w:shd w:val="clear" w:color="auto" w:fill="FFFFFF"/>
            <w:tcMar>
              <w:left w:w="60" w:type="dxa"/>
              <w:right w:w="60" w:type="dxa"/>
            </w:tcMar>
            <w:vAlign w:val="center"/>
          </w:tcPr>
          <w:p w14:paraId="27C7C4AF" w14:textId="77777777" w:rsidR="00576FE1" w:rsidRPr="002809F3" w:rsidRDefault="00576FE1" w:rsidP="00115CD6">
            <w:pPr>
              <w:keepNext/>
              <w:adjustRightInd w:val="0"/>
              <w:spacing w:after="0" w:line="240" w:lineRule="auto"/>
              <w:rPr>
                <w:b/>
                <w:color w:val="000000"/>
              </w:rPr>
            </w:pPr>
            <w:r w:rsidRPr="002809F3">
              <w:rPr>
                <w:b/>
                <w:color w:val="000000"/>
              </w:rPr>
              <w:t>Investigations</w:t>
            </w:r>
          </w:p>
        </w:tc>
        <w:tc>
          <w:tcPr>
            <w:tcW w:w="1559" w:type="dxa"/>
            <w:shd w:val="clear" w:color="auto" w:fill="FFFFFF"/>
            <w:tcMar>
              <w:left w:w="60" w:type="dxa"/>
              <w:right w:w="60" w:type="dxa"/>
            </w:tcMar>
            <w:vAlign w:val="center"/>
          </w:tcPr>
          <w:p w14:paraId="35D137C1" w14:textId="77777777" w:rsidR="00576FE1" w:rsidRPr="002809F3" w:rsidRDefault="00576FE1" w:rsidP="00115CD6">
            <w:pPr>
              <w:keepNext/>
              <w:adjustRightInd w:val="0"/>
              <w:spacing w:after="0" w:line="240" w:lineRule="auto"/>
              <w:jc w:val="center"/>
              <w:rPr>
                <w:b/>
                <w:color w:val="000000"/>
              </w:rPr>
            </w:pPr>
            <w:r>
              <w:rPr>
                <w:b/>
                <w:color w:val="000000"/>
              </w:rPr>
              <w:t>2</w:t>
            </w:r>
            <w:r w:rsidRPr="002809F3">
              <w:rPr>
                <w:b/>
                <w:color w:val="000000"/>
              </w:rPr>
              <w:t xml:space="preserve"> (</w:t>
            </w:r>
            <w:r>
              <w:rPr>
                <w:b/>
                <w:color w:val="000000"/>
              </w:rPr>
              <w:t>0</w:t>
            </w:r>
            <w:r w:rsidRPr="002809F3">
              <w:rPr>
                <w:b/>
                <w:color w:val="000000"/>
              </w:rPr>
              <w:t>.</w:t>
            </w:r>
            <w:r>
              <w:rPr>
                <w:b/>
                <w:color w:val="000000"/>
              </w:rPr>
              <w:t>8</w:t>
            </w:r>
            <w:r w:rsidRPr="002809F3">
              <w:rPr>
                <w:b/>
                <w:color w:val="000000"/>
              </w:rPr>
              <w:t>%)</w:t>
            </w:r>
          </w:p>
        </w:tc>
        <w:tc>
          <w:tcPr>
            <w:tcW w:w="1701" w:type="dxa"/>
            <w:shd w:val="clear" w:color="auto" w:fill="FFFFFF"/>
            <w:tcMar>
              <w:left w:w="60" w:type="dxa"/>
              <w:right w:w="60" w:type="dxa"/>
            </w:tcMar>
            <w:vAlign w:val="center"/>
          </w:tcPr>
          <w:p w14:paraId="3654BA36" w14:textId="77777777" w:rsidR="00576FE1" w:rsidRPr="002809F3" w:rsidRDefault="00576FE1" w:rsidP="00115CD6">
            <w:pPr>
              <w:keepNext/>
              <w:adjustRightInd w:val="0"/>
              <w:spacing w:after="0" w:line="240" w:lineRule="auto"/>
              <w:jc w:val="center"/>
              <w:rPr>
                <w:b/>
                <w:color w:val="000000"/>
              </w:rPr>
            </w:pPr>
            <w:r>
              <w:rPr>
                <w:b/>
                <w:color w:val="000000"/>
              </w:rPr>
              <w:t>1</w:t>
            </w:r>
            <w:r w:rsidRPr="002809F3">
              <w:rPr>
                <w:b/>
                <w:color w:val="000000"/>
              </w:rPr>
              <w:t xml:space="preserve"> (0.</w:t>
            </w:r>
            <w:r>
              <w:rPr>
                <w:b/>
                <w:color w:val="000000"/>
              </w:rPr>
              <w:t>4</w:t>
            </w:r>
            <w:r w:rsidRPr="002809F3">
              <w:rPr>
                <w:b/>
                <w:color w:val="000000"/>
              </w:rPr>
              <w:t>%)</w:t>
            </w:r>
          </w:p>
        </w:tc>
        <w:tc>
          <w:tcPr>
            <w:tcW w:w="1359" w:type="dxa"/>
            <w:shd w:val="clear" w:color="auto" w:fill="FFFFFF"/>
            <w:tcMar>
              <w:left w:w="60" w:type="dxa"/>
              <w:right w:w="60" w:type="dxa"/>
            </w:tcMar>
            <w:vAlign w:val="center"/>
          </w:tcPr>
          <w:p w14:paraId="6B786DF3" w14:textId="77777777" w:rsidR="00576FE1" w:rsidRPr="002809F3" w:rsidRDefault="00576FE1" w:rsidP="00115CD6">
            <w:pPr>
              <w:keepNext/>
              <w:adjustRightInd w:val="0"/>
              <w:spacing w:after="0" w:line="240" w:lineRule="auto"/>
              <w:jc w:val="center"/>
              <w:rPr>
                <w:b/>
                <w:color w:val="000000"/>
              </w:rPr>
            </w:pPr>
            <w:r>
              <w:rPr>
                <w:b/>
                <w:color w:val="000000"/>
              </w:rPr>
              <w:t>3</w:t>
            </w:r>
            <w:r w:rsidRPr="002809F3">
              <w:rPr>
                <w:b/>
                <w:color w:val="000000"/>
              </w:rPr>
              <w:t xml:space="preserve"> (</w:t>
            </w:r>
            <w:r>
              <w:rPr>
                <w:b/>
                <w:color w:val="000000"/>
              </w:rPr>
              <w:t>0</w:t>
            </w:r>
            <w:r w:rsidRPr="002809F3">
              <w:rPr>
                <w:b/>
                <w:color w:val="000000"/>
              </w:rPr>
              <w:t>.</w:t>
            </w:r>
            <w:r>
              <w:rPr>
                <w:b/>
                <w:color w:val="000000"/>
              </w:rPr>
              <w:t>6</w:t>
            </w:r>
            <w:r w:rsidRPr="002809F3">
              <w:rPr>
                <w:b/>
                <w:color w:val="000000"/>
              </w:rPr>
              <w:t>%)</w:t>
            </w:r>
          </w:p>
        </w:tc>
      </w:tr>
      <w:tr w:rsidR="00576FE1" w:rsidRPr="002809F3" w14:paraId="041A2DA5" w14:textId="77777777" w:rsidTr="00800E62">
        <w:trPr>
          <w:cantSplit/>
          <w:trHeight w:val="272"/>
        </w:trPr>
        <w:tc>
          <w:tcPr>
            <w:tcW w:w="4111" w:type="dxa"/>
            <w:shd w:val="clear" w:color="auto" w:fill="FFFFFF"/>
            <w:tcMar>
              <w:left w:w="60" w:type="dxa"/>
              <w:right w:w="60" w:type="dxa"/>
            </w:tcMar>
            <w:vAlign w:val="center"/>
          </w:tcPr>
          <w:p w14:paraId="6CDB6E30" w14:textId="77777777" w:rsidR="00576FE1" w:rsidRPr="002809F3" w:rsidRDefault="00576FE1" w:rsidP="00115CD6">
            <w:pPr>
              <w:keepNext/>
              <w:adjustRightInd w:val="0"/>
              <w:spacing w:after="0" w:line="240" w:lineRule="auto"/>
              <w:rPr>
                <w:color w:val="000000"/>
              </w:rPr>
            </w:pPr>
            <w:r w:rsidRPr="002809F3">
              <w:rPr>
                <w:color w:val="000000"/>
              </w:rPr>
              <w:t>Aspartate aminotransferase increased</w:t>
            </w:r>
          </w:p>
        </w:tc>
        <w:tc>
          <w:tcPr>
            <w:tcW w:w="1559" w:type="dxa"/>
            <w:shd w:val="clear" w:color="auto" w:fill="FFFFFF"/>
            <w:tcMar>
              <w:left w:w="60" w:type="dxa"/>
              <w:right w:w="60" w:type="dxa"/>
            </w:tcMar>
            <w:vAlign w:val="center"/>
          </w:tcPr>
          <w:p w14:paraId="391F2A90"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701" w:type="dxa"/>
            <w:shd w:val="clear" w:color="auto" w:fill="FFFFFF"/>
            <w:tcMar>
              <w:left w:w="60" w:type="dxa"/>
              <w:right w:w="60" w:type="dxa"/>
            </w:tcMar>
            <w:vAlign w:val="center"/>
          </w:tcPr>
          <w:p w14:paraId="7BB0AB5A"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359" w:type="dxa"/>
            <w:shd w:val="clear" w:color="auto" w:fill="FFFFFF"/>
            <w:tcMar>
              <w:left w:w="60" w:type="dxa"/>
              <w:right w:w="60" w:type="dxa"/>
            </w:tcMar>
            <w:vAlign w:val="center"/>
          </w:tcPr>
          <w:p w14:paraId="43AAA21E"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13725E3C" w14:textId="77777777" w:rsidTr="00800E62">
        <w:trPr>
          <w:cantSplit/>
          <w:trHeight w:val="250"/>
        </w:trPr>
        <w:tc>
          <w:tcPr>
            <w:tcW w:w="4111" w:type="dxa"/>
            <w:shd w:val="clear" w:color="auto" w:fill="FFFFFF"/>
            <w:tcMar>
              <w:left w:w="60" w:type="dxa"/>
              <w:right w:w="60" w:type="dxa"/>
            </w:tcMar>
            <w:vAlign w:val="center"/>
          </w:tcPr>
          <w:p w14:paraId="7B55D71F" w14:textId="77777777" w:rsidR="00576FE1" w:rsidRPr="002809F3" w:rsidRDefault="00576FE1" w:rsidP="00115CD6">
            <w:pPr>
              <w:spacing w:after="0" w:line="240" w:lineRule="auto"/>
              <w:rPr>
                <w:color w:val="000000"/>
              </w:rPr>
            </w:pPr>
            <w:r w:rsidRPr="002809F3">
              <w:rPr>
                <w:color w:val="000000"/>
              </w:rPr>
              <w:t>Alanine aminotransferase increased</w:t>
            </w:r>
          </w:p>
        </w:tc>
        <w:tc>
          <w:tcPr>
            <w:tcW w:w="1559" w:type="dxa"/>
            <w:shd w:val="clear" w:color="auto" w:fill="FFFFFF"/>
            <w:tcMar>
              <w:left w:w="60" w:type="dxa"/>
              <w:right w:w="60" w:type="dxa"/>
            </w:tcMar>
            <w:vAlign w:val="center"/>
          </w:tcPr>
          <w:p w14:paraId="272ACBB5"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701" w:type="dxa"/>
            <w:shd w:val="clear" w:color="auto" w:fill="FFFFFF"/>
            <w:tcMar>
              <w:left w:w="60" w:type="dxa"/>
              <w:right w:w="60" w:type="dxa"/>
            </w:tcMar>
            <w:vAlign w:val="center"/>
          </w:tcPr>
          <w:p w14:paraId="2FD59394"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359" w:type="dxa"/>
            <w:shd w:val="clear" w:color="auto" w:fill="FFFFFF"/>
            <w:tcMar>
              <w:left w:w="60" w:type="dxa"/>
              <w:right w:w="60" w:type="dxa"/>
            </w:tcMar>
            <w:vAlign w:val="center"/>
          </w:tcPr>
          <w:p w14:paraId="2F8B70C7"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062F89F1" w14:textId="77777777" w:rsidTr="00800E62">
        <w:trPr>
          <w:cantSplit/>
          <w:trHeight w:val="272"/>
        </w:trPr>
        <w:tc>
          <w:tcPr>
            <w:tcW w:w="4111" w:type="dxa"/>
            <w:shd w:val="clear" w:color="auto" w:fill="FFFFFF"/>
            <w:tcMar>
              <w:left w:w="60" w:type="dxa"/>
              <w:right w:w="60" w:type="dxa"/>
            </w:tcMar>
            <w:vAlign w:val="center"/>
          </w:tcPr>
          <w:p w14:paraId="2595D267" w14:textId="77777777" w:rsidR="00576FE1" w:rsidRPr="002809F3" w:rsidRDefault="00576FE1" w:rsidP="00115CD6">
            <w:pPr>
              <w:spacing w:after="0" w:line="240" w:lineRule="auto"/>
              <w:rPr>
                <w:color w:val="000000"/>
              </w:rPr>
            </w:pPr>
            <w:r w:rsidRPr="002809F3">
              <w:rPr>
                <w:color w:val="000000"/>
              </w:rPr>
              <w:t>Blood calcium decreased</w:t>
            </w:r>
          </w:p>
        </w:tc>
        <w:tc>
          <w:tcPr>
            <w:tcW w:w="1559" w:type="dxa"/>
            <w:shd w:val="clear" w:color="auto" w:fill="FFFFFF"/>
            <w:tcMar>
              <w:left w:w="60" w:type="dxa"/>
              <w:right w:w="60" w:type="dxa"/>
            </w:tcMar>
            <w:vAlign w:val="center"/>
          </w:tcPr>
          <w:p w14:paraId="7FB59281"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701" w:type="dxa"/>
            <w:shd w:val="clear" w:color="auto" w:fill="FFFFFF"/>
            <w:tcMar>
              <w:left w:w="60" w:type="dxa"/>
              <w:right w:w="60" w:type="dxa"/>
            </w:tcMar>
            <w:vAlign w:val="center"/>
          </w:tcPr>
          <w:p w14:paraId="73C25DF0"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029AC2CB"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72F39686" w14:textId="77777777" w:rsidTr="00800E62">
        <w:trPr>
          <w:cantSplit/>
          <w:trHeight w:val="250"/>
        </w:trPr>
        <w:tc>
          <w:tcPr>
            <w:tcW w:w="4111" w:type="dxa"/>
            <w:shd w:val="clear" w:color="auto" w:fill="FFFFFF"/>
            <w:tcMar>
              <w:left w:w="60" w:type="dxa"/>
              <w:right w:w="60" w:type="dxa"/>
            </w:tcMar>
            <w:vAlign w:val="center"/>
          </w:tcPr>
          <w:p w14:paraId="68CB8BC3" w14:textId="77777777" w:rsidR="00576FE1" w:rsidRPr="002809F3" w:rsidRDefault="00576FE1" w:rsidP="00115CD6">
            <w:pPr>
              <w:spacing w:after="0" w:line="240" w:lineRule="auto"/>
              <w:rPr>
                <w:color w:val="000000"/>
              </w:rPr>
            </w:pPr>
            <w:r w:rsidRPr="002809F3">
              <w:rPr>
                <w:color w:val="000000"/>
              </w:rPr>
              <w:t>Blood potassium decreased</w:t>
            </w:r>
          </w:p>
        </w:tc>
        <w:tc>
          <w:tcPr>
            <w:tcW w:w="1559" w:type="dxa"/>
            <w:shd w:val="clear" w:color="auto" w:fill="FFFFFF"/>
            <w:tcMar>
              <w:left w:w="60" w:type="dxa"/>
              <w:right w:w="60" w:type="dxa"/>
            </w:tcMar>
            <w:vAlign w:val="center"/>
          </w:tcPr>
          <w:p w14:paraId="63BDA4ED"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701" w:type="dxa"/>
            <w:shd w:val="clear" w:color="auto" w:fill="FFFFFF"/>
            <w:tcMar>
              <w:left w:w="60" w:type="dxa"/>
              <w:right w:w="60" w:type="dxa"/>
            </w:tcMar>
            <w:vAlign w:val="center"/>
          </w:tcPr>
          <w:p w14:paraId="7D6CF4A1"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57F1D134"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50228D8B" w14:textId="77777777" w:rsidTr="00800E62">
        <w:trPr>
          <w:cantSplit/>
          <w:trHeight w:val="272"/>
        </w:trPr>
        <w:tc>
          <w:tcPr>
            <w:tcW w:w="4111" w:type="dxa"/>
            <w:shd w:val="clear" w:color="auto" w:fill="FFFFFF"/>
            <w:tcMar>
              <w:left w:w="60" w:type="dxa"/>
              <w:right w:w="60" w:type="dxa"/>
            </w:tcMar>
            <w:vAlign w:val="center"/>
          </w:tcPr>
          <w:p w14:paraId="05E27C55" w14:textId="77777777" w:rsidR="00576FE1" w:rsidRPr="002809F3" w:rsidRDefault="00576FE1" w:rsidP="00115CD6">
            <w:pPr>
              <w:spacing w:after="0" w:line="240" w:lineRule="auto"/>
              <w:rPr>
                <w:color w:val="000000"/>
              </w:rPr>
            </w:pPr>
            <w:r w:rsidRPr="002809F3">
              <w:rPr>
                <w:color w:val="000000"/>
              </w:rPr>
              <w:t>Electrocardiogram QT prolonged</w:t>
            </w:r>
          </w:p>
        </w:tc>
        <w:tc>
          <w:tcPr>
            <w:tcW w:w="1559" w:type="dxa"/>
            <w:shd w:val="clear" w:color="auto" w:fill="FFFFFF"/>
            <w:tcMar>
              <w:left w:w="60" w:type="dxa"/>
              <w:right w:w="60" w:type="dxa"/>
            </w:tcMar>
            <w:vAlign w:val="center"/>
          </w:tcPr>
          <w:p w14:paraId="5CC880D9"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701" w:type="dxa"/>
            <w:shd w:val="clear" w:color="auto" w:fill="FFFFFF"/>
            <w:tcMar>
              <w:left w:w="60" w:type="dxa"/>
              <w:right w:w="60" w:type="dxa"/>
            </w:tcMar>
            <w:vAlign w:val="center"/>
          </w:tcPr>
          <w:p w14:paraId="1303F8F9"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359" w:type="dxa"/>
            <w:shd w:val="clear" w:color="auto" w:fill="FFFFFF"/>
            <w:tcMar>
              <w:left w:w="60" w:type="dxa"/>
              <w:right w:w="60" w:type="dxa"/>
            </w:tcMar>
            <w:vAlign w:val="center"/>
          </w:tcPr>
          <w:p w14:paraId="1A7330C4"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67769D86" w14:textId="77777777" w:rsidTr="00800E62">
        <w:trPr>
          <w:cantSplit/>
          <w:trHeight w:val="250"/>
        </w:trPr>
        <w:tc>
          <w:tcPr>
            <w:tcW w:w="4111" w:type="dxa"/>
            <w:shd w:val="clear" w:color="auto" w:fill="FFFFFF"/>
            <w:tcMar>
              <w:left w:w="60" w:type="dxa"/>
              <w:right w:w="60" w:type="dxa"/>
            </w:tcMar>
            <w:vAlign w:val="center"/>
          </w:tcPr>
          <w:p w14:paraId="589CEC21" w14:textId="77777777" w:rsidR="00576FE1" w:rsidRPr="002809F3" w:rsidRDefault="00576FE1" w:rsidP="00115CD6">
            <w:pPr>
              <w:keepNext/>
              <w:adjustRightInd w:val="0"/>
              <w:spacing w:after="0" w:line="240" w:lineRule="auto"/>
              <w:rPr>
                <w:b/>
                <w:color w:val="000000"/>
                <w:lang w:val="en-GB"/>
              </w:rPr>
            </w:pPr>
            <w:r w:rsidRPr="002809F3">
              <w:rPr>
                <w:b/>
                <w:color w:val="000000"/>
                <w:lang w:val="en-GB"/>
              </w:rPr>
              <w:t>Blood and lymphatic system disorders</w:t>
            </w:r>
          </w:p>
        </w:tc>
        <w:tc>
          <w:tcPr>
            <w:tcW w:w="1559" w:type="dxa"/>
            <w:shd w:val="clear" w:color="auto" w:fill="FFFFFF"/>
            <w:tcMar>
              <w:left w:w="60" w:type="dxa"/>
              <w:right w:w="60" w:type="dxa"/>
            </w:tcMar>
            <w:vAlign w:val="center"/>
          </w:tcPr>
          <w:p w14:paraId="171B97A4" w14:textId="77777777" w:rsidR="00576FE1" w:rsidRPr="002809F3" w:rsidRDefault="00576FE1" w:rsidP="00115CD6">
            <w:pPr>
              <w:keepNext/>
              <w:adjustRightInd w:val="0"/>
              <w:spacing w:after="0" w:line="240" w:lineRule="auto"/>
              <w:jc w:val="center"/>
              <w:rPr>
                <w:b/>
                <w:color w:val="000000"/>
              </w:rPr>
            </w:pPr>
            <w:r w:rsidRPr="002809F3">
              <w:rPr>
                <w:b/>
                <w:color w:val="000000"/>
              </w:rPr>
              <w:t>2 (0.8%)</w:t>
            </w:r>
          </w:p>
        </w:tc>
        <w:tc>
          <w:tcPr>
            <w:tcW w:w="1701" w:type="dxa"/>
            <w:shd w:val="clear" w:color="auto" w:fill="FFFFFF"/>
            <w:tcMar>
              <w:left w:w="60" w:type="dxa"/>
              <w:right w:w="60" w:type="dxa"/>
            </w:tcMar>
            <w:vAlign w:val="center"/>
          </w:tcPr>
          <w:p w14:paraId="18952667" w14:textId="77777777" w:rsidR="00576FE1" w:rsidRPr="002809F3" w:rsidRDefault="00576FE1" w:rsidP="00115CD6">
            <w:pPr>
              <w:keepNext/>
              <w:adjustRightInd w:val="0"/>
              <w:spacing w:after="0" w:line="240" w:lineRule="auto"/>
              <w:jc w:val="center"/>
              <w:rPr>
                <w:b/>
                <w:color w:val="000000"/>
              </w:rPr>
            </w:pPr>
            <w:r>
              <w:rPr>
                <w:b/>
                <w:color w:val="000000"/>
              </w:rPr>
              <w:t>1</w:t>
            </w:r>
            <w:r w:rsidRPr="002809F3">
              <w:rPr>
                <w:b/>
                <w:color w:val="000000"/>
              </w:rPr>
              <w:t xml:space="preserve"> (0.</w:t>
            </w:r>
            <w:r>
              <w:rPr>
                <w:b/>
                <w:color w:val="000000"/>
              </w:rPr>
              <w:t>4</w:t>
            </w:r>
            <w:r w:rsidRPr="002809F3">
              <w:rPr>
                <w:b/>
                <w:color w:val="000000"/>
              </w:rPr>
              <w:t>%)</w:t>
            </w:r>
          </w:p>
        </w:tc>
        <w:tc>
          <w:tcPr>
            <w:tcW w:w="1359" w:type="dxa"/>
            <w:shd w:val="clear" w:color="auto" w:fill="FFFFFF"/>
            <w:tcMar>
              <w:left w:w="60" w:type="dxa"/>
              <w:right w:w="60" w:type="dxa"/>
            </w:tcMar>
            <w:vAlign w:val="center"/>
          </w:tcPr>
          <w:p w14:paraId="2CEEFD42" w14:textId="77777777" w:rsidR="00576FE1" w:rsidRPr="002809F3" w:rsidRDefault="00576FE1" w:rsidP="00115CD6">
            <w:pPr>
              <w:keepNext/>
              <w:adjustRightInd w:val="0"/>
              <w:spacing w:after="0" w:line="240" w:lineRule="auto"/>
              <w:jc w:val="center"/>
              <w:rPr>
                <w:b/>
                <w:color w:val="000000"/>
              </w:rPr>
            </w:pPr>
            <w:r>
              <w:rPr>
                <w:b/>
                <w:color w:val="000000"/>
              </w:rPr>
              <w:t>3</w:t>
            </w:r>
            <w:r w:rsidRPr="002809F3">
              <w:rPr>
                <w:b/>
                <w:color w:val="000000"/>
              </w:rPr>
              <w:t xml:space="preserve"> (0.</w:t>
            </w:r>
            <w:r>
              <w:rPr>
                <w:b/>
                <w:color w:val="000000"/>
              </w:rPr>
              <w:t>6</w:t>
            </w:r>
            <w:r w:rsidRPr="002809F3">
              <w:rPr>
                <w:b/>
                <w:color w:val="000000"/>
              </w:rPr>
              <w:t>%)</w:t>
            </w:r>
          </w:p>
        </w:tc>
      </w:tr>
      <w:tr w:rsidR="00576FE1" w:rsidRPr="002809F3" w14:paraId="2A3B7819" w14:textId="77777777" w:rsidTr="00800E62">
        <w:trPr>
          <w:cantSplit/>
          <w:trHeight w:val="272"/>
        </w:trPr>
        <w:tc>
          <w:tcPr>
            <w:tcW w:w="4111" w:type="dxa"/>
            <w:shd w:val="clear" w:color="auto" w:fill="FFFFFF"/>
            <w:tcMar>
              <w:left w:w="60" w:type="dxa"/>
              <w:right w:w="60" w:type="dxa"/>
            </w:tcMar>
            <w:vAlign w:val="center"/>
          </w:tcPr>
          <w:p w14:paraId="4C8601A2" w14:textId="77777777" w:rsidR="00576FE1" w:rsidRPr="002809F3" w:rsidRDefault="00576FE1" w:rsidP="00115CD6">
            <w:pPr>
              <w:keepNext/>
              <w:adjustRightInd w:val="0"/>
              <w:spacing w:after="0" w:line="240" w:lineRule="auto"/>
              <w:rPr>
                <w:color w:val="000000"/>
              </w:rPr>
            </w:pPr>
            <w:r w:rsidRPr="002809F3">
              <w:rPr>
                <w:color w:val="000000"/>
              </w:rPr>
              <w:t>Neutropenia</w:t>
            </w:r>
          </w:p>
        </w:tc>
        <w:tc>
          <w:tcPr>
            <w:tcW w:w="1559" w:type="dxa"/>
            <w:shd w:val="clear" w:color="auto" w:fill="FFFFFF"/>
            <w:tcMar>
              <w:left w:w="60" w:type="dxa"/>
              <w:right w:w="60" w:type="dxa"/>
            </w:tcMar>
            <w:vAlign w:val="center"/>
          </w:tcPr>
          <w:p w14:paraId="4BF98987"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701" w:type="dxa"/>
            <w:shd w:val="clear" w:color="auto" w:fill="FFFFFF"/>
            <w:tcMar>
              <w:left w:w="60" w:type="dxa"/>
              <w:right w:w="60" w:type="dxa"/>
            </w:tcMar>
            <w:vAlign w:val="center"/>
          </w:tcPr>
          <w:p w14:paraId="3F1DEC8A"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7A084491" w14:textId="77777777" w:rsidR="00576FE1" w:rsidRPr="002809F3" w:rsidRDefault="00576FE1" w:rsidP="00115CD6">
            <w:pPr>
              <w:keepNext/>
              <w:adjustRightInd w:val="0"/>
              <w:spacing w:after="0" w:line="240" w:lineRule="auto"/>
              <w:jc w:val="center"/>
              <w:rPr>
                <w:color w:val="000000"/>
              </w:rPr>
            </w:pPr>
            <w:r w:rsidRPr="002809F3">
              <w:rPr>
                <w:color w:val="000000"/>
              </w:rPr>
              <w:t>2 (0.4%)</w:t>
            </w:r>
          </w:p>
        </w:tc>
      </w:tr>
      <w:tr w:rsidR="00576FE1" w:rsidRPr="002809F3" w14:paraId="70238B7B" w14:textId="77777777" w:rsidTr="00800E62">
        <w:trPr>
          <w:cantSplit/>
          <w:trHeight w:val="250"/>
        </w:trPr>
        <w:tc>
          <w:tcPr>
            <w:tcW w:w="4111" w:type="dxa"/>
            <w:shd w:val="clear" w:color="auto" w:fill="FFFFFF"/>
            <w:tcMar>
              <w:left w:w="60" w:type="dxa"/>
              <w:right w:w="60" w:type="dxa"/>
            </w:tcMar>
            <w:vAlign w:val="center"/>
          </w:tcPr>
          <w:p w14:paraId="467B0FA7" w14:textId="77777777" w:rsidR="00576FE1" w:rsidRPr="002809F3" w:rsidRDefault="00576FE1" w:rsidP="00115CD6">
            <w:pPr>
              <w:keepNext/>
              <w:adjustRightInd w:val="0"/>
              <w:spacing w:after="0" w:line="240" w:lineRule="auto"/>
              <w:rPr>
                <w:color w:val="000000"/>
              </w:rPr>
            </w:pPr>
            <w:r w:rsidRPr="002809F3">
              <w:rPr>
                <w:color w:val="000000"/>
              </w:rPr>
              <w:t>Febrile Neutropenia</w:t>
            </w:r>
          </w:p>
        </w:tc>
        <w:tc>
          <w:tcPr>
            <w:tcW w:w="1559" w:type="dxa"/>
            <w:shd w:val="clear" w:color="auto" w:fill="FFFFFF"/>
            <w:tcMar>
              <w:left w:w="60" w:type="dxa"/>
              <w:right w:w="60" w:type="dxa"/>
            </w:tcMar>
            <w:vAlign w:val="center"/>
          </w:tcPr>
          <w:p w14:paraId="7A1458D3"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701" w:type="dxa"/>
            <w:shd w:val="clear" w:color="auto" w:fill="FFFFFF"/>
            <w:tcMar>
              <w:left w:w="60" w:type="dxa"/>
              <w:right w:w="60" w:type="dxa"/>
            </w:tcMar>
            <w:vAlign w:val="center"/>
          </w:tcPr>
          <w:p w14:paraId="79A08AB7"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359" w:type="dxa"/>
            <w:shd w:val="clear" w:color="auto" w:fill="FFFFFF"/>
            <w:tcMar>
              <w:left w:w="60" w:type="dxa"/>
              <w:right w:w="60" w:type="dxa"/>
            </w:tcMar>
            <w:vAlign w:val="center"/>
          </w:tcPr>
          <w:p w14:paraId="1EF67642"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26B9B7E4" w14:textId="77777777" w:rsidTr="00800E62">
        <w:trPr>
          <w:cantSplit/>
          <w:trHeight w:val="272"/>
        </w:trPr>
        <w:tc>
          <w:tcPr>
            <w:tcW w:w="4111" w:type="dxa"/>
            <w:shd w:val="clear" w:color="auto" w:fill="FFFFFF"/>
            <w:tcMar>
              <w:left w:w="60" w:type="dxa"/>
              <w:right w:w="60" w:type="dxa"/>
            </w:tcMar>
            <w:vAlign w:val="center"/>
          </w:tcPr>
          <w:p w14:paraId="1EAACECB" w14:textId="77777777" w:rsidR="00576FE1" w:rsidRPr="002809F3" w:rsidRDefault="00576FE1" w:rsidP="00115CD6">
            <w:pPr>
              <w:keepNext/>
              <w:adjustRightInd w:val="0"/>
              <w:spacing w:after="0" w:line="240" w:lineRule="auto"/>
              <w:rPr>
                <w:color w:val="000000"/>
              </w:rPr>
            </w:pPr>
            <w:r w:rsidRPr="002809F3">
              <w:rPr>
                <w:color w:val="000000"/>
              </w:rPr>
              <w:t>Anemia</w:t>
            </w:r>
          </w:p>
        </w:tc>
        <w:tc>
          <w:tcPr>
            <w:tcW w:w="1559" w:type="dxa"/>
            <w:shd w:val="clear" w:color="auto" w:fill="FFFFFF"/>
            <w:tcMar>
              <w:left w:w="60" w:type="dxa"/>
              <w:right w:w="60" w:type="dxa"/>
            </w:tcMar>
            <w:vAlign w:val="center"/>
          </w:tcPr>
          <w:p w14:paraId="19CC04CF"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701" w:type="dxa"/>
            <w:shd w:val="clear" w:color="auto" w:fill="FFFFFF"/>
            <w:tcMar>
              <w:left w:w="60" w:type="dxa"/>
              <w:right w:w="60" w:type="dxa"/>
            </w:tcMar>
            <w:vAlign w:val="center"/>
          </w:tcPr>
          <w:p w14:paraId="42E1427B"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56C034E2"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3183D8DC" w14:textId="77777777" w:rsidTr="00800E62">
        <w:trPr>
          <w:cantSplit/>
          <w:trHeight w:val="250"/>
        </w:trPr>
        <w:tc>
          <w:tcPr>
            <w:tcW w:w="4111" w:type="dxa"/>
            <w:shd w:val="clear" w:color="auto" w:fill="FFFFFF"/>
            <w:tcMar>
              <w:left w:w="60" w:type="dxa"/>
              <w:right w:w="60" w:type="dxa"/>
            </w:tcMar>
            <w:vAlign w:val="center"/>
          </w:tcPr>
          <w:p w14:paraId="3DD06DFC" w14:textId="77777777" w:rsidR="00576FE1" w:rsidRPr="002809F3" w:rsidRDefault="00576FE1" w:rsidP="00115CD6">
            <w:pPr>
              <w:keepNext/>
              <w:adjustRightInd w:val="0"/>
              <w:spacing w:after="0" w:line="240" w:lineRule="auto"/>
              <w:rPr>
                <w:b/>
                <w:color w:val="000000"/>
              </w:rPr>
            </w:pPr>
            <w:r w:rsidRPr="002809F3">
              <w:rPr>
                <w:b/>
                <w:color w:val="000000"/>
              </w:rPr>
              <w:t>Gastrointestinal disorders</w:t>
            </w:r>
          </w:p>
        </w:tc>
        <w:tc>
          <w:tcPr>
            <w:tcW w:w="1559" w:type="dxa"/>
            <w:shd w:val="clear" w:color="auto" w:fill="FFFFFF"/>
            <w:tcMar>
              <w:left w:w="60" w:type="dxa"/>
              <w:right w:w="60" w:type="dxa"/>
            </w:tcMar>
            <w:vAlign w:val="center"/>
          </w:tcPr>
          <w:p w14:paraId="00183351" w14:textId="77777777" w:rsidR="00576FE1" w:rsidRPr="002809F3" w:rsidRDefault="00576FE1" w:rsidP="00115CD6">
            <w:pPr>
              <w:keepNext/>
              <w:adjustRightInd w:val="0"/>
              <w:spacing w:after="0" w:line="240" w:lineRule="auto"/>
              <w:jc w:val="center"/>
              <w:rPr>
                <w:b/>
                <w:color w:val="000000"/>
              </w:rPr>
            </w:pPr>
            <w:r w:rsidRPr="002809F3">
              <w:rPr>
                <w:b/>
                <w:color w:val="000000"/>
              </w:rPr>
              <w:t>1 (0.4%)</w:t>
            </w:r>
          </w:p>
        </w:tc>
        <w:tc>
          <w:tcPr>
            <w:tcW w:w="1701" w:type="dxa"/>
            <w:shd w:val="clear" w:color="auto" w:fill="FFFFFF"/>
            <w:tcMar>
              <w:left w:w="60" w:type="dxa"/>
              <w:right w:w="60" w:type="dxa"/>
            </w:tcMar>
            <w:vAlign w:val="center"/>
          </w:tcPr>
          <w:p w14:paraId="3B756AF1" w14:textId="77777777" w:rsidR="00576FE1" w:rsidRPr="002809F3" w:rsidRDefault="00576FE1" w:rsidP="00115CD6">
            <w:pPr>
              <w:keepNext/>
              <w:adjustRightInd w:val="0"/>
              <w:spacing w:after="0" w:line="240" w:lineRule="auto"/>
              <w:jc w:val="center"/>
              <w:rPr>
                <w:b/>
                <w:color w:val="000000"/>
              </w:rPr>
            </w:pPr>
            <w:r>
              <w:rPr>
                <w:b/>
                <w:color w:val="000000"/>
              </w:rPr>
              <w:t>1</w:t>
            </w:r>
            <w:r w:rsidRPr="002809F3">
              <w:rPr>
                <w:b/>
                <w:color w:val="000000"/>
              </w:rPr>
              <w:t xml:space="preserve"> (</w:t>
            </w:r>
            <w:r>
              <w:rPr>
                <w:b/>
                <w:color w:val="000000"/>
              </w:rPr>
              <w:t>0</w:t>
            </w:r>
            <w:r w:rsidRPr="002809F3">
              <w:rPr>
                <w:b/>
                <w:color w:val="000000"/>
              </w:rPr>
              <w:t>.</w:t>
            </w:r>
            <w:r>
              <w:rPr>
                <w:b/>
                <w:color w:val="000000"/>
              </w:rPr>
              <w:t>4</w:t>
            </w:r>
            <w:r w:rsidRPr="002809F3">
              <w:rPr>
                <w:b/>
                <w:color w:val="000000"/>
              </w:rPr>
              <w:t>%)</w:t>
            </w:r>
          </w:p>
        </w:tc>
        <w:tc>
          <w:tcPr>
            <w:tcW w:w="1359" w:type="dxa"/>
            <w:shd w:val="clear" w:color="auto" w:fill="FFFFFF"/>
            <w:tcMar>
              <w:left w:w="60" w:type="dxa"/>
              <w:right w:w="60" w:type="dxa"/>
            </w:tcMar>
            <w:vAlign w:val="center"/>
          </w:tcPr>
          <w:p w14:paraId="22946217" w14:textId="77777777" w:rsidR="00576FE1" w:rsidRPr="002809F3" w:rsidRDefault="00576FE1" w:rsidP="00115CD6">
            <w:pPr>
              <w:keepNext/>
              <w:adjustRightInd w:val="0"/>
              <w:spacing w:after="0" w:line="240" w:lineRule="auto"/>
              <w:jc w:val="center"/>
              <w:rPr>
                <w:b/>
                <w:color w:val="000000"/>
              </w:rPr>
            </w:pPr>
            <w:r>
              <w:rPr>
                <w:b/>
                <w:color w:val="000000"/>
              </w:rPr>
              <w:t>2</w:t>
            </w:r>
            <w:r w:rsidRPr="002809F3">
              <w:rPr>
                <w:b/>
                <w:color w:val="000000"/>
              </w:rPr>
              <w:t xml:space="preserve"> (0.</w:t>
            </w:r>
            <w:r>
              <w:rPr>
                <w:b/>
                <w:color w:val="000000"/>
              </w:rPr>
              <w:t>4</w:t>
            </w:r>
            <w:r w:rsidRPr="002809F3">
              <w:rPr>
                <w:b/>
                <w:color w:val="000000"/>
              </w:rPr>
              <w:t>%)</w:t>
            </w:r>
          </w:p>
        </w:tc>
      </w:tr>
      <w:tr w:rsidR="00576FE1" w:rsidRPr="002809F3" w14:paraId="626643F2" w14:textId="77777777" w:rsidTr="00800E62">
        <w:trPr>
          <w:cantSplit/>
          <w:trHeight w:val="272"/>
        </w:trPr>
        <w:tc>
          <w:tcPr>
            <w:tcW w:w="4111" w:type="dxa"/>
            <w:shd w:val="clear" w:color="auto" w:fill="FFFFFF"/>
            <w:tcMar>
              <w:left w:w="60" w:type="dxa"/>
              <w:right w:w="60" w:type="dxa"/>
            </w:tcMar>
            <w:vAlign w:val="center"/>
          </w:tcPr>
          <w:p w14:paraId="2A2334DC" w14:textId="77777777" w:rsidR="00576FE1" w:rsidRPr="002809F3" w:rsidRDefault="00576FE1" w:rsidP="00115CD6">
            <w:pPr>
              <w:spacing w:after="0" w:line="240" w:lineRule="auto"/>
              <w:rPr>
                <w:color w:val="000000"/>
              </w:rPr>
            </w:pPr>
            <w:r w:rsidRPr="002809F3">
              <w:rPr>
                <w:color w:val="000000"/>
              </w:rPr>
              <w:t>Colitis ulcerative</w:t>
            </w:r>
          </w:p>
        </w:tc>
        <w:tc>
          <w:tcPr>
            <w:tcW w:w="1559" w:type="dxa"/>
            <w:shd w:val="clear" w:color="auto" w:fill="FFFFFF"/>
            <w:tcMar>
              <w:left w:w="60" w:type="dxa"/>
              <w:right w:w="60" w:type="dxa"/>
            </w:tcMar>
            <w:vAlign w:val="center"/>
          </w:tcPr>
          <w:p w14:paraId="23AF9398"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701" w:type="dxa"/>
            <w:shd w:val="clear" w:color="auto" w:fill="FFFFFF"/>
            <w:tcMar>
              <w:left w:w="60" w:type="dxa"/>
              <w:right w:w="60" w:type="dxa"/>
            </w:tcMar>
            <w:vAlign w:val="center"/>
          </w:tcPr>
          <w:p w14:paraId="21BE067D"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359" w:type="dxa"/>
            <w:shd w:val="clear" w:color="auto" w:fill="FFFFFF"/>
            <w:tcMar>
              <w:left w:w="60" w:type="dxa"/>
              <w:right w:w="60" w:type="dxa"/>
            </w:tcMar>
            <w:vAlign w:val="center"/>
          </w:tcPr>
          <w:p w14:paraId="120B9BD7"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093A4842" w14:textId="77777777" w:rsidTr="00800E62">
        <w:trPr>
          <w:cantSplit/>
          <w:trHeight w:val="250"/>
        </w:trPr>
        <w:tc>
          <w:tcPr>
            <w:tcW w:w="4111" w:type="dxa"/>
            <w:shd w:val="clear" w:color="auto" w:fill="FFFFFF"/>
            <w:tcMar>
              <w:left w:w="60" w:type="dxa"/>
              <w:right w:w="60" w:type="dxa"/>
            </w:tcMar>
            <w:vAlign w:val="center"/>
          </w:tcPr>
          <w:p w14:paraId="084987A4" w14:textId="77777777" w:rsidR="00576FE1" w:rsidRPr="002809F3" w:rsidRDefault="00576FE1" w:rsidP="00115CD6">
            <w:pPr>
              <w:spacing w:after="0" w:line="240" w:lineRule="auto"/>
              <w:rPr>
                <w:color w:val="000000"/>
              </w:rPr>
            </w:pPr>
            <w:proofErr w:type="spellStart"/>
            <w:r w:rsidRPr="002809F3">
              <w:rPr>
                <w:color w:val="000000"/>
              </w:rPr>
              <w:t>Diarrhoea</w:t>
            </w:r>
            <w:proofErr w:type="spellEnd"/>
          </w:p>
        </w:tc>
        <w:tc>
          <w:tcPr>
            <w:tcW w:w="1559" w:type="dxa"/>
            <w:shd w:val="clear" w:color="auto" w:fill="FFFFFF"/>
            <w:tcMar>
              <w:left w:w="60" w:type="dxa"/>
              <w:right w:w="60" w:type="dxa"/>
            </w:tcMar>
            <w:vAlign w:val="center"/>
          </w:tcPr>
          <w:p w14:paraId="07E54133"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701" w:type="dxa"/>
            <w:shd w:val="clear" w:color="auto" w:fill="FFFFFF"/>
            <w:tcMar>
              <w:left w:w="60" w:type="dxa"/>
              <w:right w:w="60" w:type="dxa"/>
            </w:tcMar>
            <w:vAlign w:val="center"/>
          </w:tcPr>
          <w:p w14:paraId="0102F1DC"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69053E77"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27D7EE2D" w14:textId="77777777" w:rsidTr="00800E62">
        <w:trPr>
          <w:cantSplit/>
          <w:trHeight w:val="272"/>
        </w:trPr>
        <w:tc>
          <w:tcPr>
            <w:tcW w:w="4111" w:type="dxa"/>
            <w:shd w:val="clear" w:color="auto" w:fill="FFFFFF"/>
            <w:tcMar>
              <w:left w:w="60" w:type="dxa"/>
              <w:right w:w="60" w:type="dxa"/>
            </w:tcMar>
            <w:vAlign w:val="center"/>
          </w:tcPr>
          <w:p w14:paraId="1BF2AF92" w14:textId="77777777" w:rsidR="00576FE1" w:rsidRPr="002809F3" w:rsidRDefault="00576FE1" w:rsidP="00115CD6">
            <w:pPr>
              <w:spacing w:after="0" w:line="240" w:lineRule="auto"/>
              <w:rPr>
                <w:color w:val="000000"/>
              </w:rPr>
            </w:pPr>
            <w:r w:rsidRPr="002809F3">
              <w:rPr>
                <w:color w:val="000000"/>
              </w:rPr>
              <w:t>Vomiting</w:t>
            </w:r>
          </w:p>
        </w:tc>
        <w:tc>
          <w:tcPr>
            <w:tcW w:w="1559" w:type="dxa"/>
            <w:shd w:val="clear" w:color="auto" w:fill="FFFFFF"/>
            <w:tcMar>
              <w:left w:w="60" w:type="dxa"/>
              <w:right w:w="60" w:type="dxa"/>
            </w:tcMar>
            <w:vAlign w:val="center"/>
          </w:tcPr>
          <w:p w14:paraId="4846323B"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701" w:type="dxa"/>
            <w:shd w:val="clear" w:color="auto" w:fill="FFFFFF"/>
            <w:tcMar>
              <w:left w:w="60" w:type="dxa"/>
              <w:right w:w="60" w:type="dxa"/>
            </w:tcMar>
            <w:vAlign w:val="center"/>
          </w:tcPr>
          <w:p w14:paraId="4801D222"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08E72DE2"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68495B87" w14:textId="77777777" w:rsidTr="00800E62">
        <w:trPr>
          <w:cantSplit/>
          <w:trHeight w:val="250"/>
        </w:trPr>
        <w:tc>
          <w:tcPr>
            <w:tcW w:w="4111" w:type="dxa"/>
            <w:shd w:val="clear" w:color="auto" w:fill="FFFFFF"/>
            <w:tcMar>
              <w:left w:w="60" w:type="dxa"/>
              <w:right w:w="60" w:type="dxa"/>
            </w:tcMar>
            <w:vAlign w:val="center"/>
          </w:tcPr>
          <w:p w14:paraId="21D8FB3B" w14:textId="77777777" w:rsidR="00576FE1" w:rsidRPr="002809F3" w:rsidRDefault="00576FE1" w:rsidP="00115CD6">
            <w:pPr>
              <w:spacing w:after="0" w:line="240" w:lineRule="auto"/>
              <w:rPr>
                <w:color w:val="000000"/>
              </w:rPr>
            </w:pPr>
            <w:r w:rsidRPr="002809F3">
              <w:rPr>
                <w:color w:val="000000"/>
              </w:rPr>
              <w:t>Dry mouth</w:t>
            </w:r>
          </w:p>
        </w:tc>
        <w:tc>
          <w:tcPr>
            <w:tcW w:w="1559" w:type="dxa"/>
            <w:shd w:val="clear" w:color="auto" w:fill="FFFFFF"/>
            <w:tcMar>
              <w:left w:w="60" w:type="dxa"/>
              <w:right w:w="60" w:type="dxa"/>
            </w:tcMar>
            <w:vAlign w:val="center"/>
          </w:tcPr>
          <w:p w14:paraId="1C2AD9D5"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701" w:type="dxa"/>
            <w:shd w:val="clear" w:color="auto" w:fill="FFFFFF"/>
            <w:tcMar>
              <w:left w:w="60" w:type="dxa"/>
              <w:right w:w="60" w:type="dxa"/>
            </w:tcMar>
            <w:vAlign w:val="center"/>
          </w:tcPr>
          <w:p w14:paraId="32F37A3A"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41A4BF3D"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155DADD6" w14:textId="77777777" w:rsidTr="00800E62">
        <w:trPr>
          <w:cantSplit/>
          <w:trHeight w:val="272"/>
        </w:trPr>
        <w:tc>
          <w:tcPr>
            <w:tcW w:w="4111" w:type="dxa"/>
            <w:shd w:val="clear" w:color="auto" w:fill="FFFFFF"/>
            <w:tcMar>
              <w:left w:w="60" w:type="dxa"/>
              <w:right w:w="60" w:type="dxa"/>
            </w:tcMar>
            <w:vAlign w:val="center"/>
          </w:tcPr>
          <w:p w14:paraId="6149381C" w14:textId="77777777" w:rsidR="00576FE1" w:rsidRPr="002809F3" w:rsidRDefault="00576FE1" w:rsidP="00115CD6">
            <w:pPr>
              <w:keepNext/>
              <w:adjustRightInd w:val="0"/>
              <w:spacing w:after="0" w:line="240" w:lineRule="auto"/>
              <w:rPr>
                <w:b/>
                <w:color w:val="000000"/>
              </w:rPr>
            </w:pPr>
            <w:r w:rsidRPr="002809F3">
              <w:rPr>
                <w:b/>
                <w:color w:val="000000"/>
              </w:rPr>
              <w:t>Nervous system disorders</w:t>
            </w:r>
          </w:p>
        </w:tc>
        <w:tc>
          <w:tcPr>
            <w:tcW w:w="1559" w:type="dxa"/>
            <w:shd w:val="clear" w:color="auto" w:fill="FFFFFF"/>
            <w:tcMar>
              <w:left w:w="60" w:type="dxa"/>
              <w:right w:w="60" w:type="dxa"/>
            </w:tcMar>
            <w:vAlign w:val="center"/>
          </w:tcPr>
          <w:p w14:paraId="50FA83DB" w14:textId="77777777" w:rsidR="00576FE1" w:rsidRPr="002809F3" w:rsidRDefault="00576FE1" w:rsidP="00115CD6">
            <w:pPr>
              <w:keepNext/>
              <w:adjustRightInd w:val="0"/>
              <w:spacing w:after="0" w:line="240" w:lineRule="auto"/>
              <w:jc w:val="center"/>
              <w:rPr>
                <w:b/>
                <w:color w:val="000000"/>
              </w:rPr>
            </w:pPr>
            <w:r>
              <w:rPr>
                <w:b/>
                <w:color w:val="000000"/>
              </w:rPr>
              <w:t>2</w:t>
            </w:r>
            <w:r w:rsidRPr="002809F3">
              <w:rPr>
                <w:b/>
                <w:color w:val="000000"/>
              </w:rPr>
              <w:t xml:space="preserve"> (</w:t>
            </w:r>
            <w:r>
              <w:rPr>
                <w:b/>
                <w:color w:val="000000"/>
              </w:rPr>
              <w:t>0</w:t>
            </w:r>
            <w:r w:rsidRPr="002809F3">
              <w:rPr>
                <w:b/>
                <w:color w:val="000000"/>
              </w:rPr>
              <w:t>.</w:t>
            </w:r>
            <w:r>
              <w:rPr>
                <w:b/>
                <w:color w:val="000000"/>
              </w:rPr>
              <w:t>8</w:t>
            </w:r>
            <w:r w:rsidRPr="002809F3">
              <w:rPr>
                <w:b/>
                <w:color w:val="000000"/>
              </w:rPr>
              <w:t>%)</w:t>
            </w:r>
          </w:p>
        </w:tc>
        <w:tc>
          <w:tcPr>
            <w:tcW w:w="1701" w:type="dxa"/>
            <w:shd w:val="clear" w:color="auto" w:fill="FFFFFF"/>
            <w:tcMar>
              <w:left w:w="60" w:type="dxa"/>
              <w:right w:w="60" w:type="dxa"/>
            </w:tcMar>
            <w:vAlign w:val="center"/>
          </w:tcPr>
          <w:p w14:paraId="35A141CD" w14:textId="77777777" w:rsidR="00576FE1" w:rsidRPr="002809F3" w:rsidRDefault="00576FE1" w:rsidP="00115CD6">
            <w:pPr>
              <w:keepNext/>
              <w:adjustRightInd w:val="0"/>
              <w:spacing w:after="0" w:line="240" w:lineRule="auto"/>
              <w:jc w:val="center"/>
              <w:rPr>
                <w:b/>
                <w:color w:val="000000"/>
              </w:rPr>
            </w:pPr>
            <w:r w:rsidRPr="002809F3">
              <w:rPr>
                <w:b/>
                <w:color w:val="000000"/>
              </w:rPr>
              <w:t>1 (0.4%)</w:t>
            </w:r>
          </w:p>
        </w:tc>
        <w:tc>
          <w:tcPr>
            <w:tcW w:w="1359" w:type="dxa"/>
            <w:shd w:val="clear" w:color="auto" w:fill="FFFFFF"/>
            <w:tcMar>
              <w:left w:w="60" w:type="dxa"/>
              <w:right w:w="60" w:type="dxa"/>
            </w:tcMar>
            <w:vAlign w:val="center"/>
          </w:tcPr>
          <w:p w14:paraId="066615C4" w14:textId="77777777" w:rsidR="00576FE1" w:rsidRPr="002809F3" w:rsidRDefault="00576FE1" w:rsidP="00115CD6">
            <w:pPr>
              <w:keepNext/>
              <w:adjustRightInd w:val="0"/>
              <w:spacing w:after="0" w:line="240" w:lineRule="auto"/>
              <w:jc w:val="center"/>
              <w:rPr>
                <w:b/>
                <w:color w:val="000000"/>
              </w:rPr>
            </w:pPr>
            <w:r>
              <w:rPr>
                <w:b/>
                <w:color w:val="000000"/>
              </w:rPr>
              <w:t>3</w:t>
            </w:r>
            <w:r w:rsidRPr="002809F3">
              <w:rPr>
                <w:b/>
                <w:color w:val="000000"/>
              </w:rPr>
              <w:t xml:space="preserve"> (0.</w:t>
            </w:r>
            <w:r>
              <w:rPr>
                <w:b/>
                <w:color w:val="000000"/>
              </w:rPr>
              <w:t>6</w:t>
            </w:r>
            <w:r w:rsidRPr="002809F3">
              <w:rPr>
                <w:b/>
                <w:color w:val="000000"/>
              </w:rPr>
              <w:t>%)</w:t>
            </w:r>
          </w:p>
        </w:tc>
      </w:tr>
      <w:tr w:rsidR="00576FE1" w:rsidRPr="002809F3" w14:paraId="342AB264" w14:textId="77777777" w:rsidTr="00800E62">
        <w:trPr>
          <w:cantSplit/>
          <w:trHeight w:val="250"/>
        </w:trPr>
        <w:tc>
          <w:tcPr>
            <w:tcW w:w="4111" w:type="dxa"/>
            <w:shd w:val="clear" w:color="auto" w:fill="FFFFFF"/>
            <w:tcMar>
              <w:left w:w="60" w:type="dxa"/>
              <w:right w:w="60" w:type="dxa"/>
            </w:tcMar>
            <w:vAlign w:val="center"/>
          </w:tcPr>
          <w:p w14:paraId="45E2B5F8" w14:textId="77777777" w:rsidR="00576FE1" w:rsidRPr="002809F3" w:rsidRDefault="00576FE1" w:rsidP="00115CD6">
            <w:pPr>
              <w:spacing w:after="0" w:line="240" w:lineRule="auto"/>
              <w:rPr>
                <w:color w:val="000000"/>
              </w:rPr>
            </w:pPr>
            <w:r w:rsidRPr="002809F3">
              <w:rPr>
                <w:color w:val="000000"/>
              </w:rPr>
              <w:t xml:space="preserve">Cerebral </w:t>
            </w:r>
            <w:proofErr w:type="spellStart"/>
            <w:r w:rsidRPr="002809F3">
              <w:rPr>
                <w:color w:val="000000"/>
              </w:rPr>
              <w:t>haemorrhage</w:t>
            </w:r>
            <w:proofErr w:type="spellEnd"/>
          </w:p>
        </w:tc>
        <w:tc>
          <w:tcPr>
            <w:tcW w:w="1559" w:type="dxa"/>
            <w:shd w:val="clear" w:color="auto" w:fill="FFFFFF"/>
            <w:tcMar>
              <w:left w:w="60" w:type="dxa"/>
              <w:right w:w="60" w:type="dxa"/>
            </w:tcMar>
            <w:vAlign w:val="center"/>
          </w:tcPr>
          <w:p w14:paraId="256BD305"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701" w:type="dxa"/>
            <w:shd w:val="clear" w:color="auto" w:fill="FFFFFF"/>
            <w:tcMar>
              <w:left w:w="60" w:type="dxa"/>
              <w:right w:w="60" w:type="dxa"/>
            </w:tcMar>
            <w:vAlign w:val="center"/>
          </w:tcPr>
          <w:p w14:paraId="348B3E2F"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359" w:type="dxa"/>
            <w:shd w:val="clear" w:color="auto" w:fill="FFFFFF"/>
            <w:tcMar>
              <w:left w:w="60" w:type="dxa"/>
              <w:right w:w="60" w:type="dxa"/>
            </w:tcMar>
            <w:vAlign w:val="center"/>
          </w:tcPr>
          <w:p w14:paraId="5CDD62F8"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314B08BA" w14:textId="77777777" w:rsidTr="00800E62">
        <w:trPr>
          <w:cantSplit/>
          <w:trHeight w:val="272"/>
        </w:trPr>
        <w:tc>
          <w:tcPr>
            <w:tcW w:w="4111" w:type="dxa"/>
            <w:shd w:val="clear" w:color="auto" w:fill="FFFFFF"/>
            <w:tcMar>
              <w:left w:w="60" w:type="dxa"/>
              <w:right w:w="60" w:type="dxa"/>
            </w:tcMar>
            <w:vAlign w:val="center"/>
          </w:tcPr>
          <w:p w14:paraId="650A6830" w14:textId="77777777" w:rsidR="00576FE1" w:rsidRPr="002809F3" w:rsidRDefault="00576FE1" w:rsidP="00115CD6">
            <w:pPr>
              <w:spacing w:after="0" w:line="240" w:lineRule="auto"/>
              <w:rPr>
                <w:color w:val="000000"/>
              </w:rPr>
            </w:pPr>
            <w:r w:rsidRPr="002809F3">
              <w:rPr>
                <w:color w:val="000000"/>
              </w:rPr>
              <w:t>Memory impairment</w:t>
            </w:r>
          </w:p>
        </w:tc>
        <w:tc>
          <w:tcPr>
            <w:tcW w:w="1559" w:type="dxa"/>
            <w:shd w:val="clear" w:color="auto" w:fill="FFFFFF"/>
            <w:tcMar>
              <w:left w:w="60" w:type="dxa"/>
              <w:right w:w="60" w:type="dxa"/>
            </w:tcMar>
            <w:vAlign w:val="center"/>
          </w:tcPr>
          <w:p w14:paraId="5B4BECAD"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701" w:type="dxa"/>
            <w:shd w:val="clear" w:color="auto" w:fill="FFFFFF"/>
            <w:tcMar>
              <w:left w:w="60" w:type="dxa"/>
              <w:right w:w="60" w:type="dxa"/>
            </w:tcMar>
            <w:vAlign w:val="center"/>
          </w:tcPr>
          <w:p w14:paraId="0AC390A0"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359" w:type="dxa"/>
            <w:shd w:val="clear" w:color="auto" w:fill="FFFFFF"/>
            <w:tcMar>
              <w:left w:w="60" w:type="dxa"/>
              <w:right w:w="60" w:type="dxa"/>
            </w:tcMar>
            <w:vAlign w:val="center"/>
          </w:tcPr>
          <w:p w14:paraId="0B90138F"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22B1D98B" w14:textId="77777777" w:rsidTr="00800E62">
        <w:trPr>
          <w:cantSplit/>
          <w:trHeight w:val="250"/>
        </w:trPr>
        <w:tc>
          <w:tcPr>
            <w:tcW w:w="4111" w:type="dxa"/>
            <w:shd w:val="clear" w:color="auto" w:fill="FFFFFF"/>
            <w:tcMar>
              <w:left w:w="60" w:type="dxa"/>
              <w:right w:w="60" w:type="dxa"/>
            </w:tcMar>
            <w:vAlign w:val="center"/>
          </w:tcPr>
          <w:p w14:paraId="269A8EC1" w14:textId="77777777" w:rsidR="00576FE1" w:rsidRPr="002809F3" w:rsidRDefault="00576FE1" w:rsidP="00115CD6">
            <w:pPr>
              <w:spacing w:after="0" w:line="240" w:lineRule="auto"/>
              <w:rPr>
                <w:color w:val="000000"/>
              </w:rPr>
            </w:pPr>
            <w:r w:rsidRPr="002809F3">
              <w:rPr>
                <w:color w:val="000000"/>
              </w:rPr>
              <w:t>Mental impairment</w:t>
            </w:r>
          </w:p>
        </w:tc>
        <w:tc>
          <w:tcPr>
            <w:tcW w:w="1559" w:type="dxa"/>
            <w:shd w:val="clear" w:color="auto" w:fill="FFFFFF"/>
            <w:tcMar>
              <w:left w:w="60" w:type="dxa"/>
              <w:right w:w="60" w:type="dxa"/>
            </w:tcMar>
            <w:vAlign w:val="center"/>
          </w:tcPr>
          <w:p w14:paraId="12634B06"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701" w:type="dxa"/>
            <w:shd w:val="clear" w:color="auto" w:fill="FFFFFF"/>
            <w:tcMar>
              <w:left w:w="60" w:type="dxa"/>
              <w:right w:w="60" w:type="dxa"/>
            </w:tcMar>
            <w:vAlign w:val="center"/>
          </w:tcPr>
          <w:p w14:paraId="0641CE8B"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359" w:type="dxa"/>
            <w:shd w:val="clear" w:color="auto" w:fill="FFFFFF"/>
            <w:tcMar>
              <w:left w:w="60" w:type="dxa"/>
              <w:right w:w="60" w:type="dxa"/>
            </w:tcMar>
            <w:vAlign w:val="center"/>
          </w:tcPr>
          <w:p w14:paraId="259D682A"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55EE9A91" w14:textId="77777777" w:rsidTr="00800E62">
        <w:trPr>
          <w:cantSplit/>
          <w:trHeight w:val="272"/>
        </w:trPr>
        <w:tc>
          <w:tcPr>
            <w:tcW w:w="4111" w:type="dxa"/>
            <w:shd w:val="clear" w:color="auto" w:fill="FFFFFF"/>
            <w:tcMar>
              <w:left w:w="60" w:type="dxa"/>
              <w:right w:w="60" w:type="dxa"/>
            </w:tcMar>
            <w:vAlign w:val="center"/>
          </w:tcPr>
          <w:p w14:paraId="1BF36B83" w14:textId="77777777" w:rsidR="00576FE1" w:rsidRPr="002809F3" w:rsidRDefault="00576FE1" w:rsidP="00115CD6">
            <w:pPr>
              <w:spacing w:after="0" w:line="240" w:lineRule="auto"/>
              <w:rPr>
                <w:color w:val="000000"/>
              </w:rPr>
            </w:pPr>
            <w:r w:rsidRPr="002809F3">
              <w:rPr>
                <w:color w:val="000000"/>
              </w:rPr>
              <w:t>Burning sensation</w:t>
            </w:r>
          </w:p>
        </w:tc>
        <w:tc>
          <w:tcPr>
            <w:tcW w:w="1559" w:type="dxa"/>
            <w:shd w:val="clear" w:color="auto" w:fill="FFFFFF"/>
            <w:tcMar>
              <w:left w:w="60" w:type="dxa"/>
              <w:right w:w="60" w:type="dxa"/>
            </w:tcMar>
            <w:vAlign w:val="center"/>
          </w:tcPr>
          <w:p w14:paraId="6470350A"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701" w:type="dxa"/>
            <w:shd w:val="clear" w:color="auto" w:fill="FFFFFF"/>
            <w:tcMar>
              <w:left w:w="60" w:type="dxa"/>
              <w:right w:w="60" w:type="dxa"/>
            </w:tcMar>
            <w:vAlign w:val="center"/>
          </w:tcPr>
          <w:p w14:paraId="3FAFA02B"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4FA05BCD"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2A2A8690" w14:textId="77777777" w:rsidTr="00800E62">
        <w:trPr>
          <w:cantSplit/>
          <w:trHeight w:val="250"/>
        </w:trPr>
        <w:tc>
          <w:tcPr>
            <w:tcW w:w="4111" w:type="dxa"/>
            <w:shd w:val="clear" w:color="auto" w:fill="FFFFFF"/>
            <w:tcMar>
              <w:left w:w="60" w:type="dxa"/>
              <w:right w:w="60" w:type="dxa"/>
            </w:tcMar>
            <w:vAlign w:val="center"/>
          </w:tcPr>
          <w:p w14:paraId="3DAC9760" w14:textId="77777777" w:rsidR="00576FE1" w:rsidRPr="002809F3" w:rsidRDefault="00576FE1" w:rsidP="00115CD6">
            <w:pPr>
              <w:keepNext/>
              <w:adjustRightInd w:val="0"/>
              <w:spacing w:after="0" w:line="240" w:lineRule="auto"/>
              <w:rPr>
                <w:b/>
                <w:color w:val="000000"/>
                <w:lang w:val="en-GB"/>
              </w:rPr>
            </w:pPr>
            <w:r w:rsidRPr="002809F3">
              <w:rPr>
                <w:b/>
                <w:color w:val="000000"/>
                <w:lang w:val="en-GB"/>
              </w:rPr>
              <w:t>Injury, poisoning and procedural complications</w:t>
            </w:r>
          </w:p>
        </w:tc>
        <w:tc>
          <w:tcPr>
            <w:tcW w:w="1559" w:type="dxa"/>
            <w:shd w:val="clear" w:color="auto" w:fill="FFFFFF"/>
            <w:tcMar>
              <w:left w:w="60" w:type="dxa"/>
              <w:right w:w="60" w:type="dxa"/>
            </w:tcMar>
            <w:vAlign w:val="center"/>
          </w:tcPr>
          <w:p w14:paraId="21380A87" w14:textId="77777777" w:rsidR="00576FE1" w:rsidRPr="002809F3" w:rsidRDefault="00576FE1" w:rsidP="00115CD6">
            <w:pPr>
              <w:keepNext/>
              <w:adjustRightInd w:val="0"/>
              <w:spacing w:after="0" w:line="240" w:lineRule="auto"/>
              <w:jc w:val="center"/>
              <w:rPr>
                <w:b/>
                <w:color w:val="000000"/>
              </w:rPr>
            </w:pPr>
            <w:r w:rsidRPr="002809F3">
              <w:rPr>
                <w:b/>
                <w:color w:val="000000"/>
              </w:rPr>
              <w:t>1 (0.4%)</w:t>
            </w:r>
          </w:p>
        </w:tc>
        <w:tc>
          <w:tcPr>
            <w:tcW w:w="1701" w:type="dxa"/>
            <w:shd w:val="clear" w:color="auto" w:fill="FFFFFF"/>
            <w:tcMar>
              <w:left w:w="60" w:type="dxa"/>
              <w:right w:w="60" w:type="dxa"/>
            </w:tcMar>
            <w:vAlign w:val="center"/>
          </w:tcPr>
          <w:p w14:paraId="7DF8AFE9" w14:textId="77777777" w:rsidR="00576FE1" w:rsidRPr="002809F3" w:rsidRDefault="00576FE1" w:rsidP="00115CD6">
            <w:pPr>
              <w:keepNext/>
              <w:adjustRightInd w:val="0"/>
              <w:spacing w:after="0" w:line="240" w:lineRule="auto"/>
              <w:jc w:val="center"/>
              <w:rPr>
                <w:b/>
                <w:color w:val="000000"/>
              </w:rPr>
            </w:pPr>
            <w:r w:rsidRPr="002809F3">
              <w:rPr>
                <w:b/>
                <w:color w:val="000000"/>
              </w:rPr>
              <w:t>2 (0.8%)</w:t>
            </w:r>
          </w:p>
        </w:tc>
        <w:tc>
          <w:tcPr>
            <w:tcW w:w="1359" w:type="dxa"/>
            <w:shd w:val="clear" w:color="auto" w:fill="FFFFFF"/>
            <w:tcMar>
              <w:left w:w="60" w:type="dxa"/>
              <w:right w:w="60" w:type="dxa"/>
            </w:tcMar>
            <w:vAlign w:val="center"/>
          </w:tcPr>
          <w:p w14:paraId="488179CD" w14:textId="77777777" w:rsidR="00576FE1" w:rsidRPr="002809F3" w:rsidRDefault="00576FE1" w:rsidP="00115CD6">
            <w:pPr>
              <w:keepNext/>
              <w:adjustRightInd w:val="0"/>
              <w:spacing w:after="0" w:line="240" w:lineRule="auto"/>
              <w:jc w:val="center"/>
              <w:rPr>
                <w:b/>
                <w:color w:val="000000"/>
              </w:rPr>
            </w:pPr>
            <w:r w:rsidRPr="002809F3">
              <w:rPr>
                <w:b/>
                <w:color w:val="000000"/>
              </w:rPr>
              <w:t>3 (0.6%)</w:t>
            </w:r>
          </w:p>
        </w:tc>
      </w:tr>
      <w:tr w:rsidR="00576FE1" w:rsidRPr="002809F3" w14:paraId="167B5D01" w14:textId="77777777" w:rsidTr="00800E62">
        <w:trPr>
          <w:cantSplit/>
          <w:trHeight w:val="272"/>
        </w:trPr>
        <w:tc>
          <w:tcPr>
            <w:tcW w:w="4111" w:type="dxa"/>
            <w:shd w:val="clear" w:color="auto" w:fill="FFFFFF"/>
            <w:tcMar>
              <w:left w:w="60" w:type="dxa"/>
              <w:right w:w="60" w:type="dxa"/>
            </w:tcMar>
            <w:vAlign w:val="center"/>
          </w:tcPr>
          <w:p w14:paraId="3C791B07" w14:textId="77777777" w:rsidR="00576FE1" w:rsidRPr="00B04639" w:rsidRDefault="00576FE1" w:rsidP="00115CD6">
            <w:pPr>
              <w:spacing w:after="0" w:line="240" w:lineRule="auto"/>
              <w:rPr>
                <w:color w:val="000000"/>
              </w:rPr>
            </w:pPr>
            <w:r w:rsidRPr="00B04639">
              <w:rPr>
                <w:color w:val="000000"/>
              </w:rPr>
              <w:t>Skin injury</w:t>
            </w:r>
          </w:p>
        </w:tc>
        <w:tc>
          <w:tcPr>
            <w:tcW w:w="1559" w:type="dxa"/>
            <w:shd w:val="clear" w:color="auto" w:fill="FFFFFF"/>
            <w:tcMar>
              <w:left w:w="60" w:type="dxa"/>
              <w:right w:w="60" w:type="dxa"/>
            </w:tcMar>
            <w:vAlign w:val="center"/>
          </w:tcPr>
          <w:p w14:paraId="0D0EB7C8"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701" w:type="dxa"/>
            <w:shd w:val="clear" w:color="auto" w:fill="FFFFFF"/>
            <w:tcMar>
              <w:left w:w="60" w:type="dxa"/>
              <w:right w:w="60" w:type="dxa"/>
            </w:tcMar>
            <w:vAlign w:val="center"/>
          </w:tcPr>
          <w:p w14:paraId="08AD3E24"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79358D51"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06072076" w14:textId="77777777" w:rsidTr="00800E62">
        <w:trPr>
          <w:cantSplit/>
          <w:trHeight w:val="250"/>
        </w:trPr>
        <w:tc>
          <w:tcPr>
            <w:tcW w:w="4111" w:type="dxa"/>
            <w:shd w:val="clear" w:color="auto" w:fill="FFFFFF"/>
            <w:tcMar>
              <w:left w:w="60" w:type="dxa"/>
              <w:right w:w="60" w:type="dxa"/>
            </w:tcMar>
            <w:vAlign w:val="center"/>
          </w:tcPr>
          <w:p w14:paraId="15ABBD84" w14:textId="77777777" w:rsidR="00576FE1" w:rsidRPr="00B04639" w:rsidRDefault="00576FE1" w:rsidP="00115CD6">
            <w:pPr>
              <w:spacing w:after="0" w:line="240" w:lineRule="auto"/>
              <w:rPr>
                <w:color w:val="000000"/>
              </w:rPr>
            </w:pPr>
            <w:r w:rsidRPr="00B04639">
              <w:rPr>
                <w:color w:val="000000"/>
              </w:rPr>
              <w:t>Ankle fracture</w:t>
            </w:r>
          </w:p>
        </w:tc>
        <w:tc>
          <w:tcPr>
            <w:tcW w:w="1559" w:type="dxa"/>
            <w:shd w:val="clear" w:color="auto" w:fill="FFFFFF"/>
            <w:tcMar>
              <w:left w:w="60" w:type="dxa"/>
              <w:right w:w="60" w:type="dxa"/>
            </w:tcMar>
            <w:vAlign w:val="center"/>
          </w:tcPr>
          <w:p w14:paraId="789235BC"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701" w:type="dxa"/>
            <w:shd w:val="clear" w:color="auto" w:fill="FFFFFF"/>
            <w:tcMar>
              <w:left w:w="60" w:type="dxa"/>
              <w:right w:w="60" w:type="dxa"/>
            </w:tcMar>
            <w:vAlign w:val="center"/>
          </w:tcPr>
          <w:p w14:paraId="1C2463C3"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359" w:type="dxa"/>
            <w:shd w:val="clear" w:color="auto" w:fill="FFFFFF"/>
            <w:tcMar>
              <w:left w:w="60" w:type="dxa"/>
              <w:right w:w="60" w:type="dxa"/>
            </w:tcMar>
            <w:vAlign w:val="center"/>
          </w:tcPr>
          <w:p w14:paraId="3B13EA0F"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03D69910" w14:textId="77777777" w:rsidTr="00800E62">
        <w:trPr>
          <w:cantSplit/>
          <w:trHeight w:val="272"/>
        </w:trPr>
        <w:tc>
          <w:tcPr>
            <w:tcW w:w="4111" w:type="dxa"/>
            <w:shd w:val="clear" w:color="auto" w:fill="auto"/>
            <w:tcMar>
              <w:left w:w="60" w:type="dxa"/>
              <w:right w:w="60" w:type="dxa"/>
            </w:tcMar>
            <w:vAlign w:val="center"/>
          </w:tcPr>
          <w:p w14:paraId="5A750EA1" w14:textId="77777777" w:rsidR="00576FE1" w:rsidRPr="00B04639" w:rsidRDefault="00576FE1" w:rsidP="00115CD6">
            <w:pPr>
              <w:spacing w:after="0" w:line="240" w:lineRule="auto"/>
              <w:rPr>
                <w:color w:val="000000"/>
              </w:rPr>
            </w:pPr>
            <w:r w:rsidRPr="00B04639">
              <w:rPr>
                <w:color w:val="000000"/>
              </w:rPr>
              <w:t>Muscle injury</w:t>
            </w:r>
          </w:p>
        </w:tc>
        <w:tc>
          <w:tcPr>
            <w:tcW w:w="1559" w:type="dxa"/>
            <w:shd w:val="clear" w:color="auto" w:fill="FFFFFF"/>
            <w:tcMar>
              <w:left w:w="60" w:type="dxa"/>
              <w:right w:w="60" w:type="dxa"/>
            </w:tcMar>
            <w:vAlign w:val="center"/>
          </w:tcPr>
          <w:p w14:paraId="57BF266E"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701" w:type="dxa"/>
            <w:shd w:val="clear" w:color="auto" w:fill="FFFFFF"/>
            <w:tcMar>
              <w:left w:w="60" w:type="dxa"/>
              <w:right w:w="60" w:type="dxa"/>
            </w:tcMar>
            <w:vAlign w:val="center"/>
          </w:tcPr>
          <w:p w14:paraId="5B323209"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2FB66893"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3F3BB79D" w14:textId="77777777" w:rsidTr="00800E62">
        <w:trPr>
          <w:cantSplit/>
          <w:trHeight w:val="250"/>
        </w:trPr>
        <w:tc>
          <w:tcPr>
            <w:tcW w:w="4111" w:type="dxa"/>
            <w:shd w:val="clear" w:color="auto" w:fill="auto"/>
            <w:tcMar>
              <w:left w:w="60" w:type="dxa"/>
              <w:right w:w="60" w:type="dxa"/>
            </w:tcMar>
            <w:vAlign w:val="center"/>
          </w:tcPr>
          <w:p w14:paraId="5ABA9D21" w14:textId="77777777" w:rsidR="00576FE1" w:rsidRPr="00B04639" w:rsidRDefault="00576FE1" w:rsidP="00115CD6">
            <w:pPr>
              <w:keepNext/>
              <w:adjustRightInd w:val="0"/>
              <w:spacing w:after="0" w:line="240" w:lineRule="auto"/>
              <w:rPr>
                <w:b/>
                <w:color w:val="000000"/>
              </w:rPr>
            </w:pPr>
            <w:r w:rsidRPr="00B04639">
              <w:rPr>
                <w:b/>
                <w:color w:val="000000"/>
              </w:rPr>
              <w:t>Metabolism and nutrition disorders</w:t>
            </w:r>
          </w:p>
        </w:tc>
        <w:tc>
          <w:tcPr>
            <w:tcW w:w="1559" w:type="dxa"/>
            <w:shd w:val="clear" w:color="auto" w:fill="FFFFFF"/>
            <w:tcMar>
              <w:left w:w="60" w:type="dxa"/>
              <w:right w:w="60" w:type="dxa"/>
            </w:tcMar>
            <w:vAlign w:val="center"/>
          </w:tcPr>
          <w:p w14:paraId="442ADC2C" w14:textId="77777777" w:rsidR="00576FE1" w:rsidRPr="002809F3" w:rsidRDefault="00576FE1" w:rsidP="00115CD6">
            <w:pPr>
              <w:keepNext/>
              <w:adjustRightInd w:val="0"/>
              <w:spacing w:after="0" w:line="240" w:lineRule="auto"/>
              <w:jc w:val="center"/>
              <w:rPr>
                <w:b/>
                <w:color w:val="000000"/>
              </w:rPr>
            </w:pPr>
            <w:r w:rsidRPr="002809F3">
              <w:rPr>
                <w:b/>
                <w:color w:val="000000"/>
              </w:rPr>
              <w:t>1 (0.4%)</w:t>
            </w:r>
          </w:p>
        </w:tc>
        <w:tc>
          <w:tcPr>
            <w:tcW w:w="1701" w:type="dxa"/>
            <w:shd w:val="clear" w:color="auto" w:fill="FFFFFF"/>
            <w:tcMar>
              <w:left w:w="60" w:type="dxa"/>
              <w:right w:w="60" w:type="dxa"/>
            </w:tcMar>
            <w:vAlign w:val="center"/>
          </w:tcPr>
          <w:p w14:paraId="3B4D4E04" w14:textId="77777777" w:rsidR="00576FE1" w:rsidRPr="002809F3" w:rsidRDefault="00576FE1" w:rsidP="00115CD6">
            <w:pPr>
              <w:keepNext/>
              <w:adjustRightInd w:val="0"/>
              <w:spacing w:after="0" w:line="240" w:lineRule="auto"/>
              <w:jc w:val="center"/>
              <w:rPr>
                <w:b/>
                <w:color w:val="000000"/>
              </w:rPr>
            </w:pPr>
            <w:r w:rsidRPr="002809F3">
              <w:rPr>
                <w:b/>
                <w:color w:val="000000"/>
              </w:rPr>
              <w:t>1 (0.4%)</w:t>
            </w:r>
          </w:p>
        </w:tc>
        <w:tc>
          <w:tcPr>
            <w:tcW w:w="1359" w:type="dxa"/>
            <w:shd w:val="clear" w:color="auto" w:fill="FFFFFF"/>
            <w:tcMar>
              <w:left w:w="60" w:type="dxa"/>
              <w:right w:w="60" w:type="dxa"/>
            </w:tcMar>
            <w:vAlign w:val="center"/>
          </w:tcPr>
          <w:p w14:paraId="1FB6B49D" w14:textId="77777777" w:rsidR="00576FE1" w:rsidRPr="002809F3" w:rsidRDefault="00576FE1" w:rsidP="00115CD6">
            <w:pPr>
              <w:keepNext/>
              <w:adjustRightInd w:val="0"/>
              <w:spacing w:after="0" w:line="240" w:lineRule="auto"/>
              <w:jc w:val="center"/>
              <w:rPr>
                <w:b/>
                <w:color w:val="000000"/>
              </w:rPr>
            </w:pPr>
            <w:r w:rsidRPr="002809F3">
              <w:rPr>
                <w:b/>
                <w:color w:val="000000"/>
              </w:rPr>
              <w:t>2 (0.4%)</w:t>
            </w:r>
          </w:p>
        </w:tc>
      </w:tr>
      <w:tr w:rsidR="00576FE1" w:rsidRPr="002809F3" w14:paraId="6DD175F0" w14:textId="77777777" w:rsidTr="00800E62">
        <w:trPr>
          <w:cantSplit/>
          <w:trHeight w:val="272"/>
        </w:trPr>
        <w:tc>
          <w:tcPr>
            <w:tcW w:w="4111" w:type="dxa"/>
            <w:shd w:val="clear" w:color="auto" w:fill="auto"/>
            <w:tcMar>
              <w:left w:w="60" w:type="dxa"/>
              <w:right w:w="60" w:type="dxa"/>
            </w:tcMar>
            <w:vAlign w:val="center"/>
          </w:tcPr>
          <w:p w14:paraId="70FFCDEF" w14:textId="77777777" w:rsidR="00576FE1" w:rsidRPr="00B04639" w:rsidRDefault="00576FE1" w:rsidP="00115CD6">
            <w:pPr>
              <w:spacing w:after="0" w:line="240" w:lineRule="auto"/>
              <w:rPr>
                <w:color w:val="000000"/>
              </w:rPr>
            </w:pPr>
            <w:proofErr w:type="spellStart"/>
            <w:r w:rsidRPr="00B04639">
              <w:rPr>
                <w:color w:val="000000"/>
              </w:rPr>
              <w:t>Hyperamylasaemia</w:t>
            </w:r>
            <w:proofErr w:type="spellEnd"/>
          </w:p>
        </w:tc>
        <w:tc>
          <w:tcPr>
            <w:tcW w:w="1559" w:type="dxa"/>
            <w:shd w:val="clear" w:color="auto" w:fill="FFFFFF"/>
            <w:tcMar>
              <w:left w:w="60" w:type="dxa"/>
              <w:right w:w="60" w:type="dxa"/>
            </w:tcMar>
            <w:vAlign w:val="center"/>
          </w:tcPr>
          <w:p w14:paraId="208C4A1B"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701" w:type="dxa"/>
            <w:shd w:val="clear" w:color="auto" w:fill="FFFFFF"/>
            <w:tcMar>
              <w:left w:w="60" w:type="dxa"/>
              <w:right w:w="60" w:type="dxa"/>
            </w:tcMar>
            <w:vAlign w:val="center"/>
          </w:tcPr>
          <w:p w14:paraId="4103A016"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359" w:type="dxa"/>
            <w:shd w:val="clear" w:color="auto" w:fill="FFFFFF"/>
            <w:tcMar>
              <w:left w:w="60" w:type="dxa"/>
              <w:right w:w="60" w:type="dxa"/>
            </w:tcMar>
            <w:vAlign w:val="center"/>
          </w:tcPr>
          <w:p w14:paraId="43214143"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7287209F" w14:textId="77777777" w:rsidTr="00800E62">
        <w:trPr>
          <w:cantSplit/>
          <w:trHeight w:val="250"/>
        </w:trPr>
        <w:tc>
          <w:tcPr>
            <w:tcW w:w="4111" w:type="dxa"/>
            <w:shd w:val="clear" w:color="auto" w:fill="auto"/>
            <w:tcMar>
              <w:left w:w="60" w:type="dxa"/>
              <w:right w:w="60" w:type="dxa"/>
            </w:tcMar>
            <w:vAlign w:val="center"/>
          </w:tcPr>
          <w:p w14:paraId="17A666C9" w14:textId="77777777" w:rsidR="00576FE1" w:rsidRPr="00B04639" w:rsidRDefault="00576FE1" w:rsidP="00115CD6">
            <w:pPr>
              <w:spacing w:after="0" w:line="240" w:lineRule="auto"/>
              <w:rPr>
                <w:color w:val="000000"/>
              </w:rPr>
            </w:pPr>
            <w:r w:rsidRPr="00B04639">
              <w:rPr>
                <w:color w:val="000000"/>
              </w:rPr>
              <w:t>Decreased appetite</w:t>
            </w:r>
          </w:p>
        </w:tc>
        <w:tc>
          <w:tcPr>
            <w:tcW w:w="1559" w:type="dxa"/>
            <w:shd w:val="clear" w:color="auto" w:fill="FFFFFF"/>
            <w:tcMar>
              <w:left w:w="60" w:type="dxa"/>
              <w:right w:w="60" w:type="dxa"/>
            </w:tcMar>
            <w:vAlign w:val="center"/>
          </w:tcPr>
          <w:p w14:paraId="65C1E464"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701" w:type="dxa"/>
            <w:shd w:val="clear" w:color="auto" w:fill="FFFFFF"/>
            <w:tcMar>
              <w:left w:w="60" w:type="dxa"/>
              <w:right w:w="60" w:type="dxa"/>
            </w:tcMar>
            <w:vAlign w:val="center"/>
          </w:tcPr>
          <w:p w14:paraId="5A63B315"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3DDA15E7"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65BBD9CD" w14:textId="77777777" w:rsidTr="00800E62">
        <w:trPr>
          <w:cantSplit/>
          <w:trHeight w:val="272"/>
        </w:trPr>
        <w:tc>
          <w:tcPr>
            <w:tcW w:w="4111" w:type="dxa"/>
            <w:shd w:val="clear" w:color="auto" w:fill="auto"/>
            <w:tcMar>
              <w:left w:w="60" w:type="dxa"/>
              <w:right w:w="60" w:type="dxa"/>
            </w:tcMar>
            <w:vAlign w:val="center"/>
          </w:tcPr>
          <w:p w14:paraId="44FB6E92" w14:textId="77777777" w:rsidR="00576FE1" w:rsidRPr="00B04639" w:rsidRDefault="00576FE1" w:rsidP="00115CD6">
            <w:pPr>
              <w:spacing w:after="0" w:line="240" w:lineRule="auto"/>
              <w:rPr>
                <w:b/>
                <w:color w:val="000000"/>
              </w:rPr>
            </w:pPr>
            <w:r w:rsidRPr="00B04639">
              <w:rPr>
                <w:b/>
                <w:color w:val="000000"/>
              </w:rPr>
              <w:t>Vascular disorders</w:t>
            </w:r>
          </w:p>
        </w:tc>
        <w:tc>
          <w:tcPr>
            <w:tcW w:w="1559" w:type="dxa"/>
            <w:shd w:val="clear" w:color="auto" w:fill="FFFFFF"/>
            <w:tcMar>
              <w:left w:w="60" w:type="dxa"/>
              <w:right w:w="60" w:type="dxa"/>
            </w:tcMar>
            <w:vAlign w:val="center"/>
          </w:tcPr>
          <w:p w14:paraId="7CCDA5C9" w14:textId="77777777" w:rsidR="00576FE1" w:rsidRPr="002809F3" w:rsidRDefault="00576FE1" w:rsidP="00115CD6">
            <w:pPr>
              <w:keepNext/>
              <w:adjustRightInd w:val="0"/>
              <w:spacing w:after="0" w:line="240" w:lineRule="auto"/>
              <w:jc w:val="center"/>
              <w:rPr>
                <w:b/>
                <w:color w:val="000000"/>
              </w:rPr>
            </w:pPr>
            <w:r w:rsidRPr="002809F3">
              <w:rPr>
                <w:b/>
                <w:color w:val="000000"/>
              </w:rPr>
              <w:t>2 (0.8%)</w:t>
            </w:r>
          </w:p>
        </w:tc>
        <w:tc>
          <w:tcPr>
            <w:tcW w:w="1701" w:type="dxa"/>
            <w:shd w:val="clear" w:color="auto" w:fill="FFFFFF"/>
            <w:tcMar>
              <w:left w:w="60" w:type="dxa"/>
              <w:right w:w="60" w:type="dxa"/>
            </w:tcMar>
            <w:vAlign w:val="center"/>
          </w:tcPr>
          <w:p w14:paraId="785E0C8C" w14:textId="77777777" w:rsidR="00576FE1" w:rsidRPr="002809F3" w:rsidRDefault="00576FE1" w:rsidP="00115CD6">
            <w:pPr>
              <w:keepNext/>
              <w:adjustRightInd w:val="0"/>
              <w:spacing w:after="0" w:line="240" w:lineRule="auto"/>
              <w:jc w:val="center"/>
              <w:rPr>
                <w:b/>
                <w:color w:val="000000"/>
              </w:rPr>
            </w:pPr>
            <w:r w:rsidRPr="002809F3">
              <w:rPr>
                <w:b/>
                <w:color w:val="000000"/>
              </w:rPr>
              <w:t>0 (0.0%)</w:t>
            </w:r>
          </w:p>
        </w:tc>
        <w:tc>
          <w:tcPr>
            <w:tcW w:w="1359" w:type="dxa"/>
            <w:shd w:val="clear" w:color="auto" w:fill="FFFFFF"/>
            <w:tcMar>
              <w:left w:w="60" w:type="dxa"/>
              <w:right w:w="60" w:type="dxa"/>
            </w:tcMar>
            <w:vAlign w:val="center"/>
          </w:tcPr>
          <w:p w14:paraId="4B1452DE" w14:textId="77777777" w:rsidR="00576FE1" w:rsidRPr="002809F3" w:rsidRDefault="00576FE1" w:rsidP="00115CD6">
            <w:pPr>
              <w:keepNext/>
              <w:adjustRightInd w:val="0"/>
              <w:spacing w:after="0" w:line="240" w:lineRule="auto"/>
              <w:jc w:val="center"/>
              <w:rPr>
                <w:b/>
                <w:color w:val="000000"/>
              </w:rPr>
            </w:pPr>
            <w:r w:rsidRPr="002809F3">
              <w:rPr>
                <w:b/>
                <w:color w:val="000000"/>
              </w:rPr>
              <w:t>2 (0.4%)</w:t>
            </w:r>
          </w:p>
        </w:tc>
      </w:tr>
      <w:tr w:rsidR="00576FE1" w:rsidRPr="002809F3" w14:paraId="4CFF2CF5" w14:textId="77777777" w:rsidTr="00800E62">
        <w:trPr>
          <w:cantSplit/>
          <w:trHeight w:val="250"/>
        </w:trPr>
        <w:tc>
          <w:tcPr>
            <w:tcW w:w="4111" w:type="dxa"/>
            <w:shd w:val="clear" w:color="auto" w:fill="FFFFFF"/>
            <w:tcMar>
              <w:left w:w="60" w:type="dxa"/>
              <w:right w:w="60" w:type="dxa"/>
            </w:tcMar>
            <w:vAlign w:val="center"/>
          </w:tcPr>
          <w:p w14:paraId="729F6E6D" w14:textId="77777777" w:rsidR="00576FE1" w:rsidRPr="00B04639" w:rsidRDefault="00576FE1" w:rsidP="00115CD6">
            <w:pPr>
              <w:spacing w:after="0" w:line="240" w:lineRule="auto"/>
              <w:rPr>
                <w:color w:val="000000"/>
              </w:rPr>
            </w:pPr>
            <w:r w:rsidRPr="00B04639">
              <w:rPr>
                <w:color w:val="000000"/>
              </w:rPr>
              <w:t>Aortic stenosis</w:t>
            </w:r>
          </w:p>
        </w:tc>
        <w:tc>
          <w:tcPr>
            <w:tcW w:w="1559" w:type="dxa"/>
            <w:shd w:val="clear" w:color="auto" w:fill="FFFFFF"/>
            <w:tcMar>
              <w:left w:w="60" w:type="dxa"/>
              <w:right w:w="60" w:type="dxa"/>
            </w:tcMar>
            <w:vAlign w:val="center"/>
          </w:tcPr>
          <w:p w14:paraId="695C4D72"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701" w:type="dxa"/>
            <w:shd w:val="clear" w:color="auto" w:fill="FFFFFF"/>
            <w:tcMar>
              <w:left w:w="60" w:type="dxa"/>
              <w:right w:w="60" w:type="dxa"/>
            </w:tcMar>
            <w:vAlign w:val="center"/>
          </w:tcPr>
          <w:p w14:paraId="15140661"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359" w:type="dxa"/>
            <w:shd w:val="clear" w:color="auto" w:fill="FFFFFF"/>
            <w:tcMar>
              <w:left w:w="60" w:type="dxa"/>
              <w:right w:w="60" w:type="dxa"/>
            </w:tcMar>
            <w:vAlign w:val="center"/>
          </w:tcPr>
          <w:p w14:paraId="3C45634C"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0FA24A39" w14:textId="77777777" w:rsidTr="00800E62">
        <w:trPr>
          <w:cantSplit/>
          <w:trHeight w:val="272"/>
        </w:trPr>
        <w:tc>
          <w:tcPr>
            <w:tcW w:w="4111" w:type="dxa"/>
            <w:shd w:val="clear" w:color="auto" w:fill="FFFFFF"/>
            <w:tcMar>
              <w:left w:w="60" w:type="dxa"/>
              <w:right w:w="60" w:type="dxa"/>
            </w:tcMar>
            <w:vAlign w:val="center"/>
          </w:tcPr>
          <w:p w14:paraId="746C7E61" w14:textId="77777777" w:rsidR="00576FE1" w:rsidRPr="00B04639" w:rsidRDefault="00576FE1" w:rsidP="00115CD6">
            <w:pPr>
              <w:spacing w:after="0" w:line="240" w:lineRule="auto"/>
              <w:rPr>
                <w:color w:val="000000"/>
              </w:rPr>
            </w:pPr>
            <w:r w:rsidRPr="00B04639">
              <w:rPr>
                <w:color w:val="000000"/>
              </w:rPr>
              <w:t xml:space="preserve">Peripheral </w:t>
            </w:r>
            <w:proofErr w:type="spellStart"/>
            <w:r w:rsidRPr="00B04639">
              <w:rPr>
                <w:color w:val="000000"/>
              </w:rPr>
              <w:t>ischaemia</w:t>
            </w:r>
            <w:proofErr w:type="spellEnd"/>
          </w:p>
        </w:tc>
        <w:tc>
          <w:tcPr>
            <w:tcW w:w="1559" w:type="dxa"/>
            <w:shd w:val="clear" w:color="auto" w:fill="FFFFFF"/>
            <w:tcMar>
              <w:left w:w="60" w:type="dxa"/>
              <w:right w:w="60" w:type="dxa"/>
            </w:tcMar>
            <w:vAlign w:val="center"/>
          </w:tcPr>
          <w:p w14:paraId="0139451B"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701" w:type="dxa"/>
            <w:shd w:val="clear" w:color="auto" w:fill="FFFFFF"/>
            <w:tcMar>
              <w:left w:w="60" w:type="dxa"/>
              <w:right w:w="60" w:type="dxa"/>
            </w:tcMar>
            <w:vAlign w:val="center"/>
          </w:tcPr>
          <w:p w14:paraId="0D1CC5A6"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359" w:type="dxa"/>
            <w:shd w:val="clear" w:color="auto" w:fill="FFFFFF"/>
            <w:tcMar>
              <w:left w:w="60" w:type="dxa"/>
              <w:right w:w="60" w:type="dxa"/>
            </w:tcMar>
            <w:vAlign w:val="center"/>
          </w:tcPr>
          <w:p w14:paraId="23D7248F"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24D63266" w14:textId="77777777" w:rsidTr="00800E62">
        <w:trPr>
          <w:cantSplit/>
          <w:trHeight w:val="250"/>
        </w:trPr>
        <w:tc>
          <w:tcPr>
            <w:tcW w:w="4111" w:type="dxa"/>
            <w:shd w:val="clear" w:color="auto" w:fill="FFFFFF"/>
            <w:tcMar>
              <w:left w:w="60" w:type="dxa"/>
              <w:right w:w="60" w:type="dxa"/>
            </w:tcMar>
            <w:vAlign w:val="center"/>
          </w:tcPr>
          <w:p w14:paraId="60061461" w14:textId="77777777" w:rsidR="00576FE1" w:rsidRPr="00B04639" w:rsidRDefault="00576FE1" w:rsidP="00115CD6">
            <w:pPr>
              <w:keepNext/>
              <w:adjustRightInd w:val="0"/>
              <w:spacing w:after="0" w:line="240" w:lineRule="auto"/>
              <w:rPr>
                <w:b/>
                <w:color w:val="000000"/>
                <w:lang w:val="en-GB"/>
              </w:rPr>
            </w:pPr>
            <w:r w:rsidRPr="00B04639">
              <w:rPr>
                <w:b/>
                <w:color w:val="000000"/>
                <w:lang w:val="en-GB"/>
              </w:rPr>
              <w:t>Musculoskeletal and connective tissue disorders</w:t>
            </w:r>
          </w:p>
        </w:tc>
        <w:tc>
          <w:tcPr>
            <w:tcW w:w="1559" w:type="dxa"/>
            <w:shd w:val="clear" w:color="auto" w:fill="FFFFFF"/>
            <w:tcMar>
              <w:left w:w="60" w:type="dxa"/>
              <w:right w:w="60" w:type="dxa"/>
            </w:tcMar>
            <w:vAlign w:val="center"/>
          </w:tcPr>
          <w:p w14:paraId="6448C11D" w14:textId="77777777" w:rsidR="00576FE1" w:rsidRPr="002809F3" w:rsidRDefault="00576FE1" w:rsidP="00115CD6">
            <w:pPr>
              <w:keepNext/>
              <w:adjustRightInd w:val="0"/>
              <w:spacing w:after="0" w:line="240" w:lineRule="auto"/>
              <w:jc w:val="center"/>
              <w:rPr>
                <w:b/>
                <w:color w:val="000000"/>
              </w:rPr>
            </w:pPr>
            <w:r w:rsidRPr="002809F3">
              <w:rPr>
                <w:b/>
                <w:color w:val="000000"/>
              </w:rPr>
              <w:t>1 (0.4%)</w:t>
            </w:r>
          </w:p>
        </w:tc>
        <w:tc>
          <w:tcPr>
            <w:tcW w:w="1701" w:type="dxa"/>
            <w:shd w:val="clear" w:color="auto" w:fill="FFFFFF"/>
            <w:tcMar>
              <w:left w:w="60" w:type="dxa"/>
              <w:right w:w="60" w:type="dxa"/>
            </w:tcMar>
            <w:vAlign w:val="center"/>
          </w:tcPr>
          <w:p w14:paraId="56255F08" w14:textId="77777777" w:rsidR="00576FE1" w:rsidRPr="002809F3" w:rsidRDefault="00576FE1" w:rsidP="00115CD6">
            <w:pPr>
              <w:keepNext/>
              <w:adjustRightInd w:val="0"/>
              <w:spacing w:after="0" w:line="240" w:lineRule="auto"/>
              <w:jc w:val="center"/>
              <w:rPr>
                <w:b/>
                <w:color w:val="000000"/>
              </w:rPr>
            </w:pPr>
            <w:r w:rsidRPr="002809F3">
              <w:rPr>
                <w:b/>
                <w:color w:val="000000"/>
              </w:rPr>
              <w:t>0 (0.0%)</w:t>
            </w:r>
          </w:p>
        </w:tc>
        <w:tc>
          <w:tcPr>
            <w:tcW w:w="1359" w:type="dxa"/>
            <w:shd w:val="clear" w:color="auto" w:fill="FFFFFF"/>
            <w:tcMar>
              <w:left w:w="60" w:type="dxa"/>
              <w:right w:w="60" w:type="dxa"/>
            </w:tcMar>
            <w:vAlign w:val="center"/>
          </w:tcPr>
          <w:p w14:paraId="72BBAC84" w14:textId="77777777" w:rsidR="00576FE1" w:rsidRPr="002809F3" w:rsidRDefault="00576FE1" w:rsidP="00115CD6">
            <w:pPr>
              <w:keepNext/>
              <w:adjustRightInd w:val="0"/>
              <w:spacing w:after="0" w:line="240" w:lineRule="auto"/>
              <w:jc w:val="center"/>
              <w:rPr>
                <w:b/>
                <w:color w:val="000000"/>
              </w:rPr>
            </w:pPr>
            <w:r w:rsidRPr="002809F3">
              <w:rPr>
                <w:b/>
                <w:color w:val="000000"/>
              </w:rPr>
              <w:t>1 (0.2%)</w:t>
            </w:r>
          </w:p>
        </w:tc>
      </w:tr>
      <w:tr w:rsidR="00576FE1" w:rsidRPr="002809F3" w14:paraId="538F0BD1" w14:textId="77777777" w:rsidTr="00800E62">
        <w:trPr>
          <w:cantSplit/>
          <w:trHeight w:val="272"/>
        </w:trPr>
        <w:tc>
          <w:tcPr>
            <w:tcW w:w="4111" w:type="dxa"/>
            <w:shd w:val="clear" w:color="auto" w:fill="FFFFFF"/>
            <w:tcMar>
              <w:left w:w="60" w:type="dxa"/>
              <w:right w:w="60" w:type="dxa"/>
            </w:tcMar>
            <w:vAlign w:val="center"/>
          </w:tcPr>
          <w:p w14:paraId="48584301" w14:textId="77777777" w:rsidR="00576FE1" w:rsidRPr="002809F3" w:rsidRDefault="00576FE1" w:rsidP="00115CD6">
            <w:pPr>
              <w:spacing w:after="0" w:line="240" w:lineRule="auto"/>
              <w:rPr>
                <w:color w:val="000000"/>
              </w:rPr>
            </w:pPr>
            <w:r w:rsidRPr="002809F3">
              <w:rPr>
                <w:color w:val="000000"/>
              </w:rPr>
              <w:t>Osteoarthritis</w:t>
            </w:r>
          </w:p>
        </w:tc>
        <w:tc>
          <w:tcPr>
            <w:tcW w:w="1559" w:type="dxa"/>
            <w:shd w:val="clear" w:color="auto" w:fill="FFFFFF"/>
            <w:tcMar>
              <w:left w:w="60" w:type="dxa"/>
              <w:right w:w="60" w:type="dxa"/>
            </w:tcMar>
            <w:vAlign w:val="center"/>
          </w:tcPr>
          <w:p w14:paraId="7D0F4FEE"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701" w:type="dxa"/>
            <w:shd w:val="clear" w:color="auto" w:fill="FFFFFF"/>
            <w:tcMar>
              <w:left w:w="60" w:type="dxa"/>
              <w:right w:w="60" w:type="dxa"/>
            </w:tcMar>
            <w:vAlign w:val="center"/>
          </w:tcPr>
          <w:p w14:paraId="4F7A641B"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359" w:type="dxa"/>
            <w:shd w:val="clear" w:color="auto" w:fill="FFFFFF"/>
            <w:tcMar>
              <w:left w:w="60" w:type="dxa"/>
              <w:right w:w="60" w:type="dxa"/>
            </w:tcMar>
            <w:vAlign w:val="center"/>
          </w:tcPr>
          <w:p w14:paraId="255F4962"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633D09D6" w14:textId="77777777" w:rsidTr="00800E62">
        <w:trPr>
          <w:cantSplit/>
          <w:trHeight w:val="522"/>
        </w:trPr>
        <w:tc>
          <w:tcPr>
            <w:tcW w:w="4111" w:type="dxa"/>
            <w:shd w:val="clear" w:color="auto" w:fill="FFFFFF"/>
            <w:tcMar>
              <w:left w:w="60" w:type="dxa"/>
              <w:right w:w="60" w:type="dxa"/>
            </w:tcMar>
            <w:vAlign w:val="center"/>
          </w:tcPr>
          <w:p w14:paraId="31C53B40" w14:textId="77777777" w:rsidR="00576FE1" w:rsidRPr="002809F3" w:rsidRDefault="00576FE1" w:rsidP="00115CD6">
            <w:pPr>
              <w:keepNext/>
              <w:adjustRightInd w:val="0"/>
              <w:spacing w:after="0" w:line="240" w:lineRule="auto"/>
              <w:rPr>
                <w:b/>
                <w:color w:val="000000"/>
                <w:lang w:val="en-GB"/>
              </w:rPr>
            </w:pPr>
            <w:r w:rsidRPr="002809F3">
              <w:rPr>
                <w:b/>
                <w:color w:val="000000"/>
                <w:lang w:val="en-GB"/>
              </w:rPr>
              <w:lastRenderedPageBreak/>
              <w:t>General disorders and administration site conditions</w:t>
            </w:r>
          </w:p>
        </w:tc>
        <w:tc>
          <w:tcPr>
            <w:tcW w:w="1559" w:type="dxa"/>
            <w:shd w:val="clear" w:color="auto" w:fill="FFFFFF"/>
            <w:tcMar>
              <w:left w:w="60" w:type="dxa"/>
              <w:right w:w="60" w:type="dxa"/>
            </w:tcMar>
            <w:vAlign w:val="center"/>
          </w:tcPr>
          <w:p w14:paraId="767ED66C" w14:textId="77777777" w:rsidR="00576FE1" w:rsidRPr="002809F3" w:rsidRDefault="00576FE1" w:rsidP="00115CD6">
            <w:pPr>
              <w:keepNext/>
              <w:adjustRightInd w:val="0"/>
              <w:spacing w:after="0" w:line="240" w:lineRule="auto"/>
              <w:jc w:val="center"/>
              <w:rPr>
                <w:b/>
                <w:color w:val="000000"/>
              </w:rPr>
            </w:pPr>
            <w:r w:rsidRPr="002809F3">
              <w:rPr>
                <w:b/>
                <w:color w:val="000000"/>
              </w:rPr>
              <w:t>0 (0.0%)</w:t>
            </w:r>
          </w:p>
        </w:tc>
        <w:tc>
          <w:tcPr>
            <w:tcW w:w="1701" w:type="dxa"/>
            <w:shd w:val="clear" w:color="auto" w:fill="FFFFFF"/>
            <w:tcMar>
              <w:left w:w="60" w:type="dxa"/>
              <w:right w:w="60" w:type="dxa"/>
            </w:tcMar>
            <w:vAlign w:val="center"/>
          </w:tcPr>
          <w:p w14:paraId="7AF4D4B5" w14:textId="77777777" w:rsidR="00576FE1" w:rsidRPr="002809F3" w:rsidRDefault="00576FE1" w:rsidP="00115CD6">
            <w:pPr>
              <w:keepNext/>
              <w:adjustRightInd w:val="0"/>
              <w:spacing w:after="0" w:line="240" w:lineRule="auto"/>
              <w:jc w:val="center"/>
              <w:rPr>
                <w:b/>
                <w:color w:val="000000"/>
              </w:rPr>
            </w:pPr>
            <w:r w:rsidRPr="002809F3">
              <w:rPr>
                <w:b/>
                <w:color w:val="000000"/>
              </w:rPr>
              <w:t>1 (0.4%)</w:t>
            </w:r>
          </w:p>
        </w:tc>
        <w:tc>
          <w:tcPr>
            <w:tcW w:w="1359" w:type="dxa"/>
            <w:shd w:val="clear" w:color="auto" w:fill="FFFFFF"/>
            <w:tcMar>
              <w:left w:w="60" w:type="dxa"/>
              <w:right w:w="60" w:type="dxa"/>
            </w:tcMar>
            <w:vAlign w:val="center"/>
          </w:tcPr>
          <w:p w14:paraId="1D911E1D" w14:textId="77777777" w:rsidR="00576FE1" w:rsidRPr="002809F3" w:rsidRDefault="00576FE1" w:rsidP="00115CD6">
            <w:pPr>
              <w:keepNext/>
              <w:adjustRightInd w:val="0"/>
              <w:spacing w:after="0" w:line="240" w:lineRule="auto"/>
              <w:jc w:val="center"/>
              <w:rPr>
                <w:b/>
                <w:color w:val="000000"/>
              </w:rPr>
            </w:pPr>
            <w:r w:rsidRPr="002809F3">
              <w:rPr>
                <w:b/>
                <w:color w:val="000000"/>
              </w:rPr>
              <w:t>1 (0.2%)</w:t>
            </w:r>
          </w:p>
        </w:tc>
      </w:tr>
      <w:tr w:rsidR="00576FE1" w:rsidRPr="002809F3" w14:paraId="2E935208" w14:textId="77777777" w:rsidTr="00800E62">
        <w:trPr>
          <w:cantSplit/>
          <w:trHeight w:val="250"/>
        </w:trPr>
        <w:tc>
          <w:tcPr>
            <w:tcW w:w="4111" w:type="dxa"/>
            <w:shd w:val="clear" w:color="auto" w:fill="FFFFFF"/>
            <w:tcMar>
              <w:left w:w="60" w:type="dxa"/>
              <w:right w:w="60" w:type="dxa"/>
            </w:tcMar>
            <w:vAlign w:val="center"/>
          </w:tcPr>
          <w:p w14:paraId="37AF45A3" w14:textId="77777777" w:rsidR="00576FE1" w:rsidRPr="002809F3" w:rsidRDefault="00576FE1" w:rsidP="00115CD6">
            <w:pPr>
              <w:keepNext/>
              <w:adjustRightInd w:val="0"/>
              <w:spacing w:after="0" w:line="240" w:lineRule="auto"/>
              <w:rPr>
                <w:color w:val="000000"/>
              </w:rPr>
            </w:pPr>
            <w:r w:rsidRPr="002809F3">
              <w:rPr>
                <w:color w:val="000000"/>
              </w:rPr>
              <w:t>Chills</w:t>
            </w:r>
          </w:p>
        </w:tc>
        <w:tc>
          <w:tcPr>
            <w:tcW w:w="1559" w:type="dxa"/>
            <w:shd w:val="clear" w:color="auto" w:fill="FFFFFF"/>
            <w:tcMar>
              <w:left w:w="60" w:type="dxa"/>
              <w:right w:w="60" w:type="dxa"/>
            </w:tcMar>
            <w:vAlign w:val="center"/>
          </w:tcPr>
          <w:p w14:paraId="5A0F5175"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701" w:type="dxa"/>
            <w:shd w:val="clear" w:color="auto" w:fill="FFFFFF"/>
            <w:tcMar>
              <w:left w:w="60" w:type="dxa"/>
              <w:right w:w="60" w:type="dxa"/>
            </w:tcMar>
            <w:vAlign w:val="center"/>
          </w:tcPr>
          <w:p w14:paraId="18B4EE24"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70209F7C"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72EBF704" w14:textId="77777777" w:rsidTr="00800E62">
        <w:trPr>
          <w:cantSplit/>
          <w:trHeight w:val="272"/>
        </w:trPr>
        <w:tc>
          <w:tcPr>
            <w:tcW w:w="4111" w:type="dxa"/>
            <w:shd w:val="clear" w:color="auto" w:fill="FFFFFF"/>
            <w:tcMar>
              <w:left w:w="60" w:type="dxa"/>
              <w:right w:w="60" w:type="dxa"/>
            </w:tcMar>
            <w:vAlign w:val="center"/>
          </w:tcPr>
          <w:p w14:paraId="64BECBA7" w14:textId="77777777" w:rsidR="00576FE1" w:rsidRPr="002809F3" w:rsidRDefault="00576FE1" w:rsidP="00115CD6">
            <w:pPr>
              <w:spacing w:after="0" w:line="240" w:lineRule="auto"/>
              <w:rPr>
                <w:b/>
                <w:color w:val="000000"/>
                <w:lang w:val="en-GB"/>
              </w:rPr>
            </w:pPr>
            <w:r w:rsidRPr="002809F3">
              <w:rPr>
                <w:b/>
                <w:color w:val="000000"/>
                <w:lang w:val="en-GB"/>
              </w:rPr>
              <w:t>Skin and subcutaneous tissue disorders</w:t>
            </w:r>
          </w:p>
        </w:tc>
        <w:tc>
          <w:tcPr>
            <w:tcW w:w="1559" w:type="dxa"/>
            <w:shd w:val="clear" w:color="auto" w:fill="FFFFFF"/>
            <w:tcMar>
              <w:left w:w="60" w:type="dxa"/>
              <w:right w:w="60" w:type="dxa"/>
            </w:tcMar>
            <w:vAlign w:val="center"/>
          </w:tcPr>
          <w:p w14:paraId="0697C234"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701" w:type="dxa"/>
            <w:shd w:val="clear" w:color="auto" w:fill="FFFFFF"/>
            <w:tcMar>
              <w:left w:w="60" w:type="dxa"/>
              <w:right w:w="60" w:type="dxa"/>
            </w:tcMar>
            <w:vAlign w:val="center"/>
          </w:tcPr>
          <w:p w14:paraId="0701F406"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70FB4752"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r w:rsidR="00576FE1" w:rsidRPr="002809F3" w14:paraId="4E1E8926" w14:textId="77777777" w:rsidTr="00800E62">
        <w:trPr>
          <w:cantSplit/>
          <w:trHeight w:val="250"/>
        </w:trPr>
        <w:tc>
          <w:tcPr>
            <w:tcW w:w="4111" w:type="dxa"/>
            <w:shd w:val="clear" w:color="auto" w:fill="FFFFFF"/>
            <w:tcMar>
              <w:left w:w="60" w:type="dxa"/>
              <w:right w:w="60" w:type="dxa"/>
            </w:tcMar>
            <w:vAlign w:val="center"/>
          </w:tcPr>
          <w:p w14:paraId="617059C0" w14:textId="77777777" w:rsidR="00576FE1" w:rsidRPr="002809F3" w:rsidRDefault="00576FE1" w:rsidP="00115CD6">
            <w:pPr>
              <w:spacing w:after="0" w:line="240" w:lineRule="auto"/>
              <w:rPr>
                <w:color w:val="000000"/>
              </w:rPr>
            </w:pPr>
            <w:r w:rsidRPr="002809F3">
              <w:rPr>
                <w:color w:val="000000"/>
              </w:rPr>
              <w:t>Dermatitis</w:t>
            </w:r>
          </w:p>
        </w:tc>
        <w:tc>
          <w:tcPr>
            <w:tcW w:w="1559" w:type="dxa"/>
            <w:shd w:val="clear" w:color="auto" w:fill="FFFFFF"/>
            <w:tcMar>
              <w:left w:w="60" w:type="dxa"/>
              <w:right w:w="60" w:type="dxa"/>
            </w:tcMar>
            <w:vAlign w:val="center"/>
          </w:tcPr>
          <w:p w14:paraId="2E2FF9FC" w14:textId="77777777" w:rsidR="00576FE1" w:rsidRPr="002809F3" w:rsidRDefault="00576FE1" w:rsidP="00115CD6">
            <w:pPr>
              <w:keepNext/>
              <w:adjustRightInd w:val="0"/>
              <w:spacing w:after="0" w:line="240" w:lineRule="auto"/>
              <w:jc w:val="center"/>
              <w:rPr>
                <w:color w:val="000000"/>
              </w:rPr>
            </w:pPr>
            <w:r w:rsidRPr="002809F3">
              <w:rPr>
                <w:color w:val="000000"/>
              </w:rPr>
              <w:t>0 (0.0%)</w:t>
            </w:r>
          </w:p>
        </w:tc>
        <w:tc>
          <w:tcPr>
            <w:tcW w:w="1701" w:type="dxa"/>
            <w:shd w:val="clear" w:color="auto" w:fill="FFFFFF"/>
            <w:tcMar>
              <w:left w:w="60" w:type="dxa"/>
              <w:right w:w="60" w:type="dxa"/>
            </w:tcMar>
            <w:vAlign w:val="center"/>
          </w:tcPr>
          <w:p w14:paraId="01960D38" w14:textId="77777777" w:rsidR="00576FE1" w:rsidRPr="002809F3" w:rsidRDefault="00576FE1" w:rsidP="00115CD6">
            <w:pPr>
              <w:keepNext/>
              <w:adjustRightInd w:val="0"/>
              <w:spacing w:after="0" w:line="240" w:lineRule="auto"/>
              <w:jc w:val="center"/>
              <w:rPr>
                <w:color w:val="000000"/>
              </w:rPr>
            </w:pPr>
            <w:r w:rsidRPr="002809F3">
              <w:rPr>
                <w:color w:val="000000"/>
              </w:rPr>
              <w:t>1 (0.4%)</w:t>
            </w:r>
          </w:p>
        </w:tc>
        <w:tc>
          <w:tcPr>
            <w:tcW w:w="1359" w:type="dxa"/>
            <w:shd w:val="clear" w:color="auto" w:fill="FFFFFF"/>
            <w:tcMar>
              <w:left w:w="60" w:type="dxa"/>
              <w:right w:w="60" w:type="dxa"/>
            </w:tcMar>
            <w:vAlign w:val="center"/>
          </w:tcPr>
          <w:p w14:paraId="7485DA8F" w14:textId="77777777" w:rsidR="00576FE1" w:rsidRPr="002809F3" w:rsidRDefault="00576FE1" w:rsidP="00115CD6">
            <w:pPr>
              <w:keepNext/>
              <w:adjustRightInd w:val="0"/>
              <w:spacing w:after="0" w:line="240" w:lineRule="auto"/>
              <w:jc w:val="center"/>
              <w:rPr>
                <w:color w:val="000000"/>
              </w:rPr>
            </w:pPr>
            <w:r w:rsidRPr="002809F3">
              <w:rPr>
                <w:color w:val="000000"/>
              </w:rPr>
              <w:t>1 (0.2%)</w:t>
            </w:r>
          </w:p>
        </w:tc>
      </w:tr>
    </w:tbl>
    <w:p w14:paraId="04805D16" w14:textId="77777777" w:rsidR="00576FE1" w:rsidRDefault="00576FE1" w:rsidP="00576FE1">
      <w:pPr>
        <w:pStyle w:val="TableTitle"/>
      </w:pPr>
    </w:p>
    <w:p w14:paraId="4B7FC625" w14:textId="77777777" w:rsidR="00576FE1" w:rsidRDefault="00576FE1" w:rsidP="00576FE1">
      <w:pPr>
        <w:spacing w:after="0" w:line="240" w:lineRule="auto"/>
        <w:jc w:val="left"/>
        <w:rPr>
          <w:b/>
        </w:rPr>
      </w:pPr>
      <w:r>
        <w:br w:type="page"/>
      </w:r>
    </w:p>
    <w:p w14:paraId="7FE15945" w14:textId="6D7585BB" w:rsidR="00576FE1" w:rsidRDefault="00576FE1" w:rsidP="002221CF">
      <w:pPr>
        <w:pStyle w:val="Descripcin"/>
        <w:keepNext/>
        <w:outlineLvl w:val="0"/>
      </w:pPr>
      <w:bookmarkStart w:id="699" w:name="_Ref52426782"/>
      <w:bookmarkStart w:id="700" w:name="_Toc52046498"/>
      <w:bookmarkStart w:id="701" w:name="_Toc52446221"/>
      <w:bookmarkStart w:id="702" w:name="_Toc52468178"/>
      <w:r>
        <w:lastRenderedPageBreak/>
        <w:t xml:space="preserve">Table </w:t>
      </w:r>
      <w:r>
        <w:fldChar w:fldCharType="begin"/>
      </w:r>
      <w:r>
        <w:instrText xml:space="preserve"> SEQ Table \* ARABIC </w:instrText>
      </w:r>
      <w:r>
        <w:fldChar w:fldCharType="separate"/>
      </w:r>
      <w:r w:rsidR="002221CF">
        <w:rPr>
          <w:noProof/>
        </w:rPr>
        <w:t>20</w:t>
      </w:r>
      <w:r>
        <w:fldChar w:fldCharType="end"/>
      </w:r>
      <w:bookmarkEnd w:id="699"/>
      <w:r>
        <w:t>. T</w:t>
      </w:r>
      <w:r w:rsidRPr="00353A57">
        <w:t xml:space="preserve">oxicity summary for all </w:t>
      </w:r>
      <w:r>
        <w:t>TEAE</w:t>
      </w:r>
      <w:r w:rsidRPr="00353A57">
        <w:t>s leading to permanent treatment discontinuation (</w:t>
      </w:r>
      <w:r>
        <w:t>S</w:t>
      </w:r>
      <w:r w:rsidRPr="00353A57">
        <w:t>afety population).</w:t>
      </w:r>
      <w:bookmarkEnd w:id="700"/>
      <w:bookmarkEnd w:id="701"/>
      <w:bookmarkEnd w:id="702"/>
    </w:p>
    <w:tbl>
      <w:tblPr>
        <w:tblW w:w="9072" w:type="dxa"/>
        <w:tblBorders>
          <w:top w:val="single" w:sz="8" w:space="0" w:color="auto"/>
          <w:bottom w:val="single" w:sz="8" w:space="0" w:color="auto"/>
        </w:tblBorders>
        <w:tblCellMar>
          <w:left w:w="0" w:type="dxa"/>
          <w:right w:w="0" w:type="dxa"/>
        </w:tblCellMar>
        <w:tblLook w:val="0000" w:firstRow="0" w:lastRow="0" w:firstColumn="0" w:lastColumn="0" w:noHBand="0" w:noVBand="0"/>
      </w:tblPr>
      <w:tblGrid>
        <w:gridCol w:w="4197"/>
        <w:gridCol w:w="1615"/>
        <w:gridCol w:w="1713"/>
        <w:gridCol w:w="1547"/>
      </w:tblGrid>
      <w:tr w:rsidR="00576FE1" w:rsidRPr="0098119B" w14:paraId="503D5963" w14:textId="77777777" w:rsidTr="00800E62">
        <w:trPr>
          <w:cantSplit/>
          <w:trHeight w:val="825"/>
          <w:tblHeader/>
        </w:trPr>
        <w:tc>
          <w:tcPr>
            <w:tcW w:w="4197" w:type="dxa"/>
            <w:tcBorders>
              <w:top w:val="single" w:sz="8" w:space="0" w:color="auto"/>
              <w:bottom w:val="single" w:sz="8" w:space="0" w:color="auto"/>
            </w:tcBorders>
            <w:shd w:val="clear" w:color="auto" w:fill="FFFFFF"/>
            <w:tcMar>
              <w:left w:w="60" w:type="dxa"/>
              <w:right w:w="60" w:type="dxa"/>
            </w:tcMar>
            <w:vAlign w:val="center"/>
          </w:tcPr>
          <w:p w14:paraId="032AB87C" w14:textId="77777777" w:rsidR="00576FE1" w:rsidRPr="0098119B" w:rsidRDefault="00576FE1" w:rsidP="00115CD6">
            <w:pPr>
              <w:keepNext/>
              <w:adjustRightInd w:val="0"/>
              <w:spacing w:after="0" w:line="240" w:lineRule="auto"/>
              <w:rPr>
                <w:b/>
                <w:bCs/>
                <w:lang w:val="en-GB"/>
              </w:rPr>
            </w:pPr>
            <w:r w:rsidRPr="0098119B">
              <w:rPr>
                <w:b/>
                <w:bCs/>
                <w:lang w:val="en-GB"/>
              </w:rPr>
              <w:t>SOC / PT</w:t>
            </w:r>
          </w:p>
          <w:p w14:paraId="18F42FD0" w14:textId="77777777" w:rsidR="00576FE1" w:rsidRPr="0098119B" w:rsidRDefault="00576FE1" w:rsidP="00115CD6">
            <w:pPr>
              <w:keepNext/>
              <w:adjustRightInd w:val="0"/>
              <w:spacing w:after="0" w:line="240" w:lineRule="auto"/>
              <w:rPr>
                <w:b/>
                <w:bCs/>
                <w:color w:val="000000"/>
                <w:lang w:val="en-GB"/>
              </w:rPr>
            </w:pPr>
            <w:r w:rsidRPr="0098119B">
              <w:rPr>
                <w:bCs/>
                <w:lang w:val="en-GB"/>
              </w:rPr>
              <w:t>N (%)</w:t>
            </w:r>
          </w:p>
        </w:tc>
        <w:tc>
          <w:tcPr>
            <w:tcW w:w="1615" w:type="dxa"/>
            <w:tcBorders>
              <w:top w:val="single" w:sz="8" w:space="0" w:color="auto"/>
              <w:bottom w:val="single" w:sz="8" w:space="0" w:color="auto"/>
            </w:tcBorders>
            <w:shd w:val="clear" w:color="auto" w:fill="FFFFFF"/>
            <w:tcMar>
              <w:left w:w="60" w:type="dxa"/>
              <w:right w:w="60" w:type="dxa"/>
            </w:tcMar>
            <w:vAlign w:val="center"/>
          </w:tcPr>
          <w:p w14:paraId="6ADAEBF8" w14:textId="77777777" w:rsidR="00576FE1" w:rsidRPr="0098119B" w:rsidRDefault="00576FE1" w:rsidP="00115CD6">
            <w:pPr>
              <w:keepNext/>
              <w:adjustRightInd w:val="0"/>
              <w:spacing w:after="0" w:line="240" w:lineRule="auto"/>
              <w:jc w:val="center"/>
              <w:rPr>
                <w:b/>
                <w:bCs/>
                <w:color w:val="000000"/>
              </w:rPr>
            </w:pPr>
            <w:r w:rsidRPr="0098119B">
              <w:rPr>
                <w:b/>
                <w:bCs/>
                <w:color w:val="000000"/>
              </w:rPr>
              <w:t>Palbociclib-</w:t>
            </w:r>
          </w:p>
          <w:p w14:paraId="6B9B7CC8" w14:textId="77777777" w:rsidR="00576FE1" w:rsidRPr="0098119B" w:rsidRDefault="00576FE1" w:rsidP="00115CD6">
            <w:pPr>
              <w:keepNext/>
              <w:adjustRightInd w:val="0"/>
              <w:spacing w:after="0" w:line="240" w:lineRule="auto"/>
              <w:jc w:val="center"/>
              <w:rPr>
                <w:b/>
                <w:bCs/>
                <w:color w:val="000000"/>
              </w:rPr>
            </w:pPr>
            <w:proofErr w:type="spellStart"/>
            <w:r w:rsidRPr="0098119B">
              <w:rPr>
                <w:b/>
                <w:bCs/>
                <w:color w:val="000000"/>
              </w:rPr>
              <w:t>Fulvestrant</w:t>
            </w:r>
            <w:proofErr w:type="spellEnd"/>
            <w:r w:rsidRPr="0098119B">
              <w:rPr>
                <w:b/>
                <w:bCs/>
                <w:color w:val="000000"/>
              </w:rPr>
              <w:t xml:space="preserve"> </w:t>
            </w:r>
          </w:p>
          <w:p w14:paraId="470EEFE1" w14:textId="77777777" w:rsidR="00576FE1" w:rsidRPr="0098119B" w:rsidRDefault="00576FE1" w:rsidP="00115CD6">
            <w:pPr>
              <w:keepNext/>
              <w:adjustRightInd w:val="0"/>
              <w:spacing w:after="0" w:line="240" w:lineRule="auto"/>
              <w:jc w:val="center"/>
              <w:rPr>
                <w:b/>
                <w:bCs/>
                <w:color w:val="000000"/>
              </w:rPr>
            </w:pPr>
            <w:r w:rsidRPr="0098119B">
              <w:rPr>
                <w:b/>
                <w:bCs/>
                <w:color w:val="000000"/>
              </w:rPr>
              <w:t>(N=241)</w:t>
            </w:r>
          </w:p>
        </w:tc>
        <w:tc>
          <w:tcPr>
            <w:tcW w:w="1713" w:type="dxa"/>
            <w:tcBorders>
              <w:top w:val="single" w:sz="8" w:space="0" w:color="auto"/>
              <w:bottom w:val="single" w:sz="8" w:space="0" w:color="auto"/>
            </w:tcBorders>
            <w:shd w:val="clear" w:color="auto" w:fill="FFFFFF"/>
            <w:tcMar>
              <w:left w:w="60" w:type="dxa"/>
              <w:right w:w="60" w:type="dxa"/>
            </w:tcMar>
            <w:vAlign w:val="center"/>
          </w:tcPr>
          <w:p w14:paraId="231561E2" w14:textId="77777777" w:rsidR="00576FE1" w:rsidRPr="0098119B" w:rsidRDefault="00576FE1" w:rsidP="00115CD6">
            <w:pPr>
              <w:keepNext/>
              <w:adjustRightInd w:val="0"/>
              <w:spacing w:after="0" w:line="240" w:lineRule="auto"/>
              <w:jc w:val="center"/>
              <w:rPr>
                <w:b/>
                <w:bCs/>
                <w:color w:val="000000"/>
              </w:rPr>
            </w:pPr>
            <w:r w:rsidRPr="0098119B">
              <w:rPr>
                <w:b/>
                <w:bCs/>
                <w:color w:val="000000"/>
              </w:rPr>
              <w:t>Palbociclib-</w:t>
            </w:r>
          </w:p>
          <w:p w14:paraId="0658D819" w14:textId="77777777" w:rsidR="00576FE1" w:rsidRPr="0098119B" w:rsidRDefault="00576FE1" w:rsidP="00115CD6">
            <w:pPr>
              <w:keepNext/>
              <w:adjustRightInd w:val="0"/>
              <w:spacing w:after="0" w:line="240" w:lineRule="auto"/>
              <w:jc w:val="center"/>
              <w:rPr>
                <w:b/>
                <w:bCs/>
                <w:color w:val="000000"/>
              </w:rPr>
            </w:pPr>
            <w:r w:rsidRPr="0098119B">
              <w:rPr>
                <w:b/>
                <w:bCs/>
                <w:color w:val="000000"/>
              </w:rPr>
              <w:t xml:space="preserve">Letrozole </w:t>
            </w:r>
          </w:p>
          <w:p w14:paraId="1966E504" w14:textId="77777777" w:rsidR="00576FE1" w:rsidRPr="0098119B" w:rsidRDefault="00576FE1" w:rsidP="00115CD6">
            <w:pPr>
              <w:keepNext/>
              <w:adjustRightInd w:val="0"/>
              <w:spacing w:after="0" w:line="240" w:lineRule="auto"/>
              <w:jc w:val="center"/>
              <w:rPr>
                <w:b/>
                <w:bCs/>
                <w:color w:val="000000"/>
              </w:rPr>
            </w:pPr>
            <w:r w:rsidRPr="0098119B">
              <w:rPr>
                <w:b/>
                <w:bCs/>
                <w:color w:val="000000"/>
              </w:rPr>
              <w:t>(N=242)</w:t>
            </w:r>
          </w:p>
        </w:tc>
        <w:tc>
          <w:tcPr>
            <w:tcW w:w="1547" w:type="dxa"/>
            <w:tcBorders>
              <w:top w:val="single" w:sz="8" w:space="0" w:color="auto"/>
              <w:bottom w:val="single" w:sz="8" w:space="0" w:color="auto"/>
            </w:tcBorders>
            <w:shd w:val="clear" w:color="auto" w:fill="FFFFFF"/>
            <w:tcMar>
              <w:left w:w="60" w:type="dxa"/>
              <w:right w:w="60" w:type="dxa"/>
            </w:tcMar>
            <w:vAlign w:val="center"/>
          </w:tcPr>
          <w:p w14:paraId="1B6C8B32" w14:textId="77777777" w:rsidR="00576FE1" w:rsidRPr="0098119B" w:rsidRDefault="00576FE1" w:rsidP="00115CD6">
            <w:pPr>
              <w:keepNext/>
              <w:adjustRightInd w:val="0"/>
              <w:spacing w:after="0" w:line="240" w:lineRule="auto"/>
              <w:jc w:val="center"/>
              <w:rPr>
                <w:b/>
                <w:bCs/>
                <w:color w:val="000000"/>
              </w:rPr>
            </w:pPr>
            <w:r w:rsidRPr="0098119B">
              <w:rPr>
                <w:b/>
                <w:bCs/>
                <w:color w:val="000000"/>
              </w:rPr>
              <w:t xml:space="preserve">Overall </w:t>
            </w:r>
          </w:p>
          <w:p w14:paraId="2E24AE3E" w14:textId="77777777" w:rsidR="00576FE1" w:rsidRPr="0098119B" w:rsidRDefault="00576FE1" w:rsidP="00115CD6">
            <w:pPr>
              <w:keepNext/>
              <w:adjustRightInd w:val="0"/>
              <w:spacing w:after="0" w:line="240" w:lineRule="auto"/>
              <w:jc w:val="center"/>
              <w:rPr>
                <w:b/>
                <w:bCs/>
                <w:color w:val="000000"/>
              </w:rPr>
            </w:pPr>
            <w:r w:rsidRPr="0098119B">
              <w:rPr>
                <w:b/>
                <w:bCs/>
                <w:color w:val="000000"/>
              </w:rPr>
              <w:t>(N=483)</w:t>
            </w:r>
          </w:p>
        </w:tc>
      </w:tr>
      <w:tr w:rsidR="00576FE1" w:rsidRPr="0098119B" w14:paraId="0F898353" w14:textId="77777777" w:rsidTr="00800E62">
        <w:trPr>
          <w:cantSplit/>
          <w:trHeight w:val="348"/>
        </w:trPr>
        <w:tc>
          <w:tcPr>
            <w:tcW w:w="4197" w:type="dxa"/>
            <w:tcBorders>
              <w:top w:val="single" w:sz="8" w:space="0" w:color="auto"/>
            </w:tcBorders>
            <w:shd w:val="clear" w:color="auto" w:fill="FFFFFF"/>
            <w:tcMar>
              <w:left w:w="60" w:type="dxa"/>
              <w:right w:w="60" w:type="dxa"/>
            </w:tcMar>
            <w:vAlign w:val="center"/>
          </w:tcPr>
          <w:p w14:paraId="5C9B1523" w14:textId="77777777" w:rsidR="00576FE1" w:rsidRPr="0098119B" w:rsidRDefault="00576FE1" w:rsidP="00115CD6">
            <w:pPr>
              <w:spacing w:after="0" w:line="240" w:lineRule="auto"/>
              <w:rPr>
                <w:b/>
                <w:color w:val="000000"/>
                <w:lang w:val="en-GB"/>
              </w:rPr>
            </w:pPr>
            <w:r w:rsidRPr="0098119B">
              <w:rPr>
                <w:b/>
                <w:color w:val="000000"/>
                <w:lang w:val="en-GB"/>
              </w:rPr>
              <w:t>Respiratory, thoracic and mediastinal disorders</w:t>
            </w:r>
          </w:p>
        </w:tc>
        <w:tc>
          <w:tcPr>
            <w:tcW w:w="1615" w:type="dxa"/>
            <w:tcBorders>
              <w:top w:val="single" w:sz="8" w:space="0" w:color="auto"/>
            </w:tcBorders>
            <w:shd w:val="clear" w:color="auto" w:fill="FFFFFF"/>
            <w:tcMar>
              <w:left w:w="60" w:type="dxa"/>
              <w:right w:w="60" w:type="dxa"/>
            </w:tcMar>
            <w:vAlign w:val="center"/>
          </w:tcPr>
          <w:p w14:paraId="4486C851" w14:textId="77777777" w:rsidR="00576FE1" w:rsidRPr="0098119B" w:rsidRDefault="00576FE1" w:rsidP="00115CD6">
            <w:pPr>
              <w:keepNext/>
              <w:adjustRightInd w:val="0"/>
              <w:spacing w:after="0" w:line="240" w:lineRule="auto"/>
              <w:jc w:val="center"/>
              <w:rPr>
                <w:b/>
                <w:color w:val="000000"/>
              </w:rPr>
            </w:pPr>
            <w:r w:rsidRPr="0098119B">
              <w:rPr>
                <w:b/>
                <w:color w:val="000000"/>
              </w:rPr>
              <w:t>2 (0.8%)</w:t>
            </w:r>
          </w:p>
        </w:tc>
        <w:tc>
          <w:tcPr>
            <w:tcW w:w="1713" w:type="dxa"/>
            <w:tcBorders>
              <w:top w:val="single" w:sz="8" w:space="0" w:color="auto"/>
            </w:tcBorders>
            <w:shd w:val="clear" w:color="auto" w:fill="FFFFFF"/>
            <w:tcMar>
              <w:left w:w="60" w:type="dxa"/>
              <w:right w:w="60" w:type="dxa"/>
            </w:tcMar>
            <w:vAlign w:val="center"/>
          </w:tcPr>
          <w:p w14:paraId="01BF94C9" w14:textId="77777777" w:rsidR="00576FE1" w:rsidRPr="0098119B" w:rsidRDefault="00576FE1" w:rsidP="00115CD6">
            <w:pPr>
              <w:keepNext/>
              <w:adjustRightInd w:val="0"/>
              <w:spacing w:after="0" w:line="240" w:lineRule="auto"/>
              <w:jc w:val="center"/>
              <w:rPr>
                <w:b/>
                <w:color w:val="000000"/>
              </w:rPr>
            </w:pPr>
            <w:r w:rsidRPr="0098119B">
              <w:rPr>
                <w:b/>
                <w:color w:val="000000"/>
              </w:rPr>
              <w:t>2 (0.8%)</w:t>
            </w:r>
          </w:p>
        </w:tc>
        <w:tc>
          <w:tcPr>
            <w:tcW w:w="1547" w:type="dxa"/>
            <w:tcBorders>
              <w:top w:val="single" w:sz="8" w:space="0" w:color="auto"/>
            </w:tcBorders>
            <w:shd w:val="clear" w:color="auto" w:fill="FFFFFF"/>
            <w:tcMar>
              <w:left w:w="60" w:type="dxa"/>
              <w:right w:w="60" w:type="dxa"/>
            </w:tcMar>
            <w:vAlign w:val="center"/>
          </w:tcPr>
          <w:p w14:paraId="2DBB8FD4" w14:textId="77777777" w:rsidR="00576FE1" w:rsidRPr="0098119B" w:rsidRDefault="00576FE1" w:rsidP="00115CD6">
            <w:pPr>
              <w:keepNext/>
              <w:adjustRightInd w:val="0"/>
              <w:spacing w:after="0" w:line="240" w:lineRule="auto"/>
              <w:jc w:val="center"/>
              <w:rPr>
                <w:b/>
                <w:color w:val="000000"/>
              </w:rPr>
            </w:pPr>
            <w:r w:rsidRPr="0098119B">
              <w:rPr>
                <w:b/>
                <w:color w:val="000000"/>
              </w:rPr>
              <w:t>4 (0.8%)</w:t>
            </w:r>
          </w:p>
        </w:tc>
      </w:tr>
      <w:tr w:rsidR="00576FE1" w:rsidRPr="0098119B" w14:paraId="1A12632F" w14:textId="77777777" w:rsidTr="00800E62">
        <w:trPr>
          <w:cantSplit/>
          <w:trHeight w:val="323"/>
        </w:trPr>
        <w:tc>
          <w:tcPr>
            <w:tcW w:w="4197" w:type="dxa"/>
            <w:shd w:val="clear" w:color="auto" w:fill="FFFFFF"/>
            <w:tcMar>
              <w:left w:w="60" w:type="dxa"/>
              <w:right w:w="60" w:type="dxa"/>
            </w:tcMar>
            <w:vAlign w:val="center"/>
          </w:tcPr>
          <w:p w14:paraId="297FC053" w14:textId="77777777" w:rsidR="00576FE1" w:rsidRPr="0098119B" w:rsidRDefault="00576FE1" w:rsidP="00115CD6">
            <w:pPr>
              <w:spacing w:after="0" w:line="240" w:lineRule="auto"/>
              <w:rPr>
                <w:color w:val="000000"/>
              </w:rPr>
            </w:pPr>
            <w:r w:rsidRPr="0098119B">
              <w:rPr>
                <w:color w:val="000000"/>
              </w:rPr>
              <w:t>Pulmonary embolism</w:t>
            </w:r>
          </w:p>
        </w:tc>
        <w:tc>
          <w:tcPr>
            <w:tcW w:w="1615" w:type="dxa"/>
            <w:shd w:val="clear" w:color="auto" w:fill="FFFFFF"/>
            <w:tcMar>
              <w:left w:w="60" w:type="dxa"/>
              <w:right w:w="60" w:type="dxa"/>
            </w:tcMar>
            <w:vAlign w:val="center"/>
          </w:tcPr>
          <w:p w14:paraId="2501FA55" w14:textId="77777777" w:rsidR="00576FE1" w:rsidRPr="0098119B" w:rsidRDefault="00576FE1" w:rsidP="00115CD6">
            <w:pPr>
              <w:keepNext/>
              <w:adjustRightInd w:val="0"/>
              <w:spacing w:after="0" w:line="240" w:lineRule="auto"/>
              <w:jc w:val="center"/>
              <w:rPr>
                <w:color w:val="000000"/>
              </w:rPr>
            </w:pPr>
            <w:r w:rsidRPr="0098119B">
              <w:rPr>
                <w:color w:val="000000"/>
              </w:rPr>
              <w:t>1 (0.4%)</w:t>
            </w:r>
          </w:p>
        </w:tc>
        <w:tc>
          <w:tcPr>
            <w:tcW w:w="1713" w:type="dxa"/>
            <w:shd w:val="clear" w:color="auto" w:fill="FFFFFF"/>
            <w:tcMar>
              <w:left w:w="60" w:type="dxa"/>
              <w:right w:w="60" w:type="dxa"/>
            </w:tcMar>
            <w:vAlign w:val="center"/>
          </w:tcPr>
          <w:p w14:paraId="57ED61F9" w14:textId="77777777" w:rsidR="00576FE1" w:rsidRPr="0098119B" w:rsidRDefault="00576FE1" w:rsidP="00115CD6">
            <w:pPr>
              <w:keepNext/>
              <w:adjustRightInd w:val="0"/>
              <w:spacing w:after="0" w:line="240" w:lineRule="auto"/>
              <w:jc w:val="center"/>
              <w:rPr>
                <w:color w:val="000000"/>
              </w:rPr>
            </w:pPr>
            <w:r w:rsidRPr="0098119B">
              <w:rPr>
                <w:color w:val="000000"/>
              </w:rPr>
              <w:t>1 (0.4%)</w:t>
            </w:r>
          </w:p>
        </w:tc>
        <w:tc>
          <w:tcPr>
            <w:tcW w:w="1547" w:type="dxa"/>
            <w:shd w:val="clear" w:color="auto" w:fill="FFFFFF"/>
            <w:tcMar>
              <w:left w:w="60" w:type="dxa"/>
              <w:right w:w="60" w:type="dxa"/>
            </w:tcMar>
            <w:vAlign w:val="center"/>
          </w:tcPr>
          <w:p w14:paraId="48D47828" w14:textId="77777777" w:rsidR="00576FE1" w:rsidRPr="0098119B" w:rsidRDefault="00576FE1" w:rsidP="00115CD6">
            <w:pPr>
              <w:keepNext/>
              <w:adjustRightInd w:val="0"/>
              <w:spacing w:after="0" w:line="240" w:lineRule="auto"/>
              <w:jc w:val="center"/>
              <w:rPr>
                <w:color w:val="000000"/>
              </w:rPr>
            </w:pPr>
            <w:r w:rsidRPr="0098119B">
              <w:rPr>
                <w:color w:val="000000"/>
              </w:rPr>
              <w:t>2 (0.4%)</w:t>
            </w:r>
          </w:p>
        </w:tc>
      </w:tr>
      <w:tr w:rsidR="00576FE1" w:rsidRPr="0098119B" w14:paraId="4437C16C" w14:textId="77777777" w:rsidTr="00800E62">
        <w:trPr>
          <w:cantSplit/>
          <w:trHeight w:val="348"/>
        </w:trPr>
        <w:tc>
          <w:tcPr>
            <w:tcW w:w="4197" w:type="dxa"/>
            <w:shd w:val="clear" w:color="auto" w:fill="FFFFFF"/>
            <w:tcMar>
              <w:left w:w="60" w:type="dxa"/>
              <w:right w:w="60" w:type="dxa"/>
            </w:tcMar>
            <w:vAlign w:val="center"/>
          </w:tcPr>
          <w:p w14:paraId="4E73D4F2" w14:textId="77777777" w:rsidR="00576FE1" w:rsidRPr="0098119B" w:rsidRDefault="00576FE1" w:rsidP="00115CD6">
            <w:pPr>
              <w:spacing w:after="0" w:line="240" w:lineRule="auto"/>
              <w:rPr>
                <w:color w:val="000000"/>
              </w:rPr>
            </w:pPr>
            <w:proofErr w:type="spellStart"/>
            <w:r w:rsidRPr="0098119B">
              <w:rPr>
                <w:color w:val="000000"/>
              </w:rPr>
              <w:t>Dyspnoea</w:t>
            </w:r>
            <w:proofErr w:type="spellEnd"/>
          </w:p>
        </w:tc>
        <w:tc>
          <w:tcPr>
            <w:tcW w:w="1615" w:type="dxa"/>
            <w:shd w:val="clear" w:color="auto" w:fill="FFFFFF"/>
            <w:tcMar>
              <w:left w:w="60" w:type="dxa"/>
              <w:right w:w="60" w:type="dxa"/>
            </w:tcMar>
            <w:vAlign w:val="center"/>
          </w:tcPr>
          <w:p w14:paraId="4CBD1DB5" w14:textId="77777777" w:rsidR="00576FE1" w:rsidRPr="0098119B" w:rsidRDefault="00576FE1" w:rsidP="00115CD6">
            <w:pPr>
              <w:keepNext/>
              <w:adjustRightInd w:val="0"/>
              <w:spacing w:after="0" w:line="240" w:lineRule="auto"/>
              <w:jc w:val="center"/>
              <w:rPr>
                <w:color w:val="000000"/>
              </w:rPr>
            </w:pPr>
            <w:r w:rsidRPr="0098119B">
              <w:rPr>
                <w:color w:val="000000"/>
              </w:rPr>
              <w:t>1 (0.4%)</w:t>
            </w:r>
          </w:p>
        </w:tc>
        <w:tc>
          <w:tcPr>
            <w:tcW w:w="1713" w:type="dxa"/>
            <w:shd w:val="clear" w:color="auto" w:fill="FFFFFF"/>
            <w:tcMar>
              <w:left w:w="60" w:type="dxa"/>
              <w:right w:w="60" w:type="dxa"/>
            </w:tcMar>
            <w:vAlign w:val="center"/>
          </w:tcPr>
          <w:p w14:paraId="0E2981C6" w14:textId="77777777" w:rsidR="00576FE1" w:rsidRPr="0098119B" w:rsidRDefault="00576FE1" w:rsidP="00115CD6">
            <w:pPr>
              <w:keepNext/>
              <w:adjustRightInd w:val="0"/>
              <w:spacing w:after="0" w:line="240" w:lineRule="auto"/>
              <w:jc w:val="center"/>
              <w:rPr>
                <w:color w:val="000000"/>
              </w:rPr>
            </w:pPr>
            <w:r w:rsidRPr="0098119B">
              <w:rPr>
                <w:color w:val="000000"/>
              </w:rPr>
              <w:t>0 (0.0%)</w:t>
            </w:r>
          </w:p>
        </w:tc>
        <w:tc>
          <w:tcPr>
            <w:tcW w:w="1547" w:type="dxa"/>
            <w:shd w:val="clear" w:color="auto" w:fill="FFFFFF"/>
            <w:tcMar>
              <w:left w:w="60" w:type="dxa"/>
              <w:right w:w="60" w:type="dxa"/>
            </w:tcMar>
            <w:vAlign w:val="center"/>
          </w:tcPr>
          <w:p w14:paraId="69643450" w14:textId="77777777" w:rsidR="00576FE1" w:rsidRPr="0098119B" w:rsidRDefault="00576FE1" w:rsidP="00115CD6">
            <w:pPr>
              <w:keepNext/>
              <w:adjustRightInd w:val="0"/>
              <w:spacing w:after="0" w:line="240" w:lineRule="auto"/>
              <w:jc w:val="center"/>
              <w:rPr>
                <w:color w:val="000000"/>
              </w:rPr>
            </w:pPr>
            <w:r w:rsidRPr="0098119B">
              <w:rPr>
                <w:color w:val="000000"/>
              </w:rPr>
              <w:t>1 (0.2%)</w:t>
            </w:r>
          </w:p>
        </w:tc>
      </w:tr>
      <w:tr w:rsidR="00576FE1" w:rsidRPr="0098119B" w14:paraId="3CFB3D97" w14:textId="77777777" w:rsidTr="00800E62">
        <w:trPr>
          <w:cantSplit/>
          <w:trHeight w:val="323"/>
        </w:trPr>
        <w:tc>
          <w:tcPr>
            <w:tcW w:w="4197" w:type="dxa"/>
            <w:shd w:val="clear" w:color="auto" w:fill="FFFFFF"/>
            <w:tcMar>
              <w:left w:w="60" w:type="dxa"/>
              <w:right w:w="60" w:type="dxa"/>
            </w:tcMar>
            <w:vAlign w:val="center"/>
          </w:tcPr>
          <w:p w14:paraId="2A041657" w14:textId="77777777" w:rsidR="00576FE1" w:rsidRPr="0098119B" w:rsidRDefault="00576FE1" w:rsidP="00115CD6">
            <w:pPr>
              <w:spacing w:after="0" w:line="240" w:lineRule="auto"/>
              <w:rPr>
                <w:color w:val="000000"/>
              </w:rPr>
            </w:pPr>
            <w:r w:rsidRPr="0098119B">
              <w:rPr>
                <w:color w:val="000000"/>
              </w:rPr>
              <w:t>Chronic obstructive pulmonary disease</w:t>
            </w:r>
          </w:p>
        </w:tc>
        <w:tc>
          <w:tcPr>
            <w:tcW w:w="1615" w:type="dxa"/>
            <w:shd w:val="clear" w:color="auto" w:fill="FFFFFF"/>
            <w:tcMar>
              <w:left w:w="60" w:type="dxa"/>
              <w:right w:w="60" w:type="dxa"/>
            </w:tcMar>
            <w:vAlign w:val="center"/>
          </w:tcPr>
          <w:p w14:paraId="79D9D3BB" w14:textId="77777777" w:rsidR="00576FE1" w:rsidRPr="00C10E38" w:rsidRDefault="00576FE1" w:rsidP="00115CD6">
            <w:pPr>
              <w:keepNext/>
              <w:adjustRightInd w:val="0"/>
              <w:spacing w:after="0" w:line="240" w:lineRule="auto"/>
              <w:jc w:val="center"/>
              <w:rPr>
                <w:color w:val="000000"/>
              </w:rPr>
            </w:pPr>
            <w:r w:rsidRPr="00C10E38">
              <w:rPr>
                <w:color w:val="000000"/>
              </w:rPr>
              <w:t>0 (0.0%)</w:t>
            </w:r>
          </w:p>
        </w:tc>
        <w:tc>
          <w:tcPr>
            <w:tcW w:w="1713" w:type="dxa"/>
            <w:shd w:val="clear" w:color="auto" w:fill="FFFFFF"/>
            <w:tcMar>
              <w:left w:w="60" w:type="dxa"/>
              <w:right w:w="60" w:type="dxa"/>
            </w:tcMar>
            <w:vAlign w:val="center"/>
          </w:tcPr>
          <w:p w14:paraId="349C9BC1" w14:textId="77777777" w:rsidR="00576FE1" w:rsidRPr="00C10E38" w:rsidRDefault="00576FE1" w:rsidP="00115CD6">
            <w:pPr>
              <w:keepNext/>
              <w:adjustRightInd w:val="0"/>
              <w:spacing w:after="0" w:line="240" w:lineRule="auto"/>
              <w:jc w:val="center"/>
              <w:rPr>
                <w:color w:val="000000"/>
              </w:rPr>
            </w:pPr>
            <w:r w:rsidRPr="00C10E38">
              <w:rPr>
                <w:color w:val="000000"/>
              </w:rPr>
              <w:t>1 (0.4%)</w:t>
            </w:r>
          </w:p>
        </w:tc>
        <w:tc>
          <w:tcPr>
            <w:tcW w:w="1547" w:type="dxa"/>
            <w:shd w:val="clear" w:color="auto" w:fill="FFFFFF"/>
            <w:tcMar>
              <w:left w:w="60" w:type="dxa"/>
              <w:right w:w="60" w:type="dxa"/>
            </w:tcMar>
            <w:vAlign w:val="center"/>
          </w:tcPr>
          <w:p w14:paraId="77100776" w14:textId="77777777" w:rsidR="00576FE1" w:rsidRPr="00C10E38" w:rsidRDefault="00576FE1" w:rsidP="00115CD6">
            <w:pPr>
              <w:keepNext/>
              <w:adjustRightInd w:val="0"/>
              <w:spacing w:after="0" w:line="240" w:lineRule="auto"/>
              <w:jc w:val="center"/>
              <w:rPr>
                <w:color w:val="000000"/>
              </w:rPr>
            </w:pPr>
            <w:r w:rsidRPr="00C10E38">
              <w:rPr>
                <w:color w:val="000000"/>
              </w:rPr>
              <w:t>1 (0.2%)</w:t>
            </w:r>
          </w:p>
        </w:tc>
      </w:tr>
      <w:tr w:rsidR="00576FE1" w:rsidRPr="0098119B" w14:paraId="32D9E703" w14:textId="77777777" w:rsidTr="00800E62">
        <w:trPr>
          <w:cantSplit/>
          <w:trHeight w:val="323"/>
        </w:trPr>
        <w:tc>
          <w:tcPr>
            <w:tcW w:w="4197" w:type="dxa"/>
            <w:shd w:val="clear" w:color="auto" w:fill="FFFFFF"/>
            <w:tcMar>
              <w:left w:w="60" w:type="dxa"/>
              <w:right w:w="60" w:type="dxa"/>
            </w:tcMar>
            <w:vAlign w:val="center"/>
          </w:tcPr>
          <w:p w14:paraId="0D76B049" w14:textId="77777777" w:rsidR="00576FE1" w:rsidRPr="0098119B" w:rsidRDefault="00576FE1" w:rsidP="00115CD6">
            <w:pPr>
              <w:keepNext/>
              <w:adjustRightInd w:val="0"/>
              <w:spacing w:after="0" w:line="240" w:lineRule="auto"/>
              <w:rPr>
                <w:b/>
                <w:color w:val="000000"/>
              </w:rPr>
            </w:pPr>
            <w:r w:rsidRPr="0098119B">
              <w:rPr>
                <w:b/>
                <w:color w:val="000000"/>
              </w:rPr>
              <w:t>Investigations</w:t>
            </w:r>
          </w:p>
        </w:tc>
        <w:tc>
          <w:tcPr>
            <w:tcW w:w="1615" w:type="dxa"/>
            <w:shd w:val="clear" w:color="auto" w:fill="FFFFFF"/>
            <w:tcMar>
              <w:left w:w="60" w:type="dxa"/>
              <w:right w:w="60" w:type="dxa"/>
            </w:tcMar>
            <w:vAlign w:val="center"/>
          </w:tcPr>
          <w:p w14:paraId="1D559F9D" w14:textId="77777777" w:rsidR="00576FE1" w:rsidRPr="00C10E38" w:rsidRDefault="00576FE1" w:rsidP="00115CD6">
            <w:pPr>
              <w:keepNext/>
              <w:adjustRightInd w:val="0"/>
              <w:spacing w:after="0" w:line="240" w:lineRule="auto"/>
              <w:jc w:val="center"/>
              <w:rPr>
                <w:b/>
                <w:color w:val="000000"/>
              </w:rPr>
            </w:pPr>
            <w:r w:rsidRPr="00C10E38">
              <w:rPr>
                <w:b/>
                <w:color w:val="000000"/>
              </w:rPr>
              <w:t>2 (0.8%)</w:t>
            </w:r>
          </w:p>
        </w:tc>
        <w:tc>
          <w:tcPr>
            <w:tcW w:w="1713" w:type="dxa"/>
            <w:shd w:val="clear" w:color="auto" w:fill="FFFFFF"/>
            <w:tcMar>
              <w:left w:w="60" w:type="dxa"/>
              <w:right w:w="60" w:type="dxa"/>
            </w:tcMar>
            <w:vAlign w:val="center"/>
          </w:tcPr>
          <w:p w14:paraId="78D8FB43" w14:textId="77777777" w:rsidR="00576FE1" w:rsidRPr="00C10E38" w:rsidRDefault="00576FE1" w:rsidP="00115CD6">
            <w:pPr>
              <w:keepNext/>
              <w:adjustRightInd w:val="0"/>
              <w:spacing w:after="0" w:line="240" w:lineRule="auto"/>
              <w:jc w:val="center"/>
              <w:rPr>
                <w:b/>
                <w:color w:val="000000"/>
              </w:rPr>
            </w:pPr>
            <w:r w:rsidRPr="00C10E38">
              <w:rPr>
                <w:b/>
                <w:color w:val="000000"/>
              </w:rPr>
              <w:t>0 (0.0%)</w:t>
            </w:r>
          </w:p>
        </w:tc>
        <w:tc>
          <w:tcPr>
            <w:tcW w:w="1547" w:type="dxa"/>
            <w:shd w:val="clear" w:color="auto" w:fill="FFFFFF"/>
            <w:tcMar>
              <w:left w:w="60" w:type="dxa"/>
              <w:right w:w="60" w:type="dxa"/>
            </w:tcMar>
            <w:vAlign w:val="center"/>
          </w:tcPr>
          <w:p w14:paraId="372C2024" w14:textId="77777777" w:rsidR="00576FE1" w:rsidRPr="00C10E38" w:rsidRDefault="00576FE1" w:rsidP="00115CD6">
            <w:pPr>
              <w:keepNext/>
              <w:adjustRightInd w:val="0"/>
              <w:spacing w:after="0" w:line="240" w:lineRule="auto"/>
              <w:jc w:val="center"/>
              <w:rPr>
                <w:b/>
                <w:color w:val="000000"/>
              </w:rPr>
            </w:pPr>
            <w:r w:rsidRPr="00C10E38">
              <w:rPr>
                <w:b/>
                <w:color w:val="000000"/>
              </w:rPr>
              <w:t>2 (0.4%)</w:t>
            </w:r>
          </w:p>
        </w:tc>
      </w:tr>
      <w:tr w:rsidR="00576FE1" w:rsidRPr="0098119B" w14:paraId="18E88C5A" w14:textId="77777777" w:rsidTr="00800E62">
        <w:trPr>
          <w:cantSplit/>
          <w:trHeight w:val="348"/>
        </w:trPr>
        <w:tc>
          <w:tcPr>
            <w:tcW w:w="4197" w:type="dxa"/>
            <w:shd w:val="clear" w:color="auto" w:fill="FFFFFF"/>
            <w:tcMar>
              <w:left w:w="60" w:type="dxa"/>
              <w:right w:w="60" w:type="dxa"/>
            </w:tcMar>
            <w:vAlign w:val="center"/>
          </w:tcPr>
          <w:p w14:paraId="6C802113" w14:textId="77777777" w:rsidR="00576FE1" w:rsidRPr="0098119B" w:rsidRDefault="00576FE1" w:rsidP="00115CD6">
            <w:pPr>
              <w:spacing w:after="0" w:line="240" w:lineRule="auto"/>
              <w:rPr>
                <w:color w:val="000000"/>
              </w:rPr>
            </w:pPr>
            <w:r w:rsidRPr="0098119B">
              <w:rPr>
                <w:color w:val="000000"/>
              </w:rPr>
              <w:t>Electrocardiogram QT prolonged</w:t>
            </w:r>
          </w:p>
        </w:tc>
        <w:tc>
          <w:tcPr>
            <w:tcW w:w="1615" w:type="dxa"/>
            <w:shd w:val="clear" w:color="auto" w:fill="FFFFFF"/>
            <w:tcMar>
              <w:left w:w="60" w:type="dxa"/>
              <w:right w:w="60" w:type="dxa"/>
            </w:tcMar>
            <w:vAlign w:val="center"/>
          </w:tcPr>
          <w:p w14:paraId="0A81BE95" w14:textId="77777777" w:rsidR="00576FE1" w:rsidRPr="00C10E38" w:rsidRDefault="00576FE1" w:rsidP="00115CD6">
            <w:pPr>
              <w:keepNext/>
              <w:adjustRightInd w:val="0"/>
              <w:spacing w:after="0" w:line="240" w:lineRule="auto"/>
              <w:jc w:val="center"/>
              <w:rPr>
                <w:color w:val="000000"/>
              </w:rPr>
            </w:pPr>
            <w:r w:rsidRPr="00C10E38">
              <w:rPr>
                <w:color w:val="000000"/>
              </w:rPr>
              <w:t>1 (0.4%)</w:t>
            </w:r>
          </w:p>
        </w:tc>
        <w:tc>
          <w:tcPr>
            <w:tcW w:w="1713" w:type="dxa"/>
            <w:shd w:val="clear" w:color="auto" w:fill="FFFFFF"/>
            <w:tcMar>
              <w:left w:w="60" w:type="dxa"/>
              <w:right w:w="60" w:type="dxa"/>
            </w:tcMar>
            <w:vAlign w:val="center"/>
          </w:tcPr>
          <w:p w14:paraId="2E79042A" w14:textId="77777777" w:rsidR="00576FE1" w:rsidRPr="00C10E38" w:rsidRDefault="00576FE1" w:rsidP="00115CD6">
            <w:pPr>
              <w:keepNext/>
              <w:adjustRightInd w:val="0"/>
              <w:spacing w:after="0" w:line="240" w:lineRule="auto"/>
              <w:jc w:val="center"/>
              <w:rPr>
                <w:color w:val="000000"/>
              </w:rPr>
            </w:pPr>
            <w:r w:rsidRPr="00C10E38">
              <w:rPr>
                <w:color w:val="000000"/>
              </w:rPr>
              <w:t>0 (0.0%)</w:t>
            </w:r>
          </w:p>
        </w:tc>
        <w:tc>
          <w:tcPr>
            <w:tcW w:w="1547" w:type="dxa"/>
            <w:shd w:val="clear" w:color="auto" w:fill="FFFFFF"/>
            <w:tcMar>
              <w:left w:w="60" w:type="dxa"/>
              <w:right w:w="60" w:type="dxa"/>
            </w:tcMar>
            <w:vAlign w:val="center"/>
          </w:tcPr>
          <w:p w14:paraId="73A19546" w14:textId="77777777" w:rsidR="00576FE1" w:rsidRPr="00C10E38" w:rsidRDefault="00576FE1" w:rsidP="00115CD6">
            <w:pPr>
              <w:keepNext/>
              <w:adjustRightInd w:val="0"/>
              <w:spacing w:after="0" w:line="240" w:lineRule="auto"/>
              <w:jc w:val="center"/>
              <w:rPr>
                <w:color w:val="000000"/>
              </w:rPr>
            </w:pPr>
            <w:r w:rsidRPr="00C10E38">
              <w:rPr>
                <w:color w:val="000000"/>
              </w:rPr>
              <w:t>1 (0.2%)</w:t>
            </w:r>
          </w:p>
        </w:tc>
      </w:tr>
      <w:tr w:rsidR="00576FE1" w:rsidRPr="0098119B" w14:paraId="3A7ADB2E" w14:textId="77777777" w:rsidTr="00800E62">
        <w:trPr>
          <w:cantSplit/>
          <w:trHeight w:val="323"/>
        </w:trPr>
        <w:tc>
          <w:tcPr>
            <w:tcW w:w="4197" w:type="dxa"/>
            <w:shd w:val="clear" w:color="auto" w:fill="FFFFFF"/>
            <w:tcMar>
              <w:left w:w="60" w:type="dxa"/>
              <w:right w:w="60" w:type="dxa"/>
            </w:tcMar>
            <w:vAlign w:val="center"/>
          </w:tcPr>
          <w:p w14:paraId="2C5D1E28" w14:textId="77777777" w:rsidR="00576FE1" w:rsidRPr="0098119B" w:rsidRDefault="00576FE1" w:rsidP="00115CD6">
            <w:pPr>
              <w:spacing w:after="0" w:line="240" w:lineRule="auto"/>
              <w:rPr>
                <w:color w:val="000000"/>
              </w:rPr>
            </w:pPr>
            <w:r w:rsidRPr="0098119B">
              <w:rPr>
                <w:color w:val="000000"/>
              </w:rPr>
              <w:t>Alanine aminotransferase increased</w:t>
            </w:r>
          </w:p>
        </w:tc>
        <w:tc>
          <w:tcPr>
            <w:tcW w:w="1615" w:type="dxa"/>
            <w:shd w:val="clear" w:color="auto" w:fill="FFFFFF"/>
            <w:tcMar>
              <w:left w:w="60" w:type="dxa"/>
              <w:right w:w="60" w:type="dxa"/>
            </w:tcMar>
            <w:vAlign w:val="center"/>
          </w:tcPr>
          <w:p w14:paraId="0B5AA69F" w14:textId="77777777" w:rsidR="00576FE1" w:rsidRPr="00C10E38" w:rsidRDefault="00576FE1" w:rsidP="00115CD6">
            <w:pPr>
              <w:keepNext/>
              <w:adjustRightInd w:val="0"/>
              <w:spacing w:after="0" w:line="240" w:lineRule="auto"/>
              <w:jc w:val="center"/>
              <w:rPr>
                <w:color w:val="000000"/>
              </w:rPr>
            </w:pPr>
            <w:r w:rsidRPr="00C10E38">
              <w:rPr>
                <w:color w:val="000000"/>
              </w:rPr>
              <w:t>1 (0.4%)</w:t>
            </w:r>
          </w:p>
        </w:tc>
        <w:tc>
          <w:tcPr>
            <w:tcW w:w="1713" w:type="dxa"/>
            <w:shd w:val="clear" w:color="auto" w:fill="FFFFFF"/>
            <w:tcMar>
              <w:left w:w="60" w:type="dxa"/>
              <w:right w:w="60" w:type="dxa"/>
            </w:tcMar>
          </w:tcPr>
          <w:p w14:paraId="2FB6DD2E" w14:textId="77777777" w:rsidR="00576FE1" w:rsidRPr="00C10E38" w:rsidRDefault="00576FE1" w:rsidP="00115CD6">
            <w:pPr>
              <w:spacing w:after="0" w:line="240" w:lineRule="auto"/>
              <w:jc w:val="center"/>
            </w:pPr>
            <w:r w:rsidRPr="00C10E38">
              <w:rPr>
                <w:color w:val="000000"/>
              </w:rPr>
              <w:t>0 (0.0%)</w:t>
            </w:r>
          </w:p>
        </w:tc>
        <w:tc>
          <w:tcPr>
            <w:tcW w:w="1547" w:type="dxa"/>
            <w:shd w:val="clear" w:color="auto" w:fill="FFFFFF"/>
            <w:tcMar>
              <w:left w:w="60" w:type="dxa"/>
              <w:right w:w="60" w:type="dxa"/>
            </w:tcMar>
            <w:vAlign w:val="center"/>
          </w:tcPr>
          <w:p w14:paraId="15500920" w14:textId="77777777" w:rsidR="00576FE1" w:rsidRPr="00C10E38" w:rsidRDefault="00576FE1" w:rsidP="00115CD6">
            <w:pPr>
              <w:keepNext/>
              <w:adjustRightInd w:val="0"/>
              <w:spacing w:after="0" w:line="240" w:lineRule="auto"/>
              <w:jc w:val="center"/>
              <w:rPr>
                <w:color w:val="000000"/>
              </w:rPr>
            </w:pPr>
            <w:r w:rsidRPr="00C10E38">
              <w:rPr>
                <w:color w:val="000000"/>
              </w:rPr>
              <w:t>1 (0.2%)</w:t>
            </w:r>
          </w:p>
        </w:tc>
      </w:tr>
      <w:tr w:rsidR="00576FE1" w:rsidRPr="0098119B" w14:paraId="27BB1843" w14:textId="77777777" w:rsidTr="00800E62">
        <w:trPr>
          <w:cantSplit/>
          <w:trHeight w:val="348"/>
        </w:trPr>
        <w:tc>
          <w:tcPr>
            <w:tcW w:w="4197" w:type="dxa"/>
            <w:shd w:val="clear" w:color="auto" w:fill="FFFFFF"/>
            <w:tcMar>
              <w:left w:w="60" w:type="dxa"/>
              <w:right w:w="60" w:type="dxa"/>
            </w:tcMar>
            <w:vAlign w:val="center"/>
          </w:tcPr>
          <w:p w14:paraId="1637434A" w14:textId="77777777" w:rsidR="00576FE1" w:rsidRPr="0098119B" w:rsidRDefault="00576FE1" w:rsidP="00115CD6">
            <w:pPr>
              <w:spacing w:after="0" w:line="240" w:lineRule="auto"/>
              <w:rPr>
                <w:color w:val="000000"/>
              </w:rPr>
            </w:pPr>
            <w:r w:rsidRPr="0098119B">
              <w:rPr>
                <w:color w:val="000000"/>
              </w:rPr>
              <w:t>Aspartate aminotransferase increased</w:t>
            </w:r>
          </w:p>
        </w:tc>
        <w:tc>
          <w:tcPr>
            <w:tcW w:w="1615" w:type="dxa"/>
            <w:shd w:val="clear" w:color="auto" w:fill="FFFFFF"/>
            <w:tcMar>
              <w:left w:w="60" w:type="dxa"/>
              <w:right w:w="60" w:type="dxa"/>
            </w:tcMar>
            <w:vAlign w:val="center"/>
          </w:tcPr>
          <w:p w14:paraId="611D1D9C" w14:textId="77777777" w:rsidR="00576FE1" w:rsidRPr="00C10E38" w:rsidRDefault="00576FE1" w:rsidP="00115CD6">
            <w:pPr>
              <w:keepNext/>
              <w:adjustRightInd w:val="0"/>
              <w:spacing w:after="0" w:line="240" w:lineRule="auto"/>
              <w:jc w:val="center"/>
              <w:rPr>
                <w:color w:val="000000"/>
              </w:rPr>
            </w:pPr>
            <w:r w:rsidRPr="00C10E38">
              <w:rPr>
                <w:color w:val="000000"/>
              </w:rPr>
              <w:t>1 (0.4%)</w:t>
            </w:r>
          </w:p>
        </w:tc>
        <w:tc>
          <w:tcPr>
            <w:tcW w:w="1713" w:type="dxa"/>
            <w:shd w:val="clear" w:color="auto" w:fill="FFFFFF"/>
            <w:tcMar>
              <w:left w:w="60" w:type="dxa"/>
              <w:right w:w="60" w:type="dxa"/>
            </w:tcMar>
          </w:tcPr>
          <w:p w14:paraId="3505DE90" w14:textId="77777777" w:rsidR="00576FE1" w:rsidRPr="00C10E38" w:rsidRDefault="00576FE1" w:rsidP="00115CD6">
            <w:pPr>
              <w:spacing w:after="0" w:line="240" w:lineRule="auto"/>
              <w:jc w:val="center"/>
            </w:pPr>
            <w:r w:rsidRPr="00C10E38">
              <w:rPr>
                <w:color w:val="000000"/>
              </w:rPr>
              <w:t>0 (0.0%)</w:t>
            </w:r>
          </w:p>
        </w:tc>
        <w:tc>
          <w:tcPr>
            <w:tcW w:w="1547" w:type="dxa"/>
            <w:shd w:val="clear" w:color="auto" w:fill="FFFFFF"/>
            <w:tcMar>
              <w:left w:w="60" w:type="dxa"/>
              <w:right w:w="60" w:type="dxa"/>
            </w:tcMar>
            <w:vAlign w:val="center"/>
          </w:tcPr>
          <w:p w14:paraId="3D37FB93" w14:textId="77777777" w:rsidR="00576FE1" w:rsidRPr="00C10E38" w:rsidRDefault="00576FE1" w:rsidP="00115CD6">
            <w:pPr>
              <w:keepNext/>
              <w:adjustRightInd w:val="0"/>
              <w:spacing w:after="0" w:line="240" w:lineRule="auto"/>
              <w:jc w:val="center"/>
              <w:rPr>
                <w:color w:val="000000"/>
              </w:rPr>
            </w:pPr>
            <w:r w:rsidRPr="00C10E38">
              <w:rPr>
                <w:color w:val="000000"/>
              </w:rPr>
              <w:t>1 (0.2%)</w:t>
            </w:r>
          </w:p>
        </w:tc>
      </w:tr>
      <w:tr w:rsidR="00576FE1" w:rsidRPr="0098119B" w14:paraId="10597D8C" w14:textId="77777777" w:rsidTr="00800E62">
        <w:trPr>
          <w:cantSplit/>
          <w:trHeight w:val="323"/>
        </w:trPr>
        <w:tc>
          <w:tcPr>
            <w:tcW w:w="4197" w:type="dxa"/>
            <w:shd w:val="clear" w:color="auto" w:fill="FFFFFF"/>
            <w:tcMar>
              <w:left w:w="60" w:type="dxa"/>
              <w:right w:w="60" w:type="dxa"/>
            </w:tcMar>
            <w:vAlign w:val="center"/>
          </w:tcPr>
          <w:p w14:paraId="4F9E7E5B" w14:textId="77777777" w:rsidR="00576FE1" w:rsidRPr="0098119B" w:rsidRDefault="00576FE1" w:rsidP="00115CD6">
            <w:pPr>
              <w:keepNext/>
              <w:adjustRightInd w:val="0"/>
              <w:spacing w:after="0" w:line="240" w:lineRule="auto"/>
              <w:rPr>
                <w:b/>
                <w:color w:val="000000"/>
                <w:lang w:val="en-GB"/>
              </w:rPr>
            </w:pPr>
            <w:r w:rsidRPr="0098119B">
              <w:rPr>
                <w:b/>
                <w:color w:val="000000"/>
              </w:rPr>
              <w:t>Nervous system disorders</w:t>
            </w:r>
          </w:p>
        </w:tc>
        <w:tc>
          <w:tcPr>
            <w:tcW w:w="1615" w:type="dxa"/>
            <w:shd w:val="clear" w:color="auto" w:fill="FFFFFF"/>
            <w:tcMar>
              <w:left w:w="60" w:type="dxa"/>
              <w:right w:w="60" w:type="dxa"/>
            </w:tcMar>
            <w:vAlign w:val="center"/>
          </w:tcPr>
          <w:p w14:paraId="0E6255DC" w14:textId="77777777" w:rsidR="00576FE1" w:rsidRPr="00C10E38" w:rsidRDefault="00576FE1" w:rsidP="00115CD6">
            <w:pPr>
              <w:keepNext/>
              <w:adjustRightInd w:val="0"/>
              <w:spacing w:after="0" w:line="240" w:lineRule="auto"/>
              <w:jc w:val="center"/>
              <w:rPr>
                <w:b/>
                <w:color w:val="000000"/>
              </w:rPr>
            </w:pPr>
            <w:r w:rsidRPr="00C10E38">
              <w:rPr>
                <w:b/>
                <w:color w:val="000000"/>
              </w:rPr>
              <w:t>2 (0.8%)</w:t>
            </w:r>
          </w:p>
        </w:tc>
        <w:tc>
          <w:tcPr>
            <w:tcW w:w="1713" w:type="dxa"/>
            <w:shd w:val="clear" w:color="auto" w:fill="FFFFFF"/>
            <w:tcMar>
              <w:left w:w="60" w:type="dxa"/>
              <w:right w:w="60" w:type="dxa"/>
            </w:tcMar>
            <w:vAlign w:val="center"/>
          </w:tcPr>
          <w:p w14:paraId="6D848281" w14:textId="77777777" w:rsidR="00576FE1" w:rsidRPr="00C10E38" w:rsidRDefault="00576FE1" w:rsidP="00115CD6">
            <w:pPr>
              <w:keepNext/>
              <w:adjustRightInd w:val="0"/>
              <w:spacing w:after="0" w:line="240" w:lineRule="auto"/>
              <w:jc w:val="center"/>
              <w:rPr>
                <w:b/>
                <w:color w:val="000000"/>
              </w:rPr>
            </w:pPr>
            <w:r w:rsidRPr="00C10E38">
              <w:rPr>
                <w:b/>
                <w:color w:val="000000"/>
              </w:rPr>
              <w:t>0 (0.0%)</w:t>
            </w:r>
          </w:p>
        </w:tc>
        <w:tc>
          <w:tcPr>
            <w:tcW w:w="1547" w:type="dxa"/>
            <w:shd w:val="clear" w:color="auto" w:fill="FFFFFF"/>
            <w:tcMar>
              <w:left w:w="60" w:type="dxa"/>
              <w:right w:w="60" w:type="dxa"/>
            </w:tcMar>
            <w:vAlign w:val="center"/>
          </w:tcPr>
          <w:p w14:paraId="0F8F87CD" w14:textId="77777777" w:rsidR="00576FE1" w:rsidRPr="00C10E38" w:rsidRDefault="00576FE1" w:rsidP="00115CD6">
            <w:pPr>
              <w:keepNext/>
              <w:adjustRightInd w:val="0"/>
              <w:spacing w:after="0" w:line="240" w:lineRule="auto"/>
              <w:jc w:val="center"/>
              <w:rPr>
                <w:b/>
                <w:color w:val="000000"/>
              </w:rPr>
            </w:pPr>
            <w:r w:rsidRPr="00C10E38">
              <w:rPr>
                <w:b/>
                <w:color w:val="000000"/>
              </w:rPr>
              <w:t>2 (0.4%)</w:t>
            </w:r>
          </w:p>
        </w:tc>
      </w:tr>
      <w:tr w:rsidR="00576FE1" w:rsidRPr="0098119B" w14:paraId="22DA87BD" w14:textId="77777777" w:rsidTr="00800E62">
        <w:trPr>
          <w:cantSplit/>
          <w:trHeight w:val="323"/>
        </w:trPr>
        <w:tc>
          <w:tcPr>
            <w:tcW w:w="4197" w:type="dxa"/>
            <w:shd w:val="clear" w:color="auto" w:fill="FFFFFF"/>
            <w:tcMar>
              <w:left w:w="60" w:type="dxa"/>
              <w:right w:w="60" w:type="dxa"/>
            </w:tcMar>
            <w:vAlign w:val="center"/>
          </w:tcPr>
          <w:p w14:paraId="54320E91" w14:textId="77777777" w:rsidR="00576FE1" w:rsidRPr="0098119B" w:rsidRDefault="00576FE1" w:rsidP="00115CD6">
            <w:pPr>
              <w:keepNext/>
              <w:adjustRightInd w:val="0"/>
              <w:spacing w:after="0" w:line="240" w:lineRule="auto"/>
              <w:rPr>
                <w:b/>
                <w:color w:val="000000"/>
                <w:lang w:val="en-GB"/>
              </w:rPr>
            </w:pPr>
            <w:r w:rsidRPr="0098119B">
              <w:rPr>
                <w:color w:val="000000"/>
              </w:rPr>
              <w:t xml:space="preserve">Cerebral </w:t>
            </w:r>
            <w:proofErr w:type="spellStart"/>
            <w:r w:rsidRPr="0098119B">
              <w:rPr>
                <w:color w:val="000000"/>
              </w:rPr>
              <w:t>haemorrhage</w:t>
            </w:r>
            <w:proofErr w:type="spellEnd"/>
          </w:p>
        </w:tc>
        <w:tc>
          <w:tcPr>
            <w:tcW w:w="1615" w:type="dxa"/>
            <w:shd w:val="clear" w:color="auto" w:fill="FFFFFF"/>
            <w:tcMar>
              <w:left w:w="60" w:type="dxa"/>
              <w:right w:w="60" w:type="dxa"/>
            </w:tcMar>
            <w:vAlign w:val="center"/>
          </w:tcPr>
          <w:p w14:paraId="1F65BF0C" w14:textId="77777777" w:rsidR="00576FE1" w:rsidRPr="0098119B" w:rsidRDefault="00576FE1" w:rsidP="00115CD6">
            <w:pPr>
              <w:keepNext/>
              <w:adjustRightInd w:val="0"/>
              <w:spacing w:after="0" w:line="240" w:lineRule="auto"/>
              <w:jc w:val="center"/>
              <w:rPr>
                <w:b/>
                <w:color w:val="000000"/>
              </w:rPr>
            </w:pPr>
            <w:r w:rsidRPr="0098119B">
              <w:rPr>
                <w:color w:val="000000"/>
              </w:rPr>
              <w:t>1 (0.4%)</w:t>
            </w:r>
          </w:p>
        </w:tc>
        <w:tc>
          <w:tcPr>
            <w:tcW w:w="1713" w:type="dxa"/>
            <w:shd w:val="clear" w:color="auto" w:fill="FFFFFF"/>
            <w:tcMar>
              <w:left w:w="60" w:type="dxa"/>
              <w:right w:w="60" w:type="dxa"/>
            </w:tcMar>
            <w:vAlign w:val="center"/>
          </w:tcPr>
          <w:p w14:paraId="1D5EF831" w14:textId="77777777" w:rsidR="00576FE1" w:rsidRPr="0098119B" w:rsidRDefault="00576FE1" w:rsidP="00115CD6">
            <w:pPr>
              <w:keepNext/>
              <w:adjustRightInd w:val="0"/>
              <w:spacing w:after="0" w:line="240" w:lineRule="auto"/>
              <w:jc w:val="center"/>
              <w:rPr>
                <w:b/>
                <w:color w:val="000000"/>
              </w:rPr>
            </w:pPr>
            <w:r w:rsidRPr="0098119B">
              <w:rPr>
                <w:color w:val="000000"/>
              </w:rPr>
              <w:t>0 (0.0%)</w:t>
            </w:r>
          </w:p>
        </w:tc>
        <w:tc>
          <w:tcPr>
            <w:tcW w:w="1547" w:type="dxa"/>
            <w:shd w:val="clear" w:color="auto" w:fill="FFFFFF"/>
            <w:tcMar>
              <w:left w:w="60" w:type="dxa"/>
              <w:right w:w="60" w:type="dxa"/>
            </w:tcMar>
            <w:vAlign w:val="center"/>
          </w:tcPr>
          <w:p w14:paraId="5F64388E" w14:textId="77777777" w:rsidR="00576FE1" w:rsidRPr="0098119B" w:rsidRDefault="00576FE1" w:rsidP="00115CD6">
            <w:pPr>
              <w:keepNext/>
              <w:adjustRightInd w:val="0"/>
              <w:spacing w:after="0" w:line="240" w:lineRule="auto"/>
              <w:jc w:val="center"/>
              <w:rPr>
                <w:b/>
                <w:color w:val="000000"/>
              </w:rPr>
            </w:pPr>
            <w:r w:rsidRPr="0098119B">
              <w:rPr>
                <w:color w:val="000000"/>
              </w:rPr>
              <w:t>1 (0.2%)</w:t>
            </w:r>
          </w:p>
        </w:tc>
      </w:tr>
      <w:tr w:rsidR="00576FE1" w:rsidRPr="0098119B" w14:paraId="4C2F35EA" w14:textId="77777777" w:rsidTr="00800E62">
        <w:trPr>
          <w:cantSplit/>
          <w:trHeight w:val="323"/>
        </w:trPr>
        <w:tc>
          <w:tcPr>
            <w:tcW w:w="4197" w:type="dxa"/>
            <w:shd w:val="clear" w:color="auto" w:fill="FFFFFF"/>
            <w:tcMar>
              <w:left w:w="60" w:type="dxa"/>
              <w:right w:w="60" w:type="dxa"/>
            </w:tcMar>
            <w:vAlign w:val="center"/>
          </w:tcPr>
          <w:p w14:paraId="34962392" w14:textId="77777777" w:rsidR="00576FE1" w:rsidRPr="0098119B" w:rsidRDefault="00576FE1" w:rsidP="00115CD6">
            <w:pPr>
              <w:keepNext/>
              <w:adjustRightInd w:val="0"/>
              <w:spacing w:after="0" w:line="240" w:lineRule="auto"/>
              <w:rPr>
                <w:b/>
                <w:color w:val="000000"/>
                <w:lang w:val="en-GB"/>
              </w:rPr>
            </w:pPr>
            <w:r w:rsidRPr="0098119B">
              <w:rPr>
                <w:color w:val="000000"/>
              </w:rPr>
              <w:t>Memory impairment</w:t>
            </w:r>
          </w:p>
        </w:tc>
        <w:tc>
          <w:tcPr>
            <w:tcW w:w="1615" w:type="dxa"/>
            <w:shd w:val="clear" w:color="auto" w:fill="FFFFFF"/>
            <w:tcMar>
              <w:left w:w="60" w:type="dxa"/>
              <w:right w:w="60" w:type="dxa"/>
            </w:tcMar>
            <w:vAlign w:val="center"/>
          </w:tcPr>
          <w:p w14:paraId="7EDF5D92" w14:textId="77777777" w:rsidR="00576FE1" w:rsidRPr="0098119B" w:rsidRDefault="00576FE1" w:rsidP="00115CD6">
            <w:pPr>
              <w:keepNext/>
              <w:adjustRightInd w:val="0"/>
              <w:spacing w:after="0" w:line="240" w:lineRule="auto"/>
              <w:jc w:val="center"/>
              <w:rPr>
                <w:b/>
                <w:color w:val="000000"/>
              </w:rPr>
            </w:pPr>
            <w:r w:rsidRPr="0098119B">
              <w:rPr>
                <w:color w:val="000000"/>
              </w:rPr>
              <w:t>1 (0.4%)</w:t>
            </w:r>
          </w:p>
        </w:tc>
        <w:tc>
          <w:tcPr>
            <w:tcW w:w="1713" w:type="dxa"/>
            <w:shd w:val="clear" w:color="auto" w:fill="FFFFFF"/>
            <w:tcMar>
              <w:left w:w="60" w:type="dxa"/>
              <w:right w:w="60" w:type="dxa"/>
            </w:tcMar>
            <w:vAlign w:val="center"/>
          </w:tcPr>
          <w:p w14:paraId="5A159975" w14:textId="77777777" w:rsidR="00576FE1" w:rsidRPr="0098119B" w:rsidRDefault="00576FE1" w:rsidP="00115CD6">
            <w:pPr>
              <w:keepNext/>
              <w:adjustRightInd w:val="0"/>
              <w:spacing w:after="0" w:line="240" w:lineRule="auto"/>
              <w:jc w:val="center"/>
              <w:rPr>
                <w:b/>
                <w:color w:val="000000"/>
              </w:rPr>
            </w:pPr>
            <w:r w:rsidRPr="0098119B">
              <w:rPr>
                <w:color w:val="000000"/>
              </w:rPr>
              <w:t>0 (0.0%)</w:t>
            </w:r>
          </w:p>
        </w:tc>
        <w:tc>
          <w:tcPr>
            <w:tcW w:w="1547" w:type="dxa"/>
            <w:shd w:val="clear" w:color="auto" w:fill="FFFFFF"/>
            <w:tcMar>
              <w:left w:w="60" w:type="dxa"/>
              <w:right w:w="60" w:type="dxa"/>
            </w:tcMar>
            <w:vAlign w:val="center"/>
          </w:tcPr>
          <w:p w14:paraId="09ACFB3E" w14:textId="77777777" w:rsidR="00576FE1" w:rsidRPr="0098119B" w:rsidRDefault="00576FE1" w:rsidP="00115CD6">
            <w:pPr>
              <w:keepNext/>
              <w:adjustRightInd w:val="0"/>
              <w:spacing w:after="0" w:line="240" w:lineRule="auto"/>
              <w:jc w:val="center"/>
              <w:rPr>
                <w:b/>
                <w:color w:val="000000"/>
              </w:rPr>
            </w:pPr>
            <w:r w:rsidRPr="0098119B">
              <w:rPr>
                <w:color w:val="000000"/>
              </w:rPr>
              <w:t>1 (0.2%)</w:t>
            </w:r>
          </w:p>
        </w:tc>
      </w:tr>
      <w:tr w:rsidR="00576FE1" w:rsidRPr="0098119B" w14:paraId="479DB7DF" w14:textId="77777777" w:rsidTr="00800E62">
        <w:trPr>
          <w:cantSplit/>
          <w:trHeight w:val="323"/>
        </w:trPr>
        <w:tc>
          <w:tcPr>
            <w:tcW w:w="4197" w:type="dxa"/>
            <w:shd w:val="clear" w:color="auto" w:fill="FFFFFF"/>
            <w:tcMar>
              <w:left w:w="60" w:type="dxa"/>
              <w:right w:w="60" w:type="dxa"/>
            </w:tcMar>
            <w:vAlign w:val="center"/>
          </w:tcPr>
          <w:p w14:paraId="4A343B48" w14:textId="77777777" w:rsidR="00576FE1" w:rsidRPr="0098119B" w:rsidRDefault="00576FE1" w:rsidP="00115CD6">
            <w:pPr>
              <w:keepNext/>
              <w:adjustRightInd w:val="0"/>
              <w:spacing w:after="0" w:line="240" w:lineRule="auto"/>
              <w:rPr>
                <w:b/>
                <w:color w:val="000000"/>
                <w:lang w:val="en-GB"/>
              </w:rPr>
            </w:pPr>
            <w:r w:rsidRPr="0098119B">
              <w:rPr>
                <w:color w:val="000000"/>
              </w:rPr>
              <w:t>Mental impairment</w:t>
            </w:r>
          </w:p>
        </w:tc>
        <w:tc>
          <w:tcPr>
            <w:tcW w:w="1615" w:type="dxa"/>
            <w:shd w:val="clear" w:color="auto" w:fill="FFFFFF"/>
            <w:tcMar>
              <w:left w:w="60" w:type="dxa"/>
              <w:right w:w="60" w:type="dxa"/>
            </w:tcMar>
            <w:vAlign w:val="center"/>
          </w:tcPr>
          <w:p w14:paraId="50D31ADD" w14:textId="77777777" w:rsidR="00576FE1" w:rsidRPr="0098119B" w:rsidRDefault="00576FE1" w:rsidP="00115CD6">
            <w:pPr>
              <w:keepNext/>
              <w:adjustRightInd w:val="0"/>
              <w:spacing w:after="0" w:line="240" w:lineRule="auto"/>
              <w:jc w:val="center"/>
              <w:rPr>
                <w:b/>
                <w:color w:val="000000"/>
              </w:rPr>
            </w:pPr>
            <w:r w:rsidRPr="0098119B">
              <w:rPr>
                <w:color w:val="000000"/>
              </w:rPr>
              <w:t>1 (0.4%)</w:t>
            </w:r>
          </w:p>
        </w:tc>
        <w:tc>
          <w:tcPr>
            <w:tcW w:w="1713" w:type="dxa"/>
            <w:shd w:val="clear" w:color="auto" w:fill="FFFFFF"/>
            <w:tcMar>
              <w:left w:w="60" w:type="dxa"/>
              <w:right w:w="60" w:type="dxa"/>
            </w:tcMar>
            <w:vAlign w:val="center"/>
          </w:tcPr>
          <w:p w14:paraId="4DBA64BB" w14:textId="77777777" w:rsidR="00576FE1" w:rsidRPr="0098119B" w:rsidRDefault="00576FE1" w:rsidP="00115CD6">
            <w:pPr>
              <w:keepNext/>
              <w:adjustRightInd w:val="0"/>
              <w:spacing w:after="0" w:line="240" w:lineRule="auto"/>
              <w:jc w:val="center"/>
              <w:rPr>
                <w:b/>
                <w:color w:val="000000"/>
              </w:rPr>
            </w:pPr>
            <w:r w:rsidRPr="0098119B">
              <w:rPr>
                <w:color w:val="000000"/>
              </w:rPr>
              <w:t>0 (0.0%)</w:t>
            </w:r>
          </w:p>
        </w:tc>
        <w:tc>
          <w:tcPr>
            <w:tcW w:w="1547" w:type="dxa"/>
            <w:shd w:val="clear" w:color="auto" w:fill="FFFFFF"/>
            <w:tcMar>
              <w:left w:w="60" w:type="dxa"/>
              <w:right w:w="60" w:type="dxa"/>
            </w:tcMar>
            <w:vAlign w:val="center"/>
          </w:tcPr>
          <w:p w14:paraId="02B7289D" w14:textId="77777777" w:rsidR="00576FE1" w:rsidRPr="0098119B" w:rsidRDefault="00576FE1" w:rsidP="00115CD6">
            <w:pPr>
              <w:keepNext/>
              <w:adjustRightInd w:val="0"/>
              <w:spacing w:after="0" w:line="240" w:lineRule="auto"/>
              <w:jc w:val="center"/>
              <w:rPr>
                <w:b/>
                <w:color w:val="000000"/>
              </w:rPr>
            </w:pPr>
            <w:r w:rsidRPr="0098119B">
              <w:rPr>
                <w:color w:val="000000"/>
              </w:rPr>
              <w:t>1 (0.2%)</w:t>
            </w:r>
          </w:p>
        </w:tc>
      </w:tr>
      <w:tr w:rsidR="00576FE1" w:rsidRPr="0098119B" w14:paraId="49164DD1" w14:textId="77777777" w:rsidTr="00800E62">
        <w:trPr>
          <w:cantSplit/>
          <w:trHeight w:val="323"/>
        </w:trPr>
        <w:tc>
          <w:tcPr>
            <w:tcW w:w="4197" w:type="dxa"/>
            <w:shd w:val="clear" w:color="auto" w:fill="FFFFFF"/>
            <w:tcMar>
              <w:left w:w="60" w:type="dxa"/>
              <w:right w:w="60" w:type="dxa"/>
            </w:tcMar>
            <w:vAlign w:val="center"/>
          </w:tcPr>
          <w:p w14:paraId="08A3BFA2" w14:textId="77777777" w:rsidR="00576FE1" w:rsidRPr="0098119B" w:rsidRDefault="00576FE1" w:rsidP="00115CD6">
            <w:pPr>
              <w:keepNext/>
              <w:adjustRightInd w:val="0"/>
              <w:spacing w:after="0" w:line="240" w:lineRule="auto"/>
              <w:rPr>
                <w:b/>
                <w:color w:val="000000"/>
                <w:lang w:val="en-GB"/>
              </w:rPr>
            </w:pPr>
            <w:r w:rsidRPr="0098119B">
              <w:rPr>
                <w:b/>
                <w:color w:val="000000"/>
                <w:lang w:val="en-GB"/>
              </w:rPr>
              <w:t>Blood and lymphatic system disorders</w:t>
            </w:r>
          </w:p>
        </w:tc>
        <w:tc>
          <w:tcPr>
            <w:tcW w:w="1615" w:type="dxa"/>
            <w:shd w:val="clear" w:color="auto" w:fill="FFFFFF"/>
            <w:tcMar>
              <w:left w:w="60" w:type="dxa"/>
              <w:right w:w="60" w:type="dxa"/>
            </w:tcMar>
            <w:vAlign w:val="center"/>
          </w:tcPr>
          <w:p w14:paraId="0CFB5743" w14:textId="77777777" w:rsidR="00576FE1" w:rsidRPr="0098119B" w:rsidRDefault="00576FE1" w:rsidP="00115CD6">
            <w:pPr>
              <w:keepNext/>
              <w:adjustRightInd w:val="0"/>
              <w:spacing w:after="0" w:line="240" w:lineRule="auto"/>
              <w:jc w:val="center"/>
              <w:rPr>
                <w:b/>
                <w:color w:val="000000"/>
              </w:rPr>
            </w:pPr>
            <w:r w:rsidRPr="0098119B">
              <w:rPr>
                <w:b/>
                <w:color w:val="000000"/>
              </w:rPr>
              <w:t>2 (0.8%)</w:t>
            </w:r>
          </w:p>
        </w:tc>
        <w:tc>
          <w:tcPr>
            <w:tcW w:w="1713" w:type="dxa"/>
            <w:shd w:val="clear" w:color="auto" w:fill="FFFFFF"/>
            <w:tcMar>
              <w:left w:w="60" w:type="dxa"/>
              <w:right w:w="60" w:type="dxa"/>
            </w:tcMar>
            <w:vAlign w:val="center"/>
          </w:tcPr>
          <w:p w14:paraId="214F5BAA" w14:textId="77777777" w:rsidR="00576FE1" w:rsidRPr="0098119B" w:rsidRDefault="00576FE1" w:rsidP="00115CD6">
            <w:pPr>
              <w:keepNext/>
              <w:adjustRightInd w:val="0"/>
              <w:spacing w:after="0" w:line="240" w:lineRule="auto"/>
              <w:jc w:val="center"/>
              <w:rPr>
                <w:b/>
                <w:color w:val="000000"/>
              </w:rPr>
            </w:pPr>
            <w:r w:rsidRPr="0098119B">
              <w:rPr>
                <w:b/>
                <w:color w:val="000000"/>
              </w:rPr>
              <w:t>0 (0.0%)</w:t>
            </w:r>
          </w:p>
        </w:tc>
        <w:tc>
          <w:tcPr>
            <w:tcW w:w="1547" w:type="dxa"/>
            <w:shd w:val="clear" w:color="auto" w:fill="FFFFFF"/>
            <w:tcMar>
              <w:left w:w="60" w:type="dxa"/>
              <w:right w:w="60" w:type="dxa"/>
            </w:tcMar>
            <w:vAlign w:val="center"/>
          </w:tcPr>
          <w:p w14:paraId="7C7C56AE" w14:textId="77777777" w:rsidR="00576FE1" w:rsidRPr="0098119B" w:rsidRDefault="00576FE1" w:rsidP="00115CD6">
            <w:pPr>
              <w:keepNext/>
              <w:adjustRightInd w:val="0"/>
              <w:spacing w:after="0" w:line="240" w:lineRule="auto"/>
              <w:jc w:val="center"/>
              <w:rPr>
                <w:b/>
                <w:color w:val="000000"/>
              </w:rPr>
            </w:pPr>
            <w:r w:rsidRPr="0098119B">
              <w:rPr>
                <w:b/>
                <w:color w:val="000000"/>
              </w:rPr>
              <w:t>2 (0.4%)</w:t>
            </w:r>
          </w:p>
        </w:tc>
      </w:tr>
      <w:tr w:rsidR="00576FE1" w:rsidRPr="0098119B" w14:paraId="7ADC4BC6" w14:textId="77777777" w:rsidTr="00800E62">
        <w:trPr>
          <w:cantSplit/>
          <w:trHeight w:val="348"/>
        </w:trPr>
        <w:tc>
          <w:tcPr>
            <w:tcW w:w="4197" w:type="dxa"/>
            <w:shd w:val="clear" w:color="auto" w:fill="FFFFFF"/>
            <w:tcMar>
              <w:left w:w="60" w:type="dxa"/>
              <w:right w:w="60" w:type="dxa"/>
            </w:tcMar>
            <w:vAlign w:val="center"/>
          </w:tcPr>
          <w:p w14:paraId="77B42776" w14:textId="77777777" w:rsidR="00576FE1" w:rsidRPr="0098119B" w:rsidRDefault="00576FE1" w:rsidP="00115CD6">
            <w:pPr>
              <w:spacing w:after="0" w:line="240" w:lineRule="auto"/>
              <w:rPr>
                <w:color w:val="000000"/>
              </w:rPr>
            </w:pPr>
            <w:r w:rsidRPr="0098119B">
              <w:rPr>
                <w:color w:val="000000"/>
              </w:rPr>
              <w:t>Neutropenia</w:t>
            </w:r>
          </w:p>
        </w:tc>
        <w:tc>
          <w:tcPr>
            <w:tcW w:w="1615" w:type="dxa"/>
            <w:shd w:val="clear" w:color="auto" w:fill="FFFFFF"/>
            <w:tcMar>
              <w:left w:w="60" w:type="dxa"/>
              <w:right w:w="60" w:type="dxa"/>
            </w:tcMar>
            <w:vAlign w:val="center"/>
          </w:tcPr>
          <w:p w14:paraId="555AC038" w14:textId="77777777" w:rsidR="00576FE1" w:rsidRPr="0098119B" w:rsidRDefault="00576FE1" w:rsidP="00115CD6">
            <w:pPr>
              <w:keepNext/>
              <w:adjustRightInd w:val="0"/>
              <w:spacing w:after="0" w:line="240" w:lineRule="auto"/>
              <w:jc w:val="center"/>
              <w:rPr>
                <w:color w:val="000000"/>
              </w:rPr>
            </w:pPr>
            <w:r w:rsidRPr="0098119B">
              <w:rPr>
                <w:color w:val="000000"/>
              </w:rPr>
              <w:t>1 (0.4%)</w:t>
            </w:r>
          </w:p>
        </w:tc>
        <w:tc>
          <w:tcPr>
            <w:tcW w:w="1713" w:type="dxa"/>
            <w:shd w:val="clear" w:color="auto" w:fill="FFFFFF"/>
            <w:tcMar>
              <w:left w:w="60" w:type="dxa"/>
              <w:right w:w="60" w:type="dxa"/>
            </w:tcMar>
          </w:tcPr>
          <w:p w14:paraId="158D02FB" w14:textId="77777777" w:rsidR="00576FE1" w:rsidRPr="0098119B" w:rsidRDefault="00576FE1" w:rsidP="00115CD6">
            <w:pPr>
              <w:spacing w:after="0" w:line="240" w:lineRule="auto"/>
              <w:jc w:val="center"/>
            </w:pPr>
            <w:r w:rsidRPr="0098119B">
              <w:rPr>
                <w:color w:val="000000"/>
              </w:rPr>
              <w:t>0 (0.0%)</w:t>
            </w:r>
          </w:p>
        </w:tc>
        <w:tc>
          <w:tcPr>
            <w:tcW w:w="1547" w:type="dxa"/>
            <w:shd w:val="clear" w:color="auto" w:fill="FFFFFF"/>
            <w:tcMar>
              <w:left w:w="60" w:type="dxa"/>
              <w:right w:w="60" w:type="dxa"/>
            </w:tcMar>
            <w:vAlign w:val="center"/>
          </w:tcPr>
          <w:p w14:paraId="5DB81A78" w14:textId="77777777" w:rsidR="00576FE1" w:rsidRPr="0098119B" w:rsidRDefault="00576FE1" w:rsidP="00115CD6">
            <w:pPr>
              <w:keepNext/>
              <w:adjustRightInd w:val="0"/>
              <w:spacing w:after="0" w:line="240" w:lineRule="auto"/>
              <w:jc w:val="center"/>
              <w:rPr>
                <w:color w:val="000000"/>
              </w:rPr>
            </w:pPr>
            <w:r w:rsidRPr="0098119B">
              <w:rPr>
                <w:color w:val="000000"/>
              </w:rPr>
              <w:t>1 (0.2%)</w:t>
            </w:r>
          </w:p>
        </w:tc>
      </w:tr>
      <w:tr w:rsidR="00576FE1" w:rsidRPr="0098119B" w14:paraId="71A32D3A" w14:textId="77777777" w:rsidTr="00800E62">
        <w:trPr>
          <w:cantSplit/>
          <w:trHeight w:val="323"/>
        </w:trPr>
        <w:tc>
          <w:tcPr>
            <w:tcW w:w="4197" w:type="dxa"/>
            <w:shd w:val="clear" w:color="auto" w:fill="FFFFFF"/>
            <w:tcMar>
              <w:left w:w="60" w:type="dxa"/>
              <w:right w:w="60" w:type="dxa"/>
            </w:tcMar>
            <w:vAlign w:val="center"/>
          </w:tcPr>
          <w:p w14:paraId="7053F77E" w14:textId="77777777" w:rsidR="00576FE1" w:rsidRPr="0098119B" w:rsidRDefault="00576FE1" w:rsidP="00115CD6">
            <w:pPr>
              <w:spacing w:after="0" w:line="240" w:lineRule="auto"/>
              <w:rPr>
                <w:color w:val="000000"/>
              </w:rPr>
            </w:pPr>
            <w:r w:rsidRPr="0098119B">
              <w:rPr>
                <w:color w:val="000000"/>
              </w:rPr>
              <w:t>Febrile neutropenia</w:t>
            </w:r>
          </w:p>
        </w:tc>
        <w:tc>
          <w:tcPr>
            <w:tcW w:w="1615" w:type="dxa"/>
            <w:shd w:val="clear" w:color="auto" w:fill="FFFFFF"/>
            <w:tcMar>
              <w:left w:w="60" w:type="dxa"/>
              <w:right w:w="60" w:type="dxa"/>
            </w:tcMar>
            <w:vAlign w:val="center"/>
          </w:tcPr>
          <w:p w14:paraId="604A93AF" w14:textId="77777777" w:rsidR="00576FE1" w:rsidRPr="0098119B" w:rsidRDefault="00576FE1" w:rsidP="00115CD6">
            <w:pPr>
              <w:keepNext/>
              <w:adjustRightInd w:val="0"/>
              <w:spacing w:after="0" w:line="240" w:lineRule="auto"/>
              <w:jc w:val="center"/>
              <w:rPr>
                <w:color w:val="000000"/>
              </w:rPr>
            </w:pPr>
            <w:r w:rsidRPr="0098119B">
              <w:rPr>
                <w:color w:val="000000"/>
              </w:rPr>
              <w:t>1 (0.4%)</w:t>
            </w:r>
          </w:p>
        </w:tc>
        <w:tc>
          <w:tcPr>
            <w:tcW w:w="1713" w:type="dxa"/>
            <w:shd w:val="clear" w:color="auto" w:fill="FFFFFF"/>
            <w:tcMar>
              <w:left w:w="60" w:type="dxa"/>
              <w:right w:w="60" w:type="dxa"/>
            </w:tcMar>
          </w:tcPr>
          <w:p w14:paraId="2810849B" w14:textId="77777777" w:rsidR="00576FE1" w:rsidRPr="0098119B" w:rsidRDefault="00576FE1" w:rsidP="00115CD6">
            <w:pPr>
              <w:spacing w:after="0" w:line="240" w:lineRule="auto"/>
              <w:jc w:val="center"/>
            </w:pPr>
            <w:r w:rsidRPr="0098119B">
              <w:rPr>
                <w:color w:val="000000"/>
              </w:rPr>
              <w:t>0 (0.0%)</w:t>
            </w:r>
          </w:p>
        </w:tc>
        <w:tc>
          <w:tcPr>
            <w:tcW w:w="1547" w:type="dxa"/>
            <w:shd w:val="clear" w:color="auto" w:fill="FFFFFF"/>
            <w:tcMar>
              <w:left w:w="60" w:type="dxa"/>
              <w:right w:w="60" w:type="dxa"/>
            </w:tcMar>
            <w:vAlign w:val="center"/>
          </w:tcPr>
          <w:p w14:paraId="1CBBF498" w14:textId="77777777" w:rsidR="00576FE1" w:rsidRPr="0098119B" w:rsidRDefault="00576FE1" w:rsidP="00115CD6">
            <w:pPr>
              <w:keepNext/>
              <w:adjustRightInd w:val="0"/>
              <w:spacing w:after="0" w:line="240" w:lineRule="auto"/>
              <w:jc w:val="center"/>
              <w:rPr>
                <w:color w:val="000000"/>
              </w:rPr>
            </w:pPr>
            <w:r w:rsidRPr="0098119B">
              <w:rPr>
                <w:color w:val="000000"/>
              </w:rPr>
              <w:t>1 (0.2%)</w:t>
            </w:r>
          </w:p>
        </w:tc>
      </w:tr>
      <w:tr w:rsidR="00576FE1" w:rsidRPr="0098119B" w14:paraId="486A8B62" w14:textId="77777777" w:rsidTr="00800E62">
        <w:trPr>
          <w:cantSplit/>
          <w:trHeight w:val="323"/>
        </w:trPr>
        <w:tc>
          <w:tcPr>
            <w:tcW w:w="4197" w:type="dxa"/>
            <w:shd w:val="clear" w:color="auto" w:fill="FFFFFF"/>
            <w:tcMar>
              <w:left w:w="60" w:type="dxa"/>
              <w:right w:w="60" w:type="dxa"/>
            </w:tcMar>
            <w:vAlign w:val="center"/>
          </w:tcPr>
          <w:p w14:paraId="1C0B0B40" w14:textId="77777777" w:rsidR="00576FE1" w:rsidRPr="0098119B" w:rsidRDefault="00576FE1" w:rsidP="00115CD6">
            <w:pPr>
              <w:keepNext/>
              <w:adjustRightInd w:val="0"/>
              <w:spacing w:after="0" w:line="240" w:lineRule="auto"/>
              <w:rPr>
                <w:b/>
                <w:color w:val="000000"/>
              </w:rPr>
            </w:pPr>
            <w:r w:rsidRPr="0098119B">
              <w:rPr>
                <w:b/>
                <w:color w:val="000000"/>
              </w:rPr>
              <w:t>Vascular disorders</w:t>
            </w:r>
          </w:p>
        </w:tc>
        <w:tc>
          <w:tcPr>
            <w:tcW w:w="1615" w:type="dxa"/>
            <w:shd w:val="clear" w:color="auto" w:fill="FFFFFF"/>
            <w:tcMar>
              <w:left w:w="60" w:type="dxa"/>
              <w:right w:w="60" w:type="dxa"/>
            </w:tcMar>
            <w:vAlign w:val="center"/>
          </w:tcPr>
          <w:p w14:paraId="6EBB4F6B" w14:textId="77777777" w:rsidR="00576FE1" w:rsidRPr="0098119B" w:rsidRDefault="00576FE1" w:rsidP="00115CD6">
            <w:pPr>
              <w:keepNext/>
              <w:adjustRightInd w:val="0"/>
              <w:spacing w:after="0" w:line="240" w:lineRule="auto"/>
              <w:jc w:val="center"/>
              <w:rPr>
                <w:b/>
                <w:color w:val="000000"/>
              </w:rPr>
            </w:pPr>
            <w:r w:rsidRPr="0098119B">
              <w:rPr>
                <w:b/>
                <w:color w:val="000000"/>
              </w:rPr>
              <w:t>2 (0.8%)</w:t>
            </w:r>
          </w:p>
        </w:tc>
        <w:tc>
          <w:tcPr>
            <w:tcW w:w="1713" w:type="dxa"/>
            <w:shd w:val="clear" w:color="auto" w:fill="FFFFFF"/>
            <w:tcMar>
              <w:left w:w="60" w:type="dxa"/>
              <w:right w:w="60" w:type="dxa"/>
            </w:tcMar>
            <w:vAlign w:val="center"/>
          </w:tcPr>
          <w:p w14:paraId="22E2AC6A" w14:textId="77777777" w:rsidR="00576FE1" w:rsidRPr="0098119B" w:rsidRDefault="00576FE1" w:rsidP="00115CD6">
            <w:pPr>
              <w:keepNext/>
              <w:adjustRightInd w:val="0"/>
              <w:spacing w:after="0" w:line="240" w:lineRule="auto"/>
              <w:jc w:val="center"/>
              <w:rPr>
                <w:b/>
                <w:color w:val="000000"/>
              </w:rPr>
            </w:pPr>
            <w:r w:rsidRPr="0098119B">
              <w:rPr>
                <w:b/>
                <w:color w:val="000000"/>
              </w:rPr>
              <w:t>0 (0.0%)</w:t>
            </w:r>
          </w:p>
        </w:tc>
        <w:tc>
          <w:tcPr>
            <w:tcW w:w="1547" w:type="dxa"/>
            <w:shd w:val="clear" w:color="auto" w:fill="FFFFFF"/>
            <w:tcMar>
              <w:left w:w="60" w:type="dxa"/>
              <w:right w:w="60" w:type="dxa"/>
            </w:tcMar>
            <w:vAlign w:val="center"/>
          </w:tcPr>
          <w:p w14:paraId="6CFD31C0" w14:textId="77777777" w:rsidR="00576FE1" w:rsidRPr="0098119B" w:rsidRDefault="00576FE1" w:rsidP="00115CD6">
            <w:pPr>
              <w:keepNext/>
              <w:adjustRightInd w:val="0"/>
              <w:spacing w:after="0" w:line="240" w:lineRule="auto"/>
              <w:jc w:val="center"/>
              <w:rPr>
                <w:b/>
                <w:color w:val="000000"/>
              </w:rPr>
            </w:pPr>
            <w:r w:rsidRPr="0098119B">
              <w:rPr>
                <w:b/>
                <w:color w:val="000000"/>
              </w:rPr>
              <w:t>2 (0.4%)</w:t>
            </w:r>
          </w:p>
        </w:tc>
      </w:tr>
      <w:tr w:rsidR="00576FE1" w:rsidRPr="0098119B" w14:paraId="7EB27A14" w14:textId="77777777" w:rsidTr="00800E62">
        <w:trPr>
          <w:cantSplit/>
          <w:trHeight w:val="323"/>
        </w:trPr>
        <w:tc>
          <w:tcPr>
            <w:tcW w:w="4197" w:type="dxa"/>
            <w:shd w:val="clear" w:color="auto" w:fill="FFFFFF"/>
            <w:tcMar>
              <w:left w:w="60" w:type="dxa"/>
              <w:right w:w="60" w:type="dxa"/>
            </w:tcMar>
            <w:vAlign w:val="center"/>
          </w:tcPr>
          <w:p w14:paraId="3A721986" w14:textId="77777777" w:rsidR="00576FE1" w:rsidRPr="0098119B" w:rsidRDefault="00576FE1" w:rsidP="00115CD6">
            <w:pPr>
              <w:keepNext/>
              <w:adjustRightInd w:val="0"/>
              <w:spacing w:after="0" w:line="240" w:lineRule="auto"/>
              <w:rPr>
                <w:b/>
                <w:color w:val="000000"/>
              </w:rPr>
            </w:pPr>
            <w:r w:rsidRPr="0098119B">
              <w:rPr>
                <w:color w:val="000000"/>
              </w:rPr>
              <w:t>Aortic stenosis</w:t>
            </w:r>
          </w:p>
        </w:tc>
        <w:tc>
          <w:tcPr>
            <w:tcW w:w="1615" w:type="dxa"/>
            <w:shd w:val="clear" w:color="auto" w:fill="FFFFFF"/>
            <w:tcMar>
              <w:left w:w="60" w:type="dxa"/>
              <w:right w:w="60" w:type="dxa"/>
            </w:tcMar>
            <w:vAlign w:val="center"/>
          </w:tcPr>
          <w:p w14:paraId="464A0B3C" w14:textId="77777777" w:rsidR="00576FE1" w:rsidRPr="0098119B" w:rsidRDefault="00576FE1" w:rsidP="00115CD6">
            <w:pPr>
              <w:keepNext/>
              <w:adjustRightInd w:val="0"/>
              <w:spacing w:after="0" w:line="240" w:lineRule="auto"/>
              <w:jc w:val="center"/>
              <w:rPr>
                <w:b/>
                <w:color w:val="000000"/>
              </w:rPr>
            </w:pPr>
            <w:r w:rsidRPr="0098119B">
              <w:rPr>
                <w:color w:val="000000"/>
              </w:rPr>
              <w:t>1 (0.4%)</w:t>
            </w:r>
          </w:p>
        </w:tc>
        <w:tc>
          <w:tcPr>
            <w:tcW w:w="1713" w:type="dxa"/>
            <w:shd w:val="clear" w:color="auto" w:fill="FFFFFF"/>
            <w:tcMar>
              <w:left w:w="60" w:type="dxa"/>
              <w:right w:w="60" w:type="dxa"/>
            </w:tcMar>
            <w:vAlign w:val="center"/>
          </w:tcPr>
          <w:p w14:paraId="219DE9AB" w14:textId="77777777" w:rsidR="00576FE1" w:rsidRPr="0098119B" w:rsidRDefault="00576FE1" w:rsidP="00115CD6">
            <w:pPr>
              <w:keepNext/>
              <w:adjustRightInd w:val="0"/>
              <w:spacing w:after="0" w:line="240" w:lineRule="auto"/>
              <w:jc w:val="center"/>
              <w:rPr>
                <w:b/>
                <w:color w:val="000000"/>
              </w:rPr>
            </w:pPr>
            <w:r w:rsidRPr="0098119B">
              <w:rPr>
                <w:color w:val="000000"/>
              </w:rPr>
              <w:t>0 (0.0%)</w:t>
            </w:r>
          </w:p>
        </w:tc>
        <w:tc>
          <w:tcPr>
            <w:tcW w:w="1547" w:type="dxa"/>
            <w:shd w:val="clear" w:color="auto" w:fill="FFFFFF"/>
            <w:tcMar>
              <w:left w:w="60" w:type="dxa"/>
              <w:right w:w="60" w:type="dxa"/>
            </w:tcMar>
            <w:vAlign w:val="center"/>
          </w:tcPr>
          <w:p w14:paraId="421A1C0A" w14:textId="77777777" w:rsidR="00576FE1" w:rsidRPr="0098119B" w:rsidRDefault="00576FE1" w:rsidP="00115CD6">
            <w:pPr>
              <w:keepNext/>
              <w:adjustRightInd w:val="0"/>
              <w:spacing w:after="0" w:line="240" w:lineRule="auto"/>
              <w:jc w:val="center"/>
              <w:rPr>
                <w:b/>
                <w:color w:val="000000"/>
              </w:rPr>
            </w:pPr>
            <w:r w:rsidRPr="0098119B">
              <w:rPr>
                <w:color w:val="000000"/>
              </w:rPr>
              <w:t>1 (0.2%)</w:t>
            </w:r>
          </w:p>
        </w:tc>
      </w:tr>
      <w:tr w:rsidR="00576FE1" w:rsidRPr="0098119B" w14:paraId="3DC548A7" w14:textId="77777777" w:rsidTr="00800E62">
        <w:trPr>
          <w:cantSplit/>
          <w:trHeight w:val="323"/>
        </w:trPr>
        <w:tc>
          <w:tcPr>
            <w:tcW w:w="4197" w:type="dxa"/>
            <w:shd w:val="clear" w:color="auto" w:fill="FFFFFF"/>
            <w:tcMar>
              <w:left w:w="60" w:type="dxa"/>
              <w:right w:w="60" w:type="dxa"/>
            </w:tcMar>
            <w:vAlign w:val="center"/>
          </w:tcPr>
          <w:p w14:paraId="2002584A" w14:textId="77777777" w:rsidR="00576FE1" w:rsidRPr="0098119B" w:rsidRDefault="00576FE1" w:rsidP="00115CD6">
            <w:pPr>
              <w:keepNext/>
              <w:adjustRightInd w:val="0"/>
              <w:spacing w:after="0" w:line="240" w:lineRule="auto"/>
              <w:rPr>
                <w:b/>
                <w:color w:val="000000"/>
              </w:rPr>
            </w:pPr>
            <w:r w:rsidRPr="0098119B">
              <w:rPr>
                <w:color w:val="000000"/>
              </w:rPr>
              <w:t xml:space="preserve">Peripheral </w:t>
            </w:r>
            <w:proofErr w:type="spellStart"/>
            <w:r w:rsidRPr="0098119B">
              <w:rPr>
                <w:color w:val="000000"/>
              </w:rPr>
              <w:t>ischaemia</w:t>
            </w:r>
            <w:proofErr w:type="spellEnd"/>
          </w:p>
        </w:tc>
        <w:tc>
          <w:tcPr>
            <w:tcW w:w="1615" w:type="dxa"/>
            <w:shd w:val="clear" w:color="auto" w:fill="FFFFFF"/>
            <w:tcMar>
              <w:left w:w="60" w:type="dxa"/>
              <w:right w:w="60" w:type="dxa"/>
            </w:tcMar>
            <w:vAlign w:val="center"/>
          </w:tcPr>
          <w:p w14:paraId="1501CEA6" w14:textId="77777777" w:rsidR="00576FE1" w:rsidRPr="0098119B" w:rsidRDefault="00576FE1" w:rsidP="00115CD6">
            <w:pPr>
              <w:keepNext/>
              <w:adjustRightInd w:val="0"/>
              <w:spacing w:after="0" w:line="240" w:lineRule="auto"/>
              <w:jc w:val="center"/>
              <w:rPr>
                <w:b/>
                <w:color w:val="000000"/>
              </w:rPr>
            </w:pPr>
            <w:r w:rsidRPr="0098119B">
              <w:rPr>
                <w:color w:val="000000"/>
              </w:rPr>
              <w:t>1 (0.4%)</w:t>
            </w:r>
          </w:p>
        </w:tc>
        <w:tc>
          <w:tcPr>
            <w:tcW w:w="1713" w:type="dxa"/>
            <w:shd w:val="clear" w:color="auto" w:fill="FFFFFF"/>
            <w:tcMar>
              <w:left w:w="60" w:type="dxa"/>
              <w:right w:w="60" w:type="dxa"/>
            </w:tcMar>
            <w:vAlign w:val="center"/>
          </w:tcPr>
          <w:p w14:paraId="01617FE3" w14:textId="77777777" w:rsidR="00576FE1" w:rsidRPr="0098119B" w:rsidRDefault="00576FE1" w:rsidP="00115CD6">
            <w:pPr>
              <w:keepNext/>
              <w:adjustRightInd w:val="0"/>
              <w:spacing w:after="0" w:line="240" w:lineRule="auto"/>
              <w:jc w:val="center"/>
              <w:rPr>
                <w:b/>
                <w:color w:val="000000"/>
              </w:rPr>
            </w:pPr>
            <w:r w:rsidRPr="0098119B">
              <w:rPr>
                <w:color w:val="000000"/>
              </w:rPr>
              <w:t>0 (0.0%)</w:t>
            </w:r>
          </w:p>
        </w:tc>
        <w:tc>
          <w:tcPr>
            <w:tcW w:w="1547" w:type="dxa"/>
            <w:shd w:val="clear" w:color="auto" w:fill="FFFFFF"/>
            <w:tcMar>
              <w:left w:w="60" w:type="dxa"/>
              <w:right w:w="60" w:type="dxa"/>
            </w:tcMar>
            <w:vAlign w:val="center"/>
          </w:tcPr>
          <w:p w14:paraId="1473E92E" w14:textId="77777777" w:rsidR="00576FE1" w:rsidRPr="0098119B" w:rsidRDefault="00576FE1" w:rsidP="00115CD6">
            <w:pPr>
              <w:keepNext/>
              <w:adjustRightInd w:val="0"/>
              <w:spacing w:after="0" w:line="240" w:lineRule="auto"/>
              <w:jc w:val="center"/>
              <w:rPr>
                <w:b/>
                <w:color w:val="000000"/>
              </w:rPr>
            </w:pPr>
            <w:r w:rsidRPr="0098119B">
              <w:rPr>
                <w:color w:val="000000"/>
              </w:rPr>
              <w:t>1 (0.2%)</w:t>
            </w:r>
          </w:p>
        </w:tc>
      </w:tr>
      <w:tr w:rsidR="00576FE1" w:rsidRPr="0098119B" w14:paraId="2CBD023E" w14:textId="77777777" w:rsidTr="00800E62">
        <w:trPr>
          <w:cantSplit/>
          <w:trHeight w:val="323"/>
        </w:trPr>
        <w:tc>
          <w:tcPr>
            <w:tcW w:w="4197" w:type="dxa"/>
            <w:shd w:val="clear" w:color="auto" w:fill="FFFFFF"/>
            <w:tcMar>
              <w:left w:w="60" w:type="dxa"/>
              <w:right w:w="60" w:type="dxa"/>
            </w:tcMar>
            <w:vAlign w:val="center"/>
          </w:tcPr>
          <w:p w14:paraId="548103D3" w14:textId="77777777" w:rsidR="00576FE1" w:rsidRPr="000C4825" w:rsidRDefault="00576FE1" w:rsidP="00115CD6">
            <w:pPr>
              <w:keepNext/>
              <w:adjustRightInd w:val="0"/>
              <w:spacing w:after="0" w:line="240" w:lineRule="auto"/>
              <w:rPr>
                <w:b/>
                <w:color w:val="000000"/>
                <w:lang w:val="en-GB"/>
              </w:rPr>
            </w:pPr>
            <w:r w:rsidRPr="0098119B">
              <w:rPr>
                <w:b/>
                <w:color w:val="000000"/>
                <w:lang w:val="en-GB"/>
              </w:rPr>
              <w:t>Injury, poisoning and procedural complications</w:t>
            </w:r>
          </w:p>
        </w:tc>
        <w:tc>
          <w:tcPr>
            <w:tcW w:w="1615" w:type="dxa"/>
            <w:shd w:val="clear" w:color="auto" w:fill="FFFFFF"/>
            <w:tcMar>
              <w:left w:w="60" w:type="dxa"/>
              <w:right w:w="60" w:type="dxa"/>
            </w:tcMar>
            <w:vAlign w:val="center"/>
          </w:tcPr>
          <w:p w14:paraId="747C8D04" w14:textId="77777777" w:rsidR="00576FE1" w:rsidRPr="0098119B" w:rsidRDefault="00576FE1" w:rsidP="00115CD6">
            <w:pPr>
              <w:keepNext/>
              <w:adjustRightInd w:val="0"/>
              <w:spacing w:after="0" w:line="240" w:lineRule="auto"/>
              <w:jc w:val="center"/>
              <w:rPr>
                <w:b/>
                <w:color w:val="000000"/>
              </w:rPr>
            </w:pPr>
            <w:r w:rsidRPr="0098119B">
              <w:rPr>
                <w:b/>
                <w:color w:val="000000"/>
              </w:rPr>
              <w:t>1 (0.4%)</w:t>
            </w:r>
          </w:p>
        </w:tc>
        <w:tc>
          <w:tcPr>
            <w:tcW w:w="1713" w:type="dxa"/>
            <w:shd w:val="clear" w:color="auto" w:fill="FFFFFF"/>
            <w:tcMar>
              <w:left w:w="60" w:type="dxa"/>
              <w:right w:w="60" w:type="dxa"/>
            </w:tcMar>
            <w:vAlign w:val="center"/>
          </w:tcPr>
          <w:p w14:paraId="693ACAB6" w14:textId="77777777" w:rsidR="00576FE1" w:rsidRPr="0098119B" w:rsidRDefault="00576FE1" w:rsidP="00115CD6">
            <w:pPr>
              <w:keepNext/>
              <w:adjustRightInd w:val="0"/>
              <w:spacing w:after="0" w:line="240" w:lineRule="auto"/>
              <w:jc w:val="center"/>
              <w:rPr>
                <w:b/>
                <w:color w:val="000000"/>
              </w:rPr>
            </w:pPr>
            <w:r w:rsidRPr="0098119B">
              <w:rPr>
                <w:b/>
                <w:color w:val="000000"/>
              </w:rPr>
              <w:t>1 (0.4%)</w:t>
            </w:r>
          </w:p>
        </w:tc>
        <w:tc>
          <w:tcPr>
            <w:tcW w:w="1547" w:type="dxa"/>
            <w:shd w:val="clear" w:color="auto" w:fill="FFFFFF"/>
            <w:tcMar>
              <w:left w:w="60" w:type="dxa"/>
              <w:right w:w="60" w:type="dxa"/>
            </w:tcMar>
            <w:vAlign w:val="center"/>
          </w:tcPr>
          <w:p w14:paraId="0F7F967D" w14:textId="77777777" w:rsidR="00576FE1" w:rsidRPr="0098119B" w:rsidRDefault="00576FE1" w:rsidP="00115CD6">
            <w:pPr>
              <w:keepNext/>
              <w:adjustRightInd w:val="0"/>
              <w:spacing w:after="0" w:line="240" w:lineRule="auto"/>
              <w:jc w:val="center"/>
              <w:rPr>
                <w:b/>
                <w:color w:val="000000"/>
              </w:rPr>
            </w:pPr>
            <w:r w:rsidRPr="0098119B">
              <w:rPr>
                <w:b/>
                <w:color w:val="000000"/>
              </w:rPr>
              <w:t>2 (0.4%)</w:t>
            </w:r>
          </w:p>
        </w:tc>
      </w:tr>
      <w:tr w:rsidR="00576FE1" w:rsidRPr="0098119B" w14:paraId="455C737E" w14:textId="77777777" w:rsidTr="00800E62">
        <w:trPr>
          <w:cantSplit/>
          <w:trHeight w:val="323"/>
        </w:trPr>
        <w:tc>
          <w:tcPr>
            <w:tcW w:w="4197" w:type="dxa"/>
            <w:shd w:val="clear" w:color="auto" w:fill="FFFFFF"/>
            <w:tcMar>
              <w:left w:w="60" w:type="dxa"/>
              <w:right w:w="60" w:type="dxa"/>
            </w:tcMar>
            <w:vAlign w:val="center"/>
          </w:tcPr>
          <w:p w14:paraId="6A0BCD47" w14:textId="77777777" w:rsidR="00576FE1" w:rsidRPr="0098119B" w:rsidRDefault="00576FE1" w:rsidP="00115CD6">
            <w:pPr>
              <w:keepNext/>
              <w:adjustRightInd w:val="0"/>
              <w:spacing w:after="0" w:line="240" w:lineRule="auto"/>
              <w:rPr>
                <w:b/>
                <w:color w:val="000000"/>
              </w:rPr>
            </w:pPr>
            <w:r w:rsidRPr="0098119B">
              <w:rPr>
                <w:color w:val="000000"/>
              </w:rPr>
              <w:t>Skin injury</w:t>
            </w:r>
          </w:p>
        </w:tc>
        <w:tc>
          <w:tcPr>
            <w:tcW w:w="1615" w:type="dxa"/>
            <w:shd w:val="clear" w:color="auto" w:fill="FFFFFF"/>
            <w:tcMar>
              <w:left w:w="60" w:type="dxa"/>
              <w:right w:w="60" w:type="dxa"/>
            </w:tcMar>
            <w:vAlign w:val="center"/>
          </w:tcPr>
          <w:p w14:paraId="61CF04F1" w14:textId="77777777" w:rsidR="00576FE1" w:rsidRPr="0098119B" w:rsidRDefault="00576FE1" w:rsidP="00115CD6">
            <w:pPr>
              <w:keepNext/>
              <w:adjustRightInd w:val="0"/>
              <w:spacing w:after="0" w:line="240" w:lineRule="auto"/>
              <w:jc w:val="center"/>
              <w:rPr>
                <w:b/>
                <w:color w:val="000000"/>
              </w:rPr>
            </w:pPr>
            <w:r w:rsidRPr="0098119B">
              <w:rPr>
                <w:color w:val="000000"/>
              </w:rPr>
              <w:t>0 (0.0%)</w:t>
            </w:r>
          </w:p>
        </w:tc>
        <w:tc>
          <w:tcPr>
            <w:tcW w:w="1713" w:type="dxa"/>
            <w:shd w:val="clear" w:color="auto" w:fill="FFFFFF"/>
            <w:tcMar>
              <w:left w:w="60" w:type="dxa"/>
              <w:right w:w="60" w:type="dxa"/>
            </w:tcMar>
            <w:vAlign w:val="center"/>
          </w:tcPr>
          <w:p w14:paraId="5DFD7DD2" w14:textId="77777777" w:rsidR="00576FE1" w:rsidRPr="0098119B" w:rsidRDefault="00576FE1" w:rsidP="00115CD6">
            <w:pPr>
              <w:keepNext/>
              <w:adjustRightInd w:val="0"/>
              <w:spacing w:after="0" w:line="240" w:lineRule="auto"/>
              <w:jc w:val="center"/>
              <w:rPr>
                <w:b/>
                <w:color w:val="000000"/>
              </w:rPr>
            </w:pPr>
            <w:r w:rsidRPr="0098119B">
              <w:rPr>
                <w:color w:val="000000"/>
              </w:rPr>
              <w:t>1 (0.4%)</w:t>
            </w:r>
          </w:p>
        </w:tc>
        <w:tc>
          <w:tcPr>
            <w:tcW w:w="1547" w:type="dxa"/>
            <w:shd w:val="clear" w:color="auto" w:fill="FFFFFF"/>
            <w:tcMar>
              <w:left w:w="60" w:type="dxa"/>
              <w:right w:w="60" w:type="dxa"/>
            </w:tcMar>
            <w:vAlign w:val="center"/>
          </w:tcPr>
          <w:p w14:paraId="60D0CD2F" w14:textId="77777777" w:rsidR="00576FE1" w:rsidRPr="0098119B" w:rsidRDefault="00576FE1" w:rsidP="00115CD6">
            <w:pPr>
              <w:keepNext/>
              <w:adjustRightInd w:val="0"/>
              <w:spacing w:after="0" w:line="240" w:lineRule="auto"/>
              <w:jc w:val="center"/>
              <w:rPr>
                <w:b/>
                <w:color w:val="000000"/>
              </w:rPr>
            </w:pPr>
            <w:r w:rsidRPr="0098119B">
              <w:rPr>
                <w:color w:val="000000"/>
              </w:rPr>
              <w:t>1 (0.2%)</w:t>
            </w:r>
          </w:p>
        </w:tc>
      </w:tr>
      <w:tr w:rsidR="00576FE1" w:rsidRPr="0098119B" w14:paraId="1AEE03C5" w14:textId="77777777" w:rsidTr="00800E62">
        <w:trPr>
          <w:cantSplit/>
          <w:trHeight w:val="323"/>
        </w:trPr>
        <w:tc>
          <w:tcPr>
            <w:tcW w:w="4197" w:type="dxa"/>
            <w:shd w:val="clear" w:color="auto" w:fill="FFFFFF"/>
            <w:tcMar>
              <w:left w:w="60" w:type="dxa"/>
              <w:right w:w="60" w:type="dxa"/>
            </w:tcMar>
            <w:vAlign w:val="center"/>
          </w:tcPr>
          <w:p w14:paraId="06C78670" w14:textId="77777777" w:rsidR="00576FE1" w:rsidRPr="0098119B" w:rsidRDefault="00576FE1" w:rsidP="00115CD6">
            <w:pPr>
              <w:keepNext/>
              <w:adjustRightInd w:val="0"/>
              <w:spacing w:after="0" w:line="240" w:lineRule="auto"/>
              <w:rPr>
                <w:b/>
                <w:color w:val="000000"/>
              </w:rPr>
            </w:pPr>
            <w:r w:rsidRPr="0098119B">
              <w:rPr>
                <w:color w:val="000000"/>
              </w:rPr>
              <w:t>Ankle fracture</w:t>
            </w:r>
          </w:p>
        </w:tc>
        <w:tc>
          <w:tcPr>
            <w:tcW w:w="1615" w:type="dxa"/>
            <w:shd w:val="clear" w:color="auto" w:fill="FFFFFF"/>
            <w:tcMar>
              <w:left w:w="60" w:type="dxa"/>
              <w:right w:w="60" w:type="dxa"/>
            </w:tcMar>
            <w:vAlign w:val="center"/>
          </w:tcPr>
          <w:p w14:paraId="2F7D2C1D" w14:textId="77777777" w:rsidR="00576FE1" w:rsidRPr="0098119B" w:rsidRDefault="00576FE1" w:rsidP="00115CD6">
            <w:pPr>
              <w:keepNext/>
              <w:adjustRightInd w:val="0"/>
              <w:spacing w:after="0" w:line="240" w:lineRule="auto"/>
              <w:jc w:val="center"/>
              <w:rPr>
                <w:b/>
                <w:color w:val="000000"/>
              </w:rPr>
            </w:pPr>
            <w:r w:rsidRPr="0098119B">
              <w:rPr>
                <w:color w:val="000000"/>
              </w:rPr>
              <w:t>1 (0.4%)</w:t>
            </w:r>
          </w:p>
        </w:tc>
        <w:tc>
          <w:tcPr>
            <w:tcW w:w="1713" w:type="dxa"/>
            <w:shd w:val="clear" w:color="auto" w:fill="FFFFFF"/>
            <w:tcMar>
              <w:left w:w="60" w:type="dxa"/>
              <w:right w:w="60" w:type="dxa"/>
            </w:tcMar>
            <w:vAlign w:val="center"/>
          </w:tcPr>
          <w:p w14:paraId="70121B91" w14:textId="77777777" w:rsidR="00576FE1" w:rsidRPr="0098119B" w:rsidRDefault="00576FE1" w:rsidP="00115CD6">
            <w:pPr>
              <w:keepNext/>
              <w:adjustRightInd w:val="0"/>
              <w:spacing w:after="0" w:line="240" w:lineRule="auto"/>
              <w:jc w:val="center"/>
              <w:rPr>
                <w:b/>
                <w:color w:val="000000"/>
              </w:rPr>
            </w:pPr>
            <w:r w:rsidRPr="0098119B">
              <w:rPr>
                <w:color w:val="000000"/>
              </w:rPr>
              <w:t>0 (0.0%)</w:t>
            </w:r>
          </w:p>
        </w:tc>
        <w:tc>
          <w:tcPr>
            <w:tcW w:w="1547" w:type="dxa"/>
            <w:shd w:val="clear" w:color="auto" w:fill="FFFFFF"/>
            <w:tcMar>
              <w:left w:w="60" w:type="dxa"/>
              <w:right w:w="60" w:type="dxa"/>
            </w:tcMar>
            <w:vAlign w:val="center"/>
          </w:tcPr>
          <w:p w14:paraId="01B86B03" w14:textId="77777777" w:rsidR="00576FE1" w:rsidRPr="0098119B" w:rsidRDefault="00576FE1" w:rsidP="00115CD6">
            <w:pPr>
              <w:keepNext/>
              <w:adjustRightInd w:val="0"/>
              <w:spacing w:after="0" w:line="240" w:lineRule="auto"/>
              <w:jc w:val="center"/>
              <w:rPr>
                <w:b/>
                <w:color w:val="000000"/>
              </w:rPr>
            </w:pPr>
            <w:r w:rsidRPr="0098119B">
              <w:rPr>
                <w:color w:val="000000"/>
              </w:rPr>
              <w:t>1 (0.2%)</w:t>
            </w:r>
          </w:p>
        </w:tc>
      </w:tr>
      <w:tr w:rsidR="00576FE1" w:rsidRPr="0098119B" w14:paraId="5C4980BC" w14:textId="77777777" w:rsidTr="00800E62">
        <w:trPr>
          <w:cantSplit/>
          <w:trHeight w:val="348"/>
        </w:trPr>
        <w:tc>
          <w:tcPr>
            <w:tcW w:w="4197" w:type="dxa"/>
            <w:shd w:val="clear" w:color="auto" w:fill="FFFFFF"/>
            <w:tcMar>
              <w:left w:w="60" w:type="dxa"/>
              <w:right w:w="60" w:type="dxa"/>
            </w:tcMar>
            <w:vAlign w:val="center"/>
          </w:tcPr>
          <w:p w14:paraId="38136074" w14:textId="77777777" w:rsidR="00576FE1" w:rsidRPr="0098119B" w:rsidRDefault="00576FE1" w:rsidP="00115CD6">
            <w:pPr>
              <w:keepNext/>
              <w:adjustRightInd w:val="0"/>
              <w:spacing w:after="0" w:line="240" w:lineRule="auto"/>
              <w:rPr>
                <w:b/>
                <w:color w:val="000000"/>
                <w:lang w:val="en-GB"/>
              </w:rPr>
            </w:pPr>
            <w:r w:rsidRPr="0098119B">
              <w:rPr>
                <w:b/>
                <w:color w:val="000000"/>
              </w:rPr>
              <w:t>Gastrointestinal disorders</w:t>
            </w:r>
          </w:p>
        </w:tc>
        <w:tc>
          <w:tcPr>
            <w:tcW w:w="1615" w:type="dxa"/>
            <w:shd w:val="clear" w:color="auto" w:fill="FFFFFF"/>
            <w:tcMar>
              <w:left w:w="60" w:type="dxa"/>
              <w:right w:w="60" w:type="dxa"/>
            </w:tcMar>
            <w:vAlign w:val="center"/>
          </w:tcPr>
          <w:p w14:paraId="5A682259" w14:textId="77777777" w:rsidR="00576FE1" w:rsidRPr="0098119B" w:rsidRDefault="00576FE1" w:rsidP="00115CD6">
            <w:pPr>
              <w:keepNext/>
              <w:adjustRightInd w:val="0"/>
              <w:spacing w:after="0" w:line="240" w:lineRule="auto"/>
              <w:jc w:val="center"/>
              <w:rPr>
                <w:b/>
                <w:color w:val="000000"/>
              </w:rPr>
            </w:pPr>
            <w:r w:rsidRPr="0098119B">
              <w:rPr>
                <w:b/>
                <w:color w:val="000000"/>
              </w:rPr>
              <w:t>1 (0.4%)</w:t>
            </w:r>
          </w:p>
        </w:tc>
        <w:tc>
          <w:tcPr>
            <w:tcW w:w="1713" w:type="dxa"/>
            <w:shd w:val="clear" w:color="auto" w:fill="FFFFFF"/>
            <w:tcMar>
              <w:left w:w="60" w:type="dxa"/>
              <w:right w:w="60" w:type="dxa"/>
            </w:tcMar>
            <w:vAlign w:val="center"/>
          </w:tcPr>
          <w:p w14:paraId="67FA92DC" w14:textId="77777777" w:rsidR="00576FE1" w:rsidRPr="0098119B" w:rsidRDefault="00576FE1" w:rsidP="00115CD6">
            <w:pPr>
              <w:keepNext/>
              <w:adjustRightInd w:val="0"/>
              <w:spacing w:after="0" w:line="240" w:lineRule="auto"/>
              <w:jc w:val="center"/>
              <w:rPr>
                <w:b/>
                <w:color w:val="000000"/>
              </w:rPr>
            </w:pPr>
            <w:r w:rsidRPr="0098119B">
              <w:rPr>
                <w:b/>
                <w:color w:val="000000"/>
              </w:rPr>
              <w:t>0 (0.0%)</w:t>
            </w:r>
          </w:p>
        </w:tc>
        <w:tc>
          <w:tcPr>
            <w:tcW w:w="1547" w:type="dxa"/>
            <w:shd w:val="clear" w:color="auto" w:fill="FFFFFF"/>
            <w:tcMar>
              <w:left w:w="60" w:type="dxa"/>
              <w:right w:w="60" w:type="dxa"/>
            </w:tcMar>
            <w:vAlign w:val="center"/>
          </w:tcPr>
          <w:p w14:paraId="12E0FCA8" w14:textId="77777777" w:rsidR="00576FE1" w:rsidRPr="0098119B" w:rsidRDefault="00576FE1" w:rsidP="00115CD6">
            <w:pPr>
              <w:keepNext/>
              <w:adjustRightInd w:val="0"/>
              <w:spacing w:after="0" w:line="240" w:lineRule="auto"/>
              <w:jc w:val="center"/>
              <w:rPr>
                <w:b/>
                <w:color w:val="000000"/>
              </w:rPr>
            </w:pPr>
            <w:r w:rsidRPr="0098119B">
              <w:rPr>
                <w:b/>
                <w:color w:val="000000"/>
              </w:rPr>
              <w:t>1 (0.2%)</w:t>
            </w:r>
          </w:p>
        </w:tc>
      </w:tr>
      <w:tr w:rsidR="00576FE1" w:rsidRPr="0098119B" w14:paraId="573B7219" w14:textId="77777777" w:rsidTr="00800E62">
        <w:trPr>
          <w:cantSplit/>
          <w:trHeight w:val="323"/>
        </w:trPr>
        <w:tc>
          <w:tcPr>
            <w:tcW w:w="4197" w:type="dxa"/>
            <w:shd w:val="clear" w:color="auto" w:fill="FFFFFF"/>
            <w:tcMar>
              <w:left w:w="60" w:type="dxa"/>
              <w:right w:w="60" w:type="dxa"/>
            </w:tcMar>
            <w:vAlign w:val="center"/>
          </w:tcPr>
          <w:p w14:paraId="0ADCA5FC" w14:textId="77777777" w:rsidR="00576FE1" w:rsidRPr="0098119B" w:rsidRDefault="00576FE1" w:rsidP="00115CD6">
            <w:pPr>
              <w:spacing w:after="0" w:line="240" w:lineRule="auto"/>
              <w:rPr>
                <w:color w:val="000000"/>
              </w:rPr>
            </w:pPr>
            <w:r w:rsidRPr="0098119B">
              <w:rPr>
                <w:color w:val="000000"/>
              </w:rPr>
              <w:t>Colitis ulcerative</w:t>
            </w:r>
          </w:p>
        </w:tc>
        <w:tc>
          <w:tcPr>
            <w:tcW w:w="1615" w:type="dxa"/>
            <w:shd w:val="clear" w:color="auto" w:fill="FFFFFF"/>
            <w:tcMar>
              <w:left w:w="60" w:type="dxa"/>
              <w:right w:w="60" w:type="dxa"/>
            </w:tcMar>
            <w:vAlign w:val="center"/>
          </w:tcPr>
          <w:p w14:paraId="4DD8676C" w14:textId="77777777" w:rsidR="00576FE1" w:rsidRPr="0098119B" w:rsidRDefault="00576FE1" w:rsidP="00115CD6">
            <w:pPr>
              <w:keepNext/>
              <w:adjustRightInd w:val="0"/>
              <w:spacing w:after="0" w:line="240" w:lineRule="auto"/>
              <w:jc w:val="center"/>
              <w:rPr>
                <w:color w:val="000000"/>
              </w:rPr>
            </w:pPr>
            <w:r w:rsidRPr="0098119B">
              <w:rPr>
                <w:color w:val="000000"/>
              </w:rPr>
              <w:t>1 (0.4%)</w:t>
            </w:r>
          </w:p>
        </w:tc>
        <w:tc>
          <w:tcPr>
            <w:tcW w:w="1713" w:type="dxa"/>
            <w:shd w:val="clear" w:color="auto" w:fill="FFFFFF"/>
            <w:tcMar>
              <w:left w:w="60" w:type="dxa"/>
              <w:right w:w="60" w:type="dxa"/>
            </w:tcMar>
            <w:vAlign w:val="center"/>
          </w:tcPr>
          <w:p w14:paraId="020480E4" w14:textId="77777777" w:rsidR="00576FE1" w:rsidRPr="0098119B" w:rsidRDefault="00576FE1" w:rsidP="00115CD6">
            <w:pPr>
              <w:keepNext/>
              <w:adjustRightInd w:val="0"/>
              <w:spacing w:after="0" w:line="240" w:lineRule="auto"/>
              <w:jc w:val="center"/>
              <w:rPr>
                <w:color w:val="000000"/>
              </w:rPr>
            </w:pPr>
            <w:r w:rsidRPr="0098119B">
              <w:rPr>
                <w:color w:val="000000"/>
              </w:rPr>
              <w:t>0 (0.0%)</w:t>
            </w:r>
          </w:p>
        </w:tc>
        <w:tc>
          <w:tcPr>
            <w:tcW w:w="1547" w:type="dxa"/>
            <w:shd w:val="clear" w:color="auto" w:fill="FFFFFF"/>
            <w:tcMar>
              <w:left w:w="60" w:type="dxa"/>
              <w:right w:w="60" w:type="dxa"/>
            </w:tcMar>
            <w:vAlign w:val="center"/>
          </w:tcPr>
          <w:p w14:paraId="01D15877" w14:textId="77777777" w:rsidR="00576FE1" w:rsidRPr="0098119B" w:rsidRDefault="00576FE1" w:rsidP="00115CD6">
            <w:pPr>
              <w:keepNext/>
              <w:adjustRightInd w:val="0"/>
              <w:spacing w:after="0" w:line="240" w:lineRule="auto"/>
              <w:jc w:val="center"/>
              <w:rPr>
                <w:color w:val="000000"/>
              </w:rPr>
            </w:pPr>
            <w:r w:rsidRPr="0098119B">
              <w:rPr>
                <w:color w:val="000000"/>
              </w:rPr>
              <w:t>1 (0.2%)</w:t>
            </w:r>
          </w:p>
        </w:tc>
      </w:tr>
      <w:tr w:rsidR="00576FE1" w:rsidRPr="0098119B" w14:paraId="25F1FB9A" w14:textId="77777777" w:rsidTr="00800E62">
        <w:trPr>
          <w:cantSplit/>
          <w:trHeight w:val="323"/>
        </w:trPr>
        <w:tc>
          <w:tcPr>
            <w:tcW w:w="4197" w:type="dxa"/>
            <w:shd w:val="clear" w:color="auto" w:fill="FFFFFF"/>
            <w:tcMar>
              <w:left w:w="60" w:type="dxa"/>
              <w:right w:w="60" w:type="dxa"/>
            </w:tcMar>
            <w:vAlign w:val="center"/>
          </w:tcPr>
          <w:p w14:paraId="1E9501A5" w14:textId="77777777" w:rsidR="00576FE1" w:rsidRPr="0098119B" w:rsidRDefault="00576FE1" w:rsidP="00115CD6">
            <w:pPr>
              <w:keepNext/>
              <w:adjustRightInd w:val="0"/>
              <w:spacing w:after="0" w:line="240" w:lineRule="auto"/>
              <w:rPr>
                <w:b/>
                <w:color w:val="000000"/>
              </w:rPr>
            </w:pPr>
            <w:r w:rsidRPr="0098119B">
              <w:rPr>
                <w:b/>
                <w:color w:val="000000"/>
              </w:rPr>
              <w:t>Metabolism and nutrition disorders</w:t>
            </w:r>
          </w:p>
        </w:tc>
        <w:tc>
          <w:tcPr>
            <w:tcW w:w="1615" w:type="dxa"/>
            <w:shd w:val="clear" w:color="auto" w:fill="FFFFFF"/>
            <w:tcMar>
              <w:left w:w="60" w:type="dxa"/>
              <w:right w:w="60" w:type="dxa"/>
            </w:tcMar>
            <w:vAlign w:val="center"/>
          </w:tcPr>
          <w:p w14:paraId="556CDD99" w14:textId="77777777" w:rsidR="00576FE1" w:rsidRPr="0098119B" w:rsidRDefault="00576FE1" w:rsidP="00115CD6">
            <w:pPr>
              <w:keepNext/>
              <w:adjustRightInd w:val="0"/>
              <w:spacing w:after="0" w:line="240" w:lineRule="auto"/>
              <w:jc w:val="center"/>
              <w:rPr>
                <w:b/>
                <w:color w:val="000000"/>
              </w:rPr>
            </w:pPr>
            <w:r w:rsidRPr="0098119B">
              <w:rPr>
                <w:b/>
                <w:color w:val="000000"/>
              </w:rPr>
              <w:t>1 (0.4%)</w:t>
            </w:r>
          </w:p>
        </w:tc>
        <w:tc>
          <w:tcPr>
            <w:tcW w:w="1713" w:type="dxa"/>
            <w:shd w:val="clear" w:color="auto" w:fill="FFFFFF"/>
            <w:tcMar>
              <w:left w:w="60" w:type="dxa"/>
              <w:right w:w="60" w:type="dxa"/>
            </w:tcMar>
            <w:vAlign w:val="center"/>
          </w:tcPr>
          <w:p w14:paraId="4C7E1B6F" w14:textId="77777777" w:rsidR="00576FE1" w:rsidRPr="0098119B" w:rsidRDefault="00576FE1" w:rsidP="00115CD6">
            <w:pPr>
              <w:keepNext/>
              <w:adjustRightInd w:val="0"/>
              <w:spacing w:after="0" w:line="240" w:lineRule="auto"/>
              <w:jc w:val="center"/>
              <w:rPr>
                <w:b/>
                <w:color w:val="000000"/>
              </w:rPr>
            </w:pPr>
            <w:r w:rsidRPr="0098119B">
              <w:rPr>
                <w:b/>
                <w:color w:val="000000"/>
              </w:rPr>
              <w:t>0 (0.0%)</w:t>
            </w:r>
          </w:p>
        </w:tc>
        <w:tc>
          <w:tcPr>
            <w:tcW w:w="1547" w:type="dxa"/>
            <w:shd w:val="clear" w:color="auto" w:fill="FFFFFF"/>
            <w:tcMar>
              <w:left w:w="60" w:type="dxa"/>
              <w:right w:w="60" w:type="dxa"/>
            </w:tcMar>
            <w:vAlign w:val="center"/>
          </w:tcPr>
          <w:p w14:paraId="1CEF5DE6" w14:textId="77777777" w:rsidR="00576FE1" w:rsidRPr="0098119B" w:rsidRDefault="00576FE1" w:rsidP="00115CD6">
            <w:pPr>
              <w:keepNext/>
              <w:adjustRightInd w:val="0"/>
              <w:spacing w:after="0" w:line="240" w:lineRule="auto"/>
              <w:jc w:val="center"/>
              <w:rPr>
                <w:b/>
                <w:color w:val="000000"/>
              </w:rPr>
            </w:pPr>
            <w:r w:rsidRPr="0098119B">
              <w:rPr>
                <w:b/>
                <w:color w:val="000000"/>
              </w:rPr>
              <w:t>1 (0.2%)</w:t>
            </w:r>
          </w:p>
        </w:tc>
      </w:tr>
      <w:tr w:rsidR="00576FE1" w:rsidRPr="0098119B" w14:paraId="235C05D6" w14:textId="77777777" w:rsidTr="00800E62">
        <w:trPr>
          <w:cantSplit/>
          <w:trHeight w:val="348"/>
        </w:trPr>
        <w:tc>
          <w:tcPr>
            <w:tcW w:w="4197" w:type="dxa"/>
            <w:shd w:val="clear" w:color="auto" w:fill="FFFFFF"/>
            <w:tcMar>
              <w:left w:w="60" w:type="dxa"/>
              <w:right w:w="60" w:type="dxa"/>
            </w:tcMar>
            <w:vAlign w:val="center"/>
          </w:tcPr>
          <w:p w14:paraId="4F4DFB84" w14:textId="77777777" w:rsidR="00576FE1" w:rsidRPr="0098119B" w:rsidRDefault="00576FE1" w:rsidP="00115CD6">
            <w:pPr>
              <w:spacing w:after="0" w:line="240" w:lineRule="auto"/>
              <w:rPr>
                <w:color w:val="000000"/>
              </w:rPr>
            </w:pPr>
            <w:proofErr w:type="spellStart"/>
            <w:r w:rsidRPr="0098119B">
              <w:rPr>
                <w:color w:val="000000"/>
              </w:rPr>
              <w:t>Hyperamylasaemia</w:t>
            </w:r>
            <w:proofErr w:type="spellEnd"/>
          </w:p>
        </w:tc>
        <w:tc>
          <w:tcPr>
            <w:tcW w:w="1615" w:type="dxa"/>
            <w:shd w:val="clear" w:color="auto" w:fill="FFFFFF"/>
            <w:tcMar>
              <w:left w:w="60" w:type="dxa"/>
              <w:right w:w="60" w:type="dxa"/>
            </w:tcMar>
            <w:vAlign w:val="center"/>
          </w:tcPr>
          <w:p w14:paraId="7DB6D61C" w14:textId="77777777" w:rsidR="00576FE1" w:rsidRPr="0098119B" w:rsidRDefault="00576FE1" w:rsidP="00115CD6">
            <w:pPr>
              <w:keepNext/>
              <w:adjustRightInd w:val="0"/>
              <w:spacing w:after="0" w:line="240" w:lineRule="auto"/>
              <w:jc w:val="center"/>
              <w:rPr>
                <w:color w:val="000000"/>
              </w:rPr>
            </w:pPr>
            <w:r w:rsidRPr="0098119B">
              <w:rPr>
                <w:color w:val="000000"/>
              </w:rPr>
              <w:t>1 (0.4%)</w:t>
            </w:r>
          </w:p>
        </w:tc>
        <w:tc>
          <w:tcPr>
            <w:tcW w:w="1713" w:type="dxa"/>
            <w:shd w:val="clear" w:color="auto" w:fill="FFFFFF"/>
            <w:tcMar>
              <w:left w:w="60" w:type="dxa"/>
              <w:right w:w="60" w:type="dxa"/>
            </w:tcMar>
            <w:vAlign w:val="center"/>
          </w:tcPr>
          <w:p w14:paraId="6A40E43C" w14:textId="77777777" w:rsidR="00576FE1" w:rsidRPr="0098119B" w:rsidRDefault="00576FE1" w:rsidP="00115CD6">
            <w:pPr>
              <w:keepNext/>
              <w:adjustRightInd w:val="0"/>
              <w:spacing w:after="0" w:line="240" w:lineRule="auto"/>
              <w:jc w:val="center"/>
              <w:rPr>
                <w:color w:val="000000"/>
              </w:rPr>
            </w:pPr>
            <w:r w:rsidRPr="0098119B">
              <w:rPr>
                <w:color w:val="000000"/>
              </w:rPr>
              <w:t>0 (0.0%)</w:t>
            </w:r>
          </w:p>
        </w:tc>
        <w:tc>
          <w:tcPr>
            <w:tcW w:w="1547" w:type="dxa"/>
            <w:shd w:val="clear" w:color="auto" w:fill="FFFFFF"/>
            <w:tcMar>
              <w:left w:w="60" w:type="dxa"/>
              <w:right w:w="60" w:type="dxa"/>
            </w:tcMar>
            <w:vAlign w:val="center"/>
          </w:tcPr>
          <w:p w14:paraId="5680B992" w14:textId="77777777" w:rsidR="00576FE1" w:rsidRPr="0098119B" w:rsidRDefault="00576FE1" w:rsidP="00115CD6">
            <w:pPr>
              <w:keepNext/>
              <w:adjustRightInd w:val="0"/>
              <w:spacing w:after="0" w:line="240" w:lineRule="auto"/>
              <w:jc w:val="center"/>
              <w:rPr>
                <w:color w:val="000000"/>
              </w:rPr>
            </w:pPr>
            <w:r w:rsidRPr="0098119B">
              <w:rPr>
                <w:color w:val="000000"/>
              </w:rPr>
              <w:t>1 (0.2%)</w:t>
            </w:r>
          </w:p>
        </w:tc>
      </w:tr>
      <w:tr w:rsidR="00576FE1" w:rsidRPr="0098119B" w14:paraId="269AD7E5" w14:textId="77777777" w:rsidTr="00800E62">
        <w:trPr>
          <w:cantSplit/>
          <w:trHeight w:val="323"/>
        </w:trPr>
        <w:tc>
          <w:tcPr>
            <w:tcW w:w="4197" w:type="dxa"/>
            <w:shd w:val="clear" w:color="auto" w:fill="FFFFFF"/>
            <w:tcMar>
              <w:left w:w="60" w:type="dxa"/>
              <w:right w:w="60" w:type="dxa"/>
            </w:tcMar>
            <w:vAlign w:val="center"/>
          </w:tcPr>
          <w:p w14:paraId="1C589685" w14:textId="77777777" w:rsidR="00576FE1" w:rsidRPr="0098119B" w:rsidRDefault="00576FE1" w:rsidP="00115CD6">
            <w:pPr>
              <w:keepNext/>
              <w:adjustRightInd w:val="0"/>
              <w:spacing w:after="0" w:line="240" w:lineRule="auto"/>
              <w:rPr>
                <w:b/>
                <w:color w:val="000000"/>
                <w:lang w:val="en-GB"/>
              </w:rPr>
            </w:pPr>
            <w:r w:rsidRPr="0098119B">
              <w:rPr>
                <w:b/>
                <w:color w:val="000000"/>
                <w:lang w:val="en-GB"/>
              </w:rPr>
              <w:t>Musculoskeletal and connective tissue disorders</w:t>
            </w:r>
          </w:p>
        </w:tc>
        <w:tc>
          <w:tcPr>
            <w:tcW w:w="1615" w:type="dxa"/>
            <w:shd w:val="clear" w:color="auto" w:fill="FFFFFF"/>
            <w:tcMar>
              <w:left w:w="60" w:type="dxa"/>
              <w:right w:w="60" w:type="dxa"/>
            </w:tcMar>
            <w:vAlign w:val="center"/>
          </w:tcPr>
          <w:p w14:paraId="0D933380" w14:textId="77777777" w:rsidR="00576FE1" w:rsidRPr="0098119B" w:rsidRDefault="00576FE1" w:rsidP="00115CD6">
            <w:pPr>
              <w:keepNext/>
              <w:adjustRightInd w:val="0"/>
              <w:spacing w:after="0" w:line="240" w:lineRule="auto"/>
              <w:jc w:val="center"/>
              <w:rPr>
                <w:b/>
                <w:color w:val="000000"/>
              </w:rPr>
            </w:pPr>
            <w:r w:rsidRPr="0098119B">
              <w:rPr>
                <w:b/>
                <w:color w:val="000000"/>
              </w:rPr>
              <w:t>1 (0.4%)</w:t>
            </w:r>
          </w:p>
        </w:tc>
        <w:tc>
          <w:tcPr>
            <w:tcW w:w="1713" w:type="dxa"/>
            <w:shd w:val="clear" w:color="auto" w:fill="FFFFFF"/>
            <w:tcMar>
              <w:left w:w="60" w:type="dxa"/>
              <w:right w:w="60" w:type="dxa"/>
            </w:tcMar>
            <w:vAlign w:val="center"/>
          </w:tcPr>
          <w:p w14:paraId="632B7E67" w14:textId="77777777" w:rsidR="00576FE1" w:rsidRPr="0098119B" w:rsidRDefault="00576FE1" w:rsidP="00115CD6">
            <w:pPr>
              <w:keepNext/>
              <w:adjustRightInd w:val="0"/>
              <w:spacing w:after="0" w:line="240" w:lineRule="auto"/>
              <w:jc w:val="center"/>
              <w:rPr>
                <w:b/>
                <w:color w:val="000000"/>
              </w:rPr>
            </w:pPr>
            <w:r w:rsidRPr="0098119B">
              <w:rPr>
                <w:b/>
                <w:color w:val="000000"/>
              </w:rPr>
              <w:t>0 (0.0%)</w:t>
            </w:r>
          </w:p>
        </w:tc>
        <w:tc>
          <w:tcPr>
            <w:tcW w:w="1547" w:type="dxa"/>
            <w:shd w:val="clear" w:color="auto" w:fill="FFFFFF"/>
            <w:tcMar>
              <w:left w:w="60" w:type="dxa"/>
              <w:right w:w="60" w:type="dxa"/>
            </w:tcMar>
            <w:vAlign w:val="center"/>
          </w:tcPr>
          <w:p w14:paraId="169D2B82" w14:textId="77777777" w:rsidR="00576FE1" w:rsidRPr="0098119B" w:rsidRDefault="00576FE1" w:rsidP="00115CD6">
            <w:pPr>
              <w:keepNext/>
              <w:adjustRightInd w:val="0"/>
              <w:spacing w:after="0" w:line="240" w:lineRule="auto"/>
              <w:jc w:val="center"/>
              <w:rPr>
                <w:b/>
                <w:color w:val="000000"/>
              </w:rPr>
            </w:pPr>
            <w:r w:rsidRPr="0098119B">
              <w:rPr>
                <w:b/>
                <w:color w:val="000000"/>
              </w:rPr>
              <w:t>1 (0.2%)</w:t>
            </w:r>
          </w:p>
        </w:tc>
      </w:tr>
      <w:tr w:rsidR="00576FE1" w:rsidRPr="0098119B" w14:paraId="446836ED" w14:textId="77777777" w:rsidTr="00800E62">
        <w:trPr>
          <w:cantSplit/>
          <w:trHeight w:val="348"/>
        </w:trPr>
        <w:tc>
          <w:tcPr>
            <w:tcW w:w="4197" w:type="dxa"/>
            <w:shd w:val="clear" w:color="auto" w:fill="FFFFFF"/>
            <w:tcMar>
              <w:left w:w="60" w:type="dxa"/>
              <w:right w:w="60" w:type="dxa"/>
            </w:tcMar>
            <w:vAlign w:val="center"/>
          </w:tcPr>
          <w:p w14:paraId="1D59327A" w14:textId="77777777" w:rsidR="00576FE1" w:rsidRPr="0098119B" w:rsidRDefault="00576FE1" w:rsidP="00115CD6">
            <w:pPr>
              <w:spacing w:after="0" w:line="240" w:lineRule="auto"/>
              <w:rPr>
                <w:color w:val="000000"/>
              </w:rPr>
            </w:pPr>
            <w:r w:rsidRPr="0098119B">
              <w:rPr>
                <w:color w:val="000000"/>
              </w:rPr>
              <w:t>Osteoarthritis</w:t>
            </w:r>
          </w:p>
        </w:tc>
        <w:tc>
          <w:tcPr>
            <w:tcW w:w="1615" w:type="dxa"/>
            <w:shd w:val="clear" w:color="auto" w:fill="FFFFFF"/>
            <w:tcMar>
              <w:left w:w="60" w:type="dxa"/>
              <w:right w:w="60" w:type="dxa"/>
            </w:tcMar>
            <w:vAlign w:val="center"/>
          </w:tcPr>
          <w:p w14:paraId="01F23456" w14:textId="77777777" w:rsidR="00576FE1" w:rsidRPr="0098119B" w:rsidRDefault="00576FE1" w:rsidP="00115CD6">
            <w:pPr>
              <w:keepNext/>
              <w:adjustRightInd w:val="0"/>
              <w:spacing w:after="0" w:line="240" w:lineRule="auto"/>
              <w:jc w:val="center"/>
              <w:rPr>
                <w:color w:val="000000"/>
              </w:rPr>
            </w:pPr>
            <w:r w:rsidRPr="0098119B">
              <w:rPr>
                <w:color w:val="000000"/>
              </w:rPr>
              <w:t>1 (0.4%)</w:t>
            </w:r>
          </w:p>
        </w:tc>
        <w:tc>
          <w:tcPr>
            <w:tcW w:w="1713" w:type="dxa"/>
            <w:shd w:val="clear" w:color="auto" w:fill="FFFFFF"/>
            <w:tcMar>
              <w:left w:w="60" w:type="dxa"/>
              <w:right w:w="60" w:type="dxa"/>
            </w:tcMar>
            <w:vAlign w:val="center"/>
          </w:tcPr>
          <w:p w14:paraId="43CE7BB1" w14:textId="77777777" w:rsidR="00576FE1" w:rsidRPr="0098119B" w:rsidRDefault="00576FE1" w:rsidP="00115CD6">
            <w:pPr>
              <w:keepNext/>
              <w:adjustRightInd w:val="0"/>
              <w:spacing w:after="0" w:line="240" w:lineRule="auto"/>
              <w:jc w:val="center"/>
              <w:rPr>
                <w:color w:val="000000"/>
              </w:rPr>
            </w:pPr>
            <w:r w:rsidRPr="0098119B">
              <w:rPr>
                <w:color w:val="000000"/>
              </w:rPr>
              <w:t>0 (0.0%)</w:t>
            </w:r>
          </w:p>
        </w:tc>
        <w:tc>
          <w:tcPr>
            <w:tcW w:w="1547" w:type="dxa"/>
            <w:shd w:val="clear" w:color="auto" w:fill="FFFFFF"/>
            <w:tcMar>
              <w:left w:w="60" w:type="dxa"/>
              <w:right w:w="60" w:type="dxa"/>
            </w:tcMar>
            <w:vAlign w:val="center"/>
          </w:tcPr>
          <w:p w14:paraId="636C14D6" w14:textId="77777777" w:rsidR="00576FE1" w:rsidRPr="0098119B" w:rsidRDefault="00576FE1" w:rsidP="00115CD6">
            <w:pPr>
              <w:keepNext/>
              <w:adjustRightInd w:val="0"/>
              <w:spacing w:after="0" w:line="240" w:lineRule="auto"/>
              <w:jc w:val="center"/>
              <w:rPr>
                <w:color w:val="000000"/>
              </w:rPr>
            </w:pPr>
            <w:r w:rsidRPr="0098119B">
              <w:rPr>
                <w:color w:val="000000"/>
              </w:rPr>
              <w:t>1 (0.2%)</w:t>
            </w:r>
          </w:p>
        </w:tc>
      </w:tr>
    </w:tbl>
    <w:p w14:paraId="50332173" w14:textId="148055CE" w:rsidR="00DF7E8E" w:rsidRDefault="00576FE1" w:rsidP="002221CF">
      <w:pPr>
        <w:rPr>
          <w:b/>
          <w:bCs/>
        </w:rPr>
      </w:pPr>
      <w:r w:rsidRPr="002809F3">
        <w:rPr>
          <w:lang w:val="en-GB"/>
        </w:rPr>
        <w:br w:type="page"/>
      </w:r>
    </w:p>
    <w:p w14:paraId="16E27326" w14:textId="63129672" w:rsidR="00576FE1" w:rsidRDefault="00576FE1" w:rsidP="002221CF">
      <w:pPr>
        <w:pStyle w:val="Descripcin"/>
        <w:keepNext/>
        <w:outlineLvl w:val="0"/>
      </w:pPr>
      <w:bookmarkStart w:id="703" w:name="_Ref52426834"/>
      <w:bookmarkStart w:id="704" w:name="_Toc52046500"/>
      <w:bookmarkStart w:id="705" w:name="_Toc52446222"/>
      <w:bookmarkStart w:id="706" w:name="_Toc52468179"/>
      <w:r>
        <w:lastRenderedPageBreak/>
        <w:t xml:space="preserve">Table </w:t>
      </w:r>
      <w:r>
        <w:fldChar w:fldCharType="begin"/>
      </w:r>
      <w:r>
        <w:instrText xml:space="preserve"> SEQ Table \* ARABIC </w:instrText>
      </w:r>
      <w:r>
        <w:fldChar w:fldCharType="separate"/>
      </w:r>
      <w:r w:rsidR="002221CF">
        <w:rPr>
          <w:noProof/>
        </w:rPr>
        <w:t>21</w:t>
      </w:r>
      <w:r>
        <w:fldChar w:fldCharType="end"/>
      </w:r>
      <w:bookmarkEnd w:id="703"/>
      <w:r>
        <w:t xml:space="preserve">. </w:t>
      </w:r>
      <w:r w:rsidRPr="00202BF0">
        <w:t>Baseline characteristics between patients with and without pulmonary embolism.</w:t>
      </w:r>
      <w:bookmarkEnd w:id="704"/>
      <w:bookmarkEnd w:id="705"/>
      <w:bookmarkEnd w:id="706"/>
    </w:p>
    <w:tbl>
      <w:tblPr>
        <w:tblW w:w="4960" w:type="pct"/>
        <w:tblLook w:val="04A0" w:firstRow="1" w:lastRow="0" w:firstColumn="1" w:lastColumn="0" w:noHBand="0" w:noVBand="1"/>
      </w:tblPr>
      <w:tblGrid>
        <w:gridCol w:w="2878"/>
        <w:gridCol w:w="527"/>
        <w:gridCol w:w="1688"/>
        <w:gridCol w:w="1693"/>
        <w:gridCol w:w="1697"/>
        <w:gridCol w:w="987"/>
      </w:tblGrid>
      <w:tr w:rsidR="00576FE1" w:rsidRPr="00AF5CAF" w14:paraId="0D79A43A" w14:textId="77777777" w:rsidTr="00B37149">
        <w:trPr>
          <w:trHeight w:val="401"/>
        </w:trPr>
        <w:tc>
          <w:tcPr>
            <w:tcW w:w="1520" w:type="pct"/>
            <w:tcBorders>
              <w:top w:val="single" w:sz="4" w:space="0" w:color="auto"/>
              <w:left w:val="nil"/>
              <w:bottom w:val="nil"/>
              <w:right w:val="nil"/>
            </w:tcBorders>
            <w:noWrap/>
            <w:vAlign w:val="bottom"/>
            <w:hideMark/>
          </w:tcPr>
          <w:p w14:paraId="08684576" w14:textId="77777777" w:rsidR="00576FE1" w:rsidRPr="00AF5CAF" w:rsidRDefault="00576FE1" w:rsidP="00115CD6">
            <w:pPr>
              <w:spacing w:after="0" w:line="240" w:lineRule="auto"/>
              <w:rPr>
                <w:b/>
                <w:bCs/>
                <w:color w:val="000000"/>
                <w:sz w:val="18"/>
                <w:szCs w:val="18"/>
                <w:lang w:val="en-GB"/>
              </w:rPr>
            </w:pPr>
            <w:r w:rsidRPr="00AF5CAF">
              <w:rPr>
                <w:b/>
                <w:bCs/>
                <w:color w:val="000000"/>
                <w:sz w:val="18"/>
                <w:szCs w:val="18"/>
                <w:lang w:val="en-GB"/>
              </w:rPr>
              <w:t> </w:t>
            </w:r>
          </w:p>
        </w:tc>
        <w:tc>
          <w:tcPr>
            <w:tcW w:w="278" w:type="pct"/>
            <w:tcBorders>
              <w:top w:val="single" w:sz="4" w:space="0" w:color="auto"/>
              <w:left w:val="nil"/>
              <w:bottom w:val="nil"/>
              <w:right w:val="nil"/>
            </w:tcBorders>
            <w:noWrap/>
            <w:vAlign w:val="bottom"/>
            <w:hideMark/>
          </w:tcPr>
          <w:p w14:paraId="233D6C60" w14:textId="77777777" w:rsidR="00576FE1" w:rsidRPr="00AF5CAF" w:rsidRDefault="00576FE1" w:rsidP="00115CD6">
            <w:pPr>
              <w:spacing w:after="0" w:line="240" w:lineRule="auto"/>
              <w:rPr>
                <w:b/>
                <w:bCs/>
                <w:color w:val="000000"/>
                <w:sz w:val="18"/>
                <w:szCs w:val="18"/>
                <w:lang w:val="en-GB"/>
              </w:rPr>
            </w:pPr>
            <w:r w:rsidRPr="00AF5CAF">
              <w:rPr>
                <w:b/>
                <w:bCs/>
                <w:color w:val="000000"/>
                <w:sz w:val="18"/>
                <w:szCs w:val="18"/>
                <w:lang w:val="en-GB"/>
              </w:rPr>
              <w:t> </w:t>
            </w:r>
          </w:p>
        </w:tc>
        <w:tc>
          <w:tcPr>
            <w:tcW w:w="891" w:type="pct"/>
            <w:tcBorders>
              <w:top w:val="single" w:sz="4" w:space="0" w:color="auto"/>
              <w:left w:val="nil"/>
              <w:bottom w:val="nil"/>
              <w:right w:val="nil"/>
            </w:tcBorders>
            <w:noWrap/>
            <w:vAlign w:val="bottom"/>
            <w:hideMark/>
          </w:tcPr>
          <w:p w14:paraId="067374AC" w14:textId="77777777" w:rsidR="00576FE1" w:rsidRPr="00AF5CAF" w:rsidRDefault="00576FE1" w:rsidP="00115CD6">
            <w:pPr>
              <w:spacing w:after="0" w:line="240" w:lineRule="auto"/>
              <w:rPr>
                <w:b/>
                <w:bCs/>
                <w:color w:val="000000"/>
                <w:sz w:val="18"/>
                <w:szCs w:val="18"/>
                <w:lang w:val="en-GB"/>
              </w:rPr>
            </w:pPr>
            <w:r w:rsidRPr="00AF5CAF">
              <w:rPr>
                <w:b/>
                <w:bCs/>
                <w:color w:val="000000"/>
                <w:sz w:val="18"/>
                <w:szCs w:val="18"/>
                <w:lang w:val="en-GB"/>
              </w:rPr>
              <w:t> </w:t>
            </w:r>
          </w:p>
        </w:tc>
        <w:tc>
          <w:tcPr>
            <w:tcW w:w="1790" w:type="pct"/>
            <w:gridSpan w:val="2"/>
            <w:tcBorders>
              <w:top w:val="single" w:sz="4" w:space="0" w:color="auto"/>
              <w:left w:val="nil"/>
              <w:bottom w:val="nil"/>
              <w:right w:val="nil"/>
            </w:tcBorders>
            <w:vAlign w:val="center"/>
            <w:hideMark/>
          </w:tcPr>
          <w:p w14:paraId="164F9D24" w14:textId="77777777" w:rsidR="00576FE1" w:rsidRPr="00AF5CAF" w:rsidRDefault="00576FE1" w:rsidP="00115CD6">
            <w:pPr>
              <w:spacing w:after="0" w:line="240" w:lineRule="auto"/>
              <w:jc w:val="center"/>
              <w:rPr>
                <w:b/>
                <w:bCs/>
                <w:color w:val="000000"/>
                <w:sz w:val="18"/>
                <w:szCs w:val="18"/>
              </w:rPr>
            </w:pPr>
            <w:r w:rsidRPr="00AC3842">
              <w:rPr>
                <w:b/>
                <w:bCs/>
                <w:color w:val="000000"/>
                <w:sz w:val="18"/>
                <w:szCs w:val="18"/>
              </w:rPr>
              <w:t>Pulmonary embolism</w:t>
            </w:r>
          </w:p>
        </w:tc>
        <w:tc>
          <w:tcPr>
            <w:tcW w:w="521" w:type="pct"/>
            <w:tcBorders>
              <w:top w:val="single" w:sz="4" w:space="0" w:color="auto"/>
              <w:left w:val="nil"/>
              <w:bottom w:val="nil"/>
              <w:right w:val="nil"/>
            </w:tcBorders>
            <w:noWrap/>
            <w:vAlign w:val="bottom"/>
            <w:hideMark/>
          </w:tcPr>
          <w:p w14:paraId="074C1977" w14:textId="77777777" w:rsidR="00576FE1" w:rsidRPr="00AF5CAF" w:rsidRDefault="00576FE1" w:rsidP="00115CD6">
            <w:pPr>
              <w:spacing w:after="0" w:line="240" w:lineRule="auto"/>
              <w:jc w:val="center"/>
              <w:rPr>
                <w:b/>
                <w:bCs/>
                <w:color w:val="000000"/>
                <w:sz w:val="18"/>
                <w:szCs w:val="18"/>
              </w:rPr>
            </w:pPr>
            <w:r w:rsidRPr="00AF5CAF">
              <w:rPr>
                <w:b/>
                <w:bCs/>
                <w:color w:val="000000"/>
                <w:sz w:val="18"/>
                <w:szCs w:val="18"/>
              </w:rPr>
              <w:t> </w:t>
            </w:r>
          </w:p>
        </w:tc>
      </w:tr>
      <w:tr w:rsidR="00576FE1" w:rsidRPr="00AF5CAF" w14:paraId="5668BC90" w14:textId="77777777" w:rsidTr="00B37149">
        <w:trPr>
          <w:trHeight w:val="265"/>
        </w:trPr>
        <w:tc>
          <w:tcPr>
            <w:tcW w:w="1520" w:type="pct"/>
            <w:tcBorders>
              <w:top w:val="nil"/>
              <w:left w:val="nil"/>
              <w:bottom w:val="single" w:sz="4" w:space="0" w:color="auto"/>
              <w:right w:val="nil"/>
            </w:tcBorders>
            <w:noWrap/>
            <w:vAlign w:val="bottom"/>
            <w:hideMark/>
          </w:tcPr>
          <w:p w14:paraId="0E9E0F2E" w14:textId="77777777" w:rsidR="00576FE1" w:rsidRPr="00AF5CAF" w:rsidRDefault="00576FE1" w:rsidP="00115CD6">
            <w:pPr>
              <w:spacing w:after="0" w:line="240" w:lineRule="auto"/>
              <w:rPr>
                <w:b/>
                <w:bCs/>
                <w:color w:val="000000"/>
                <w:sz w:val="18"/>
                <w:szCs w:val="18"/>
              </w:rPr>
            </w:pPr>
            <w:r w:rsidRPr="00AF5CAF">
              <w:rPr>
                <w:b/>
                <w:bCs/>
                <w:color w:val="000000"/>
                <w:sz w:val="18"/>
                <w:szCs w:val="18"/>
              </w:rPr>
              <w:t> </w:t>
            </w:r>
          </w:p>
        </w:tc>
        <w:tc>
          <w:tcPr>
            <w:tcW w:w="278" w:type="pct"/>
            <w:tcBorders>
              <w:top w:val="nil"/>
              <w:left w:val="nil"/>
              <w:bottom w:val="single" w:sz="4" w:space="0" w:color="auto"/>
              <w:right w:val="nil"/>
            </w:tcBorders>
            <w:noWrap/>
            <w:vAlign w:val="bottom"/>
            <w:hideMark/>
          </w:tcPr>
          <w:p w14:paraId="60B8FD79" w14:textId="77777777" w:rsidR="00576FE1" w:rsidRPr="00AF5CAF" w:rsidRDefault="00576FE1" w:rsidP="00115CD6">
            <w:pPr>
              <w:spacing w:after="0" w:line="240" w:lineRule="auto"/>
              <w:rPr>
                <w:b/>
                <w:bCs/>
                <w:color w:val="000000"/>
                <w:sz w:val="18"/>
                <w:szCs w:val="18"/>
              </w:rPr>
            </w:pPr>
            <w:r w:rsidRPr="00AF5CAF">
              <w:rPr>
                <w:b/>
                <w:bCs/>
                <w:color w:val="000000"/>
                <w:sz w:val="18"/>
                <w:szCs w:val="18"/>
              </w:rPr>
              <w:t> </w:t>
            </w:r>
          </w:p>
        </w:tc>
        <w:tc>
          <w:tcPr>
            <w:tcW w:w="891" w:type="pct"/>
            <w:tcBorders>
              <w:top w:val="single" w:sz="4" w:space="0" w:color="auto"/>
              <w:left w:val="nil"/>
              <w:bottom w:val="single" w:sz="4" w:space="0" w:color="auto"/>
              <w:right w:val="nil"/>
            </w:tcBorders>
            <w:noWrap/>
            <w:vAlign w:val="center"/>
            <w:hideMark/>
          </w:tcPr>
          <w:p w14:paraId="33E0F9C7" w14:textId="77777777" w:rsidR="00576FE1" w:rsidRPr="00AF5CAF" w:rsidRDefault="00576FE1" w:rsidP="00115CD6">
            <w:pPr>
              <w:spacing w:after="0" w:line="240" w:lineRule="auto"/>
              <w:jc w:val="center"/>
              <w:rPr>
                <w:b/>
                <w:bCs/>
                <w:color w:val="000000"/>
                <w:sz w:val="18"/>
                <w:szCs w:val="18"/>
              </w:rPr>
            </w:pPr>
            <w:r w:rsidRPr="00AF5CAF">
              <w:rPr>
                <w:b/>
                <w:bCs/>
                <w:color w:val="000000"/>
                <w:sz w:val="18"/>
                <w:szCs w:val="18"/>
              </w:rPr>
              <w:t>All patients</w:t>
            </w:r>
          </w:p>
        </w:tc>
        <w:tc>
          <w:tcPr>
            <w:tcW w:w="894" w:type="pct"/>
            <w:tcBorders>
              <w:top w:val="single" w:sz="4" w:space="0" w:color="auto"/>
              <w:left w:val="nil"/>
              <w:bottom w:val="single" w:sz="4" w:space="0" w:color="auto"/>
              <w:right w:val="nil"/>
            </w:tcBorders>
            <w:noWrap/>
            <w:vAlign w:val="center"/>
            <w:hideMark/>
          </w:tcPr>
          <w:p w14:paraId="58DB1392" w14:textId="77777777" w:rsidR="00576FE1" w:rsidRPr="00AF5CAF" w:rsidRDefault="00576FE1" w:rsidP="00115CD6">
            <w:pPr>
              <w:spacing w:after="0" w:line="240" w:lineRule="auto"/>
              <w:jc w:val="center"/>
              <w:rPr>
                <w:b/>
                <w:bCs/>
                <w:color w:val="000000"/>
                <w:sz w:val="18"/>
                <w:szCs w:val="18"/>
              </w:rPr>
            </w:pPr>
            <w:r w:rsidRPr="00AF5CAF">
              <w:rPr>
                <w:b/>
                <w:bCs/>
                <w:color w:val="000000"/>
                <w:sz w:val="18"/>
                <w:szCs w:val="18"/>
              </w:rPr>
              <w:t>No</w:t>
            </w:r>
          </w:p>
        </w:tc>
        <w:tc>
          <w:tcPr>
            <w:tcW w:w="896" w:type="pct"/>
            <w:tcBorders>
              <w:top w:val="single" w:sz="4" w:space="0" w:color="auto"/>
              <w:left w:val="nil"/>
              <w:bottom w:val="single" w:sz="4" w:space="0" w:color="auto"/>
              <w:right w:val="nil"/>
            </w:tcBorders>
            <w:noWrap/>
            <w:vAlign w:val="center"/>
            <w:hideMark/>
          </w:tcPr>
          <w:p w14:paraId="678A9E6E" w14:textId="77777777" w:rsidR="00576FE1" w:rsidRPr="00AF5CAF" w:rsidRDefault="00576FE1" w:rsidP="00115CD6">
            <w:pPr>
              <w:spacing w:after="0" w:line="240" w:lineRule="auto"/>
              <w:jc w:val="center"/>
              <w:rPr>
                <w:b/>
                <w:bCs/>
                <w:color w:val="000000"/>
                <w:sz w:val="18"/>
                <w:szCs w:val="18"/>
              </w:rPr>
            </w:pPr>
            <w:r w:rsidRPr="00AF5CAF">
              <w:rPr>
                <w:b/>
                <w:bCs/>
                <w:color w:val="000000"/>
                <w:sz w:val="18"/>
                <w:szCs w:val="18"/>
              </w:rPr>
              <w:t>Yes</w:t>
            </w:r>
          </w:p>
        </w:tc>
        <w:tc>
          <w:tcPr>
            <w:tcW w:w="521" w:type="pct"/>
            <w:tcBorders>
              <w:top w:val="single" w:sz="4" w:space="0" w:color="auto"/>
              <w:left w:val="nil"/>
              <w:bottom w:val="single" w:sz="4" w:space="0" w:color="auto"/>
              <w:right w:val="nil"/>
            </w:tcBorders>
            <w:noWrap/>
            <w:vAlign w:val="center"/>
            <w:hideMark/>
          </w:tcPr>
          <w:p w14:paraId="4BECCC5C" w14:textId="77777777" w:rsidR="00576FE1" w:rsidRPr="00AF5CAF" w:rsidRDefault="00576FE1" w:rsidP="00115CD6">
            <w:pPr>
              <w:spacing w:after="0" w:line="240" w:lineRule="auto"/>
              <w:jc w:val="center"/>
              <w:rPr>
                <w:b/>
                <w:bCs/>
                <w:color w:val="000000"/>
                <w:sz w:val="18"/>
                <w:szCs w:val="18"/>
              </w:rPr>
            </w:pPr>
            <w:r w:rsidRPr="00AF5CAF">
              <w:rPr>
                <w:b/>
                <w:bCs/>
                <w:color w:val="000000"/>
                <w:sz w:val="18"/>
                <w:szCs w:val="18"/>
              </w:rPr>
              <w:t>p-value</w:t>
            </w:r>
            <w:r w:rsidRPr="00AF5CAF">
              <w:rPr>
                <w:b/>
                <w:bCs/>
                <w:color w:val="000000"/>
                <w:sz w:val="18"/>
                <w:szCs w:val="18"/>
                <w:vertAlign w:val="superscript"/>
              </w:rPr>
              <w:t xml:space="preserve"> a</w:t>
            </w:r>
          </w:p>
        </w:tc>
      </w:tr>
      <w:tr w:rsidR="00576FE1" w:rsidRPr="00AF5CAF" w14:paraId="11D939AC" w14:textId="77777777" w:rsidTr="00B37149">
        <w:trPr>
          <w:trHeight w:val="314"/>
        </w:trPr>
        <w:tc>
          <w:tcPr>
            <w:tcW w:w="1520" w:type="pct"/>
            <w:noWrap/>
            <w:vAlign w:val="bottom"/>
            <w:hideMark/>
          </w:tcPr>
          <w:p w14:paraId="0B16C3AC" w14:textId="77777777" w:rsidR="00576FE1" w:rsidRPr="00AF5CAF" w:rsidRDefault="00576FE1" w:rsidP="00115CD6">
            <w:pPr>
              <w:spacing w:after="0" w:line="240" w:lineRule="auto"/>
              <w:rPr>
                <w:color w:val="000000"/>
                <w:sz w:val="18"/>
                <w:szCs w:val="18"/>
              </w:rPr>
            </w:pPr>
            <w:r w:rsidRPr="00AF5CAF">
              <w:rPr>
                <w:color w:val="000000"/>
                <w:sz w:val="18"/>
                <w:szCs w:val="18"/>
              </w:rPr>
              <w:t>Age, median (range)</w:t>
            </w:r>
          </w:p>
        </w:tc>
        <w:tc>
          <w:tcPr>
            <w:tcW w:w="278" w:type="pct"/>
            <w:noWrap/>
            <w:vAlign w:val="bottom"/>
            <w:hideMark/>
          </w:tcPr>
          <w:p w14:paraId="035D4B6B" w14:textId="77777777" w:rsidR="00576FE1" w:rsidRPr="00AF5CAF" w:rsidRDefault="00576FE1" w:rsidP="00115CD6">
            <w:pPr>
              <w:spacing w:after="0" w:line="240" w:lineRule="auto"/>
              <w:rPr>
                <w:color w:val="000000"/>
                <w:sz w:val="18"/>
                <w:szCs w:val="18"/>
              </w:rPr>
            </w:pPr>
            <w:r w:rsidRPr="00AF5CAF">
              <w:rPr>
                <w:color w:val="000000"/>
                <w:sz w:val="18"/>
                <w:szCs w:val="18"/>
              </w:rPr>
              <w:t> </w:t>
            </w:r>
          </w:p>
        </w:tc>
        <w:tc>
          <w:tcPr>
            <w:tcW w:w="891" w:type="pct"/>
            <w:noWrap/>
            <w:vAlign w:val="bottom"/>
            <w:hideMark/>
          </w:tcPr>
          <w:p w14:paraId="2D23089C" w14:textId="77777777" w:rsidR="00576FE1" w:rsidRPr="00AF5CAF" w:rsidRDefault="00576FE1" w:rsidP="00115CD6">
            <w:pPr>
              <w:spacing w:after="0" w:line="240" w:lineRule="auto"/>
              <w:jc w:val="center"/>
              <w:rPr>
                <w:color w:val="000000"/>
                <w:sz w:val="18"/>
                <w:szCs w:val="18"/>
              </w:rPr>
            </w:pPr>
            <w:r w:rsidRPr="00AF5CAF">
              <w:rPr>
                <w:color w:val="000000"/>
                <w:sz w:val="18"/>
                <w:szCs w:val="18"/>
              </w:rPr>
              <w:t>63 (25-90)</w:t>
            </w:r>
          </w:p>
        </w:tc>
        <w:tc>
          <w:tcPr>
            <w:tcW w:w="894" w:type="pct"/>
            <w:noWrap/>
            <w:vAlign w:val="bottom"/>
            <w:hideMark/>
          </w:tcPr>
          <w:p w14:paraId="340E201D" w14:textId="77777777" w:rsidR="00576FE1" w:rsidRPr="00AF5CAF" w:rsidRDefault="00576FE1" w:rsidP="00115CD6">
            <w:pPr>
              <w:spacing w:after="0" w:line="240" w:lineRule="auto"/>
              <w:jc w:val="center"/>
              <w:rPr>
                <w:color w:val="000000"/>
                <w:sz w:val="18"/>
                <w:szCs w:val="18"/>
              </w:rPr>
            </w:pPr>
            <w:r w:rsidRPr="00AF5CAF">
              <w:rPr>
                <w:color w:val="000000"/>
                <w:sz w:val="18"/>
                <w:szCs w:val="18"/>
              </w:rPr>
              <w:t>62 (25-90)</w:t>
            </w:r>
          </w:p>
        </w:tc>
        <w:tc>
          <w:tcPr>
            <w:tcW w:w="896" w:type="pct"/>
            <w:noWrap/>
            <w:vAlign w:val="bottom"/>
            <w:hideMark/>
          </w:tcPr>
          <w:p w14:paraId="1CF2D167" w14:textId="77777777" w:rsidR="00576FE1" w:rsidRPr="00AF5CAF" w:rsidRDefault="00576FE1" w:rsidP="00115CD6">
            <w:pPr>
              <w:spacing w:after="0" w:line="240" w:lineRule="auto"/>
              <w:jc w:val="center"/>
              <w:rPr>
                <w:color w:val="000000"/>
                <w:sz w:val="18"/>
                <w:szCs w:val="18"/>
              </w:rPr>
            </w:pPr>
            <w:r w:rsidRPr="00AF5CAF">
              <w:rPr>
                <w:color w:val="000000"/>
                <w:sz w:val="18"/>
                <w:szCs w:val="18"/>
              </w:rPr>
              <w:t>69.5 (47-84)</w:t>
            </w:r>
          </w:p>
        </w:tc>
        <w:tc>
          <w:tcPr>
            <w:tcW w:w="521" w:type="pct"/>
            <w:noWrap/>
            <w:vAlign w:val="bottom"/>
            <w:hideMark/>
          </w:tcPr>
          <w:p w14:paraId="2A58203B" w14:textId="77777777" w:rsidR="00576FE1" w:rsidRPr="00AF5CAF" w:rsidRDefault="00576FE1" w:rsidP="00115CD6">
            <w:pPr>
              <w:spacing w:after="0" w:line="240" w:lineRule="auto"/>
              <w:jc w:val="center"/>
              <w:rPr>
                <w:b/>
                <w:bCs/>
                <w:color w:val="000000"/>
                <w:sz w:val="18"/>
                <w:szCs w:val="18"/>
              </w:rPr>
            </w:pPr>
            <w:r w:rsidRPr="00AF5CAF">
              <w:rPr>
                <w:b/>
                <w:bCs/>
                <w:color w:val="000000"/>
                <w:sz w:val="18"/>
                <w:szCs w:val="18"/>
              </w:rPr>
              <w:t>&lt;0.01</w:t>
            </w:r>
          </w:p>
        </w:tc>
      </w:tr>
      <w:tr w:rsidR="00576FE1" w:rsidRPr="00AF5CAF" w14:paraId="5D8EAB5E" w14:textId="77777777" w:rsidTr="00B37149">
        <w:trPr>
          <w:trHeight w:val="302"/>
        </w:trPr>
        <w:tc>
          <w:tcPr>
            <w:tcW w:w="1520" w:type="pct"/>
            <w:noWrap/>
            <w:vAlign w:val="bottom"/>
            <w:hideMark/>
          </w:tcPr>
          <w:p w14:paraId="558644D7" w14:textId="77777777" w:rsidR="00576FE1" w:rsidRPr="00AF5CAF" w:rsidRDefault="00576FE1" w:rsidP="00115CD6">
            <w:pPr>
              <w:spacing w:after="0" w:line="240" w:lineRule="auto"/>
              <w:rPr>
                <w:color w:val="000000"/>
                <w:sz w:val="18"/>
                <w:szCs w:val="18"/>
              </w:rPr>
            </w:pPr>
            <w:r w:rsidRPr="00AF5CAF">
              <w:rPr>
                <w:color w:val="000000"/>
                <w:sz w:val="18"/>
                <w:szCs w:val="18"/>
              </w:rPr>
              <w:t xml:space="preserve">ECOG PS score  </w:t>
            </w:r>
          </w:p>
        </w:tc>
        <w:tc>
          <w:tcPr>
            <w:tcW w:w="278" w:type="pct"/>
            <w:noWrap/>
            <w:vAlign w:val="bottom"/>
            <w:hideMark/>
          </w:tcPr>
          <w:p w14:paraId="1B0BBF47" w14:textId="77777777" w:rsidR="00576FE1" w:rsidRPr="00AF5CAF" w:rsidRDefault="00576FE1" w:rsidP="00115CD6">
            <w:pPr>
              <w:spacing w:after="0" w:line="240" w:lineRule="auto"/>
              <w:rPr>
                <w:color w:val="000000"/>
                <w:sz w:val="18"/>
                <w:szCs w:val="18"/>
              </w:rPr>
            </w:pPr>
            <w:r w:rsidRPr="00AF5CAF">
              <w:rPr>
                <w:color w:val="000000"/>
                <w:sz w:val="18"/>
                <w:szCs w:val="18"/>
              </w:rPr>
              <w:t>0-1</w:t>
            </w:r>
          </w:p>
        </w:tc>
        <w:tc>
          <w:tcPr>
            <w:tcW w:w="891" w:type="pct"/>
            <w:noWrap/>
            <w:vAlign w:val="bottom"/>
            <w:hideMark/>
          </w:tcPr>
          <w:p w14:paraId="2CB5D219" w14:textId="77777777" w:rsidR="00576FE1" w:rsidRPr="00AF5CAF" w:rsidRDefault="00576FE1" w:rsidP="00115CD6">
            <w:pPr>
              <w:spacing w:after="0" w:line="240" w:lineRule="auto"/>
              <w:jc w:val="center"/>
              <w:rPr>
                <w:color w:val="000000"/>
                <w:sz w:val="18"/>
                <w:szCs w:val="18"/>
              </w:rPr>
            </w:pPr>
            <w:r w:rsidRPr="00AF5CAF">
              <w:rPr>
                <w:color w:val="000000"/>
                <w:sz w:val="18"/>
                <w:szCs w:val="18"/>
              </w:rPr>
              <w:t>462 (95.1)</w:t>
            </w:r>
          </w:p>
        </w:tc>
        <w:tc>
          <w:tcPr>
            <w:tcW w:w="894" w:type="pct"/>
            <w:noWrap/>
            <w:vAlign w:val="bottom"/>
            <w:hideMark/>
          </w:tcPr>
          <w:p w14:paraId="5649D19D" w14:textId="77777777" w:rsidR="00576FE1" w:rsidRPr="00AF5CAF" w:rsidRDefault="00576FE1" w:rsidP="00115CD6">
            <w:pPr>
              <w:spacing w:after="0" w:line="240" w:lineRule="auto"/>
              <w:jc w:val="center"/>
              <w:rPr>
                <w:color w:val="000000"/>
                <w:sz w:val="18"/>
                <w:szCs w:val="18"/>
              </w:rPr>
            </w:pPr>
            <w:r w:rsidRPr="00AF5CAF">
              <w:rPr>
                <w:color w:val="000000"/>
                <w:sz w:val="18"/>
                <w:szCs w:val="18"/>
              </w:rPr>
              <w:t>446 (95.3)</w:t>
            </w:r>
          </w:p>
        </w:tc>
        <w:tc>
          <w:tcPr>
            <w:tcW w:w="896" w:type="pct"/>
            <w:noWrap/>
            <w:vAlign w:val="bottom"/>
            <w:hideMark/>
          </w:tcPr>
          <w:p w14:paraId="68FB4747" w14:textId="77777777" w:rsidR="00576FE1" w:rsidRPr="00AF5CAF" w:rsidRDefault="00576FE1" w:rsidP="00115CD6">
            <w:pPr>
              <w:spacing w:after="0" w:line="240" w:lineRule="auto"/>
              <w:jc w:val="center"/>
              <w:rPr>
                <w:color w:val="000000"/>
                <w:sz w:val="18"/>
                <w:szCs w:val="18"/>
              </w:rPr>
            </w:pPr>
            <w:r w:rsidRPr="00AF5CAF">
              <w:rPr>
                <w:color w:val="000000"/>
                <w:sz w:val="18"/>
                <w:szCs w:val="18"/>
              </w:rPr>
              <w:t>16 (88.9)</w:t>
            </w:r>
          </w:p>
        </w:tc>
        <w:tc>
          <w:tcPr>
            <w:tcW w:w="521" w:type="pct"/>
            <w:noWrap/>
            <w:vAlign w:val="bottom"/>
            <w:hideMark/>
          </w:tcPr>
          <w:p w14:paraId="0AEA676E"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0.221</w:t>
            </w:r>
          </w:p>
        </w:tc>
      </w:tr>
      <w:tr w:rsidR="00576FE1" w:rsidRPr="00AF5CAF" w14:paraId="74221136" w14:textId="77777777" w:rsidTr="00B37149">
        <w:trPr>
          <w:trHeight w:val="302"/>
        </w:trPr>
        <w:tc>
          <w:tcPr>
            <w:tcW w:w="1520" w:type="pct"/>
            <w:noWrap/>
            <w:vAlign w:val="bottom"/>
            <w:hideMark/>
          </w:tcPr>
          <w:p w14:paraId="45512F22" w14:textId="77777777" w:rsidR="00576FE1" w:rsidRPr="00AF5CAF" w:rsidRDefault="00576FE1" w:rsidP="00115CD6">
            <w:pPr>
              <w:spacing w:after="0" w:line="240" w:lineRule="auto"/>
              <w:rPr>
                <w:color w:val="000000"/>
                <w:sz w:val="18"/>
                <w:szCs w:val="18"/>
              </w:rPr>
            </w:pPr>
          </w:p>
        </w:tc>
        <w:tc>
          <w:tcPr>
            <w:tcW w:w="278" w:type="pct"/>
            <w:noWrap/>
            <w:vAlign w:val="bottom"/>
            <w:hideMark/>
          </w:tcPr>
          <w:p w14:paraId="5689FA1A" w14:textId="77777777" w:rsidR="00576FE1" w:rsidRPr="00AF5CAF" w:rsidRDefault="00576FE1" w:rsidP="00115CD6">
            <w:pPr>
              <w:spacing w:after="0" w:line="240" w:lineRule="auto"/>
              <w:rPr>
                <w:color w:val="000000"/>
                <w:sz w:val="18"/>
                <w:szCs w:val="18"/>
              </w:rPr>
            </w:pPr>
            <w:r w:rsidRPr="00AF5CAF">
              <w:rPr>
                <w:color w:val="000000"/>
                <w:sz w:val="18"/>
                <w:szCs w:val="18"/>
              </w:rPr>
              <w:t>2</w:t>
            </w:r>
          </w:p>
        </w:tc>
        <w:tc>
          <w:tcPr>
            <w:tcW w:w="891" w:type="pct"/>
            <w:noWrap/>
            <w:vAlign w:val="bottom"/>
            <w:hideMark/>
          </w:tcPr>
          <w:p w14:paraId="064C8D9E"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24 (4.9)</w:t>
            </w:r>
          </w:p>
        </w:tc>
        <w:tc>
          <w:tcPr>
            <w:tcW w:w="894" w:type="pct"/>
            <w:noWrap/>
            <w:vAlign w:val="bottom"/>
            <w:hideMark/>
          </w:tcPr>
          <w:p w14:paraId="41E19587"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22 (4.7)</w:t>
            </w:r>
          </w:p>
        </w:tc>
        <w:tc>
          <w:tcPr>
            <w:tcW w:w="896" w:type="pct"/>
            <w:noWrap/>
            <w:vAlign w:val="bottom"/>
            <w:hideMark/>
          </w:tcPr>
          <w:p w14:paraId="06323F8D"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 (11.1)</w:t>
            </w:r>
          </w:p>
        </w:tc>
        <w:tc>
          <w:tcPr>
            <w:tcW w:w="521" w:type="pct"/>
            <w:noWrap/>
            <w:vAlign w:val="bottom"/>
            <w:hideMark/>
          </w:tcPr>
          <w:p w14:paraId="50BCC017" w14:textId="77777777" w:rsidR="00576FE1" w:rsidRPr="00AF5CAF" w:rsidRDefault="00576FE1" w:rsidP="00115CD6">
            <w:pPr>
              <w:spacing w:after="0" w:line="240" w:lineRule="auto"/>
              <w:rPr>
                <w:color w:val="000000"/>
                <w:sz w:val="18"/>
                <w:szCs w:val="18"/>
              </w:rPr>
            </w:pPr>
          </w:p>
        </w:tc>
      </w:tr>
      <w:tr w:rsidR="00576FE1" w:rsidRPr="00AF5CAF" w14:paraId="59458A27" w14:textId="77777777" w:rsidTr="00B37149">
        <w:trPr>
          <w:trHeight w:val="373"/>
        </w:trPr>
        <w:tc>
          <w:tcPr>
            <w:tcW w:w="1520" w:type="pct"/>
            <w:noWrap/>
            <w:vAlign w:val="bottom"/>
            <w:hideMark/>
          </w:tcPr>
          <w:p w14:paraId="59FB432B" w14:textId="77777777" w:rsidR="00576FE1" w:rsidRPr="00AF5CAF" w:rsidRDefault="00576FE1" w:rsidP="00115CD6">
            <w:pPr>
              <w:spacing w:after="0" w:line="240" w:lineRule="auto"/>
              <w:rPr>
                <w:color w:val="000000"/>
                <w:sz w:val="18"/>
                <w:szCs w:val="18"/>
              </w:rPr>
            </w:pPr>
            <w:r w:rsidRPr="00AF5CAF">
              <w:rPr>
                <w:color w:val="000000"/>
                <w:sz w:val="18"/>
                <w:szCs w:val="18"/>
              </w:rPr>
              <w:t>Premenopausal</w:t>
            </w:r>
          </w:p>
        </w:tc>
        <w:tc>
          <w:tcPr>
            <w:tcW w:w="278" w:type="pct"/>
            <w:noWrap/>
            <w:vAlign w:val="bottom"/>
            <w:hideMark/>
          </w:tcPr>
          <w:p w14:paraId="174CC0E2" w14:textId="77777777" w:rsidR="00576FE1" w:rsidRPr="00AF5CAF" w:rsidRDefault="00576FE1" w:rsidP="00115CD6">
            <w:pPr>
              <w:spacing w:after="0" w:line="240" w:lineRule="auto"/>
              <w:rPr>
                <w:color w:val="000000"/>
                <w:sz w:val="18"/>
                <w:szCs w:val="18"/>
              </w:rPr>
            </w:pPr>
            <w:r w:rsidRPr="00AF5CAF">
              <w:rPr>
                <w:color w:val="000000"/>
                <w:sz w:val="18"/>
                <w:szCs w:val="18"/>
              </w:rPr>
              <w:t>No</w:t>
            </w:r>
          </w:p>
        </w:tc>
        <w:tc>
          <w:tcPr>
            <w:tcW w:w="891" w:type="pct"/>
            <w:noWrap/>
            <w:vAlign w:val="bottom"/>
            <w:hideMark/>
          </w:tcPr>
          <w:p w14:paraId="76906608" w14:textId="77777777" w:rsidR="00576FE1" w:rsidRPr="00AF5CAF" w:rsidRDefault="00576FE1" w:rsidP="00115CD6">
            <w:pPr>
              <w:spacing w:after="0" w:line="240" w:lineRule="auto"/>
              <w:jc w:val="center"/>
              <w:rPr>
                <w:color w:val="000000"/>
                <w:sz w:val="18"/>
                <w:szCs w:val="18"/>
              </w:rPr>
            </w:pPr>
            <w:r w:rsidRPr="00AF5CAF">
              <w:rPr>
                <w:color w:val="000000"/>
                <w:sz w:val="18"/>
                <w:szCs w:val="18"/>
              </w:rPr>
              <w:t>449 (92.4)</w:t>
            </w:r>
          </w:p>
        </w:tc>
        <w:tc>
          <w:tcPr>
            <w:tcW w:w="894" w:type="pct"/>
            <w:noWrap/>
            <w:vAlign w:val="bottom"/>
            <w:hideMark/>
          </w:tcPr>
          <w:p w14:paraId="1CA72922" w14:textId="77777777" w:rsidR="00576FE1" w:rsidRPr="00AF5CAF" w:rsidRDefault="00576FE1" w:rsidP="00115CD6">
            <w:pPr>
              <w:spacing w:after="0" w:line="240" w:lineRule="auto"/>
              <w:jc w:val="center"/>
              <w:rPr>
                <w:color w:val="000000"/>
                <w:sz w:val="18"/>
                <w:szCs w:val="18"/>
              </w:rPr>
            </w:pPr>
            <w:r w:rsidRPr="00AF5CAF">
              <w:rPr>
                <w:color w:val="000000"/>
                <w:sz w:val="18"/>
                <w:szCs w:val="18"/>
              </w:rPr>
              <w:t>432 (92.3)</w:t>
            </w:r>
          </w:p>
        </w:tc>
        <w:tc>
          <w:tcPr>
            <w:tcW w:w="896" w:type="pct"/>
            <w:noWrap/>
            <w:vAlign w:val="bottom"/>
            <w:hideMark/>
          </w:tcPr>
          <w:p w14:paraId="53E1CA4D" w14:textId="77777777" w:rsidR="00576FE1" w:rsidRPr="00AF5CAF" w:rsidRDefault="00576FE1" w:rsidP="00115CD6">
            <w:pPr>
              <w:spacing w:after="0" w:line="240" w:lineRule="auto"/>
              <w:jc w:val="center"/>
              <w:rPr>
                <w:color w:val="000000"/>
                <w:sz w:val="18"/>
                <w:szCs w:val="18"/>
              </w:rPr>
            </w:pPr>
            <w:r w:rsidRPr="00AF5CAF">
              <w:rPr>
                <w:color w:val="000000"/>
                <w:sz w:val="18"/>
                <w:szCs w:val="18"/>
              </w:rPr>
              <w:t>17 (94.4)</w:t>
            </w:r>
          </w:p>
        </w:tc>
        <w:tc>
          <w:tcPr>
            <w:tcW w:w="521" w:type="pct"/>
            <w:noWrap/>
            <w:vAlign w:val="bottom"/>
            <w:hideMark/>
          </w:tcPr>
          <w:p w14:paraId="181ADAB8"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0.737</w:t>
            </w:r>
          </w:p>
        </w:tc>
      </w:tr>
      <w:tr w:rsidR="00576FE1" w:rsidRPr="00AF5CAF" w14:paraId="1E9D9ECD" w14:textId="77777777" w:rsidTr="00B37149">
        <w:trPr>
          <w:trHeight w:val="280"/>
        </w:trPr>
        <w:tc>
          <w:tcPr>
            <w:tcW w:w="1520" w:type="pct"/>
            <w:noWrap/>
            <w:vAlign w:val="bottom"/>
            <w:hideMark/>
          </w:tcPr>
          <w:p w14:paraId="5BD1D4AE" w14:textId="77777777" w:rsidR="00576FE1" w:rsidRPr="00AF5CAF" w:rsidRDefault="00576FE1" w:rsidP="00115CD6">
            <w:pPr>
              <w:spacing w:after="0" w:line="240" w:lineRule="auto"/>
              <w:rPr>
                <w:color w:val="000000"/>
                <w:sz w:val="18"/>
                <w:szCs w:val="18"/>
              </w:rPr>
            </w:pPr>
          </w:p>
        </w:tc>
        <w:tc>
          <w:tcPr>
            <w:tcW w:w="278" w:type="pct"/>
            <w:noWrap/>
            <w:vAlign w:val="bottom"/>
            <w:hideMark/>
          </w:tcPr>
          <w:p w14:paraId="1BD9013D" w14:textId="77777777" w:rsidR="00576FE1" w:rsidRPr="00AF5CAF" w:rsidRDefault="00576FE1" w:rsidP="00115CD6">
            <w:pPr>
              <w:spacing w:after="0" w:line="240" w:lineRule="auto"/>
              <w:rPr>
                <w:color w:val="000000"/>
                <w:sz w:val="18"/>
                <w:szCs w:val="18"/>
              </w:rPr>
            </w:pPr>
            <w:r w:rsidRPr="00AF5CAF">
              <w:rPr>
                <w:color w:val="000000"/>
                <w:sz w:val="18"/>
                <w:szCs w:val="18"/>
              </w:rPr>
              <w:t>Yes</w:t>
            </w:r>
          </w:p>
        </w:tc>
        <w:tc>
          <w:tcPr>
            <w:tcW w:w="891" w:type="pct"/>
            <w:noWrap/>
            <w:vAlign w:val="bottom"/>
            <w:hideMark/>
          </w:tcPr>
          <w:p w14:paraId="6F113575" w14:textId="77777777" w:rsidR="00576FE1" w:rsidRPr="00AF5CAF" w:rsidRDefault="00576FE1" w:rsidP="00115CD6">
            <w:pPr>
              <w:spacing w:after="0" w:line="240" w:lineRule="auto"/>
              <w:jc w:val="center"/>
              <w:rPr>
                <w:color w:val="000000"/>
                <w:sz w:val="18"/>
                <w:szCs w:val="18"/>
              </w:rPr>
            </w:pPr>
            <w:r w:rsidRPr="00AF5CAF">
              <w:rPr>
                <w:color w:val="000000"/>
                <w:sz w:val="18"/>
                <w:szCs w:val="18"/>
              </w:rPr>
              <w:t>37 (7.6)</w:t>
            </w:r>
          </w:p>
        </w:tc>
        <w:tc>
          <w:tcPr>
            <w:tcW w:w="894" w:type="pct"/>
            <w:noWrap/>
            <w:vAlign w:val="bottom"/>
            <w:hideMark/>
          </w:tcPr>
          <w:p w14:paraId="023CC178" w14:textId="77777777" w:rsidR="00576FE1" w:rsidRPr="00AF5CAF" w:rsidRDefault="00576FE1" w:rsidP="00115CD6">
            <w:pPr>
              <w:spacing w:after="0" w:line="240" w:lineRule="auto"/>
              <w:jc w:val="center"/>
              <w:rPr>
                <w:color w:val="000000"/>
                <w:sz w:val="18"/>
                <w:szCs w:val="18"/>
              </w:rPr>
            </w:pPr>
            <w:r w:rsidRPr="00AF5CAF">
              <w:rPr>
                <w:color w:val="000000"/>
                <w:sz w:val="18"/>
                <w:szCs w:val="18"/>
              </w:rPr>
              <w:t>36 (7.7)</w:t>
            </w:r>
          </w:p>
        </w:tc>
        <w:tc>
          <w:tcPr>
            <w:tcW w:w="896" w:type="pct"/>
            <w:noWrap/>
            <w:vAlign w:val="bottom"/>
            <w:hideMark/>
          </w:tcPr>
          <w:p w14:paraId="6FD6C4B9" w14:textId="77777777" w:rsidR="00576FE1" w:rsidRPr="00AF5CAF" w:rsidRDefault="00576FE1" w:rsidP="00115CD6">
            <w:pPr>
              <w:spacing w:after="0" w:line="240" w:lineRule="auto"/>
              <w:jc w:val="center"/>
              <w:rPr>
                <w:color w:val="000000"/>
                <w:sz w:val="18"/>
                <w:szCs w:val="18"/>
              </w:rPr>
            </w:pPr>
            <w:r w:rsidRPr="00AF5CAF">
              <w:rPr>
                <w:color w:val="000000"/>
                <w:sz w:val="18"/>
                <w:szCs w:val="18"/>
              </w:rPr>
              <w:t>1 (5.6)</w:t>
            </w:r>
          </w:p>
        </w:tc>
        <w:tc>
          <w:tcPr>
            <w:tcW w:w="521" w:type="pct"/>
            <w:noWrap/>
            <w:vAlign w:val="bottom"/>
            <w:hideMark/>
          </w:tcPr>
          <w:p w14:paraId="1D45ECE4" w14:textId="77777777" w:rsidR="00576FE1" w:rsidRPr="00AF5CAF" w:rsidRDefault="00576FE1" w:rsidP="00115CD6">
            <w:pPr>
              <w:spacing w:after="0" w:line="240" w:lineRule="auto"/>
              <w:rPr>
                <w:color w:val="000000"/>
                <w:sz w:val="18"/>
                <w:szCs w:val="18"/>
              </w:rPr>
            </w:pPr>
          </w:p>
        </w:tc>
      </w:tr>
      <w:tr w:rsidR="00576FE1" w:rsidRPr="00AF5CAF" w14:paraId="3C286F31" w14:textId="77777777" w:rsidTr="00B37149">
        <w:trPr>
          <w:trHeight w:val="302"/>
        </w:trPr>
        <w:tc>
          <w:tcPr>
            <w:tcW w:w="1520" w:type="pct"/>
            <w:noWrap/>
            <w:vAlign w:val="bottom"/>
            <w:hideMark/>
          </w:tcPr>
          <w:p w14:paraId="1FE1EC40" w14:textId="77777777" w:rsidR="00576FE1" w:rsidRPr="00AF5CAF" w:rsidRDefault="00576FE1" w:rsidP="00115CD6">
            <w:pPr>
              <w:spacing w:after="0" w:line="240" w:lineRule="auto"/>
              <w:rPr>
                <w:color w:val="000000"/>
                <w:sz w:val="18"/>
                <w:szCs w:val="18"/>
              </w:rPr>
            </w:pPr>
            <w:r w:rsidRPr="00AF5CAF">
              <w:rPr>
                <w:color w:val="000000"/>
                <w:sz w:val="18"/>
                <w:szCs w:val="18"/>
              </w:rPr>
              <w:t>De novo</w:t>
            </w:r>
          </w:p>
        </w:tc>
        <w:tc>
          <w:tcPr>
            <w:tcW w:w="278" w:type="pct"/>
            <w:noWrap/>
            <w:vAlign w:val="bottom"/>
            <w:hideMark/>
          </w:tcPr>
          <w:p w14:paraId="39311B8E" w14:textId="77777777" w:rsidR="00576FE1" w:rsidRPr="00AF5CAF" w:rsidRDefault="00576FE1" w:rsidP="00115CD6">
            <w:pPr>
              <w:spacing w:after="0" w:line="240" w:lineRule="auto"/>
              <w:rPr>
                <w:color w:val="000000"/>
                <w:sz w:val="18"/>
                <w:szCs w:val="18"/>
              </w:rPr>
            </w:pPr>
            <w:r w:rsidRPr="00AF5CAF">
              <w:rPr>
                <w:color w:val="000000"/>
                <w:sz w:val="18"/>
                <w:szCs w:val="18"/>
              </w:rPr>
              <w:t>No</w:t>
            </w:r>
          </w:p>
        </w:tc>
        <w:tc>
          <w:tcPr>
            <w:tcW w:w="891" w:type="pct"/>
            <w:noWrap/>
            <w:vAlign w:val="bottom"/>
            <w:hideMark/>
          </w:tcPr>
          <w:p w14:paraId="2BFAFB4B"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288 (59.3)</w:t>
            </w:r>
          </w:p>
        </w:tc>
        <w:tc>
          <w:tcPr>
            <w:tcW w:w="894" w:type="pct"/>
            <w:noWrap/>
            <w:vAlign w:val="bottom"/>
            <w:hideMark/>
          </w:tcPr>
          <w:p w14:paraId="56872484"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279 (59.6)</w:t>
            </w:r>
          </w:p>
        </w:tc>
        <w:tc>
          <w:tcPr>
            <w:tcW w:w="896" w:type="pct"/>
            <w:noWrap/>
            <w:vAlign w:val="bottom"/>
            <w:hideMark/>
          </w:tcPr>
          <w:p w14:paraId="1990C59B" w14:textId="77777777" w:rsidR="00576FE1" w:rsidRPr="00AF5CAF" w:rsidRDefault="00576FE1" w:rsidP="00115CD6">
            <w:pPr>
              <w:spacing w:after="0" w:line="240" w:lineRule="auto"/>
              <w:jc w:val="center"/>
              <w:rPr>
                <w:color w:val="000000"/>
                <w:sz w:val="18"/>
                <w:szCs w:val="18"/>
              </w:rPr>
            </w:pPr>
            <w:r w:rsidRPr="00AF5CAF">
              <w:rPr>
                <w:color w:val="000000"/>
                <w:sz w:val="18"/>
                <w:szCs w:val="18"/>
              </w:rPr>
              <w:t>9 (50)</w:t>
            </w:r>
          </w:p>
        </w:tc>
        <w:tc>
          <w:tcPr>
            <w:tcW w:w="521" w:type="pct"/>
            <w:noWrap/>
            <w:vAlign w:val="bottom"/>
            <w:hideMark/>
          </w:tcPr>
          <w:p w14:paraId="61F98321"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0.415</w:t>
            </w:r>
          </w:p>
        </w:tc>
      </w:tr>
      <w:tr w:rsidR="00576FE1" w:rsidRPr="00AF5CAF" w14:paraId="0C1BD7DA" w14:textId="77777777" w:rsidTr="00B37149">
        <w:trPr>
          <w:trHeight w:val="302"/>
        </w:trPr>
        <w:tc>
          <w:tcPr>
            <w:tcW w:w="1520" w:type="pct"/>
            <w:noWrap/>
            <w:vAlign w:val="bottom"/>
            <w:hideMark/>
          </w:tcPr>
          <w:p w14:paraId="763E7B59" w14:textId="77777777" w:rsidR="00576FE1" w:rsidRPr="00AF5CAF" w:rsidRDefault="00576FE1" w:rsidP="00115CD6">
            <w:pPr>
              <w:spacing w:after="0" w:line="240" w:lineRule="auto"/>
              <w:rPr>
                <w:color w:val="000000"/>
                <w:sz w:val="18"/>
                <w:szCs w:val="18"/>
              </w:rPr>
            </w:pPr>
          </w:p>
        </w:tc>
        <w:tc>
          <w:tcPr>
            <w:tcW w:w="278" w:type="pct"/>
            <w:noWrap/>
            <w:vAlign w:val="bottom"/>
            <w:hideMark/>
          </w:tcPr>
          <w:p w14:paraId="560EE949" w14:textId="77777777" w:rsidR="00576FE1" w:rsidRPr="00AF5CAF" w:rsidRDefault="00576FE1" w:rsidP="00115CD6">
            <w:pPr>
              <w:spacing w:after="0" w:line="240" w:lineRule="auto"/>
              <w:rPr>
                <w:color w:val="000000"/>
                <w:sz w:val="18"/>
                <w:szCs w:val="18"/>
              </w:rPr>
            </w:pPr>
            <w:r w:rsidRPr="00AF5CAF">
              <w:rPr>
                <w:color w:val="000000"/>
                <w:sz w:val="18"/>
                <w:szCs w:val="18"/>
              </w:rPr>
              <w:t>Yes</w:t>
            </w:r>
          </w:p>
        </w:tc>
        <w:tc>
          <w:tcPr>
            <w:tcW w:w="891" w:type="pct"/>
            <w:noWrap/>
            <w:vAlign w:val="bottom"/>
            <w:hideMark/>
          </w:tcPr>
          <w:p w14:paraId="15187B5A" w14:textId="77777777" w:rsidR="00576FE1" w:rsidRPr="00AF5CAF" w:rsidRDefault="00576FE1" w:rsidP="00115CD6">
            <w:pPr>
              <w:spacing w:after="0" w:line="240" w:lineRule="auto"/>
              <w:jc w:val="center"/>
              <w:rPr>
                <w:color w:val="000000"/>
                <w:sz w:val="18"/>
                <w:szCs w:val="18"/>
              </w:rPr>
            </w:pPr>
            <w:r w:rsidRPr="00AF5CAF">
              <w:rPr>
                <w:color w:val="000000"/>
                <w:sz w:val="18"/>
                <w:szCs w:val="18"/>
              </w:rPr>
              <w:t>198 (40.7)</w:t>
            </w:r>
          </w:p>
        </w:tc>
        <w:tc>
          <w:tcPr>
            <w:tcW w:w="894" w:type="pct"/>
            <w:noWrap/>
            <w:vAlign w:val="bottom"/>
            <w:hideMark/>
          </w:tcPr>
          <w:p w14:paraId="6740D966" w14:textId="77777777" w:rsidR="00576FE1" w:rsidRPr="00AF5CAF" w:rsidRDefault="00576FE1" w:rsidP="00115CD6">
            <w:pPr>
              <w:spacing w:after="0" w:line="240" w:lineRule="auto"/>
              <w:jc w:val="center"/>
              <w:rPr>
                <w:color w:val="000000"/>
                <w:sz w:val="18"/>
                <w:szCs w:val="18"/>
              </w:rPr>
            </w:pPr>
            <w:r w:rsidRPr="00AF5CAF">
              <w:rPr>
                <w:color w:val="000000"/>
                <w:sz w:val="18"/>
                <w:szCs w:val="18"/>
              </w:rPr>
              <w:t>189 (40.4)</w:t>
            </w:r>
          </w:p>
        </w:tc>
        <w:tc>
          <w:tcPr>
            <w:tcW w:w="896" w:type="pct"/>
            <w:noWrap/>
            <w:vAlign w:val="bottom"/>
            <w:hideMark/>
          </w:tcPr>
          <w:p w14:paraId="3DE1169D" w14:textId="77777777" w:rsidR="00576FE1" w:rsidRPr="00AF5CAF" w:rsidRDefault="00576FE1" w:rsidP="00115CD6">
            <w:pPr>
              <w:spacing w:after="0" w:line="240" w:lineRule="auto"/>
              <w:jc w:val="center"/>
              <w:rPr>
                <w:color w:val="000000"/>
                <w:sz w:val="18"/>
                <w:szCs w:val="18"/>
              </w:rPr>
            </w:pPr>
            <w:r w:rsidRPr="00AF5CAF">
              <w:rPr>
                <w:color w:val="000000"/>
                <w:sz w:val="18"/>
                <w:szCs w:val="18"/>
              </w:rPr>
              <w:t>9 (50)</w:t>
            </w:r>
          </w:p>
        </w:tc>
        <w:tc>
          <w:tcPr>
            <w:tcW w:w="521" w:type="pct"/>
            <w:noWrap/>
            <w:vAlign w:val="bottom"/>
            <w:hideMark/>
          </w:tcPr>
          <w:p w14:paraId="7F2D68D6" w14:textId="77777777" w:rsidR="00576FE1" w:rsidRPr="00AF5CAF" w:rsidRDefault="00576FE1" w:rsidP="00115CD6">
            <w:pPr>
              <w:spacing w:after="0" w:line="240" w:lineRule="auto"/>
              <w:rPr>
                <w:color w:val="000000"/>
                <w:sz w:val="18"/>
                <w:szCs w:val="18"/>
              </w:rPr>
            </w:pPr>
          </w:p>
        </w:tc>
      </w:tr>
      <w:tr w:rsidR="00576FE1" w:rsidRPr="00AF5CAF" w14:paraId="70D89290" w14:textId="77777777" w:rsidTr="00B37149">
        <w:trPr>
          <w:trHeight w:val="302"/>
        </w:trPr>
        <w:tc>
          <w:tcPr>
            <w:tcW w:w="1520" w:type="pct"/>
            <w:noWrap/>
            <w:vAlign w:val="bottom"/>
            <w:hideMark/>
          </w:tcPr>
          <w:p w14:paraId="23346E49" w14:textId="77777777" w:rsidR="00576FE1" w:rsidRPr="00AF5CAF" w:rsidRDefault="00576FE1" w:rsidP="00115CD6">
            <w:pPr>
              <w:spacing w:after="0" w:line="240" w:lineRule="auto"/>
              <w:rPr>
                <w:color w:val="000000"/>
                <w:sz w:val="18"/>
                <w:szCs w:val="18"/>
              </w:rPr>
            </w:pPr>
            <w:r w:rsidRPr="00AF5CAF">
              <w:rPr>
                <w:color w:val="000000"/>
                <w:sz w:val="18"/>
                <w:szCs w:val="18"/>
              </w:rPr>
              <w:t>Visceral</w:t>
            </w:r>
          </w:p>
        </w:tc>
        <w:tc>
          <w:tcPr>
            <w:tcW w:w="278" w:type="pct"/>
            <w:noWrap/>
            <w:vAlign w:val="bottom"/>
            <w:hideMark/>
          </w:tcPr>
          <w:p w14:paraId="2D77A0D1" w14:textId="77777777" w:rsidR="00576FE1" w:rsidRPr="00AF5CAF" w:rsidRDefault="00576FE1" w:rsidP="00115CD6">
            <w:pPr>
              <w:spacing w:after="0" w:line="240" w:lineRule="auto"/>
              <w:rPr>
                <w:color w:val="000000"/>
                <w:sz w:val="18"/>
                <w:szCs w:val="18"/>
              </w:rPr>
            </w:pPr>
            <w:r w:rsidRPr="00AF5CAF">
              <w:rPr>
                <w:color w:val="000000"/>
                <w:sz w:val="18"/>
                <w:szCs w:val="18"/>
              </w:rPr>
              <w:t>No</w:t>
            </w:r>
          </w:p>
        </w:tc>
        <w:tc>
          <w:tcPr>
            <w:tcW w:w="891" w:type="pct"/>
            <w:noWrap/>
            <w:vAlign w:val="bottom"/>
            <w:hideMark/>
          </w:tcPr>
          <w:p w14:paraId="6161318A"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253 (52.1)</w:t>
            </w:r>
          </w:p>
        </w:tc>
        <w:tc>
          <w:tcPr>
            <w:tcW w:w="894" w:type="pct"/>
            <w:noWrap/>
            <w:vAlign w:val="bottom"/>
            <w:hideMark/>
          </w:tcPr>
          <w:p w14:paraId="68B65D23"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245 (52.4)</w:t>
            </w:r>
          </w:p>
        </w:tc>
        <w:tc>
          <w:tcPr>
            <w:tcW w:w="896" w:type="pct"/>
            <w:noWrap/>
            <w:vAlign w:val="bottom"/>
            <w:hideMark/>
          </w:tcPr>
          <w:p w14:paraId="371FF809" w14:textId="77777777" w:rsidR="00576FE1" w:rsidRPr="00AF5CAF" w:rsidRDefault="00576FE1" w:rsidP="00115CD6">
            <w:pPr>
              <w:spacing w:after="0" w:line="240" w:lineRule="auto"/>
              <w:jc w:val="center"/>
              <w:rPr>
                <w:color w:val="000000"/>
                <w:sz w:val="18"/>
                <w:szCs w:val="18"/>
              </w:rPr>
            </w:pPr>
            <w:r w:rsidRPr="00AF5CAF">
              <w:rPr>
                <w:color w:val="000000"/>
                <w:sz w:val="18"/>
                <w:szCs w:val="18"/>
              </w:rPr>
              <w:t>8 (44.4)</w:t>
            </w:r>
          </w:p>
        </w:tc>
        <w:tc>
          <w:tcPr>
            <w:tcW w:w="521" w:type="pct"/>
            <w:noWrap/>
            <w:vAlign w:val="bottom"/>
            <w:hideMark/>
          </w:tcPr>
          <w:p w14:paraId="607B2F75"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0.51</w:t>
            </w:r>
          </w:p>
        </w:tc>
      </w:tr>
      <w:tr w:rsidR="00576FE1" w:rsidRPr="00AF5CAF" w14:paraId="367194D8" w14:textId="77777777" w:rsidTr="00B37149">
        <w:trPr>
          <w:trHeight w:val="302"/>
        </w:trPr>
        <w:tc>
          <w:tcPr>
            <w:tcW w:w="1520" w:type="pct"/>
            <w:noWrap/>
            <w:vAlign w:val="bottom"/>
            <w:hideMark/>
          </w:tcPr>
          <w:p w14:paraId="3F7B9034" w14:textId="77777777" w:rsidR="00576FE1" w:rsidRPr="00AF5CAF" w:rsidRDefault="00576FE1" w:rsidP="00115CD6">
            <w:pPr>
              <w:spacing w:after="0" w:line="240" w:lineRule="auto"/>
              <w:rPr>
                <w:color w:val="000000"/>
                <w:sz w:val="18"/>
                <w:szCs w:val="18"/>
              </w:rPr>
            </w:pPr>
          </w:p>
        </w:tc>
        <w:tc>
          <w:tcPr>
            <w:tcW w:w="278" w:type="pct"/>
            <w:noWrap/>
            <w:vAlign w:val="bottom"/>
            <w:hideMark/>
          </w:tcPr>
          <w:p w14:paraId="0257F855" w14:textId="77777777" w:rsidR="00576FE1" w:rsidRPr="00AF5CAF" w:rsidRDefault="00576FE1" w:rsidP="00115CD6">
            <w:pPr>
              <w:spacing w:after="0" w:line="240" w:lineRule="auto"/>
              <w:rPr>
                <w:color w:val="000000"/>
                <w:sz w:val="18"/>
                <w:szCs w:val="18"/>
              </w:rPr>
            </w:pPr>
            <w:r w:rsidRPr="00AF5CAF">
              <w:rPr>
                <w:color w:val="000000"/>
                <w:sz w:val="18"/>
                <w:szCs w:val="18"/>
              </w:rPr>
              <w:t>Yes</w:t>
            </w:r>
          </w:p>
        </w:tc>
        <w:tc>
          <w:tcPr>
            <w:tcW w:w="891" w:type="pct"/>
            <w:noWrap/>
            <w:vAlign w:val="bottom"/>
            <w:hideMark/>
          </w:tcPr>
          <w:p w14:paraId="03DE7567"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233 (47.9)</w:t>
            </w:r>
          </w:p>
        </w:tc>
        <w:tc>
          <w:tcPr>
            <w:tcW w:w="894" w:type="pct"/>
            <w:noWrap/>
            <w:vAlign w:val="bottom"/>
            <w:hideMark/>
          </w:tcPr>
          <w:p w14:paraId="084A9D75"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223 (47.6)</w:t>
            </w:r>
          </w:p>
        </w:tc>
        <w:tc>
          <w:tcPr>
            <w:tcW w:w="896" w:type="pct"/>
            <w:noWrap/>
            <w:vAlign w:val="bottom"/>
            <w:hideMark/>
          </w:tcPr>
          <w:p w14:paraId="31873BFB" w14:textId="77777777" w:rsidR="00576FE1" w:rsidRPr="00AF5CAF" w:rsidRDefault="00576FE1" w:rsidP="00115CD6">
            <w:pPr>
              <w:spacing w:after="0" w:line="240" w:lineRule="auto"/>
              <w:jc w:val="center"/>
              <w:rPr>
                <w:color w:val="000000"/>
                <w:sz w:val="18"/>
                <w:szCs w:val="18"/>
              </w:rPr>
            </w:pPr>
            <w:r w:rsidRPr="00AF5CAF">
              <w:rPr>
                <w:color w:val="000000"/>
                <w:sz w:val="18"/>
                <w:szCs w:val="18"/>
              </w:rPr>
              <w:t>10 (55.6)</w:t>
            </w:r>
          </w:p>
        </w:tc>
        <w:tc>
          <w:tcPr>
            <w:tcW w:w="521" w:type="pct"/>
            <w:noWrap/>
            <w:vAlign w:val="bottom"/>
            <w:hideMark/>
          </w:tcPr>
          <w:p w14:paraId="2C14D664" w14:textId="77777777" w:rsidR="00576FE1" w:rsidRPr="00AF5CAF" w:rsidRDefault="00576FE1" w:rsidP="00115CD6">
            <w:pPr>
              <w:spacing w:after="0" w:line="240" w:lineRule="auto"/>
              <w:rPr>
                <w:color w:val="000000"/>
                <w:sz w:val="18"/>
                <w:szCs w:val="18"/>
              </w:rPr>
            </w:pPr>
          </w:p>
        </w:tc>
      </w:tr>
      <w:tr w:rsidR="00576FE1" w:rsidRPr="00AF5CAF" w14:paraId="7A07AE3D" w14:textId="77777777" w:rsidTr="00B37149">
        <w:trPr>
          <w:trHeight w:val="302"/>
        </w:trPr>
        <w:tc>
          <w:tcPr>
            <w:tcW w:w="1520" w:type="pct"/>
            <w:noWrap/>
            <w:vAlign w:val="bottom"/>
            <w:hideMark/>
          </w:tcPr>
          <w:p w14:paraId="3E67E621" w14:textId="77777777" w:rsidR="00576FE1" w:rsidRPr="00AF5CAF" w:rsidRDefault="00576FE1" w:rsidP="00115CD6">
            <w:pPr>
              <w:spacing w:after="0" w:line="240" w:lineRule="auto"/>
              <w:rPr>
                <w:color w:val="000000"/>
                <w:sz w:val="18"/>
                <w:szCs w:val="18"/>
              </w:rPr>
            </w:pPr>
            <w:r w:rsidRPr="00AF5CAF">
              <w:rPr>
                <w:color w:val="000000"/>
                <w:sz w:val="18"/>
                <w:szCs w:val="18"/>
              </w:rPr>
              <w:t>Organs</w:t>
            </w:r>
          </w:p>
        </w:tc>
        <w:tc>
          <w:tcPr>
            <w:tcW w:w="278" w:type="pct"/>
            <w:noWrap/>
            <w:vAlign w:val="bottom"/>
            <w:hideMark/>
          </w:tcPr>
          <w:p w14:paraId="32F45AA7" w14:textId="77777777" w:rsidR="00576FE1" w:rsidRPr="00AF5CAF" w:rsidRDefault="00576FE1" w:rsidP="00115CD6">
            <w:pPr>
              <w:spacing w:after="0" w:line="240" w:lineRule="auto"/>
              <w:rPr>
                <w:color w:val="000000"/>
                <w:sz w:val="18"/>
                <w:szCs w:val="18"/>
              </w:rPr>
            </w:pPr>
            <w:r w:rsidRPr="00AF5CAF">
              <w:rPr>
                <w:color w:val="000000"/>
                <w:sz w:val="18"/>
                <w:szCs w:val="18"/>
              </w:rPr>
              <w:t>&lt;3</w:t>
            </w:r>
          </w:p>
        </w:tc>
        <w:tc>
          <w:tcPr>
            <w:tcW w:w="891" w:type="pct"/>
            <w:noWrap/>
            <w:vAlign w:val="bottom"/>
            <w:hideMark/>
          </w:tcPr>
          <w:p w14:paraId="63468A43"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274 (56.4)</w:t>
            </w:r>
          </w:p>
        </w:tc>
        <w:tc>
          <w:tcPr>
            <w:tcW w:w="894" w:type="pct"/>
            <w:noWrap/>
            <w:vAlign w:val="bottom"/>
            <w:hideMark/>
          </w:tcPr>
          <w:p w14:paraId="24332520"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261 (55.8)</w:t>
            </w:r>
          </w:p>
        </w:tc>
        <w:tc>
          <w:tcPr>
            <w:tcW w:w="896" w:type="pct"/>
            <w:noWrap/>
            <w:vAlign w:val="bottom"/>
            <w:hideMark/>
          </w:tcPr>
          <w:p w14:paraId="59240EF8" w14:textId="77777777" w:rsidR="00576FE1" w:rsidRPr="00AF5CAF" w:rsidRDefault="00576FE1" w:rsidP="00115CD6">
            <w:pPr>
              <w:spacing w:after="0" w:line="240" w:lineRule="auto"/>
              <w:jc w:val="center"/>
              <w:rPr>
                <w:color w:val="000000"/>
                <w:sz w:val="18"/>
                <w:szCs w:val="18"/>
              </w:rPr>
            </w:pPr>
            <w:r w:rsidRPr="00AF5CAF">
              <w:rPr>
                <w:color w:val="000000"/>
                <w:sz w:val="18"/>
                <w:szCs w:val="18"/>
              </w:rPr>
              <w:t>13 (72.2)</w:t>
            </w:r>
          </w:p>
        </w:tc>
        <w:tc>
          <w:tcPr>
            <w:tcW w:w="521" w:type="pct"/>
            <w:noWrap/>
            <w:vAlign w:val="bottom"/>
            <w:hideMark/>
          </w:tcPr>
          <w:p w14:paraId="575F31D5"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0.167</w:t>
            </w:r>
          </w:p>
        </w:tc>
      </w:tr>
      <w:tr w:rsidR="00576FE1" w:rsidRPr="00AF5CAF" w14:paraId="6F95153D" w14:textId="77777777" w:rsidTr="00B37149">
        <w:trPr>
          <w:trHeight w:val="314"/>
        </w:trPr>
        <w:tc>
          <w:tcPr>
            <w:tcW w:w="1520" w:type="pct"/>
            <w:noWrap/>
            <w:vAlign w:val="bottom"/>
            <w:hideMark/>
          </w:tcPr>
          <w:p w14:paraId="13B44FA7" w14:textId="77777777" w:rsidR="00576FE1" w:rsidRPr="00AF5CAF" w:rsidRDefault="00576FE1" w:rsidP="00115CD6">
            <w:pPr>
              <w:spacing w:after="0" w:line="240" w:lineRule="auto"/>
              <w:rPr>
                <w:color w:val="000000"/>
                <w:sz w:val="18"/>
                <w:szCs w:val="18"/>
              </w:rPr>
            </w:pPr>
          </w:p>
        </w:tc>
        <w:tc>
          <w:tcPr>
            <w:tcW w:w="278" w:type="pct"/>
            <w:noWrap/>
            <w:vAlign w:val="bottom"/>
            <w:hideMark/>
          </w:tcPr>
          <w:p w14:paraId="076065F4" w14:textId="77777777" w:rsidR="00576FE1" w:rsidRPr="00AF5CAF" w:rsidRDefault="00576FE1" w:rsidP="00115CD6">
            <w:pPr>
              <w:spacing w:after="0" w:line="240" w:lineRule="auto"/>
              <w:rPr>
                <w:color w:val="000000"/>
                <w:sz w:val="18"/>
                <w:szCs w:val="18"/>
              </w:rPr>
            </w:pPr>
            <w:r w:rsidRPr="00AF5CAF">
              <w:rPr>
                <w:color w:val="000000"/>
                <w:sz w:val="18"/>
                <w:szCs w:val="18"/>
              </w:rPr>
              <w:t>≥3</w:t>
            </w:r>
          </w:p>
        </w:tc>
        <w:tc>
          <w:tcPr>
            <w:tcW w:w="891" w:type="pct"/>
            <w:noWrap/>
            <w:vAlign w:val="bottom"/>
            <w:hideMark/>
          </w:tcPr>
          <w:p w14:paraId="18340288"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212 (43.6)</w:t>
            </w:r>
          </w:p>
        </w:tc>
        <w:tc>
          <w:tcPr>
            <w:tcW w:w="894" w:type="pct"/>
            <w:noWrap/>
            <w:vAlign w:val="bottom"/>
            <w:hideMark/>
          </w:tcPr>
          <w:p w14:paraId="1E51DA6C"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207 (44.2)</w:t>
            </w:r>
          </w:p>
        </w:tc>
        <w:tc>
          <w:tcPr>
            <w:tcW w:w="896" w:type="pct"/>
            <w:noWrap/>
            <w:vAlign w:val="bottom"/>
            <w:hideMark/>
          </w:tcPr>
          <w:p w14:paraId="453531DB" w14:textId="77777777" w:rsidR="00576FE1" w:rsidRPr="00AF5CAF" w:rsidRDefault="00576FE1" w:rsidP="00115CD6">
            <w:pPr>
              <w:spacing w:after="0" w:line="240" w:lineRule="auto"/>
              <w:jc w:val="center"/>
              <w:rPr>
                <w:color w:val="000000"/>
                <w:sz w:val="18"/>
                <w:szCs w:val="18"/>
              </w:rPr>
            </w:pPr>
            <w:r w:rsidRPr="00AF5CAF">
              <w:rPr>
                <w:color w:val="000000"/>
                <w:sz w:val="18"/>
                <w:szCs w:val="18"/>
              </w:rPr>
              <w:t>5 (27.8)</w:t>
            </w:r>
          </w:p>
        </w:tc>
        <w:tc>
          <w:tcPr>
            <w:tcW w:w="521" w:type="pct"/>
            <w:noWrap/>
            <w:vAlign w:val="bottom"/>
            <w:hideMark/>
          </w:tcPr>
          <w:p w14:paraId="24C6897C" w14:textId="77777777" w:rsidR="00576FE1" w:rsidRPr="00AF5CAF" w:rsidRDefault="00576FE1" w:rsidP="00115CD6">
            <w:pPr>
              <w:spacing w:after="0" w:line="240" w:lineRule="auto"/>
              <w:rPr>
                <w:color w:val="000000"/>
                <w:sz w:val="18"/>
                <w:szCs w:val="18"/>
              </w:rPr>
            </w:pPr>
          </w:p>
        </w:tc>
      </w:tr>
      <w:tr w:rsidR="00576FE1" w:rsidRPr="00AF5CAF" w14:paraId="350B7976" w14:textId="77777777" w:rsidTr="00B37149">
        <w:trPr>
          <w:trHeight w:val="302"/>
        </w:trPr>
        <w:tc>
          <w:tcPr>
            <w:tcW w:w="1520" w:type="pct"/>
            <w:noWrap/>
            <w:vAlign w:val="bottom"/>
            <w:hideMark/>
          </w:tcPr>
          <w:p w14:paraId="455CB208" w14:textId="77777777" w:rsidR="00576FE1" w:rsidRPr="00AF5CAF" w:rsidRDefault="00576FE1" w:rsidP="00115CD6">
            <w:pPr>
              <w:spacing w:after="0" w:line="240" w:lineRule="auto"/>
              <w:rPr>
                <w:color w:val="000000"/>
                <w:sz w:val="18"/>
                <w:szCs w:val="18"/>
              </w:rPr>
            </w:pPr>
            <w:r w:rsidRPr="00AF5CAF">
              <w:rPr>
                <w:color w:val="000000"/>
                <w:sz w:val="18"/>
                <w:szCs w:val="18"/>
              </w:rPr>
              <w:t>Measurable</w:t>
            </w:r>
          </w:p>
        </w:tc>
        <w:tc>
          <w:tcPr>
            <w:tcW w:w="278" w:type="pct"/>
            <w:noWrap/>
            <w:vAlign w:val="bottom"/>
            <w:hideMark/>
          </w:tcPr>
          <w:p w14:paraId="1026B3E7" w14:textId="77777777" w:rsidR="00576FE1" w:rsidRPr="00AF5CAF" w:rsidRDefault="00576FE1" w:rsidP="00115CD6">
            <w:pPr>
              <w:spacing w:after="0" w:line="240" w:lineRule="auto"/>
              <w:rPr>
                <w:color w:val="000000"/>
                <w:sz w:val="18"/>
                <w:szCs w:val="18"/>
              </w:rPr>
            </w:pPr>
            <w:r w:rsidRPr="00AF5CAF">
              <w:rPr>
                <w:color w:val="000000"/>
                <w:sz w:val="18"/>
                <w:szCs w:val="18"/>
              </w:rPr>
              <w:t>No</w:t>
            </w:r>
          </w:p>
        </w:tc>
        <w:tc>
          <w:tcPr>
            <w:tcW w:w="891" w:type="pct"/>
            <w:noWrap/>
            <w:vAlign w:val="bottom"/>
            <w:hideMark/>
          </w:tcPr>
          <w:p w14:paraId="37D053F9" w14:textId="77777777" w:rsidR="00576FE1" w:rsidRPr="00AF5CAF" w:rsidRDefault="00576FE1" w:rsidP="00115CD6">
            <w:pPr>
              <w:spacing w:after="0" w:line="240" w:lineRule="auto"/>
              <w:jc w:val="center"/>
              <w:rPr>
                <w:color w:val="000000"/>
                <w:sz w:val="18"/>
                <w:szCs w:val="18"/>
              </w:rPr>
            </w:pPr>
            <w:r w:rsidRPr="00AF5CAF">
              <w:rPr>
                <w:color w:val="000000"/>
                <w:sz w:val="18"/>
                <w:szCs w:val="18"/>
              </w:rPr>
              <w:t>110 (22.6)</w:t>
            </w:r>
          </w:p>
        </w:tc>
        <w:tc>
          <w:tcPr>
            <w:tcW w:w="894" w:type="pct"/>
            <w:noWrap/>
            <w:vAlign w:val="bottom"/>
            <w:hideMark/>
          </w:tcPr>
          <w:p w14:paraId="4E3253FE" w14:textId="77777777" w:rsidR="00576FE1" w:rsidRPr="00AF5CAF" w:rsidRDefault="00576FE1" w:rsidP="00115CD6">
            <w:pPr>
              <w:spacing w:after="0" w:line="240" w:lineRule="auto"/>
              <w:jc w:val="center"/>
              <w:rPr>
                <w:color w:val="000000"/>
                <w:sz w:val="18"/>
                <w:szCs w:val="18"/>
              </w:rPr>
            </w:pPr>
            <w:r w:rsidRPr="00AF5CAF">
              <w:rPr>
                <w:color w:val="000000"/>
                <w:sz w:val="18"/>
                <w:szCs w:val="18"/>
              </w:rPr>
              <w:t>106 (22.6)</w:t>
            </w:r>
          </w:p>
        </w:tc>
        <w:tc>
          <w:tcPr>
            <w:tcW w:w="896" w:type="pct"/>
            <w:noWrap/>
            <w:vAlign w:val="bottom"/>
            <w:hideMark/>
          </w:tcPr>
          <w:p w14:paraId="7BCD1D9F" w14:textId="77777777" w:rsidR="00576FE1" w:rsidRPr="00AF5CAF" w:rsidRDefault="00576FE1" w:rsidP="00115CD6">
            <w:pPr>
              <w:spacing w:after="0" w:line="240" w:lineRule="auto"/>
              <w:jc w:val="center"/>
              <w:rPr>
                <w:color w:val="000000"/>
                <w:sz w:val="18"/>
                <w:szCs w:val="18"/>
              </w:rPr>
            </w:pPr>
            <w:r w:rsidRPr="00AF5CAF">
              <w:rPr>
                <w:color w:val="000000"/>
                <w:sz w:val="18"/>
                <w:szCs w:val="18"/>
              </w:rPr>
              <w:t>4 (22.2)</w:t>
            </w:r>
          </w:p>
        </w:tc>
        <w:tc>
          <w:tcPr>
            <w:tcW w:w="521" w:type="pct"/>
            <w:noWrap/>
            <w:vAlign w:val="bottom"/>
            <w:hideMark/>
          </w:tcPr>
          <w:p w14:paraId="06F6619D"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0.966</w:t>
            </w:r>
          </w:p>
        </w:tc>
      </w:tr>
      <w:tr w:rsidR="00576FE1" w:rsidRPr="00AF5CAF" w14:paraId="19D9F828" w14:textId="77777777" w:rsidTr="00B37149">
        <w:trPr>
          <w:trHeight w:val="302"/>
        </w:trPr>
        <w:tc>
          <w:tcPr>
            <w:tcW w:w="1520" w:type="pct"/>
            <w:noWrap/>
            <w:vAlign w:val="bottom"/>
            <w:hideMark/>
          </w:tcPr>
          <w:p w14:paraId="143F6AE7" w14:textId="77777777" w:rsidR="00576FE1" w:rsidRPr="00AF5CAF" w:rsidRDefault="00576FE1" w:rsidP="00115CD6">
            <w:pPr>
              <w:spacing w:after="0" w:line="240" w:lineRule="auto"/>
              <w:rPr>
                <w:color w:val="000000"/>
                <w:sz w:val="18"/>
                <w:szCs w:val="18"/>
              </w:rPr>
            </w:pPr>
          </w:p>
        </w:tc>
        <w:tc>
          <w:tcPr>
            <w:tcW w:w="278" w:type="pct"/>
            <w:noWrap/>
            <w:vAlign w:val="bottom"/>
            <w:hideMark/>
          </w:tcPr>
          <w:p w14:paraId="5FF4DAE3" w14:textId="77777777" w:rsidR="00576FE1" w:rsidRPr="00AF5CAF" w:rsidRDefault="00576FE1" w:rsidP="00115CD6">
            <w:pPr>
              <w:spacing w:after="0" w:line="240" w:lineRule="auto"/>
              <w:rPr>
                <w:color w:val="000000"/>
                <w:sz w:val="18"/>
                <w:szCs w:val="18"/>
              </w:rPr>
            </w:pPr>
            <w:r w:rsidRPr="00AF5CAF">
              <w:rPr>
                <w:color w:val="000000"/>
                <w:sz w:val="18"/>
                <w:szCs w:val="18"/>
              </w:rPr>
              <w:t>Yes</w:t>
            </w:r>
          </w:p>
        </w:tc>
        <w:tc>
          <w:tcPr>
            <w:tcW w:w="891" w:type="pct"/>
            <w:noWrap/>
            <w:vAlign w:val="bottom"/>
            <w:hideMark/>
          </w:tcPr>
          <w:p w14:paraId="4F7E0E6E" w14:textId="77777777" w:rsidR="00576FE1" w:rsidRPr="00AF5CAF" w:rsidRDefault="00576FE1" w:rsidP="00115CD6">
            <w:pPr>
              <w:spacing w:after="0" w:line="240" w:lineRule="auto"/>
              <w:jc w:val="center"/>
              <w:rPr>
                <w:color w:val="000000"/>
                <w:sz w:val="18"/>
                <w:szCs w:val="18"/>
              </w:rPr>
            </w:pPr>
            <w:r w:rsidRPr="00AF5CAF">
              <w:rPr>
                <w:color w:val="000000"/>
                <w:sz w:val="18"/>
                <w:szCs w:val="18"/>
              </w:rPr>
              <w:t>376 (77.4)</w:t>
            </w:r>
          </w:p>
        </w:tc>
        <w:tc>
          <w:tcPr>
            <w:tcW w:w="894" w:type="pct"/>
            <w:noWrap/>
            <w:vAlign w:val="bottom"/>
            <w:hideMark/>
          </w:tcPr>
          <w:p w14:paraId="31FC753E" w14:textId="77777777" w:rsidR="00576FE1" w:rsidRPr="00AF5CAF" w:rsidRDefault="00576FE1" w:rsidP="00115CD6">
            <w:pPr>
              <w:spacing w:after="0" w:line="240" w:lineRule="auto"/>
              <w:jc w:val="center"/>
              <w:rPr>
                <w:color w:val="000000"/>
                <w:sz w:val="18"/>
                <w:szCs w:val="18"/>
              </w:rPr>
            </w:pPr>
            <w:r w:rsidRPr="00AF5CAF">
              <w:rPr>
                <w:color w:val="000000"/>
                <w:sz w:val="18"/>
                <w:szCs w:val="18"/>
              </w:rPr>
              <w:t>362 (77.4)</w:t>
            </w:r>
          </w:p>
        </w:tc>
        <w:tc>
          <w:tcPr>
            <w:tcW w:w="896" w:type="pct"/>
            <w:noWrap/>
            <w:vAlign w:val="bottom"/>
            <w:hideMark/>
          </w:tcPr>
          <w:p w14:paraId="3D2A98DA" w14:textId="77777777" w:rsidR="00576FE1" w:rsidRPr="00AF5CAF" w:rsidRDefault="00576FE1" w:rsidP="00115CD6">
            <w:pPr>
              <w:spacing w:after="0" w:line="240" w:lineRule="auto"/>
              <w:jc w:val="center"/>
              <w:rPr>
                <w:color w:val="000000"/>
                <w:sz w:val="18"/>
                <w:szCs w:val="18"/>
              </w:rPr>
            </w:pPr>
            <w:r w:rsidRPr="00AF5CAF">
              <w:rPr>
                <w:color w:val="000000"/>
                <w:sz w:val="18"/>
                <w:szCs w:val="18"/>
              </w:rPr>
              <w:t>14 (77.8)</w:t>
            </w:r>
          </w:p>
        </w:tc>
        <w:tc>
          <w:tcPr>
            <w:tcW w:w="521" w:type="pct"/>
            <w:noWrap/>
            <w:vAlign w:val="bottom"/>
            <w:hideMark/>
          </w:tcPr>
          <w:p w14:paraId="2636A80E" w14:textId="77777777" w:rsidR="00576FE1" w:rsidRPr="00AF5CAF" w:rsidRDefault="00576FE1" w:rsidP="00115CD6">
            <w:pPr>
              <w:spacing w:after="0" w:line="240" w:lineRule="auto"/>
              <w:rPr>
                <w:color w:val="000000"/>
                <w:sz w:val="18"/>
                <w:szCs w:val="18"/>
              </w:rPr>
            </w:pPr>
          </w:p>
        </w:tc>
      </w:tr>
      <w:tr w:rsidR="00576FE1" w:rsidRPr="00AF5CAF" w14:paraId="26D64C01" w14:textId="77777777" w:rsidTr="00B37149">
        <w:trPr>
          <w:trHeight w:val="302"/>
        </w:trPr>
        <w:tc>
          <w:tcPr>
            <w:tcW w:w="1520" w:type="pct"/>
            <w:noWrap/>
            <w:vAlign w:val="bottom"/>
            <w:hideMark/>
          </w:tcPr>
          <w:p w14:paraId="0C722C54" w14:textId="0D35D457" w:rsidR="00576FE1" w:rsidRPr="00AF5CAF" w:rsidRDefault="00576FE1" w:rsidP="00B37149">
            <w:pPr>
              <w:spacing w:after="0" w:line="240" w:lineRule="auto"/>
              <w:jc w:val="left"/>
              <w:rPr>
                <w:color w:val="000000"/>
                <w:sz w:val="18"/>
                <w:szCs w:val="18"/>
              </w:rPr>
            </w:pPr>
            <w:r w:rsidRPr="00AF5CAF">
              <w:rPr>
                <w:color w:val="000000"/>
                <w:sz w:val="18"/>
                <w:szCs w:val="18"/>
              </w:rPr>
              <w:t>Neoadjuvant</w:t>
            </w:r>
            <w:r w:rsidR="00B37149">
              <w:rPr>
                <w:color w:val="000000"/>
                <w:sz w:val="18"/>
                <w:szCs w:val="18"/>
              </w:rPr>
              <w:t xml:space="preserve"> </w:t>
            </w:r>
            <w:proofErr w:type="spellStart"/>
            <w:r w:rsidR="00B37149">
              <w:rPr>
                <w:color w:val="000000"/>
                <w:sz w:val="18"/>
                <w:szCs w:val="18"/>
              </w:rPr>
              <w:t>chemoterapy</w:t>
            </w:r>
            <w:proofErr w:type="spellEnd"/>
          </w:p>
        </w:tc>
        <w:tc>
          <w:tcPr>
            <w:tcW w:w="278" w:type="pct"/>
            <w:noWrap/>
            <w:vAlign w:val="bottom"/>
            <w:hideMark/>
          </w:tcPr>
          <w:p w14:paraId="131B47B8" w14:textId="77777777" w:rsidR="00576FE1" w:rsidRPr="00AF5CAF" w:rsidRDefault="00576FE1" w:rsidP="00115CD6">
            <w:pPr>
              <w:spacing w:after="0" w:line="240" w:lineRule="auto"/>
              <w:rPr>
                <w:color w:val="000000"/>
                <w:sz w:val="18"/>
                <w:szCs w:val="18"/>
              </w:rPr>
            </w:pPr>
          </w:p>
        </w:tc>
        <w:tc>
          <w:tcPr>
            <w:tcW w:w="891" w:type="pct"/>
            <w:noWrap/>
            <w:vAlign w:val="bottom"/>
            <w:hideMark/>
          </w:tcPr>
          <w:p w14:paraId="189B0FF9" w14:textId="77777777" w:rsidR="00576FE1" w:rsidRPr="00AF5CAF" w:rsidRDefault="00576FE1" w:rsidP="00115CD6">
            <w:pPr>
              <w:spacing w:after="0" w:line="240" w:lineRule="auto"/>
              <w:jc w:val="center"/>
              <w:rPr>
                <w:color w:val="000000"/>
                <w:sz w:val="18"/>
                <w:szCs w:val="18"/>
              </w:rPr>
            </w:pPr>
            <w:r w:rsidRPr="00AF5CAF">
              <w:rPr>
                <w:color w:val="000000"/>
                <w:sz w:val="18"/>
                <w:szCs w:val="18"/>
              </w:rPr>
              <w:t>46 (9.5)</w:t>
            </w:r>
          </w:p>
        </w:tc>
        <w:tc>
          <w:tcPr>
            <w:tcW w:w="894" w:type="pct"/>
            <w:noWrap/>
            <w:vAlign w:val="bottom"/>
            <w:hideMark/>
          </w:tcPr>
          <w:p w14:paraId="0FC08ACB" w14:textId="77777777" w:rsidR="00576FE1" w:rsidRPr="00AF5CAF" w:rsidRDefault="00576FE1" w:rsidP="00115CD6">
            <w:pPr>
              <w:spacing w:after="0" w:line="240" w:lineRule="auto"/>
              <w:jc w:val="center"/>
              <w:rPr>
                <w:color w:val="000000"/>
                <w:sz w:val="18"/>
                <w:szCs w:val="18"/>
              </w:rPr>
            </w:pPr>
            <w:r w:rsidRPr="00AF5CAF">
              <w:rPr>
                <w:color w:val="000000"/>
                <w:sz w:val="18"/>
                <w:szCs w:val="18"/>
              </w:rPr>
              <w:t>46 (9.8)</w:t>
            </w:r>
          </w:p>
        </w:tc>
        <w:tc>
          <w:tcPr>
            <w:tcW w:w="896" w:type="pct"/>
            <w:noWrap/>
            <w:vAlign w:val="bottom"/>
            <w:hideMark/>
          </w:tcPr>
          <w:p w14:paraId="68993E39"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 (0)</w:t>
            </w:r>
          </w:p>
        </w:tc>
        <w:tc>
          <w:tcPr>
            <w:tcW w:w="521" w:type="pct"/>
            <w:noWrap/>
            <w:vAlign w:val="bottom"/>
            <w:hideMark/>
          </w:tcPr>
          <w:p w14:paraId="59F4FE8D"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0.162</w:t>
            </w:r>
          </w:p>
        </w:tc>
      </w:tr>
      <w:tr w:rsidR="00576FE1" w:rsidRPr="00AF5CAF" w14:paraId="0E88127F" w14:textId="77777777" w:rsidTr="00B37149">
        <w:trPr>
          <w:trHeight w:val="302"/>
        </w:trPr>
        <w:tc>
          <w:tcPr>
            <w:tcW w:w="1520" w:type="pct"/>
            <w:noWrap/>
            <w:vAlign w:val="bottom"/>
            <w:hideMark/>
          </w:tcPr>
          <w:p w14:paraId="062E819B" w14:textId="672F67D2" w:rsidR="00576FE1" w:rsidRPr="00AF5CAF" w:rsidRDefault="00576FE1" w:rsidP="00B37149">
            <w:pPr>
              <w:spacing w:after="0" w:line="240" w:lineRule="auto"/>
              <w:jc w:val="left"/>
              <w:rPr>
                <w:color w:val="000000"/>
                <w:sz w:val="18"/>
                <w:szCs w:val="18"/>
              </w:rPr>
            </w:pPr>
            <w:r w:rsidRPr="00AF5CAF">
              <w:rPr>
                <w:color w:val="000000"/>
                <w:sz w:val="18"/>
                <w:szCs w:val="18"/>
              </w:rPr>
              <w:t>Adjuvant</w:t>
            </w:r>
            <w:r w:rsidR="00B37149">
              <w:rPr>
                <w:color w:val="000000"/>
                <w:sz w:val="18"/>
                <w:szCs w:val="18"/>
              </w:rPr>
              <w:t xml:space="preserve"> chemotherapy</w:t>
            </w:r>
          </w:p>
        </w:tc>
        <w:tc>
          <w:tcPr>
            <w:tcW w:w="278" w:type="pct"/>
            <w:noWrap/>
            <w:vAlign w:val="bottom"/>
            <w:hideMark/>
          </w:tcPr>
          <w:p w14:paraId="412ED679" w14:textId="77777777" w:rsidR="00576FE1" w:rsidRPr="00AF5CAF" w:rsidRDefault="00576FE1" w:rsidP="00115CD6">
            <w:pPr>
              <w:spacing w:after="0" w:line="240" w:lineRule="auto"/>
              <w:rPr>
                <w:color w:val="000000"/>
                <w:sz w:val="18"/>
                <w:szCs w:val="18"/>
              </w:rPr>
            </w:pPr>
          </w:p>
        </w:tc>
        <w:tc>
          <w:tcPr>
            <w:tcW w:w="891" w:type="pct"/>
            <w:noWrap/>
            <w:vAlign w:val="bottom"/>
            <w:hideMark/>
          </w:tcPr>
          <w:p w14:paraId="3CE6BE84" w14:textId="77777777" w:rsidR="00576FE1" w:rsidRPr="00AF5CAF" w:rsidRDefault="00576FE1" w:rsidP="00115CD6">
            <w:pPr>
              <w:spacing w:after="0" w:line="240" w:lineRule="auto"/>
              <w:jc w:val="center"/>
              <w:rPr>
                <w:color w:val="000000"/>
                <w:sz w:val="18"/>
                <w:szCs w:val="18"/>
              </w:rPr>
            </w:pPr>
            <w:r w:rsidRPr="00AF5CAF">
              <w:rPr>
                <w:color w:val="000000"/>
                <w:sz w:val="18"/>
                <w:szCs w:val="18"/>
              </w:rPr>
              <w:t>144 (29.6)</w:t>
            </w:r>
          </w:p>
        </w:tc>
        <w:tc>
          <w:tcPr>
            <w:tcW w:w="894" w:type="pct"/>
            <w:noWrap/>
            <w:vAlign w:val="bottom"/>
            <w:hideMark/>
          </w:tcPr>
          <w:p w14:paraId="7B27B0A1" w14:textId="77777777" w:rsidR="00576FE1" w:rsidRPr="00AF5CAF" w:rsidRDefault="00576FE1" w:rsidP="00115CD6">
            <w:pPr>
              <w:spacing w:after="0" w:line="240" w:lineRule="auto"/>
              <w:jc w:val="center"/>
              <w:rPr>
                <w:color w:val="000000"/>
                <w:sz w:val="18"/>
                <w:szCs w:val="18"/>
              </w:rPr>
            </w:pPr>
            <w:r w:rsidRPr="00AF5CAF">
              <w:rPr>
                <w:color w:val="000000"/>
                <w:sz w:val="18"/>
                <w:szCs w:val="18"/>
              </w:rPr>
              <w:t>140 (29.9)</w:t>
            </w:r>
          </w:p>
        </w:tc>
        <w:tc>
          <w:tcPr>
            <w:tcW w:w="896" w:type="pct"/>
            <w:noWrap/>
            <w:vAlign w:val="bottom"/>
            <w:hideMark/>
          </w:tcPr>
          <w:p w14:paraId="3CB01928" w14:textId="77777777" w:rsidR="00576FE1" w:rsidRPr="00AF5CAF" w:rsidRDefault="00576FE1" w:rsidP="00115CD6">
            <w:pPr>
              <w:spacing w:after="0" w:line="240" w:lineRule="auto"/>
              <w:jc w:val="center"/>
              <w:rPr>
                <w:color w:val="000000"/>
                <w:sz w:val="18"/>
                <w:szCs w:val="18"/>
              </w:rPr>
            </w:pPr>
            <w:r w:rsidRPr="00AF5CAF">
              <w:rPr>
                <w:color w:val="000000"/>
                <w:sz w:val="18"/>
                <w:szCs w:val="18"/>
              </w:rPr>
              <w:t>4 (22.2)</w:t>
            </w:r>
          </w:p>
        </w:tc>
        <w:tc>
          <w:tcPr>
            <w:tcW w:w="521" w:type="pct"/>
            <w:noWrap/>
            <w:vAlign w:val="bottom"/>
            <w:hideMark/>
          </w:tcPr>
          <w:p w14:paraId="4AC1F95C"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0.483</w:t>
            </w:r>
          </w:p>
        </w:tc>
      </w:tr>
      <w:tr w:rsidR="00576FE1" w:rsidRPr="00AF5CAF" w14:paraId="0125354C" w14:textId="77777777" w:rsidTr="00B37149">
        <w:trPr>
          <w:trHeight w:val="302"/>
        </w:trPr>
        <w:tc>
          <w:tcPr>
            <w:tcW w:w="1520" w:type="pct"/>
            <w:noWrap/>
            <w:vAlign w:val="bottom"/>
            <w:hideMark/>
          </w:tcPr>
          <w:p w14:paraId="2518275F" w14:textId="363833B1" w:rsidR="00576FE1" w:rsidRPr="00AF5CAF" w:rsidRDefault="00AC3842" w:rsidP="00B37149">
            <w:pPr>
              <w:spacing w:after="0" w:line="240" w:lineRule="auto"/>
              <w:jc w:val="left"/>
              <w:rPr>
                <w:color w:val="000000"/>
                <w:sz w:val="18"/>
                <w:szCs w:val="18"/>
              </w:rPr>
            </w:pPr>
            <w:r>
              <w:rPr>
                <w:color w:val="000000"/>
                <w:sz w:val="18"/>
                <w:szCs w:val="18"/>
              </w:rPr>
              <w:t>T</w:t>
            </w:r>
            <w:r w:rsidR="00B37149">
              <w:rPr>
                <w:color w:val="000000"/>
                <w:sz w:val="18"/>
                <w:szCs w:val="18"/>
              </w:rPr>
              <w:t>amoxifen</w:t>
            </w:r>
          </w:p>
        </w:tc>
        <w:tc>
          <w:tcPr>
            <w:tcW w:w="278" w:type="pct"/>
            <w:noWrap/>
            <w:vAlign w:val="bottom"/>
            <w:hideMark/>
          </w:tcPr>
          <w:p w14:paraId="2AAB2195" w14:textId="77777777" w:rsidR="00576FE1" w:rsidRPr="00AF5CAF" w:rsidRDefault="00576FE1" w:rsidP="00115CD6">
            <w:pPr>
              <w:spacing w:after="0" w:line="240" w:lineRule="auto"/>
              <w:rPr>
                <w:color w:val="000000"/>
                <w:sz w:val="18"/>
                <w:szCs w:val="18"/>
              </w:rPr>
            </w:pPr>
          </w:p>
        </w:tc>
        <w:tc>
          <w:tcPr>
            <w:tcW w:w="891" w:type="pct"/>
            <w:noWrap/>
            <w:vAlign w:val="bottom"/>
            <w:hideMark/>
          </w:tcPr>
          <w:p w14:paraId="02342235" w14:textId="77777777" w:rsidR="00576FE1" w:rsidRPr="00AF5CAF" w:rsidRDefault="00576FE1" w:rsidP="00115CD6">
            <w:pPr>
              <w:spacing w:after="0" w:line="240" w:lineRule="auto"/>
              <w:jc w:val="center"/>
              <w:rPr>
                <w:color w:val="000000"/>
                <w:sz w:val="18"/>
                <w:szCs w:val="18"/>
              </w:rPr>
            </w:pPr>
            <w:r w:rsidRPr="00AF5CAF">
              <w:rPr>
                <w:color w:val="000000"/>
                <w:sz w:val="18"/>
                <w:szCs w:val="18"/>
              </w:rPr>
              <w:t>177 (36.4)</w:t>
            </w:r>
          </w:p>
        </w:tc>
        <w:tc>
          <w:tcPr>
            <w:tcW w:w="894" w:type="pct"/>
            <w:noWrap/>
            <w:vAlign w:val="bottom"/>
            <w:hideMark/>
          </w:tcPr>
          <w:p w14:paraId="2510ECE6" w14:textId="77777777" w:rsidR="00576FE1" w:rsidRPr="00AF5CAF" w:rsidRDefault="00576FE1" w:rsidP="00115CD6">
            <w:pPr>
              <w:spacing w:after="0" w:line="240" w:lineRule="auto"/>
              <w:jc w:val="center"/>
              <w:rPr>
                <w:color w:val="000000"/>
                <w:sz w:val="18"/>
                <w:szCs w:val="18"/>
              </w:rPr>
            </w:pPr>
            <w:r w:rsidRPr="00AF5CAF">
              <w:rPr>
                <w:color w:val="000000"/>
                <w:sz w:val="18"/>
                <w:szCs w:val="18"/>
              </w:rPr>
              <w:t>171 (36.5)</w:t>
            </w:r>
          </w:p>
        </w:tc>
        <w:tc>
          <w:tcPr>
            <w:tcW w:w="896" w:type="pct"/>
            <w:noWrap/>
            <w:vAlign w:val="bottom"/>
            <w:hideMark/>
          </w:tcPr>
          <w:p w14:paraId="155CFC64" w14:textId="77777777" w:rsidR="00576FE1" w:rsidRPr="00AF5CAF" w:rsidRDefault="00576FE1" w:rsidP="00115CD6">
            <w:pPr>
              <w:spacing w:after="0" w:line="240" w:lineRule="auto"/>
              <w:jc w:val="center"/>
              <w:rPr>
                <w:color w:val="000000"/>
                <w:sz w:val="18"/>
                <w:szCs w:val="18"/>
              </w:rPr>
            </w:pPr>
            <w:r w:rsidRPr="00AF5CAF">
              <w:rPr>
                <w:color w:val="000000"/>
                <w:sz w:val="18"/>
                <w:szCs w:val="18"/>
              </w:rPr>
              <w:t>6 (33.3)</w:t>
            </w:r>
          </w:p>
        </w:tc>
        <w:tc>
          <w:tcPr>
            <w:tcW w:w="521" w:type="pct"/>
            <w:noWrap/>
            <w:vAlign w:val="bottom"/>
            <w:hideMark/>
          </w:tcPr>
          <w:p w14:paraId="2B4B41BA"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0.782</w:t>
            </w:r>
          </w:p>
        </w:tc>
      </w:tr>
      <w:tr w:rsidR="00576FE1" w:rsidRPr="00AF5CAF" w14:paraId="0D7AB004" w14:textId="77777777" w:rsidTr="00B37149">
        <w:trPr>
          <w:trHeight w:val="302"/>
        </w:trPr>
        <w:tc>
          <w:tcPr>
            <w:tcW w:w="1520" w:type="pct"/>
            <w:noWrap/>
            <w:vAlign w:val="bottom"/>
            <w:hideMark/>
          </w:tcPr>
          <w:p w14:paraId="0B7A44FB" w14:textId="55B11ECC" w:rsidR="00576FE1" w:rsidRPr="00AF5CAF" w:rsidRDefault="00576FE1" w:rsidP="00B37149">
            <w:pPr>
              <w:spacing w:after="0" w:line="240" w:lineRule="auto"/>
              <w:jc w:val="left"/>
              <w:rPr>
                <w:color w:val="000000"/>
                <w:sz w:val="18"/>
                <w:szCs w:val="18"/>
              </w:rPr>
            </w:pPr>
            <w:r w:rsidRPr="00AF5CAF">
              <w:rPr>
                <w:color w:val="000000"/>
                <w:sz w:val="18"/>
                <w:szCs w:val="18"/>
              </w:rPr>
              <w:t>Aromatase inhibitors</w:t>
            </w:r>
          </w:p>
        </w:tc>
        <w:tc>
          <w:tcPr>
            <w:tcW w:w="278" w:type="pct"/>
            <w:noWrap/>
            <w:vAlign w:val="bottom"/>
            <w:hideMark/>
          </w:tcPr>
          <w:p w14:paraId="6CB516A4" w14:textId="77777777" w:rsidR="00576FE1" w:rsidRPr="00AF5CAF" w:rsidRDefault="00576FE1" w:rsidP="00115CD6">
            <w:pPr>
              <w:spacing w:after="0" w:line="240" w:lineRule="auto"/>
              <w:rPr>
                <w:color w:val="000000"/>
                <w:sz w:val="18"/>
                <w:szCs w:val="18"/>
              </w:rPr>
            </w:pPr>
          </w:p>
        </w:tc>
        <w:tc>
          <w:tcPr>
            <w:tcW w:w="891" w:type="pct"/>
            <w:noWrap/>
            <w:vAlign w:val="bottom"/>
            <w:hideMark/>
          </w:tcPr>
          <w:p w14:paraId="7A328587" w14:textId="77777777" w:rsidR="00576FE1" w:rsidRPr="00AF5CAF" w:rsidRDefault="00576FE1" w:rsidP="00115CD6">
            <w:pPr>
              <w:spacing w:after="0" w:line="240" w:lineRule="auto"/>
              <w:jc w:val="center"/>
              <w:rPr>
                <w:color w:val="000000"/>
                <w:sz w:val="18"/>
                <w:szCs w:val="18"/>
              </w:rPr>
            </w:pPr>
            <w:r w:rsidRPr="00AF5CAF">
              <w:rPr>
                <w:color w:val="000000"/>
                <w:sz w:val="18"/>
                <w:szCs w:val="18"/>
              </w:rPr>
              <w:t>115 (23.7)</w:t>
            </w:r>
          </w:p>
        </w:tc>
        <w:tc>
          <w:tcPr>
            <w:tcW w:w="894" w:type="pct"/>
            <w:noWrap/>
            <w:vAlign w:val="bottom"/>
            <w:hideMark/>
          </w:tcPr>
          <w:p w14:paraId="7F397C82" w14:textId="77777777" w:rsidR="00576FE1" w:rsidRPr="00AF5CAF" w:rsidRDefault="00576FE1" w:rsidP="00115CD6">
            <w:pPr>
              <w:spacing w:after="0" w:line="240" w:lineRule="auto"/>
              <w:jc w:val="center"/>
              <w:rPr>
                <w:color w:val="000000"/>
                <w:sz w:val="18"/>
                <w:szCs w:val="18"/>
              </w:rPr>
            </w:pPr>
            <w:r w:rsidRPr="00AF5CAF">
              <w:rPr>
                <w:color w:val="000000"/>
                <w:sz w:val="18"/>
                <w:szCs w:val="18"/>
              </w:rPr>
              <w:t>112 (23.9)</w:t>
            </w:r>
          </w:p>
        </w:tc>
        <w:tc>
          <w:tcPr>
            <w:tcW w:w="896" w:type="pct"/>
            <w:noWrap/>
            <w:vAlign w:val="bottom"/>
            <w:hideMark/>
          </w:tcPr>
          <w:p w14:paraId="5B6A79CA" w14:textId="77777777" w:rsidR="00576FE1" w:rsidRPr="00AF5CAF" w:rsidRDefault="00576FE1" w:rsidP="00115CD6">
            <w:pPr>
              <w:spacing w:after="0" w:line="240" w:lineRule="auto"/>
              <w:jc w:val="center"/>
              <w:rPr>
                <w:color w:val="000000"/>
                <w:sz w:val="18"/>
                <w:szCs w:val="18"/>
              </w:rPr>
            </w:pPr>
            <w:r w:rsidRPr="00AF5CAF">
              <w:rPr>
                <w:color w:val="000000"/>
                <w:sz w:val="18"/>
                <w:szCs w:val="18"/>
              </w:rPr>
              <w:t>3 (16.7)</w:t>
            </w:r>
          </w:p>
        </w:tc>
        <w:tc>
          <w:tcPr>
            <w:tcW w:w="521" w:type="pct"/>
            <w:noWrap/>
            <w:vAlign w:val="bottom"/>
            <w:hideMark/>
          </w:tcPr>
          <w:p w14:paraId="1ECF303F"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0.477</w:t>
            </w:r>
          </w:p>
        </w:tc>
      </w:tr>
      <w:tr w:rsidR="00576FE1" w:rsidRPr="00AF5CAF" w14:paraId="0DE22C89" w14:textId="77777777" w:rsidTr="00B37149">
        <w:trPr>
          <w:trHeight w:val="302"/>
        </w:trPr>
        <w:tc>
          <w:tcPr>
            <w:tcW w:w="1520" w:type="pct"/>
            <w:vAlign w:val="bottom"/>
            <w:hideMark/>
          </w:tcPr>
          <w:p w14:paraId="36BF35BD" w14:textId="77777777" w:rsidR="00576FE1" w:rsidRPr="00AF5CAF" w:rsidRDefault="00576FE1" w:rsidP="00115CD6">
            <w:pPr>
              <w:spacing w:after="0" w:line="240" w:lineRule="auto"/>
              <w:rPr>
                <w:color w:val="000000"/>
                <w:sz w:val="18"/>
                <w:szCs w:val="18"/>
              </w:rPr>
            </w:pPr>
            <w:r w:rsidRPr="00AF5CAF">
              <w:rPr>
                <w:color w:val="000000"/>
                <w:sz w:val="18"/>
                <w:szCs w:val="18"/>
              </w:rPr>
              <w:t xml:space="preserve">Previous antithrombotic </w:t>
            </w:r>
          </w:p>
        </w:tc>
        <w:tc>
          <w:tcPr>
            <w:tcW w:w="278" w:type="pct"/>
            <w:noWrap/>
            <w:vAlign w:val="bottom"/>
            <w:hideMark/>
          </w:tcPr>
          <w:p w14:paraId="607D548C" w14:textId="77777777" w:rsidR="00576FE1" w:rsidRPr="00AF5CAF" w:rsidRDefault="00576FE1" w:rsidP="00115CD6">
            <w:pPr>
              <w:spacing w:after="0" w:line="240" w:lineRule="auto"/>
              <w:rPr>
                <w:color w:val="000000"/>
                <w:sz w:val="18"/>
                <w:szCs w:val="18"/>
              </w:rPr>
            </w:pPr>
            <w:r w:rsidRPr="00AF5CAF">
              <w:rPr>
                <w:color w:val="000000"/>
                <w:sz w:val="18"/>
                <w:szCs w:val="18"/>
              </w:rPr>
              <w:t>No</w:t>
            </w:r>
          </w:p>
        </w:tc>
        <w:tc>
          <w:tcPr>
            <w:tcW w:w="891" w:type="pct"/>
            <w:noWrap/>
            <w:vAlign w:val="bottom"/>
            <w:hideMark/>
          </w:tcPr>
          <w:p w14:paraId="4321643D" w14:textId="77777777" w:rsidR="00576FE1" w:rsidRPr="00AF5CAF" w:rsidRDefault="00576FE1" w:rsidP="00115CD6">
            <w:pPr>
              <w:spacing w:after="0" w:line="240" w:lineRule="auto"/>
              <w:jc w:val="center"/>
              <w:rPr>
                <w:color w:val="000000"/>
                <w:sz w:val="18"/>
                <w:szCs w:val="18"/>
              </w:rPr>
            </w:pPr>
            <w:r w:rsidRPr="00AF5CAF">
              <w:rPr>
                <w:color w:val="000000"/>
                <w:sz w:val="18"/>
                <w:szCs w:val="18"/>
              </w:rPr>
              <w:t>430 (88.5)</w:t>
            </w:r>
          </w:p>
        </w:tc>
        <w:tc>
          <w:tcPr>
            <w:tcW w:w="894" w:type="pct"/>
            <w:noWrap/>
            <w:vAlign w:val="bottom"/>
            <w:hideMark/>
          </w:tcPr>
          <w:p w14:paraId="730F48C8" w14:textId="77777777" w:rsidR="00576FE1" w:rsidRPr="00AF5CAF" w:rsidRDefault="00576FE1" w:rsidP="00115CD6">
            <w:pPr>
              <w:spacing w:after="0" w:line="240" w:lineRule="auto"/>
              <w:jc w:val="center"/>
              <w:rPr>
                <w:color w:val="000000"/>
                <w:sz w:val="18"/>
                <w:szCs w:val="18"/>
              </w:rPr>
            </w:pPr>
            <w:r w:rsidRPr="00AF5CAF">
              <w:rPr>
                <w:color w:val="000000"/>
                <w:sz w:val="18"/>
                <w:szCs w:val="18"/>
              </w:rPr>
              <w:t>414 (88.5)</w:t>
            </w:r>
          </w:p>
        </w:tc>
        <w:tc>
          <w:tcPr>
            <w:tcW w:w="896" w:type="pct"/>
            <w:noWrap/>
            <w:vAlign w:val="bottom"/>
            <w:hideMark/>
          </w:tcPr>
          <w:p w14:paraId="2C680B95" w14:textId="77777777" w:rsidR="00576FE1" w:rsidRPr="00AF5CAF" w:rsidRDefault="00576FE1" w:rsidP="00115CD6">
            <w:pPr>
              <w:spacing w:after="0" w:line="240" w:lineRule="auto"/>
              <w:jc w:val="center"/>
              <w:rPr>
                <w:color w:val="000000"/>
                <w:sz w:val="18"/>
                <w:szCs w:val="18"/>
              </w:rPr>
            </w:pPr>
            <w:r w:rsidRPr="00AF5CAF">
              <w:rPr>
                <w:color w:val="000000"/>
                <w:sz w:val="18"/>
                <w:szCs w:val="18"/>
              </w:rPr>
              <w:t>16 (88.9)</w:t>
            </w:r>
          </w:p>
        </w:tc>
        <w:tc>
          <w:tcPr>
            <w:tcW w:w="521" w:type="pct"/>
            <w:noWrap/>
            <w:vAlign w:val="bottom"/>
            <w:hideMark/>
          </w:tcPr>
          <w:p w14:paraId="2E910E66"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0.53</w:t>
            </w:r>
          </w:p>
        </w:tc>
      </w:tr>
      <w:tr w:rsidR="00576FE1" w:rsidRPr="00AF5CAF" w14:paraId="0B730EE2" w14:textId="77777777" w:rsidTr="00B37149">
        <w:trPr>
          <w:trHeight w:val="302"/>
        </w:trPr>
        <w:tc>
          <w:tcPr>
            <w:tcW w:w="1520" w:type="pct"/>
            <w:noWrap/>
            <w:vAlign w:val="bottom"/>
            <w:hideMark/>
          </w:tcPr>
          <w:p w14:paraId="38D33034" w14:textId="77777777" w:rsidR="00576FE1" w:rsidRPr="00AF5CAF" w:rsidRDefault="00576FE1" w:rsidP="00115CD6">
            <w:pPr>
              <w:spacing w:after="0" w:line="240" w:lineRule="auto"/>
              <w:rPr>
                <w:color w:val="000000"/>
                <w:sz w:val="18"/>
                <w:szCs w:val="18"/>
              </w:rPr>
            </w:pPr>
          </w:p>
        </w:tc>
        <w:tc>
          <w:tcPr>
            <w:tcW w:w="278" w:type="pct"/>
            <w:noWrap/>
            <w:vAlign w:val="bottom"/>
            <w:hideMark/>
          </w:tcPr>
          <w:p w14:paraId="18ED09B8" w14:textId="77777777" w:rsidR="00576FE1" w:rsidRPr="00AF5CAF" w:rsidRDefault="00576FE1" w:rsidP="00115CD6">
            <w:pPr>
              <w:spacing w:after="0" w:line="240" w:lineRule="auto"/>
              <w:rPr>
                <w:color w:val="000000"/>
                <w:sz w:val="18"/>
                <w:szCs w:val="18"/>
              </w:rPr>
            </w:pPr>
            <w:r w:rsidRPr="00AF5CAF">
              <w:rPr>
                <w:color w:val="000000"/>
                <w:sz w:val="18"/>
                <w:szCs w:val="18"/>
              </w:rPr>
              <w:t>Yes</w:t>
            </w:r>
          </w:p>
        </w:tc>
        <w:tc>
          <w:tcPr>
            <w:tcW w:w="891" w:type="pct"/>
            <w:noWrap/>
            <w:vAlign w:val="bottom"/>
            <w:hideMark/>
          </w:tcPr>
          <w:p w14:paraId="589A8E9D" w14:textId="77777777" w:rsidR="00576FE1" w:rsidRPr="00AF5CAF" w:rsidRDefault="00576FE1" w:rsidP="00115CD6">
            <w:pPr>
              <w:spacing w:after="0" w:line="240" w:lineRule="auto"/>
              <w:jc w:val="center"/>
              <w:rPr>
                <w:color w:val="000000"/>
                <w:sz w:val="18"/>
                <w:szCs w:val="18"/>
              </w:rPr>
            </w:pPr>
            <w:r w:rsidRPr="00AF5CAF">
              <w:rPr>
                <w:color w:val="000000"/>
                <w:sz w:val="18"/>
                <w:szCs w:val="18"/>
              </w:rPr>
              <w:t>34 (7)</w:t>
            </w:r>
          </w:p>
        </w:tc>
        <w:tc>
          <w:tcPr>
            <w:tcW w:w="894" w:type="pct"/>
            <w:noWrap/>
            <w:vAlign w:val="bottom"/>
            <w:hideMark/>
          </w:tcPr>
          <w:p w14:paraId="3C5E14C5" w14:textId="77777777" w:rsidR="00576FE1" w:rsidRPr="00AF5CAF" w:rsidRDefault="00576FE1" w:rsidP="00115CD6">
            <w:pPr>
              <w:spacing w:after="0" w:line="240" w:lineRule="auto"/>
              <w:jc w:val="center"/>
              <w:rPr>
                <w:color w:val="000000"/>
                <w:sz w:val="18"/>
                <w:szCs w:val="18"/>
              </w:rPr>
            </w:pPr>
            <w:r w:rsidRPr="00AF5CAF">
              <w:rPr>
                <w:color w:val="000000"/>
                <w:sz w:val="18"/>
                <w:szCs w:val="18"/>
              </w:rPr>
              <w:t>32 (6.8)</w:t>
            </w:r>
          </w:p>
        </w:tc>
        <w:tc>
          <w:tcPr>
            <w:tcW w:w="896" w:type="pct"/>
            <w:noWrap/>
            <w:vAlign w:val="bottom"/>
            <w:hideMark/>
          </w:tcPr>
          <w:p w14:paraId="004FAD73"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 (</w:t>
            </w:r>
            <w:proofErr w:type="gramStart"/>
            <w:r w:rsidRPr="00AF5CAF">
              <w:rPr>
                <w:color w:val="000000"/>
                <w:sz w:val="18"/>
                <w:szCs w:val="18"/>
              </w:rPr>
              <w:t>11.1)*</w:t>
            </w:r>
            <w:proofErr w:type="gramEnd"/>
          </w:p>
        </w:tc>
        <w:tc>
          <w:tcPr>
            <w:tcW w:w="521" w:type="pct"/>
            <w:noWrap/>
            <w:vAlign w:val="bottom"/>
            <w:hideMark/>
          </w:tcPr>
          <w:p w14:paraId="0BBDCD20" w14:textId="77777777" w:rsidR="00576FE1" w:rsidRPr="00AF5CAF" w:rsidRDefault="00576FE1" w:rsidP="00115CD6">
            <w:pPr>
              <w:spacing w:after="0" w:line="240" w:lineRule="auto"/>
              <w:rPr>
                <w:color w:val="000000"/>
                <w:sz w:val="18"/>
                <w:szCs w:val="18"/>
              </w:rPr>
            </w:pPr>
          </w:p>
        </w:tc>
      </w:tr>
      <w:tr w:rsidR="00576FE1" w:rsidRPr="00AF5CAF" w14:paraId="7F8D86B7" w14:textId="77777777" w:rsidTr="00B37149">
        <w:trPr>
          <w:trHeight w:val="131"/>
        </w:trPr>
        <w:tc>
          <w:tcPr>
            <w:tcW w:w="1520" w:type="pct"/>
            <w:tcBorders>
              <w:bottom w:val="dotted" w:sz="4" w:space="0" w:color="auto"/>
            </w:tcBorders>
            <w:noWrap/>
            <w:vAlign w:val="bottom"/>
          </w:tcPr>
          <w:p w14:paraId="580EB62E" w14:textId="77777777" w:rsidR="00576FE1" w:rsidRPr="00AF5CAF" w:rsidRDefault="00576FE1" w:rsidP="00115CD6">
            <w:pPr>
              <w:spacing w:after="0" w:line="240" w:lineRule="auto"/>
              <w:rPr>
                <w:color w:val="000000"/>
                <w:sz w:val="6"/>
                <w:szCs w:val="6"/>
              </w:rPr>
            </w:pPr>
          </w:p>
        </w:tc>
        <w:tc>
          <w:tcPr>
            <w:tcW w:w="278" w:type="pct"/>
            <w:tcBorders>
              <w:bottom w:val="dotted" w:sz="4" w:space="0" w:color="auto"/>
            </w:tcBorders>
            <w:noWrap/>
            <w:vAlign w:val="bottom"/>
          </w:tcPr>
          <w:p w14:paraId="476FD53C" w14:textId="77777777" w:rsidR="00576FE1" w:rsidRPr="00AF5CAF" w:rsidRDefault="00576FE1" w:rsidP="00115CD6">
            <w:pPr>
              <w:spacing w:after="0" w:line="240" w:lineRule="auto"/>
              <w:rPr>
                <w:color w:val="000000"/>
                <w:sz w:val="6"/>
                <w:szCs w:val="6"/>
              </w:rPr>
            </w:pPr>
          </w:p>
        </w:tc>
        <w:tc>
          <w:tcPr>
            <w:tcW w:w="891" w:type="pct"/>
            <w:tcBorders>
              <w:bottom w:val="dotted" w:sz="4" w:space="0" w:color="auto"/>
            </w:tcBorders>
            <w:noWrap/>
            <w:vAlign w:val="bottom"/>
          </w:tcPr>
          <w:p w14:paraId="28543F88" w14:textId="77777777" w:rsidR="00576FE1" w:rsidRPr="00AF5CAF" w:rsidRDefault="00576FE1" w:rsidP="00115CD6">
            <w:pPr>
              <w:spacing w:after="0" w:line="240" w:lineRule="auto"/>
              <w:jc w:val="center"/>
              <w:rPr>
                <w:color w:val="000000"/>
                <w:sz w:val="6"/>
                <w:szCs w:val="6"/>
              </w:rPr>
            </w:pPr>
          </w:p>
        </w:tc>
        <w:tc>
          <w:tcPr>
            <w:tcW w:w="894" w:type="pct"/>
            <w:tcBorders>
              <w:bottom w:val="dotted" w:sz="4" w:space="0" w:color="auto"/>
            </w:tcBorders>
            <w:noWrap/>
            <w:vAlign w:val="bottom"/>
          </w:tcPr>
          <w:p w14:paraId="43160AFD" w14:textId="77777777" w:rsidR="00576FE1" w:rsidRPr="00AF5CAF" w:rsidRDefault="00576FE1" w:rsidP="00115CD6">
            <w:pPr>
              <w:spacing w:after="0" w:line="240" w:lineRule="auto"/>
              <w:jc w:val="center"/>
              <w:rPr>
                <w:color w:val="000000"/>
                <w:sz w:val="6"/>
                <w:szCs w:val="6"/>
              </w:rPr>
            </w:pPr>
          </w:p>
        </w:tc>
        <w:tc>
          <w:tcPr>
            <w:tcW w:w="896" w:type="pct"/>
            <w:tcBorders>
              <w:bottom w:val="dotted" w:sz="4" w:space="0" w:color="auto"/>
            </w:tcBorders>
            <w:noWrap/>
            <w:vAlign w:val="bottom"/>
          </w:tcPr>
          <w:p w14:paraId="3FB069CC" w14:textId="77777777" w:rsidR="00576FE1" w:rsidRPr="00AF5CAF" w:rsidRDefault="00576FE1" w:rsidP="00115CD6">
            <w:pPr>
              <w:spacing w:after="0" w:line="240" w:lineRule="auto"/>
              <w:jc w:val="center"/>
              <w:rPr>
                <w:color w:val="000000"/>
                <w:sz w:val="6"/>
                <w:szCs w:val="6"/>
              </w:rPr>
            </w:pPr>
          </w:p>
        </w:tc>
        <w:tc>
          <w:tcPr>
            <w:tcW w:w="521" w:type="pct"/>
            <w:tcBorders>
              <w:bottom w:val="dotted" w:sz="4" w:space="0" w:color="auto"/>
            </w:tcBorders>
            <w:noWrap/>
            <w:vAlign w:val="bottom"/>
          </w:tcPr>
          <w:p w14:paraId="6DD78170" w14:textId="77777777" w:rsidR="00576FE1" w:rsidRPr="00AF5CAF" w:rsidRDefault="00576FE1" w:rsidP="00115CD6">
            <w:pPr>
              <w:spacing w:after="0" w:line="240" w:lineRule="auto"/>
              <w:rPr>
                <w:color w:val="000000"/>
                <w:sz w:val="6"/>
                <w:szCs w:val="6"/>
              </w:rPr>
            </w:pPr>
          </w:p>
        </w:tc>
      </w:tr>
      <w:tr w:rsidR="00576FE1" w:rsidRPr="00AF5CAF" w14:paraId="6786658D" w14:textId="77777777" w:rsidTr="00B37149">
        <w:trPr>
          <w:trHeight w:val="302"/>
        </w:trPr>
        <w:tc>
          <w:tcPr>
            <w:tcW w:w="1798" w:type="pct"/>
            <w:gridSpan w:val="2"/>
            <w:tcBorders>
              <w:top w:val="dotted" w:sz="4" w:space="0" w:color="auto"/>
            </w:tcBorders>
            <w:noWrap/>
            <w:vAlign w:val="center"/>
            <w:hideMark/>
          </w:tcPr>
          <w:p w14:paraId="7376235F" w14:textId="77777777" w:rsidR="00576FE1" w:rsidRPr="00AF5CAF" w:rsidRDefault="00576FE1" w:rsidP="00115CD6">
            <w:pPr>
              <w:spacing w:after="0" w:line="240" w:lineRule="auto"/>
              <w:rPr>
                <w:b/>
                <w:bCs/>
                <w:color w:val="000000"/>
                <w:sz w:val="18"/>
                <w:szCs w:val="18"/>
              </w:rPr>
            </w:pPr>
            <w:r w:rsidRPr="00AF5CAF">
              <w:rPr>
                <w:b/>
                <w:bCs/>
                <w:color w:val="000000"/>
                <w:sz w:val="18"/>
                <w:szCs w:val="18"/>
              </w:rPr>
              <w:t>Palbociclib, median (range)</w:t>
            </w:r>
          </w:p>
        </w:tc>
        <w:tc>
          <w:tcPr>
            <w:tcW w:w="891" w:type="pct"/>
            <w:tcBorders>
              <w:top w:val="dotted" w:sz="4" w:space="0" w:color="auto"/>
            </w:tcBorders>
            <w:noWrap/>
            <w:vAlign w:val="center"/>
            <w:hideMark/>
          </w:tcPr>
          <w:p w14:paraId="1637EE52" w14:textId="77777777" w:rsidR="00576FE1" w:rsidRPr="00AF5CAF" w:rsidRDefault="00576FE1" w:rsidP="00115CD6">
            <w:pPr>
              <w:spacing w:after="0" w:line="240" w:lineRule="auto"/>
              <w:jc w:val="center"/>
              <w:rPr>
                <w:b/>
                <w:bCs/>
                <w:color w:val="000000"/>
                <w:sz w:val="18"/>
                <w:szCs w:val="18"/>
              </w:rPr>
            </w:pPr>
            <w:r w:rsidRPr="00AF5CAF">
              <w:rPr>
                <w:b/>
                <w:bCs/>
                <w:color w:val="000000"/>
                <w:sz w:val="18"/>
                <w:szCs w:val="18"/>
              </w:rPr>
              <w:t>N=483</w:t>
            </w:r>
          </w:p>
        </w:tc>
        <w:tc>
          <w:tcPr>
            <w:tcW w:w="894" w:type="pct"/>
            <w:tcBorders>
              <w:top w:val="dotted" w:sz="4" w:space="0" w:color="auto"/>
            </w:tcBorders>
            <w:noWrap/>
            <w:vAlign w:val="center"/>
            <w:hideMark/>
          </w:tcPr>
          <w:p w14:paraId="7ABE8E89" w14:textId="77777777" w:rsidR="00576FE1" w:rsidRPr="00AF5CAF" w:rsidRDefault="00576FE1" w:rsidP="00115CD6">
            <w:pPr>
              <w:spacing w:after="0" w:line="240" w:lineRule="auto"/>
              <w:jc w:val="center"/>
              <w:rPr>
                <w:b/>
                <w:bCs/>
                <w:color w:val="000000"/>
                <w:sz w:val="18"/>
                <w:szCs w:val="18"/>
              </w:rPr>
            </w:pPr>
            <w:r w:rsidRPr="00AF5CAF">
              <w:rPr>
                <w:b/>
                <w:bCs/>
                <w:color w:val="000000"/>
                <w:sz w:val="18"/>
                <w:szCs w:val="18"/>
              </w:rPr>
              <w:t>N=465</w:t>
            </w:r>
          </w:p>
        </w:tc>
        <w:tc>
          <w:tcPr>
            <w:tcW w:w="896" w:type="pct"/>
            <w:tcBorders>
              <w:top w:val="dotted" w:sz="4" w:space="0" w:color="auto"/>
            </w:tcBorders>
            <w:noWrap/>
            <w:vAlign w:val="center"/>
            <w:hideMark/>
          </w:tcPr>
          <w:p w14:paraId="7B6F1A4C" w14:textId="77777777" w:rsidR="00576FE1" w:rsidRPr="00AF5CAF" w:rsidRDefault="00576FE1" w:rsidP="00115CD6">
            <w:pPr>
              <w:spacing w:after="0" w:line="240" w:lineRule="auto"/>
              <w:jc w:val="center"/>
              <w:rPr>
                <w:b/>
                <w:bCs/>
                <w:color w:val="000000"/>
                <w:sz w:val="18"/>
                <w:szCs w:val="18"/>
              </w:rPr>
            </w:pPr>
            <w:r w:rsidRPr="00AF5CAF">
              <w:rPr>
                <w:b/>
                <w:bCs/>
                <w:color w:val="000000"/>
                <w:sz w:val="18"/>
                <w:szCs w:val="18"/>
              </w:rPr>
              <w:t>N=18</w:t>
            </w:r>
          </w:p>
        </w:tc>
        <w:tc>
          <w:tcPr>
            <w:tcW w:w="521" w:type="pct"/>
            <w:tcBorders>
              <w:top w:val="dotted" w:sz="4" w:space="0" w:color="auto"/>
            </w:tcBorders>
            <w:noWrap/>
            <w:vAlign w:val="center"/>
            <w:hideMark/>
          </w:tcPr>
          <w:p w14:paraId="7050D19D" w14:textId="77777777" w:rsidR="00576FE1" w:rsidRPr="00AF5CAF" w:rsidRDefault="00576FE1" w:rsidP="00115CD6">
            <w:pPr>
              <w:spacing w:after="0" w:line="240" w:lineRule="auto"/>
              <w:jc w:val="center"/>
              <w:rPr>
                <w:b/>
                <w:bCs/>
                <w:color w:val="000000"/>
                <w:sz w:val="18"/>
                <w:szCs w:val="18"/>
              </w:rPr>
            </w:pPr>
          </w:p>
        </w:tc>
      </w:tr>
      <w:tr w:rsidR="00576FE1" w:rsidRPr="00AF5CAF" w14:paraId="129A16D7" w14:textId="77777777" w:rsidTr="00B37149">
        <w:trPr>
          <w:trHeight w:val="302"/>
        </w:trPr>
        <w:tc>
          <w:tcPr>
            <w:tcW w:w="1798" w:type="pct"/>
            <w:gridSpan w:val="2"/>
            <w:noWrap/>
            <w:vAlign w:val="center"/>
            <w:hideMark/>
          </w:tcPr>
          <w:p w14:paraId="29F2B342" w14:textId="77777777" w:rsidR="00576FE1" w:rsidRPr="00AF5CAF" w:rsidRDefault="00576FE1" w:rsidP="00115CD6">
            <w:pPr>
              <w:spacing w:after="0" w:line="240" w:lineRule="auto"/>
              <w:rPr>
                <w:color w:val="000000"/>
                <w:sz w:val="18"/>
                <w:szCs w:val="18"/>
              </w:rPr>
            </w:pPr>
            <w:r w:rsidRPr="00AF5CAF">
              <w:rPr>
                <w:color w:val="000000"/>
                <w:sz w:val="18"/>
                <w:szCs w:val="18"/>
              </w:rPr>
              <w:t>Relative dose intensity</w:t>
            </w:r>
          </w:p>
        </w:tc>
        <w:tc>
          <w:tcPr>
            <w:tcW w:w="891" w:type="pct"/>
            <w:noWrap/>
            <w:vAlign w:val="center"/>
            <w:hideMark/>
          </w:tcPr>
          <w:p w14:paraId="5ED3A711" w14:textId="77777777" w:rsidR="00576FE1" w:rsidRPr="00AF5CAF" w:rsidRDefault="00576FE1" w:rsidP="00115CD6">
            <w:pPr>
              <w:spacing w:after="0" w:line="240" w:lineRule="auto"/>
              <w:jc w:val="center"/>
              <w:rPr>
                <w:color w:val="000000"/>
                <w:sz w:val="18"/>
                <w:szCs w:val="18"/>
              </w:rPr>
            </w:pPr>
            <w:r w:rsidRPr="00AF5CAF">
              <w:rPr>
                <w:color w:val="000000"/>
                <w:sz w:val="18"/>
                <w:szCs w:val="18"/>
              </w:rPr>
              <w:t>90.7 (</w:t>
            </w:r>
            <w:proofErr w:type="gramStart"/>
            <w:r w:rsidRPr="00AF5CAF">
              <w:rPr>
                <w:color w:val="000000"/>
                <w:sz w:val="18"/>
                <w:szCs w:val="18"/>
              </w:rPr>
              <w:t>2.5</w:t>
            </w:r>
            <w:r>
              <w:rPr>
                <w:color w:val="000000"/>
                <w:sz w:val="18"/>
                <w:szCs w:val="18"/>
              </w:rPr>
              <w:t xml:space="preserve"> ;</w:t>
            </w:r>
            <w:proofErr w:type="gramEnd"/>
            <w:r>
              <w:rPr>
                <w:color w:val="000000"/>
                <w:sz w:val="18"/>
                <w:szCs w:val="18"/>
              </w:rPr>
              <w:t xml:space="preserve"> </w:t>
            </w:r>
            <w:r w:rsidRPr="00AF5CAF">
              <w:rPr>
                <w:color w:val="000000"/>
                <w:sz w:val="18"/>
                <w:szCs w:val="18"/>
              </w:rPr>
              <w:t>117.2)</w:t>
            </w:r>
          </w:p>
        </w:tc>
        <w:tc>
          <w:tcPr>
            <w:tcW w:w="894" w:type="pct"/>
            <w:noWrap/>
            <w:vAlign w:val="center"/>
            <w:hideMark/>
          </w:tcPr>
          <w:p w14:paraId="78BD2AF0" w14:textId="77777777" w:rsidR="00576FE1" w:rsidRPr="00AF5CAF" w:rsidRDefault="00576FE1" w:rsidP="00115CD6">
            <w:pPr>
              <w:spacing w:after="0" w:line="240" w:lineRule="auto"/>
              <w:jc w:val="center"/>
              <w:rPr>
                <w:color w:val="000000"/>
                <w:sz w:val="18"/>
                <w:szCs w:val="18"/>
              </w:rPr>
            </w:pPr>
            <w:r w:rsidRPr="00AF5CAF">
              <w:rPr>
                <w:color w:val="000000"/>
                <w:sz w:val="18"/>
                <w:szCs w:val="18"/>
              </w:rPr>
              <w:t>90.9 (</w:t>
            </w:r>
            <w:proofErr w:type="gramStart"/>
            <w:r w:rsidRPr="00AF5CAF">
              <w:rPr>
                <w:color w:val="000000"/>
                <w:sz w:val="18"/>
                <w:szCs w:val="18"/>
              </w:rPr>
              <w:t>2.5</w:t>
            </w:r>
            <w:r>
              <w:rPr>
                <w:color w:val="000000"/>
                <w:sz w:val="18"/>
                <w:szCs w:val="18"/>
              </w:rPr>
              <w:t xml:space="preserve"> ;</w:t>
            </w:r>
            <w:proofErr w:type="gramEnd"/>
            <w:r>
              <w:rPr>
                <w:color w:val="000000"/>
                <w:sz w:val="18"/>
                <w:szCs w:val="18"/>
              </w:rPr>
              <w:t xml:space="preserve"> </w:t>
            </w:r>
            <w:r w:rsidRPr="00AF5CAF">
              <w:rPr>
                <w:color w:val="000000"/>
                <w:sz w:val="18"/>
                <w:szCs w:val="18"/>
              </w:rPr>
              <w:t>117.2)</w:t>
            </w:r>
          </w:p>
        </w:tc>
        <w:tc>
          <w:tcPr>
            <w:tcW w:w="896" w:type="pct"/>
            <w:noWrap/>
            <w:vAlign w:val="center"/>
            <w:hideMark/>
          </w:tcPr>
          <w:p w14:paraId="0C252B62" w14:textId="77777777" w:rsidR="00576FE1" w:rsidRPr="00AF5CAF" w:rsidRDefault="00576FE1" w:rsidP="00115CD6">
            <w:pPr>
              <w:spacing w:after="0" w:line="240" w:lineRule="auto"/>
              <w:jc w:val="center"/>
              <w:rPr>
                <w:color w:val="000000"/>
                <w:sz w:val="18"/>
                <w:szCs w:val="18"/>
              </w:rPr>
            </w:pPr>
            <w:r w:rsidRPr="00AF5CAF">
              <w:rPr>
                <w:color w:val="000000"/>
                <w:sz w:val="18"/>
                <w:szCs w:val="18"/>
              </w:rPr>
              <w:t>85.6 (</w:t>
            </w:r>
            <w:proofErr w:type="gramStart"/>
            <w:r w:rsidRPr="00AF5CAF">
              <w:rPr>
                <w:color w:val="000000"/>
                <w:sz w:val="18"/>
                <w:szCs w:val="18"/>
              </w:rPr>
              <w:t>50.9</w:t>
            </w:r>
            <w:r>
              <w:rPr>
                <w:color w:val="000000"/>
                <w:sz w:val="18"/>
                <w:szCs w:val="18"/>
              </w:rPr>
              <w:t xml:space="preserve"> ;</w:t>
            </w:r>
            <w:proofErr w:type="gramEnd"/>
            <w:r>
              <w:rPr>
                <w:color w:val="000000"/>
                <w:sz w:val="18"/>
                <w:szCs w:val="18"/>
              </w:rPr>
              <w:t xml:space="preserve"> </w:t>
            </w:r>
            <w:r w:rsidRPr="00AF5CAF">
              <w:rPr>
                <w:color w:val="000000"/>
                <w:sz w:val="18"/>
                <w:szCs w:val="18"/>
              </w:rPr>
              <w:t>100.7)</w:t>
            </w:r>
          </w:p>
        </w:tc>
        <w:tc>
          <w:tcPr>
            <w:tcW w:w="521" w:type="pct"/>
            <w:noWrap/>
            <w:vAlign w:val="center"/>
            <w:hideMark/>
          </w:tcPr>
          <w:p w14:paraId="08FDFB30"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0.207</w:t>
            </w:r>
          </w:p>
        </w:tc>
      </w:tr>
      <w:tr w:rsidR="00576FE1" w:rsidRPr="00AF5CAF" w14:paraId="2C11A9E2" w14:textId="77777777" w:rsidTr="00B37149">
        <w:trPr>
          <w:trHeight w:val="302"/>
        </w:trPr>
        <w:tc>
          <w:tcPr>
            <w:tcW w:w="1798" w:type="pct"/>
            <w:gridSpan w:val="2"/>
            <w:noWrap/>
            <w:vAlign w:val="center"/>
            <w:hideMark/>
          </w:tcPr>
          <w:p w14:paraId="3C6AE4A3" w14:textId="77777777" w:rsidR="00576FE1" w:rsidRPr="00AF5CAF" w:rsidRDefault="00576FE1" w:rsidP="00115CD6">
            <w:pPr>
              <w:spacing w:after="0" w:line="240" w:lineRule="auto"/>
              <w:rPr>
                <w:color w:val="000000"/>
                <w:sz w:val="18"/>
                <w:szCs w:val="18"/>
              </w:rPr>
            </w:pPr>
            <w:r w:rsidRPr="00AF5CAF">
              <w:rPr>
                <w:color w:val="000000"/>
                <w:sz w:val="18"/>
                <w:szCs w:val="18"/>
              </w:rPr>
              <w:t>Treatment duration in cycles</w:t>
            </w:r>
          </w:p>
        </w:tc>
        <w:tc>
          <w:tcPr>
            <w:tcW w:w="891" w:type="pct"/>
            <w:noWrap/>
            <w:vAlign w:val="center"/>
            <w:hideMark/>
          </w:tcPr>
          <w:p w14:paraId="6BD21355"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27 (</w:t>
            </w:r>
            <w:proofErr w:type="gramStart"/>
            <w:r w:rsidRPr="00AF5CAF">
              <w:rPr>
                <w:color w:val="000000"/>
                <w:sz w:val="18"/>
                <w:szCs w:val="18"/>
              </w:rPr>
              <w:t>1</w:t>
            </w:r>
            <w:r>
              <w:rPr>
                <w:color w:val="000000"/>
                <w:sz w:val="18"/>
                <w:szCs w:val="18"/>
              </w:rPr>
              <w:t xml:space="preserve"> ;</w:t>
            </w:r>
            <w:proofErr w:type="gramEnd"/>
            <w:r>
              <w:rPr>
                <w:color w:val="000000"/>
                <w:sz w:val="18"/>
                <w:szCs w:val="18"/>
              </w:rPr>
              <w:t xml:space="preserve"> </w:t>
            </w:r>
            <w:r w:rsidRPr="00AF5CAF">
              <w:rPr>
                <w:color w:val="000000"/>
                <w:sz w:val="18"/>
                <w:szCs w:val="18"/>
              </w:rPr>
              <w:t>56)</w:t>
            </w:r>
          </w:p>
        </w:tc>
        <w:tc>
          <w:tcPr>
            <w:tcW w:w="894" w:type="pct"/>
            <w:noWrap/>
            <w:vAlign w:val="center"/>
            <w:hideMark/>
          </w:tcPr>
          <w:p w14:paraId="753CA713"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27 (</w:t>
            </w:r>
            <w:proofErr w:type="gramStart"/>
            <w:r w:rsidRPr="00AF5CAF">
              <w:rPr>
                <w:color w:val="000000"/>
                <w:sz w:val="18"/>
                <w:szCs w:val="18"/>
              </w:rPr>
              <w:t>1</w:t>
            </w:r>
            <w:r>
              <w:rPr>
                <w:color w:val="000000"/>
                <w:sz w:val="18"/>
                <w:szCs w:val="18"/>
              </w:rPr>
              <w:t xml:space="preserve"> ;</w:t>
            </w:r>
            <w:proofErr w:type="gramEnd"/>
            <w:r>
              <w:rPr>
                <w:color w:val="000000"/>
                <w:sz w:val="18"/>
                <w:szCs w:val="18"/>
              </w:rPr>
              <w:t xml:space="preserve"> </w:t>
            </w:r>
            <w:r w:rsidRPr="00AF5CAF">
              <w:rPr>
                <w:color w:val="000000"/>
                <w:sz w:val="18"/>
                <w:szCs w:val="18"/>
              </w:rPr>
              <w:t>56)</w:t>
            </w:r>
          </w:p>
        </w:tc>
        <w:tc>
          <w:tcPr>
            <w:tcW w:w="896" w:type="pct"/>
            <w:noWrap/>
            <w:vAlign w:val="center"/>
            <w:hideMark/>
          </w:tcPr>
          <w:p w14:paraId="32E28634"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24 (</w:t>
            </w:r>
            <w:proofErr w:type="gramStart"/>
            <w:r w:rsidRPr="00AF5CAF">
              <w:rPr>
                <w:color w:val="000000"/>
                <w:sz w:val="18"/>
                <w:szCs w:val="18"/>
              </w:rPr>
              <w:t>3</w:t>
            </w:r>
            <w:r>
              <w:rPr>
                <w:color w:val="000000"/>
                <w:sz w:val="18"/>
                <w:szCs w:val="18"/>
              </w:rPr>
              <w:t xml:space="preserve"> ;</w:t>
            </w:r>
            <w:proofErr w:type="gramEnd"/>
            <w:r>
              <w:rPr>
                <w:color w:val="000000"/>
                <w:sz w:val="18"/>
                <w:szCs w:val="18"/>
              </w:rPr>
              <w:t xml:space="preserve"> </w:t>
            </w:r>
            <w:r w:rsidRPr="00AF5CAF">
              <w:rPr>
                <w:color w:val="000000"/>
                <w:sz w:val="18"/>
                <w:szCs w:val="18"/>
              </w:rPr>
              <w:t>42)</w:t>
            </w:r>
          </w:p>
        </w:tc>
        <w:tc>
          <w:tcPr>
            <w:tcW w:w="521" w:type="pct"/>
            <w:noWrap/>
            <w:vAlign w:val="center"/>
            <w:hideMark/>
          </w:tcPr>
          <w:p w14:paraId="37434DEF"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0.376</w:t>
            </w:r>
          </w:p>
        </w:tc>
      </w:tr>
      <w:tr w:rsidR="00576FE1" w:rsidRPr="00AF5CAF" w14:paraId="359270AB" w14:textId="77777777" w:rsidTr="00B37149">
        <w:trPr>
          <w:trHeight w:val="302"/>
        </w:trPr>
        <w:tc>
          <w:tcPr>
            <w:tcW w:w="1798" w:type="pct"/>
            <w:gridSpan w:val="2"/>
            <w:tcBorders>
              <w:bottom w:val="dotted" w:sz="4" w:space="0" w:color="auto"/>
            </w:tcBorders>
            <w:noWrap/>
            <w:vAlign w:val="center"/>
            <w:hideMark/>
          </w:tcPr>
          <w:p w14:paraId="3CAF17B2" w14:textId="77777777" w:rsidR="00576FE1" w:rsidRPr="00AF5CAF" w:rsidRDefault="00576FE1" w:rsidP="00115CD6">
            <w:pPr>
              <w:spacing w:after="0" w:line="240" w:lineRule="auto"/>
              <w:rPr>
                <w:color w:val="000000"/>
                <w:sz w:val="18"/>
                <w:szCs w:val="18"/>
              </w:rPr>
            </w:pPr>
            <w:r w:rsidRPr="00AF5CAF">
              <w:rPr>
                <w:color w:val="000000"/>
                <w:sz w:val="18"/>
                <w:szCs w:val="18"/>
              </w:rPr>
              <w:t>Treatment duration in months</w:t>
            </w:r>
          </w:p>
        </w:tc>
        <w:tc>
          <w:tcPr>
            <w:tcW w:w="891" w:type="pct"/>
            <w:tcBorders>
              <w:bottom w:val="dotted" w:sz="4" w:space="0" w:color="auto"/>
            </w:tcBorders>
            <w:noWrap/>
            <w:vAlign w:val="center"/>
            <w:hideMark/>
          </w:tcPr>
          <w:p w14:paraId="242CE447"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25.1 (</w:t>
            </w:r>
            <w:proofErr w:type="gramStart"/>
            <w:r w:rsidRPr="00AF5CAF">
              <w:rPr>
                <w:color w:val="000000"/>
                <w:sz w:val="18"/>
                <w:szCs w:val="18"/>
              </w:rPr>
              <w:t>0.5</w:t>
            </w:r>
            <w:r>
              <w:rPr>
                <w:color w:val="000000"/>
                <w:sz w:val="18"/>
                <w:szCs w:val="18"/>
              </w:rPr>
              <w:t xml:space="preserve"> ;</w:t>
            </w:r>
            <w:proofErr w:type="gramEnd"/>
            <w:r>
              <w:rPr>
                <w:color w:val="000000"/>
                <w:sz w:val="18"/>
                <w:szCs w:val="18"/>
              </w:rPr>
              <w:t xml:space="preserve"> </w:t>
            </w:r>
            <w:r w:rsidRPr="00AF5CAF">
              <w:rPr>
                <w:color w:val="000000"/>
                <w:sz w:val="18"/>
                <w:szCs w:val="18"/>
              </w:rPr>
              <w:t>52.6)</w:t>
            </w:r>
          </w:p>
        </w:tc>
        <w:tc>
          <w:tcPr>
            <w:tcW w:w="894" w:type="pct"/>
            <w:tcBorders>
              <w:bottom w:val="dotted" w:sz="4" w:space="0" w:color="auto"/>
            </w:tcBorders>
            <w:noWrap/>
            <w:vAlign w:val="center"/>
            <w:hideMark/>
          </w:tcPr>
          <w:p w14:paraId="693E3EBF"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25.3 (</w:t>
            </w:r>
            <w:proofErr w:type="gramStart"/>
            <w:r w:rsidRPr="00AF5CAF">
              <w:rPr>
                <w:color w:val="000000"/>
                <w:sz w:val="18"/>
                <w:szCs w:val="18"/>
              </w:rPr>
              <w:t>0.5</w:t>
            </w:r>
            <w:r>
              <w:rPr>
                <w:color w:val="000000"/>
                <w:sz w:val="18"/>
                <w:szCs w:val="18"/>
              </w:rPr>
              <w:t xml:space="preserve"> ;</w:t>
            </w:r>
            <w:proofErr w:type="gramEnd"/>
            <w:r>
              <w:rPr>
                <w:color w:val="000000"/>
                <w:sz w:val="18"/>
                <w:szCs w:val="18"/>
              </w:rPr>
              <w:t xml:space="preserve"> </w:t>
            </w:r>
            <w:r w:rsidRPr="00AF5CAF">
              <w:rPr>
                <w:color w:val="000000"/>
                <w:sz w:val="18"/>
                <w:szCs w:val="18"/>
              </w:rPr>
              <w:t>52.6)</w:t>
            </w:r>
          </w:p>
        </w:tc>
        <w:tc>
          <w:tcPr>
            <w:tcW w:w="896" w:type="pct"/>
            <w:tcBorders>
              <w:bottom w:val="dotted" w:sz="4" w:space="0" w:color="auto"/>
            </w:tcBorders>
            <w:noWrap/>
            <w:vAlign w:val="center"/>
            <w:hideMark/>
          </w:tcPr>
          <w:p w14:paraId="13FA261E"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22.3 (</w:t>
            </w:r>
            <w:proofErr w:type="gramStart"/>
            <w:r w:rsidRPr="00AF5CAF">
              <w:rPr>
                <w:color w:val="000000"/>
                <w:sz w:val="18"/>
                <w:szCs w:val="18"/>
              </w:rPr>
              <w:t>2.5</w:t>
            </w:r>
            <w:r>
              <w:rPr>
                <w:color w:val="000000"/>
                <w:sz w:val="18"/>
                <w:szCs w:val="18"/>
              </w:rPr>
              <w:t xml:space="preserve"> ;</w:t>
            </w:r>
            <w:proofErr w:type="gramEnd"/>
            <w:r>
              <w:rPr>
                <w:color w:val="000000"/>
                <w:sz w:val="18"/>
                <w:szCs w:val="18"/>
              </w:rPr>
              <w:t xml:space="preserve"> </w:t>
            </w:r>
            <w:r w:rsidRPr="00AF5CAF">
              <w:rPr>
                <w:color w:val="000000"/>
                <w:sz w:val="18"/>
                <w:szCs w:val="18"/>
              </w:rPr>
              <w:t>38.7)</w:t>
            </w:r>
          </w:p>
        </w:tc>
        <w:tc>
          <w:tcPr>
            <w:tcW w:w="521" w:type="pct"/>
            <w:tcBorders>
              <w:bottom w:val="dotted" w:sz="4" w:space="0" w:color="auto"/>
            </w:tcBorders>
            <w:noWrap/>
            <w:vAlign w:val="center"/>
            <w:hideMark/>
          </w:tcPr>
          <w:p w14:paraId="7E95029E"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0.363</w:t>
            </w:r>
          </w:p>
        </w:tc>
      </w:tr>
      <w:tr w:rsidR="00576FE1" w:rsidRPr="00AF5CAF" w14:paraId="131D18FA" w14:textId="77777777" w:rsidTr="00B37149">
        <w:trPr>
          <w:trHeight w:val="302"/>
        </w:trPr>
        <w:tc>
          <w:tcPr>
            <w:tcW w:w="1798" w:type="pct"/>
            <w:gridSpan w:val="2"/>
            <w:tcBorders>
              <w:top w:val="dotted" w:sz="4" w:space="0" w:color="auto"/>
            </w:tcBorders>
            <w:noWrap/>
            <w:vAlign w:val="center"/>
            <w:hideMark/>
          </w:tcPr>
          <w:p w14:paraId="4DF920F8" w14:textId="77777777" w:rsidR="00576FE1" w:rsidRPr="00AF5CAF" w:rsidRDefault="00576FE1" w:rsidP="00115CD6">
            <w:pPr>
              <w:spacing w:after="0" w:line="240" w:lineRule="auto"/>
              <w:rPr>
                <w:b/>
                <w:bCs/>
                <w:color w:val="000000"/>
                <w:sz w:val="18"/>
                <w:szCs w:val="18"/>
              </w:rPr>
            </w:pPr>
            <w:proofErr w:type="spellStart"/>
            <w:r w:rsidRPr="00AF5CAF">
              <w:rPr>
                <w:b/>
                <w:bCs/>
                <w:color w:val="000000"/>
                <w:sz w:val="18"/>
                <w:szCs w:val="18"/>
              </w:rPr>
              <w:t>Fulvestrant</w:t>
            </w:r>
            <w:proofErr w:type="spellEnd"/>
            <w:r w:rsidRPr="00AF5CAF">
              <w:rPr>
                <w:b/>
                <w:bCs/>
                <w:color w:val="000000"/>
                <w:sz w:val="18"/>
                <w:szCs w:val="18"/>
              </w:rPr>
              <w:t>, median (range)</w:t>
            </w:r>
          </w:p>
        </w:tc>
        <w:tc>
          <w:tcPr>
            <w:tcW w:w="891" w:type="pct"/>
            <w:tcBorders>
              <w:top w:val="dotted" w:sz="4" w:space="0" w:color="auto"/>
            </w:tcBorders>
            <w:noWrap/>
            <w:vAlign w:val="center"/>
            <w:hideMark/>
          </w:tcPr>
          <w:p w14:paraId="6972A38E" w14:textId="77777777" w:rsidR="00576FE1" w:rsidRPr="00AF5CAF" w:rsidRDefault="00576FE1" w:rsidP="00115CD6">
            <w:pPr>
              <w:spacing w:after="0" w:line="240" w:lineRule="auto"/>
              <w:jc w:val="center"/>
              <w:rPr>
                <w:b/>
                <w:bCs/>
                <w:color w:val="000000"/>
                <w:sz w:val="18"/>
                <w:szCs w:val="18"/>
              </w:rPr>
            </w:pPr>
            <w:r w:rsidRPr="00AF5CAF">
              <w:rPr>
                <w:b/>
                <w:bCs/>
                <w:color w:val="000000"/>
                <w:sz w:val="18"/>
                <w:szCs w:val="18"/>
              </w:rPr>
              <w:t>N=241</w:t>
            </w:r>
          </w:p>
        </w:tc>
        <w:tc>
          <w:tcPr>
            <w:tcW w:w="894" w:type="pct"/>
            <w:tcBorders>
              <w:top w:val="dotted" w:sz="4" w:space="0" w:color="auto"/>
            </w:tcBorders>
            <w:noWrap/>
            <w:vAlign w:val="center"/>
            <w:hideMark/>
          </w:tcPr>
          <w:p w14:paraId="6DF97A24" w14:textId="77777777" w:rsidR="00576FE1" w:rsidRPr="00AF5CAF" w:rsidRDefault="00576FE1" w:rsidP="00115CD6">
            <w:pPr>
              <w:spacing w:after="0" w:line="240" w:lineRule="auto"/>
              <w:jc w:val="center"/>
              <w:rPr>
                <w:b/>
                <w:bCs/>
                <w:color w:val="000000"/>
                <w:sz w:val="18"/>
                <w:szCs w:val="18"/>
              </w:rPr>
            </w:pPr>
            <w:r w:rsidRPr="00AF5CAF">
              <w:rPr>
                <w:b/>
                <w:bCs/>
                <w:color w:val="000000"/>
                <w:sz w:val="18"/>
                <w:szCs w:val="18"/>
              </w:rPr>
              <w:t>N=229</w:t>
            </w:r>
          </w:p>
        </w:tc>
        <w:tc>
          <w:tcPr>
            <w:tcW w:w="896" w:type="pct"/>
            <w:tcBorders>
              <w:top w:val="dotted" w:sz="4" w:space="0" w:color="auto"/>
            </w:tcBorders>
            <w:noWrap/>
            <w:vAlign w:val="center"/>
            <w:hideMark/>
          </w:tcPr>
          <w:p w14:paraId="16CFA513" w14:textId="77777777" w:rsidR="00576FE1" w:rsidRPr="00AF5CAF" w:rsidRDefault="00576FE1" w:rsidP="00115CD6">
            <w:pPr>
              <w:spacing w:after="0" w:line="240" w:lineRule="auto"/>
              <w:jc w:val="center"/>
              <w:rPr>
                <w:b/>
                <w:bCs/>
                <w:color w:val="000000"/>
                <w:sz w:val="18"/>
                <w:szCs w:val="18"/>
              </w:rPr>
            </w:pPr>
            <w:r w:rsidRPr="00AF5CAF">
              <w:rPr>
                <w:b/>
                <w:bCs/>
                <w:color w:val="000000"/>
                <w:sz w:val="18"/>
                <w:szCs w:val="18"/>
              </w:rPr>
              <w:t>N=12</w:t>
            </w:r>
          </w:p>
        </w:tc>
        <w:tc>
          <w:tcPr>
            <w:tcW w:w="521" w:type="pct"/>
            <w:tcBorders>
              <w:top w:val="dotted" w:sz="4" w:space="0" w:color="auto"/>
            </w:tcBorders>
            <w:noWrap/>
            <w:vAlign w:val="center"/>
            <w:hideMark/>
          </w:tcPr>
          <w:p w14:paraId="36FC9641" w14:textId="77777777" w:rsidR="00576FE1" w:rsidRPr="00AF5CAF" w:rsidRDefault="00576FE1" w:rsidP="00115CD6">
            <w:pPr>
              <w:spacing w:after="0" w:line="240" w:lineRule="auto"/>
              <w:jc w:val="center"/>
              <w:rPr>
                <w:b/>
                <w:bCs/>
                <w:color w:val="000000"/>
                <w:sz w:val="18"/>
                <w:szCs w:val="18"/>
              </w:rPr>
            </w:pPr>
          </w:p>
        </w:tc>
      </w:tr>
      <w:tr w:rsidR="00576FE1" w:rsidRPr="00AF5CAF" w14:paraId="592BA7E8" w14:textId="77777777" w:rsidTr="00B37149">
        <w:trPr>
          <w:trHeight w:val="302"/>
        </w:trPr>
        <w:tc>
          <w:tcPr>
            <w:tcW w:w="1798" w:type="pct"/>
            <w:gridSpan w:val="2"/>
            <w:noWrap/>
            <w:vAlign w:val="center"/>
            <w:hideMark/>
          </w:tcPr>
          <w:p w14:paraId="5E53EEBC" w14:textId="77777777" w:rsidR="00576FE1" w:rsidRPr="00AF5CAF" w:rsidRDefault="00576FE1" w:rsidP="00115CD6">
            <w:pPr>
              <w:spacing w:after="0" w:line="240" w:lineRule="auto"/>
              <w:rPr>
                <w:color w:val="000000"/>
                <w:sz w:val="18"/>
                <w:szCs w:val="18"/>
              </w:rPr>
            </w:pPr>
            <w:r w:rsidRPr="00AF5CAF">
              <w:rPr>
                <w:color w:val="000000"/>
                <w:sz w:val="18"/>
                <w:szCs w:val="18"/>
              </w:rPr>
              <w:t>Relative dose intensity</w:t>
            </w:r>
          </w:p>
        </w:tc>
        <w:tc>
          <w:tcPr>
            <w:tcW w:w="891" w:type="pct"/>
            <w:noWrap/>
            <w:vAlign w:val="center"/>
            <w:hideMark/>
          </w:tcPr>
          <w:p w14:paraId="54FA79D0" w14:textId="77777777" w:rsidR="00576FE1" w:rsidRPr="00AF5CAF" w:rsidRDefault="00576FE1" w:rsidP="00115CD6">
            <w:pPr>
              <w:spacing w:after="0" w:line="240" w:lineRule="auto"/>
              <w:jc w:val="center"/>
              <w:rPr>
                <w:color w:val="000000"/>
                <w:sz w:val="18"/>
                <w:szCs w:val="18"/>
              </w:rPr>
            </w:pPr>
            <w:r w:rsidRPr="00AF5CAF">
              <w:rPr>
                <w:color w:val="000000"/>
                <w:sz w:val="18"/>
                <w:szCs w:val="18"/>
              </w:rPr>
              <w:t>99.2 (</w:t>
            </w:r>
            <w:proofErr w:type="gramStart"/>
            <w:r w:rsidRPr="00AF5CAF">
              <w:rPr>
                <w:color w:val="000000"/>
                <w:sz w:val="18"/>
                <w:szCs w:val="18"/>
              </w:rPr>
              <w:t>78.8</w:t>
            </w:r>
            <w:r>
              <w:rPr>
                <w:color w:val="000000"/>
                <w:sz w:val="18"/>
                <w:szCs w:val="18"/>
              </w:rPr>
              <w:t xml:space="preserve"> ;</w:t>
            </w:r>
            <w:proofErr w:type="gramEnd"/>
            <w:r>
              <w:rPr>
                <w:color w:val="000000"/>
                <w:sz w:val="18"/>
                <w:szCs w:val="18"/>
              </w:rPr>
              <w:t xml:space="preserve"> </w:t>
            </w:r>
            <w:r w:rsidRPr="00AF5CAF">
              <w:rPr>
                <w:color w:val="000000"/>
                <w:sz w:val="18"/>
                <w:szCs w:val="18"/>
              </w:rPr>
              <w:t>105.6)</w:t>
            </w:r>
          </w:p>
        </w:tc>
        <w:tc>
          <w:tcPr>
            <w:tcW w:w="894" w:type="pct"/>
            <w:noWrap/>
            <w:vAlign w:val="center"/>
            <w:hideMark/>
          </w:tcPr>
          <w:p w14:paraId="28200066" w14:textId="77777777" w:rsidR="00576FE1" w:rsidRPr="00AF5CAF" w:rsidRDefault="00576FE1" w:rsidP="00115CD6">
            <w:pPr>
              <w:spacing w:after="0" w:line="240" w:lineRule="auto"/>
              <w:jc w:val="center"/>
              <w:rPr>
                <w:color w:val="000000"/>
                <w:sz w:val="18"/>
                <w:szCs w:val="18"/>
              </w:rPr>
            </w:pPr>
            <w:r w:rsidRPr="00AF5CAF">
              <w:rPr>
                <w:color w:val="000000"/>
                <w:sz w:val="18"/>
                <w:szCs w:val="18"/>
              </w:rPr>
              <w:t>99.2 (</w:t>
            </w:r>
            <w:proofErr w:type="gramStart"/>
            <w:r w:rsidRPr="00AF5CAF">
              <w:rPr>
                <w:color w:val="000000"/>
                <w:sz w:val="18"/>
                <w:szCs w:val="18"/>
              </w:rPr>
              <w:t>78.8</w:t>
            </w:r>
            <w:r>
              <w:rPr>
                <w:color w:val="000000"/>
                <w:sz w:val="18"/>
                <w:szCs w:val="18"/>
              </w:rPr>
              <w:t xml:space="preserve"> ;</w:t>
            </w:r>
            <w:proofErr w:type="gramEnd"/>
            <w:r>
              <w:rPr>
                <w:color w:val="000000"/>
                <w:sz w:val="18"/>
                <w:szCs w:val="18"/>
              </w:rPr>
              <w:t xml:space="preserve"> </w:t>
            </w:r>
            <w:r w:rsidRPr="00AF5CAF">
              <w:rPr>
                <w:color w:val="000000"/>
                <w:sz w:val="18"/>
                <w:szCs w:val="18"/>
              </w:rPr>
              <w:t>105.6)</w:t>
            </w:r>
          </w:p>
        </w:tc>
        <w:tc>
          <w:tcPr>
            <w:tcW w:w="896" w:type="pct"/>
            <w:noWrap/>
            <w:vAlign w:val="center"/>
            <w:hideMark/>
          </w:tcPr>
          <w:p w14:paraId="6EBC08BE" w14:textId="77777777" w:rsidR="00576FE1" w:rsidRPr="00AF5CAF" w:rsidRDefault="00576FE1" w:rsidP="00115CD6">
            <w:pPr>
              <w:spacing w:after="0" w:line="240" w:lineRule="auto"/>
              <w:jc w:val="center"/>
              <w:rPr>
                <w:color w:val="000000"/>
                <w:sz w:val="18"/>
                <w:szCs w:val="18"/>
              </w:rPr>
            </w:pPr>
            <w:r w:rsidRPr="00AF5CAF">
              <w:rPr>
                <w:color w:val="000000"/>
                <w:sz w:val="18"/>
                <w:szCs w:val="18"/>
              </w:rPr>
              <w:t>99.7 (</w:t>
            </w:r>
            <w:proofErr w:type="gramStart"/>
            <w:r w:rsidRPr="00AF5CAF">
              <w:rPr>
                <w:color w:val="000000"/>
                <w:sz w:val="18"/>
                <w:szCs w:val="18"/>
              </w:rPr>
              <w:t>90.8</w:t>
            </w:r>
            <w:r>
              <w:rPr>
                <w:color w:val="000000"/>
                <w:sz w:val="18"/>
                <w:szCs w:val="18"/>
              </w:rPr>
              <w:t xml:space="preserve"> ;</w:t>
            </w:r>
            <w:proofErr w:type="gramEnd"/>
            <w:r>
              <w:rPr>
                <w:color w:val="000000"/>
                <w:sz w:val="18"/>
                <w:szCs w:val="18"/>
              </w:rPr>
              <w:t xml:space="preserve"> </w:t>
            </w:r>
            <w:r w:rsidRPr="00AF5CAF">
              <w:rPr>
                <w:color w:val="000000"/>
                <w:sz w:val="18"/>
                <w:szCs w:val="18"/>
              </w:rPr>
              <w:t>101.2)</w:t>
            </w:r>
          </w:p>
        </w:tc>
        <w:tc>
          <w:tcPr>
            <w:tcW w:w="521" w:type="pct"/>
            <w:noWrap/>
            <w:vAlign w:val="center"/>
            <w:hideMark/>
          </w:tcPr>
          <w:p w14:paraId="3EA84A00"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0.302</w:t>
            </w:r>
          </w:p>
        </w:tc>
      </w:tr>
      <w:tr w:rsidR="00576FE1" w:rsidRPr="00AF5CAF" w14:paraId="7426B75B" w14:textId="77777777" w:rsidTr="00B37149">
        <w:trPr>
          <w:trHeight w:val="302"/>
        </w:trPr>
        <w:tc>
          <w:tcPr>
            <w:tcW w:w="1798" w:type="pct"/>
            <w:gridSpan w:val="2"/>
            <w:noWrap/>
            <w:vAlign w:val="center"/>
            <w:hideMark/>
          </w:tcPr>
          <w:p w14:paraId="7AD55B2D" w14:textId="77777777" w:rsidR="00576FE1" w:rsidRPr="00AF5CAF" w:rsidRDefault="00576FE1" w:rsidP="00115CD6">
            <w:pPr>
              <w:spacing w:after="0" w:line="240" w:lineRule="auto"/>
              <w:rPr>
                <w:color w:val="000000"/>
                <w:sz w:val="18"/>
                <w:szCs w:val="18"/>
              </w:rPr>
            </w:pPr>
            <w:r w:rsidRPr="00AF5CAF">
              <w:rPr>
                <w:color w:val="000000"/>
                <w:sz w:val="18"/>
                <w:szCs w:val="18"/>
              </w:rPr>
              <w:t>Treatment duration in cycles</w:t>
            </w:r>
          </w:p>
        </w:tc>
        <w:tc>
          <w:tcPr>
            <w:tcW w:w="891" w:type="pct"/>
            <w:noWrap/>
            <w:vAlign w:val="center"/>
            <w:hideMark/>
          </w:tcPr>
          <w:p w14:paraId="6617BCC4"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26 (</w:t>
            </w:r>
            <w:proofErr w:type="gramStart"/>
            <w:r w:rsidRPr="00AF5CAF">
              <w:rPr>
                <w:color w:val="000000"/>
                <w:sz w:val="18"/>
                <w:szCs w:val="18"/>
              </w:rPr>
              <w:t>1</w:t>
            </w:r>
            <w:r>
              <w:rPr>
                <w:color w:val="000000"/>
                <w:sz w:val="18"/>
                <w:szCs w:val="18"/>
              </w:rPr>
              <w:t xml:space="preserve"> ;</w:t>
            </w:r>
            <w:proofErr w:type="gramEnd"/>
            <w:r>
              <w:rPr>
                <w:color w:val="000000"/>
                <w:sz w:val="18"/>
                <w:szCs w:val="18"/>
              </w:rPr>
              <w:t xml:space="preserve"> </w:t>
            </w:r>
            <w:r w:rsidRPr="00AF5CAF">
              <w:rPr>
                <w:color w:val="000000"/>
                <w:sz w:val="18"/>
                <w:szCs w:val="18"/>
              </w:rPr>
              <w:t>56)</w:t>
            </w:r>
          </w:p>
        </w:tc>
        <w:tc>
          <w:tcPr>
            <w:tcW w:w="894" w:type="pct"/>
            <w:noWrap/>
            <w:vAlign w:val="center"/>
            <w:hideMark/>
          </w:tcPr>
          <w:p w14:paraId="37B188F0"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26 (</w:t>
            </w:r>
            <w:proofErr w:type="gramStart"/>
            <w:r w:rsidRPr="00AF5CAF">
              <w:rPr>
                <w:color w:val="000000"/>
                <w:sz w:val="18"/>
                <w:szCs w:val="18"/>
              </w:rPr>
              <w:t>1</w:t>
            </w:r>
            <w:r>
              <w:rPr>
                <w:color w:val="000000"/>
                <w:sz w:val="18"/>
                <w:szCs w:val="18"/>
              </w:rPr>
              <w:t xml:space="preserve"> ;</w:t>
            </w:r>
            <w:proofErr w:type="gramEnd"/>
            <w:r>
              <w:rPr>
                <w:color w:val="000000"/>
                <w:sz w:val="18"/>
                <w:szCs w:val="18"/>
              </w:rPr>
              <w:t xml:space="preserve"> </w:t>
            </w:r>
            <w:r w:rsidRPr="00AF5CAF">
              <w:rPr>
                <w:color w:val="000000"/>
                <w:sz w:val="18"/>
                <w:szCs w:val="18"/>
              </w:rPr>
              <w:t>56)</w:t>
            </w:r>
          </w:p>
        </w:tc>
        <w:tc>
          <w:tcPr>
            <w:tcW w:w="896" w:type="pct"/>
            <w:noWrap/>
            <w:vAlign w:val="center"/>
            <w:hideMark/>
          </w:tcPr>
          <w:p w14:paraId="30DF41F2"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24 (</w:t>
            </w:r>
            <w:proofErr w:type="gramStart"/>
            <w:r w:rsidRPr="00AF5CAF">
              <w:rPr>
                <w:color w:val="000000"/>
                <w:sz w:val="18"/>
                <w:szCs w:val="18"/>
              </w:rPr>
              <w:t>4</w:t>
            </w:r>
            <w:r>
              <w:rPr>
                <w:color w:val="000000"/>
                <w:sz w:val="18"/>
                <w:szCs w:val="18"/>
              </w:rPr>
              <w:t xml:space="preserve"> ;</w:t>
            </w:r>
            <w:proofErr w:type="gramEnd"/>
            <w:r>
              <w:rPr>
                <w:color w:val="000000"/>
                <w:sz w:val="18"/>
                <w:szCs w:val="18"/>
              </w:rPr>
              <w:t xml:space="preserve"> </w:t>
            </w:r>
            <w:r w:rsidRPr="00AF5CAF">
              <w:rPr>
                <w:color w:val="000000"/>
                <w:sz w:val="18"/>
                <w:szCs w:val="18"/>
              </w:rPr>
              <w:t>41)</w:t>
            </w:r>
          </w:p>
        </w:tc>
        <w:tc>
          <w:tcPr>
            <w:tcW w:w="521" w:type="pct"/>
            <w:noWrap/>
            <w:vAlign w:val="center"/>
            <w:hideMark/>
          </w:tcPr>
          <w:p w14:paraId="7FF1A3D2"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0.646</w:t>
            </w:r>
          </w:p>
        </w:tc>
      </w:tr>
      <w:tr w:rsidR="00576FE1" w:rsidRPr="00AF5CAF" w14:paraId="08CA3324" w14:textId="77777777" w:rsidTr="00B37149">
        <w:trPr>
          <w:trHeight w:val="302"/>
        </w:trPr>
        <w:tc>
          <w:tcPr>
            <w:tcW w:w="1798" w:type="pct"/>
            <w:gridSpan w:val="2"/>
            <w:tcBorders>
              <w:bottom w:val="dotted" w:sz="4" w:space="0" w:color="auto"/>
            </w:tcBorders>
            <w:noWrap/>
            <w:vAlign w:val="center"/>
            <w:hideMark/>
          </w:tcPr>
          <w:p w14:paraId="0C5518DF" w14:textId="77777777" w:rsidR="00576FE1" w:rsidRPr="00AF5CAF" w:rsidRDefault="00576FE1" w:rsidP="00115CD6">
            <w:pPr>
              <w:spacing w:after="0" w:line="240" w:lineRule="auto"/>
              <w:rPr>
                <w:color w:val="000000"/>
                <w:sz w:val="18"/>
                <w:szCs w:val="18"/>
              </w:rPr>
            </w:pPr>
            <w:r w:rsidRPr="00AF5CAF">
              <w:rPr>
                <w:color w:val="000000"/>
                <w:sz w:val="18"/>
                <w:szCs w:val="18"/>
              </w:rPr>
              <w:t>Treatment duration in months</w:t>
            </w:r>
          </w:p>
        </w:tc>
        <w:tc>
          <w:tcPr>
            <w:tcW w:w="891" w:type="pct"/>
            <w:tcBorders>
              <w:bottom w:val="dotted" w:sz="4" w:space="0" w:color="auto"/>
            </w:tcBorders>
            <w:noWrap/>
            <w:vAlign w:val="center"/>
            <w:hideMark/>
          </w:tcPr>
          <w:p w14:paraId="37A7CB66"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23.7 (</w:t>
            </w:r>
            <w:proofErr w:type="gramStart"/>
            <w:r w:rsidRPr="00AF5CAF">
              <w:rPr>
                <w:color w:val="000000"/>
                <w:sz w:val="18"/>
                <w:szCs w:val="18"/>
              </w:rPr>
              <w:t>0</w:t>
            </w:r>
            <w:r>
              <w:rPr>
                <w:color w:val="000000"/>
                <w:sz w:val="18"/>
                <w:szCs w:val="18"/>
              </w:rPr>
              <w:t xml:space="preserve"> ;</w:t>
            </w:r>
            <w:proofErr w:type="gramEnd"/>
            <w:r>
              <w:rPr>
                <w:color w:val="000000"/>
                <w:sz w:val="18"/>
                <w:szCs w:val="18"/>
              </w:rPr>
              <w:t xml:space="preserve"> </w:t>
            </w:r>
            <w:r w:rsidRPr="00AF5CAF">
              <w:rPr>
                <w:color w:val="000000"/>
                <w:sz w:val="18"/>
                <w:szCs w:val="18"/>
              </w:rPr>
              <w:t>51.8)</w:t>
            </w:r>
          </w:p>
        </w:tc>
        <w:tc>
          <w:tcPr>
            <w:tcW w:w="894" w:type="pct"/>
            <w:tcBorders>
              <w:bottom w:val="dotted" w:sz="4" w:space="0" w:color="auto"/>
            </w:tcBorders>
            <w:noWrap/>
            <w:vAlign w:val="center"/>
            <w:hideMark/>
          </w:tcPr>
          <w:p w14:paraId="3B32DE39"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23.8 (</w:t>
            </w:r>
            <w:proofErr w:type="gramStart"/>
            <w:r w:rsidRPr="00AF5CAF">
              <w:rPr>
                <w:color w:val="000000"/>
                <w:sz w:val="18"/>
                <w:szCs w:val="18"/>
              </w:rPr>
              <w:t>0</w:t>
            </w:r>
            <w:r>
              <w:rPr>
                <w:color w:val="000000"/>
                <w:sz w:val="18"/>
                <w:szCs w:val="18"/>
              </w:rPr>
              <w:t xml:space="preserve"> ;</w:t>
            </w:r>
            <w:proofErr w:type="gramEnd"/>
            <w:r>
              <w:rPr>
                <w:color w:val="000000"/>
                <w:sz w:val="18"/>
                <w:szCs w:val="18"/>
              </w:rPr>
              <w:t xml:space="preserve"> </w:t>
            </w:r>
            <w:r w:rsidRPr="00AF5CAF">
              <w:rPr>
                <w:color w:val="000000"/>
                <w:sz w:val="18"/>
                <w:szCs w:val="18"/>
              </w:rPr>
              <w:t>51.8)</w:t>
            </w:r>
          </w:p>
        </w:tc>
        <w:tc>
          <w:tcPr>
            <w:tcW w:w="896" w:type="pct"/>
            <w:tcBorders>
              <w:bottom w:val="dotted" w:sz="4" w:space="0" w:color="auto"/>
            </w:tcBorders>
            <w:noWrap/>
            <w:vAlign w:val="center"/>
            <w:hideMark/>
          </w:tcPr>
          <w:p w14:paraId="29840634"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21.6 (</w:t>
            </w:r>
            <w:proofErr w:type="gramStart"/>
            <w:r w:rsidRPr="00AF5CAF">
              <w:rPr>
                <w:color w:val="000000"/>
                <w:sz w:val="18"/>
                <w:szCs w:val="18"/>
              </w:rPr>
              <w:t>2.8</w:t>
            </w:r>
            <w:r>
              <w:rPr>
                <w:color w:val="000000"/>
                <w:sz w:val="18"/>
                <w:szCs w:val="18"/>
              </w:rPr>
              <w:t xml:space="preserve"> ;</w:t>
            </w:r>
            <w:proofErr w:type="gramEnd"/>
            <w:r>
              <w:rPr>
                <w:color w:val="000000"/>
                <w:sz w:val="18"/>
                <w:szCs w:val="18"/>
              </w:rPr>
              <w:t xml:space="preserve"> </w:t>
            </w:r>
            <w:r w:rsidRPr="00AF5CAF">
              <w:rPr>
                <w:color w:val="000000"/>
                <w:sz w:val="18"/>
                <w:szCs w:val="18"/>
              </w:rPr>
              <w:t>37.6)</w:t>
            </w:r>
          </w:p>
        </w:tc>
        <w:tc>
          <w:tcPr>
            <w:tcW w:w="521" w:type="pct"/>
            <w:tcBorders>
              <w:bottom w:val="dotted" w:sz="4" w:space="0" w:color="auto"/>
            </w:tcBorders>
            <w:noWrap/>
            <w:vAlign w:val="center"/>
            <w:hideMark/>
          </w:tcPr>
          <w:p w14:paraId="48EEB608"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0.624</w:t>
            </w:r>
          </w:p>
        </w:tc>
      </w:tr>
      <w:tr w:rsidR="00576FE1" w:rsidRPr="00AF5CAF" w14:paraId="0C9B7633" w14:textId="77777777" w:rsidTr="00B37149">
        <w:trPr>
          <w:trHeight w:val="302"/>
        </w:trPr>
        <w:tc>
          <w:tcPr>
            <w:tcW w:w="1798" w:type="pct"/>
            <w:gridSpan w:val="2"/>
            <w:tcBorders>
              <w:top w:val="dotted" w:sz="4" w:space="0" w:color="auto"/>
            </w:tcBorders>
            <w:noWrap/>
            <w:vAlign w:val="center"/>
            <w:hideMark/>
          </w:tcPr>
          <w:p w14:paraId="5018A493" w14:textId="77777777" w:rsidR="00576FE1" w:rsidRPr="00AF5CAF" w:rsidRDefault="00576FE1" w:rsidP="00115CD6">
            <w:pPr>
              <w:spacing w:after="0" w:line="240" w:lineRule="auto"/>
              <w:rPr>
                <w:b/>
                <w:bCs/>
                <w:color w:val="000000"/>
                <w:sz w:val="18"/>
                <w:szCs w:val="18"/>
              </w:rPr>
            </w:pPr>
            <w:r w:rsidRPr="00AF5CAF">
              <w:rPr>
                <w:b/>
                <w:bCs/>
                <w:color w:val="000000"/>
                <w:sz w:val="18"/>
                <w:szCs w:val="18"/>
              </w:rPr>
              <w:t>Letrozole, median (range)</w:t>
            </w:r>
          </w:p>
        </w:tc>
        <w:tc>
          <w:tcPr>
            <w:tcW w:w="891" w:type="pct"/>
            <w:tcBorders>
              <w:top w:val="dotted" w:sz="4" w:space="0" w:color="auto"/>
            </w:tcBorders>
            <w:noWrap/>
            <w:vAlign w:val="center"/>
            <w:hideMark/>
          </w:tcPr>
          <w:p w14:paraId="5C6E7397" w14:textId="77777777" w:rsidR="00576FE1" w:rsidRPr="00AF5CAF" w:rsidRDefault="00576FE1" w:rsidP="00115CD6">
            <w:pPr>
              <w:spacing w:after="0" w:line="240" w:lineRule="auto"/>
              <w:jc w:val="center"/>
              <w:rPr>
                <w:b/>
                <w:bCs/>
                <w:color w:val="000000"/>
                <w:sz w:val="18"/>
                <w:szCs w:val="18"/>
              </w:rPr>
            </w:pPr>
            <w:r w:rsidRPr="00AF5CAF">
              <w:rPr>
                <w:b/>
                <w:bCs/>
                <w:color w:val="000000"/>
                <w:sz w:val="18"/>
                <w:szCs w:val="18"/>
              </w:rPr>
              <w:t>N=242</w:t>
            </w:r>
          </w:p>
        </w:tc>
        <w:tc>
          <w:tcPr>
            <w:tcW w:w="894" w:type="pct"/>
            <w:tcBorders>
              <w:top w:val="dotted" w:sz="4" w:space="0" w:color="auto"/>
            </w:tcBorders>
            <w:noWrap/>
            <w:vAlign w:val="center"/>
            <w:hideMark/>
          </w:tcPr>
          <w:p w14:paraId="1455600B" w14:textId="77777777" w:rsidR="00576FE1" w:rsidRPr="00AF5CAF" w:rsidRDefault="00576FE1" w:rsidP="00115CD6">
            <w:pPr>
              <w:spacing w:after="0" w:line="240" w:lineRule="auto"/>
              <w:jc w:val="center"/>
              <w:rPr>
                <w:b/>
                <w:bCs/>
                <w:color w:val="000000"/>
                <w:sz w:val="18"/>
                <w:szCs w:val="18"/>
              </w:rPr>
            </w:pPr>
            <w:r w:rsidRPr="00AF5CAF">
              <w:rPr>
                <w:b/>
                <w:bCs/>
                <w:color w:val="000000"/>
                <w:sz w:val="18"/>
                <w:szCs w:val="18"/>
              </w:rPr>
              <w:t>N=236</w:t>
            </w:r>
          </w:p>
        </w:tc>
        <w:tc>
          <w:tcPr>
            <w:tcW w:w="896" w:type="pct"/>
            <w:tcBorders>
              <w:top w:val="dotted" w:sz="4" w:space="0" w:color="auto"/>
            </w:tcBorders>
            <w:noWrap/>
            <w:vAlign w:val="center"/>
            <w:hideMark/>
          </w:tcPr>
          <w:p w14:paraId="2A5246F6" w14:textId="77777777" w:rsidR="00576FE1" w:rsidRPr="00AF5CAF" w:rsidRDefault="00576FE1" w:rsidP="00115CD6">
            <w:pPr>
              <w:spacing w:after="0" w:line="240" w:lineRule="auto"/>
              <w:jc w:val="center"/>
              <w:rPr>
                <w:b/>
                <w:bCs/>
                <w:color w:val="000000"/>
                <w:sz w:val="18"/>
                <w:szCs w:val="18"/>
              </w:rPr>
            </w:pPr>
            <w:r w:rsidRPr="00AF5CAF">
              <w:rPr>
                <w:b/>
                <w:bCs/>
                <w:color w:val="000000"/>
                <w:sz w:val="18"/>
                <w:szCs w:val="18"/>
              </w:rPr>
              <w:t>N=6</w:t>
            </w:r>
          </w:p>
        </w:tc>
        <w:tc>
          <w:tcPr>
            <w:tcW w:w="521" w:type="pct"/>
            <w:tcBorders>
              <w:top w:val="dotted" w:sz="4" w:space="0" w:color="auto"/>
            </w:tcBorders>
            <w:noWrap/>
            <w:vAlign w:val="center"/>
            <w:hideMark/>
          </w:tcPr>
          <w:p w14:paraId="3179115A" w14:textId="77777777" w:rsidR="00576FE1" w:rsidRPr="00AF5CAF" w:rsidRDefault="00576FE1" w:rsidP="00115CD6">
            <w:pPr>
              <w:spacing w:after="0" w:line="240" w:lineRule="auto"/>
              <w:jc w:val="center"/>
              <w:rPr>
                <w:b/>
                <w:bCs/>
                <w:color w:val="000000"/>
                <w:sz w:val="18"/>
                <w:szCs w:val="18"/>
              </w:rPr>
            </w:pPr>
          </w:p>
        </w:tc>
      </w:tr>
      <w:tr w:rsidR="00576FE1" w:rsidRPr="00AF5CAF" w14:paraId="2FA19522" w14:textId="77777777" w:rsidTr="00B37149">
        <w:trPr>
          <w:trHeight w:val="302"/>
        </w:trPr>
        <w:tc>
          <w:tcPr>
            <w:tcW w:w="1798" w:type="pct"/>
            <w:gridSpan w:val="2"/>
            <w:noWrap/>
            <w:vAlign w:val="center"/>
            <w:hideMark/>
          </w:tcPr>
          <w:p w14:paraId="43124776" w14:textId="77777777" w:rsidR="00576FE1" w:rsidRPr="00AF5CAF" w:rsidRDefault="00576FE1" w:rsidP="00115CD6">
            <w:pPr>
              <w:spacing w:after="0" w:line="240" w:lineRule="auto"/>
              <w:rPr>
                <w:color w:val="000000"/>
                <w:sz w:val="18"/>
                <w:szCs w:val="18"/>
              </w:rPr>
            </w:pPr>
            <w:r w:rsidRPr="00AF5CAF">
              <w:rPr>
                <w:color w:val="000000"/>
                <w:sz w:val="18"/>
                <w:szCs w:val="18"/>
              </w:rPr>
              <w:t>Relative dose intensity</w:t>
            </w:r>
          </w:p>
        </w:tc>
        <w:tc>
          <w:tcPr>
            <w:tcW w:w="891" w:type="pct"/>
            <w:noWrap/>
            <w:vAlign w:val="center"/>
            <w:hideMark/>
          </w:tcPr>
          <w:p w14:paraId="2F4C57E7" w14:textId="77777777" w:rsidR="00576FE1" w:rsidRPr="00AF5CAF" w:rsidRDefault="00576FE1" w:rsidP="00115CD6">
            <w:pPr>
              <w:spacing w:after="0" w:line="240" w:lineRule="auto"/>
              <w:jc w:val="center"/>
              <w:rPr>
                <w:color w:val="000000"/>
                <w:sz w:val="18"/>
                <w:szCs w:val="18"/>
              </w:rPr>
            </w:pPr>
            <w:r w:rsidRPr="00AF5CAF">
              <w:rPr>
                <w:color w:val="000000"/>
                <w:sz w:val="18"/>
                <w:szCs w:val="18"/>
              </w:rPr>
              <w:t>98.8 (</w:t>
            </w:r>
            <w:proofErr w:type="gramStart"/>
            <w:r w:rsidRPr="00AF5CAF">
              <w:rPr>
                <w:color w:val="000000"/>
                <w:sz w:val="18"/>
                <w:szCs w:val="18"/>
              </w:rPr>
              <w:t>40</w:t>
            </w:r>
            <w:r>
              <w:rPr>
                <w:color w:val="000000"/>
                <w:sz w:val="18"/>
                <w:szCs w:val="18"/>
              </w:rPr>
              <w:t xml:space="preserve"> ;</w:t>
            </w:r>
            <w:proofErr w:type="gramEnd"/>
            <w:r>
              <w:rPr>
                <w:color w:val="000000"/>
                <w:sz w:val="18"/>
                <w:szCs w:val="18"/>
              </w:rPr>
              <w:t xml:space="preserve"> </w:t>
            </w:r>
            <w:r w:rsidRPr="00AF5CAF">
              <w:rPr>
                <w:color w:val="000000"/>
                <w:sz w:val="18"/>
                <w:szCs w:val="18"/>
              </w:rPr>
              <w:t>146.6)</w:t>
            </w:r>
          </w:p>
        </w:tc>
        <w:tc>
          <w:tcPr>
            <w:tcW w:w="894" w:type="pct"/>
            <w:noWrap/>
            <w:vAlign w:val="center"/>
            <w:hideMark/>
          </w:tcPr>
          <w:p w14:paraId="1ED51130" w14:textId="77777777" w:rsidR="00576FE1" w:rsidRPr="00AF5CAF" w:rsidRDefault="00576FE1" w:rsidP="00115CD6">
            <w:pPr>
              <w:spacing w:after="0" w:line="240" w:lineRule="auto"/>
              <w:jc w:val="center"/>
              <w:rPr>
                <w:color w:val="000000"/>
                <w:sz w:val="18"/>
                <w:szCs w:val="18"/>
              </w:rPr>
            </w:pPr>
            <w:r w:rsidRPr="00AF5CAF">
              <w:rPr>
                <w:color w:val="000000"/>
                <w:sz w:val="18"/>
                <w:szCs w:val="18"/>
              </w:rPr>
              <w:t>98.8 (</w:t>
            </w:r>
            <w:proofErr w:type="gramStart"/>
            <w:r w:rsidRPr="00AF5CAF">
              <w:rPr>
                <w:color w:val="000000"/>
                <w:sz w:val="18"/>
                <w:szCs w:val="18"/>
              </w:rPr>
              <w:t>40</w:t>
            </w:r>
            <w:r>
              <w:rPr>
                <w:color w:val="000000"/>
                <w:sz w:val="18"/>
                <w:szCs w:val="18"/>
              </w:rPr>
              <w:t xml:space="preserve"> ;</w:t>
            </w:r>
            <w:proofErr w:type="gramEnd"/>
            <w:r>
              <w:rPr>
                <w:color w:val="000000"/>
                <w:sz w:val="18"/>
                <w:szCs w:val="18"/>
              </w:rPr>
              <w:t xml:space="preserve"> </w:t>
            </w:r>
            <w:r w:rsidRPr="00AF5CAF">
              <w:rPr>
                <w:color w:val="000000"/>
                <w:sz w:val="18"/>
                <w:szCs w:val="18"/>
              </w:rPr>
              <w:t>146.6)</w:t>
            </w:r>
          </w:p>
        </w:tc>
        <w:tc>
          <w:tcPr>
            <w:tcW w:w="896" w:type="pct"/>
            <w:noWrap/>
            <w:vAlign w:val="center"/>
            <w:hideMark/>
          </w:tcPr>
          <w:p w14:paraId="6F0110DD" w14:textId="77777777" w:rsidR="00576FE1" w:rsidRPr="00AF5CAF" w:rsidRDefault="00576FE1" w:rsidP="00115CD6">
            <w:pPr>
              <w:spacing w:after="0" w:line="240" w:lineRule="auto"/>
              <w:jc w:val="center"/>
              <w:rPr>
                <w:color w:val="000000"/>
                <w:sz w:val="18"/>
                <w:szCs w:val="18"/>
              </w:rPr>
            </w:pPr>
            <w:r w:rsidRPr="00AF5CAF">
              <w:rPr>
                <w:color w:val="000000"/>
                <w:sz w:val="18"/>
                <w:szCs w:val="18"/>
              </w:rPr>
              <w:t>97.1 (</w:t>
            </w:r>
            <w:proofErr w:type="gramStart"/>
            <w:r w:rsidRPr="00AF5CAF">
              <w:rPr>
                <w:color w:val="000000"/>
                <w:sz w:val="18"/>
                <w:szCs w:val="18"/>
              </w:rPr>
              <w:t>95</w:t>
            </w:r>
            <w:r>
              <w:rPr>
                <w:color w:val="000000"/>
                <w:sz w:val="18"/>
                <w:szCs w:val="18"/>
              </w:rPr>
              <w:t xml:space="preserve"> ;</w:t>
            </w:r>
            <w:proofErr w:type="gramEnd"/>
            <w:r>
              <w:rPr>
                <w:color w:val="000000"/>
                <w:sz w:val="18"/>
                <w:szCs w:val="18"/>
              </w:rPr>
              <w:t xml:space="preserve"> </w:t>
            </w:r>
            <w:r w:rsidRPr="00AF5CAF">
              <w:rPr>
                <w:color w:val="000000"/>
                <w:sz w:val="18"/>
                <w:szCs w:val="18"/>
              </w:rPr>
              <w:t>100)</w:t>
            </w:r>
          </w:p>
        </w:tc>
        <w:tc>
          <w:tcPr>
            <w:tcW w:w="521" w:type="pct"/>
            <w:noWrap/>
            <w:vAlign w:val="center"/>
            <w:hideMark/>
          </w:tcPr>
          <w:p w14:paraId="16F0D17E"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0.224</w:t>
            </w:r>
          </w:p>
        </w:tc>
      </w:tr>
      <w:tr w:rsidR="00576FE1" w:rsidRPr="00AF5CAF" w14:paraId="6019E791" w14:textId="77777777" w:rsidTr="00B37149">
        <w:trPr>
          <w:trHeight w:val="302"/>
        </w:trPr>
        <w:tc>
          <w:tcPr>
            <w:tcW w:w="1798" w:type="pct"/>
            <w:gridSpan w:val="2"/>
            <w:noWrap/>
            <w:vAlign w:val="center"/>
            <w:hideMark/>
          </w:tcPr>
          <w:p w14:paraId="64E30254" w14:textId="77777777" w:rsidR="00576FE1" w:rsidRPr="00AF5CAF" w:rsidRDefault="00576FE1" w:rsidP="00115CD6">
            <w:pPr>
              <w:spacing w:after="0" w:line="240" w:lineRule="auto"/>
              <w:rPr>
                <w:color w:val="000000"/>
                <w:sz w:val="18"/>
                <w:szCs w:val="18"/>
              </w:rPr>
            </w:pPr>
            <w:r w:rsidRPr="00AF5CAF">
              <w:rPr>
                <w:color w:val="000000"/>
                <w:sz w:val="18"/>
                <w:szCs w:val="18"/>
              </w:rPr>
              <w:t>Treatment duration in cycles</w:t>
            </w:r>
          </w:p>
        </w:tc>
        <w:tc>
          <w:tcPr>
            <w:tcW w:w="891" w:type="pct"/>
            <w:noWrap/>
            <w:vAlign w:val="center"/>
            <w:hideMark/>
          </w:tcPr>
          <w:p w14:paraId="73DD4D91"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28 (</w:t>
            </w:r>
            <w:proofErr w:type="gramStart"/>
            <w:r w:rsidRPr="00AF5CAF">
              <w:rPr>
                <w:color w:val="000000"/>
                <w:sz w:val="18"/>
                <w:szCs w:val="18"/>
              </w:rPr>
              <w:t>1</w:t>
            </w:r>
            <w:r>
              <w:rPr>
                <w:color w:val="000000"/>
                <w:sz w:val="18"/>
                <w:szCs w:val="18"/>
              </w:rPr>
              <w:t xml:space="preserve"> ;</w:t>
            </w:r>
            <w:proofErr w:type="gramEnd"/>
            <w:r>
              <w:rPr>
                <w:color w:val="000000"/>
                <w:sz w:val="18"/>
                <w:szCs w:val="18"/>
              </w:rPr>
              <w:t xml:space="preserve"> </w:t>
            </w:r>
            <w:r w:rsidRPr="00AF5CAF">
              <w:rPr>
                <w:color w:val="000000"/>
                <w:sz w:val="18"/>
                <w:szCs w:val="18"/>
              </w:rPr>
              <w:t>56)</w:t>
            </w:r>
          </w:p>
        </w:tc>
        <w:tc>
          <w:tcPr>
            <w:tcW w:w="894" w:type="pct"/>
            <w:noWrap/>
            <w:vAlign w:val="center"/>
            <w:hideMark/>
          </w:tcPr>
          <w:p w14:paraId="0BF5B9F3"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28 (</w:t>
            </w:r>
            <w:proofErr w:type="gramStart"/>
            <w:r w:rsidRPr="00AF5CAF">
              <w:rPr>
                <w:color w:val="000000"/>
                <w:sz w:val="18"/>
                <w:szCs w:val="18"/>
              </w:rPr>
              <w:t>1</w:t>
            </w:r>
            <w:r>
              <w:rPr>
                <w:color w:val="000000"/>
                <w:sz w:val="18"/>
                <w:szCs w:val="18"/>
              </w:rPr>
              <w:t xml:space="preserve"> ;</w:t>
            </w:r>
            <w:proofErr w:type="gramEnd"/>
            <w:r>
              <w:rPr>
                <w:color w:val="000000"/>
                <w:sz w:val="18"/>
                <w:szCs w:val="18"/>
              </w:rPr>
              <w:t xml:space="preserve"> </w:t>
            </w:r>
            <w:r w:rsidRPr="00AF5CAF">
              <w:rPr>
                <w:color w:val="000000"/>
                <w:sz w:val="18"/>
                <w:szCs w:val="18"/>
              </w:rPr>
              <w:t>56)</w:t>
            </w:r>
          </w:p>
        </w:tc>
        <w:tc>
          <w:tcPr>
            <w:tcW w:w="896" w:type="pct"/>
            <w:noWrap/>
            <w:vAlign w:val="center"/>
            <w:hideMark/>
          </w:tcPr>
          <w:p w14:paraId="6CEB65EF"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23 (</w:t>
            </w:r>
            <w:proofErr w:type="gramStart"/>
            <w:r w:rsidRPr="00AF5CAF">
              <w:rPr>
                <w:color w:val="000000"/>
                <w:sz w:val="18"/>
                <w:szCs w:val="18"/>
              </w:rPr>
              <w:t>3</w:t>
            </w:r>
            <w:r>
              <w:rPr>
                <w:color w:val="000000"/>
                <w:sz w:val="18"/>
                <w:szCs w:val="18"/>
              </w:rPr>
              <w:t xml:space="preserve"> ;</w:t>
            </w:r>
            <w:proofErr w:type="gramEnd"/>
            <w:r>
              <w:rPr>
                <w:color w:val="000000"/>
                <w:sz w:val="18"/>
                <w:szCs w:val="18"/>
              </w:rPr>
              <w:t xml:space="preserve"> </w:t>
            </w:r>
            <w:r w:rsidRPr="00AF5CAF">
              <w:rPr>
                <w:color w:val="000000"/>
                <w:sz w:val="18"/>
                <w:szCs w:val="18"/>
              </w:rPr>
              <w:t>42)</w:t>
            </w:r>
          </w:p>
        </w:tc>
        <w:tc>
          <w:tcPr>
            <w:tcW w:w="521" w:type="pct"/>
            <w:noWrap/>
            <w:vAlign w:val="center"/>
            <w:hideMark/>
          </w:tcPr>
          <w:p w14:paraId="1DB266AE"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0.439</w:t>
            </w:r>
          </w:p>
        </w:tc>
      </w:tr>
      <w:tr w:rsidR="00576FE1" w:rsidRPr="00AF5CAF" w14:paraId="7304F481" w14:textId="77777777" w:rsidTr="00B37149">
        <w:trPr>
          <w:trHeight w:val="314"/>
        </w:trPr>
        <w:tc>
          <w:tcPr>
            <w:tcW w:w="1798" w:type="pct"/>
            <w:gridSpan w:val="2"/>
            <w:tcBorders>
              <w:top w:val="nil"/>
              <w:left w:val="nil"/>
              <w:right w:val="nil"/>
            </w:tcBorders>
            <w:noWrap/>
            <w:vAlign w:val="center"/>
            <w:hideMark/>
          </w:tcPr>
          <w:p w14:paraId="5CD59505" w14:textId="77777777" w:rsidR="00576FE1" w:rsidRPr="00AF5CAF" w:rsidRDefault="00576FE1" w:rsidP="00115CD6">
            <w:pPr>
              <w:spacing w:after="0" w:line="240" w:lineRule="auto"/>
              <w:rPr>
                <w:color w:val="000000"/>
                <w:sz w:val="18"/>
                <w:szCs w:val="18"/>
              </w:rPr>
            </w:pPr>
            <w:r w:rsidRPr="00AF5CAF">
              <w:rPr>
                <w:color w:val="000000"/>
                <w:sz w:val="18"/>
                <w:szCs w:val="18"/>
              </w:rPr>
              <w:t>Treatment duration in months</w:t>
            </w:r>
          </w:p>
        </w:tc>
        <w:tc>
          <w:tcPr>
            <w:tcW w:w="891" w:type="pct"/>
            <w:tcBorders>
              <w:top w:val="nil"/>
              <w:left w:val="nil"/>
              <w:right w:val="nil"/>
            </w:tcBorders>
            <w:noWrap/>
            <w:vAlign w:val="center"/>
            <w:hideMark/>
          </w:tcPr>
          <w:p w14:paraId="08C2B783"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26.2 (</w:t>
            </w:r>
            <w:proofErr w:type="gramStart"/>
            <w:r w:rsidRPr="00AF5CAF">
              <w:rPr>
                <w:color w:val="000000"/>
                <w:sz w:val="18"/>
                <w:szCs w:val="18"/>
              </w:rPr>
              <w:t>0.5</w:t>
            </w:r>
            <w:r>
              <w:rPr>
                <w:color w:val="000000"/>
                <w:sz w:val="18"/>
                <w:szCs w:val="18"/>
              </w:rPr>
              <w:t xml:space="preserve"> ;</w:t>
            </w:r>
            <w:proofErr w:type="gramEnd"/>
            <w:r>
              <w:rPr>
                <w:color w:val="000000"/>
                <w:sz w:val="18"/>
                <w:szCs w:val="18"/>
              </w:rPr>
              <w:t xml:space="preserve"> </w:t>
            </w:r>
            <w:r w:rsidRPr="00AF5CAF">
              <w:rPr>
                <w:color w:val="000000"/>
                <w:sz w:val="18"/>
                <w:szCs w:val="18"/>
              </w:rPr>
              <w:t>51.6)</w:t>
            </w:r>
          </w:p>
        </w:tc>
        <w:tc>
          <w:tcPr>
            <w:tcW w:w="894" w:type="pct"/>
            <w:tcBorders>
              <w:top w:val="nil"/>
              <w:left w:val="nil"/>
              <w:right w:val="nil"/>
            </w:tcBorders>
            <w:noWrap/>
            <w:vAlign w:val="center"/>
            <w:hideMark/>
          </w:tcPr>
          <w:p w14:paraId="3106D623"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26.2 (0.5-51.6)</w:t>
            </w:r>
          </w:p>
        </w:tc>
        <w:tc>
          <w:tcPr>
            <w:tcW w:w="896" w:type="pct"/>
            <w:tcBorders>
              <w:top w:val="nil"/>
              <w:left w:val="nil"/>
              <w:right w:val="nil"/>
            </w:tcBorders>
            <w:noWrap/>
            <w:vAlign w:val="center"/>
            <w:hideMark/>
          </w:tcPr>
          <w:p w14:paraId="6E51C35F" w14:textId="77777777" w:rsidR="00576FE1" w:rsidRPr="00AF5CAF" w:rsidRDefault="00576FE1" w:rsidP="00115CD6">
            <w:pPr>
              <w:spacing w:after="0" w:line="240" w:lineRule="auto"/>
              <w:jc w:val="center"/>
              <w:rPr>
                <w:color w:val="000000"/>
                <w:sz w:val="18"/>
                <w:szCs w:val="18"/>
              </w:rPr>
            </w:pPr>
            <w:r w:rsidRPr="00AF5CAF">
              <w:rPr>
                <w:color w:val="000000"/>
                <w:sz w:val="18"/>
                <w:szCs w:val="18"/>
              </w:rPr>
              <w:t>21.6 (</w:t>
            </w:r>
            <w:proofErr w:type="gramStart"/>
            <w:r w:rsidRPr="00AF5CAF">
              <w:rPr>
                <w:color w:val="000000"/>
                <w:sz w:val="18"/>
                <w:szCs w:val="18"/>
              </w:rPr>
              <w:t>2.8</w:t>
            </w:r>
            <w:r>
              <w:rPr>
                <w:color w:val="000000"/>
                <w:sz w:val="18"/>
                <w:szCs w:val="18"/>
              </w:rPr>
              <w:t xml:space="preserve"> ;</w:t>
            </w:r>
            <w:proofErr w:type="gramEnd"/>
            <w:r>
              <w:rPr>
                <w:color w:val="000000"/>
                <w:sz w:val="18"/>
                <w:szCs w:val="18"/>
              </w:rPr>
              <w:t xml:space="preserve"> </w:t>
            </w:r>
            <w:r w:rsidRPr="00AF5CAF">
              <w:rPr>
                <w:color w:val="000000"/>
                <w:sz w:val="18"/>
                <w:szCs w:val="18"/>
              </w:rPr>
              <w:t>38.9)</w:t>
            </w:r>
          </w:p>
        </w:tc>
        <w:tc>
          <w:tcPr>
            <w:tcW w:w="521" w:type="pct"/>
            <w:tcBorders>
              <w:top w:val="nil"/>
              <w:left w:val="nil"/>
              <w:right w:val="nil"/>
            </w:tcBorders>
            <w:noWrap/>
            <w:vAlign w:val="center"/>
            <w:hideMark/>
          </w:tcPr>
          <w:p w14:paraId="51C0F85D" w14:textId="77777777" w:rsidR="00576FE1" w:rsidRPr="00AF5CAF" w:rsidRDefault="00576FE1" w:rsidP="00115CD6">
            <w:pPr>
              <w:spacing w:after="0" w:line="240" w:lineRule="auto"/>
              <w:jc w:val="center"/>
              <w:rPr>
                <w:color w:val="000000"/>
                <w:sz w:val="18"/>
                <w:szCs w:val="18"/>
              </w:rPr>
            </w:pPr>
            <w:r w:rsidRPr="00AF5CAF">
              <w:rPr>
                <w:color w:val="000000"/>
                <w:sz w:val="18"/>
                <w:szCs w:val="18"/>
              </w:rPr>
              <w:t>0.425</w:t>
            </w:r>
          </w:p>
        </w:tc>
      </w:tr>
      <w:tr w:rsidR="00576FE1" w:rsidRPr="00AF5CAF" w14:paraId="4C6DE688" w14:textId="77777777" w:rsidTr="00B37149">
        <w:trPr>
          <w:trHeight w:val="71"/>
        </w:trPr>
        <w:tc>
          <w:tcPr>
            <w:tcW w:w="1798" w:type="pct"/>
            <w:gridSpan w:val="2"/>
            <w:tcBorders>
              <w:left w:val="nil"/>
              <w:bottom w:val="single" w:sz="4" w:space="0" w:color="auto"/>
              <w:right w:val="nil"/>
            </w:tcBorders>
            <w:noWrap/>
            <w:vAlign w:val="bottom"/>
          </w:tcPr>
          <w:p w14:paraId="2024E836" w14:textId="77777777" w:rsidR="00576FE1" w:rsidRPr="00AF5CAF" w:rsidRDefault="00576FE1" w:rsidP="00115CD6">
            <w:pPr>
              <w:spacing w:after="0" w:line="240" w:lineRule="auto"/>
              <w:rPr>
                <w:color w:val="000000"/>
                <w:sz w:val="6"/>
                <w:szCs w:val="6"/>
              </w:rPr>
            </w:pPr>
          </w:p>
        </w:tc>
        <w:tc>
          <w:tcPr>
            <w:tcW w:w="891" w:type="pct"/>
            <w:tcBorders>
              <w:left w:val="nil"/>
              <w:bottom w:val="single" w:sz="4" w:space="0" w:color="auto"/>
              <w:right w:val="nil"/>
            </w:tcBorders>
            <w:noWrap/>
            <w:vAlign w:val="bottom"/>
          </w:tcPr>
          <w:p w14:paraId="42ED1019" w14:textId="77777777" w:rsidR="00576FE1" w:rsidRPr="00AF5CAF" w:rsidRDefault="00576FE1" w:rsidP="00115CD6">
            <w:pPr>
              <w:spacing w:after="0" w:line="240" w:lineRule="auto"/>
              <w:jc w:val="center"/>
              <w:rPr>
                <w:color w:val="000000"/>
                <w:sz w:val="6"/>
                <w:szCs w:val="6"/>
              </w:rPr>
            </w:pPr>
          </w:p>
        </w:tc>
        <w:tc>
          <w:tcPr>
            <w:tcW w:w="894" w:type="pct"/>
            <w:tcBorders>
              <w:left w:val="nil"/>
              <w:bottom w:val="single" w:sz="4" w:space="0" w:color="auto"/>
              <w:right w:val="nil"/>
            </w:tcBorders>
            <w:noWrap/>
            <w:vAlign w:val="bottom"/>
          </w:tcPr>
          <w:p w14:paraId="1B8F5691" w14:textId="77777777" w:rsidR="00576FE1" w:rsidRPr="00AF5CAF" w:rsidRDefault="00576FE1" w:rsidP="00115CD6">
            <w:pPr>
              <w:spacing w:after="0" w:line="240" w:lineRule="auto"/>
              <w:jc w:val="center"/>
              <w:rPr>
                <w:color w:val="000000"/>
                <w:sz w:val="6"/>
                <w:szCs w:val="6"/>
              </w:rPr>
            </w:pPr>
          </w:p>
        </w:tc>
        <w:tc>
          <w:tcPr>
            <w:tcW w:w="896" w:type="pct"/>
            <w:tcBorders>
              <w:left w:val="nil"/>
              <w:bottom w:val="single" w:sz="4" w:space="0" w:color="auto"/>
              <w:right w:val="nil"/>
            </w:tcBorders>
            <w:noWrap/>
            <w:vAlign w:val="bottom"/>
          </w:tcPr>
          <w:p w14:paraId="64F8B717" w14:textId="77777777" w:rsidR="00576FE1" w:rsidRPr="00AF5CAF" w:rsidRDefault="00576FE1" w:rsidP="00115CD6">
            <w:pPr>
              <w:spacing w:after="0" w:line="240" w:lineRule="auto"/>
              <w:jc w:val="center"/>
              <w:rPr>
                <w:color w:val="000000"/>
                <w:sz w:val="6"/>
                <w:szCs w:val="6"/>
              </w:rPr>
            </w:pPr>
          </w:p>
        </w:tc>
        <w:tc>
          <w:tcPr>
            <w:tcW w:w="521" w:type="pct"/>
            <w:tcBorders>
              <w:left w:val="nil"/>
              <w:bottom w:val="single" w:sz="4" w:space="0" w:color="auto"/>
              <w:right w:val="nil"/>
            </w:tcBorders>
            <w:noWrap/>
            <w:vAlign w:val="bottom"/>
          </w:tcPr>
          <w:p w14:paraId="3494D2F6" w14:textId="77777777" w:rsidR="00576FE1" w:rsidRPr="00AF5CAF" w:rsidRDefault="00576FE1" w:rsidP="00115CD6">
            <w:pPr>
              <w:spacing w:after="0" w:line="240" w:lineRule="auto"/>
              <w:jc w:val="center"/>
              <w:rPr>
                <w:color w:val="000000"/>
                <w:sz w:val="6"/>
                <w:szCs w:val="6"/>
              </w:rPr>
            </w:pPr>
          </w:p>
        </w:tc>
      </w:tr>
    </w:tbl>
    <w:p w14:paraId="6146273D" w14:textId="77777777" w:rsidR="00DF7E8E" w:rsidRPr="00B66F06" w:rsidRDefault="00DF7E8E" w:rsidP="00800E62">
      <w:pPr>
        <w:spacing w:after="0" w:line="240" w:lineRule="auto"/>
        <w:rPr>
          <w:i/>
          <w:sz w:val="18"/>
          <w:szCs w:val="18"/>
        </w:rPr>
      </w:pPr>
      <w:r w:rsidRPr="00B66F06">
        <w:rPr>
          <w:i/>
          <w:sz w:val="18"/>
          <w:szCs w:val="18"/>
        </w:rPr>
        <w:t xml:space="preserve">*The antithrombotic medication was </w:t>
      </w:r>
      <w:proofErr w:type="spellStart"/>
      <w:r w:rsidRPr="00B66F06">
        <w:rPr>
          <w:i/>
          <w:sz w:val="18"/>
          <w:szCs w:val="18"/>
        </w:rPr>
        <w:t>adiro</w:t>
      </w:r>
      <w:proofErr w:type="spellEnd"/>
      <w:r w:rsidRPr="00B66F06">
        <w:rPr>
          <w:i/>
          <w:sz w:val="18"/>
          <w:szCs w:val="18"/>
        </w:rPr>
        <w:t>.</w:t>
      </w:r>
    </w:p>
    <w:p w14:paraId="5B5C47CB" w14:textId="77777777" w:rsidR="00DF7E8E" w:rsidRPr="00B66F06" w:rsidRDefault="00DF7E8E" w:rsidP="00800E62">
      <w:pPr>
        <w:spacing w:after="0" w:line="240" w:lineRule="auto"/>
        <w:rPr>
          <w:i/>
          <w:sz w:val="18"/>
          <w:szCs w:val="18"/>
        </w:rPr>
      </w:pPr>
      <w:proofErr w:type="spellStart"/>
      <w:r w:rsidRPr="00B66F06">
        <w:rPr>
          <w:i/>
          <w:sz w:val="18"/>
          <w:szCs w:val="18"/>
          <w:vertAlign w:val="superscript"/>
        </w:rPr>
        <w:t>a</w:t>
      </w:r>
      <w:proofErr w:type="spellEnd"/>
      <w:r w:rsidRPr="00B66F06">
        <w:rPr>
          <w:i/>
          <w:sz w:val="18"/>
          <w:szCs w:val="18"/>
          <w:vertAlign w:val="superscript"/>
        </w:rPr>
        <w:t xml:space="preserve"> </w:t>
      </w:r>
      <w:proofErr w:type="gramStart"/>
      <w:r w:rsidRPr="00B66F06">
        <w:rPr>
          <w:i/>
          <w:sz w:val="18"/>
          <w:szCs w:val="18"/>
        </w:rPr>
        <w:t>The</w:t>
      </w:r>
      <w:proofErr w:type="gramEnd"/>
      <w:r w:rsidRPr="00B66F06">
        <w:rPr>
          <w:i/>
          <w:sz w:val="18"/>
          <w:szCs w:val="18"/>
        </w:rPr>
        <w:t xml:space="preserve"> analyses were based on Wilcoxon exact test for quantitative characteristics and Chi- square or Fisher exact test for qualitative characteristics.  </w:t>
      </w:r>
    </w:p>
    <w:p w14:paraId="24B75F6A" w14:textId="40DC954D" w:rsidR="00DF7E8E" w:rsidRDefault="00DF7E8E">
      <w:pPr>
        <w:spacing w:after="0" w:line="240" w:lineRule="auto"/>
        <w:jc w:val="left"/>
        <w:rPr>
          <w:b/>
          <w:bCs/>
          <w:color w:val="000000"/>
        </w:rPr>
      </w:pPr>
      <w:r>
        <w:rPr>
          <w:b/>
          <w:bCs/>
          <w:color w:val="000000"/>
        </w:rPr>
        <w:br w:type="page"/>
      </w:r>
    </w:p>
    <w:p w14:paraId="06B71852" w14:textId="3A60C67D" w:rsidR="002221CF" w:rsidRDefault="002221CF" w:rsidP="002221CF">
      <w:pPr>
        <w:pStyle w:val="Descripcin"/>
        <w:keepNext/>
        <w:outlineLvl w:val="0"/>
      </w:pPr>
      <w:bookmarkStart w:id="707" w:name="_Ref52426850"/>
      <w:bookmarkStart w:id="708" w:name="_Toc52046501"/>
      <w:bookmarkStart w:id="709" w:name="_Toc52446223"/>
      <w:bookmarkStart w:id="710" w:name="_Toc52468180"/>
      <w:r>
        <w:lastRenderedPageBreak/>
        <w:t xml:space="preserve">Table </w:t>
      </w:r>
      <w:r>
        <w:fldChar w:fldCharType="begin"/>
      </w:r>
      <w:r>
        <w:instrText xml:space="preserve"> SEQ Table \* ARABIC </w:instrText>
      </w:r>
      <w:r>
        <w:fldChar w:fldCharType="separate"/>
      </w:r>
      <w:r>
        <w:rPr>
          <w:noProof/>
        </w:rPr>
        <w:t>22</w:t>
      </w:r>
      <w:r>
        <w:fldChar w:fldCharType="end"/>
      </w:r>
      <w:bookmarkEnd w:id="707"/>
      <w:r>
        <w:t xml:space="preserve">. </w:t>
      </w:r>
      <w:r w:rsidRPr="00917CC3">
        <w:t>Other TEAEs of special interests.</w:t>
      </w:r>
      <w:bookmarkEnd w:id="708"/>
      <w:bookmarkEnd w:id="709"/>
      <w:bookmarkEnd w:id="710"/>
    </w:p>
    <w:tbl>
      <w:tblPr>
        <w:tblW w:w="5023" w:type="pct"/>
        <w:tblBorders>
          <w:top w:val="single" w:sz="8" w:space="0" w:color="auto"/>
          <w:left w:val="single" w:sz="8" w:space="0" w:color="FFFFFF"/>
          <w:bottom w:val="single" w:sz="8" w:space="0" w:color="auto"/>
          <w:right w:val="single" w:sz="8" w:space="0" w:color="FFFFFF"/>
          <w:insideH w:val="single" w:sz="8" w:space="0" w:color="FFFFFF"/>
          <w:insideV w:val="single" w:sz="8" w:space="0" w:color="FFFFFF"/>
        </w:tblBorders>
        <w:tblCellMar>
          <w:left w:w="0" w:type="dxa"/>
          <w:right w:w="0" w:type="dxa"/>
        </w:tblCellMar>
        <w:tblLook w:val="0600" w:firstRow="0" w:lastRow="0" w:firstColumn="0" w:lastColumn="0" w:noHBand="1" w:noVBand="1"/>
      </w:tblPr>
      <w:tblGrid>
        <w:gridCol w:w="2738"/>
        <w:gridCol w:w="1210"/>
        <w:gridCol w:w="1294"/>
        <w:gridCol w:w="1273"/>
        <w:gridCol w:w="1315"/>
        <w:gridCol w:w="869"/>
        <w:gridCol w:w="871"/>
      </w:tblGrid>
      <w:tr w:rsidR="00E14D4C" w:rsidRPr="00E14D4C" w14:paraId="6A5368C0" w14:textId="77777777" w:rsidTr="00E27972">
        <w:trPr>
          <w:trHeight w:val="556"/>
        </w:trPr>
        <w:tc>
          <w:tcPr>
            <w:tcW w:w="1431" w:type="pct"/>
            <w:tcBorders>
              <w:bottom w:val="single" w:sz="8" w:space="0" w:color="FFFFFF"/>
            </w:tcBorders>
            <w:shd w:val="clear" w:color="auto" w:fill="auto"/>
            <w:tcMar>
              <w:top w:w="12" w:type="dxa"/>
              <w:left w:w="12" w:type="dxa"/>
              <w:bottom w:w="0" w:type="dxa"/>
              <w:right w:w="12" w:type="dxa"/>
            </w:tcMar>
            <w:vAlign w:val="center"/>
            <w:hideMark/>
          </w:tcPr>
          <w:p w14:paraId="52BB36BC" w14:textId="77777777" w:rsidR="00C17982" w:rsidRPr="00E14D4C" w:rsidRDefault="00C17982" w:rsidP="00466B96">
            <w:r w:rsidRPr="00E14D4C">
              <w:rPr>
                <w:b/>
                <w:bCs/>
                <w:lang w:val="en-GB"/>
              </w:rPr>
              <w:t> </w:t>
            </w:r>
          </w:p>
        </w:tc>
        <w:tc>
          <w:tcPr>
            <w:tcW w:w="1973" w:type="pct"/>
            <w:gridSpan w:val="3"/>
            <w:tcBorders>
              <w:bottom w:val="single" w:sz="8" w:space="0" w:color="auto"/>
            </w:tcBorders>
            <w:shd w:val="clear" w:color="auto" w:fill="auto"/>
            <w:tcMar>
              <w:top w:w="11" w:type="dxa"/>
              <w:left w:w="11" w:type="dxa"/>
              <w:bottom w:w="0" w:type="dxa"/>
              <w:right w:w="11" w:type="dxa"/>
            </w:tcMar>
            <w:vAlign w:val="center"/>
            <w:hideMark/>
          </w:tcPr>
          <w:p w14:paraId="7F8A7922" w14:textId="77777777" w:rsidR="00E14D4C" w:rsidRDefault="00C17982" w:rsidP="00E14D4C">
            <w:pPr>
              <w:spacing w:after="0" w:line="240" w:lineRule="auto"/>
              <w:jc w:val="center"/>
              <w:rPr>
                <w:b/>
                <w:bCs/>
                <w:lang w:val="es-ES_tradnl"/>
              </w:rPr>
            </w:pPr>
            <w:proofErr w:type="spellStart"/>
            <w:r w:rsidRPr="00E14D4C">
              <w:rPr>
                <w:b/>
                <w:bCs/>
                <w:lang w:val="es-ES_tradnl"/>
              </w:rPr>
              <w:t>Fulvestrant</w:t>
            </w:r>
            <w:proofErr w:type="spellEnd"/>
            <w:r w:rsidRPr="00E14D4C">
              <w:rPr>
                <w:b/>
                <w:bCs/>
                <w:lang w:val="es-ES_tradnl"/>
              </w:rPr>
              <w:t xml:space="preserve"> + </w:t>
            </w:r>
            <w:proofErr w:type="spellStart"/>
            <w:r w:rsidRPr="00E14D4C">
              <w:rPr>
                <w:b/>
                <w:bCs/>
                <w:lang w:val="es-ES_tradnl"/>
              </w:rPr>
              <w:t>Palbociclib</w:t>
            </w:r>
            <w:proofErr w:type="spellEnd"/>
            <w:r w:rsidRPr="00E14D4C">
              <w:rPr>
                <w:b/>
                <w:bCs/>
                <w:lang w:val="es-ES_tradnl"/>
              </w:rPr>
              <w:t xml:space="preserve"> </w:t>
            </w:r>
          </w:p>
          <w:p w14:paraId="732FA089" w14:textId="715FB408" w:rsidR="00C17982" w:rsidRPr="00E14D4C" w:rsidRDefault="00C17982" w:rsidP="00E14D4C">
            <w:pPr>
              <w:spacing w:after="0" w:line="240" w:lineRule="auto"/>
              <w:jc w:val="center"/>
            </w:pPr>
            <w:r w:rsidRPr="00E14D4C">
              <w:rPr>
                <w:b/>
                <w:bCs/>
                <w:lang w:val="es-ES_tradnl"/>
              </w:rPr>
              <w:t>(N=241)</w:t>
            </w:r>
          </w:p>
        </w:tc>
        <w:tc>
          <w:tcPr>
            <w:tcW w:w="1596" w:type="pct"/>
            <w:gridSpan w:val="3"/>
            <w:tcBorders>
              <w:bottom w:val="single" w:sz="8" w:space="0" w:color="auto"/>
            </w:tcBorders>
            <w:shd w:val="clear" w:color="auto" w:fill="auto"/>
            <w:tcMar>
              <w:top w:w="11" w:type="dxa"/>
              <w:left w:w="11" w:type="dxa"/>
              <w:bottom w:w="0" w:type="dxa"/>
              <w:right w:w="11" w:type="dxa"/>
            </w:tcMar>
            <w:vAlign w:val="center"/>
            <w:hideMark/>
          </w:tcPr>
          <w:p w14:paraId="55698201" w14:textId="77777777" w:rsidR="00E14D4C" w:rsidRDefault="00C17982" w:rsidP="00E14D4C">
            <w:pPr>
              <w:spacing w:after="0" w:line="240" w:lineRule="auto"/>
              <w:jc w:val="center"/>
              <w:rPr>
                <w:b/>
                <w:bCs/>
                <w:lang w:val="es-ES_tradnl"/>
              </w:rPr>
            </w:pPr>
            <w:proofErr w:type="spellStart"/>
            <w:r w:rsidRPr="00E14D4C">
              <w:rPr>
                <w:b/>
                <w:bCs/>
                <w:lang w:val="es-ES_tradnl"/>
              </w:rPr>
              <w:t>Letrozole</w:t>
            </w:r>
            <w:proofErr w:type="spellEnd"/>
            <w:r w:rsidRPr="00E14D4C">
              <w:rPr>
                <w:b/>
                <w:bCs/>
                <w:lang w:val="es-ES_tradnl"/>
              </w:rPr>
              <w:t xml:space="preserve"> + </w:t>
            </w:r>
            <w:proofErr w:type="spellStart"/>
            <w:r w:rsidRPr="00E14D4C">
              <w:rPr>
                <w:b/>
                <w:bCs/>
                <w:lang w:val="es-ES_tradnl"/>
              </w:rPr>
              <w:t>Palbociclib</w:t>
            </w:r>
            <w:proofErr w:type="spellEnd"/>
            <w:r w:rsidRPr="00E14D4C">
              <w:rPr>
                <w:b/>
                <w:bCs/>
                <w:lang w:val="es-ES_tradnl"/>
              </w:rPr>
              <w:t xml:space="preserve"> </w:t>
            </w:r>
          </w:p>
          <w:p w14:paraId="052EAA99" w14:textId="6F98D67E" w:rsidR="00C17982" w:rsidRPr="00E14D4C" w:rsidRDefault="00C17982" w:rsidP="00E14D4C">
            <w:pPr>
              <w:spacing w:after="0" w:line="240" w:lineRule="auto"/>
              <w:jc w:val="center"/>
            </w:pPr>
            <w:r w:rsidRPr="00E14D4C">
              <w:rPr>
                <w:b/>
                <w:bCs/>
                <w:lang w:val="es-ES_tradnl"/>
              </w:rPr>
              <w:t>(N=242)</w:t>
            </w:r>
          </w:p>
        </w:tc>
      </w:tr>
      <w:tr w:rsidR="00E14D4C" w:rsidRPr="00E14D4C" w14:paraId="24DBF17F" w14:textId="77777777" w:rsidTr="00E27972">
        <w:trPr>
          <w:trHeight w:val="263"/>
        </w:trPr>
        <w:tc>
          <w:tcPr>
            <w:tcW w:w="1431" w:type="pct"/>
            <w:tcBorders>
              <w:top w:val="single" w:sz="8" w:space="0" w:color="FFFFFF"/>
              <w:bottom w:val="single" w:sz="8" w:space="0" w:color="auto"/>
            </w:tcBorders>
            <w:shd w:val="clear" w:color="auto" w:fill="auto"/>
            <w:tcMar>
              <w:top w:w="12" w:type="dxa"/>
              <w:left w:w="12" w:type="dxa"/>
              <w:bottom w:w="0" w:type="dxa"/>
              <w:right w:w="12" w:type="dxa"/>
            </w:tcMar>
            <w:vAlign w:val="center"/>
            <w:hideMark/>
          </w:tcPr>
          <w:p w14:paraId="1CE67E4B" w14:textId="77777777" w:rsidR="00C17982" w:rsidRPr="00E14D4C" w:rsidRDefault="00C17982" w:rsidP="00466B96">
            <w:proofErr w:type="spellStart"/>
            <w:r w:rsidRPr="00E14D4C">
              <w:rPr>
                <w:b/>
                <w:bCs/>
                <w:lang w:val="es-ES"/>
              </w:rPr>
              <w:t>Patients</w:t>
            </w:r>
            <w:proofErr w:type="spellEnd"/>
            <w:r w:rsidRPr="00E14D4C">
              <w:rPr>
                <w:b/>
                <w:bCs/>
                <w:lang w:val="es-ES"/>
              </w:rPr>
              <w:t xml:space="preserve"> </w:t>
            </w:r>
            <w:proofErr w:type="spellStart"/>
            <w:r w:rsidRPr="00E14D4C">
              <w:rPr>
                <w:b/>
                <w:bCs/>
                <w:lang w:val="es-ES"/>
              </w:rPr>
              <w:t>with</w:t>
            </w:r>
            <w:proofErr w:type="spellEnd"/>
            <w:r w:rsidRPr="00E14D4C">
              <w:rPr>
                <w:b/>
                <w:bCs/>
                <w:lang w:val="es-ES"/>
              </w:rPr>
              <w:t xml:space="preserve"> </w:t>
            </w:r>
            <w:proofErr w:type="spellStart"/>
            <w:r w:rsidRPr="00E14D4C">
              <w:rPr>
                <w:b/>
                <w:bCs/>
                <w:lang w:val="es-ES"/>
              </w:rPr>
              <w:t>AEs</w:t>
            </w:r>
            <w:proofErr w:type="spellEnd"/>
            <w:r w:rsidRPr="00E14D4C">
              <w:rPr>
                <w:b/>
                <w:bCs/>
                <w:lang w:val="es-ES"/>
              </w:rPr>
              <w:t xml:space="preserve">, </w:t>
            </w:r>
            <w:proofErr w:type="gramStart"/>
            <w:r w:rsidRPr="00E14D4C">
              <w:rPr>
                <w:b/>
                <w:bCs/>
                <w:lang w:val="es-ES"/>
              </w:rPr>
              <w:t>n(</w:t>
            </w:r>
            <w:proofErr w:type="gramEnd"/>
            <w:r w:rsidRPr="00E14D4C">
              <w:rPr>
                <w:b/>
                <w:bCs/>
                <w:lang w:val="es-ES"/>
              </w:rPr>
              <w:t>%)</w:t>
            </w:r>
          </w:p>
        </w:tc>
        <w:tc>
          <w:tcPr>
            <w:tcW w:w="632" w:type="pct"/>
            <w:tcBorders>
              <w:top w:val="single" w:sz="8" w:space="0" w:color="auto"/>
              <w:bottom w:val="single" w:sz="8" w:space="0" w:color="auto"/>
            </w:tcBorders>
            <w:shd w:val="clear" w:color="auto" w:fill="auto"/>
            <w:tcMar>
              <w:top w:w="12" w:type="dxa"/>
              <w:left w:w="12" w:type="dxa"/>
              <w:bottom w:w="0" w:type="dxa"/>
              <w:right w:w="12" w:type="dxa"/>
            </w:tcMar>
            <w:vAlign w:val="center"/>
            <w:hideMark/>
          </w:tcPr>
          <w:p w14:paraId="5187D657" w14:textId="77777777" w:rsidR="00C17982" w:rsidRPr="00E14D4C" w:rsidRDefault="00C17982" w:rsidP="00E14D4C">
            <w:pPr>
              <w:spacing w:after="0"/>
              <w:jc w:val="center"/>
            </w:pPr>
            <w:proofErr w:type="spellStart"/>
            <w:r w:rsidRPr="00E14D4C">
              <w:rPr>
                <w:b/>
                <w:bCs/>
                <w:lang w:val="es-ES"/>
              </w:rPr>
              <w:t>Any</w:t>
            </w:r>
            <w:proofErr w:type="spellEnd"/>
            <w:r w:rsidRPr="00E14D4C">
              <w:rPr>
                <w:b/>
                <w:bCs/>
                <w:lang w:val="es-ES"/>
              </w:rPr>
              <w:t xml:space="preserve"> grade</w:t>
            </w:r>
          </w:p>
        </w:tc>
        <w:tc>
          <w:tcPr>
            <w:tcW w:w="676" w:type="pct"/>
            <w:tcBorders>
              <w:top w:val="single" w:sz="8" w:space="0" w:color="auto"/>
              <w:bottom w:val="single" w:sz="8" w:space="0" w:color="auto"/>
            </w:tcBorders>
            <w:shd w:val="clear" w:color="auto" w:fill="auto"/>
            <w:tcMar>
              <w:top w:w="12" w:type="dxa"/>
              <w:left w:w="12" w:type="dxa"/>
              <w:bottom w:w="0" w:type="dxa"/>
              <w:right w:w="12" w:type="dxa"/>
            </w:tcMar>
            <w:vAlign w:val="center"/>
            <w:hideMark/>
          </w:tcPr>
          <w:p w14:paraId="6336B24D" w14:textId="77777777" w:rsidR="00C17982" w:rsidRPr="00E14D4C" w:rsidRDefault="00C17982" w:rsidP="00E14D4C">
            <w:pPr>
              <w:spacing w:after="0"/>
              <w:jc w:val="center"/>
            </w:pPr>
            <w:r w:rsidRPr="00E14D4C">
              <w:rPr>
                <w:b/>
                <w:bCs/>
                <w:lang w:val="es-ES"/>
              </w:rPr>
              <w:t>Grade 3</w:t>
            </w:r>
          </w:p>
        </w:tc>
        <w:tc>
          <w:tcPr>
            <w:tcW w:w="665" w:type="pct"/>
            <w:tcBorders>
              <w:top w:val="single" w:sz="8" w:space="0" w:color="auto"/>
              <w:bottom w:val="single" w:sz="8" w:space="0" w:color="auto"/>
            </w:tcBorders>
            <w:shd w:val="clear" w:color="auto" w:fill="auto"/>
            <w:tcMar>
              <w:top w:w="12" w:type="dxa"/>
              <w:left w:w="12" w:type="dxa"/>
              <w:bottom w:w="0" w:type="dxa"/>
              <w:right w:w="12" w:type="dxa"/>
            </w:tcMar>
            <w:vAlign w:val="center"/>
            <w:hideMark/>
          </w:tcPr>
          <w:p w14:paraId="446326FD" w14:textId="77777777" w:rsidR="00C17982" w:rsidRPr="00E14D4C" w:rsidRDefault="00C17982" w:rsidP="00E14D4C">
            <w:pPr>
              <w:spacing w:after="0"/>
              <w:jc w:val="center"/>
            </w:pPr>
            <w:r w:rsidRPr="00E14D4C">
              <w:rPr>
                <w:b/>
                <w:bCs/>
                <w:lang w:val="es-ES"/>
              </w:rPr>
              <w:t>Grade 4</w:t>
            </w:r>
          </w:p>
        </w:tc>
        <w:tc>
          <w:tcPr>
            <w:tcW w:w="687" w:type="pct"/>
            <w:tcBorders>
              <w:top w:val="single" w:sz="8" w:space="0" w:color="auto"/>
              <w:bottom w:val="single" w:sz="8" w:space="0" w:color="auto"/>
            </w:tcBorders>
            <w:shd w:val="clear" w:color="auto" w:fill="auto"/>
            <w:tcMar>
              <w:top w:w="12" w:type="dxa"/>
              <w:left w:w="12" w:type="dxa"/>
              <w:bottom w:w="0" w:type="dxa"/>
              <w:right w:w="12" w:type="dxa"/>
            </w:tcMar>
            <w:vAlign w:val="center"/>
            <w:hideMark/>
          </w:tcPr>
          <w:p w14:paraId="2ADB8AC8" w14:textId="77777777" w:rsidR="00C17982" w:rsidRPr="00E14D4C" w:rsidRDefault="00C17982" w:rsidP="00E14D4C">
            <w:pPr>
              <w:spacing w:after="0"/>
              <w:jc w:val="center"/>
            </w:pPr>
            <w:proofErr w:type="spellStart"/>
            <w:r w:rsidRPr="00E14D4C">
              <w:rPr>
                <w:b/>
                <w:bCs/>
                <w:lang w:val="es-ES"/>
              </w:rPr>
              <w:t>Any</w:t>
            </w:r>
            <w:proofErr w:type="spellEnd"/>
            <w:r w:rsidRPr="00E14D4C">
              <w:rPr>
                <w:b/>
                <w:bCs/>
                <w:lang w:val="es-ES"/>
              </w:rPr>
              <w:t xml:space="preserve"> grade</w:t>
            </w:r>
          </w:p>
        </w:tc>
        <w:tc>
          <w:tcPr>
            <w:tcW w:w="454" w:type="pct"/>
            <w:tcBorders>
              <w:top w:val="single" w:sz="8" w:space="0" w:color="auto"/>
              <w:bottom w:val="single" w:sz="8" w:space="0" w:color="auto"/>
            </w:tcBorders>
            <w:shd w:val="clear" w:color="auto" w:fill="auto"/>
            <w:tcMar>
              <w:top w:w="12" w:type="dxa"/>
              <w:left w:w="12" w:type="dxa"/>
              <w:bottom w:w="0" w:type="dxa"/>
              <w:right w:w="12" w:type="dxa"/>
            </w:tcMar>
            <w:vAlign w:val="center"/>
            <w:hideMark/>
          </w:tcPr>
          <w:p w14:paraId="4367F073" w14:textId="77777777" w:rsidR="00C17982" w:rsidRPr="00E14D4C" w:rsidRDefault="00C17982" w:rsidP="00E14D4C">
            <w:pPr>
              <w:spacing w:after="0"/>
              <w:jc w:val="center"/>
            </w:pPr>
            <w:r w:rsidRPr="00E14D4C">
              <w:rPr>
                <w:b/>
                <w:bCs/>
                <w:lang w:val="es-ES"/>
              </w:rPr>
              <w:t>Grade 3</w:t>
            </w:r>
          </w:p>
        </w:tc>
        <w:tc>
          <w:tcPr>
            <w:tcW w:w="455" w:type="pct"/>
            <w:tcBorders>
              <w:top w:val="single" w:sz="8" w:space="0" w:color="auto"/>
              <w:bottom w:val="single" w:sz="8" w:space="0" w:color="auto"/>
            </w:tcBorders>
            <w:shd w:val="clear" w:color="auto" w:fill="auto"/>
            <w:tcMar>
              <w:top w:w="12" w:type="dxa"/>
              <w:left w:w="12" w:type="dxa"/>
              <w:bottom w:w="0" w:type="dxa"/>
              <w:right w:w="12" w:type="dxa"/>
            </w:tcMar>
            <w:vAlign w:val="center"/>
            <w:hideMark/>
          </w:tcPr>
          <w:p w14:paraId="058044CC" w14:textId="77777777" w:rsidR="00C17982" w:rsidRPr="00E14D4C" w:rsidRDefault="00C17982" w:rsidP="00E14D4C">
            <w:pPr>
              <w:spacing w:after="0"/>
              <w:jc w:val="center"/>
            </w:pPr>
            <w:r w:rsidRPr="00E14D4C">
              <w:rPr>
                <w:b/>
                <w:bCs/>
                <w:lang w:val="es-ES"/>
              </w:rPr>
              <w:t>Grade 4</w:t>
            </w:r>
          </w:p>
        </w:tc>
      </w:tr>
      <w:tr w:rsidR="00E14D4C" w:rsidRPr="00E14D4C" w14:paraId="3B7B2D60" w14:textId="77777777" w:rsidTr="00E27972">
        <w:trPr>
          <w:trHeight w:val="448"/>
        </w:trPr>
        <w:tc>
          <w:tcPr>
            <w:tcW w:w="1431" w:type="pct"/>
            <w:tcBorders>
              <w:top w:val="single" w:sz="8" w:space="0" w:color="auto"/>
            </w:tcBorders>
            <w:shd w:val="clear" w:color="auto" w:fill="auto"/>
            <w:tcMar>
              <w:top w:w="12" w:type="dxa"/>
              <w:left w:w="12" w:type="dxa"/>
              <w:bottom w:w="0" w:type="dxa"/>
              <w:right w:w="12" w:type="dxa"/>
            </w:tcMar>
            <w:vAlign w:val="center"/>
            <w:hideMark/>
          </w:tcPr>
          <w:p w14:paraId="24CC4F22" w14:textId="77777777" w:rsidR="00C17982" w:rsidRPr="00E14D4C" w:rsidRDefault="00C17982" w:rsidP="00466B96">
            <w:proofErr w:type="spellStart"/>
            <w:r w:rsidRPr="00E14D4C">
              <w:rPr>
                <w:lang w:val="es-ES"/>
              </w:rPr>
              <w:t>Tromboembolic</w:t>
            </w:r>
            <w:proofErr w:type="spellEnd"/>
            <w:r w:rsidRPr="00E14D4C">
              <w:rPr>
                <w:lang w:val="es-ES"/>
              </w:rPr>
              <w:t xml:space="preserve"> </w:t>
            </w:r>
            <w:proofErr w:type="spellStart"/>
            <w:r w:rsidRPr="00E14D4C">
              <w:rPr>
                <w:lang w:val="es-ES"/>
              </w:rPr>
              <w:t>events</w:t>
            </w:r>
            <w:proofErr w:type="spellEnd"/>
          </w:p>
        </w:tc>
        <w:tc>
          <w:tcPr>
            <w:tcW w:w="632" w:type="pct"/>
            <w:tcBorders>
              <w:top w:val="single" w:sz="8" w:space="0" w:color="auto"/>
            </w:tcBorders>
            <w:shd w:val="clear" w:color="auto" w:fill="auto"/>
            <w:tcMar>
              <w:top w:w="12" w:type="dxa"/>
              <w:left w:w="12" w:type="dxa"/>
              <w:bottom w:w="0" w:type="dxa"/>
              <w:right w:w="12" w:type="dxa"/>
            </w:tcMar>
            <w:vAlign w:val="center"/>
            <w:hideMark/>
          </w:tcPr>
          <w:p w14:paraId="4D049575" w14:textId="77777777" w:rsidR="00C17982" w:rsidRPr="00E14D4C" w:rsidRDefault="00C17982" w:rsidP="00466B96">
            <w:pPr>
              <w:jc w:val="center"/>
            </w:pPr>
            <w:r w:rsidRPr="00E14D4C">
              <w:rPr>
                <w:lang w:val="es-ES"/>
              </w:rPr>
              <w:t>14 (5.8)</w:t>
            </w:r>
          </w:p>
        </w:tc>
        <w:tc>
          <w:tcPr>
            <w:tcW w:w="676" w:type="pct"/>
            <w:tcBorders>
              <w:top w:val="single" w:sz="8" w:space="0" w:color="auto"/>
            </w:tcBorders>
            <w:shd w:val="clear" w:color="auto" w:fill="auto"/>
            <w:tcMar>
              <w:top w:w="12" w:type="dxa"/>
              <w:left w:w="12" w:type="dxa"/>
              <w:bottom w:w="0" w:type="dxa"/>
              <w:right w:w="12" w:type="dxa"/>
            </w:tcMar>
            <w:vAlign w:val="center"/>
            <w:hideMark/>
          </w:tcPr>
          <w:p w14:paraId="43E675A2" w14:textId="77777777" w:rsidR="00C17982" w:rsidRPr="00E14D4C" w:rsidRDefault="00C17982" w:rsidP="00466B96">
            <w:pPr>
              <w:jc w:val="center"/>
            </w:pPr>
            <w:r w:rsidRPr="00E14D4C">
              <w:rPr>
                <w:lang w:val="es-ES"/>
              </w:rPr>
              <w:t>11 (4.6)</w:t>
            </w:r>
          </w:p>
        </w:tc>
        <w:tc>
          <w:tcPr>
            <w:tcW w:w="665" w:type="pct"/>
            <w:tcBorders>
              <w:top w:val="single" w:sz="8" w:space="0" w:color="auto"/>
            </w:tcBorders>
            <w:shd w:val="clear" w:color="auto" w:fill="auto"/>
            <w:tcMar>
              <w:top w:w="12" w:type="dxa"/>
              <w:left w:w="12" w:type="dxa"/>
              <w:bottom w:w="0" w:type="dxa"/>
              <w:right w:w="12" w:type="dxa"/>
            </w:tcMar>
            <w:vAlign w:val="center"/>
            <w:hideMark/>
          </w:tcPr>
          <w:p w14:paraId="7B3B904E" w14:textId="77777777" w:rsidR="00C17982" w:rsidRPr="00E14D4C" w:rsidRDefault="00C17982" w:rsidP="00466B96">
            <w:pPr>
              <w:jc w:val="center"/>
            </w:pPr>
            <w:r w:rsidRPr="00E14D4C">
              <w:rPr>
                <w:lang w:val="es-ES"/>
              </w:rPr>
              <w:t>2 (0.8)</w:t>
            </w:r>
          </w:p>
        </w:tc>
        <w:tc>
          <w:tcPr>
            <w:tcW w:w="687" w:type="pct"/>
            <w:tcBorders>
              <w:top w:val="single" w:sz="8" w:space="0" w:color="auto"/>
            </w:tcBorders>
            <w:shd w:val="clear" w:color="auto" w:fill="auto"/>
            <w:tcMar>
              <w:top w:w="12" w:type="dxa"/>
              <w:left w:w="12" w:type="dxa"/>
              <w:bottom w:w="0" w:type="dxa"/>
              <w:right w:w="12" w:type="dxa"/>
            </w:tcMar>
            <w:vAlign w:val="center"/>
            <w:hideMark/>
          </w:tcPr>
          <w:p w14:paraId="371BF2FA" w14:textId="77777777" w:rsidR="00C17982" w:rsidRPr="00E14D4C" w:rsidRDefault="00C17982" w:rsidP="00466B96">
            <w:pPr>
              <w:jc w:val="center"/>
            </w:pPr>
            <w:r w:rsidRPr="00E14D4C">
              <w:rPr>
                <w:lang w:val="es-ES"/>
              </w:rPr>
              <w:t>11 (4.5)</w:t>
            </w:r>
          </w:p>
        </w:tc>
        <w:tc>
          <w:tcPr>
            <w:tcW w:w="454" w:type="pct"/>
            <w:tcBorders>
              <w:top w:val="single" w:sz="8" w:space="0" w:color="auto"/>
            </w:tcBorders>
            <w:shd w:val="clear" w:color="auto" w:fill="auto"/>
            <w:tcMar>
              <w:top w:w="12" w:type="dxa"/>
              <w:left w:w="12" w:type="dxa"/>
              <w:bottom w:w="0" w:type="dxa"/>
              <w:right w:w="12" w:type="dxa"/>
            </w:tcMar>
            <w:vAlign w:val="center"/>
            <w:hideMark/>
          </w:tcPr>
          <w:p w14:paraId="4645375D" w14:textId="77777777" w:rsidR="00C17982" w:rsidRPr="00E14D4C" w:rsidRDefault="00C17982" w:rsidP="00466B96">
            <w:pPr>
              <w:jc w:val="center"/>
            </w:pPr>
            <w:r w:rsidRPr="00E14D4C">
              <w:rPr>
                <w:lang w:val="es-ES"/>
              </w:rPr>
              <w:t>7 (2.9)</w:t>
            </w:r>
          </w:p>
        </w:tc>
        <w:tc>
          <w:tcPr>
            <w:tcW w:w="455" w:type="pct"/>
            <w:tcBorders>
              <w:top w:val="single" w:sz="8" w:space="0" w:color="auto"/>
            </w:tcBorders>
            <w:shd w:val="clear" w:color="auto" w:fill="auto"/>
            <w:tcMar>
              <w:top w:w="12" w:type="dxa"/>
              <w:left w:w="12" w:type="dxa"/>
              <w:bottom w:w="0" w:type="dxa"/>
              <w:right w:w="12" w:type="dxa"/>
            </w:tcMar>
            <w:vAlign w:val="center"/>
            <w:hideMark/>
          </w:tcPr>
          <w:p w14:paraId="6869BCC1" w14:textId="77777777" w:rsidR="00C17982" w:rsidRPr="00E14D4C" w:rsidRDefault="00C17982" w:rsidP="00466B96">
            <w:pPr>
              <w:jc w:val="center"/>
            </w:pPr>
            <w:r w:rsidRPr="00E14D4C">
              <w:rPr>
                <w:lang w:val="es-ES"/>
              </w:rPr>
              <w:t>0 (0)</w:t>
            </w:r>
          </w:p>
        </w:tc>
      </w:tr>
      <w:tr w:rsidR="00E14D4C" w:rsidRPr="00E14D4C" w14:paraId="14A1BBCB" w14:textId="77777777" w:rsidTr="00E27972">
        <w:trPr>
          <w:trHeight w:val="448"/>
        </w:trPr>
        <w:tc>
          <w:tcPr>
            <w:tcW w:w="1431" w:type="pct"/>
            <w:shd w:val="clear" w:color="auto" w:fill="auto"/>
            <w:tcMar>
              <w:top w:w="12" w:type="dxa"/>
              <w:left w:w="12" w:type="dxa"/>
              <w:bottom w:w="0" w:type="dxa"/>
              <w:right w:w="12" w:type="dxa"/>
            </w:tcMar>
            <w:vAlign w:val="center"/>
            <w:hideMark/>
          </w:tcPr>
          <w:p w14:paraId="7F889FFA" w14:textId="77777777" w:rsidR="00C17982" w:rsidRPr="00E14D4C" w:rsidRDefault="00C17982" w:rsidP="00466B96">
            <w:r w:rsidRPr="00E14D4C">
              <w:rPr>
                <w:lang w:val="es-ES"/>
              </w:rPr>
              <w:t xml:space="preserve">     </w:t>
            </w:r>
            <w:proofErr w:type="spellStart"/>
            <w:r w:rsidRPr="00E14D4C">
              <w:rPr>
                <w:lang w:val="es-ES"/>
              </w:rPr>
              <w:t>Pulmonary</w:t>
            </w:r>
            <w:proofErr w:type="spellEnd"/>
            <w:r w:rsidRPr="00E14D4C">
              <w:rPr>
                <w:lang w:val="es-ES"/>
              </w:rPr>
              <w:t xml:space="preserve"> </w:t>
            </w:r>
            <w:proofErr w:type="spellStart"/>
            <w:r w:rsidRPr="00E14D4C">
              <w:rPr>
                <w:lang w:val="es-ES"/>
              </w:rPr>
              <w:t>embolism</w:t>
            </w:r>
            <w:proofErr w:type="spellEnd"/>
            <w:r w:rsidRPr="00E14D4C">
              <w:rPr>
                <w:lang w:val="es-ES"/>
              </w:rPr>
              <w:t>*</w:t>
            </w:r>
          </w:p>
        </w:tc>
        <w:tc>
          <w:tcPr>
            <w:tcW w:w="632" w:type="pct"/>
            <w:shd w:val="clear" w:color="auto" w:fill="auto"/>
            <w:tcMar>
              <w:top w:w="12" w:type="dxa"/>
              <w:left w:w="12" w:type="dxa"/>
              <w:bottom w:w="0" w:type="dxa"/>
              <w:right w:w="12" w:type="dxa"/>
            </w:tcMar>
            <w:vAlign w:val="center"/>
            <w:hideMark/>
          </w:tcPr>
          <w:p w14:paraId="376E2D6F" w14:textId="77777777" w:rsidR="00C17982" w:rsidRPr="00E14D4C" w:rsidRDefault="00C17982" w:rsidP="00466B96">
            <w:pPr>
              <w:jc w:val="center"/>
            </w:pPr>
            <w:r w:rsidRPr="00E14D4C">
              <w:rPr>
                <w:lang w:val="es-ES"/>
              </w:rPr>
              <w:t>12 (5.0)</w:t>
            </w:r>
          </w:p>
        </w:tc>
        <w:tc>
          <w:tcPr>
            <w:tcW w:w="676" w:type="pct"/>
            <w:shd w:val="clear" w:color="auto" w:fill="auto"/>
            <w:tcMar>
              <w:top w:w="12" w:type="dxa"/>
              <w:left w:w="12" w:type="dxa"/>
              <w:bottom w:w="0" w:type="dxa"/>
              <w:right w:w="12" w:type="dxa"/>
            </w:tcMar>
            <w:vAlign w:val="center"/>
            <w:hideMark/>
          </w:tcPr>
          <w:p w14:paraId="18D1DFA8" w14:textId="77777777" w:rsidR="00C17982" w:rsidRPr="00E14D4C" w:rsidRDefault="00C17982" w:rsidP="00466B96">
            <w:pPr>
              <w:jc w:val="center"/>
            </w:pPr>
            <w:r w:rsidRPr="00E14D4C">
              <w:rPr>
                <w:lang w:val="es-ES"/>
              </w:rPr>
              <w:t>10 (4.2)</w:t>
            </w:r>
          </w:p>
        </w:tc>
        <w:tc>
          <w:tcPr>
            <w:tcW w:w="665" w:type="pct"/>
            <w:shd w:val="clear" w:color="auto" w:fill="auto"/>
            <w:tcMar>
              <w:top w:w="12" w:type="dxa"/>
              <w:left w:w="12" w:type="dxa"/>
              <w:bottom w:w="0" w:type="dxa"/>
              <w:right w:w="12" w:type="dxa"/>
            </w:tcMar>
            <w:vAlign w:val="center"/>
            <w:hideMark/>
          </w:tcPr>
          <w:p w14:paraId="467DEBD3" w14:textId="77777777" w:rsidR="00C17982" w:rsidRPr="00E14D4C" w:rsidRDefault="00C17982" w:rsidP="00466B96">
            <w:pPr>
              <w:jc w:val="center"/>
            </w:pPr>
            <w:r w:rsidRPr="00E14D4C">
              <w:rPr>
                <w:lang w:val="es-ES"/>
              </w:rPr>
              <w:t>2 (0.8)</w:t>
            </w:r>
          </w:p>
        </w:tc>
        <w:tc>
          <w:tcPr>
            <w:tcW w:w="687" w:type="pct"/>
            <w:shd w:val="clear" w:color="auto" w:fill="auto"/>
            <w:tcMar>
              <w:top w:w="12" w:type="dxa"/>
              <w:left w:w="12" w:type="dxa"/>
              <w:bottom w:w="0" w:type="dxa"/>
              <w:right w:w="12" w:type="dxa"/>
            </w:tcMar>
            <w:vAlign w:val="center"/>
            <w:hideMark/>
          </w:tcPr>
          <w:p w14:paraId="67CCD58B" w14:textId="77777777" w:rsidR="00C17982" w:rsidRPr="00E14D4C" w:rsidRDefault="00C17982" w:rsidP="00466B96">
            <w:pPr>
              <w:jc w:val="center"/>
            </w:pPr>
            <w:r w:rsidRPr="00E14D4C">
              <w:rPr>
                <w:lang w:val="es-ES"/>
              </w:rPr>
              <w:t>6 (2.5)</w:t>
            </w:r>
          </w:p>
        </w:tc>
        <w:tc>
          <w:tcPr>
            <w:tcW w:w="454" w:type="pct"/>
            <w:shd w:val="clear" w:color="auto" w:fill="auto"/>
            <w:tcMar>
              <w:top w:w="12" w:type="dxa"/>
              <w:left w:w="12" w:type="dxa"/>
              <w:bottom w:w="0" w:type="dxa"/>
              <w:right w:w="12" w:type="dxa"/>
            </w:tcMar>
            <w:vAlign w:val="center"/>
            <w:hideMark/>
          </w:tcPr>
          <w:p w14:paraId="382911CF" w14:textId="77777777" w:rsidR="00C17982" w:rsidRPr="00E14D4C" w:rsidRDefault="00C17982" w:rsidP="00466B96">
            <w:pPr>
              <w:jc w:val="center"/>
            </w:pPr>
            <w:r w:rsidRPr="00E14D4C">
              <w:rPr>
                <w:lang w:val="es-ES"/>
              </w:rPr>
              <w:t>6 (2.5)</w:t>
            </w:r>
          </w:p>
        </w:tc>
        <w:tc>
          <w:tcPr>
            <w:tcW w:w="455" w:type="pct"/>
            <w:shd w:val="clear" w:color="auto" w:fill="auto"/>
            <w:tcMar>
              <w:top w:w="12" w:type="dxa"/>
              <w:left w:w="12" w:type="dxa"/>
              <w:bottom w:w="0" w:type="dxa"/>
              <w:right w:w="12" w:type="dxa"/>
            </w:tcMar>
            <w:vAlign w:val="center"/>
            <w:hideMark/>
          </w:tcPr>
          <w:p w14:paraId="1A9D03A6" w14:textId="77777777" w:rsidR="00C17982" w:rsidRPr="00E14D4C" w:rsidRDefault="00C17982" w:rsidP="00466B96">
            <w:pPr>
              <w:jc w:val="center"/>
            </w:pPr>
            <w:r w:rsidRPr="00E14D4C">
              <w:rPr>
                <w:lang w:val="es-ES"/>
              </w:rPr>
              <w:t>0 (0)</w:t>
            </w:r>
          </w:p>
        </w:tc>
      </w:tr>
      <w:tr w:rsidR="00E14D4C" w:rsidRPr="00E14D4C" w14:paraId="085887AF" w14:textId="77777777" w:rsidTr="00E27972">
        <w:trPr>
          <w:trHeight w:val="448"/>
        </w:trPr>
        <w:tc>
          <w:tcPr>
            <w:tcW w:w="1431" w:type="pct"/>
            <w:shd w:val="clear" w:color="auto" w:fill="auto"/>
            <w:tcMar>
              <w:top w:w="12" w:type="dxa"/>
              <w:left w:w="12" w:type="dxa"/>
              <w:bottom w:w="0" w:type="dxa"/>
              <w:right w:w="12" w:type="dxa"/>
            </w:tcMar>
            <w:vAlign w:val="center"/>
            <w:hideMark/>
          </w:tcPr>
          <w:p w14:paraId="1BAE0EF9" w14:textId="77777777" w:rsidR="00C17982" w:rsidRPr="00E14D4C" w:rsidRDefault="00C17982" w:rsidP="00466B96">
            <w:r w:rsidRPr="00E14D4C">
              <w:rPr>
                <w:lang w:val="es-ES"/>
              </w:rPr>
              <w:t xml:space="preserve">     </w:t>
            </w:r>
            <w:proofErr w:type="spellStart"/>
            <w:r w:rsidRPr="00E14D4C">
              <w:rPr>
                <w:lang w:val="es-ES"/>
              </w:rPr>
              <w:t>Varicose</w:t>
            </w:r>
            <w:proofErr w:type="spellEnd"/>
            <w:r w:rsidRPr="00E14D4C">
              <w:rPr>
                <w:lang w:val="es-ES"/>
              </w:rPr>
              <w:t xml:space="preserve"> </w:t>
            </w:r>
            <w:proofErr w:type="spellStart"/>
            <w:r w:rsidRPr="00E14D4C">
              <w:rPr>
                <w:lang w:val="es-ES"/>
              </w:rPr>
              <w:t>vein</w:t>
            </w:r>
            <w:proofErr w:type="spellEnd"/>
          </w:p>
        </w:tc>
        <w:tc>
          <w:tcPr>
            <w:tcW w:w="632" w:type="pct"/>
            <w:shd w:val="clear" w:color="auto" w:fill="auto"/>
            <w:tcMar>
              <w:top w:w="12" w:type="dxa"/>
              <w:left w:w="12" w:type="dxa"/>
              <w:bottom w:w="0" w:type="dxa"/>
              <w:right w:w="12" w:type="dxa"/>
            </w:tcMar>
            <w:vAlign w:val="center"/>
            <w:hideMark/>
          </w:tcPr>
          <w:p w14:paraId="7F813115" w14:textId="77777777" w:rsidR="00C17982" w:rsidRPr="00E14D4C" w:rsidRDefault="00C17982" w:rsidP="00466B96">
            <w:pPr>
              <w:jc w:val="center"/>
            </w:pPr>
            <w:r w:rsidRPr="00E14D4C">
              <w:rPr>
                <w:lang w:val="es-ES"/>
              </w:rPr>
              <w:t>0 (0.0)</w:t>
            </w:r>
          </w:p>
        </w:tc>
        <w:tc>
          <w:tcPr>
            <w:tcW w:w="676" w:type="pct"/>
            <w:shd w:val="clear" w:color="auto" w:fill="auto"/>
            <w:tcMar>
              <w:top w:w="12" w:type="dxa"/>
              <w:left w:w="12" w:type="dxa"/>
              <w:bottom w:w="0" w:type="dxa"/>
              <w:right w:w="12" w:type="dxa"/>
            </w:tcMar>
            <w:vAlign w:val="center"/>
            <w:hideMark/>
          </w:tcPr>
          <w:p w14:paraId="1A44EF89" w14:textId="77777777" w:rsidR="00C17982" w:rsidRPr="00E14D4C" w:rsidRDefault="00C17982" w:rsidP="00466B96">
            <w:pPr>
              <w:jc w:val="center"/>
            </w:pPr>
            <w:r w:rsidRPr="00E14D4C">
              <w:rPr>
                <w:lang w:val="es-ES"/>
              </w:rPr>
              <w:t>0 (0.0)</w:t>
            </w:r>
          </w:p>
        </w:tc>
        <w:tc>
          <w:tcPr>
            <w:tcW w:w="665" w:type="pct"/>
            <w:shd w:val="clear" w:color="auto" w:fill="auto"/>
            <w:tcMar>
              <w:top w:w="12" w:type="dxa"/>
              <w:left w:w="12" w:type="dxa"/>
              <w:bottom w:w="0" w:type="dxa"/>
              <w:right w:w="12" w:type="dxa"/>
            </w:tcMar>
            <w:vAlign w:val="center"/>
            <w:hideMark/>
          </w:tcPr>
          <w:p w14:paraId="61A62CD0" w14:textId="77777777" w:rsidR="00C17982" w:rsidRPr="00E14D4C" w:rsidRDefault="00C17982" w:rsidP="00466B96">
            <w:pPr>
              <w:jc w:val="center"/>
            </w:pPr>
            <w:r w:rsidRPr="00E14D4C">
              <w:rPr>
                <w:lang w:val="es-ES"/>
              </w:rPr>
              <w:t>0 (0.0)</w:t>
            </w:r>
          </w:p>
        </w:tc>
        <w:tc>
          <w:tcPr>
            <w:tcW w:w="687" w:type="pct"/>
            <w:shd w:val="clear" w:color="auto" w:fill="auto"/>
            <w:tcMar>
              <w:top w:w="12" w:type="dxa"/>
              <w:left w:w="12" w:type="dxa"/>
              <w:bottom w:w="0" w:type="dxa"/>
              <w:right w:w="12" w:type="dxa"/>
            </w:tcMar>
            <w:vAlign w:val="center"/>
            <w:hideMark/>
          </w:tcPr>
          <w:p w14:paraId="3F1223CB" w14:textId="77777777" w:rsidR="00C17982" w:rsidRPr="00E14D4C" w:rsidRDefault="00C17982" w:rsidP="00466B96">
            <w:pPr>
              <w:jc w:val="center"/>
            </w:pPr>
            <w:r w:rsidRPr="00E14D4C">
              <w:rPr>
                <w:lang w:val="es-ES"/>
              </w:rPr>
              <w:t>2 (0.8)</w:t>
            </w:r>
          </w:p>
        </w:tc>
        <w:tc>
          <w:tcPr>
            <w:tcW w:w="454" w:type="pct"/>
            <w:shd w:val="clear" w:color="auto" w:fill="auto"/>
            <w:tcMar>
              <w:top w:w="12" w:type="dxa"/>
              <w:left w:w="12" w:type="dxa"/>
              <w:bottom w:w="0" w:type="dxa"/>
              <w:right w:w="12" w:type="dxa"/>
            </w:tcMar>
            <w:vAlign w:val="center"/>
            <w:hideMark/>
          </w:tcPr>
          <w:p w14:paraId="35F402BB" w14:textId="77777777" w:rsidR="00C17982" w:rsidRPr="00E14D4C" w:rsidRDefault="00C17982" w:rsidP="00466B96">
            <w:pPr>
              <w:jc w:val="center"/>
            </w:pPr>
            <w:r w:rsidRPr="00E14D4C">
              <w:rPr>
                <w:lang w:val="es-ES"/>
              </w:rPr>
              <w:t>0 (0.0)</w:t>
            </w:r>
          </w:p>
        </w:tc>
        <w:tc>
          <w:tcPr>
            <w:tcW w:w="455" w:type="pct"/>
            <w:shd w:val="clear" w:color="auto" w:fill="auto"/>
            <w:tcMar>
              <w:top w:w="12" w:type="dxa"/>
              <w:left w:w="12" w:type="dxa"/>
              <w:bottom w:w="0" w:type="dxa"/>
              <w:right w:w="12" w:type="dxa"/>
            </w:tcMar>
            <w:vAlign w:val="center"/>
            <w:hideMark/>
          </w:tcPr>
          <w:p w14:paraId="6D198D8F" w14:textId="77777777" w:rsidR="00C17982" w:rsidRPr="00E14D4C" w:rsidRDefault="00C17982" w:rsidP="00466B96">
            <w:pPr>
              <w:jc w:val="center"/>
            </w:pPr>
            <w:r w:rsidRPr="00E14D4C">
              <w:rPr>
                <w:lang w:val="es-ES"/>
              </w:rPr>
              <w:t>0 (0)</w:t>
            </w:r>
          </w:p>
        </w:tc>
      </w:tr>
      <w:tr w:rsidR="00E14D4C" w:rsidRPr="00E14D4C" w14:paraId="23103588" w14:textId="77777777" w:rsidTr="00E27972">
        <w:trPr>
          <w:trHeight w:val="448"/>
        </w:trPr>
        <w:tc>
          <w:tcPr>
            <w:tcW w:w="1431" w:type="pct"/>
            <w:shd w:val="clear" w:color="auto" w:fill="auto"/>
            <w:tcMar>
              <w:top w:w="12" w:type="dxa"/>
              <w:left w:w="12" w:type="dxa"/>
              <w:bottom w:w="0" w:type="dxa"/>
              <w:right w:w="12" w:type="dxa"/>
            </w:tcMar>
            <w:vAlign w:val="center"/>
            <w:hideMark/>
          </w:tcPr>
          <w:p w14:paraId="475A0B3B" w14:textId="77777777" w:rsidR="00C17982" w:rsidRPr="00E14D4C" w:rsidRDefault="00C17982" w:rsidP="00466B96">
            <w:r w:rsidRPr="00E14D4C">
              <w:rPr>
                <w:lang w:val="es-ES"/>
              </w:rPr>
              <w:t xml:space="preserve">     </w:t>
            </w:r>
            <w:proofErr w:type="spellStart"/>
            <w:r w:rsidRPr="00E14D4C">
              <w:rPr>
                <w:lang w:val="es-ES"/>
              </w:rPr>
              <w:t>Pelvic</w:t>
            </w:r>
            <w:proofErr w:type="spellEnd"/>
            <w:r w:rsidRPr="00E14D4C">
              <w:rPr>
                <w:lang w:val="es-ES"/>
              </w:rPr>
              <w:t xml:space="preserve"> </w:t>
            </w:r>
            <w:proofErr w:type="spellStart"/>
            <w:r w:rsidRPr="00E14D4C">
              <w:rPr>
                <w:lang w:val="es-ES"/>
              </w:rPr>
              <w:t>venous</w:t>
            </w:r>
            <w:proofErr w:type="spellEnd"/>
            <w:r w:rsidRPr="00E14D4C">
              <w:rPr>
                <w:lang w:val="es-ES"/>
              </w:rPr>
              <w:t xml:space="preserve"> </w:t>
            </w:r>
            <w:proofErr w:type="spellStart"/>
            <w:r w:rsidRPr="00E14D4C">
              <w:rPr>
                <w:lang w:val="es-ES"/>
              </w:rPr>
              <w:t>thrombosis</w:t>
            </w:r>
            <w:proofErr w:type="spellEnd"/>
          </w:p>
        </w:tc>
        <w:tc>
          <w:tcPr>
            <w:tcW w:w="632" w:type="pct"/>
            <w:shd w:val="clear" w:color="auto" w:fill="auto"/>
            <w:tcMar>
              <w:top w:w="12" w:type="dxa"/>
              <w:left w:w="12" w:type="dxa"/>
              <w:bottom w:w="0" w:type="dxa"/>
              <w:right w:w="12" w:type="dxa"/>
            </w:tcMar>
            <w:vAlign w:val="center"/>
            <w:hideMark/>
          </w:tcPr>
          <w:p w14:paraId="646DBB49" w14:textId="77777777" w:rsidR="00C17982" w:rsidRPr="00E14D4C" w:rsidRDefault="00C17982" w:rsidP="00466B96">
            <w:pPr>
              <w:jc w:val="center"/>
            </w:pPr>
            <w:r w:rsidRPr="00E14D4C">
              <w:rPr>
                <w:lang w:val="es-ES"/>
              </w:rPr>
              <w:t>0 (0.0)</w:t>
            </w:r>
          </w:p>
        </w:tc>
        <w:tc>
          <w:tcPr>
            <w:tcW w:w="676" w:type="pct"/>
            <w:shd w:val="clear" w:color="auto" w:fill="auto"/>
            <w:tcMar>
              <w:top w:w="12" w:type="dxa"/>
              <w:left w:w="12" w:type="dxa"/>
              <w:bottom w:w="0" w:type="dxa"/>
              <w:right w:w="12" w:type="dxa"/>
            </w:tcMar>
            <w:vAlign w:val="center"/>
            <w:hideMark/>
          </w:tcPr>
          <w:p w14:paraId="60B6CC17" w14:textId="77777777" w:rsidR="00C17982" w:rsidRPr="00E14D4C" w:rsidRDefault="00C17982" w:rsidP="00466B96">
            <w:pPr>
              <w:jc w:val="center"/>
            </w:pPr>
            <w:r w:rsidRPr="00E14D4C">
              <w:rPr>
                <w:lang w:val="es-ES"/>
              </w:rPr>
              <w:t>0 (0.0)</w:t>
            </w:r>
          </w:p>
        </w:tc>
        <w:tc>
          <w:tcPr>
            <w:tcW w:w="665" w:type="pct"/>
            <w:shd w:val="clear" w:color="auto" w:fill="auto"/>
            <w:tcMar>
              <w:top w:w="12" w:type="dxa"/>
              <w:left w:w="12" w:type="dxa"/>
              <w:bottom w:w="0" w:type="dxa"/>
              <w:right w:w="12" w:type="dxa"/>
            </w:tcMar>
            <w:vAlign w:val="center"/>
            <w:hideMark/>
          </w:tcPr>
          <w:p w14:paraId="5FC06FC3" w14:textId="77777777" w:rsidR="00C17982" w:rsidRPr="00E14D4C" w:rsidRDefault="00C17982" w:rsidP="00466B96">
            <w:pPr>
              <w:jc w:val="center"/>
            </w:pPr>
            <w:r w:rsidRPr="00E14D4C">
              <w:rPr>
                <w:lang w:val="es-ES"/>
              </w:rPr>
              <w:t>0 (0.0)</w:t>
            </w:r>
          </w:p>
        </w:tc>
        <w:tc>
          <w:tcPr>
            <w:tcW w:w="687" w:type="pct"/>
            <w:shd w:val="clear" w:color="auto" w:fill="auto"/>
            <w:tcMar>
              <w:top w:w="12" w:type="dxa"/>
              <w:left w:w="12" w:type="dxa"/>
              <w:bottom w:w="0" w:type="dxa"/>
              <w:right w:w="12" w:type="dxa"/>
            </w:tcMar>
            <w:vAlign w:val="center"/>
            <w:hideMark/>
          </w:tcPr>
          <w:p w14:paraId="748C6AC5" w14:textId="77777777" w:rsidR="00C17982" w:rsidRPr="00E14D4C" w:rsidRDefault="00C17982" w:rsidP="00466B96">
            <w:pPr>
              <w:jc w:val="center"/>
            </w:pPr>
            <w:r w:rsidRPr="00E14D4C">
              <w:rPr>
                <w:lang w:val="es-ES"/>
              </w:rPr>
              <w:t>1 (0.4)</w:t>
            </w:r>
          </w:p>
        </w:tc>
        <w:tc>
          <w:tcPr>
            <w:tcW w:w="454" w:type="pct"/>
            <w:shd w:val="clear" w:color="auto" w:fill="auto"/>
            <w:tcMar>
              <w:top w:w="12" w:type="dxa"/>
              <w:left w:w="12" w:type="dxa"/>
              <w:bottom w:w="0" w:type="dxa"/>
              <w:right w:w="12" w:type="dxa"/>
            </w:tcMar>
            <w:vAlign w:val="center"/>
            <w:hideMark/>
          </w:tcPr>
          <w:p w14:paraId="49E90D17" w14:textId="77777777" w:rsidR="00C17982" w:rsidRPr="00E14D4C" w:rsidRDefault="00C17982" w:rsidP="00466B96">
            <w:pPr>
              <w:jc w:val="center"/>
            </w:pPr>
            <w:r w:rsidRPr="00E14D4C">
              <w:rPr>
                <w:lang w:val="es-ES"/>
              </w:rPr>
              <w:t>0 (0.0)</w:t>
            </w:r>
          </w:p>
        </w:tc>
        <w:tc>
          <w:tcPr>
            <w:tcW w:w="455" w:type="pct"/>
            <w:shd w:val="clear" w:color="auto" w:fill="auto"/>
            <w:tcMar>
              <w:top w:w="12" w:type="dxa"/>
              <w:left w:w="12" w:type="dxa"/>
              <w:bottom w:w="0" w:type="dxa"/>
              <w:right w:w="12" w:type="dxa"/>
            </w:tcMar>
            <w:vAlign w:val="center"/>
            <w:hideMark/>
          </w:tcPr>
          <w:p w14:paraId="0CA7F936" w14:textId="77777777" w:rsidR="00C17982" w:rsidRPr="00E14D4C" w:rsidRDefault="00C17982" w:rsidP="00466B96">
            <w:pPr>
              <w:jc w:val="center"/>
            </w:pPr>
            <w:r w:rsidRPr="00E14D4C">
              <w:rPr>
                <w:lang w:val="es-ES"/>
              </w:rPr>
              <w:t>0 (0)</w:t>
            </w:r>
          </w:p>
        </w:tc>
      </w:tr>
      <w:tr w:rsidR="00E14D4C" w:rsidRPr="00E14D4C" w14:paraId="64CB2BEA" w14:textId="77777777" w:rsidTr="00E27972">
        <w:trPr>
          <w:trHeight w:val="448"/>
        </w:trPr>
        <w:tc>
          <w:tcPr>
            <w:tcW w:w="1431" w:type="pct"/>
            <w:shd w:val="clear" w:color="auto" w:fill="auto"/>
            <w:tcMar>
              <w:top w:w="12" w:type="dxa"/>
              <w:left w:w="12" w:type="dxa"/>
              <w:bottom w:w="0" w:type="dxa"/>
              <w:right w:w="12" w:type="dxa"/>
            </w:tcMar>
            <w:vAlign w:val="center"/>
            <w:hideMark/>
          </w:tcPr>
          <w:p w14:paraId="3FE25CA0" w14:textId="77777777" w:rsidR="00C17982" w:rsidRPr="00E14D4C" w:rsidRDefault="00C17982" w:rsidP="00466B96">
            <w:r w:rsidRPr="00E14D4C">
              <w:rPr>
                <w:lang w:val="es-ES"/>
              </w:rPr>
              <w:t xml:space="preserve">     </w:t>
            </w:r>
            <w:proofErr w:type="spellStart"/>
            <w:r w:rsidRPr="00E14D4C">
              <w:rPr>
                <w:lang w:val="es-ES"/>
              </w:rPr>
              <w:t>Jugular</w:t>
            </w:r>
            <w:proofErr w:type="spellEnd"/>
            <w:r w:rsidRPr="00E14D4C">
              <w:rPr>
                <w:lang w:val="es-ES"/>
              </w:rPr>
              <w:t xml:space="preserve"> </w:t>
            </w:r>
            <w:proofErr w:type="spellStart"/>
            <w:r w:rsidRPr="00E14D4C">
              <w:rPr>
                <w:lang w:val="es-ES"/>
              </w:rPr>
              <w:t>vein</w:t>
            </w:r>
            <w:proofErr w:type="spellEnd"/>
            <w:r w:rsidRPr="00E14D4C">
              <w:rPr>
                <w:lang w:val="es-ES"/>
              </w:rPr>
              <w:t xml:space="preserve"> </w:t>
            </w:r>
            <w:proofErr w:type="spellStart"/>
            <w:r w:rsidRPr="00E14D4C">
              <w:rPr>
                <w:lang w:val="es-ES"/>
              </w:rPr>
              <w:t>thrombosis</w:t>
            </w:r>
            <w:proofErr w:type="spellEnd"/>
          </w:p>
        </w:tc>
        <w:tc>
          <w:tcPr>
            <w:tcW w:w="632" w:type="pct"/>
            <w:shd w:val="clear" w:color="auto" w:fill="auto"/>
            <w:tcMar>
              <w:top w:w="12" w:type="dxa"/>
              <w:left w:w="12" w:type="dxa"/>
              <w:bottom w:w="0" w:type="dxa"/>
              <w:right w:w="12" w:type="dxa"/>
            </w:tcMar>
            <w:vAlign w:val="center"/>
            <w:hideMark/>
          </w:tcPr>
          <w:p w14:paraId="6A084522" w14:textId="77777777" w:rsidR="00C17982" w:rsidRPr="00E14D4C" w:rsidRDefault="00C17982" w:rsidP="00466B96">
            <w:pPr>
              <w:jc w:val="center"/>
            </w:pPr>
            <w:r w:rsidRPr="00E14D4C">
              <w:rPr>
                <w:lang w:val="es-ES"/>
              </w:rPr>
              <w:t>1 (0.4)</w:t>
            </w:r>
          </w:p>
        </w:tc>
        <w:tc>
          <w:tcPr>
            <w:tcW w:w="676" w:type="pct"/>
            <w:shd w:val="clear" w:color="auto" w:fill="auto"/>
            <w:tcMar>
              <w:top w:w="12" w:type="dxa"/>
              <w:left w:w="12" w:type="dxa"/>
              <w:bottom w:w="0" w:type="dxa"/>
              <w:right w:w="12" w:type="dxa"/>
            </w:tcMar>
            <w:vAlign w:val="center"/>
            <w:hideMark/>
          </w:tcPr>
          <w:p w14:paraId="5A510F7A" w14:textId="77777777" w:rsidR="00C17982" w:rsidRPr="00E14D4C" w:rsidRDefault="00C17982" w:rsidP="00466B96">
            <w:pPr>
              <w:jc w:val="center"/>
            </w:pPr>
            <w:r w:rsidRPr="00E14D4C">
              <w:rPr>
                <w:lang w:val="es-ES"/>
              </w:rPr>
              <w:t>0 (0.0)</w:t>
            </w:r>
          </w:p>
        </w:tc>
        <w:tc>
          <w:tcPr>
            <w:tcW w:w="665" w:type="pct"/>
            <w:shd w:val="clear" w:color="auto" w:fill="auto"/>
            <w:tcMar>
              <w:top w:w="12" w:type="dxa"/>
              <w:left w:w="12" w:type="dxa"/>
              <w:bottom w:w="0" w:type="dxa"/>
              <w:right w:w="12" w:type="dxa"/>
            </w:tcMar>
            <w:vAlign w:val="center"/>
            <w:hideMark/>
          </w:tcPr>
          <w:p w14:paraId="72CBAB43" w14:textId="77777777" w:rsidR="00C17982" w:rsidRPr="00E14D4C" w:rsidRDefault="00C17982" w:rsidP="00466B96">
            <w:pPr>
              <w:jc w:val="center"/>
            </w:pPr>
            <w:r w:rsidRPr="00E14D4C">
              <w:rPr>
                <w:lang w:val="es-ES"/>
              </w:rPr>
              <w:t>0 (0.0)</w:t>
            </w:r>
          </w:p>
        </w:tc>
        <w:tc>
          <w:tcPr>
            <w:tcW w:w="687" w:type="pct"/>
            <w:shd w:val="clear" w:color="auto" w:fill="auto"/>
            <w:tcMar>
              <w:top w:w="12" w:type="dxa"/>
              <w:left w:w="12" w:type="dxa"/>
              <w:bottom w:w="0" w:type="dxa"/>
              <w:right w:w="12" w:type="dxa"/>
            </w:tcMar>
            <w:vAlign w:val="center"/>
            <w:hideMark/>
          </w:tcPr>
          <w:p w14:paraId="0A76116B" w14:textId="77777777" w:rsidR="00C17982" w:rsidRPr="00E14D4C" w:rsidRDefault="00C17982" w:rsidP="00466B96">
            <w:pPr>
              <w:jc w:val="center"/>
            </w:pPr>
            <w:r w:rsidRPr="00E14D4C">
              <w:rPr>
                <w:lang w:val="es-ES"/>
              </w:rPr>
              <w:t>0 (0.0)</w:t>
            </w:r>
          </w:p>
        </w:tc>
        <w:tc>
          <w:tcPr>
            <w:tcW w:w="454" w:type="pct"/>
            <w:shd w:val="clear" w:color="auto" w:fill="auto"/>
            <w:tcMar>
              <w:top w:w="12" w:type="dxa"/>
              <w:left w:w="12" w:type="dxa"/>
              <w:bottom w:w="0" w:type="dxa"/>
              <w:right w:w="12" w:type="dxa"/>
            </w:tcMar>
            <w:vAlign w:val="center"/>
            <w:hideMark/>
          </w:tcPr>
          <w:p w14:paraId="6E86F4E2" w14:textId="77777777" w:rsidR="00C17982" w:rsidRPr="00E14D4C" w:rsidRDefault="00C17982" w:rsidP="00466B96">
            <w:pPr>
              <w:jc w:val="center"/>
            </w:pPr>
            <w:r w:rsidRPr="00E14D4C">
              <w:rPr>
                <w:lang w:val="es-ES"/>
              </w:rPr>
              <w:t>0 (0.0)</w:t>
            </w:r>
          </w:p>
        </w:tc>
        <w:tc>
          <w:tcPr>
            <w:tcW w:w="455" w:type="pct"/>
            <w:shd w:val="clear" w:color="auto" w:fill="auto"/>
            <w:tcMar>
              <w:top w:w="12" w:type="dxa"/>
              <w:left w:w="12" w:type="dxa"/>
              <w:bottom w:w="0" w:type="dxa"/>
              <w:right w:w="12" w:type="dxa"/>
            </w:tcMar>
            <w:vAlign w:val="center"/>
            <w:hideMark/>
          </w:tcPr>
          <w:p w14:paraId="4A6D7916" w14:textId="77777777" w:rsidR="00C17982" w:rsidRPr="00E14D4C" w:rsidRDefault="00C17982" w:rsidP="00466B96">
            <w:pPr>
              <w:jc w:val="center"/>
            </w:pPr>
            <w:r w:rsidRPr="00E14D4C">
              <w:rPr>
                <w:lang w:val="es-ES"/>
              </w:rPr>
              <w:t>0 (0)</w:t>
            </w:r>
          </w:p>
        </w:tc>
      </w:tr>
      <w:tr w:rsidR="00E14D4C" w:rsidRPr="00E14D4C" w14:paraId="0234064A" w14:textId="77777777" w:rsidTr="00E27972">
        <w:trPr>
          <w:trHeight w:val="448"/>
        </w:trPr>
        <w:tc>
          <w:tcPr>
            <w:tcW w:w="1431" w:type="pct"/>
            <w:shd w:val="clear" w:color="auto" w:fill="auto"/>
            <w:tcMar>
              <w:top w:w="12" w:type="dxa"/>
              <w:left w:w="12" w:type="dxa"/>
              <w:bottom w:w="0" w:type="dxa"/>
              <w:right w:w="12" w:type="dxa"/>
            </w:tcMar>
            <w:vAlign w:val="center"/>
            <w:hideMark/>
          </w:tcPr>
          <w:p w14:paraId="61609190" w14:textId="77777777" w:rsidR="00C17982" w:rsidRPr="00E14D4C" w:rsidRDefault="00C17982" w:rsidP="00466B96">
            <w:r w:rsidRPr="00E14D4C">
              <w:rPr>
                <w:lang w:val="es-ES"/>
              </w:rPr>
              <w:t xml:space="preserve">     </w:t>
            </w:r>
            <w:proofErr w:type="spellStart"/>
            <w:r w:rsidRPr="00E14D4C">
              <w:rPr>
                <w:lang w:val="es-ES"/>
              </w:rPr>
              <w:t>Ischaemic</w:t>
            </w:r>
            <w:proofErr w:type="spellEnd"/>
            <w:r w:rsidRPr="00E14D4C">
              <w:rPr>
                <w:lang w:val="es-ES"/>
              </w:rPr>
              <w:t xml:space="preserve"> </w:t>
            </w:r>
            <w:proofErr w:type="spellStart"/>
            <w:r w:rsidRPr="00E14D4C">
              <w:rPr>
                <w:lang w:val="es-ES"/>
              </w:rPr>
              <w:t>stroke</w:t>
            </w:r>
            <w:proofErr w:type="spellEnd"/>
          </w:p>
        </w:tc>
        <w:tc>
          <w:tcPr>
            <w:tcW w:w="632" w:type="pct"/>
            <w:shd w:val="clear" w:color="auto" w:fill="auto"/>
            <w:tcMar>
              <w:top w:w="12" w:type="dxa"/>
              <w:left w:w="12" w:type="dxa"/>
              <w:bottom w:w="0" w:type="dxa"/>
              <w:right w:w="12" w:type="dxa"/>
            </w:tcMar>
            <w:vAlign w:val="center"/>
            <w:hideMark/>
          </w:tcPr>
          <w:p w14:paraId="50BD2E2F" w14:textId="77777777" w:rsidR="00C17982" w:rsidRPr="00E14D4C" w:rsidRDefault="00C17982" w:rsidP="00466B96">
            <w:pPr>
              <w:jc w:val="center"/>
            </w:pPr>
            <w:r w:rsidRPr="00E14D4C">
              <w:rPr>
                <w:lang w:val="es-ES"/>
              </w:rPr>
              <w:t>1 (0.4)</w:t>
            </w:r>
          </w:p>
        </w:tc>
        <w:tc>
          <w:tcPr>
            <w:tcW w:w="676" w:type="pct"/>
            <w:shd w:val="clear" w:color="auto" w:fill="auto"/>
            <w:tcMar>
              <w:top w:w="12" w:type="dxa"/>
              <w:left w:w="12" w:type="dxa"/>
              <w:bottom w:w="0" w:type="dxa"/>
              <w:right w:w="12" w:type="dxa"/>
            </w:tcMar>
            <w:vAlign w:val="center"/>
            <w:hideMark/>
          </w:tcPr>
          <w:p w14:paraId="04A197FF" w14:textId="77777777" w:rsidR="00C17982" w:rsidRPr="00E14D4C" w:rsidRDefault="00C17982" w:rsidP="00466B96">
            <w:pPr>
              <w:jc w:val="center"/>
            </w:pPr>
            <w:r w:rsidRPr="00E14D4C">
              <w:rPr>
                <w:lang w:val="es-ES"/>
              </w:rPr>
              <w:t>1 (0.4)</w:t>
            </w:r>
          </w:p>
        </w:tc>
        <w:tc>
          <w:tcPr>
            <w:tcW w:w="665" w:type="pct"/>
            <w:shd w:val="clear" w:color="auto" w:fill="auto"/>
            <w:tcMar>
              <w:top w:w="12" w:type="dxa"/>
              <w:left w:w="12" w:type="dxa"/>
              <w:bottom w:w="0" w:type="dxa"/>
              <w:right w:w="12" w:type="dxa"/>
            </w:tcMar>
            <w:vAlign w:val="center"/>
            <w:hideMark/>
          </w:tcPr>
          <w:p w14:paraId="4650B9B9" w14:textId="77777777" w:rsidR="00C17982" w:rsidRPr="00E14D4C" w:rsidRDefault="00C17982" w:rsidP="00466B96">
            <w:pPr>
              <w:jc w:val="center"/>
            </w:pPr>
            <w:r w:rsidRPr="00E14D4C">
              <w:rPr>
                <w:lang w:val="es-ES"/>
              </w:rPr>
              <w:t>0 (0.0)</w:t>
            </w:r>
          </w:p>
        </w:tc>
        <w:tc>
          <w:tcPr>
            <w:tcW w:w="687" w:type="pct"/>
            <w:shd w:val="clear" w:color="auto" w:fill="auto"/>
            <w:tcMar>
              <w:top w:w="12" w:type="dxa"/>
              <w:left w:w="12" w:type="dxa"/>
              <w:bottom w:w="0" w:type="dxa"/>
              <w:right w:w="12" w:type="dxa"/>
            </w:tcMar>
            <w:vAlign w:val="center"/>
            <w:hideMark/>
          </w:tcPr>
          <w:p w14:paraId="21F1CEDE" w14:textId="77777777" w:rsidR="00C17982" w:rsidRPr="00E14D4C" w:rsidRDefault="00C17982" w:rsidP="00466B96">
            <w:pPr>
              <w:jc w:val="center"/>
            </w:pPr>
            <w:r w:rsidRPr="00E14D4C">
              <w:rPr>
                <w:lang w:val="es-ES"/>
              </w:rPr>
              <w:t>0 (0.0)</w:t>
            </w:r>
          </w:p>
        </w:tc>
        <w:tc>
          <w:tcPr>
            <w:tcW w:w="454" w:type="pct"/>
            <w:shd w:val="clear" w:color="auto" w:fill="auto"/>
            <w:tcMar>
              <w:top w:w="12" w:type="dxa"/>
              <w:left w:w="12" w:type="dxa"/>
              <w:bottom w:w="0" w:type="dxa"/>
              <w:right w:w="12" w:type="dxa"/>
            </w:tcMar>
            <w:vAlign w:val="center"/>
            <w:hideMark/>
          </w:tcPr>
          <w:p w14:paraId="5499DA43" w14:textId="77777777" w:rsidR="00C17982" w:rsidRPr="00E14D4C" w:rsidRDefault="00C17982" w:rsidP="00466B96">
            <w:pPr>
              <w:jc w:val="center"/>
            </w:pPr>
            <w:r w:rsidRPr="00E14D4C">
              <w:rPr>
                <w:lang w:val="es-ES"/>
              </w:rPr>
              <w:t>0 (0.0)</w:t>
            </w:r>
          </w:p>
        </w:tc>
        <w:tc>
          <w:tcPr>
            <w:tcW w:w="455" w:type="pct"/>
            <w:shd w:val="clear" w:color="auto" w:fill="auto"/>
            <w:tcMar>
              <w:top w:w="12" w:type="dxa"/>
              <w:left w:w="12" w:type="dxa"/>
              <w:bottom w:w="0" w:type="dxa"/>
              <w:right w:w="12" w:type="dxa"/>
            </w:tcMar>
            <w:vAlign w:val="center"/>
            <w:hideMark/>
          </w:tcPr>
          <w:p w14:paraId="2D571E59" w14:textId="77777777" w:rsidR="00C17982" w:rsidRPr="00E14D4C" w:rsidRDefault="00C17982" w:rsidP="00466B96">
            <w:pPr>
              <w:jc w:val="center"/>
            </w:pPr>
            <w:r w:rsidRPr="00E14D4C">
              <w:rPr>
                <w:lang w:val="es-ES"/>
              </w:rPr>
              <w:t>0 (0)</w:t>
            </w:r>
          </w:p>
        </w:tc>
      </w:tr>
      <w:tr w:rsidR="00E14D4C" w:rsidRPr="00E14D4C" w14:paraId="7281C53B" w14:textId="77777777" w:rsidTr="00E27972">
        <w:trPr>
          <w:trHeight w:val="448"/>
        </w:trPr>
        <w:tc>
          <w:tcPr>
            <w:tcW w:w="1431" w:type="pct"/>
            <w:shd w:val="clear" w:color="auto" w:fill="auto"/>
            <w:tcMar>
              <w:top w:w="12" w:type="dxa"/>
              <w:left w:w="12" w:type="dxa"/>
              <w:bottom w:w="0" w:type="dxa"/>
              <w:right w:w="12" w:type="dxa"/>
            </w:tcMar>
            <w:vAlign w:val="center"/>
            <w:hideMark/>
          </w:tcPr>
          <w:p w14:paraId="20E20313" w14:textId="77777777" w:rsidR="00C17982" w:rsidRPr="00E14D4C" w:rsidRDefault="00C17982" w:rsidP="00466B96">
            <w:r w:rsidRPr="00E14D4C">
              <w:rPr>
                <w:lang w:val="es-ES"/>
              </w:rPr>
              <w:t xml:space="preserve">     </w:t>
            </w:r>
            <w:proofErr w:type="spellStart"/>
            <w:r w:rsidRPr="00E14D4C">
              <w:rPr>
                <w:lang w:val="es-ES"/>
              </w:rPr>
              <w:t>Ischaemic</w:t>
            </w:r>
            <w:proofErr w:type="spellEnd"/>
            <w:r w:rsidRPr="00E14D4C">
              <w:rPr>
                <w:lang w:val="es-ES"/>
              </w:rPr>
              <w:t xml:space="preserve"> </w:t>
            </w:r>
            <w:proofErr w:type="spellStart"/>
            <w:r w:rsidRPr="00E14D4C">
              <w:rPr>
                <w:lang w:val="es-ES"/>
              </w:rPr>
              <w:t>cardiomyopathy</w:t>
            </w:r>
            <w:proofErr w:type="spellEnd"/>
          </w:p>
        </w:tc>
        <w:tc>
          <w:tcPr>
            <w:tcW w:w="632" w:type="pct"/>
            <w:shd w:val="clear" w:color="auto" w:fill="auto"/>
            <w:tcMar>
              <w:top w:w="12" w:type="dxa"/>
              <w:left w:w="12" w:type="dxa"/>
              <w:bottom w:w="0" w:type="dxa"/>
              <w:right w:w="12" w:type="dxa"/>
            </w:tcMar>
            <w:vAlign w:val="center"/>
            <w:hideMark/>
          </w:tcPr>
          <w:p w14:paraId="199CC09B" w14:textId="77777777" w:rsidR="00C17982" w:rsidRPr="00E14D4C" w:rsidRDefault="00C17982" w:rsidP="00466B96">
            <w:pPr>
              <w:jc w:val="center"/>
            </w:pPr>
            <w:r w:rsidRPr="00E14D4C">
              <w:rPr>
                <w:lang w:val="es-ES"/>
              </w:rPr>
              <w:t>0 (0.0)</w:t>
            </w:r>
          </w:p>
        </w:tc>
        <w:tc>
          <w:tcPr>
            <w:tcW w:w="676" w:type="pct"/>
            <w:shd w:val="clear" w:color="auto" w:fill="auto"/>
            <w:tcMar>
              <w:top w:w="12" w:type="dxa"/>
              <w:left w:w="12" w:type="dxa"/>
              <w:bottom w:w="0" w:type="dxa"/>
              <w:right w:w="12" w:type="dxa"/>
            </w:tcMar>
            <w:vAlign w:val="center"/>
            <w:hideMark/>
          </w:tcPr>
          <w:p w14:paraId="2D95B67A" w14:textId="77777777" w:rsidR="00C17982" w:rsidRPr="00E14D4C" w:rsidRDefault="00C17982" w:rsidP="00466B96">
            <w:pPr>
              <w:jc w:val="center"/>
            </w:pPr>
            <w:r w:rsidRPr="00E14D4C">
              <w:rPr>
                <w:lang w:val="es-ES"/>
              </w:rPr>
              <w:t>0 (0.0)</w:t>
            </w:r>
          </w:p>
        </w:tc>
        <w:tc>
          <w:tcPr>
            <w:tcW w:w="665" w:type="pct"/>
            <w:shd w:val="clear" w:color="auto" w:fill="auto"/>
            <w:tcMar>
              <w:top w:w="12" w:type="dxa"/>
              <w:left w:w="12" w:type="dxa"/>
              <w:bottom w:w="0" w:type="dxa"/>
              <w:right w:w="12" w:type="dxa"/>
            </w:tcMar>
            <w:vAlign w:val="center"/>
            <w:hideMark/>
          </w:tcPr>
          <w:p w14:paraId="63863AB0" w14:textId="77777777" w:rsidR="00C17982" w:rsidRPr="00E14D4C" w:rsidRDefault="00C17982" w:rsidP="00466B96">
            <w:pPr>
              <w:jc w:val="center"/>
            </w:pPr>
            <w:r w:rsidRPr="00E14D4C">
              <w:rPr>
                <w:lang w:val="es-ES"/>
              </w:rPr>
              <w:t>0 (0.0)</w:t>
            </w:r>
          </w:p>
        </w:tc>
        <w:tc>
          <w:tcPr>
            <w:tcW w:w="687" w:type="pct"/>
            <w:shd w:val="clear" w:color="auto" w:fill="auto"/>
            <w:tcMar>
              <w:top w:w="12" w:type="dxa"/>
              <w:left w:w="12" w:type="dxa"/>
              <w:bottom w:w="0" w:type="dxa"/>
              <w:right w:w="12" w:type="dxa"/>
            </w:tcMar>
            <w:vAlign w:val="center"/>
            <w:hideMark/>
          </w:tcPr>
          <w:p w14:paraId="2F866002" w14:textId="77777777" w:rsidR="00C17982" w:rsidRPr="00E14D4C" w:rsidRDefault="00C17982" w:rsidP="00466B96">
            <w:pPr>
              <w:jc w:val="center"/>
            </w:pPr>
            <w:r w:rsidRPr="00E14D4C">
              <w:rPr>
                <w:lang w:val="es-ES"/>
              </w:rPr>
              <w:t>1 (0.4)</w:t>
            </w:r>
          </w:p>
        </w:tc>
        <w:tc>
          <w:tcPr>
            <w:tcW w:w="454" w:type="pct"/>
            <w:shd w:val="clear" w:color="auto" w:fill="auto"/>
            <w:tcMar>
              <w:top w:w="12" w:type="dxa"/>
              <w:left w:w="12" w:type="dxa"/>
              <w:bottom w:w="0" w:type="dxa"/>
              <w:right w:w="12" w:type="dxa"/>
            </w:tcMar>
            <w:vAlign w:val="center"/>
            <w:hideMark/>
          </w:tcPr>
          <w:p w14:paraId="511E000C" w14:textId="77777777" w:rsidR="00C17982" w:rsidRPr="00E14D4C" w:rsidRDefault="00C17982" w:rsidP="00466B96">
            <w:pPr>
              <w:jc w:val="center"/>
            </w:pPr>
            <w:r w:rsidRPr="00E14D4C">
              <w:rPr>
                <w:lang w:val="es-ES"/>
              </w:rPr>
              <w:t>0 (0.0)</w:t>
            </w:r>
          </w:p>
        </w:tc>
        <w:tc>
          <w:tcPr>
            <w:tcW w:w="455" w:type="pct"/>
            <w:shd w:val="clear" w:color="auto" w:fill="auto"/>
            <w:tcMar>
              <w:top w:w="12" w:type="dxa"/>
              <w:left w:w="12" w:type="dxa"/>
              <w:bottom w:w="0" w:type="dxa"/>
              <w:right w:w="12" w:type="dxa"/>
            </w:tcMar>
            <w:vAlign w:val="center"/>
            <w:hideMark/>
          </w:tcPr>
          <w:p w14:paraId="06F4A59A" w14:textId="77777777" w:rsidR="00C17982" w:rsidRPr="00E14D4C" w:rsidRDefault="00C17982" w:rsidP="00466B96">
            <w:pPr>
              <w:jc w:val="center"/>
            </w:pPr>
            <w:r w:rsidRPr="00E14D4C">
              <w:rPr>
                <w:lang w:val="es-ES"/>
              </w:rPr>
              <w:t>0 (0)</w:t>
            </w:r>
          </w:p>
        </w:tc>
      </w:tr>
      <w:tr w:rsidR="00E14D4C" w:rsidRPr="00E14D4C" w14:paraId="204F62D7" w14:textId="77777777" w:rsidTr="00E27972">
        <w:trPr>
          <w:trHeight w:val="448"/>
        </w:trPr>
        <w:tc>
          <w:tcPr>
            <w:tcW w:w="1431" w:type="pct"/>
            <w:shd w:val="clear" w:color="auto" w:fill="auto"/>
            <w:tcMar>
              <w:top w:w="12" w:type="dxa"/>
              <w:left w:w="12" w:type="dxa"/>
              <w:bottom w:w="0" w:type="dxa"/>
              <w:right w:w="12" w:type="dxa"/>
            </w:tcMar>
            <w:vAlign w:val="center"/>
            <w:hideMark/>
          </w:tcPr>
          <w:p w14:paraId="777862CA" w14:textId="77777777" w:rsidR="00C17982" w:rsidRPr="00E14D4C" w:rsidRDefault="00C17982" w:rsidP="00466B96">
            <w:r w:rsidRPr="00E14D4C">
              <w:rPr>
                <w:lang w:val="es-ES"/>
              </w:rPr>
              <w:t xml:space="preserve">     Cerebrovascular </w:t>
            </w:r>
            <w:proofErr w:type="spellStart"/>
            <w:r w:rsidRPr="00E14D4C">
              <w:rPr>
                <w:lang w:val="es-ES"/>
              </w:rPr>
              <w:t>accident</w:t>
            </w:r>
            <w:proofErr w:type="spellEnd"/>
          </w:p>
        </w:tc>
        <w:tc>
          <w:tcPr>
            <w:tcW w:w="632" w:type="pct"/>
            <w:shd w:val="clear" w:color="auto" w:fill="auto"/>
            <w:tcMar>
              <w:top w:w="12" w:type="dxa"/>
              <w:left w:w="12" w:type="dxa"/>
              <w:bottom w:w="0" w:type="dxa"/>
              <w:right w:w="12" w:type="dxa"/>
            </w:tcMar>
            <w:vAlign w:val="center"/>
            <w:hideMark/>
          </w:tcPr>
          <w:p w14:paraId="6072D10C" w14:textId="77777777" w:rsidR="00C17982" w:rsidRPr="00E14D4C" w:rsidRDefault="00C17982" w:rsidP="00466B96">
            <w:pPr>
              <w:jc w:val="center"/>
            </w:pPr>
            <w:r w:rsidRPr="00E14D4C">
              <w:rPr>
                <w:lang w:val="es-ES"/>
              </w:rPr>
              <w:t>0 (0.0)</w:t>
            </w:r>
          </w:p>
        </w:tc>
        <w:tc>
          <w:tcPr>
            <w:tcW w:w="676" w:type="pct"/>
            <w:shd w:val="clear" w:color="auto" w:fill="auto"/>
            <w:tcMar>
              <w:top w:w="12" w:type="dxa"/>
              <w:left w:w="12" w:type="dxa"/>
              <w:bottom w:w="0" w:type="dxa"/>
              <w:right w:w="12" w:type="dxa"/>
            </w:tcMar>
            <w:vAlign w:val="center"/>
            <w:hideMark/>
          </w:tcPr>
          <w:p w14:paraId="2FCAA854" w14:textId="77777777" w:rsidR="00C17982" w:rsidRPr="00E14D4C" w:rsidRDefault="00C17982" w:rsidP="00466B96">
            <w:pPr>
              <w:jc w:val="center"/>
            </w:pPr>
            <w:r w:rsidRPr="00E14D4C">
              <w:rPr>
                <w:lang w:val="es-ES"/>
              </w:rPr>
              <w:t>0 (0.0)</w:t>
            </w:r>
          </w:p>
        </w:tc>
        <w:tc>
          <w:tcPr>
            <w:tcW w:w="665" w:type="pct"/>
            <w:shd w:val="clear" w:color="auto" w:fill="auto"/>
            <w:tcMar>
              <w:top w:w="12" w:type="dxa"/>
              <w:left w:w="12" w:type="dxa"/>
              <w:bottom w:w="0" w:type="dxa"/>
              <w:right w:w="12" w:type="dxa"/>
            </w:tcMar>
            <w:vAlign w:val="center"/>
            <w:hideMark/>
          </w:tcPr>
          <w:p w14:paraId="0CA878BC" w14:textId="77777777" w:rsidR="00C17982" w:rsidRPr="00E14D4C" w:rsidRDefault="00C17982" w:rsidP="00466B96">
            <w:pPr>
              <w:jc w:val="center"/>
            </w:pPr>
            <w:r w:rsidRPr="00E14D4C">
              <w:rPr>
                <w:lang w:val="es-ES"/>
              </w:rPr>
              <w:t>0 (0.0)</w:t>
            </w:r>
          </w:p>
        </w:tc>
        <w:tc>
          <w:tcPr>
            <w:tcW w:w="687" w:type="pct"/>
            <w:shd w:val="clear" w:color="auto" w:fill="auto"/>
            <w:tcMar>
              <w:top w:w="12" w:type="dxa"/>
              <w:left w:w="12" w:type="dxa"/>
              <w:bottom w:w="0" w:type="dxa"/>
              <w:right w:w="12" w:type="dxa"/>
            </w:tcMar>
            <w:vAlign w:val="center"/>
            <w:hideMark/>
          </w:tcPr>
          <w:p w14:paraId="362C6C16" w14:textId="77777777" w:rsidR="00C17982" w:rsidRPr="00E14D4C" w:rsidRDefault="00C17982" w:rsidP="00466B96">
            <w:pPr>
              <w:jc w:val="center"/>
            </w:pPr>
            <w:r w:rsidRPr="00E14D4C">
              <w:rPr>
                <w:lang w:val="es-ES"/>
              </w:rPr>
              <w:t>1 (0.4)</w:t>
            </w:r>
          </w:p>
        </w:tc>
        <w:tc>
          <w:tcPr>
            <w:tcW w:w="454" w:type="pct"/>
            <w:shd w:val="clear" w:color="auto" w:fill="auto"/>
            <w:tcMar>
              <w:top w:w="12" w:type="dxa"/>
              <w:left w:w="12" w:type="dxa"/>
              <w:bottom w:w="0" w:type="dxa"/>
              <w:right w:w="12" w:type="dxa"/>
            </w:tcMar>
            <w:vAlign w:val="center"/>
            <w:hideMark/>
          </w:tcPr>
          <w:p w14:paraId="613B4CC6" w14:textId="77777777" w:rsidR="00C17982" w:rsidRPr="00E14D4C" w:rsidRDefault="00C17982" w:rsidP="00466B96">
            <w:pPr>
              <w:jc w:val="center"/>
            </w:pPr>
            <w:r w:rsidRPr="00E14D4C">
              <w:rPr>
                <w:lang w:val="es-ES"/>
              </w:rPr>
              <w:t>1 (0.4)</w:t>
            </w:r>
          </w:p>
        </w:tc>
        <w:tc>
          <w:tcPr>
            <w:tcW w:w="455" w:type="pct"/>
            <w:shd w:val="clear" w:color="auto" w:fill="auto"/>
            <w:tcMar>
              <w:top w:w="12" w:type="dxa"/>
              <w:left w:w="12" w:type="dxa"/>
              <w:bottom w:w="0" w:type="dxa"/>
              <w:right w:w="12" w:type="dxa"/>
            </w:tcMar>
            <w:vAlign w:val="center"/>
            <w:hideMark/>
          </w:tcPr>
          <w:p w14:paraId="3AFD3E64" w14:textId="77777777" w:rsidR="00C17982" w:rsidRPr="00E14D4C" w:rsidRDefault="00C17982" w:rsidP="00466B96">
            <w:pPr>
              <w:jc w:val="center"/>
            </w:pPr>
            <w:r w:rsidRPr="00E14D4C">
              <w:rPr>
                <w:lang w:val="es-ES"/>
              </w:rPr>
              <w:t>0 (0)</w:t>
            </w:r>
          </w:p>
        </w:tc>
      </w:tr>
      <w:tr w:rsidR="00E14D4C" w:rsidRPr="00E14D4C" w14:paraId="6DF6E779" w14:textId="77777777" w:rsidTr="00E27972">
        <w:trPr>
          <w:trHeight w:val="448"/>
        </w:trPr>
        <w:tc>
          <w:tcPr>
            <w:tcW w:w="1431" w:type="pct"/>
            <w:shd w:val="clear" w:color="auto" w:fill="auto"/>
            <w:tcMar>
              <w:top w:w="12" w:type="dxa"/>
              <w:left w:w="12" w:type="dxa"/>
              <w:bottom w:w="0" w:type="dxa"/>
              <w:right w:w="12" w:type="dxa"/>
            </w:tcMar>
            <w:vAlign w:val="center"/>
            <w:hideMark/>
          </w:tcPr>
          <w:p w14:paraId="208F83C9" w14:textId="77777777" w:rsidR="00C17982" w:rsidRPr="00E14D4C" w:rsidRDefault="00C17982" w:rsidP="00466B96">
            <w:r w:rsidRPr="00E14D4C">
              <w:rPr>
                <w:lang w:val="es-ES"/>
              </w:rPr>
              <w:t>ILD/</w:t>
            </w:r>
            <w:proofErr w:type="spellStart"/>
            <w:r w:rsidRPr="00E14D4C">
              <w:rPr>
                <w:lang w:val="es-ES"/>
              </w:rPr>
              <w:t>pneumonitis</w:t>
            </w:r>
            <w:proofErr w:type="spellEnd"/>
            <w:r w:rsidRPr="00E14D4C">
              <w:rPr>
                <w:lang w:val="es-ES"/>
              </w:rPr>
              <w:t>**</w:t>
            </w:r>
          </w:p>
        </w:tc>
        <w:tc>
          <w:tcPr>
            <w:tcW w:w="632" w:type="pct"/>
            <w:shd w:val="clear" w:color="auto" w:fill="auto"/>
            <w:tcMar>
              <w:top w:w="12" w:type="dxa"/>
              <w:left w:w="12" w:type="dxa"/>
              <w:bottom w:w="0" w:type="dxa"/>
              <w:right w:w="12" w:type="dxa"/>
            </w:tcMar>
            <w:vAlign w:val="center"/>
            <w:hideMark/>
          </w:tcPr>
          <w:p w14:paraId="3CBF79E8" w14:textId="77777777" w:rsidR="00C17982" w:rsidRPr="00E14D4C" w:rsidRDefault="00C17982" w:rsidP="00466B96">
            <w:pPr>
              <w:jc w:val="center"/>
            </w:pPr>
            <w:r w:rsidRPr="00E14D4C">
              <w:rPr>
                <w:lang w:val="es-ES"/>
              </w:rPr>
              <w:t>6 (2.5)</w:t>
            </w:r>
          </w:p>
        </w:tc>
        <w:tc>
          <w:tcPr>
            <w:tcW w:w="676" w:type="pct"/>
            <w:shd w:val="clear" w:color="auto" w:fill="auto"/>
            <w:tcMar>
              <w:top w:w="12" w:type="dxa"/>
              <w:left w:w="12" w:type="dxa"/>
              <w:bottom w:w="0" w:type="dxa"/>
              <w:right w:w="12" w:type="dxa"/>
            </w:tcMar>
            <w:vAlign w:val="center"/>
            <w:hideMark/>
          </w:tcPr>
          <w:p w14:paraId="18B4827D" w14:textId="77777777" w:rsidR="00C17982" w:rsidRPr="00E14D4C" w:rsidRDefault="00C17982" w:rsidP="00466B96">
            <w:pPr>
              <w:jc w:val="center"/>
            </w:pPr>
            <w:r w:rsidRPr="00E14D4C">
              <w:rPr>
                <w:lang w:val="es-ES"/>
              </w:rPr>
              <w:t>2 (0.8)</w:t>
            </w:r>
          </w:p>
        </w:tc>
        <w:tc>
          <w:tcPr>
            <w:tcW w:w="665" w:type="pct"/>
            <w:shd w:val="clear" w:color="auto" w:fill="auto"/>
            <w:tcMar>
              <w:top w:w="12" w:type="dxa"/>
              <w:left w:w="12" w:type="dxa"/>
              <w:bottom w:w="0" w:type="dxa"/>
              <w:right w:w="12" w:type="dxa"/>
            </w:tcMar>
            <w:vAlign w:val="center"/>
            <w:hideMark/>
          </w:tcPr>
          <w:p w14:paraId="5FFEBAA4" w14:textId="77777777" w:rsidR="00C17982" w:rsidRPr="00E14D4C" w:rsidRDefault="00C17982" w:rsidP="00466B96">
            <w:pPr>
              <w:jc w:val="center"/>
            </w:pPr>
            <w:r w:rsidRPr="00E14D4C">
              <w:rPr>
                <w:lang w:val="es-ES"/>
              </w:rPr>
              <w:t>0 (0.0)</w:t>
            </w:r>
          </w:p>
        </w:tc>
        <w:tc>
          <w:tcPr>
            <w:tcW w:w="687" w:type="pct"/>
            <w:shd w:val="clear" w:color="auto" w:fill="auto"/>
            <w:tcMar>
              <w:top w:w="12" w:type="dxa"/>
              <w:left w:w="12" w:type="dxa"/>
              <w:bottom w:w="0" w:type="dxa"/>
              <w:right w:w="12" w:type="dxa"/>
            </w:tcMar>
            <w:vAlign w:val="center"/>
            <w:hideMark/>
          </w:tcPr>
          <w:p w14:paraId="4A4B1F7C" w14:textId="77777777" w:rsidR="00C17982" w:rsidRPr="00E14D4C" w:rsidRDefault="00C17982" w:rsidP="00466B96">
            <w:pPr>
              <w:jc w:val="center"/>
            </w:pPr>
            <w:r w:rsidRPr="00E14D4C">
              <w:rPr>
                <w:lang w:val="es-ES"/>
              </w:rPr>
              <w:t>6 (2.5)</w:t>
            </w:r>
          </w:p>
        </w:tc>
        <w:tc>
          <w:tcPr>
            <w:tcW w:w="454" w:type="pct"/>
            <w:shd w:val="clear" w:color="auto" w:fill="auto"/>
            <w:tcMar>
              <w:top w:w="12" w:type="dxa"/>
              <w:left w:w="12" w:type="dxa"/>
              <w:bottom w:w="0" w:type="dxa"/>
              <w:right w:w="12" w:type="dxa"/>
            </w:tcMar>
            <w:vAlign w:val="center"/>
            <w:hideMark/>
          </w:tcPr>
          <w:p w14:paraId="3F03C631" w14:textId="77777777" w:rsidR="00C17982" w:rsidRPr="00E14D4C" w:rsidRDefault="00C17982" w:rsidP="00466B96">
            <w:pPr>
              <w:jc w:val="center"/>
            </w:pPr>
            <w:r w:rsidRPr="00E14D4C">
              <w:rPr>
                <w:lang w:val="es-ES"/>
              </w:rPr>
              <w:t>3 (1.2)</w:t>
            </w:r>
          </w:p>
        </w:tc>
        <w:tc>
          <w:tcPr>
            <w:tcW w:w="455" w:type="pct"/>
            <w:shd w:val="clear" w:color="auto" w:fill="auto"/>
            <w:tcMar>
              <w:top w:w="12" w:type="dxa"/>
              <w:left w:w="12" w:type="dxa"/>
              <w:bottom w:w="0" w:type="dxa"/>
              <w:right w:w="12" w:type="dxa"/>
            </w:tcMar>
            <w:vAlign w:val="center"/>
            <w:hideMark/>
          </w:tcPr>
          <w:p w14:paraId="0ED72018" w14:textId="77777777" w:rsidR="00C17982" w:rsidRPr="00E14D4C" w:rsidRDefault="00C17982" w:rsidP="00466B96">
            <w:pPr>
              <w:jc w:val="center"/>
            </w:pPr>
            <w:r w:rsidRPr="00E14D4C">
              <w:rPr>
                <w:lang w:val="es-ES"/>
              </w:rPr>
              <w:t>0 (0)</w:t>
            </w:r>
          </w:p>
        </w:tc>
      </w:tr>
    </w:tbl>
    <w:p w14:paraId="090EDB19" w14:textId="77777777" w:rsidR="00C17982" w:rsidRPr="00B66F06" w:rsidRDefault="00C17982" w:rsidP="00800E62">
      <w:pPr>
        <w:spacing w:after="0" w:line="240" w:lineRule="auto"/>
        <w:rPr>
          <w:i/>
          <w:sz w:val="18"/>
          <w:szCs w:val="18"/>
        </w:rPr>
      </w:pPr>
      <w:r w:rsidRPr="00B66F06">
        <w:rPr>
          <w:i/>
          <w:sz w:val="18"/>
          <w:szCs w:val="18"/>
        </w:rPr>
        <w:t xml:space="preserve">*One patient died due to unrelated pulmonary embolism in </w:t>
      </w:r>
      <w:proofErr w:type="spellStart"/>
      <w:r w:rsidRPr="00B66F06">
        <w:rPr>
          <w:i/>
          <w:sz w:val="18"/>
          <w:szCs w:val="18"/>
        </w:rPr>
        <w:t>Fulvestrant</w:t>
      </w:r>
      <w:proofErr w:type="spellEnd"/>
      <w:r w:rsidRPr="00B66F06">
        <w:rPr>
          <w:i/>
          <w:sz w:val="18"/>
          <w:szCs w:val="18"/>
        </w:rPr>
        <w:t xml:space="preserve"> + Palbociclib arm.</w:t>
      </w:r>
    </w:p>
    <w:p w14:paraId="19F80BAD" w14:textId="77777777" w:rsidR="00C17982" w:rsidRPr="00B66F06" w:rsidRDefault="00C17982" w:rsidP="00800E62">
      <w:pPr>
        <w:spacing w:after="0" w:line="240" w:lineRule="auto"/>
        <w:rPr>
          <w:i/>
          <w:sz w:val="18"/>
          <w:szCs w:val="18"/>
        </w:rPr>
      </w:pPr>
      <w:r w:rsidRPr="00B66F06">
        <w:rPr>
          <w:i/>
          <w:sz w:val="18"/>
          <w:szCs w:val="18"/>
        </w:rPr>
        <w:t xml:space="preserve">**Interstitial lung disease (ILD)/pneumonitis includes any reported preferred terms that are part of the </w:t>
      </w:r>
      <w:proofErr w:type="spellStart"/>
      <w:r w:rsidRPr="00B66F06">
        <w:rPr>
          <w:i/>
          <w:sz w:val="18"/>
          <w:szCs w:val="18"/>
        </w:rPr>
        <w:t>Standardised</w:t>
      </w:r>
      <w:proofErr w:type="spellEnd"/>
      <w:r w:rsidRPr="00B66F06">
        <w:rPr>
          <w:i/>
          <w:sz w:val="18"/>
          <w:szCs w:val="18"/>
        </w:rPr>
        <w:t xml:space="preserve"> MedDRA Query Interstitial Lung Disease. AEs: Adverse events.</w:t>
      </w:r>
    </w:p>
    <w:p w14:paraId="6958717A" w14:textId="43170491" w:rsidR="00DF7E8E" w:rsidRDefault="00DF7E8E">
      <w:pPr>
        <w:spacing w:after="0" w:line="240" w:lineRule="auto"/>
        <w:jc w:val="left"/>
        <w:rPr>
          <w:b/>
          <w:bCs/>
          <w:color w:val="000000"/>
        </w:rPr>
      </w:pPr>
      <w:r>
        <w:rPr>
          <w:b/>
          <w:bCs/>
          <w:color w:val="000000"/>
        </w:rPr>
        <w:br w:type="page"/>
      </w:r>
    </w:p>
    <w:p w14:paraId="0009F4EB" w14:textId="77777777" w:rsidR="00DF7E8E" w:rsidRPr="00DF7E8E" w:rsidRDefault="00DF7E8E" w:rsidP="00DF7E8E">
      <w:pPr>
        <w:sectPr w:rsidR="00DF7E8E" w:rsidRPr="00DF7E8E" w:rsidSect="00D27007">
          <w:footerReference w:type="even" r:id="rId23"/>
          <w:pgSz w:w="12240" w:h="15840" w:code="1"/>
          <w:pgMar w:top="1134" w:right="1134" w:bottom="1134" w:left="1560" w:header="1151" w:footer="851" w:gutter="0"/>
          <w:cols w:space="720"/>
          <w:noEndnote/>
        </w:sectPr>
      </w:pPr>
    </w:p>
    <w:p w14:paraId="29D42174" w14:textId="62E443BD" w:rsidR="00576FE1" w:rsidRDefault="00576FE1" w:rsidP="002221CF">
      <w:pPr>
        <w:pStyle w:val="Descripcin"/>
        <w:keepNext/>
        <w:outlineLvl w:val="0"/>
      </w:pPr>
      <w:bookmarkStart w:id="711" w:name="_Ref52426862"/>
      <w:bookmarkStart w:id="712" w:name="_Toc52046502"/>
      <w:bookmarkStart w:id="713" w:name="_Toc52446224"/>
      <w:bookmarkStart w:id="714" w:name="_Toc52468181"/>
      <w:r>
        <w:lastRenderedPageBreak/>
        <w:t xml:space="preserve">Table </w:t>
      </w:r>
      <w:r>
        <w:fldChar w:fldCharType="begin"/>
      </w:r>
      <w:r>
        <w:instrText xml:space="preserve"> SEQ Table \* ARABIC </w:instrText>
      </w:r>
      <w:r>
        <w:fldChar w:fldCharType="separate"/>
      </w:r>
      <w:r w:rsidR="002221CF">
        <w:rPr>
          <w:noProof/>
        </w:rPr>
        <w:t>23</w:t>
      </w:r>
      <w:r>
        <w:fldChar w:fldCharType="end"/>
      </w:r>
      <w:bookmarkEnd w:id="711"/>
      <w:r>
        <w:t xml:space="preserve">. </w:t>
      </w:r>
      <w:r w:rsidRPr="001D5367">
        <w:t xml:space="preserve">IMP-related clinical </w:t>
      </w:r>
      <w:r w:rsidR="00CD2C3F">
        <w:t xml:space="preserve">laboratory </w:t>
      </w:r>
      <w:r w:rsidRPr="001D5367">
        <w:t>TEAEs</w:t>
      </w:r>
      <w:r w:rsidR="00CD2C3F">
        <w:t xml:space="preserve"> within MedDRA SOC Investigations</w:t>
      </w:r>
      <w:r w:rsidRPr="001D5367">
        <w:t>.</w:t>
      </w:r>
      <w:bookmarkEnd w:id="712"/>
      <w:bookmarkEnd w:id="713"/>
      <w:bookmarkEnd w:id="714"/>
    </w:p>
    <w:tbl>
      <w:tblPr>
        <w:tblW w:w="13609" w:type="dxa"/>
        <w:jc w:val="center"/>
        <w:tblBorders>
          <w:top w:val="single" w:sz="4" w:space="0" w:color="auto"/>
          <w:bottom w:val="single" w:sz="4" w:space="0" w:color="auto"/>
          <w:insideH w:val="single" w:sz="4" w:space="0" w:color="auto"/>
        </w:tblBorders>
        <w:tblCellMar>
          <w:left w:w="0" w:type="dxa"/>
          <w:right w:w="0" w:type="dxa"/>
        </w:tblCellMar>
        <w:tblLook w:val="04A0" w:firstRow="1" w:lastRow="0" w:firstColumn="1" w:lastColumn="0" w:noHBand="0" w:noVBand="1"/>
      </w:tblPr>
      <w:tblGrid>
        <w:gridCol w:w="4405"/>
        <w:gridCol w:w="1732"/>
        <w:gridCol w:w="1351"/>
        <w:gridCol w:w="1396"/>
        <w:gridCol w:w="189"/>
        <w:gridCol w:w="1417"/>
        <w:gridCol w:w="1418"/>
        <w:gridCol w:w="1701"/>
      </w:tblGrid>
      <w:tr w:rsidR="00576FE1" w:rsidRPr="00F14145" w14:paraId="200C9BAA" w14:textId="77777777" w:rsidTr="00115CD6">
        <w:trPr>
          <w:cantSplit/>
          <w:trHeight w:val="624"/>
          <w:jc w:val="center"/>
        </w:trPr>
        <w:tc>
          <w:tcPr>
            <w:tcW w:w="4405" w:type="dxa"/>
            <w:tcBorders>
              <w:bottom w:val="nil"/>
            </w:tcBorders>
            <w:shd w:val="clear" w:color="auto" w:fill="FFFFFF"/>
            <w:tcMar>
              <w:top w:w="0" w:type="dxa"/>
              <w:left w:w="60" w:type="dxa"/>
              <w:bottom w:w="0" w:type="dxa"/>
              <w:right w:w="60" w:type="dxa"/>
            </w:tcMar>
            <w:vAlign w:val="center"/>
          </w:tcPr>
          <w:p w14:paraId="4A141E9B" w14:textId="77777777" w:rsidR="00576FE1" w:rsidRPr="00F14145" w:rsidRDefault="00576FE1" w:rsidP="00115CD6">
            <w:pPr>
              <w:keepNext/>
              <w:adjustRightInd w:val="0"/>
              <w:spacing w:after="0" w:line="240" w:lineRule="auto"/>
              <w:rPr>
                <w:b/>
                <w:bCs/>
                <w:color w:val="000000"/>
                <w:lang w:val="en-GB"/>
              </w:rPr>
            </w:pPr>
          </w:p>
        </w:tc>
        <w:tc>
          <w:tcPr>
            <w:tcW w:w="4479" w:type="dxa"/>
            <w:gridSpan w:val="3"/>
            <w:shd w:val="clear" w:color="auto" w:fill="FFFFFF"/>
            <w:tcMar>
              <w:top w:w="0" w:type="dxa"/>
              <w:left w:w="60" w:type="dxa"/>
              <w:bottom w:w="0" w:type="dxa"/>
              <w:right w:w="60" w:type="dxa"/>
            </w:tcMar>
            <w:vAlign w:val="center"/>
          </w:tcPr>
          <w:p w14:paraId="00E6F462" w14:textId="77777777" w:rsidR="00576FE1" w:rsidRPr="00F14145" w:rsidRDefault="00576FE1" w:rsidP="00115CD6">
            <w:pPr>
              <w:keepNext/>
              <w:adjustRightInd w:val="0"/>
              <w:spacing w:after="0" w:line="240" w:lineRule="auto"/>
              <w:jc w:val="center"/>
              <w:rPr>
                <w:b/>
                <w:bCs/>
                <w:color w:val="000000"/>
                <w:lang w:val="en-GB"/>
              </w:rPr>
            </w:pPr>
            <w:r>
              <w:rPr>
                <w:b/>
                <w:bCs/>
                <w:color w:val="000000"/>
                <w:lang w:val="en-GB"/>
              </w:rPr>
              <w:t xml:space="preserve">Palbociclib - </w:t>
            </w:r>
            <w:proofErr w:type="spellStart"/>
            <w:r w:rsidRPr="00F14145">
              <w:rPr>
                <w:b/>
                <w:bCs/>
                <w:color w:val="000000"/>
                <w:lang w:val="en-GB"/>
              </w:rPr>
              <w:t>Fulvestrant</w:t>
            </w:r>
            <w:proofErr w:type="spellEnd"/>
          </w:p>
          <w:p w14:paraId="3739FF6F" w14:textId="77777777" w:rsidR="00576FE1" w:rsidRPr="00F14145" w:rsidRDefault="00576FE1" w:rsidP="00115CD6">
            <w:pPr>
              <w:keepNext/>
              <w:adjustRightInd w:val="0"/>
              <w:spacing w:after="0" w:line="240" w:lineRule="auto"/>
              <w:jc w:val="center"/>
              <w:rPr>
                <w:bCs/>
                <w:color w:val="000000"/>
                <w:lang w:val="en-GB"/>
              </w:rPr>
            </w:pPr>
            <w:r w:rsidRPr="00F14145">
              <w:rPr>
                <w:bCs/>
                <w:color w:val="000000"/>
                <w:lang w:val="en-GB"/>
              </w:rPr>
              <w:t>(N=241)</w:t>
            </w:r>
          </w:p>
        </w:tc>
        <w:tc>
          <w:tcPr>
            <w:tcW w:w="189" w:type="dxa"/>
            <w:shd w:val="clear" w:color="auto" w:fill="FFFFFF"/>
          </w:tcPr>
          <w:p w14:paraId="47092921" w14:textId="77777777" w:rsidR="00576FE1" w:rsidRDefault="00576FE1" w:rsidP="00115CD6">
            <w:pPr>
              <w:keepNext/>
              <w:adjustRightInd w:val="0"/>
              <w:spacing w:after="0" w:line="240" w:lineRule="auto"/>
              <w:jc w:val="center"/>
              <w:rPr>
                <w:b/>
                <w:bCs/>
                <w:color w:val="000000"/>
                <w:lang w:val="en-GB"/>
              </w:rPr>
            </w:pPr>
          </w:p>
        </w:tc>
        <w:tc>
          <w:tcPr>
            <w:tcW w:w="4536" w:type="dxa"/>
            <w:gridSpan w:val="3"/>
            <w:shd w:val="clear" w:color="auto" w:fill="FFFFFF"/>
            <w:tcMar>
              <w:top w:w="0" w:type="dxa"/>
              <w:left w:w="60" w:type="dxa"/>
              <w:bottom w:w="0" w:type="dxa"/>
              <w:right w:w="60" w:type="dxa"/>
            </w:tcMar>
            <w:vAlign w:val="center"/>
          </w:tcPr>
          <w:p w14:paraId="457BBA31" w14:textId="77777777" w:rsidR="00576FE1" w:rsidRPr="00F14145" w:rsidRDefault="00576FE1" w:rsidP="00115CD6">
            <w:pPr>
              <w:keepNext/>
              <w:adjustRightInd w:val="0"/>
              <w:spacing w:after="0" w:line="240" w:lineRule="auto"/>
              <w:jc w:val="center"/>
              <w:rPr>
                <w:b/>
                <w:bCs/>
                <w:color w:val="000000"/>
                <w:lang w:val="en-GB"/>
              </w:rPr>
            </w:pPr>
            <w:r>
              <w:rPr>
                <w:b/>
                <w:bCs/>
                <w:color w:val="000000"/>
                <w:lang w:val="en-GB"/>
              </w:rPr>
              <w:t xml:space="preserve">Palbociclib - </w:t>
            </w:r>
            <w:r w:rsidRPr="00F14145">
              <w:rPr>
                <w:b/>
                <w:bCs/>
                <w:color w:val="000000"/>
                <w:lang w:val="en-GB"/>
              </w:rPr>
              <w:t>Letrozole</w:t>
            </w:r>
          </w:p>
          <w:p w14:paraId="36A2D686" w14:textId="77777777" w:rsidR="00576FE1" w:rsidRPr="00F14145" w:rsidRDefault="00576FE1" w:rsidP="00115CD6">
            <w:pPr>
              <w:keepNext/>
              <w:adjustRightInd w:val="0"/>
              <w:spacing w:after="0" w:line="240" w:lineRule="auto"/>
              <w:jc w:val="center"/>
              <w:rPr>
                <w:bCs/>
                <w:color w:val="000000"/>
                <w:lang w:val="en-GB"/>
              </w:rPr>
            </w:pPr>
            <w:r w:rsidRPr="00F14145">
              <w:rPr>
                <w:bCs/>
                <w:color w:val="000000"/>
                <w:lang w:val="en-GB"/>
              </w:rPr>
              <w:t>(N=242)</w:t>
            </w:r>
          </w:p>
        </w:tc>
      </w:tr>
      <w:tr w:rsidR="00576FE1" w:rsidRPr="00F14145" w14:paraId="4105D2CD" w14:textId="77777777" w:rsidTr="00115CD6">
        <w:trPr>
          <w:cantSplit/>
          <w:trHeight w:val="420"/>
          <w:jc w:val="center"/>
        </w:trPr>
        <w:tc>
          <w:tcPr>
            <w:tcW w:w="4405" w:type="dxa"/>
            <w:tcBorders>
              <w:top w:val="nil"/>
              <w:bottom w:val="single" w:sz="4" w:space="0" w:color="auto"/>
            </w:tcBorders>
            <w:shd w:val="clear" w:color="auto" w:fill="FFFFFF"/>
            <w:tcMar>
              <w:top w:w="0" w:type="dxa"/>
              <w:left w:w="60" w:type="dxa"/>
              <w:bottom w:w="0" w:type="dxa"/>
              <w:right w:w="60" w:type="dxa"/>
            </w:tcMar>
            <w:vAlign w:val="center"/>
          </w:tcPr>
          <w:p w14:paraId="1EBC7917" w14:textId="77777777" w:rsidR="00576FE1" w:rsidRPr="00F14145" w:rsidRDefault="00576FE1" w:rsidP="00115CD6">
            <w:pPr>
              <w:keepNext/>
              <w:adjustRightInd w:val="0"/>
              <w:spacing w:after="0" w:line="240" w:lineRule="auto"/>
              <w:rPr>
                <w:b/>
                <w:bCs/>
                <w:color w:val="000000"/>
                <w:lang w:val="en-GB"/>
              </w:rPr>
            </w:pPr>
          </w:p>
        </w:tc>
        <w:tc>
          <w:tcPr>
            <w:tcW w:w="1732" w:type="dxa"/>
            <w:tcBorders>
              <w:bottom w:val="single" w:sz="4" w:space="0" w:color="auto"/>
            </w:tcBorders>
            <w:shd w:val="clear" w:color="auto" w:fill="FFFFFF"/>
            <w:tcMar>
              <w:top w:w="0" w:type="dxa"/>
              <w:left w:w="60" w:type="dxa"/>
              <w:bottom w:w="0" w:type="dxa"/>
              <w:right w:w="60" w:type="dxa"/>
            </w:tcMar>
            <w:vAlign w:val="center"/>
            <w:hideMark/>
          </w:tcPr>
          <w:p w14:paraId="3F7E20E7" w14:textId="77777777" w:rsidR="00576FE1" w:rsidRPr="00F14145" w:rsidRDefault="00576FE1" w:rsidP="00115CD6">
            <w:pPr>
              <w:keepNext/>
              <w:adjustRightInd w:val="0"/>
              <w:spacing w:after="0" w:line="240" w:lineRule="auto"/>
              <w:jc w:val="center"/>
              <w:rPr>
                <w:b/>
                <w:bCs/>
                <w:color w:val="000000"/>
                <w:lang w:val="en-GB"/>
              </w:rPr>
            </w:pPr>
            <w:r>
              <w:rPr>
                <w:b/>
                <w:bCs/>
                <w:color w:val="000000"/>
                <w:lang w:val="en-GB"/>
              </w:rPr>
              <w:t xml:space="preserve">Any </w:t>
            </w:r>
          </w:p>
        </w:tc>
        <w:tc>
          <w:tcPr>
            <w:tcW w:w="1351" w:type="dxa"/>
            <w:tcBorders>
              <w:bottom w:val="single" w:sz="4" w:space="0" w:color="auto"/>
            </w:tcBorders>
            <w:shd w:val="clear" w:color="auto" w:fill="FFFFFF"/>
            <w:vAlign w:val="center"/>
          </w:tcPr>
          <w:p w14:paraId="64C10493" w14:textId="77777777" w:rsidR="00576FE1" w:rsidRPr="00F14145" w:rsidRDefault="00576FE1" w:rsidP="00115CD6">
            <w:pPr>
              <w:keepNext/>
              <w:adjustRightInd w:val="0"/>
              <w:spacing w:after="0" w:line="240" w:lineRule="auto"/>
              <w:jc w:val="center"/>
              <w:rPr>
                <w:b/>
                <w:bCs/>
                <w:color w:val="000000"/>
                <w:lang w:val="en-GB"/>
              </w:rPr>
            </w:pPr>
            <w:r w:rsidRPr="00F14145">
              <w:rPr>
                <w:b/>
                <w:bCs/>
                <w:color w:val="000000"/>
                <w:lang w:val="en-GB"/>
              </w:rPr>
              <w:t xml:space="preserve">Grade </w:t>
            </w:r>
            <w:r>
              <w:rPr>
                <w:b/>
                <w:bCs/>
                <w:color w:val="000000"/>
                <w:lang w:val="en-GB"/>
              </w:rPr>
              <w:t xml:space="preserve">≥ </w:t>
            </w:r>
            <w:r w:rsidRPr="00F14145">
              <w:rPr>
                <w:b/>
                <w:bCs/>
                <w:color w:val="000000"/>
                <w:lang w:val="en-GB"/>
              </w:rPr>
              <w:t>3</w:t>
            </w:r>
          </w:p>
        </w:tc>
        <w:tc>
          <w:tcPr>
            <w:tcW w:w="1396" w:type="dxa"/>
            <w:tcBorders>
              <w:bottom w:val="single" w:sz="4" w:space="0" w:color="auto"/>
            </w:tcBorders>
            <w:shd w:val="clear" w:color="auto" w:fill="FFFFFF"/>
            <w:vAlign w:val="center"/>
          </w:tcPr>
          <w:p w14:paraId="5BD96041" w14:textId="77777777" w:rsidR="00576FE1" w:rsidRPr="00F14145" w:rsidRDefault="00576FE1" w:rsidP="00115CD6">
            <w:pPr>
              <w:keepNext/>
              <w:adjustRightInd w:val="0"/>
              <w:spacing w:after="0" w:line="240" w:lineRule="auto"/>
              <w:jc w:val="center"/>
              <w:rPr>
                <w:b/>
                <w:bCs/>
                <w:color w:val="000000"/>
                <w:lang w:val="en-GB"/>
              </w:rPr>
            </w:pPr>
            <w:r w:rsidRPr="00F14145">
              <w:rPr>
                <w:b/>
                <w:bCs/>
                <w:color w:val="000000"/>
                <w:lang w:val="en-GB"/>
              </w:rPr>
              <w:t>Serious</w:t>
            </w:r>
          </w:p>
        </w:tc>
        <w:tc>
          <w:tcPr>
            <w:tcW w:w="189" w:type="dxa"/>
            <w:tcBorders>
              <w:bottom w:val="single" w:sz="4" w:space="0" w:color="auto"/>
            </w:tcBorders>
            <w:shd w:val="clear" w:color="auto" w:fill="FFFFFF"/>
          </w:tcPr>
          <w:p w14:paraId="3D4E8A2F" w14:textId="77777777" w:rsidR="00576FE1" w:rsidRDefault="00576FE1" w:rsidP="00115CD6">
            <w:pPr>
              <w:keepNext/>
              <w:adjustRightInd w:val="0"/>
              <w:spacing w:after="0" w:line="240" w:lineRule="auto"/>
              <w:jc w:val="center"/>
              <w:rPr>
                <w:b/>
                <w:bCs/>
                <w:color w:val="000000"/>
                <w:lang w:val="en-GB"/>
              </w:rPr>
            </w:pPr>
          </w:p>
        </w:tc>
        <w:tc>
          <w:tcPr>
            <w:tcW w:w="1417" w:type="dxa"/>
            <w:tcBorders>
              <w:bottom w:val="single" w:sz="4" w:space="0" w:color="auto"/>
            </w:tcBorders>
            <w:shd w:val="clear" w:color="auto" w:fill="FFFFFF"/>
            <w:tcMar>
              <w:top w:w="0" w:type="dxa"/>
              <w:left w:w="60" w:type="dxa"/>
              <w:bottom w:w="0" w:type="dxa"/>
              <w:right w:w="60" w:type="dxa"/>
            </w:tcMar>
            <w:vAlign w:val="center"/>
            <w:hideMark/>
          </w:tcPr>
          <w:p w14:paraId="09180E7C" w14:textId="77777777" w:rsidR="00576FE1" w:rsidRPr="00F14145" w:rsidRDefault="00576FE1" w:rsidP="00115CD6">
            <w:pPr>
              <w:keepNext/>
              <w:adjustRightInd w:val="0"/>
              <w:spacing w:after="0" w:line="240" w:lineRule="auto"/>
              <w:jc w:val="center"/>
              <w:rPr>
                <w:b/>
                <w:bCs/>
                <w:color w:val="000000"/>
                <w:lang w:val="en-GB"/>
              </w:rPr>
            </w:pPr>
            <w:r>
              <w:rPr>
                <w:b/>
                <w:bCs/>
                <w:color w:val="000000"/>
                <w:lang w:val="en-GB"/>
              </w:rPr>
              <w:t>Any</w:t>
            </w:r>
          </w:p>
        </w:tc>
        <w:tc>
          <w:tcPr>
            <w:tcW w:w="1418" w:type="dxa"/>
            <w:tcBorders>
              <w:bottom w:val="single" w:sz="4" w:space="0" w:color="auto"/>
            </w:tcBorders>
            <w:shd w:val="clear" w:color="auto" w:fill="FFFFFF"/>
            <w:tcMar>
              <w:top w:w="0" w:type="dxa"/>
              <w:left w:w="60" w:type="dxa"/>
              <w:bottom w:w="0" w:type="dxa"/>
              <w:right w:w="60" w:type="dxa"/>
            </w:tcMar>
            <w:vAlign w:val="center"/>
          </w:tcPr>
          <w:p w14:paraId="7AF0639D" w14:textId="77777777" w:rsidR="00576FE1" w:rsidRPr="00F14145" w:rsidRDefault="00576FE1" w:rsidP="00115CD6">
            <w:pPr>
              <w:keepNext/>
              <w:adjustRightInd w:val="0"/>
              <w:spacing w:after="0" w:line="240" w:lineRule="auto"/>
              <w:jc w:val="center"/>
              <w:rPr>
                <w:b/>
                <w:bCs/>
                <w:color w:val="000000"/>
                <w:lang w:val="en-GB"/>
              </w:rPr>
            </w:pPr>
            <w:r w:rsidRPr="00F14145">
              <w:rPr>
                <w:b/>
                <w:bCs/>
                <w:color w:val="000000"/>
                <w:lang w:val="en-GB"/>
              </w:rPr>
              <w:t>Grade</w:t>
            </w:r>
            <w:r>
              <w:rPr>
                <w:b/>
                <w:bCs/>
                <w:color w:val="000000"/>
                <w:lang w:val="en-GB"/>
              </w:rPr>
              <w:t xml:space="preserve"> ≥ </w:t>
            </w:r>
            <w:r w:rsidRPr="00F14145">
              <w:rPr>
                <w:b/>
                <w:bCs/>
                <w:color w:val="000000"/>
                <w:lang w:val="en-GB"/>
              </w:rPr>
              <w:t>3</w:t>
            </w:r>
          </w:p>
        </w:tc>
        <w:tc>
          <w:tcPr>
            <w:tcW w:w="1701" w:type="dxa"/>
            <w:tcBorders>
              <w:bottom w:val="single" w:sz="4" w:space="0" w:color="auto"/>
            </w:tcBorders>
            <w:shd w:val="clear" w:color="auto" w:fill="FFFFFF"/>
            <w:vAlign w:val="center"/>
          </w:tcPr>
          <w:p w14:paraId="732A838E" w14:textId="77777777" w:rsidR="00576FE1" w:rsidRPr="00F14145" w:rsidRDefault="00576FE1" w:rsidP="00115CD6">
            <w:pPr>
              <w:keepNext/>
              <w:adjustRightInd w:val="0"/>
              <w:spacing w:after="0" w:line="240" w:lineRule="auto"/>
              <w:jc w:val="center"/>
              <w:rPr>
                <w:b/>
                <w:bCs/>
                <w:color w:val="000000"/>
                <w:lang w:val="en-GB"/>
              </w:rPr>
            </w:pPr>
            <w:r>
              <w:rPr>
                <w:b/>
                <w:bCs/>
                <w:color w:val="000000"/>
                <w:lang w:val="en-GB"/>
              </w:rPr>
              <w:t>Serious</w:t>
            </w:r>
          </w:p>
        </w:tc>
      </w:tr>
      <w:tr w:rsidR="00576FE1" w:rsidRPr="00F14145" w14:paraId="05D569F3" w14:textId="77777777" w:rsidTr="00115CD6">
        <w:trPr>
          <w:cantSplit/>
          <w:trHeight w:val="424"/>
          <w:jc w:val="center"/>
        </w:trPr>
        <w:tc>
          <w:tcPr>
            <w:tcW w:w="4405" w:type="dxa"/>
            <w:tcBorders>
              <w:bottom w:val="nil"/>
            </w:tcBorders>
            <w:shd w:val="clear" w:color="auto" w:fill="FFFFFF"/>
            <w:tcMar>
              <w:top w:w="0" w:type="dxa"/>
              <w:left w:w="60" w:type="dxa"/>
              <w:bottom w:w="0" w:type="dxa"/>
              <w:right w:w="60" w:type="dxa"/>
            </w:tcMar>
            <w:vAlign w:val="center"/>
            <w:hideMark/>
          </w:tcPr>
          <w:p w14:paraId="1774D1D3" w14:textId="77777777" w:rsidR="00576FE1" w:rsidRPr="00F14145" w:rsidRDefault="00576FE1" w:rsidP="00115CD6">
            <w:pPr>
              <w:keepNext/>
              <w:adjustRightInd w:val="0"/>
              <w:spacing w:after="0" w:line="240" w:lineRule="auto"/>
              <w:rPr>
                <w:color w:val="000000"/>
              </w:rPr>
            </w:pPr>
            <w:r w:rsidRPr="00F14145">
              <w:rPr>
                <w:color w:val="000000"/>
              </w:rPr>
              <w:t>Alanine aminotransferase increased</w:t>
            </w:r>
          </w:p>
        </w:tc>
        <w:tc>
          <w:tcPr>
            <w:tcW w:w="1732" w:type="dxa"/>
            <w:tcBorders>
              <w:bottom w:val="nil"/>
            </w:tcBorders>
            <w:shd w:val="clear" w:color="auto" w:fill="FFFFFF"/>
            <w:tcMar>
              <w:top w:w="0" w:type="dxa"/>
              <w:left w:w="60" w:type="dxa"/>
              <w:bottom w:w="0" w:type="dxa"/>
              <w:right w:w="60" w:type="dxa"/>
            </w:tcMar>
            <w:vAlign w:val="center"/>
            <w:hideMark/>
          </w:tcPr>
          <w:p w14:paraId="77A24CD6" w14:textId="77777777" w:rsidR="00576FE1" w:rsidRPr="00F14145" w:rsidRDefault="00576FE1" w:rsidP="00115CD6">
            <w:pPr>
              <w:keepNext/>
              <w:adjustRightInd w:val="0"/>
              <w:spacing w:after="0" w:line="240" w:lineRule="auto"/>
              <w:jc w:val="center"/>
              <w:rPr>
                <w:color w:val="000000"/>
              </w:rPr>
            </w:pPr>
            <w:r w:rsidRPr="00F14145">
              <w:rPr>
                <w:color w:val="000000"/>
              </w:rPr>
              <w:t>9 (3.7%)</w:t>
            </w:r>
          </w:p>
        </w:tc>
        <w:tc>
          <w:tcPr>
            <w:tcW w:w="1351" w:type="dxa"/>
            <w:tcBorders>
              <w:bottom w:val="nil"/>
            </w:tcBorders>
            <w:shd w:val="clear" w:color="auto" w:fill="FFFFFF"/>
            <w:vAlign w:val="center"/>
          </w:tcPr>
          <w:p w14:paraId="286AAEFF" w14:textId="77777777" w:rsidR="00576FE1" w:rsidRPr="00F14145" w:rsidRDefault="00576FE1" w:rsidP="00115CD6">
            <w:pPr>
              <w:keepNext/>
              <w:adjustRightInd w:val="0"/>
              <w:spacing w:after="0" w:line="240" w:lineRule="auto"/>
              <w:jc w:val="center"/>
              <w:rPr>
                <w:color w:val="000000"/>
              </w:rPr>
            </w:pPr>
            <w:r w:rsidRPr="00F14145">
              <w:rPr>
                <w:color w:val="000000"/>
              </w:rPr>
              <w:t>8 (3.3%)</w:t>
            </w:r>
          </w:p>
        </w:tc>
        <w:tc>
          <w:tcPr>
            <w:tcW w:w="1396" w:type="dxa"/>
            <w:tcBorders>
              <w:bottom w:val="nil"/>
            </w:tcBorders>
            <w:shd w:val="clear" w:color="auto" w:fill="FFFFFF"/>
            <w:vAlign w:val="center"/>
          </w:tcPr>
          <w:p w14:paraId="1FC82CDA" w14:textId="77777777" w:rsidR="00576FE1" w:rsidRPr="00F14145" w:rsidRDefault="00576FE1" w:rsidP="00115CD6">
            <w:pPr>
              <w:keepNext/>
              <w:adjustRightInd w:val="0"/>
              <w:spacing w:after="0" w:line="240" w:lineRule="auto"/>
              <w:jc w:val="center"/>
              <w:rPr>
                <w:color w:val="000000"/>
              </w:rPr>
            </w:pPr>
            <w:r w:rsidRPr="00F14145">
              <w:rPr>
                <w:color w:val="000000"/>
              </w:rPr>
              <w:t>4 (1.7%)</w:t>
            </w:r>
          </w:p>
        </w:tc>
        <w:tc>
          <w:tcPr>
            <w:tcW w:w="189" w:type="dxa"/>
            <w:tcBorders>
              <w:bottom w:val="nil"/>
            </w:tcBorders>
            <w:shd w:val="clear" w:color="auto" w:fill="FFFFFF"/>
          </w:tcPr>
          <w:p w14:paraId="5D6D7438" w14:textId="77777777" w:rsidR="00576FE1" w:rsidRPr="00F14145" w:rsidRDefault="00576FE1" w:rsidP="00115CD6">
            <w:pPr>
              <w:keepNext/>
              <w:adjustRightInd w:val="0"/>
              <w:spacing w:after="0" w:line="240" w:lineRule="auto"/>
              <w:jc w:val="center"/>
              <w:rPr>
                <w:color w:val="000000"/>
              </w:rPr>
            </w:pPr>
          </w:p>
        </w:tc>
        <w:tc>
          <w:tcPr>
            <w:tcW w:w="1417" w:type="dxa"/>
            <w:tcBorders>
              <w:bottom w:val="nil"/>
            </w:tcBorders>
            <w:shd w:val="clear" w:color="auto" w:fill="FFFFFF"/>
            <w:tcMar>
              <w:top w:w="0" w:type="dxa"/>
              <w:left w:w="60" w:type="dxa"/>
              <w:bottom w:w="0" w:type="dxa"/>
              <w:right w:w="60" w:type="dxa"/>
            </w:tcMar>
            <w:vAlign w:val="center"/>
            <w:hideMark/>
          </w:tcPr>
          <w:p w14:paraId="4B107E0E" w14:textId="77777777" w:rsidR="00576FE1" w:rsidRPr="00F14145" w:rsidRDefault="00576FE1" w:rsidP="00115CD6">
            <w:pPr>
              <w:keepNext/>
              <w:adjustRightInd w:val="0"/>
              <w:spacing w:after="0" w:line="240" w:lineRule="auto"/>
              <w:jc w:val="center"/>
              <w:rPr>
                <w:color w:val="000000"/>
              </w:rPr>
            </w:pPr>
            <w:r w:rsidRPr="00F14145">
              <w:rPr>
                <w:color w:val="000000"/>
              </w:rPr>
              <w:t>11 (4.5%)</w:t>
            </w:r>
          </w:p>
        </w:tc>
        <w:tc>
          <w:tcPr>
            <w:tcW w:w="1418" w:type="dxa"/>
            <w:tcBorders>
              <w:bottom w:val="nil"/>
            </w:tcBorders>
            <w:shd w:val="clear" w:color="auto" w:fill="FFFFFF"/>
            <w:tcMar>
              <w:top w:w="0" w:type="dxa"/>
              <w:left w:w="60" w:type="dxa"/>
              <w:bottom w:w="0" w:type="dxa"/>
              <w:right w:w="60" w:type="dxa"/>
            </w:tcMar>
            <w:vAlign w:val="center"/>
          </w:tcPr>
          <w:p w14:paraId="52C0C6A3" w14:textId="77777777" w:rsidR="00576FE1" w:rsidRPr="00F14145" w:rsidRDefault="00576FE1" w:rsidP="00115CD6">
            <w:pPr>
              <w:keepNext/>
              <w:adjustRightInd w:val="0"/>
              <w:spacing w:after="0" w:line="240" w:lineRule="auto"/>
              <w:jc w:val="center"/>
              <w:rPr>
                <w:color w:val="000000"/>
              </w:rPr>
            </w:pPr>
            <w:r w:rsidRPr="00F14145">
              <w:rPr>
                <w:color w:val="000000"/>
              </w:rPr>
              <w:t>3 (1.2%)</w:t>
            </w:r>
          </w:p>
        </w:tc>
        <w:tc>
          <w:tcPr>
            <w:tcW w:w="1701" w:type="dxa"/>
            <w:tcBorders>
              <w:bottom w:val="nil"/>
            </w:tcBorders>
            <w:shd w:val="clear" w:color="auto" w:fill="FFFFFF"/>
            <w:vAlign w:val="center"/>
          </w:tcPr>
          <w:p w14:paraId="4891361A"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r>
      <w:tr w:rsidR="00576FE1" w:rsidRPr="00F14145" w14:paraId="1CB0158A" w14:textId="77777777" w:rsidTr="00115CD6">
        <w:trPr>
          <w:cantSplit/>
          <w:trHeight w:val="276"/>
          <w:jc w:val="center"/>
        </w:trPr>
        <w:tc>
          <w:tcPr>
            <w:tcW w:w="4405" w:type="dxa"/>
            <w:tcBorders>
              <w:top w:val="nil"/>
              <w:bottom w:val="nil"/>
            </w:tcBorders>
            <w:shd w:val="clear" w:color="auto" w:fill="FFFFFF"/>
            <w:tcMar>
              <w:top w:w="0" w:type="dxa"/>
              <w:left w:w="60" w:type="dxa"/>
              <w:bottom w:w="0" w:type="dxa"/>
              <w:right w:w="60" w:type="dxa"/>
            </w:tcMar>
            <w:vAlign w:val="center"/>
            <w:hideMark/>
          </w:tcPr>
          <w:p w14:paraId="674E5555" w14:textId="77777777" w:rsidR="00576FE1" w:rsidRPr="00F14145" w:rsidRDefault="00576FE1" w:rsidP="00115CD6">
            <w:pPr>
              <w:keepNext/>
              <w:adjustRightInd w:val="0"/>
              <w:spacing w:after="0" w:line="240" w:lineRule="auto"/>
              <w:rPr>
                <w:color w:val="000000"/>
              </w:rPr>
            </w:pPr>
            <w:r w:rsidRPr="00F14145">
              <w:rPr>
                <w:color w:val="000000"/>
              </w:rPr>
              <w:t>Aspartate aminotransferase increased</w:t>
            </w:r>
          </w:p>
        </w:tc>
        <w:tc>
          <w:tcPr>
            <w:tcW w:w="1732" w:type="dxa"/>
            <w:tcBorders>
              <w:top w:val="nil"/>
              <w:bottom w:val="nil"/>
            </w:tcBorders>
            <w:shd w:val="clear" w:color="auto" w:fill="FFFFFF"/>
            <w:tcMar>
              <w:top w:w="0" w:type="dxa"/>
              <w:left w:w="60" w:type="dxa"/>
              <w:bottom w:w="0" w:type="dxa"/>
              <w:right w:w="60" w:type="dxa"/>
            </w:tcMar>
            <w:vAlign w:val="center"/>
            <w:hideMark/>
          </w:tcPr>
          <w:p w14:paraId="432C97B6" w14:textId="77777777" w:rsidR="00576FE1" w:rsidRPr="00F14145" w:rsidRDefault="00576FE1" w:rsidP="00115CD6">
            <w:pPr>
              <w:keepNext/>
              <w:adjustRightInd w:val="0"/>
              <w:spacing w:after="0" w:line="240" w:lineRule="auto"/>
              <w:jc w:val="center"/>
              <w:rPr>
                <w:color w:val="000000"/>
              </w:rPr>
            </w:pPr>
            <w:r w:rsidRPr="00F14145">
              <w:rPr>
                <w:color w:val="000000"/>
              </w:rPr>
              <w:t>11 (4.6%)</w:t>
            </w:r>
          </w:p>
        </w:tc>
        <w:tc>
          <w:tcPr>
            <w:tcW w:w="1351" w:type="dxa"/>
            <w:tcBorders>
              <w:top w:val="nil"/>
              <w:bottom w:val="nil"/>
            </w:tcBorders>
            <w:shd w:val="clear" w:color="auto" w:fill="FFFFFF"/>
            <w:vAlign w:val="center"/>
          </w:tcPr>
          <w:p w14:paraId="20C5084C" w14:textId="77777777" w:rsidR="00576FE1" w:rsidRPr="00F14145" w:rsidRDefault="00576FE1" w:rsidP="00115CD6">
            <w:pPr>
              <w:keepNext/>
              <w:adjustRightInd w:val="0"/>
              <w:spacing w:after="0" w:line="240" w:lineRule="auto"/>
              <w:jc w:val="center"/>
              <w:rPr>
                <w:color w:val="000000"/>
              </w:rPr>
            </w:pPr>
            <w:r w:rsidRPr="00F14145">
              <w:rPr>
                <w:color w:val="000000"/>
              </w:rPr>
              <w:t>5 (2.1%)</w:t>
            </w:r>
          </w:p>
        </w:tc>
        <w:tc>
          <w:tcPr>
            <w:tcW w:w="1396" w:type="dxa"/>
            <w:tcBorders>
              <w:top w:val="nil"/>
              <w:bottom w:val="nil"/>
            </w:tcBorders>
            <w:shd w:val="clear" w:color="auto" w:fill="FFFFFF"/>
            <w:vAlign w:val="center"/>
          </w:tcPr>
          <w:p w14:paraId="41DC03A8" w14:textId="77777777" w:rsidR="00576FE1" w:rsidRPr="00F14145" w:rsidRDefault="00576FE1" w:rsidP="00115CD6">
            <w:pPr>
              <w:keepNext/>
              <w:adjustRightInd w:val="0"/>
              <w:spacing w:after="0" w:line="240" w:lineRule="auto"/>
              <w:jc w:val="center"/>
              <w:rPr>
                <w:color w:val="000000"/>
              </w:rPr>
            </w:pPr>
            <w:r w:rsidRPr="00F14145">
              <w:rPr>
                <w:color w:val="000000"/>
              </w:rPr>
              <w:t>2 (0.8%)</w:t>
            </w:r>
          </w:p>
        </w:tc>
        <w:tc>
          <w:tcPr>
            <w:tcW w:w="189" w:type="dxa"/>
            <w:tcBorders>
              <w:top w:val="nil"/>
              <w:bottom w:val="nil"/>
            </w:tcBorders>
            <w:shd w:val="clear" w:color="auto" w:fill="FFFFFF"/>
          </w:tcPr>
          <w:p w14:paraId="308518C7" w14:textId="77777777" w:rsidR="00576FE1" w:rsidRPr="00F14145" w:rsidRDefault="00576FE1" w:rsidP="00115CD6">
            <w:pPr>
              <w:keepNext/>
              <w:adjustRightInd w:val="0"/>
              <w:spacing w:after="0" w:line="240" w:lineRule="auto"/>
              <w:jc w:val="center"/>
              <w:rPr>
                <w:color w:val="000000"/>
              </w:rPr>
            </w:pPr>
          </w:p>
        </w:tc>
        <w:tc>
          <w:tcPr>
            <w:tcW w:w="1417" w:type="dxa"/>
            <w:tcBorders>
              <w:top w:val="nil"/>
              <w:bottom w:val="nil"/>
            </w:tcBorders>
            <w:shd w:val="clear" w:color="auto" w:fill="FFFFFF"/>
            <w:tcMar>
              <w:top w:w="0" w:type="dxa"/>
              <w:left w:w="60" w:type="dxa"/>
              <w:bottom w:w="0" w:type="dxa"/>
              <w:right w:w="60" w:type="dxa"/>
            </w:tcMar>
            <w:vAlign w:val="center"/>
            <w:hideMark/>
          </w:tcPr>
          <w:p w14:paraId="7D144E79" w14:textId="77777777" w:rsidR="00576FE1" w:rsidRPr="00F14145" w:rsidRDefault="00576FE1" w:rsidP="00115CD6">
            <w:pPr>
              <w:keepNext/>
              <w:adjustRightInd w:val="0"/>
              <w:spacing w:after="0" w:line="240" w:lineRule="auto"/>
              <w:jc w:val="center"/>
              <w:rPr>
                <w:color w:val="000000"/>
              </w:rPr>
            </w:pPr>
            <w:r w:rsidRPr="00F14145">
              <w:rPr>
                <w:color w:val="000000"/>
              </w:rPr>
              <w:t>9 (3.7%)</w:t>
            </w:r>
          </w:p>
        </w:tc>
        <w:tc>
          <w:tcPr>
            <w:tcW w:w="1418" w:type="dxa"/>
            <w:tcBorders>
              <w:top w:val="nil"/>
              <w:bottom w:val="nil"/>
            </w:tcBorders>
            <w:shd w:val="clear" w:color="auto" w:fill="FFFFFF"/>
            <w:tcMar>
              <w:top w:w="0" w:type="dxa"/>
              <w:left w:w="60" w:type="dxa"/>
              <w:bottom w:w="0" w:type="dxa"/>
              <w:right w:w="60" w:type="dxa"/>
            </w:tcMar>
            <w:vAlign w:val="center"/>
          </w:tcPr>
          <w:p w14:paraId="0F138367" w14:textId="77777777" w:rsidR="00576FE1" w:rsidRPr="00F14145" w:rsidRDefault="00576FE1" w:rsidP="00115CD6">
            <w:pPr>
              <w:keepNext/>
              <w:adjustRightInd w:val="0"/>
              <w:spacing w:after="0" w:line="240" w:lineRule="auto"/>
              <w:jc w:val="center"/>
              <w:rPr>
                <w:color w:val="000000"/>
              </w:rPr>
            </w:pPr>
            <w:r w:rsidRPr="00F14145">
              <w:rPr>
                <w:color w:val="000000"/>
              </w:rPr>
              <w:t>3 (1.2%)</w:t>
            </w:r>
          </w:p>
        </w:tc>
        <w:tc>
          <w:tcPr>
            <w:tcW w:w="1701" w:type="dxa"/>
            <w:tcBorders>
              <w:top w:val="nil"/>
              <w:bottom w:val="nil"/>
            </w:tcBorders>
            <w:shd w:val="clear" w:color="auto" w:fill="FFFFFF"/>
            <w:vAlign w:val="center"/>
          </w:tcPr>
          <w:p w14:paraId="7AA4BB3D"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r>
      <w:tr w:rsidR="00576FE1" w:rsidRPr="00F14145" w14:paraId="5E887B13" w14:textId="77777777" w:rsidTr="00115CD6">
        <w:trPr>
          <w:cantSplit/>
          <w:trHeight w:val="335"/>
          <w:jc w:val="center"/>
        </w:trPr>
        <w:tc>
          <w:tcPr>
            <w:tcW w:w="4405" w:type="dxa"/>
            <w:tcBorders>
              <w:top w:val="nil"/>
              <w:bottom w:val="nil"/>
            </w:tcBorders>
            <w:shd w:val="clear" w:color="auto" w:fill="FFFFFF"/>
            <w:tcMar>
              <w:top w:w="0" w:type="dxa"/>
              <w:left w:w="60" w:type="dxa"/>
              <w:bottom w:w="0" w:type="dxa"/>
              <w:right w:w="60" w:type="dxa"/>
            </w:tcMar>
            <w:vAlign w:val="center"/>
            <w:hideMark/>
          </w:tcPr>
          <w:p w14:paraId="2A3704B5" w14:textId="77777777" w:rsidR="00576FE1" w:rsidRPr="00F14145" w:rsidRDefault="00576FE1" w:rsidP="00115CD6">
            <w:pPr>
              <w:keepNext/>
              <w:adjustRightInd w:val="0"/>
              <w:spacing w:after="0" w:line="240" w:lineRule="auto"/>
              <w:rPr>
                <w:color w:val="000000"/>
              </w:rPr>
            </w:pPr>
            <w:r w:rsidRPr="00F14145">
              <w:rPr>
                <w:color w:val="000000"/>
              </w:rPr>
              <w:t>Gamma-</w:t>
            </w:r>
            <w:proofErr w:type="spellStart"/>
            <w:r w:rsidRPr="00F14145">
              <w:rPr>
                <w:color w:val="000000"/>
              </w:rPr>
              <w:t>glutamyltransferase</w:t>
            </w:r>
            <w:proofErr w:type="spellEnd"/>
            <w:r w:rsidRPr="00F14145">
              <w:rPr>
                <w:color w:val="000000"/>
              </w:rPr>
              <w:t xml:space="preserve"> increased</w:t>
            </w:r>
          </w:p>
        </w:tc>
        <w:tc>
          <w:tcPr>
            <w:tcW w:w="1732" w:type="dxa"/>
            <w:tcBorders>
              <w:top w:val="nil"/>
              <w:bottom w:val="nil"/>
            </w:tcBorders>
            <w:shd w:val="clear" w:color="auto" w:fill="FFFFFF"/>
            <w:tcMar>
              <w:top w:w="0" w:type="dxa"/>
              <w:left w:w="60" w:type="dxa"/>
              <w:bottom w:w="0" w:type="dxa"/>
              <w:right w:w="60" w:type="dxa"/>
            </w:tcMar>
            <w:vAlign w:val="center"/>
            <w:hideMark/>
          </w:tcPr>
          <w:p w14:paraId="1BBC68BA" w14:textId="77777777" w:rsidR="00576FE1" w:rsidRPr="00F14145" w:rsidRDefault="00576FE1" w:rsidP="00115CD6">
            <w:pPr>
              <w:keepNext/>
              <w:adjustRightInd w:val="0"/>
              <w:spacing w:after="0" w:line="240" w:lineRule="auto"/>
              <w:jc w:val="center"/>
              <w:rPr>
                <w:color w:val="000000"/>
              </w:rPr>
            </w:pPr>
            <w:r w:rsidRPr="00F14145">
              <w:rPr>
                <w:color w:val="000000"/>
              </w:rPr>
              <w:t>3 (1.2%)</w:t>
            </w:r>
          </w:p>
        </w:tc>
        <w:tc>
          <w:tcPr>
            <w:tcW w:w="1351" w:type="dxa"/>
            <w:tcBorders>
              <w:top w:val="nil"/>
              <w:bottom w:val="nil"/>
            </w:tcBorders>
            <w:shd w:val="clear" w:color="auto" w:fill="FFFFFF"/>
            <w:vAlign w:val="center"/>
          </w:tcPr>
          <w:p w14:paraId="260A5A4C" w14:textId="77777777" w:rsidR="00576FE1" w:rsidRPr="00F14145" w:rsidRDefault="00576FE1" w:rsidP="00115CD6">
            <w:pPr>
              <w:keepNext/>
              <w:adjustRightInd w:val="0"/>
              <w:spacing w:after="0" w:line="240" w:lineRule="auto"/>
              <w:jc w:val="center"/>
              <w:rPr>
                <w:color w:val="000000"/>
              </w:rPr>
            </w:pPr>
            <w:r w:rsidRPr="00F14145">
              <w:rPr>
                <w:color w:val="000000"/>
              </w:rPr>
              <w:t>1 (0.4%)</w:t>
            </w:r>
          </w:p>
        </w:tc>
        <w:tc>
          <w:tcPr>
            <w:tcW w:w="1396" w:type="dxa"/>
            <w:tcBorders>
              <w:top w:val="nil"/>
              <w:bottom w:val="nil"/>
            </w:tcBorders>
            <w:shd w:val="clear" w:color="auto" w:fill="FFFFFF"/>
            <w:vAlign w:val="center"/>
          </w:tcPr>
          <w:p w14:paraId="7636EE52"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89" w:type="dxa"/>
            <w:tcBorders>
              <w:top w:val="nil"/>
              <w:bottom w:val="nil"/>
            </w:tcBorders>
            <w:shd w:val="clear" w:color="auto" w:fill="FFFFFF"/>
          </w:tcPr>
          <w:p w14:paraId="3461C264" w14:textId="77777777" w:rsidR="00576FE1" w:rsidRPr="00F14145" w:rsidRDefault="00576FE1" w:rsidP="00115CD6">
            <w:pPr>
              <w:keepNext/>
              <w:adjustRightInd w:val="0"/>
              <w:spacing w:after="0" w:line="240" w:lineRule="auto"/>
              <w:jc w:val="center"/>
              <w:rPr>
                <w:color w:val="000000"/>
              </w:rPr>
            </w:pPr>
          </w:p>
        </w:tc>
        <w:tc>
          <w:tcPr>
            <w:tcW w:w="1417" w:type="dxa"/>
            <w:tcBorders>
              <w:top w:val="nil"/>
              <w:bottom w:val="nil"/>
            </w:tcBorders>
            <w:shd w:val="clear" w:color="auto" w:fill="FFFFFF"/>
            <w:tcMar>
              <w:top w:w="0" w:type="dxa"/>
              <w:left w:w="60" w:type="dxa"/>
              <w:bottom w:w="0" w:type="dxa"/>
              <w:right w:w="60" w:type="dxa"/>
            </w:tcMar>
            <w:vAlign w:val="center"/>
            <w:hideMark/>
          </w:tcPr>
          <w:p w14:paraId="256B40E2" w14:textId="77777777" w:rsidR="00576FE1" w:rsidRPr="00F14145" w:rsidRDefault="00576FE1" w:rsidP="00115CD6">
            <w:pPr>
              <w:keepNext/>
              <w:adjustRightInd w:val="0"/>
              <w:spacing w:after="0" w:line="240" w:lineRule="auto"/>
              <w:jc w:val="center"/>
              <w:rPr>
                <w:color w:val="000000"/>
              </w:rPr>
            </w:pPr>
            <w:r w:rsidRPr="00F14145">
              <w:rPr>
                <w:color w:val="000000"/>
              </w:rPr>
              <w:t>3 (1.2%)</w:t>
            </w:r>
          </w:p>
        </w:tc>
        <w:tc>
          <w:tcPr>
            <w:tcW w:w="1418" w:type="dxa"/>
            <w:tcBorders>
              <w:top w:val="nil"/>
              <w:bottom w:val="nil"/>
            </w:tcBorders>
            <w:shd w:val="clear" w:color="auto" w:fill="FFFFFF"/>
            <w:tcMar>
              <w:top w:w="0" w:type="dxa"/>
              <w:left w:w="60" w:type="dxa"/>
              <w:bottom w:w="0" w:type="dxa"/>
              <w:right w:w="60" w:type="dxa"/>
            </w:tcMar>
            <w:vAlign w:val="center"/>
          </w:tcPr>
          <w:p w14:paraId="1EA4EDAE" w14:textId="77777777" w:rsidR="00576FE1" w:rsidRPr="00F14145" w:rsidRDefault="00576FE1" w:rsidP="00115CD6">
            <w:pPr>
              <w:keepNext/>
              <w:adjustRightInd w:val="0"/>
              <w:spacing w:after="0" w:line="240" w:lineRule="auto"/>
              <w:jc w:val="center"/>
              <w:rPr>
                <w:color w:val="000000"/>
              </w:rPr>
            </w:pPr>
            <w:r w:rsidRPr="00F14145">
              <w:rPr>
                <w:color w:val="000000"/>
              </w:rPr>
              <w:t>2 (0.8%)</w:t>
            </w:r>
          </w:p>
        </w:tc>
        <w:tc>
          <w:tcPr>
            <w:tcW w:w="1701" w:type="dxa"/>
            <w:tcBorders>
              <w:top w:val="nil"/>
              <w:bottom w:val="nil"/>
            </w:tcBorders>
            <w:shd w:val="clear" w:color="auto" w:fill="FFFFFF"/>
            <w:vAlign w:val="center"/>
          </w:tcPr>
          <w:p w14:paraId="383EDBF1"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r>
      <w:tr w:rsidR="00576FE1" w:rsidRPr="00F14145" w14:paraId="1539B7B8" w14:textId="77777777" w:rsidTr="00115CD6">
        <w:trPr>
          <w:cantSplit/>
          <w:trHeight w:val="335"/>
          <w:jc w:val="center"/>
        </w:trPr>
        <w:tc>
          <w:tcPr>
            <w:tcW w:w="4405" w:type="dxa"/>
            <w:tcBorders>
              <w:top w:val="nil"/>
              <w:bottom w:val="nil"/>
            </w:tcBorders>
            <w:shd w:val="clear" w:color="auto" w:fill="FFFFFF"/>
            <w:tcMar>
              <w:top w:w="0" w:type="dxa"/>
              <w:left w:w="60" w:type="dxa"/>
              <w:bottom w:w="0" w:type="dxa"/>
              <w:right w:w="60" w:type="dxa"/>
            </w:tcMar>
            <w:vAlign w:val="center"/>
            <w:hideMark/>
          </w:tcPr>
          <w:p w14:paraId="34E66F87" w14:textId="77777777" w:rsidR="00576FE1" w:rsidRPr="00F14145" w:rsidRDefault="00576FE1" w:rsidP="00115CD6">
            <w:pPr>
              <w:keepNext/>
              <w:adjustRightInd w:val="0"/>
              <w:spacing w:after="0" w:line="240" w:lineRule="auto"/>
              <w:rPr>
                <w:color w:val="000000"/>
              </w:rPr>
            </w:pPr>
            <w:r w:rsidRPr="00F14145">
              <w:rPr>
                <w:color w:val="000000"/>
              </w:rPr>
              <w:t>Blood calcium decreased</w:t>
            </w:r>
          </w:p>
        </w:tc>
        <w:tc>
          <w:tcPr>
            <w:tcW w:w="1732" w:type="dxa"/>
            <w:tcBorders>
              <w:top w:val="nil"/>
              <w:bottom w:val="nil"/>
            </w:tcBorders>
            <w:shd w:val="clear" w:color="auto" w:fill="FFFFFF"/>
            <w:tcMar>
              <w:top w:w="0" w:type="dxa"/>
              <w:left w:w="60" w:type="dxa"/>
              <w:bottom w:w="0" w:type="dxa"/>
              <w:right w:w="60" w:type="dxa"/>
            </w:tcMar>
            <w:vAlign w:val="center"/>
            <w:hideMark/>
          </w:tcPr>
          <w:p w14:paraId="07516FE7"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351" w:type="dxa"/>
            <w:tcBorders>
              <w:top w:val="nil"/>
              <w:bottom w:val="nil"/>
            </w:tcBorders>
            <w:shd w:val="clear" w:color="auto" w:fill="FFFFFF"/>
            <w:vAlign w:val="center"/>
          </w:tcPr>
          <w:p w14:paraId="5A3EACEF"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396" w:type="dxa"/>
            <w:tcBorders>
              <w:top w:val="nil"/>
              <w:bottom w:val="nil"/>
            </w:tcBorders>
            <w:shd w:val="clear" w:color="auto" w:fill="FFFFFF"/>
            <w:vAlign w:val="center"/>
          </w:tcPr>
          <w:p w14:paraId="317D399F"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89" w:type="dxa"/>
            <w:tcBorders>
              <w:top w:val="nil"/>
              <w:bottom w:val="nil"/>
            </w:tcBorders>
            <w:shd w:val="clear" w:color="auto" w:fill="FFFFFF"/>
          </w:tcPr>
          <w:p w14:paraId="2C1858B6" w14:textId="77777777" w:rsidR="00576FE1" w:rsidRPr="00F14145" w:rsidRDefault="00576FE1" w:rsidP="00115CD6">
            <w:pPr>
              <w:keepNext/>
              <w:adjustRightInd w:val="0"/>
              <w:spacing w:after="0" w:line="240" w:lineRule="auto"/>
              <w:jc w:val="center"/>
              <w:rPr>
                <w:color w:val="000000"/>
              </w:rPr>
            </w:pPr>
          </w:p>
        </w:tc>
        <w:tc>
          <w:tcPr>
            <w:tcW w:w="1417" w:type="dxa"/>
            <w:tcBorders>
              <w:top w:val="nil"/>
              <w:bottom w:val="nil"/>
            </w:tcBorders>
            <w:shd w:val="clear" w:color="auto" w:fill="FFFFFF"/>
            <w:tcMar>
              <w:top w:w="0" w:type="dxa"/>
              <w:left w:w="60" w:type="dxa"/>
              <w:bottom w:w="0" w:type="dxa"/>
              <w:right w:w="60" w:type="dxa"/>
            </w:tcMar>
            <w:vAlign w:val="center"/>
            <w:hideMark/>
          </w:tcPr>
          <w:p w14:paraId="3D1010B0" w14:textId="77777777" w:rsidR="00576FE1" w:rsidRPr="00F14145" w:rsidRDefault="00576FE1" w:rsidP="00115CD6">
            <w:pPr>
              <w:keepNext/>
              <w:adjustRightInd w:val="0"/>
              <w:spacing w:after="0" w:line="240" w:lineRule="auto"/>
              <w:jc w:val="center"/>
              <w:rPr>
                <w:color w:val="000000"/>
              </w:rPr>
            </w:pPr>
            <w:r w:rsidRPr="00F14145">
              <w:rPr>
                <w:color w:val="000000"/>
              </w:rPr>
              <w:t>3 (1.2%)</w:t>
            </w:r>
          </w:p>
        </w:tc>
        <w:tc>
          <w:tcPr>
            <w:tcW w:w="1418" w:type="dxa"/>
            <w:tcBorders>
              <w:top w:val="nil"/>
              <w:bottom w:val="nil"/>
            </w:tcBorders>
            <w:shd w:val="clear" w:color="auto" w:fill="FFFFFF"/>
            <w:tcMar>
              <w:top w:w="0" w:type="dxa"/>
              <w:left w:w="60" w:type="dxa"/>
              <w:bottom w:w="0" w:type="dxa"/>
              <w:right w:w="60" w:type="dxa"/>
            </w:tcMar>
            <w:vAlign w:val="center"/>
          </w:tcPr>
          <w:p w14:paraId="2C5D1039"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701" w:type="dxa"/>
            <w:tcBorders>
              <w:top w:val="nil"/>
              <w:bottom w:val="nil"/>
            </w:tcBorders>
            <w:shd w:val="clear" w:color="auto" w:fill="FFFFFF"/>
            <w:vAlign w:val="center"/>
          </w:tcPr>
          <w:p w14:paraId="09441DD9"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r>
      <w:tr w:rsidR="00576FE1" w:rsidRPr="00F14145" w14:paraId="48D77A66" w14:textId="77777777" w:rsidTr="00115CD6">
        <w:trPr>
          <w:cantSplit/>
          <w:trHeight w:val="335"/>
          <w:jc w:val="center"/>
        </w:trPr>
        <w:tc>
          <w:tcPr>
            <w:tcW w:w="4405" w:type="dxa"/>
            <w:tcBorders>
              <w:top w:val="nil"/>
              <w:bottom w:val="nil"/>
            </w:tcBorders>
            <w:shd w:val="clear" w:color="auto" w:fill="FFFFFF"/>
            <w:tcMar>
              <w:top w:w="0" w:type="dxa"/>
              <w:left w:w="60" w:type="dxa"/>
              <w:bottom w:w="0" w:type="dxa"/>
              <w:right w:w="60" w:type="dxa"/>
            </w:tcMar>
            <w:vAlign w:val="center"/>
            <w:hideMark/>
          </w:tcPr>
          <w:p w14:paraId="6249D5EC" w14:textId="77777777" w:rsidR="00576FE1" w:rsidRPr="00F14145" w:rsidRDefault="00576FE1" w:rsidP="00115CD6">
            <w:pPr>
              <w:keepNext/>
              <w:adjustRightInd w:val="0"/>
              <w:spacing w:after="0" w:line="240" w:lineRule="auto"/>
              <w:rPr>
                <w:color w:val="000000"/>
              </w:rPr>
            </w:pPr>
            <w:r w:rsidRPr="00F14145">
              <w:rPr>
                <w:color w:val="000000"/>
              </w:rPr>
              <w:t>Blood potassium decreased</w:t>
            </w:r>
          </w:p>
        </w:tc>
        <w:tc>
          <w:tcPr>
            <w:tcW w:w="1732" w:type="dxa"/>
            <w:tcBorders>
              <w:top w:val="nil"/>
              <w:bottom w:val="nil"/>
            </w:tcBorders>
            <w:shd w:val="clear" w:color="auto" w:fill="FFFFFF"/>
            <w:tcMar>
              <w:top w:w="0" w:type="dxa"/>
              <w:left w:w="60" w:type="dxa"/>
              <w:bottom w:w="0" w:type="dxa"/>
              <w:right w:w="60" w:type="dxa"/>
            </w:tcMar>
            <w:vAlign w:val="center"/>
            <w:hideMark/>
          </w:tcPr>
          <w:p w14:paraId="45A0B4E5" w14:textId="77777777" w:rsidR="00576FE1" w:rsidRPr="00F14145" w:rsidRDefault="00576FE1" w:rsidP="00115CD6">
            <w:pPr>
              <w:keepNext/>
              <w:adjustRightInd w:val="0"/>
              <w:spacing w:after="0" w:line="240" w:lineRule="auto"/>
              <w:jc w:val="center"/>
              <w:rPr>
                <w:color w:val="000000"/>
              </w:rPr>
            </w:pPr>
            <w:r w:rsidRPr="00F14145">
              <w:rPr>
                <w:color w:val="000000"/>
              </w:rPr>
              <w:t>1 (0.4%)</w:t>
            </w:r>
          </w:p>
        </w:tc>
        <w:tc>
          <w:tcPr>
            <w:tcW w:w="1351" w:type="dxa"/>
            <w:tcBorders>
              <w:top w:val="nil"/>
              <w:bottom w:val="nil"/>
            </w:tcBorders>
            <w:shd w:val="clear" w:color="auto" w:fill="FFFFFF"/>
            <w:vAlign w:val="center"/>
          </w:tcPr>
          <w:p w14:paraId="4148A030"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396" w:type="dxa"/>
            <w:tcBorders>
              <w:top w:val="nil"/>
              <w:bottom w:val="nil"/>
            </w:tcBorders>
            <w:shd w:val="clear" w:color="auto" w:fill="FFFFFF"/>
            <w:vAlign w:val="center"/>
          </w:tcPr>
          <w:p w14:paraId="1A3639F7"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89" w:type="dxa"/>
            <w:tcBorders>
              <w:top w:val="nil"/>
              <w:bottom w:val="nil"/>
            </w:tcBorders>
            <w:shd w:val="clear" w:color="auto" w:fill="FFFFFF"/>
          </w:tcPr>
          <w:p w14:paraId="2D5A7B1E" w14:textId="77777777" w:rsidR="00576FE1" w:rsidRPr="00F14145" w:rsidRDefault="00576FE1" w:rsidP="00115CD6">
            <w:pPr>
              <w:keepNext/>
              <w:adjustRightInd w:val="0"/>
              <w:spacing w:after="0" w:line="240" w:lineRule="auto"/>
              <w:jc w:val="center"/>
              <w:rPr>
                <w:color w:val="000000"/>
              </w:rPr>
            </w:pPr>
          </w:p>
        </w:tc>
        <w:tc>
          <w:tcPr>
            <w:tcW w:w="1417" w:type="dxa"/>
            <w:tcBorders>
              <w:top w:val="nil"/>
              <w:bottom w:val="nil"/>
            </w:tcBorders>
            <w:shd w:val="clear" w:color="auto" w:fill="FFFFFF"/>
            <w:tcMar>
              <w:top w:w="0" w:type="dxa"/>
              <w:left w:w="60" w:type="dxa"/>
              <w:bottom w:w="0" w:type="dxa"/>
              <w:right w:w="60" w:type="dxa"/>
            </w:tcMar>
            <w:vAlign w:val="center"/>
            <w:hideMark/>
          </w:tcPr>
          <w:p w14:paraId="03320532" w14:textId="77777777" w:rsidR="00576FE1" w:rsidRPr="00F14145" w:rsidRDefault="00576FE1" w:rsidP="00115CD6">
            <w:pPr>
              <w:keepNext/>
              <w:adjustRightInd w:val="0"/>
              <w:spacing w:after="0" w:line="240" w:lineRule="auto"/>
              <w:jc w:val="center"/>
              <w:rPr>
                <w:color w:val="000000"/>
              </w:rPr>
            </w:pPr>
            <w:r w:rsidRPr="00F14145">
              <w:rPr>
                <w:color w:val="000000"/>
              </w:rPr>
              <w:t>2 (0.8%)</w:t>
            </w:r>
          </w:p>
        </w:tc>
        <w:tc>
          <w:tcPr>
            <w:tcW w:w="1418" w:type="dxa"/>
            <w:tcBorders>
              <w:top w:val="nil"/>
              <w:bottom w:val="nil"/>
            </w:tcBorders>
            <w:shd w:val="clear" w:color="auto" w:fill="FFFFFF"/>
            <w:tcMar>
              <w:top w:w="0" w:type="dxa"/>
              <w:left w:w="60" w:type="dxa"/>
              <w:bottom w:w="0" w:type="dxa"/>
              <w:right w:w="60" w:type="dxa"/>
            </w:tcMar>
            <w:vAlign w:val="center"/>
          </w:tcPr>
          <w:p w14:paraId="30FDF3BB" w14:textId="77777777" w:rsidR="00576FE1" w:rsidRPr="00F14145" w:rsidRDefault="00576FE1" w:rsidP="00115CD6">
            <w:pPr>
              <w:keepNext/>
              <w:adjustRightInd w:val="0"/>
              <w:spacing w:after="0" w:line="240" w:lineRule="auto"/>
              <w:jc w:val="center"/>
              <w:rPr>
                <w:color w:val="000000"/>
              </w:rPr>
            </w:pPr>
            <w:r w:rsidRPr="00F14145">
              <w:rPr>
                <w:color w:val="000000"/>
              </w:rPr>
              <w:t>1 (0.4%)</w:t>
            </w:r>
          </w:p>
        </w:tc>
        <w:tc>
          <w:tcPr>
            <w:tcW w:w="1701" w:type="dxa"/>
            <w:tcBorders>
              <w:top w:val="nil"/>
              <w:bottom w:val="nil"/>
            </w:tcBorders>
            <w:shd w:val="clear" w:color="auto" w:fill="FFFFFF"/>
            <w:vAlign w:val="center"/>
          </w:tcPr>
          <w:p w14:paraId="197C18FE"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r>
      <w:tr w:rsidR="00576FE1" w:rsidRPr="00F14145" w14:paraId="1D67E6AF" w14:textId="77777777" w:rsidTr="00115CD6">
        <w:trPr>
          <w:cantSplit/>
          <w:trHeight w:val="335"/>
          <w:jc w:val="center"/>
        </w:trPr>
        <w:tc>
          <w:tcPr>
            <w:tcW w:w="4405" w:type="dxa"/>
            <w:tcBorders>
              <w:top w:val="nil"/>
              <w:bottom w:val="nil"/>
            </w:tcBorders>
            <w:shd w:val="clear" w:color="auto" w:fill="FFFFFF"/>
            <w:tcMar>
              <w:top w:w="0" w:type="dxa"/>
              <w:left w:w="60" w:type="dxa"/>
              <w:bottom w:w="0" w:type="dxa"/>
              <w:right w:w="60" w:type="dxa"/>
            </w:tcMar>
            <w:vAlign w:val="center"/>
            <w:hideMark/>
          </w:tcPr>
          <w:p w14:paraId="0D7F88C1" w14:textId="77777777" w:rsidR="00576FE1" w:rsidRPr="00F14145" w:rsidRDefault="00576FE1" w:rsidP="00115CD6">
            <w:pPr>
              <w:keepNext/>
              <w:adjustRightInd w:val="0"/>
              <w:spacing w:after="0" w:line="240" w:lineRule="auto"/>
              <w:rPr>
                <w:color w:val="000000"/>
              </w:rPr>
            </w:pPr>
            <w:r w:rsidRPr="00F14145">
              <w:rPr>
                <w:color w:val="000000"/>
              </w:rPr>
              <w:t>Blood alkaline phosphatase increased</w:t>
            </w:r>
          </w:p>
        </w:tc>
        <w:tc>
          <w:tcPr>
            <w:tcW w:w="1732" w:type="dxa"/>
            <w:tcBorders>
              <w:top w:val="nil"/>
              <w:bottom w:val="nil"/>
            </w:tcBorders>
            <w:shd w:val="clear" w:color="auto" w:fill="FFFFFF"/>
            <w:tcMar>
              <w:top w:w="0" w:type="dxa"/>
              <w:left w:w="60" w:type="dxa"/>
              <w:bottom w:w="0" w:type="dxa"/>
              <w:right w:w="60" w:type="dxa"/>
            </w:tcMar>
            <w:vAlign w:val="center"/>
            <w:hideMark/>
          </w:tcPr>
          <w:p w14:paraId="70AE0497"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351" w:type="dxa"/>
            <w:tcBorders>
              <w:top w:val="nil"/>
              <w:bottom w:val="nil"/>
            </w:tcBorders>
            <w:shd w:val="clear" w:color="auto" w:fill="FFFFFF"/>
            <w:vAlign w:val="center"/>
          </w:tcPr>
          <w:p w14:paraId="5EF302B3"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396" w:type="dxa"/>
            <w:tcBorders>
              <w:top w:val="nil"/>
              <w:bottom w:val="nil"/>
            </w:tcBorders>
            <w:shd w:val="clear" w:color="auto" w:fill="FFFFFF"/>
            <w:vAlign w:val="center"/>
          </w:tcPr>
          <w:p w14:paraId="2BBB71F5"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89" w:type="dxa"/>
            <w:tcBorders>
              <w:top w:val="nil"/>
              <w:bottom w:val="nil"/>
            </w:tcBorders>
            <w:shd w:val="clear" w:color="auto" w:fill="FFFFFF"/>
          </w:tcPr>
          <w:p w14:paraId="510F912E" w14:textId="77777777" w:rsidR="00576FE1" w:rsidRPr="00F14145" w:rsidRDefault="00576FE1" w:rsidP="00115CD6">
            <w:pPr>
              <w:keepNext/>
              <w:adjustRightInd w:val="0"/>
              <w:spacing w:after="0" w:line="240" w:lineRule="auto"/>
              <w:jc w:val="center"/>
              <w:rPr>
                <w:color w:val="000000"/>
              </w:rPr>
            </w:pPr>
          </w:p>
        </w:tc>
        <w:tc>
          <w:tcPr>
            <w:tcW w:w="1417" w:type="dxa"/>
            <w:tcBorders>
              <w:top w:val="nil"/>
              <w:bottom w:val="nil"/>
            </w:tcBorders>
            <w:shd w:val="clear" w:color="auto" w:fill="FFFFFF"/>
            <w:tcMar>
              <w:top w:w="0" w:type="dxa"/>
              <w:left w:w="60" w:type="dxa"/>
              <w:bottom w:w="0" w:type="dxa"/>
              <w:right w:w="60" w:type="dxa"/>
            </w:tcMar>
            <w:vAlign w:val="center"/>
            <w:hideMark/>
          </w:tcPr>
          <w:p w14:paraId="5D416EFF" w14:textId="77777777" w:rsidR="00576FE1" w:rsidRPr="00F14145" w:rsidRDefault="00576FE1" w:rsidP="00115CD6">
            <w:pPr>
              <w:keepNext/>
              <w:adjustRightInd w:val="0"/>
              <w:spacing w:after="0" w:line="240" w:lineRule="auto"/>
              <w:jc w:val="center"/>
              <w:rPr>
                <w:color w:val="000000"/>
              </w:rPr>
            </w:pPr>
            <w:r w:rsidRPr="00F14145">
              <w:rPr>
                <w:color w:val="000000"/>
              </w:rPr>
              <w:t>2 (0.8%)</w:t>
            </w:r>
          </w:p>
        </w:tc>
        <w:tc>
          <w:tcPr>
            <w:tcW w:w="1418" w:type="dxa"/>
            <w:tcBorders>
              <w:top w:val="nil"/>
              <w:bottom w:val="nil"/>
            </w:tcBorders>
            <w:shd w:val="clear" w:color="auto" w:fill="FFFFFF"/>
            <w:tcMar>
              <w:top w:w="0" w:type="dxa"/>
              <w:left w:w="60" w:type="dxa"/>
              <w:bottom w:w="0" w:type="dxa"/>
              <w:right w:w="60" w:type="dxa"/>
            </w:tcMar>
            <w:vAlign w:val="center"/>
          </w:tcPr>
          <w:p w14:paraId="324C0BF2" w14:textId="77777777" w:rsidR="00576FE1" w:rsidRPr="00F14145" w:rsidRDefault="00576FE1" w:rsidP="00115CD6">
            <w:pPr>
              <w:keepNext/>
              <w:adjustRightInd w:val="0"/>
              <w:spacing w:after="0" w:line="240" w:lineRule="auto"/>
              <w:jc w:val="center"/>
              <w:rPr>
                <w:color w:val="000000"/>
              </w:rPr>
            </w:pPr>
            <w:r w:rsidRPr="00F14145">
              <w:rPr>
                <w:color w:val="000000"/>
              </w:rPr>
              <w:t>1 (0.4%)</w:t>
            </w:r>
          </w:p>
        </w:tc>
        <w:tc>
          <w:tcPr>
            <w:tcW w:w="1701" w:type="dxa"/>
            <w:tcBorders>
              <w:top w:val="nil"/>
              <w:bottom w:val="nil"/>
            </w:tcBorders>
            <w:shd w:val="clear" w:color="auto" w:fill="FFFFFF"/>
            <w:vAlign w:val="center"/>
          </w:tcPr>
          <w:p w14:paraId="2A731E8E"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r>
      <w:tr w:rsidR="00576FE1" w:rsidRPr="00F14145" w14:paraId="408DA125" w14:textId="77777777" w:rsidTr="00115CD6">
        <w:trPr>
          <w:cantSplit/>
          <w:trHeight w:val="321"/>
          <w:jc w:val="center"/>
        </w:trPr>
        <w:tc>
          <w:tcPr>
            <w:tcW w:w="4405" w:type="dxa"/>
            <w:tcBorders>
              <w:top w:val="nil"/>
              <w:bottom w:val="nil"/>
            </w:tcBorders>
            <w:shd w:val="clear" w:color="auto" w:fill="FFFFFF"/>
            <w:tcMar>
              <w:top w:w="0" w:type="dxa"/>
              <w:left w:w="60" w:type="dxa"/>
              <w:bottom w:w="0" w:type="dxa"/>
              <w:right w:w="60" w:type="dxa"/>
            </w:tcMar>
            <w:vAlign w:val="center"/>
            <w:hideMark/>
          </w:tcPr>
          <w:p w14:paraId="36098AC9" w14:textId="77777777" w:rsidR="00576FE1" w:rsidRPr="00F14145" w:rsidRDefault="00576FE1" w:rsidP="00115CD6">
            <w:pPr>
              <w:keepNext/>
              <w:adjustRightInd w:val="0"/>
              <w:spacing w:after="0" w:line="240" w:lineRule="auto"/>
              <w:rPr>
                <w:color w:val="000000"/>
              </w:rPr>
            </w:pPr>
            <w:r w:rsidRPr="00F14145">
              <w:rPr>
                <w:color w:val="000000"/>
              </w:rPr>
              <w:t>Blood creatinine increased</w:t>
            </w:r>
          </w:p>
        </w:tc>
        <w:tc>
          <w:tcPr>
            <w:tcW w:w="1732" w:type="dxa"/>
            <w:tcBorders>
              <w:top w:val="nil"/>
              <w:bottom w:val="nil"/>
            </w:tcBorders>
            <w:shd w:val="clear" w:color="auto" w:fill="FFFFFF"/>
            <w:tcMar>
              <w:top w:w="0" w:type="dxa"/>
              <w:left w:w="60" w:type="dxa"/>
              <w:bottom w:w="0" w:type="dxa"/>
              <w:right w:w="60" w:type="dxa"/>
            </w:tcMar>
            <w:vAlign w:val="center"/>
            <w:hideMark/>
          </w:tcPr>
          <w:p w14:paraId="271E183D" w14:textId="77777777" w:rsidR="00576FE1" w:rsidRPr="00F14145" w:rsidRDefault="00576FE1" w:rsidP="00115CD6">
            <w:pPr>
              <w:keepNext/>
              <w:adjustRightInd w:val="0"/>
              <w:spacing w:after="0" w:line="240" w:lineRule="auto"/>
              <w:jc w:val="center"/>
              <w:rPr>
                <w:color w:val="000000"/>
              </w:rPr>
            </w:pPr>
            <w:r w:rsidRPr="00F14145">
              <w:rPr>
                <w:color w:val="000000"/>
              </w:rPr>
              <w:t>1 (0.4%)</w:t>
            </w:r>
          </w:p>
        </w:tc>
        <w:tc>
          <w:tcPr>
            <w:tcW w:w="1351" w:type="dxa"/>
            <w:tcBorders>
              <w:top w:val="nil"/>
              <w:bottom w:val="nil"/>
            </w:tcBorders>
            <w:shd w:val="clear" w:color="auto" w:fill="FFFFFF"/>
            <w:vAlign w:val="center"/>
          </w:tcPr>
          <w:p w14:paraId="4894A01F"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396" w:type="dxa"/>
            <w:tcBorders>
              <w:top w:val="nil"/>
              <w:bottom w:val="nil"/>
            </w:tcBorders>
            <w:shd w:val="clear" w:color="auto" w:fill="FFFFFF"/>
            <w:vAlign w:val="center"/>
          </w:tcPr>
          <w:p w14:paraId="08CF9570"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89" w:type="dxa"/>
            <w:tcBorders>
              <w:top w:val="nil"/>
              <w:bottom w:val="nil"/>
            </w:tcBorders>
            <w:shd w:val="clear" w:color="auto" w:fill="FFFFFF"/>
          </w:tcPr>
          <w:p w14:paraId="1EA4AACD" w14:textId="77777777" w:rsidR="00576FE1" w:rsidRPr="00F14145" w:rsidRDefault="00576FE1" w:rsidP="00115CD6">
            <w:pPr>
              <w:keepNext/>
              <w:adjustRightInd w:val="0"/>
              <w:spacing w:after="0" w:line="240" w:lineRule="auto"/>
              <w:jc w:val="center"/>
              <w:rPr>
                <w:color w:val="000000"/>
              </w:rPr>
            </w:pPr>
          </w:p>
        </w:tc>
        <w:tc>
          <w:tcPr>
            <w:tcW w:w="1417" w:type="dxa"/>
            <w:tcBorders>
              <w:top w:val="nil"/>
              <w:bottom w:val="nil"/>
            </w:tcBorders>
            <w:shd w:val="clear" w:color="auto" w:fill="FFFFFF"/>
            <w:tcMar>
              <w:top w:w="0" w:type="dxa"/>
              <w:left w:w="60" w:type="dxa"/>
              <w:bottom w:w="0" w:type="dxa"/>
              <w:right w:w="60" w:type="dxa"/>
            </w:tcMar>
            <w:vAlign w:val="center"/>
            <w:hideMark/>
          </w:tcPr>
          <w:p w14:paraId="2E394E65" w14:textId="77777777" w:rsidR="00576FE1" w:rsidRPr="00F14145" w:rsidRDefault="00576FE1" w:rsidP="00115CD6">
            <w:pPr>
              <w:keepNext/>
              <w:adjustRightInd w:val="0"/>
              <w:spacing w:after="0" w:line="240" w:lineRule="auto"/>
              <w:jc w:val="center"/>
              <w:rPr>
                <w:color w:val="000000"/>
              </w:rPr>
            </w:pPr>
            <w:r w:rsidRPr="00F14145">
              <w:rPr>
                <w:color w:val="000000"/>
              </w:rPr>
              <w:t>1 (0.4%)</w:t>
            </w:r>
          </w:p>
        </w:tc>
        <w:tc>
          <w:tcPr>
            <w:tcW w:w="1418" w:type="dxa"/>
            <w:tcBorders>
              <w:top w:val="nil"/>
              <w:bottom w:val="nil"/>
            </w:tcBorders>
            <w:shd w:val="clear" w:color="auto" w:fill="FFFFFF"/>
            <w:tcMar>
              <w:top w:w="0" w:type="dxa"/>
              <w:left w:w="60" w:type="dxa"/>
              <w:bottom w:w="0" w:type="dxa"/>
              <w:right w:w="60" w:type="dxa"/>
            </w:tcMar>
            <w:vAlign w:val="center"/>
          </w:tcPr>
          <w:p w14:paraId="67813CF3"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701" w:type="dxa"/>
            <w:tcBorders>
              <w:top w:val="nil"/>
              <w:bottom w:val="nil"/>
            </w:tcBorders>
            <w:shd w:val="clear" w:color="auto" w:fill="FFFFFF"/>
            <w:vAlign w:val="center"/>
          </w:tcPr>
          <w:p w14:paraId="640C2252"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r>
      <w:tr w:rsidR="00576FE1" w:rsidRPr="00F14145" w14:paraId="126FDDA3" w14:textId="77777777" w:rsidTr="00115CD6">
        <w:trPr>
          <w:cantSplit/>
          <w:trHeight w:val="335"/>
          <w:jc w:val="center"/>
        </w:trPr>
        <w:tc>
          <w:tcPr>
            <w:tcW w:w="4405" w:type="dxa"/>
            <w:tcBorders>
              <w:top w:val="nil"/>
              <w:bottom w:val="nil"/>
            </w:tcBorders>
            <w:shd w:val="clear" w:color="auto" w:fill="FFFFFF"/>
            <w:tcMar>
              <w:top w:w="0" w:type="dxa"/>
              <w:left w:w="60" w:type="dxa"/>
              <w:bottom w:w="0" w:type="dxa"/>
              <w:right w:w="60" w:type="dxa"/>
            </w:tcMar>
            <w:vAlign w:val="center"/>
            <w:hideMark/>
          </w:tcPr>
          <w:p w14:paraId="146BDDDD" w14:textId="77777777" w:rsidR="00576FE1" w:rsidRPr="00F14145" w:rsidRDefault="00576FE1" w:rsidP="00115CD6">
            <w:pPr>
              <w:keepNext/>
              <w:adjustRightInd w:val="0"/>
              <w:spacing w:after="0" w:line="240" w:lineRule="auto"/>
              <w:rPr>
                <w:color w:val="000000"/>
              </w:rPr>
            </w:pPr>
            <w:r w:rsidRPr="00F14145">
              <w:rPr>
                <w:color w:val="000000"/>
              </w:rPr>
              <w:t>Blood lactate dehydrogenase increased</w:t>
            </w:r>
          </w:p>
        </w:tc>
        <w:tc>
          <w:tcPr>
            <w:tcW w:w="1732" w:type="dxa"/>
            <w:tcBorders>
              <w:top w:val="nil"/>
              <w:bottom w:val="nil"/>
            </w:tcBorders>
            <w:shd w:val="clear" w:color="auto" w:fill="FFFFFF"/>
            <w:tcMar>
              <w:top w:w="0" w:type="dxa"/>
              <w:left w:w="60" w:type="dxa"/>
              <w:bottom w:w="0" w:type="dxa"/>
              <w:right w:w="60" w:type="dxa"/>
            </w:tcMar>
            <w:vAlign w:val="center"/>
            <w:hideMark/>
          </w:tcPr>
          <w:p w14:paraId="092B1D76" w14:textId="77777777" w:rsidR="00576FE1" w:rsidRPr="00F14145" w:rsidRDefault="00576FE1" w:rsidP="00115CD6">
            <w:pPr>
              <w:keepNext/>
              <w:adjustRightInd w:val="0"/>
              <w:spacing w:after="0" w:line="240" w:lineRule="auto"/>
              <w:jc w:val="center"/>
              <w:rPr>
                <w:color w:val="000000"/>
              </w:rPr>
            </w:pPr>
            <w:r w:rsidRPr="00F14145">
              <w:rPr>
                <w:color w:val="000000"/>
              </w:rPr>
              <w:t>1 (0.4%)</w:t>
            </w:r>
          </w:p>
        </w:tc>
        <w:tc>
          <w:tcPr>
            <w:tcW w:w="1351" w:type="dxa"/>
            <w:tcBorders>
              <w:top w:val="nil"/>
              <w:bottom w:val="nil"/>
            </w:tcBorders>
            <w:shd w:val="clear" w:color="auto" w:fill="FFFFFF"/>
            <w:vAlign w:val="center"/>
          </w:tcPr>
          <w:p w14:paraId="5615F7DB"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396" w:type="dxa"/>
            <w:tcBorders>
              <w:top w:val="nil"/>
              <w:bottom w:val="nil"/>
            </w:tcBorders>
            <w:shd w:val="clear" w:color="auto" w:fill="FFFFFF"/>
            <w:vAlign w:val="center"/>
          </w:tcPr>
          <w:p w14:paraId="23D26B0C"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89" w:type="dxa"/>
            <w:tcBorders>
              <w:top w:val="nil"/>
              <w:bottom w:val="nil"/>
            </w:tcBorders>
            <w:shd w:val="clear" w:color="auto" w:fill="FFFFFF"/>
          </w:tcPr>
          <w:p w14:paraId="5A6160B5" w14:textId="77777777" w:rsidR="00576FE1" w:rsidRPr="00F14145" w:rsidRDefault="00576FE1" w:rsidP="00115CD6">
            <w:pPr>
              <w:keepNext/>
              <w:adjustRightInd w:val="0"/>
              <w:spacing w:after="0" w:line="240" w:lineRule="auto"/>
              <w:jc w:val="center"/>
              <w:rPr>
                <w:color w:val="000000"/>
              </w:rPr>
            </w:pPr>
          </w:p>
        </w:tc>
        <w:tc>
          <w:tcPr>
            <w:tcW w:w="1417" w:type="dxa"/>
            <w:tcBorders>
              <w:top w:val="nil"/>
              <w:bottom w:val="nil"/>
            </w:tcBorders>
            <w:shd w:val="clear" w:color="auto" w:fill="FFFFFF"/>
            <w:tcMar>
              <w:top w:w="0" w:type="dxa"/>
              <w:left w:w="60" w:type="dxa"/>
              <w:bottom w:w="0" w:type="dxa"/>
              <w:right w:w="60" w:type="dxa"/>
            </w:tcMar>
            <w:vAlign w:val="center"/>
            <w:hideMark/>
          </w:tcPr>
          <w:p w14:paraId="64C7E62E" w14:textId="77777777" w:rsidR="00576FE1" w:rsidRPr="00F14145" w:rsidRDefault="00576FE1" w:rsidP="00115CD6">
            <w:pPr>
              <w:keepNext/>
              <w:adjustRightInd w:val="0"/>
              <w:spacing w:after="0" w:line="240" w:lineRule="auto"/>
              <w:jc w:val="center"/>
              <w:rPr>
                <w:color w:val="000000"/>
              </w:rPr>
            </w:pPr>
            <w:r w:rsidRPr="00F14145">
              <w:rPr>
                <w:color w:val="000000"/>
              </w:rPr>
              <w:t>1 (0.4%)</w:t>
            </w:r>
          </w:p>
        </w:tc>
        <w:tc>
          <w:tcPr>
            <w:tcW w:w="1418" w:type="dxa"/>
            <w:tcBorders>
              <w:top w:val="nil"/>
              <w:bottom w:val="nil"/>
            </w:tcBorders>
            <w:shd w:val="clear" w:color="auto" w:fill="FFFFFF"/>
            <w:tcMar>
              <w:top w:w="0" w:type="dxa"/>
              <w:left w:w="60" w:type="dxa"/>
              <w:bottom w:w="0" w:type="dxa"/>
              <w:right w:w="60" w:type="dxa"/>
            </w:tcMar>
            <w:vAlign w:val="center"/>
          </w:tcPr>
          <w:p w14:paraId="63D65829"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701" w:type="dxa"/>
            <w:tcBorders>
              <w:top w:val="nil"/>
              <w:bottom w:val="nil"/>
            </w:tcBorders>
            <w:shd w:val="clear" w:color="auto" w:fill="FFFFFF"/>
            <w:vAlign w:val="center"/>
          </w:tcPr>
          <w:p w14:paraId="31011ADA"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r>
      <w:tr w:rsidR="00576FE1" w:rsidRPr="00F14145" w14:paraId="493733DA" w14:textId="77777777" w:rsidTr="00115CD6">
        <w:trPr>
          <w:cantSplit/>
          <w:trHeight w:val="327"/>
          <w:jc w:val="center"/>
        </w:trPr>
        <w:tc>
          <w:tcPr>
            <w:tcW w:w="4405" w:type="dxa"/>
            <w:tcBorders>
              <w:top w:val="nil"/>
              <w:bottom w:val="nil"/>
            </w:tcBorders>
            <w:shd w:val="clear" w:color="auto" w:fill="FFFFFF"/>
            <w:tcMar>
              <w:top w:w="0" w:type="dxa"/>
              <w:left w:w="60" w:type="dxa"/>
              <w:bottom w:w="0" w:type="dxa"/>
              <w:right w:w="60" w:type="dxa"/>
            </w:tcMar>
            <w:vAlign w:val="center"/>
            <w:hideMark/>
          </w:tcPr>
          <w:p w14:paraId="689671C8" w14:textId="77777777" w:rsidR="00576FE1" w:rsidRPr="00F14145" w:rsidRDefault="00576FE1" w:rsidP="00115CD6">
            <w:pPr>
              <w:keepNext/>
              <w:adjustRightInd w:val="0"/>
              <w:spacing w:after="0" w:line="240" w:lineRule="auto"/>
              <w:rPr>
                <w:color w:val="000000"/>
                <w:lang w:val="en-GB"/>
              </w:rPr>
            </w:pPr>
            <w:r w:rsidRPr="00F14145">
              <w:rPr>
                <w:color w:val="000000"/>
                <w:lang w:val="en-GB"/>
              </w:rPr>
              <w:t>Activated partial thromboplastin time prolonged</w:t>
            </w:r>
          </w:p>
        </w:tc>
        <w:tc>
          <w:tcPr>
            <w:tcW w:w="1732" w:type="dxa"/>
            <w:tcBorders>
              <w:top w:val="nil"/>
              <w:bottom w:val="nil"/>
            </w:tcBorders>
            <w:shd w:val="clear" w:color="auto" w:fill="FFFFFF"/>
            <w:tcMar>
              <w:top w:w="0" w:type="dxa"/>
              <w:left w:w="60" w:type="dxa"/>
              <w:bottom w:w="0" w:type="dxa"/>
              <w:right w:w="60" w:type="dxa"/>
            </w:tcMar>
            <w:vAlign w:val="center"/>
            <w:hideMark/>
          </w:tcPr>
          <w:p w14:paraId="6E97EF01"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351" w:type="dxa"/>
            <w:tcBorders>
              <w:top w:val="nil"/>
              <w:bottom w:val="nil"/>
            </w:tcBorders>
            <w:shd w:val="clear" w:color="auto" w:fill="FFFFFF"/>
            <w:vAlign w:val="center"/>
          </w:tcPr>
          <w:p w14:paraId="55B8E20A"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396" w:type="dxa"/>
            <w:tcBorders>
              <w:top w:val="nil"/>
              <w:bottom w:val="nil"/>
            </w:tcBorders>
            <w:shd w:val="clear" w:color="auto" w:fill="FFFFFF"/>
            <w:vAlign w:val="center"/>
          </w:tcPr>
          <w:p w14:paraId="30C46A08"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89" w:type="dxa"/>
            <w:tcBorders>
              <w:top w:val="nil"/>
              <w:bottom w:val="nil"/>
            </w:tcBorders>
            <w:shd w:val="clear" w:color="auto" w:fill="FFFFFF"/>
          </w:tcPr>
          <w:p w14:paraId="7A248AEC" w14:textId="77777777" w:rsidR="00576FE1" w:rsidRPr="00F14145" w:rsidRDefault="00576FE1" w:rsidP="00115CD6">
            <w:pPr>
              <w:keepNext/>
              <w:adjustRightInd w:val="0"/>
              <w:spacing w:after="0" w:line="240" w:lineRule="auto"/>
              <w:jc w:val="center"/>
              <w:rPr>
                <w:color w:val="000000"/>
              </w:rPr>
            </w:pPr>
          </w:p>
        </w:tc>
        <w:tc>
          <w:tcPr>
            <w:tcW w:w="1417" w:type="dxa"/>
            <w:tcBorders>
              <w:top w:val="nil"/>
              <w:bottom w:val="nil"/>
            </w:tcBorders>
            <w:shd w:val="clear" w:color="auto" w:fill="FFFFFF"/>
            <w:tcMar>
              <w:top w:w="0" w:type="dxa"/>
              <w:left w:w="60" w:type="dxa"/>
              <w:bottom w:w="0" w:type="dxa"/>
              <w:right w:w="60" w:type="dxa"/>
            </w:tcMar>
            <w:vAlign w:val="center"/>
            <w:hideMark/>
          </w:tcPr>
          <w:p w14:paraId="66F26DA7" w14:textId="77777777" w:rsidR="00576FE1" w:rsidRPr="00F14145" w:rsidRDefault="00576FE1" w:rsidP="00115CD6">
            <w:pPr>
              <w:keepNext/>
              <w:adjustRightInd w:val="0"/>
              <w:spacing w:after="0" w:line="240" w:lineRule="auto"/>
              <w:jc w:val="center"/>
              <w:rPr>
                <w:color w:val="000000"/>
              </w:rPr>
            </w:pPr>
            <w:r w:rsidRPr="00F14145">
              <w:rPr>
                <w:color w:val="000000"/>
              </w:rPr>
              <w:t>1 (0.4%)</w:t>
            </w:r>
          </w:p>
        </w:tc>
        <w:tc>
          <w:tcPr>
            <w:tcW w:w="1418" w:type="dxa"/>
            <w:tcBorders>
              <w:top w:val="nil"/>
              <w:bottom w:val="nil"/>
            </w:tcBorders>
            <w:shd w:val="clear" w:color="auto" w:fill="FFFFFF"/>
            <w:tcMar>
              <w:top w:w="0" w:type="dxa"/>
              <w:left w:w="60" w:type="dxa"/>
              <w:bottom w:w="0" w:type="dxa"/>
              <w:right w:w="60" w:type="dxa"/>
            </w:tcMar>
            <w:vAlign w:val="center"/>
          </w:tcPr>
          <w:p w14:paraId="7D658B7D"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701" w:type="dxa"/>
            <w:tcBorders>
              <w:top w:val="nil"/>
              <w:bottom w:val="nil"/>
            </w:tcBorders>
            <w:shd w:val="clear" w:color="auto" w:fill="FFFFFF"/>
            <w:vAlign w:val="center"/>
          </w:tcPr>
          <w:p w14:paraId="3BA522DC"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r>
      <w:tr w:rsidR="00576FE1" w:rsidRPr="00F14145" w14:paraId="52936962" w14:textId="77777777" w:rsidTr="00115CD6">
        <w:trPr>
          <w:cantSplit/>
          <w:trHeight w:val="335"/>
          <w:jc w:val="center"/>
        </w:trPr>
        <w:tc>
          <w:tcPr>
            <w:tcW w:w="4405" w:type="dxa"/>
            <w:tcBorders>
              <w:top w:val="nil"/>
              <w:bottom w:val="nil"/>
            </w:tcBorders>
            <w:shd w:val="clear" w:color="auto" w:fill="FFFFFF"/>
            <w:tcMar>
              <w:top w:w="0" w:type="dxa"/>
              <w:left w:w="60" w:type="dxa"/>
              <w:bottom w:w="0" w:type="dxa"/>
              <w:right w:w="60" w:type="dxa"/>
            </w:tcMar>
            <w:vAlign w:val="center"/>
            <w:hideMark/>
          </w:tcPr>
          <w:p w14:paraId="65CD1B8B" w14:textId="77777777" w:rsidR="00576FE1" w:rsidRPr="00F14145" w:rsidRDefault="00576FE1" w:rsidP="00115CD6">
            <w:pPr>
              <w:keepNext/>
              <w:adjustRightInd w:val="0"/>
              <w:spacing w:after="0" w:line="240" w:lineRule="auto"/>
              <w:rPr>
                <w:color w:val="000000"/>
              </w:rPr>
            </w:pPr>
            <w:r w:rsidRPr="00F14145">
              <w:rPr>
                <w:color w:val="000000"/>
              </w:rPr>
              <w:t>Blood magnesium decreased</w:t>
            </w:r>
          </w:p>
        </w:tc>
        <w:tc>
          <w:tcPr>
            <w:tcW w:w="1732" w:type="dxa"/>
            <w:tcBorders>
              <w:top w:val="nil"/>
              <w:bottom w:val="nil"/>
            </w:tcBorders>
            <w:shd w:val="clear" w:color="auto" w:fill="FFFFFF"/>
            <w:tcMar>
              <w:top w:w="0" w:type="dxa"/>
              <w:left w:w="60" w:type="dxa"/>
              <w:bottom w:w="0" w:type="dxa"/>
              <w:right w:w="60" w:type="dxa"/>
            </w:tcMar>
            <w:vAlign w:val="center"/>
            <w:hideMark/>
          </w:tcPr>
          <w:p w14:paraId="08A68C2D" w14:textId="77777777" w:rsidR="00576FE1" w:rsidRPr="00F14145" w:rsidRDefault="00576FE1" w:rsidP="00115CD6">
            <w:pPr>
              <w:keepNext/>
              <w:adjustRightInd w:val="0"/>
              <w:spacing w:after="0" w:line="240" w:lineRule="auto"/>
              <w:jc w:val="center"/>
              <w:rPr>
                <w:color w:val="000000"/>
              </w:rPr>
            </w:pPr>
            <w:r w:rsidRPr="00F14145">
              <w:rPr>
                <w:color w:val="000000"/>
              </w:rPr>
              <w:t>1 (0.4%)</w:t>
            </w:r>
          </w:p>
        </w:tc>
        <w:tc>
          <w:tcPr>
            <w:tcW w:w="1351" w:type="dxa"/>
            <w:tcBorders>
              <w:top w:val="nil"/>
              <w:bottom w:val="nil"/>
            </w:tcBorders>
            <w:shd w:val="clear" w:color="auto" w:fill="FFFFFF"/>
            <w:vAlign w:val="center"/>
          </w:tcPr>
          <w:p w14:paraId="785C444E"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396" w:type="dxa"/>
            <w:tcBorders>
              <w:top w:val="nil"/>
              <w:bottom w:val="nil"/>
            </w:tcBorders>
            <w:shd w:val="clear" w:color="auto" w:fill="FFFFFF"/>
            <w:vAlign w:val="center"/>
          </w:tcPr>
          <w:p w14:paraId="06B559C1"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89" w:type="dxa"/>
            <w:tcBorders>
              <w:top w:val="nil"/>
              <w:bottom w:val="nil"/>
            </w:tcBorders>
            <w:shd w:val="clear" w:color="auto" w:fill="FFFFFF"/>
          </w:tcPr>
          <w:p w14:paraId="7640E680" w14:textId="77777777" w:rsidR="00576FE1" w:rsidRPr="00F14145" w:rsidRDefault="00576FE1" w:rsidP="00115CD6">
            <w:pPr>
              <w:keepNext/>
              <w:adjustRightInd w:val="0"/>
              <w:spacing w:after="0" w:line="240" w:lineRule="auto"/>
              <w:jc w:val="center"/>
              <w:rPr>
                <w:color w:val="000000"/>
              </w:rPr>
            </w:pPr>
          </w:p>
        </w:tc>
        <w:tc>
          <w:tcPr>
            <w:tcW w:w="1417" w:type="dxa"/>
            <w:tcBorders>
              <w:top w:val="nil"/>
              <w:bottom w:val="nil"/>
            </w:tcBorders>
            <w:shd w:val="clear" w:color="auto" w:fill="FFFFFF"/>
            <w:tcMar>
              <w:top w:w="0" w:type="dxa"/>
              <w:left w:w="60" w:type="dxa"/>
              <w:bottom w:w="0" w:type="dxa"/>
              <w:right w:w="60" w:type="dxa"/>
            </w:tcMar>
            <w:vAlign w:val="center"/>
            <w:hideMark/>
          </w:tcPr>
          <w:p w14:paraId="32D7AED7"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418" w:type="dxa"/>
            <w:tcBorders>
              <w:top w:val="nil"/>
              <w:bottom w:val="nil"/>
            </w:tcBorders>
            <w:shd w:val="clear" w:color="auto" w:fill="FFFFFF"/>
            <w:tcMar>
              <w:top w:w="0" w:type="dxa"/>
              <w:left w:w="60" w:type="dxa"/>
              <w:bottom w:w="0" w:type="dxa"/>
              <w:right w:w="60" w:type="dxa"/>
            </w:tcMar>
            <w:vAlign w:val="center"/>
          </w:tcPr>
          <w:p w14:paraId="175B4F24"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701" w:type="dxa"/>
            <w:tcBorders>
              <w:top w:val="nil"/>
              <w:bottom w:val="nil"/>
            </w:tcBorders>
            <w:shd w:val="clear" w:color="auto" w:fill="FFFFFF"/>
            <w:vAlign w:val="center"/>
          </w:tcPr>
          <w:p w14:paraId="24F7D42C"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r>
      <w:tr w:rsidR="00576FE1" w:rsidRPr="00F14145" w14:paraId="353F9E25" w14:textId="77777777" w:rsidTr="00115CD6">
        <w:trPr>
          <w:cantSplit/>
          <w:trHeight w:val="335"/>
          <w:jc w:val="center"/>
        </w:trPr>
        <w:tc>
          <w:tcPr>
            <w:tcW w:w="4405" w:type="dxa"/>
            <w:tcBorders>
              <w:top w:val="nil"/>
              <w:bottom w:val="nil"/>
            </w:tcBorders>
            <w:shd w:val="clear" w:color="auto" w:fill="FFFFFF"/>
            <w:tcMar>
              <w:top w:w="0" w:type="dxa"/>
              <w:left w:w="60" w:type="dxa"/>
              <w:bottom w:w="0" w:type="dxa"/>
              <w:right w:w="60" w:type="dxa"/>
            </w:tcMar>
            <w:vAlign w:val="center"/>
            <w:hideMark/>
          </w:tcPr>
          <w:p w14:paraId="7C3EC6CA" w14:textId="77777777" w:rsidR="00576FE1" w:rsidRPr="00F14145" w:rsidRDefault="00576FE1" w:rsidP="00115CD6">
            <w:pPr>
              <w:keepNext/>
              <w:adjustRightInd w:val="0"/>
              <w:spacing w:after="0" w:line="240" w:lineRule="auto"/>
              <w:rPr>
                <w:color w:val="000000"/>
              </w:rPr>
            </w:pPr>
            <w:r w:rsidRPr="00F14145">
              <w:rPr>
                <w:color w:val="000000"/>
              </w:rPr>
              <w:t>Blood uric acid increased</w:t>
            </w:r>
          </w:p>
        </w:tc>
        <w:tc>
          <w:tcPr>
            <w:tcW w:w="1732" w:type="dxa"/>
            <w:tcBorders>
              <w:top w:val="nil"/>
              <w:bottom w:val="nil"/>
            </w:tcBorders>
            <w:shd w:val="clear" w:color="auto" w:fill="FFFFFF"/>
            <w:tcMar>
              <w:top w:w="0" w:type="dxa"/>
              <w:left w:w="60" w:type="dxa"/>
              <w:bottom w:w="0" w:type="dxa"/>
              <w:right w:w="60" w:type="dxa"/>
            </w:tcMar>
            <w:vAlign w:val="center"/>
            <w:hideMark/>
          </w:tcPr>
          <w:p w14:paraId="0F5D2CB2" w14:textId="77777777" w:rsidR="00576FE1" w:rsidRPr="00F14145" w:rsidRDefault="00576FE1" w:rsidP="00115CD6">
            <w:pPr>
              <w:keepNext/>
              <w:adjustRightInd w:val="0"/>
              <w:spacing w:after="0" w:line="240" w:lineRule="auto"/>
              <w:jc w:val="center"/>
              <w:rPr>
                <w:color w:val="000000"/>
              </w:rPr>
            </w:pPr>
            <w:r w:rsidRPr="00F14145">
              <w:rPr>
                <w:color w:val="000000"/>
              </w:rPr>
              <w:t>1 (0.4%)</w:t>
            </w:r>
          </w:p>
        </w:tc>
        <w:tc>
          <w:tcPr>
            <w:tcW w:w="1351" w:type="dxa"/>
            <w:tcBorders>
              <w:top w:val="nil"/>
              <w:bottom w:val="nil"/>
            </w:tcBorders>
            <w:shd w:val="clear" w:color="auto" w:fill="FFFFFF"/>
            <w:vAlign w:val="center"/>
          </w:tcPr>
          <w:p w14:paraId="04885F24"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396" w:type="dxa"/>
            <w:tcBorders>
              <w:top w:val="nil"/>
              <w:bottom w:val="nil"/>
            </w:tcBorders>
            <w:shd w:val="clear" w:color="auto" w:fill="FFFFFF"/>
            <w:vAlign w:val="center"/>
          </w:tcPr>
          <w:p w14:paraId="7EB69D93"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89" w:type="dxa"/>
            <w:tcBorders>
              <w:top w:val="nil"/>
              <w:bottom w:val="nil"/>
            </w:tcBorders>
            <w:shd w:val="clear" w:color="auto" w:fill="FFFFFF"/>
          </w:tcPr>
          <w:p w14:paraId="3EC804C4" w14:textId="77777777" w:rsidR="00576FE1" w:rsidRPr="00F14145" w:rsidRDefault="00576FE1" w:rsidP="00115CD6">
            <w:pPr>
              <w:keepNext/>
              <w:adjustRightInd w:val="0"/>
              <w:spacing w:after="0" w:line="240" w:lineRule="auto"/>
              <w:jc w:val="center"/>
              <w:rPr>
                <w:color w:val="000000"/>
              </w:rPr>
            </w:pPr>
          </w:p>
        </w:tc>
        <w:tc>
          <w:tcPr>
            <w:tcW w:w="1417" w:type="dxa"/>
            <w:tcBorders>
              <w:top w:val="nil"/>
              <w:bottom w:val="nil"/>
            </w:tcBorders>
            <w:shd w:val="clear" w:color="auto" w:fill="FFFFFF"/>
            <w:tcMar>
              <w:top w:w="0" w:type="dxa"/>
              <w:left w:w="60" w:type="dxa"/>
              <w:bottom w:w="0" w:type="dxa"/>
              <w:right w:w="60" w:type="dxa"/>
            </w:tcMar>
            <w:vAlign w:val="center"/>
            <w:hideMark/>
          </w:tcPr>
          <w:p w14:paraId="1A6BB07E"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418" w:type="dxa"/>
            <w:tcBorders>
              <w:top w:val="nil"/>
              <w:bottom w:val="nil"/>
            </w:tcBorders>
            <w:shd w:val="clear" w:color="auto" w:fill="FFFFFF"/>
            <w:tcMar>
              <w:top w:w="0" w:type="dxa"/>
              <w:left w:w="60" w:type="dxa"/>
              <w:bottom w:w="0" w:type="dxa"/>
              <w:right w:w="60" w:type="dxa"/>
            </w:tcMar>
            <w:vAlign w:val="center"/>
          </w:tcPr>
          <w:p w14:paraId="305E8AB8"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701" w:type="dxa"/>
            <w:tcBorders>
              <w:top w:val="nil"/>
              <w:bottom w:val="nil"/>
            </w:tcBorders>
            <w:shd w:val="clear" w:color="auto" w:fill="FFFFFF"/>
            <w:vAlign w:val="center"/>
          </w:tcPr>
          <w:p w14:paraId="35FC907B"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r>
      <w:tr w:rsidR="00576FE1" w:rsidRPr="00F14145" w14:paraId="3A6245C3" w14:textId="77777777" w:rsidTr="00115CD6">
        <w:trPr>
          <w:cantSplit/>
          <w:trHeight w:val="335"/>
          <w:jc w:val="center"/>
        </w:trPr>
        <w:tc>
          <w:tcPr>
            <w:tcW w:w="4405" w:type="dxa"/>
            <w:tcBorders>
              <w:top w:val="nil"/>
              <w:bottom w:val="nil"/>
            </w:tcBorders>
            <w:shd w:val="clear" w:color="auto" w:fill="FFFFFF"/>
            <w:tcMar>
              <w:top w:w="0" w:type="dxa"/>
              <w:left w:w="60" w:type="dxa"/>
              <w:bottom w:w="0" w:type="dxa"/>
              <w:right w:w="60" w:type="dxa"/>
            </w:tcMar>
            <w:vAlign w:val="center"/>
            <w:hideMark/>
          </w:tcPr>
          <w:p w14:paraId="64A2B4A6" w14:textId="112767C8" w:rsidR="00576FE1" w:rsidRPr="00F14145" w:rsidRDefault="001B1571" w:rsidP="00115CD6">
            <w:pPr>
              <w:keepNext/>
              <w:adjustRightInd w:val="0"/>
              <w:spacing w:after="0" w:line="240" w:lineRule="auto"/>
              <w:rPr>
                <w:color w:val="000000"/>
              </w:rPr>
            </w:pPr>
            <w:r w:rsidRPr="00F14145">
              <w:rPr>
                <w:color w:val="000000"/>
              </w:rPr>
              <w:t>Computerized</w:t>
            </w:r>
            <w:r w:rsidR="00576FE1" w:rsidRPr="00F14145">
              <w:rPr>
                <w:color w:val="000000"/>
              </w:rPr>
              <w:t xml:space="preserve"> tomogram thorax abnormal</w:t>
            </w:r>
          </w:p>
        </w:tc>
        <w:tc>
          <w:tcPr>
            <w:tcW w:w="1732" w:type="dxa"/>
            <w:tcBorders>
              <w:top w:val="nil"/>
              <w:bottom w:val="nil"/>
            </w:tcBorders>
            <w:shd w:val="clear" w:color="auto" w:fill="FFFFFF"/>
            <w:tcMar>
              <w:top w:w="0" w:type="dxa"/>
              <w:left w:w="60" w:type="dxa"/>
              <w:bottom w:w="0" w:type="dxa"/>
              <w:right w:w="60" w:type="dxa"/>
            </w:tcMar>
            <w:vAlign w:val="center"/>
            <w:hideMark/>
          </w:tcPr>
          <w:p w14:paraId="50F941E2" w14:textId="77777777" w:rsidR="00576FE1" w:rsidRPr="00F14145" w:rsidRDefault="00576FE1" w:rsidP="00115CD6">
            <w:pPr>
              <w:keepNext/>
              <w:adjustRightInd w:val="0"/>
              <w:spacing w:after="0" w:line="240" w:lineRule="auto"/>
              <w:jc w:val="center"/>
              <w:rPr>
                <w:color w:val="000000"/>
              </w:rPr>
            </w:pPr>
            <w:r w:rsidRPr="00F14145">
              <w:rPr>
                <w:color w:val="000000"/>
              </w:rPr>
              <w:t>1 (0.4%)</w:t>
            </w:r>
          </w:p>
        </w:tc>
        <w:tc>
          <w:tcPr>
            <w:tcW w:w="1351" w:type="dxa"/>
            <w:tcBorders>
              <w:top w:val="nil"/>
              <w:bottom w:val="nil"/>
            </w:tcBorders>
            <w:shd w:val="clear" w:color="auto" w:fill="FFFFFF"/>
            <w:vAlign w:val="center"/>
          </w:tcPr>
          <w:p w14:paraId="0561656E"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396" w:type="dxa"/>
            <w:tcBorders>
              <w:top w:val="nil"/>
              <w:bottom w:val="nil"/>
            </w:tcBorders>
            <w:shd w:val="clear" w:color="auto" w:fill="FFFFFF"/>
            <w:vAlign w:val="center"/>
          </w:tcPr>
          <w:p w14:paraId="047CD6C6"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89" w:type="dxa"/>
            <w:tcBorders>
              <w:top w:val="nil"/>
              <w:bottom w:val="nil"/>
            </w:tcBorders>
            <w:shd w:val="clear" w:color="auto" w:fill="FFFFFF"/>
          </w:tcPr>
          <w:p w14:paraId="44482B0B" w14:textId="77777777" w:rsidR="00576FE1" w:rsidRPr="00F14145" w:rsidRDefault="00576FE1" w:rsidP="00115CD6">
            <w:pPr>
              <w:keepNext/>
              <w:adjustRightInd w:val="0"/>
              <w:spacing w:after="0" w:line="240" w:lineRule="auto"/>
              <w:jc w:val="center"/>
              <w:rPr>
                <w:color w:val="000000"/>
              </w:rPr>
            </w:pPr>
          </w:p>
        </w:tc>
        <w:tc>
          <w:tcPr>
            <w:tcW w:w="1417" w:type="dxa"/>
            <w:tcBorders>
              <w:top w:val="nil"/>
              <w:bottom w:val="nil"/>
            </w:tcBorders>
            <w:shd w:val="clear" w:color="auto" w:fill="FFFFFF"/>
            <w:tcMar>
              <w:top w:w="0" w:type="dxa"/>
              <w:left w:w="60" w:type="dxa"/>
              <w:bottom w:w="0" w:type="dxa"/>
              <w:right w:w="60" w:type="dxa"/>
            </w:tcMar>
            <w:vAlign w:val="center"/>
            <w:hideMark/>
          </w:tcPr>
          <w:p w14:paraId="1FA818EB"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418" w:type="dxa"/>
            <w:tcBorders>
              <w:top w:val="nil"/>
              <w:bottom w:val="nil"/>
            </w:tcBorders>
            <w:shd w:val="clear" w:color="auto" w:fill="FFFFFF"/>
            <w:tcMar>
              <w:top w:w="0" w:type="dxa"/>
              <w:left w:w="60" w:type="dxa"/>
              <w:bottom w:w="0" w:type="dxa"/>
              <w:right w:w="60" w:type="dxa"/>
            </w:tcMar>
            <w:vAlign w:val="center"/>
          </w:tcPr>
          <w:p w14:paraId="0ED0B3A2"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701" w:type="dxa"/>
            <w:tcBorders>
              <w:top w:val="nil"/>
              <w:bottom w:val="nil"/>
            </w:tcBorders>
            <w:shd w:val="clear" w:color="auto" w:fill="FFFFFF"/>
            <w:vAlign w:val="center"/>
          </w:tcPr>
          <w:p w14:paraId="77881388"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r>
      <w:tr w:rsidR="00576FE1" w:rsidRPr="00F14145" w14:paraId="20A8F495" w14:textId="77777777" w:rsidTr="00115CD6">
        <w:trPr>
          <w:cantSplit/>
          <w:trHeight w:val="321"/>
          <w:jc w:val="center"/>
        </w:trPr>
        <w:tc>
          <w:tcPr>
            <w:tcW w:w="4405" w:type="dxa"/>
            <w:tcBorders>
              <w:top w:val="nil"/>
              <w:bottom w:val="nil"/>
            </w:tcBorders>
            <w:shd w:val="clear" w:color="auto" w:fill="FFFFFF"/>
            <w:tcMar>
              <w:top w:w="0" w:type="dxa"/>
              <w:left w:w="60" w:type="dxa"/>
              <w:bottom w:w="0" w:type="dxa"/>
              <w:right w:w="60" w:type="dxa"/>
            </w:tcMar>
            <w:vAlign w:val="center"/>
            <w:hideMark/>
          </w:tcPr>
          <w:p w14:paraId="671B1F55" w14:textId="77777777" w:rsidR="00576FE1" w:rsidRPr="00F14145" w:rsidRDefault="00576FE1" w:rsidP="00115CD6">
            <w:pPr>
              <w:keepNext/>
              <w:adjustRightInd w:val="0"/>
              <w:spacing w:after="0" w:line="240" w:lineRule="auto"/>
              <w:rPr>
                <w:color w:val="000000"/>
              </w:rPr>
            </w:pPr>
            <w:r w:rsidRPr="00F14145">
              <w:rPr>
                <w:color w:val="000000"/>
              </w:rPr>
              <w:t>Full blood count decreased</w:t>
            </w:r>
          </w:p>
        </w:tc>
        <w:tc>
          <w:tcPr>
            <w:tcW w:w="1732" w:type="dxa"/>
            <w:tcBorders>
              <w:top w:val="nil"/>
              <w:bottom w:val="nil"/>
            </w:tcBorders>
            <w:shd w:val="clear" w:color="auto" w:fill="FFFFFF"/>
            <w:tcMar>
              <w:top w:w="0" w:type="dxa"/>
              <w:left w:w="60" w:type="dxa"/>
              <w:bottom w:w="0" w:type="dxa"/>
              <w:right w:w="60" w:type="dxa"/>
            </w:tcMar>
            <w:vAlign w:val="center"/>
            <w:hideMark/>
          </w:tcPr>
          <w:p w14:paraId="168DE363" w14:textId="77777777" w:rsidR="00576FE1" w:rsidRPr="00F14145" w:rsidRDefault="00576FE1" w:rsidP="00115CD6">
            <w:pPr>
              <w:keepNext/>
              <w:adjustRightInd w:val="0"/>
              <w:spacing w:after="0" w:line="240" w:lineRule="auto"/>
              <w:jc w:val="center"/>
              <w:rPr>
                <w:color w:val="000000"/>
              </w:rPr>
            </w:pPr>
            <w:r w:rsidRPr="00F14145">
              <w:rPr>
                <w:color w:val="000000"/>
              </w:rPr>
              <w:t>1 (0.4%)</w:t>
            </w:r>
          </w:p>
        </w:tc>
        <w:tc>
          <w:tcPr>
            <w:tcW w:w="1351" w:type="dxa"/>
            <w:tcBorders>
              <w:top w:val="nil"/>
              <w:bottom w:val="nil"/>
            </w:tcBorders>
            <w:shd w:val="clear" w:color="auto" w:fill="FFFFFF"/>
            <w:vAlign w:val="center"/>
          </w:tcPr>
          <w:p w14:paraId="5C5908D5"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396" w:type="dxa"/>
            <w:tcBorders>
              <w:top w:val="nil"/>
              <w:bottom w:val="nil"/>
            </w:tcBorders>
            <w:shd w:val="clear" w:color="auto" w:fill="FFFFFF"/>
            <w:vAlign w:val="center"/>
          </w:tcPr>
          <w:p w14:paraId="5EB4B23D"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89" w:type="dxa"/>
            <w:tcBorders>
              <w:top w:val="nil"/>
              <w:bottom w:val="nil"/>
            </w:tcBorders>
            <w:shd w:val="clear" w:color="auto" w:fill="FFFFFF"/>
          </w:tcPr>
          <w:p w14:paraId="5526A65A" w14:textId="77777777" w:rsidR="00576FE1" w:rsidRPr="00F14145" w:rsidRDefault="00576FE1" w:rsidP="00115CD6">
            <w:pPr>
              <w:keepNext/>
              <w:adjustRightInd w:val="0"/>
              <w:spacing w:after="0" w:line="240" w:lineRule="auto"/>
              <w:jc w:val="center"/>
              <w:rPr>
                <w:color w:val="000000"/>
              </w:rPr>
            </w:pPr>
          </w:p>
        </w:tc>
        <w:tc>
          <w:tcPr>
            <w:tcW w:w="1417" w:type="dxa"/>
            <w:tcBorders>
              <w:top w:val="nil"/>
              <w:bottom w:val="nil"/>
            </w:tcBorders>
            <w:shd w:val="clear" w:color="auto" w:fill="FFFFFF"/>
            <w:tcMar>
              <w:top w:w="0" w:type="dxa"/>
              <w:left w:w="60" w:type="dxa"/>
              <w:bottom w:w="0" w:type="dxa"/>
              <w:right w:w="60" w:type="dxa"/>
            </w:tcMar>
            <w:vAlign w:val="center"/>
            <w:hideMark/>
          </w:tcPr>
          <w:p w14:paraId="46C89C84"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418" w:type="dxa"/>
            <w:tcBorders>
              <w:top w:val="nil"/>
              <w:bottom w:val="nil"/>
            </w:tcBorders>
            <w:shd w:val="clear" w:color="auto" w:fill="FFFFFF"/>
            <w:tcMar>
              <w:top w:w="0" w:type="dxa"/>
              <w:left w:w="60" w:type="dxa"/>
              <w:bottom w:w="0" w:type="dxa"/>
              <w:right w:w="60" w:type="dxa"/>
            </w:tcMar>
            <w:vAlign w:val="center"/>
          </w:tcPr>
          <w:p w14:paraId="19295B48"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701" w:type="dxa"/>
            <w:tcBorders>
              <w:top w:val="nil"/>
              <w:bottom w:val="nil"/>
            </w:tcBorders>
            <w:shd w:val="clear" w:color="auto" w:fill="FFFFFF"/>
            <w:vAlign w:val="center"/>
          </w:tcPr>
          <w:p w14:paraId="629F9F23"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r>
      <w:tr w:rsidR="00576FE1" w:rsidRPr="00F14145" w14:paraId="634C9FCC" w14:textId="77777777" w:rsidTr="00115CD6">
        <w:trPr>
          <w:cantSplit/>
          <w:trHeight w:val="335"/>
          <w:jc w:val="center"/>
        </w:trPr>
        <w:tc>
          <w:tcPr>
            <w:tcW w:w="4405" w:type="dxa"/>
            <w:tcBorders>
              <w:top w:val="nil"/>
              <w:bottom w:val="nil"/>
            </w:tcBorders>
            <w:shd w:val="clear" w:color="auto" w:fill="FFFFFF"/>
            <w:tcMar>
              <w:top w:w="0" w:type="dxa"/>
              <w:left w:w="60" w:type="dxa"/>
              <w:bottom w:w="0" w:type="dxa"/>
              <w:right w:w="60" w:type="dxa"/>
            </w:tcMar>
            <w:vAlign w:val="center"/>
            <w:hideMark/>
          </w:tcPr>
          <w:p w14:paraId="0CBBBD11" w14:textId="77777777" w:rsidR="00576FE1" w:rsidRPr="00F14145" w:rsidRDefault="00576FE1" w:rsidP="00115CD6">
            <w:pPr>
              <w:keepNext/>
              <w:adjustRightInd w:val="0"/>
              <w:spacing w:after="0" w:line="240" w:lineRule="auto"/>
              <w:rPr>
                <w:color w:val="000000"/>
              </w:rPr>
            </w:pPr>
            <w:proofErr w:type="spellStart"/>
            <w:r w:rsidRPr="00F14145">
              <w:rPr>
                <w:color w:val="000000"/>
              </w:rPr>
              <w:t>Haemoglobin</w:t>
            </w:r>
            <w:proofErr w:type="spellEnd"/>
            <w:r w:rsidRPr="00F14145">
              <w:rPr>
                <w:color w:val="000000"/>
              </w:rPr>
              <w:t xml:space="preserve"> increased</w:t>
            </w:r>
          </w:p>
        </w:tc>
        <w:tc>
          <w:tcPr>
            <w:tcW w:w="1732" w:type="dxa"/>
            <w:tcBorders>
              <w:top w:val="nil"/>
              <w:bottom w:val="nil"/>
            </w:tcBorders>
            <w:shd w:val="clear" w:color="auto" w:fill="FFFFFF"/>
            <w:tcMar>
              <w:top w:w="0" w:type="dxa"/>
              <w:left w:w="60" w:type="dxa"/>
              <w:bottom w:w="0" w:type="dxa"/>
              <w:right w:w="60" w:type="dxa"/>
            </w:tcMar>
            <w:vAlign w:val="center"/>
            <w:hideMark/>
          </w:tcPr>
          <w:p w14:paraId="1950ECDA"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351" w:type="dxa"/>
            <w:tcBorders>
              <w:top w:val="nil"/>
              <w:bottom w:val="nil"/>
            </w:tcBorders>
            <w:shd w:val="clear" w:color="auto" w:fill="FFFFFF"/>
            <w:vAlign w:val="center"/>
          </w:tcPr>
          <w:p w14:paraId="509B1919"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396" w:type="dxa"/>
            <w:tcBorders>
              <w:top w:val="nil"/>
              <w:bottom w:val="nil"/>
            </w:tcBorders>
            <w:shd w:val="clear" w:color="auto" w:fill="FFFFFF"/>
            <w:vAlign w:val="center"/>
          </w:tcPr>
          <w:p w14:paraId="691EACDF"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89" w:type="dxa"/>
            <w:tcBorders>
              <w:top w:val="nil"/>
              <w:bottom w:val="nil"/>
            </w:tcBorders>
            <w:shd w:val="clear" w:color="auto" w:fill="FFFFFF"/>
          </w:tcPr>
          <w:p w14:paraId="58DACA37" w14:textId="77777777" w:rsidR="00576FE1" w:rsidRPr="00F14145" w:rsidRDefault="00576FE1" w:rsidP="00115CD6">
            <w:pPr>
              <w:keepNext/>
              <w:adjustRightInd w:val="0"/>
              <w:spacing w:after="0" w:line="240" w:lineRule="auto"/>
              <w:jc w:val="center"/>
              <w:rPr>
                <w:color w:val="000000"/>
              </w:rPr>
            </w:pPr>
          </w:p>
        </w:tc>
        <w:tc>
          <w:tcPr>
            <w:tcW w:w="1417" w:type="dxa"/>
            <w:tcBorders>
              <w:top w:val="nil"/>
              <w:bottom w:val="nil"/>
            </w:tcBorders>
            <w:shd w:val="clear" w:color="auto" w:fill="FFFFFF"/>
            <w:tcMar>
              <w:top w:w="0" w:type="dxa"/>
              <w:left w:w="60" w:type="dxa"/>
              <w:bottom w:w="0" w:type="dxa"/>
              <w:right w:w="60" w:type="dxa"/>
            </w:tcMar>
            <w:vAlign w:val="center"/>
            <w:hideMark/>
          </w:tcPr>
          <w:p w14:paraId="5C8C8CB3" w14:textId="77777777" w:rsidR="00576FE1" w:rsidRPr="00F14145" w:rsidRDefault="00576FE1" w:rsidP="00115CD6">
            <w:pPr>
              <w:keepNext/>
              <w:adjustRightInd w:val="0"/>
              <w:spacing w:after="0" w:line="240" w:lineRule="auto"/>
              <w:jc w:val="center"/>
              <w:rPr>
                <w:color w:val="000000"/>
              </w:rPr>
            </w:pPr>
            <w:r w:rsidRPr="00F14145">
              <w:rPr>
                <w:color w:val="000000"/>
              </w:rPr>
              <w:t>1 (0.4%)</w:t>
            </w:r>
          </w:p>
        </w:tc>
        <w:tc>
          <w:tcPr>
            <w:tcW w:w="1418" w:type="dxa"/>
            <w:tcBorders>
              <w:top w:val="nil"/>
              <w:bottom w:val="nil"/>
            </w:tcBorders>
            <w:shd w:val="clear" w:color="auto" w:fill="FFFFFF"/>
            <w:tcMar>
              <w:top w:w="0" w:type="dxa"/>
              <w:left w:w="60" w:type="dxa"/>
              <w:bottom w:w="0" w:type="dxa"/>
              <w:right w:w="60" w:type="dxa"/>
            </w:tcMar>
            <w:vAlign w:val="center"/>
          </w:tcPr>
          <w:p w14:paraId="16FE9E60"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701" w:type="dxa"/>
            <w:tcBorders>
              <w:top w:val="nil"/>
              <w:bottom w:val="nil"/>
            </w:tcBorders>
            <w:shd w:val="clear" w:color="auto" w:fill="FFFFFF"/>
            <w:vAlign w:val="center"/>
          </w:tcPr>
          <w:p w14:paraId="410E7934"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r>
      <w:tr w:rsidR="00576FE1" w:rsidRPr="00F14145" w14:paraId="6530D325" w14:textId="77777777" w:rsidTr="00115CD6">
        <w:trPr>
          <w:cantSplit/>
          <w:trHeight w:val="335"/>
          <w:jc w:val="center"/>
        </w:trPr>
        <w:tc>
          <w:tcPr>
            <w:tcW w:w="4405" w:type="dxa"/>
            <w:tcBorders>
              <w:top w:val="nil"/>
            </w:tcBorders>
            <w:shd w:val="clear" w:color="auto" w:fill="FFFFFF"/>
            <w:tcMar>
              <w:top w:w="0" w:type="dxa"/>
              <w:left w:w="60" w:type="dxa"/>
              <w:bottom w:w="0" w:type="dxa"/>
              <w:right w:w="60" w:type="dxa"/>
            </w:tcMar>
            <w:vAlign w:val="center"/>
            <w:hideMark/>
          </w:tcPr>
          <w:p w14:paraId="0D9B4222" w14:textId="77777777" w:rsidR="00576FE1" w:rsidRPr="00F14145" w:rsidRDefault="00576FE1" w:rsidP="00115CD6">
            <w:pPr>
              <w:keepNext/>
              <w:adjustRightInd w:val="0"/>
              <w:spacing w:after="0" w:line="240" w:lineRule="auto"/>
              <w:rPr>
                <w:color w:val="000000"/>
                <w:lang w:val="en-GB"/>
              </w:rPr>
            </w:pPr>
            <w:r w:rsidRPr="00F14145">
              <w:rPr>
                <w:color w:val="000000"/>
                <w:lang w:val="en-GB"/>
              </w:rPr>
              <w:t>White blood cell count decreased</w:t>
            </w:r>
          </w:p>
        </w:tc>
        <w:tc>
          <w:tcPr>
            <w:tcW w:w="1732" w:type="dxa"/>
            <w:tcBorders>
              <w:top w:val="nil"/>
            </w:tcBorders>
            <w:shd w:val="clear" w:color="auto" w:fill="FFFFFF"/>
            <w:tcMar>
              <w:top w:w="0" w:type="dxa"/>
              <w:left w:w="60" w:type="dxa"/>
              <w:bottom w:w="0" w:type="dxa"/>
              <w:right w:w="60" w:type="dxa"/>
            </w:tcMar>
            <w:vAlign w:val="center"/>
            <w:hideMark/>
          </w:tcPr>
          <w:p w14:paraId="1844D0D8" w14:textId="77777777" w:rsidR="00576FE1" w:rsidRPr="00F14145" w:rsidRDefault="00576FE1" w:rsidP="00115CD6">
            <w:pPr>
              <w:keepNext/>
              <w:adjustRightInd w:val="0"/>
              <w:spacing w:after="0" w:line="240" w:lineRule="auto"/>
              <w:jc w:val="center"/>
              <w:rPr>
                <w:color w:val="000000"/>
              </w:rPr>
            </w:pPr>
            <w:r w:rsidRPr="00F14145">
              <w:rPr>
                <w:color w:val="000000"/>
              </w:rPr>
              <w:t>1 (0.4%)</w:t>
            </w:r>
          </w:p>
        </w:tc>
        <w:tc>
          <w:tcPr>
            <w:tcW w:w="1351" w:type="dxa"/>
            <w:tcBorders>
              <w:top w:val="nil"/>
            </w:tcBorders>
            <w:shd w:val="clear" w:color="auto" w:fill="FFFFFF"/>
            <w:vAlign w:val="center"/>
          </w:tcPr>
          <w:p w14:paraId="230CB4AE"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396" w:type="dxa"/>
            <w:tcBorders>
              <w:top w:val="nil"/>
            </w:tcBorders>
            <w:shd w:val="clear" w:color="auto" w:fill="FFFFFF"/>
            <w:vAlign w:val="center"/>
          </w:tcPr>
          <w:p w14:paraId="397C3241"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89" w:type="dxa"/>
            <w:tcBorders>
              <w:top w:val="nil"/>
            </w:tcBorders>
            <w:shd w:val="clear" w:color="auto" w:fill="FFFFFF"/>
          </w:tcPr>
          <w:p w14:paraId="6CA0C68C" w14:textId="77777777" w:rsidR="00576FE1" w:rsidRPr="00F14145" w:rsidRDefault="00576FE1" w:rsidP="00115CD6">
            <w:pPr>
              <w:keepNext/>
              <w:adjustRightInd w:val="0"/>
              <w:spacing w:after="0" w:line="240" w:lineRule="auto"/>
              <w:jc w:val="center"/>
              <w:rPr>
                <w:color w:val="000000"/>
              </w:rPr>
            </w:pPr>
          </w:p>
        </w:tc>
        <w:tc>
          <w:tcPr>
            <w:tcW w:w="1417" w:type="dxa"/>
            <w:tcBorders>
              <w:top w:val="nil"/>
            </w:tcBorders>
            <w:shd w:val="clear" w:color="auto" w:fill="FFFFFF"/>
            <w:tcMar>
              <w:top w:w="0" w:type="dxa"/>
              <w:left w:w="60" w:type="dxa"/>
              <w:bottom w:w="0" w:type="dxa"/>
              <w:right w:w="60" w:type="dxa"/>
            </w:tcMar>
            <w:vAlign w:val="center"/>
            <w:hideMark/>
          </w:tcPr>
          <w:p w14:paraId="6EEDC804"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418" w:type="dxa"/>
            <w:tcBorders>
              <w:top w:val="nil"/>
            </w:tcBorders>
            <w:shd w:val="clear" w:color="auto" w:fill="FFFFFF"/>
            <w:tcMar>
              <w:top w:w="0" w:type="dxa"/>
              <w:left w:w="60" w:type="dxa"/>
              <w:bottom w:w="0" w:type="dxa"/>
              <w:right w:w="60" w:type="dxa"/>
            </w:tcMar>
            <w:vAlign w:val="center"/>
          </w:tcPr>
          <w:p w14:paraId="331F35AB"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c>
          <w:tcPr>
            <w:tcW w:w="1701" w:type="dxa"/>
            <w:tcBorders>
              <w:top w:val="nil"/>
            </w:tcBorders>
            <w:shd w:val="clear" w:color="auto" w:fill="FFFFFF"/>
            <w:vAlign w:val="center"/>
          </w:tcPr>
          <w:p w14:paraId="4F5AB078" w14:textId="77777777" w:rsidR="00576FE1" w:rsidRPr="00F14145" w:rsidRDefault="00576FE1" w:rsidP="00115CD6">
            <w:pPr>
              <w:keepNext/>
              <w:adjustRightInd w:val="0"/>
              <w:spacing w:after="0" w:line="240" w:lineRule="auto"/>
              <w:jc w:val="center"/>
              <w:rPr>
                <w:color w:val="000000"/>
              </w:rPr>
            </w:pPr>
            <w:r w:rsidRPr="00F14145">
              <w:rPr>
                <w:color w:val="000000"/>
              </w:rPr>
              <w:t>0 (0.0%)</w:t>
            </w:r>
          </w:p>
        </w:tc>
      </w:tr>
    </w:tbl>
    <w:p w14:paraId="5A1FFA8C" w14:textId="2252226D" w:rsidR="00FE0FC9" w:rsidRDefault="00576FE1" w:rsidP="00576FE1">
      <w:pPr>
        <w:autoSpaceDE w:val="0"/>
        <w:autoSpaceDN w:val="0"/>
        <w:adjustRightInd w:val="0"/>
        <w:spacing w:before="280" w:after="173" w:line="240" w:lineRule="auto"/>
        <w:rPr>
          <w:i/>
          <w:sz w:val="18"/>
          <w:szCs w:val="18"/>
          <w:lang w:val="en-GB"/>
        </w:rPr>
      </w:pPr>
      <w:r w:rsidRPr="0011227C">
        <w:rPr>
          <w:i/>
          <w:sz w:val="18"/>
          <w:szCs w:val="18"/>
          <w:lang w:val="en-GB"/>
        </w:rPr>
        <w:t>(</w:t>
      </w:r>
      <w:r w:rsidRPr="0011227C">
        <w:rPr>
          <w:i/>
          <w:sz w:val="18"/>
          <w:szCs w:val="18"/>
          <w:u w:val="single"/>
          <w:lang w:val="en-GB"/>
        </w:rPr>
        <w:t>Cross reference</w:t>
      </w:r>
      <w:r w:rsidRPr="0011227C">
        <w:rPr>
          <w:i/>
          <w:sz w:val="18"/>
          <w:szCs w:val="18"/>
          <w:lang w:val="en-GB"/>
        </w:rPr>
        <w:t xml:space="preserve">: </w:t>
      </w:r>
      <w:r>
        <w:rPr>
          <w:i/>
          <w:sz w:val="18"/>
          <w:szCs w:val="18"/>
          <w:lang w:val="en-GB"/>
        </w:rPr>
        <w:t xml:space="preserve">Tables 162, 165 and 167 </w:t>
      </w:r>
      <w:r w:rsidRPr="0011227C">
        <w:rPr>
          <w:i/>
          <w:sz w:val="18"/>
          <w:szCs w:val="18"/>
          <w:lang w:val="en-GB"/>
        </w:rPr>
        <w:t xml:space="preserve">of Final Analysis Statistical Report dated </w:t>
      </w:r>
      <w:r w:rsidR="001B1571">
        <w:rPr>
          <w:i/>
          <w:sz w:val="18"/>
          <w:szCs w:val="18"/>
          <w:lang w:val="en-GB"/>
        </w:rPr>
        <w:t>4th</w:t>
      </w:r>
      <w:r w:rsidRPr="0011227C">
        <w:rPr>
          <w:i/>
          <w:sz w:val="18"/>
          <w:szCs w:val="18"/>
          <w:lang w:val="en-GB"/>
        </w:rPr>
        <w:t xml:space="preserve"> </w:t>
      </w:r>
      <w:r w:rsidR="001B1571">
        <w:rPr>
          <w:i/>
          <w:sz w:val="18"/>
          <w:szCs w:val="18"/>
          <w:lang w:val="en-GB"/>
        </w:rPr>
        <w:t>September</w:t>
      </w:r>
      <w:r w:rsidRPr="0011227C">
        <w:rPr>
          <w:i/>
          <w:sz w:val="18"/>
          <w:szCs w:val="18"/>
          <w:lang w:val="en-GB"/>
        </w:rPr>
        <w:t xml:space="preserve"> 2020).</w:t>
      </w:r>
    </w:p>
    <w:p w14:paraId="0D94BC23" w14:textId="0EDF77A4" w:rsidR="00576FE1" w:rsidRDefault="00576FE1" w:rsidP="00576FE1">
      <w:pPr>
        <w:autoSpaceDE w:val="0"/>
        <w:autoSpaceDN w:val="0"/>
        <w:adjustRightInd w:val="0"/>
        <w:spacing w:before="280" w:after="173" w:line="240" w:lineRule="auto"/>
        <w:rPr>
          <w:i/>
          <w:sz w:val="18"/>
          <w:szCs w:val="18"/>
          <w:lang w:val="en-GB"/>
        </w:rPr>
      </w:pPr>
    </w:p>
    <w:p w14:paraId="2DFD8B92" w14:textId="77777777" w:rsidR="00576FE1" w:rsidRPr="004F0FE2" w:rsidRDefault="00576FE1" w:rsidP="00576FE1">
      <w:pPr>
        <w:autoSpaceDE w:val="0"/>
        <w:autoSpaceDN w:val="0"/>
        <w:adjustRightInd w:val="0"/>
        <w:spacing w:before="280" w:after="173" w:line="240" w:lineRule="auto"/>
      </w:pPr>
    </w:p>
    <w:p w14:paraId="17DBA2CE" w14:textId="77777777" w:rsidR="00BE63CE" w:rsidRPr="004F0FE2" w:rsidRDefault="00A65A92" w:rsidP="00AB08F3">
      <w:pPr>
        <w:rPr>
          <w:b/>
          <w:bCs/>
          <w:color w:val="1F3864"/>
        </w:rPr>
      </w:pPr>
      <w:r w:rsidRPr="004F0FE2">
        <w:rPr>
          <w:b/>
          <w:bCs/>
          <w:color w:val="1F3864"/>
        </w:rPr>
        <w:br w:type="page"/>
      </w:r>
    </w:p>
    <w:p w14:paraId="0F5D3114" w14:textId="77777777" w:rsidR="00576FE1" w:rsidRDefault="00576FE1" w:rsidP="005A7B1B">
      <w:pPr>
        <w:pStyle w:val="Ttulo1"/>
        <w:tabs>
          <w:tab w:val="clear" w:pos="426"/>
          <w:tab w:val="left" w:pos="0"/>
        </w:tabs>
        <w:ind w:left="0" w:firstLine="0"/>
        <w:sectPr w:rsidR="00576FE1" w:rsidSect="00576FE1">
          <w:footerReference w:type="even" r:id="rId24"/>
          <w:pgSz w:w="15840" w:h="12240" w:orient="landscape" w:code="1"/>
          <w:pgMar w:top="1559" w:right="1134" w:bottom="1134" w:left="1134" w:header="1151" w:footer="851" w:gutter="0"/>
          <w:cols w:space="720"/>
          <w:noEndnote/>
        </w:sectPr>
      </w:pPr>
      <w:bookmarkStart w:id="715" w:name="_Toc46085728"/>
      <w:bookmarkStart w:id="716" w:name="_Toc48334784"/>
      <w:bookmarkStart w:id="717" w:name="_Toc349040070"/>
      <w:bookmarkStart w:id="718" w:name="_Toc349040261"/>
      <w:bookmarkStart w:id="719" w:name="_Toc349040727"/>
      <w:bookmarkStart w:id="720" w:name="_Toc350240104"/>
      <w:bookmarkStart w:id="721" w:name="_Toc350241413"/>
      <w:bookmarkStart w:id="722" w:name="_Toc350241488"/>
      <w:bookmarkStart w:id="723" w:name="_Toc350580037"/>
      <w:bookmarkStart w:id="724" w:name="_Toc350583848"/>
      <w:bookmarkStart w:id="725" w:name="_Toc350583967"/>
      <w:bookmarkStart w:id="726" w:name="_Toc351358109"/>
      <w:bookmarkStart w:id="727" w:name="_Toc351358699"/>
      <w:bookmarkStart w:id="728" w:name="_Toc352037328"/>
      <w:bookmarkStart w:id="729" w:name="_Toc352038964"/>
      <w:bookmarkStart w:id="730" w:name="_Toc352039697"/>
      <w:bookmarkStart w:id="731" w:name="_Toc352039796"/>
      <w:bookmarkStart w:id="732" w:name="_Toc377434746"/>
      <w:bookmarkStart w:id="733" w:name="_Toc377434912"/>
      <w:bookmarkStart w:id="734" w:name="_Toc377435070"/>
      <w:bookmarkStart w:id="735" w:name="_Toc377435208"/>
      <w:bookmarkStart w:id="736" w:name="_Toc377438611"/>
      <w:bookmarkStart w:id="737" w:name="_Toc392499841"/>
      <w:bookmarkStart w:id="738" w:name="_Toc392500473"/>
    </w:p>
    <w:p w14:paraId="790EE955" w14:textId="77777777" w:rsidR="00893D9E" w:rsidRDefault="00893D9E" w:rsidP="00367B80">
      <w:pPr>
        <w:pStyle w:val="Ttulo1"/>
        <w:tabs>
          <w:tab w:val="clear" w:pos="426"/>
          <w:tab w:val="left" w:pos="0"/>
        </w:tabs>
        <w:ind w:left="0" w:firstLine="0"/>
      </w:pPr>
      <w:bookmarkStart w:id="739" w:name="_Toc52468182"/>
      <w:r>
        <w:lastRenderedPageBreak/>
        <w:t>FIGURES</w:t>
      </w:r>
      <w:bookmarkEnd w:id="739"/>
    </w:p>
    <w:p w14:paraId="7BCA59D3" w14:textId="77777777" w:rsidR="00893D9E" w:rsidRDefault="00893D9E">
      <w:pPr>
        <w:spacing w:after="0" w:line="240" w:lineRule="auto"/>
        <w:jc w:val="left"/>
      </w:pPr>
    </w:p>
    <w:p w14:paraId="23005602" w14:textId="77777777" w:rsidR="00893D9E" w:rsidRDefault="00893D9E" w:rsidP="00F3702F">
      <w:pPr>
        <w:pStyle w:val="Descripcin"/>
        <w:jc w:val="left"/>
        <w:outlineLvl w:val="0"/>
      </w:pPr>
      <w:bookmarkStart w:id="740" w:name="_Ref52439411"/>
      <w:bookmarkStart w:id="741" w:name="_Ref52439393"/>
      <w:bookmarkStart w:id="742" w:name="_Toc52446226"/>
      <w:bookmarkStart w:id="743" w:name="_Toc52468183"/>
      <w:r>
        <w:t xml:space="preserve">Figure </w:t>
      </w:r>
      <w:r>
        <w:fldChar w:fldCharType="begin"/>
      </w:r>
      <w:r>
        <w:instrText xml:space="preserve"> SEQ Figure \* ARABIC </w:instrText>
      </w:r>
      <w:r>
        <w:fldChar w:fldCharType="separate"/>
      </w:r>
      <w:r>
        <w:rPr>
          <w:noProof/>
        </w:rPr>
        <w:t>1</w:t>
      </w:r>
      <w:r>
        <w:fldChar w:fldCharType="end"/>
      </w:r>
      <w:bookmarkEnd w:id="740"/>
      <w:r>
        <w:t xml:space="preserve">. </w:t>
      </w:r>
      <w:r w:rsidRPr="00670AB7">
        <w:t>PARSIFAL Study Design.</w:t>
      </w:r>
      <w:bookmarkEnd w:id="741"/>
      <w:bookmarkEnd w:id="742"/>
      <w:bookmarkEnd w:id="743"/>
    </w:p>
    <w:p w14:paraId="5EF044CB" w14:textId="77777777" w:rsidR="00893D9E" w:rsidRDefault="00893D9E" w:rsidP="00893D9E">
      <w:pPr>
        <w:pStyle w:val="BodyText12"/>
        <w:keepNext/>
        <w:spacing w:after="0" w:line="240" w:lineRule="auto"/>
        <w:ind w:left="0"/>
        <w:jc w:val="left"/>
        <w:rPr>
          <w:rFonts w:ascii="Arial" w:hAnsi="Arial" w:cs="Arial"/>
          <w:noProof/>
          <w:sz w:val="20"/>
          <w:lang w:val="en-GB" w:eastAsia="en-GB"/>
        </w:rPr>
      </w:pPr>
    </w:p>
    <w:p w14:paraId="428C172F" w14:textId="77777777" w:rsidR="00893D9E" w:rsidRDefault="00893D9E" w:rsidP="00F3702F">
      <w:pPr>
        <w:pStyle w:val="BodyText12"/>
        <w:keepNext/>
        <w:spacing w:after="0" w:line="240" w:lineRule="auto"/>
        <w:ind w:left="0"/>
        <w:jc w:val="center"/>
      </w:pPr>
      <w:r w:rsidRPr="00DD66C1">
        <w:rPr>
          <w:rFonts w:ascii="Arial" w:hAnsi="Arial" w:cs="Arial"/>
          <w:noProof/>
          <w:sz w:val="20"/>
          <w:lang w:val="en-GB" w:eastAsia="en-GB"/>
        </w:rPr>
        <w:drawing>
          <wp:inline distT="0" distB="0" distL="0" distR="0" wp14:anchorId="388EA476" wp14:editId="5DF5F7CB">
            <wp:extent cx="5793862" cy="2602186"/>
            <wp:effectExtent l="0" t="0" r="0" b="0"/>
            <wp:docPr id="1"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descr="Interfaz de usuario gráfica, Aplicación&#10;&#10;Descripción generada automáticamente"/>
                    <pic:cNvPicPr>
                      <a:picLocks noChangeAspect="1" noChangeArrowheads="1"/>
                    </pic:cNvPicPr>
                  </pic:nvPicPr>
                  <pic:blipFill>
                    <a:blip r:embed="rId25" cstate="print">
                      <a:extLst>
                        <a:ext uri="{28A0092B-C50C-407E-A947-70E740481C1C}">
                          <a14:useLocalDpi xmlns:a14="http://schemas.microsoft.com/office/drawing/2010/main" val="0"/>
                        </a:ext>
                      </a:extLst>
                    </a:blip>
                    <a:srcRect b="17010"/>
                    <a:stretch>
                      <a:fillRect/>
                    </a:stretch>
                  </pic:blipFill>
                  <pic:spPr bwMode="auto">
                    <a:xfrm>
                      <a:off x="0" y="0"/>
                      <a:ext cx="5824099" cy="2615766"/>
                    </a:xfrm>
                    <a:prstGeom prst="rect">
                      <a:avLst/>
                    </a:prstGeom>
                    <a:noFill/>
                    <a:ln>
                      <a:noFill/>
                    </a:ln>
                  </pic:spPr>
                </pic:pic>
              </a:graphicData>
            </a:graphic>
          </wp:inline>
        </w:drawing>
      </w:r>
    </w:p>
    <w:p w14:paraId="6605708D" w14:textId="77777777" w:rsidR="00B66F06" w:rsidRDefault="00893D9E" w:rsidP="00DE0C02">
      <w:pPr>
        <w:rPr>
          <w:i/>
          <w:sz w:val="18"/>
          <w:szCs w:val="18"/>
          <w:lang w:val="en-GB"/>
        </w:rPr>
      </w:pPr>
      <w:r w:rsidRPr="00B66F06">
        <w:rPr>
          <w:i/>
          <w:sz w:val="18"/>
          <w:szCs w:val="18"/>
          <w:lang w:val="en-GB"/>
        </w:rPr>
        <w:t xml:space="preserve">(*) If pre-menopausal, an ovarian suppression method was required. </w:t>
      </w:r>
    </w:p>
    <w:p w14:paraId="0FF8F303" w14:textId="167D7530" w:rsidR="00DE0C02" w:rsidRPr="00B66F06" w:rsidRDefault="00893D9E" w:rsidP="00DE0C02">
      <w:pPr>
        <w:rPr>
          <w:i/>
          <w:sz w:val="18"/>
          <w:szCs w:val="18"/>
          <w:lang w:val="en-GB"/>
        </w:rPr>
      </w:pPr>
      <w:r w:rsidRPr="00B66F06">
        <w:rPr>
          <w:i/>
          <w:sz w:val="18"/>
          <w:szCs w:val="18"/>
          <w:lang w:val="es-ES"/>
        </w:rPr>
        <w:t xml:space="preserve">ER: </w:t>
      </w:r>
      <w:proofErr w:type="spellStart"/>
      <w:r w:rsidRPr="00B66F06">
        <w:rPr>
          <w:i/>
          <w:sz w:val="18"/>
          <w:szCs w:val="18"/>
          <w:lang w:val="es-ES"/>
        </w:rPr>
        <w:t>Estrogen</w:t>
      </w:r>
      <w:proofErr w:type="spellEnd"/>
      <w:r w:rsidRPr="00B66F06">
        <w:rPr>
          <w:i/>
          <w:sz w:val="18"/>
          <w:szCs w:val="18"/>
          <w:lang w:val="es-ES"/>
        </w:rPr>
        <w:t xml:space="preserve"> receptor; PR: </w:t>
      </w:r>
      <w:proofErr w:type="spellStart"/>
      <w:r w:rsidRPr="00B66F06">
        <w:rPr>
          <w:i/>
          <w:sz w:val="18"/>
          <w:szCs w:val="18"/>
          <w:lang w:val="es-ES"/>
        </w:rPr>
        <w:t>Progesterone</w:t>
      </w:r>
      <w:proofErr w:type="spellEnd"/>
      <w:r w:rsidRPr="00B66F06">
        <w:rPr>
          <w:i/>
          <w:sz w:val="18"/>
          <w:szCs w:val="18"/>
          <w:lang w:val="es-ES"/>
        </w:rPr>
        <w:t xml:space="preserve"> receptor. </w:t>
      </w:r>
      <w:r w:rsidRPr="00B66F06">
        <w:rPr>
          <w:i/>
          <w:sz w:val="18"/>
          <w:szCs w:val="18"/>
          <w:lang w:val="en-GB"/>
        </w:rPr>
        <w:t xml:space="preserve">HER2: Human Epidermal Growth Factor Receptor 2; IM: Intramuscular; </w:t>
      </w:r>
      <w:proofErr w:type="spellStart"/>
      <w:r w:rsidRPr="00B66F06">
        <w:rPr>
          <w:i/>
          <w:sz w:val="18"/>
          <w:szCs w:val="18"/>
          <w:lang w:val="en-GB"/>
        </w:rPr>
        <w:t>mBC</w:t>
      </w:r>
      <w:proofErr w:type="spellEnd"/>
      <w:r w:rsidRPr="00B66F06">
        <w:rPr>
          <w:i/>
          <w:sz w:val="18"/>
          <w:szCs w:val="18"/>
          <w:lang w:val="en-GB"/>
        </w:rPr>
        <w:t>: Metastatic breast c</w:t>
      </w:r>
      <w:r w:rsidR="00DE0C02" w:rsidRPr="00B66F06">
        <w:rPr>
          <w:i/>
          <w:sz w:val="18"/>
          <w:szCs w:val="18"/>
          <w:lang w:val="en-GB"/>
        </w:rPr>
        <w:t>ancer; PO: Oral administration.</w:t>
      </w:r>
    </w:p>
    <w:p w14:paraId="08F50482" w14:textId="3A74251E" w:rsidR="00DE0C02" w:rsidRDefault="00DE0C02" w:rsidP="00DE0C02">
      <w:pPr>
        <w:rPr>
          <w:i/>
          <w:lang w:val="en-GB"/>
        </w:rPr>
      </w:pPr>
    </w:p>
    <w:p w14:paraId="14C0D042" w14:textId="77777777" w:rsidR="00DE0C02" w:rsidRDefault="00DE0C02" w:rsidP="00DE0C02">
      <w:pPr>
        <w:rPr>
          <w:i/>
          <w:lang w:val="en-GB"/>
        </w:rPr>
        <w:sectPr w:rsidR="00DE0C02" w:rsidSect="00DE0C02">
          <w:pgSz w:w="11906" w:h="16838"/>
          <w:pgMar w:top="1418" w:right="1701" w:bottom="1134" w:left="1701" w:header="709" w:footer="709" w:gutter="0"/>
          <w:cols w:space="708"/>
          <w:docGrid w:linePitch="360"/>
        </w:sectPr>
      </w:pPr>
    </w:p>
    <w:p w14:paraId="5004A219" w14:textId="371991C2" w:rsidR="00893D9E" w:rsidRDefault="00893D9E">
      <w:pPr>
        <w:spacing w:after="0" w:line="240" w:lineRule="auto"/>
        <w:jc w:val="left"/>
        <w:rPr>
          <w:i/>
          <w:lang w:val="en-GB"/>
        </w:rPr>
      </w:pPr>
    </w:p>
    <w:p w14:paraId="4A3D6606" w14:textId="77777777" w:rsidR="00893D9E" w:rsidRDefault="00893D9E" w:rsidP="00DE0C02">
      <w:pPr>
        <w:pStyle w:val="Descripcin"/>
        <w:ind w:left="284" w:right="849"/>
        <w:jc w:val="left"/>
        <w:outlineLvl w:val="0"/>
        <w:rPr>
          <w:b w:val="0"/>
          <w:lang w:val="en-GB"/>
        </w:rPr>
      </w:pPr>
      <w:bookmarkStart w:id="744" w:name="_Ref52458104"/>
      <w:bookmarkStart w:id="745" w:name="_Toc52446227"/>
      <w:bookmarkStart w:id="746" w:name="_Toc52468184"/>
      <w:r>
        <w:t xml:space="preserve">Figure </w:t>
      </w:r>
      <w:r>
        <w:fldChar w:fldCharType="begin"/>
      </w:r>
      <w:r>
        <w:instrText xml:space="preserve"> SEQ Figure \* ARABIC </w:instrText>
      </w:r>
      <w:r>
        <w:fldChar w:fldCharType="separate"/>
      </w:r>
      <w:r>
        <w:t>2</w:t>
      </w:r>
      <w:r>
        <w:fldChar w:fldCharType="end"/>
      </w:r>
      <w:bookmarkEnd w:id="744"/>
      <w:r>
        <w:t xml:space="preserve">. </w:t>
      </w:r>
      <w:r w:rsidRPr="00D309A5">
        <w:t>Patient flow diagram of the Parsifal trial.</w:t>
      </w:r>
      <w:bookmarkEnd w:id="745"/>
      <w:bookmarkEnd w:id="746"/>
    </w:p>
    <w:p w14:paraId="307FDDE8" w14:textId="4CB68195" w:rsidR="00893D9E" w:rsidRDefault="00D30122" w:rsidP="00DE0C02">
      <w:pPr>
        <w:pStyle w:val="BodyText12"/>
        <w:keepNext/>
        <w:ind w:left="0" w:right="849"/>
        <w:jc w:val="center"/>
      </w:pPr>
      <w:r>
        <w:rPr>
          <w:noProof/>
        </w:rPr>
        <w:drawing>
          <wp:inline distT="0" distB="0" distL="0" distR="0" wp14:anchorId="7B03AB33" wp14:editId="7963FD34">
            <wp:extent cx="5167447" cy="5896800"/>
            <wp:effectExtent l="0" t="0" r="1905" b="0"/>
            <wp:docPr id="9" name="Imagen 9" descr="Diagram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Diagrama, Texto&#10;&#10;Descripción generada automáticamente"/>
                    <pic:cNvPicPr/>
                  </pic:nvPicPr>
                  <pic:blipFill>
                    <a:blip r:embed="rId26">
                      <a:extLst>
                        <a:ext uri="{28A0092B-C50C-407E-A947-70E740481C1C}">
                          <a14:useLocalDpi xmlns:a14="http://schemas.microsoft.com/office/drawing/2010/main" val="0"/>
                        </a:ext>
                      </a:extLst>
                    </a:blip>
                    <a:stretch>
                      <a:fillRect/>
                    </a:stretch>
                  </pic:blipFill>
                  <pic:spPr>
                    <a:xfrm>
                      <a:off x="0" y="0"/>
                      <a:ext cx="5167447" cy="5896800"/>
                    </a:xfrm>
                    <a:prstGeom prst="rect">
                      <a:avLst/>
                    </a:prstGeom>
                  </pic:spPr>
                </pic:pic>
              </a:graphicData>
            </a:graphic>
          </wp:inline>
        </w:drawing>
      </w:r>
    </w:p>
    <w:p w14:paraId="33CC7DC4" w14:textId="77777777" w:rsidR="00B66F06" w:rsidRPr="00B66F06" w:rsidRDefault="00893D9E" w:rsidP="00800E62">
      <w:pPr>
        <w:ind w:left="284" w:right="849"/>
        <w:rPr>
          <w:i/>
          <w:sz w:val="18"/>
          <w:szCs w:val="18"/>
          <w:lang w:val="en-GB"/>
        </w:rPr>
      </w:pPr>
      <w:r w:rsidRPr="00B66F06">
        <w:rPr>
          <w:i/>
          <w:sz w:val="18"/>
          <w:szCs w:val="18"/>
          <w:lang w:val="en-GB"/>
        </w:rPr>
        <w:t>ITT</w:t>
      </w:r>
      <w:r w:rsidR="00DE0C02" w:rsidRPr="00B66F06">
        <w:rPr>
          <w:i/>
          <w:sz w:val="18"/>
          <w:szCs w:val="18"/>
          <w:lang w:val="en-GB"/>
        </w:rPr>
        <w:t>: i</w:t>
      </w:r>
      <w:r w:rsidRPr="00B66F06">
        <w:rPr>
          <w:i/>
          <w:sz w:val="18"/>
          <w:szCs w:val="18"/>
          <w:lang w:val="en-GB"/>
        </w:rPr>
        <w:t>ntention to treat population. SP</w:t>
      </w:r>
      <w:r w:rsidR="00DE0C02" w:rsidRPr="00B66F06">
        <w:rPr>
          <w:i/>
          <w:sz w:val="18"/>
          <w:szCs w:val="18"/>
          <w:lang w:val="en-GB"/>
        </w:rPr>
        <w:t>:</w:t>
      </w:r>
      <w:r w:rsidRPr="00B66F06">
        <w:rPr>
          <w:i/>
          <w:sz w:val="18"/>
          <w:szCs w:val="18"/>
          <w:lang w:val="en-GB"/>
        </w:rPr>
        <w:t xml:space="preserve"> safety population. PP</w:t>
      </w:r>
      <w:r w:rsidR="00DE0C02" w:rsidRPr="00B66F06">
        <w:rPr>
          <w:i/>
          <w:sz w:val="18"/>
          <w:szCs w:val="18"/>
          <w:lang w:val="en-GB"/>
        </w:rPr>
        <w:t xml:space="preserve">: </w:t>
      </w:r>
      <w:r w:rsidRPr="00B66F06">
        <w:rPr>
          <w:i/>
          <w:sz w:val="18"/>
          <w:szCs w:val="18"/>
          <w:lang w:val="en-GB"/>
        </w:rPr>
        <w:t xml:space="preserve">per protocol population. </w:t>
      </w:r>
    </w:p>
    <w:p w14:paraId="21B330B6" w14:textId="063ED70B" w:rsidR="00F3702F" w:rsidRPr="00B66F06" w:rsidRDefault="00893D9E" w:rsidP="00800E62">
      <w:pPr>
        <w:ind w:left="284" w:right="849"/>
        <w:rPr>
          <w:i/>
          <w:sz w:val="18"/>
          <w:szCs w:val="18"/>
          <w:lang w:val="en-GB"/>
        </w:rPr>
        <w:sectPr w:rsidR="00F3702F" w:rsidRPr="00B66F06" w:rsidSect="00DE0C02">
          <w:pgSz w:w="11906" w:h="16838"/>
          <w:pgMar w:top="1418" w:right="567" w:bottom="1134" w:left="1276" w:header="709" w:footer="709" w:gutter="0"/>
          <w:cols w:space="708"/>
          <w:docGrid w:linePitch="360"/>
        </w:sectPr>
      </w:pPr>
      <w:r w:rsidRPr="00B66F06">
        <w:rPr>
          <w:i/>
          <w:sz w:val="18"/>
          <w:szCs w:val="18"/>
          <w:vertAlign w:val="superscript"/>
          <w:lang w:val="en-GB"/>
        </w:rPr>
        <w:t>a</w:t>
      </w:r>
      <w:r w:rsidRPr="00B66F06">
        <w:rPr>
          <w:i/>
          <w:sz w:val="18"/>
          <w:szCs w:val="18"/>
          <w:lang w:val="en-GB"/>
        </w:rPr>
        <w:t xml:space="preserve"> One patient did not receive study treatment because she withdrew consent.</w:t>
      </w:r>
      <w:r w:rsidRPr="00B66F06">
        <w:rPr>
          <w:i/>
          <w:sz w:val="18"/>
          <w:szCs w:val="18"/>
          <w:vertAlign w:val="superscript"/>
          <w:lang w:val="en-GB"/>
        </w:rPr>
        <w:t xml:space="preserve"> b </w:t>
      </w:r>
      <w:r w:rsidRPr="00B66F06">
        <w:rPr>
          <w:i/>
          <w:sz w:val="18"/>
          <w:szCs w:val="18"/>
          <w:lang w:val="en-GB"/>
        </w:rPr>
        <w:t>Out of two patients who did not receive study treatment, one patient was mistakenly included because she did not meet selection criteria (uncontrolled brain metastases) and one patient was discontinued due to investigator’s decision.</w:t>
      </w:r>
      <w:r w:rsidRPr="00B66F06">
        <w:rPr>
          <w:i/>
          <w:sz w:val="18"/>
          <w:szCs w:val="18"/>
          <w:vertAlign w:val="superscript"/>
          <w:lang w:val="en-GB"/>
        </w:rPr>
        <w:t xml:space="preserve"> c </w:t>
      </w:r>
      <w:r w:rsidRPr="00B66F06">
        <w:rPr>
          <w:i/>
          <w:sz w:val="18"/>
          <w:szCs w:val="18"/>
          <w:lang w:val="en-GB"/>
        </w:rPr>
        <w:t xml:space="preserve">One patient randomized to the </w:t>
      </w:r>
      <w:proofErr w:type="spellStart"/>
      <w:r w:rsidRPr="00B66F06">
        <w:rPr>
          <w:i/>
          <w:sz w:val="18"/>
          <w:szCs w:val="18"/>
          <w:lang w:val="en-GB"/>
        </w:rPr>
        <w:t>palbociclib-fulvestrant</w:t>
      </w:r>
      <w:proofErr w:type="spellEnd"/>
      <w:r w:rsidRPr="00B66F06">
        <w:rPr>
          <w:i/>
          <w:sz w:val="18"/>
          <w:szCs w:val="18"/>
          <w:lang w:val="en-GB"/>
        </w:rPr>
        <w:t xml:space="preserve"> group was mistakenly treated with </w:t>
      </w:r>
      <w:proofErr w:type="spellStart"/>
      <w:r w:rsidRPr="00B66F06">
        <w:rPr>
          <w:i/>
          <w:sz w:val="18"/>
          <w:szCs w:val="18"/>
          <w:lang w:val="en-GB"/>
        </w:rPr>
        <w:t>palbociclib</w:t>
      </w:r>
      <w:proofErr w:type="spellEnd"/>
      <w:r w:rsidRPr="00B66F06">
        <w:rPr>
          <w:i/>
          <w:sz w:val="18"/>
          <w:szCs w:val="18"/>
          <w:lang w:val="en-GB"/>
        </w:rPr>
        <w:t>-letrozole.</w:t>
      </w:r>
    </w:p>
    <w:p w14:paraId="1A5DC2B1" w14:textId="77777777" w:rsidR="00893D9E" w:rsidRDefault="00893D9E" w:rsidP="00893D9E">
      <w:pPr>
        <w:pStyle w:val="Descripcin"/>
        <w:jc w:val="left"/>
        <w:outlineLvl w:val="0"/>
      </w:pPr>
      <w:bookmarkStart w:id="747" w:name="_Ref52440966"/>
      <w:bookmarkStart w:id="748" w:name="_Toc52446228"/>
      <w:bookmarkStart w:id="749" w:name="_Toc52468185"/>
      <w:r>
        <w:lastRenderedPageBreak/>
        <w:t xml:space="preserve">Figure </w:t>
      </w:r>
      <w:r>
        <w:fldChar w:fldCharType="begin"/>
      </w:r>
      <w:r>
        <w:instrText xml:space="preserve"> SEQ Figure \* ARABIC </w:instrText>
      </w:r>
      <w:r>
        <w:fldChar w:fldCharType="separate"/>
      </w:r>
      <w:r>
        <w:rPr>
          <w:noProof/>
        </w:rPr>
        <w:t>3</w:t>
      </w:r>
      <w:r>
        <w:fldChar w:fldCharType="end"/>
      </w:r>
      <w:bookmarkEnd w:id="747"/>
      <w:r>
        <w:t xml:space="preserve">. </w:t>
      </w:r>
      <w:r w:rsidRPr="009A60BE">
        <w:t>Kaplan-Meier curve for investigator-assessed progression-free survival in the Intent-to-Treat population.</w:t>
      </w:r>
      <w:bookmarkEnd w:id="748"/>
      <w:bookmarkEnd w:id="749"/>
    </w:p>
    <w:p w14:paraId="1A02C756" w14:textId="77777777" w:rsidR="00893D9E" w:rsidRDefault="00893D9E" w:rsidP="00893D9E">
      <w:pPr>
        <w:pStyle w:val="FigureTitle"/>
        <w:jc w:val="left"/>
        <w:rPr>
          <w:b w:val="0"/>
          <w:i/>
          <w:lang w:val="en-GB"/>
        </w:rPr>
      </w:pPr>
      <w:r>
        <w:rPr>
          <w:b w:val="0"/>
          <w:noProof/>
          <w:lang w:val="en-GB" w:eastAsia="en-GB"/>
        </w:rPr>
        <w:drawing>
          <wp:inline distT="0" distB="0" distL="0" distR="0" wp14:anchorId="5280FB8F" wp14:editId="59B896B4">
            <wp:extent cx="5964767" cy="3851104"/>
            <wp:effectExtent l="19050" t="19050" r="17145" b="16510"/>
            <wp:docPr id="11" name="Imagen 11" descr="Imagen que contiene map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Imagen que contiene mapa, texto&#10;&#10;Descripción generada automáticament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79508" cy="3860621"/>
                    </a:xfrm>
                    <a:prstGeom prst="rect">
                      <a:avLst/>
                    </a:prstGeom>
                    <a:noFill/>
                    <a:ln w="9525" cmpd="sng">
                      <a:solidFill>
                        <a:srgbClr val="C00000"/>
                      </a:solidFill>
                      <a:miter lim="800000"/>
                      <a:headEnd/>
                      <a:tailEnd/>
                    </a:ln>
                    <a:effectLst/>
                  </pic:spPr>
                </pic:pic>
              </a:graphicData>
            </a:graphic>
          </wp:inline>
        </w:drawing>
      </w:r>
    </w:p>
    <w:p w14:paraId="77A5E935" w14:textId="77777777" w:rsidR="00893D9E" w:rsidRPr="00B66F06" w:rsidRDefault="00893D9E" w:rsidP="00800E62">
      <w:pPr>
        <w:pStyle w:val="FigureTitle"/>
        <w:spacing w:before="0" w:after="0"/>
        <w:jc w:val="left"/>
        <w:rPr>
          <w:b w:val="0"/>
          <w:i/>
          <w:sz w:val="18"/>
          <w:szCs w:val="18"/>
          <w:lang w:val="en-GB"/>
        </w:rPr>
      </w:pPr>
      <w:r w:rsidRPr="00B66F06">
        <w:rPr>
          <w:b w:val="0"/>
          <w:i/>
          <w:sz w:val="18"/>
          <w:szCs w:val="18"/>
          <w:lang w:val="en-GB"/>
        </w:rPr>
        <w:t>CI=confidence interval. HR=hazard ratio.</w:t>
      </w:r>
    </w:p>
    <w:p w14:paraId="32F09496" w14:textId="77777777" w:rsidR="00893D9E" w:rsidRPr="00B66F06" w:rsidRDefault="00893D9E" w:rsidP="00800E62">
      <w:pPr>
        <w:spacing w:after="0" w:line="240" w:lineRule="auto"/>
        <w:rPr>
          <w:sz w:val="18"/>
          <w:szCs w:val="18"/>
          <w:lang w:val="en-GB"/>
        </w:rPr>
      </w:pPr>
      <w:r w:rsidRPr="00B66F06">
        <w:rPr>
          <w:i/>
          <w:sz w:val="18"/>
          <w:szCs w:val="18"/>
          <w:lang w:val="en-GB"/>
        </w:rPr>
        <w:t>(</w:t>
      </w:r>
      <w:r w:rsidRPr="00B66F06">
        <w:rPr>
          <w:i/>
          <w:sz w:val="18"/>
          <w:szCs w:val="18"/>
          <w:u w:val="single"/>
          <w:lang w:val="en-GB"/>
        </w:rPr>
        <w:t>Cross reference</w:t>
      </w:r>
      <w:r w:rsidRPr="00B66F06">
        <w:rPr>
          <w:i/>
          <w:sz w:val="18"/>
          <w:szCs w:val="18"/>
          <w:lang w:val="en-GB"/>
        </w:rPr>
        <w:t>: Figure 4 of Final Analysis Statistical Report dated 4</w:t>
      </w:r>
      <w:r w:rsidRPr="00B66F06">
        <w:rPr>
          <w:i/>
          <w:sz w:val="18"/>
          <w:szCs w:val="18"/>
          <w:vertAlign w:val="superscript"/>
          <w:lang w:val="en-GB"/>
        </w:rPr>
        <w:t>th</w:t>
      </w:r>
      <w:r w:rsidRPr="00B66F06">
        <w:rPr>
          <w:i/>
          <w:sz w:val="18"/>
          <w:szCs w:val="18"/>
          <w:lang w:val="en-GB"/>
        </w:rPr>
        <w:t xml:space="preserve"> September 2020).</w:t>
      </w:r>
    </w:p>
    <w:p w14:paraId="32407749" w14:textId="77777777" w:rsidR="00B66F06" w:rsidRDefault="00B66F06" w:rsidP="00893D9E">
      <w:pPr>
        <w:rPr>
          <w:lang w:val="en-GB"/>
        </w:rPr>
        <w:sectPr w:rsidR="00B66F06" w:rsidSect="00B66F06">
          <w:pgSz w:w="11906" w:h="16838"/>
          <w:pgMar w:top="1418" w:right="567" w:bottom="1134" w:left="709" w:header="709" w:footer="709" w:gutter="0"/>
          <w:cols w:space="708"/>
          <w:docGrid w:linePitch="360"/>
        </w:sectPr>
      </w:pPr>
    </w:p>
    <w:p w14:paraId="43D08C1D" w14:textId="3E4FCE93" w:rsidR="00E87941" w:rsidRDefault="00E87941" w:rsidP="00800E62">
      <w:pPr>
        <w:pStyle w:val="Descripcin"/>
        <w:ind w:left="142"/>
        <w:jc w:val="left"/>
        <w:outlineLvl w:val="0"/>
      </w:pPr>
      <w:bookmarkStart w:id="750" w:name="_Ref52439695"/>
      <w:bookmarkStart w:id="751" w:name="_Toc52446229"/>
      <w:bookmarkStart w:id="752" w:name="_Toc52468186"/>
      <w:r>
        <w:lastRenderedPageBreak/>
        <w:t xml:space="preserve">Figure </w:t>
      </w:r>
      <w:r>
        <w:fldChar w:fldCharType="begin"/>
      </w:r>
      <w:r>
        <w:instrText xml:space="preserve"> SEQ Figure \* ARABIC </w:instrText>
      </w:r>
      <w:r>
        <w:fldChar w:fldCharType="separate"/>
      </w:r>
      <w:r>
        <w:t>4</w:t>
      </w:r>
      <w:r>
        <w:fldChar w:fldCharType="end"/>
      </w:r>
      <w:bookmarkEnd w:id="750"/>
      <w:r>
        <w:t xml:space="preserve">. </w:t>
      </w:r>
      <w:r w:rsidRPr="00BF517A">
        <w:t>Forest Plot of Progression-free Survival according Investigator between arms by Baseline Characteristics (ITT population).</w:t>
      </w:r>
      <w:bookmarkEnd w:id="751"/>
      <w:bookmarkEnd w:id="752"/>
    </w:p>
    <w:p w14:paraId="7391730A" w14:textId="77777777" w:rsidR="00E87941" w:rsidRDefault="00E87941" w:rsidP="00800E62">
      <w:pPr>
        <w:keepNext/>
        <w:adjustRightInd w:val="0"/>
        <w:ind w:left="142"/>
        <w:jc w:val="left"/>
      </w:pPr>
      <w:r>
        <w:rPr>
          <w:rFonts w:ascii="Tahoma" w:hAnsi="Tahoma" w:cs="Tahoma"/>
          <w:noProof/>
          <w:lang w:val="en-GB" w:eastAsia="en-GB"/>
        </w:rPr>
        <w:drawing>
          <wp:inline distT="0" distB="0" distL="0" distR="0" wp14:anchorId="3ECCEA16" wp14:editId="76695C31">
            <wp:extent cx="5561655" cy="5499628"/>
            <wp:effectExtent l="0" t="0" r="1270" b="635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extLst>
                        <a:ext uri="{28A0092B-C50C-407E-A947-70E740481C1C}">
                          <a14:useLocalDpi xmlns:a14="http://schemas.microsoft.com/office/drawing/2010/main" val="0"/>
                        </a:ext>
                      </a:extLst>
                    </a:blip>
                    <a:srcRect t="15694" b="12030"/>
                    <a:stretch>
                      <a:fillRect/>
                    </a:stretch>
                  </pic:blipFill>
                  <pic:spPr bwMode="auto">
                    <a:xfrm>
                      <a:off x="0" y="0"/>
                      <a:ext cx="5569961" cy="5507842"/>
                    </a:xfrm>
                    <a:prstGeom prst="rect">
                      <a:avLst/>
                    </a:prstGeom>
                    <a:noFill/>
                    <a:ln>
                      <a:noFill/>
                    </a:ln>
                  </pic:spPr>
                </pic:pic>
              </a:graphicData>
            </a:graphic>
          </wp:inline>
        </w:drawing>
      </w:r>
    </w:p>
    <w:p w14:paraId="1BD46900" w14:textId="7E11DC80" w:rsidR="00E87941" w:rsidRPr="00F85419" w:rsidRDefault="00E87941" w:rsidP="00800E62">
      <w:pPr>
        <w:pStyle w:val="FigureTitle"/>
        <w:ind w:left="142"/>
        <w:jc w:val="left"/>
        <w:rPr>
          <w:noProof/>
        </w:rPr>
      </w:pPr>
      <w:r w:rsidRPr="00CB21D0">
        <w:rPr>
          <w:b w:val="0"/>
          <w:i/>
          <w:sz w:val="18"/>
          <w:szCs w:val="18"/>
          <w:lang w:val="en-GB"/>
        </w:rPr>
        <w:t xml:space="preserve"> (</w:t>
      </w:r>
      <w:r w:rsidRPr="00CB21D0">
        <w:rPr>
          <w:b w:val="0"/>
          <w:i/>
          <w:sz w:val="18"/>
          <w:szCs w:val="18"/>
          <w:u w:val="single"/>
          <w:lang w:val="en-GB"/>
        </w:rPr>
        <w:t>Cross reference</w:t>
      </w:r>
      <w:r w:rsidRPr="00CB21D0">
        <w:rPr>
          <w:b w:val="0"/>
          <w:i/>
          <w:sz w:val="18"/>
          <w:szCs w:val="18"/>
          <w:lang w:val="en-GB"/>
        </w:rPr>
        <w:t xml:space="preserve">: </w:t>
      </w:r>
      <w:r>
        <w:rPr>
          <w:b w:val="0"/>
          <w:i/>
          <w:sz w:val="18"/>
          <w:szCs w:val="18"/>
          <w:lang w:val="en-GB"/>
        </w:rPr>
        <w:t>Figure 53</w:t>
      </w:r>
      <w:r w:rsidRPr="00CB21D0">
        <w:rPr>
          <w:b w:val="0"/>
          <w:i/>
          <w:sz w:val="18"/>
          <w:szCs w:val="18"/>
          <w:lang w:val="en-GB"/>
        </w:rPr>
        <w:t xml:space="preserve"> of Final Analysis Statistical Report dated </w:t>
      </w:r>
      <w:r>
        <w:rPr>
          <w:b w:val="0"/>
          <w:i/>
          <w:sz w:val="18"/>
          <w:szCs w:val="18"/>
          <w:lang w:val="en-GB"/>
        </w:rPr>
        <w:t>4</w:t>
      </w:r>
      <w:r>
        <w:rPr>
          <w:b w:val="0"/>
          <w:i/>
          <w:sz w:val="18"/>
          <w:szCs w:val="18"/>
          <w:vertAlign w:val="superscript"/>
          <w:lang w:val="en-GB"/>
        </w:rPr>
        <w:t xml:space="preserve">th </w:t>
      </w:r>
      <w:r>
        <w:rPr>
          <w:b w:val="0"/>
          <w:i/>
          <w:sz w:val="18"/>
          <w:szCs w:val="18"/>
          <w:lang w:val="en-GB"/>
        </w:rPr>
        <w:t>September</w:t>
      </w:r>
      <w:r w:rsidRPr="00CB21D0">
        <w:rPr>
          <w:b w:val="0"/>
          <w:i/>
          <w:sz w:val="18"/>
          <w:szCs w:val="18"/>
          <w:lang w:val="en-GB"/>
        </w:rPr>
        <w:t xml:space="preserve"> 2020).</w:t>
      </w:r>
    </w:p>
    <w:p w14:paraId="7680162F" w14:textId="77777777" w:rsidR="00B66F06" w:rsidRDefault="00B66F06">
      <w:pPr>
        <w:spacing w:after="0" w:line="240" w:lineRule="auto"/>
        <w:jc w:val="left"/>
        <w:sectPr w:rsidR="00B66F06" w:rsidSect="00B66F06">
          <w:pgSz w:w="11906" w:h="16838"/>
          <w:pgMar w:top="1418" w:right="567" w:bottom="1134" w:left="709" w:header="709" w:footer="709" w:gutter="0"/>
          <w:cols w:space="708"/>
          <w:docGrid w:linePitch="360"/>
        </w:sectPr>
      </w:pPr>
    </w:p>
    <w:p w14:paraId="559EC2DD" w14:textId="21D9535D" w:rsidR="00893D9E" w:rsidRDefault="00E87941" w:rsidP="00893D9E">
      <w:pPr>
        <w:pStyle w:val="FigureTitle"/>
        <w:jc w:val="left"/>
        <w:outlineLvl w:val="0"/>
      </w:pPr>
      <w:bookmarkStart w:id="753" w:name="_Ref52441508"/>
      <w:bookmarkStart w:id="754" w:name="_Toc52446230"/>
      <w:bookmarkStart w:id="755" w:name="_Toc52468187"/>
      <w:r>
        <w:lastRenderedPageBreak/>
        <w:t xml:space="preserve">Figure </w:t>
      </w:r>
      <w:r>
        <w:fldChar w:fldCharType="begin"/>
      </w:r>
      <w:r>
        <w:instrText xml:space="preserve"> SEQ Figure \* ARABIC </w:instrText>
      </w:r>
      <w:r>
        <w:fldChar w:fldCharType="separate"/>
      </w:r>
      <w:r>
        <w:rPr>
          <w:noProof/>
        </w:rPr>
        <w:t>5</w:t>
      </w:r>
      <w:r>
        <w:fldChar w:fldCharType="end"/>
      </w:r>
      <w:bookmarkEnd w:id="753"/>
      <w:r>
        <w:t xml:space="preserve">. </w:t>
      </w:r>
      <w:r w:rsidRPr="005027F3">
        <w:t>Kaplan-Meier curves for investigator-assessed progression-free survival in patients with non-visceral disease (A), with visceral disease (B), with recurrent metastases (C) and with de novo metastatic disease (D) in the Intent-to-Treat population.</w:t>
      </w:r>
      <w:bookmarkEnd w:id="754"/>
      <w:bookmarkEnd w:id="755"/>
    </w:p>
    <w:tbl>
      <w:tblPr>
        <w:tblW w:w="13634" w:type="dxa"/>
        <w:jc w:val="center"/>
        <w:tblBorders>
          <w:top w:val="single" w:sz="2" w:space="0" w:color="C00000"/>
          <w:left w:val="single" w:sz="2" w:space="0" w:color="C00000"/>
          <w:bottom w:val="single" w:sz="2" w:space="0" w:color="C00000"/>
          <w:right w:val="single" w:sz="2" w:space="0" w:color="C00000"/>
        </w:tblBorders>
        <w:tblLook w:val="04A0" w:firstRow="1" w:lastRow="0" w:firstColumn="1" w:lastColumn="0" w:noHBand="0" w:noVBand="1"/>
      </w:tblPr>
      <w:tblGrid>
        <w:gridCol w:w="380"/>
        <w:gridCol w:w="6662"/>
        <w:gridCol w:w="380"/>
        <w:gridCol w:w="6212"/>
      </w:tblGrid>
      <w:tr w:rsidR="00893D9E" w:rsidRPr="00774240" w14:paraId="3EFB8BFC" w14:textId="77777777" w:rsidTr="00B66F06">
        <w:trPr>
          <w:trHeight w:val="3891"/>
          <w:jc w:val="center"/>
        </w:trPr>
        <w:tc>
          <w:tcPr>
            <w:tcW w:w="0" w:type="auto"/>
            <w:tcBorders>
              <w:top w:val="single" w:sz="2" w:space="0" w:color="C00000"/>
              <w:left w:val="single" w:sz="2" w:space="0" w:color="C00000"/>
              <w:bottom w:val="nil"/>
              <w:right w:val="nil"/>
            </w:tcBorders>
            <w:hideMark/>
          </w:tcPr>
          <w:p w14:paraId="46A66B4E" w14:textId="77777777" w:rsidR="00893D9E" w:rsidRDefault="00893D9E" w:rsidP="00E87941">
            <w:pPr>
              <w:jc w:val="right"/>
              <w:rPr>
                <w:b/>
                <w:bCs/>
                <w:lang w:val="en-GB"/>
              </w:rPr>
            </w:pPr>
            <w:r>
              <w:rPr>
                <w:b/>
                <w:bCs/>
                <w:lang w:val="en-GB"/>
              </w:rPr>
              <w:t>A</w:t>
            </w:r>
          </w:p>
        </w:tc>
        <w:tc>
          <w:tcPr>
            <w:tcW w:w="0" w:type="auto"/>
            <w:tcBorders>
              <w:top w:val="single" w:sz="2" w:space="0" w:color="C00000"/>
              <w:left w:val="nil"/>
              <w:bottom w:val="nil"/>
              <w:right w:val="nil"/>
            </w:tcBorders>
            <w:hideMark/>
          </w:tcPr>
          <w:p w14:paraId="2DFC811C" w14:textId="77777777" w:rsidR="00E87941" w:rsidRDefault="00893D9E" w:rsidP="00367B80">
            <w:pPr>
              <w:keepNext/>
              <w:spacing w:before="120"/>
              <w:ind w:right="745"/>
              <w:jc w:val="right"/>
            </w:pPr>
            <w:r>
              <w:rPr>
                <w:b/>
                <w:noProof/>
                <w:lang w:val="en-GB" w:eastAsia="en-GB"/>
              </w:rPr>
              <w:drawing>
                <wp:inline distT="0" distB="0" distL="0" distR="0" wp14:anchorId="141114B0" wp14:editId="2520591A">
                  <wp:extent cx="3396689" cy="2209800"/>
                  <wp:effectExtent l="0" t="0" r="0" b="0"/>
                  <wp:docPr id="23" name="Imagen 23" descr="Una 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Una captura de pantalla de un celular&#10;&#10;Descripción generada automáticamente"/>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4290" b="13556"/>
                          <a:stretch/>
                        </pic:blipFill>
                        <pic:spPr bwMode="auto">
                          <a:xfrm>
                            <a:off x="0" y="0"/>
                            <a:ext cx="3445171" cy="2241341"/>
                          </a:xfrm>
                          <a:prstGeom prst="rect">
                            <a:avLst/>
                          </a:prstGeom>
                          <a:noFill/>
                          <a:ln>
                            <a:noFill/>
                          </a:ln>
                          <a:extLst>
                            <a:ext uri="{53640926-AAD7-44D8-BBD7-CCE9431645EC}">
                              <a14:shadowObscured xmlns:a14="http://schemas.microsoft.com/office/drawing/2010/main"/>
                            </a:ext>
                          </a:extLst>
                        </pic:spPr>
                      </pic:pic>
                    </a:graphicData>
                  </a:graphic>
                </wp:inline>
              </w:drawing>
            </w:r>
          </w:p>
          <w:p w14:paraId="796F7310" w14:textId="1FF9FA26" w:rsidR="00893D9E" w:rsidRPr="00CB5252" w:rsidRDefault="00893D9E" w:rsidP="00367B80">
            <w:pPr>
              <w:pStyle w:val="Descripcin"/>
              <w:jc w:val="right"/>
              <w:rPr>
                <w:b w:val="0"/>
                <w:noProof/>
                <w:lang w:eastAsia="es-ES"/>
              </w:rPr>
            </w:pPr>
          </w:p>
        </w:tc>
        <w:tc>
          <w:tcPr>
            <w:tcW w:w="0" w:type="auto"/>
            <w:tcBorders>
              <w:top w:val="single" w:sz="2" w:space="0" w:color="C00000"/>
              <w:left w:val="nil"/>
              <w:bottom w:val="nil"/>
              <w:right w:val="nil"/>
            </w:tcBorders>
            <w:hideMark/>
          </w:tcPr>
          <w:p w14:paraId="439E23F3" w14:textId="77777777" w:rsidR="00893D9E" w:rsidRDefault="00893D9E" w:rsidP="00E87941">
            <w:pPr>
              <w:jc w:val="right"/>
              <w:rPr>
                <w:b/>
                <w:bCs/>
                <w:lang w:val="en-GB"/>
              </w:rPr>
            </w:pPr>
            <w:r>
              <w:rPr>
                <w:b/>
                <w:bCs/>
                <w:lang w:val="en-GB"/>
              </w:rPr>
              <w:t>B</w:t>
            </w:r>
          </w:p>
        </w:tc>
        <w:tc>
          <w:tcPr>
            <w:tcW w:w="6212" w:type="dxa"/>
            <w:tcBorders>
              <w:top w:val="single" w:sz="2" w:space="0" w:color="C00000"/>
              <w:left w:val="nil"/>
              <w:bottom w:val="nil"/>
              <w:right w:val="single" w:sz="2" w:space="0" w:color="C00000"/>
            </w:tcBorders>
            <w:hideMark/>
          </w:tcPr>
          <w:p w14:paraId="24D5F3ED" w14:textId="77777777" w:rsidR="00893D9E" w:rsidRPr="00CB5252" w:rsidRDefault="00893D9E" w:rsidP="00E87941">
            <w:pPr>
              <w:spacing w:before="120"/>
              <w:ind w:right="-425"/>
              <w:rPr>
                <w:b/>
                <w:noProof/>
                <w:lang w:eastAsia="es-ES"/>
              </w:rPr>
            </w:pPr>
            <w:r>
              <w:rPr>
                <w:b/>
                <w:noProof/>
                <w:lang w:val="en-GB" w:eastAsia="en-GB"/>
              </w:rPr>
              <w:drawing>
                <wp:inline distT="0" distB="0" distL="0" distR="0" wp14:anchorId="1024B9F9" wp14:editId="0EFA703E">
                  <wp:extent cx="3520689" cy="2289133"/>
                  <wp:effectExtent l="0" t="0" r="3810" b="0"/>
                  <wp:docPr id="43" name="Imagen 43" descr="Imagen que contiene texto, 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Imagen que contiene texto, mapa&#10;&#10;Descripción generada automáticamente"/>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4692" b="14011"/>
                          <a:stretch/>
                        </pic:blipFill>
                        <pic:spPr bwMode="auto">
                          <a:xfrm>
                            <a:off x="0" y="0"/>
                            <a:ext cx="3558266" cy="231356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93D9E" w:rsidRPr="00774240" w14:paraId="578EDF59" w14:textId="77777777" w:rsidTr="00B66F06">
        <w:trPr>
          <w:trHeight w:val="3748"/>
          <w:jc w:val="center"/>
        </w:trPr>
        <w:tc>
          <w:tcPr>
            <w:tcW w:w="0" w:type="auto"/>
            <w:tcBorders>
              <w:top w:val="nil"/>
              <w:left w:val="single" w:sz="2" w:space="0" w:color="C00000"/>
              <w:bottom w:val="single" w:sz="2" w:space="0" w:color="C00000"/>
              <w:right w:val="nil"/>
            </w:tcBorders>
            <w:hideMark/>
          </w:tcPr>
          <w:p w14:paraId="533627ED" w14:textId="77777777" w:rsidR="00893D9E" w:rsidRDefault="00893D9E" w:rsidP="00E87941">
            <w:pPr>
              <w:jc w:val="right"/>
              <w:rPr>
                <w:b/>
                <w:bCs/>
                <w:lang w:val="en-GB"/>
              </w:rPr>
            </w:pPr>
            <w:r>
              <w:rPr>
                <w:b/>
                <w:bCs/>
                <w:lang w:val="en-GB"/>
              </w:rPr>
              <w:t>C</w:t>
            </w:r>
          </w:p>
        </w:tc>
        <w:tc>
          <w:tcPr>
            <w:tcW w:w="0" w:type="auto"/>
            <w:tcBorders>
              <w:top w:val="nil"/>
              <w:left w:val="nil"/>
              <w:bottom w:val="single" w:sz="2" w:space="0" w:color="C00000"/>
              <w:right w:val="nil"/>
            </w:tcBorders>
            <w:hideMark/>
          </w:tcPr>
          <w:p w14:paraId="5FA67FB8" w14:textId="77777777" w:rsidR="00893D9E" w:rsidRDefault="00893D9E" w:rsidP="00E87941">
            <w:pPr>
              <w:keepNext/>
              <w:spacing w:before="120"/>
              <w:ind w:right="742"/>
              <w:jc w:val="right"/>
              <w:rPr>
                <w:b/>
                <w:bCs/>
                <w:lang w:val="en-GB"/>
              </w:rPr>
            </w:pPr>
            <w:r>
              <w:rPr>
                <w:b/>
                <w:noProof/>
                <w:lang w:val="en-GB" w:eastAsia="en-GB"/>
              </w:rPr>
              <w:drawing>
                <wp:inline distT="0" distB="0" distL="0" distR="0" wp14:anchorId="3B5FE1AB" wp14:editId="6ED323A6">
                  <wp:extent cx="3409950" cy="2226050"/>
                  <wp:effectExtent l="0" t="0" r="0" b="3175"/>
                  <wp:docPr id="44" name="Imagen 44" descr="Una 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Una captura de pantalla de un celular&#10;&#10;Descripción generada automáticamente"/>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5090" b="14070"/>
                          <a:stretch/>
                        </pic:blipFill>
                        <pic:spPr bwMode="auto">
                          <a:xfrm>
                            <a:off x="0" y="0"/>
                            <a:ext cx="3434067" cy="224179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tcBorders>
              <w:top w:val="nil"/>
              <w:left w:val="nil"/>
              <w:bottom w:val="single" w:sz="2" w:space="0" w:color="C00000"/>
              <w:right w:val="nil"/>
            </w:tcBorders>
            <w:hideMark/>
          </w:tcPr>
          <w:p w14:paraId="117EA0C5" w14:textId="77777777" w:rsidR="00893D9E" w:rsidRDefault="00893D9E" w:rsidP="00E87941">
            <w:pPr>
              <w:jc w:val="right"/>
              <w:rPr>
                <w:b/>
                <w:bCs/>
                <w:lang w:val="en-GB"/>
              </w:rPr>
            </w:pPr>
            <w:r>
              <w:rPr>
                <w:b/>
                <w:bCs/>
                <w:lang w:val="en-GB"/>
              </w:rPr>
              <w:t>D</w:t>
            </w:r>
          </w:p>
        </w:tc>
        <w:tc>
          <w:tcPr>
            <w:tcW w:w="6212" w:type="dxa"/>
            <w:tcBorders>
              <w:top w:val="nil"/>
              <w:left w:val="nil"/>
              <w:bottom w:val="single" w:sz="2" w:space="0" w:color="C00000"/>
              <w:right w:val="single" w:sz="2" w:space="0" w:color="C00000"/>
            </w:tcBorders>
            <w:hideMark/>
          </w:tcPr>
          <w:p w14:paraId="41EA60C3" w14:textId="77777777" w:rsidR="00893D9E" w:rsidRDefault="00893D9E" w:rsidP="00E87941">
            <w:pPr>
              <w:keepNext/>
              <w:spacing w:before="120"/>
              <w:rPr>
                <w:b/>
                <w:bCs/>
                <w:lang w:val="en-GB"/>
              </w:rPr>
            </w:pPr>
            <w:r>
              <w:rPr>
                <w:b/>
                <w:noProof/>
                <w:lang w:val="en-GB" w:eastAsia="en-GB"/>
              </w:rPr>
              <w:drawing>
                <wp:inline distT="0" distB="0" distL="0" distR="0" wp14:anchorId="70E2F6F0" wp14:editId="271F7F25">
                  <wp:extent cx="3414735" cy="2220835"/>
                  <wp:effectExtent l="0" t="0" r="0" b="8255"/>
                  <wp:docPr id="46" name="Imagen 46" descr="Imagen que contiene texto, 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Imagen que contiene texto, mapa&#10;&#10;Descripción generada automáticamente"/>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4630" b="13926"/>
                          <a:stretch/>
                        </pic:blipFill>
                        <pic:spPr bwMode="auto">
                          <a:xfrm>
                            <a:off x="0" y="0"/>
                            <a:ext cx="3460737" cy="225075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3CFBCC51" w14:textId="77777777" w:rsidR="00EF5AB2" w:rsidRDefault="00893D9E" w:rsidP="00EF5AB2">
      <w:pPr>
        <w:pStyle w:val="FigureTitle"/>
        <w:spacing w:before="0" w:after="0"/>
        <w:jc w:val="left"/>
        <w:rPr>
          <w:b w:val="0"/>
          <w:i/>
          <w:sz w:val="18"/>
          <w:szCs w:val="18"/>
        </w:rPr>
      </w:pPr>
      <w:r w:rsidRPr="00B66F06">
        <w:rPr>
          <w:sz w:val="18"/>
          <w:szCs w:val="18"/>
        </w:rPr>
        <w:t xml:space="preserve"> </w:t>
      </w:r>
      <w:r w:rsidRPr="00B66F06">
        <w:rPr>
          <w:b w:val="0"/>
          <w:i/>
          <w:sz w:val="18"/>
          <w:szCs w:val="18"/>
        </w:rPr>
        <w:t xml:space="preserve">HR: hazard ratio. CI: confidence interval. </w:t>
      </w:r>
    </w:p>
    <w:p w14:paraId="7116D5B2" w14:textId="51A834BB" w:rsidR="00893D9E" w:rsidRPr="00B66F06" w:rsidRDefault="00893D9E" w:rsidP="00EF5AB2">
      <w:pPr>
        <w:pStyle w:val="FigureTitle"/>
        <w:spacing w:before="0" w:after="0"/>
        <w:jc w:val="left"/>
        <w:rPr>
          <w:sz w:val="18"/>
          <w:szCs w:val="18"/>
        </w:rPr>
      </w:pPr>
      <w:r w:rsidRPr="00B66F06">
        <w:rPr>
          <w:b w:val="0"/>
          <w:i/>
          <w:sz w:val="18"/>
          <w:szCs w:val="18"/>
          <w:lang w:val="en-GB"/>
        </w:rPr>
        <w:t>(</w:t>
      </w:r>
      <w:r w:rsidRPr="00B66F06">
        <w:rPr>
          <w:b w:val="0"/>
          <w:i/>
          <w:sz w:val="18"/>
          <w:szCs w:val="18"/>
          <w:u w:val="single"/>
          <w:lang w:val="en-GB"/>
        </w:rPr>
        <w:t>Cross reference</w:t>
      </w:r>
      <w:r w:rsidRPr="00B66F06">
        <w:rPr>
          <w:b w:val="0"/>
          <w:i/>
          <w:sz w:val="18"/>
          <w:szCs w:val="18"/>
          <w:lang w:val="en-GB"/>
        </w:rPr>
        <w:t>: Figures 5-8 of Final Analysis Statistical Report dated 4</w:t>
      </w:r>
      <w:r w:rsidRPr="00B66F06">
        <w:rPr>
          <w:b w:val="0"/>
          <w:i/>
          <w:sz w:val="18"/>
          <w:szCs w:val="18"/>
          <w:vertAlign w:val="superscript"/>
          <w:lang w:val="en-GB"/>
        </w:rPr>
        <w:t>th</w:t>
      </w:r>
      <w:r w:rsidRPr="00B66F06">
        <w:rPr>
          <w:b w:val="0"/>
          <w:i/>
          <w:sz w:val="18"/>
          <w:szCs w:val="18"/>
          <w:lang w:val="en-GB"/>
        </w:rPr>
        <w:t xml:space="preserve"> September 2020).</w:t>
      </w:r>
    </w:p>
    <w:p w14:paraId="3FC5D0D5" w14:textId="77777777" w:rsidR="00EF5AB2" w:rsidRDefault="00EF5AB2">
      <w:pPr>
        <w:spacing w:after="0" w:line="240" w:lineRule="auto"/>
        <w:jc w:val="left"/>
        <w:sectPr w:rsidR="00EF5AB2" w:rsidSect="00EF5AB2">
          <w:pgSz w:w="16838" w:h="11906" w:orient="landscape"/>
          <w:pgMar w:top="709" w:right="1418" w:bottom="567" w:left="1134" w:header="709" w:footer="709" w:gutter="0"/>
          <w:cols w:space="708"/>
          <w:docGrid w:linePitch="360"/>
        </w:sectPr>
      </w:pPr>
    </w:p>
    <w:p w14:paraId="1B8B82AE" w14:textId="640F133D" w:rsidR="00E87941" w:rsidRDefault="00E87941" w:rsidP="00367B80">
      <w:pPr>
        <w:pStyle w:val="FigureTitle"/>
        <w:jc w:val="left"/>
        <w:outlineLvl w:val="0"/>
      </w:pPr>
      <w:bookmarkStart w:id="756" w:name="_Ref52441130"/>
      <w:bookmarkStart w:id="757" w:name="_Toc52446231"/>
      <w:bookmarkStart w:id="758" w:name="_Toc52468188"/>
      <w:r>
        <w:lastRenderedPageBreak/>
        <w:t xml:space="preserve">Figure </w:t>
      </w:r>
      <w:r>
        <w:fldChar w:fldCharType="begin"/>
      </w:r>
      <w:r>
        <w:instrText xml:space="preserve"> SEQ Figure \* ARABIC </w:instrText>
      </w:r>
      <w:r>
        <w:fldChar w:fldCharType="separate"/>
      </w:r>
      <w:r>
        <w:t>6</w:t>
      </w:r>
      <w:r>
        <w:fldChar w:fldCharType="end"/>
      </w:r>
      <w:bookmarkEnd w:id="756"/>
      <w:r>
        <w:t xml:space="preserve">. </w:t>
      </w:r>
      <w:r w:rsidRPr="006066FE">
        <w:t xml:space="preserve">Kaplan-Meier curve for </w:t>
      </w:r>
      <w:r w:rsidR="001F20DC" w:rsidRPr="006066FE">
        <w:t>Overall</w:t>
      </w:r>
      <w:r w:rsidRPr="006066FE">
        <w:t xml:space="preserve"> Survival in the Intent-to-Treat population.</w:t>
      </w:r>
      <w:bookmarkEnd w:id="757"/>
      <w:bookmarkEnd w:id="758"/>
    </w:p>
    <w:p w14:paraId="03919E8A" w14:textId="77777777" w:rsidR="00893D9E" w:rsidRPr="00CB21D0" w:rsidRDefault="00893D9E" w:rsidP="00893D9E">
      <w:pPr>
        <w:keepNext/>
        <w:jc w:val="center"/>
        <w:rPr>
          <w:rFonts w:ascii="Tahoma" w:hAnsi="Tahoma" w:cs="Tahoma"/>
          <w:noProof/>
          <w:lang w:val="en-GB" w:eastAsia="es-ES"/>
        </w:rPr>
      </w:pPr>
    </w:p>
    <w:p w14:paraId="1FE02E3A" w14:textId="77777777" w:rsidR="00E87941" w:rsidRDefault="00893D9E" w:rsidP="00C5225B">
      <w:pPr>
        <w:keepNext/>
        <w:jc w:val="left"/>
      </w:pPr>
      <w:r>
        <w:rPr>
          <w:rFonts w:ascii="Tahoma" w:hAnsi="Tahoma" w:cs="Tahoma"/>
          <w:noProof/>
          <w:lang w:val="en-GB" w:eastAsia="en-GB"/>
        </w:rPr>
        <w:drawing>
          <wp:inline distT="0" distB="0" distL="0" distR="0" wp14:anchorId="6FB16E42" wp14:editId="04DFCE3B">
            <wp:extent cx="5734050" cy="4229100"/>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b="1664"/>
                    <a:stretch/>
                  </pic:blipFill>
                  <pic:spPr bwMode="auto">
                    <a:xfrm>
                      <a:off x="0" y="0"/>
                      <a:ext cx="5738124" cy="4232105"/>
                    </a:xfrm>
                    <a:prstGeom prst="rect">
                      <a:avLst/>
                    </a:prstGeom>
                    <a:noFill/>
                    <a:ln>
                      <a:noFill/>
                    </a:ln>
                    <a:extLst>
                      <a:ext uri="{53640926-AAD7-44D8-BBD7-CCE9431645EC}">
                        <a14:shadowObscured xmlns:a14="http://schemas.microsoft.com/office/drawing/2010/main"/>
                      </a:ext>
                    </a:extLst>
                  </pic:spPr>
                </pic:pic>
              </a:graphicData>
            </a:graphic>
          </wp:inline>
        </w:drawing>
      </w:r>
    </w:p>
    <w:p w14:paraId="34BD6DB0" w14:textId="77777777" w:rsidR="00EF5AB2" w:rsidRDefault="00893D9E" w:rsidP="00EF5AB2">
      <w:pPr>
        <w:pStyle w:val="FigureTitle"/>
        <w:spacing w:before="0" w:after="0"/>
        <w:jc w:val="left"/>
        <w:rPr>
          <w:b w:val="0"/>
          <w:i/>
          <w:sz w:val="18"/>
          <w:szCs w:val="18"/>
          <w:lang w:val="en-GB"/>
        </w:rPr>
      </w:pPr>
      <w:r w:rsidRPr="00B66F06">
        <w:rPr>
          <w:b w:val="0"/>
          <w:i/>
          <w:sz w:val="18"/>
          <w:szCs w:val="18"/>
          <w:lang w:val="en-GB"/>
        </w:rPr>
        <w:t xml:space="preserve">HR: hazard ratio. CI: confidence interval. NE: not evaluable. </w:t>
      </w:r>
    </w:p>
    <w:p w14:paraId="1CC94038" w14:textId="1A4DC64E" w:rsidR="00893D9E" w:rsidRPr="00B66F06" w:rsidRDefault="00893D9E" w:rsidP="00EF5AB2">
      <w:pPr>
        <w:pStyle w:val="FigureTitle"/>
        <w:spacing w:before="0" w:after="0"/>
        <w:jc w:val="left"/>
        <w:rPr>
          <w:b w:val="0"/>
          <w:i/>
          <w:sz w:val="18"/>
          <w:szCs w:val="18"/>
          <w:lang w:val="en-GB"/>
        </w:rPr>
      </w:pPr>
      <w:r w:rsidRPr="00B66F06">
        <w:rPr>
          <w:b w:val="0"/>
          <w:i/>
          <w:sz w:val="18"/>
          <w:szCs w:val="18"/>
          <w:lang w:val="en-GB"/>
        </w:rPr>
        <w:t>(</w:t>
      </w:r>
      <w:r w:rsidRPr="00B66F06">
        <w:rPr>
          <w:b w:val="0"/>
          <w:i/>
          <w:sz w:val="18"/>
          <w:szCs w:val="18"/>
          <w:u w:val="single"/>
          <w:lang w:val="en-GB"/>
        </w:rPr>
        <w:t>Cross reference</w:t>
      </w:r>
      <w:r w:rsidRPr="00B66F06">
        <w:rPr>
          <w:b w:val="0"/>
          <w:i/>
          <w:sz w:val="18"/>
          <w:szCs w:val="18"/>
          <w:lang w:val="en-GB"/>
        </w:rPr>
        <w:t>: Figure 44 of Final Analysis Statistical Report dated 4</w:t>
      </w:r>
      <w:r w:rsidRPr="00B66F06">
        <w:rPr>
          <w:b w:val="0"/>
          <w:i/>
          <w:sz w:val="18"/>
          <w:szCs w:val="18"/>
          <w:vertAlign w:val="superscript"/>
          <w:lang w:val="en-GB"/>
        </w:rPr>
        <w:t>th</w:t>
      </w:r>
      <w:r w:rsidRPr="00B66F06">
        <w:rPr>
          <w:b w:val="0"/>
          <w:i/>
          <w:sz w:val="18"/>
          <w:szCs w:val="18"/>
          <w:lang w:val="en-GB"/>
        </w:rPr>
        <w:t xml:space="preserve"> September 2020).</w:t>
      </w:r>
    </w:p>
    <w:p w14:paraId="4BA64F69" w14:textId="07E7277E" w:rsidR="00893D9E" w:rsidRDefault="00893D9E" w:rsidP="00367B80">
      <w:pPr>
        <w:rPr>
          <w:lang w:val="en-GB"/>
        </w:rPr>
      </w:pPr>
    </w:p>
    <w:p w14:paraId="6DB347ED" w14:textId="77777777" w:rsidR="00B66F06" w:rsidRDefault="00B66F06" w:rsidP="00367B80">
      <w:pPr>
        <w:pStyle w:val="FigureTitle"/>
        <w:jc w:val="left"/>
        <w:outlineLvl w:val="0"/>
      </w:pPr>
      <w:bookmarkStart w:id="759" w:name="_Ref52440381"/>
    </w:p>
    <w:p w14:paraId="27B82CBB" w14:textId="7FFEB1DA" w:rsidR="00B66F06" w:rsidRDefault="00B66F06" w:rsidP="00367B80">
      <w:pPr>
        <w:pStyle w:val="FigureTitle"/>
        <w:jc w:val="left"/>
        <w:outlineLvl w:val="0"/>
      </w:pPr>
    </w:p>
    <w:p w14:paraId="68F9EEA8" w14:textId="1F744661" w:rsidR="00B66F06" w:rsidRDefault="00B66F06" w:rsidP="00B66F06"/>
    <w:p w14:paraId="4ABCBF9E" w14:textId="301BEBE0" w:rsidR="00B66F06" w:rsidRDefault="00B66F06" w:rsidP="00B66F06"/>
    <w:p w14:paraId="3A34C233" w14:textId="0DB442AA" w:rsidR="00B66F06" w:rsidRDefault="00B66F06" w:rsidP="00B66F06"/>
    <w:p w14:paraId="576E3CBD" w14:textId="7F730826" w:rsidR="00B66F06" w:rsidRDefault="00B66F06" w:rsidP="00B66F06"/>
    <w:p w14:paraId="7B0CA505" w14:textId="634C9A0E" w:rsidR="00B66F06" w:rsidRDefault="00B66F06" w:rsidP="00B66F06"/>
    <w:p w14:paraId="0CBF01C7" w14:textId="7D30CFBA" w:rsidR="00B66F06" w:rsidRDefault="00B66F06" w:rsidP="00B66F06"/>
    <w:p w14:paraId="549DFEFE" w14:textId="712717A4" w:rsidR="00B66F06" w:rsidRDefault="00B66F06" w:rsidP="00B66F06"/>
    <w:p w14:paraId="03C2F2E8" w14:textId="55879744" w:rsidR="00B66F06" w:rsidRDefault="00B66F06" w:rsidP="00B66F06"/>
    <w:p w14:paraId="4DC2FBDF" w14:textId="024D9DB0" w:rsidR="00B66F06" w:rsidRDefault="00B66F06" w:rsidP="00B66F06"/>
    <w:p w14:paraId="76A72135" w14:textId="0DCDDE00" w:rsidR="00B66F06" w:rsidRDefault="00B66F06" w:rsidP="00B66F06"/>
    <w:p w14:paraId="2DCA4EB0" w14:textId="79B09F12" w:rsidR="00B66F06" w:rsidRDefault="00B66F06" w:rsidP="00B66F06"/>
    <w:p w14:paraId="07D36BEE" w14:textId="48477D3C" w:rsidR="00B66F06" w:rsidRDefault="00B66F06" w:rsidP="00B66F06"/>
    <w:p w14:paraId="799C3D69" w14:textId="77777777" w:rsidR="00B66F06" w:rsidRPr="00B66F06" w:rsidRDefault="00B66F06" w:rsidP="00B66F06"/>
    <w:p w14:paraId="49E6C05E" w14:textId="7FFB9903" w:rsidR="001566F7" w:rsidRDefault="001566F7" w:rsidP="00367B80">
      <w:pPr>
        <w:pStyle w:val="FigureTitle"/>
        <w:jc w:val="left"/>
        <w:outlineLvl w:val="0"/>
      </w:pPr>
      <w:bookmarkStart w:id="760" w:name="_Ref52469629"/>
      <w:bookmarkStart w:id="761" w:name="_Toc52446232"/>
      <w:bookmarkStart w:id="762" w:name="_Toc52468189"/>
      <w:r>
        <w:lastRenderedPageBreak/>
        <w:t xml:space="preserve">Figure </w:t>
      </w:r>
      <w:r>
        <w:fldChar w:fldCharType="begin"/>
      </w:r>
      <w:r>
        <w:instrText xml:space="preserve"> SEQ Figure \* ARABIC </w:instrText>
      </w:r>
      <w:r>
        <w:fldChar w:fldCharType="separate"/>
      </w:r>
      <w:r>
        <w:t>7</w:t>
      </w:r>
      <w:r>
        <w:fldChar w:fldCharType="end"/>
      </w:r>
      <w:bookmarkEnd w:id="759"/>
      <w:bookmarkEnd w:id="760"/>
      <w:r>
        <w:t xml:space="preserve">. </w:t>
      </w:r>
      <w:r w:rsidRPr="000D181E">
        <w:t>Forest Plot</w:t>
      </w:r>
      <w:r w:rsidR="00B66F06">
        <w:t>s</w:t>
      </w:r>
      <w:r w:rsidRPr="000D181E">
        <w:t xml:space="preserve"> of Overall Survival (A), Objective Response Rate (B), Clinical Benefit Rate (C) and Time </w:t>
      </w:r>
      <w:proofErr w:type="gramStart"/>
      <w:r w:rsidRPr="000D181E">
        <w:t>To</w:t>
      </w:r>
      <w:proofErr w:type="gramEnd"/>
      <w:r w:rsidRPr="000D181E">
        <w:t xml:space="preserve"> Response (D) according Investigator between arms by Baseline Characteristics (ITT population).</w:t>
      </w:r>
      <w:bookmarkEnd w:id="761"/>
      <w:bookmarkEnd w:id="762"/>
    </w:p>
    <w:tbl>
      <w:tblPr>
        <w:tblW w:w="11277" w:type="dxa"/>
        <w:jc w:val="center"/>
        <w:tblBorders>
          <w:top w:val="single" w:sz="2" w:space="0" w:color="C00000"/>
          <w:left w:val="single" w:sz="2" w:space="0" w:color="C00000"/>
          <w:bottom w:val="single" w:sz="2" w:space="0" w:color="C00000"/>
          <w:right w:val="single" w:sz="2" w:space="0" w:color="C00000"/>
        </w:tblBorders>
        <w:tblLook w:val="04A0" w:firstRow="1" w:lastRow="0" w:firstColumn="1" w:lastColumn="0" w:noHBand="0" w:noVBand="1"/>
      </w:tblPr>
      <w:tblGrid>
        <w:gridCol w:w="361"/>
        <w:gridCol w:w="5269"/>
        <w:gridCol w:w="361"/>
        <w:gridCol w:w="5286"/>
      </w:tblGrid>
      <w:tr w:rsidR="001566F7" w:rsidRPr="00C17E10" w14:paraId="2E825E0E" w14:textId="77777777" w:rsidTr="00367B80">
        <w:trPr>
          <w:jc w:val="center"/>
        </w:trPr>
        <w:tc>
          <w:tcPr>
            <w:tcW w:w="0" w:type="auto"/>
            <w:tcBorders>
              <w:top w:val="single" w:sz="2" w:space="0" w:color="C00000"/>
              <w:left w:val="single" w:sz="2" w:space="0" w:color="C00000"/>
              <w:bottom w:val="nil"/>
              <w:right w:val="nil"/>
            </w:tcBorders>
            <w:hideMark/>
          </w:tcPr>
          <w:p w14:paraId="346EB8AE" w14:textId="77777777" w:rsidR="001566F7" w:rsidRDefault="001566F7" w:rsidP="00367B80">
            <w:pPr>
              <w:jc w:val="right"/>
              <w:rPr>
                <w:b/>
                <w:bCs/>
                <w:lang w:val="en-GB"/>
              </w:rPr>
            </w:pPr>
            <w:r>
              <w:rPr>
                <w:b/>
                <w:bCs/>
                <w:lang w:val="en-GB"/>
              </w:rPr>
              <w:t>A</w:t>
            </w:r>
          </w:p>
        </w:tc>
        <w:tc>
          <w:tcPr>
            <w:tcW w:w="0" w:type="auto"/>
            <w:tcBorders>
              <w:top w:val="single" w:sz="2" w:space="0" w:color="C00000"/>
              <w:left w:val="nil"/>
              <w:bottom w:val="nil"/>
              <w:right w:val="nil"/>
            </w:tcBorders>
            <w:hideMark/>
          </w:tcPr>
          <w:p w14:paraId="71409343" w14:textId="77777777" w:rsidR="001566F7" w:rsidRDefault="001566F7" w:rsidP="00367B80">
            <w:pPr>
              <w:keepNext/>
              <w:spacing w:before="120"/>
              <w:jc w:val="center"/>
            </w:pPr>
            <w:r>
              <w:rPr>
                <w:rFonts w:ascii="Tahoma" w:hAnsi="Tahoma" w:cs="Tahoma"/>
                <w:noProof/>
                <w:lang w:val="en-GB" w:eastAsia="en-GB"/>
              </w:rPr>
              <w:drawing>
                <wp:inline distT="0" distB="0" distL="0" distR="0" wp14:anchorId="6A88506A" wp14:editId="0A81DA49">
                  <wp:extent cx="3209232" cy="3169920"/>
                  <wp:effectExtent l="0" t="0" r="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cstate="print">
                            <a:extLst>
                              <a:ext uri="{28A0092B-C50C-407E-A947-70E740481C1C}">
                                <a14:useLocalDpi xmlns:a14="http://schemas.microsoft.com/office/drawing/2010/main" val="0"/>
                              </a:ext>
                            </a:extLst>
                          </a:blip>
                          <a:srcRect t="15701" b="12091"/>
                          <a:stretch>
                            <a:fillRect/>
                          </a:stretch>
                        </pic:blipFill>
                        <pic:spPr bwMode="auto">
                          <a:xfrm>
                            <a:off x="0" y="0"/>
                            <a:ext cx="3242187" cy="3202471"/>
                          </a:xfrm>
                          <a:prstGeom prst="rect">
                            <a:avLst/>
                          </a:prstGeom>
                          <a:noFill/>
                          <a:ln>
                            <a:noFill/>
                          </a:ln>
                        </pic:spPr>
                      </pic:pic>
                    </a:graphicData>
                  </a:graphic>
                </wp:inline>
              </w:drawing>
            </w:r>
          </w:p>
          <w:p w14:paraId="16AFBF95" w14:textId="571E69BE" w:rsidR="001566F7" w:rsidRPr="00F85419" w:rsidRDefault="001566F7" w:rsidP="00367B80">
            <w:pPr>
              <w:pStyle w:val="Descripcin"/>
              <w:jc w:val="center"/>
              <w:rPr>
                <w:noProof/>
                <w:lang w:eastAsia="es-ES"/>
              </w:rPr>
            </w:pPr>
          </w:p>
        </w:tc>
        <w:tc>
          <w:tcPr>
            <w:tcW w:w="0" w:type="auto"/>
            <w:tcBorders>
              <w:top w:val="single" w:sz="2" w:space="0" w:color="C00000"/>
              <w:left w:val="nil"/>
              <w:bottom w:val="nil"/>
              <w:right w:val="nil"/>
            </w:tcBorders>
            <w:hideMark/>
          </w:tcPr>
          <w:p w14:paraId="6F557ED5" w14:textId="77777777" w:rsidR="001566F7" w:rsidRDefault="001566F7" w:rsidP="00367B80">
            <w:pPr>
              <w:jc w:val="right"/>
              <w:rPr>
                <w:b/>
                <w:bCs/>
                <w:lang w:val="en-GB"/>
              </w:rPr>
            </w:pPr>
            <w:r>
              <w:rPr>
                <w:b/>
                <w:bCs/>
                <w:lang w:val="en-GB"/>
              </w:rPr>
              <w:t>B</w:t>
            </w:r>
          </w:p>
        </w:tc>
        <w:tc>
          <w:tcPr>
            <w:tcW w:w="5286" w:type="dxa"/>
            <w:tcBorders>
              <w:top w:val="single" w:sz="2" w:space="0" w:color="C00000"/>
              <w:left w:val="nil"/>
              <w:bottom w:val="nil"/>
              <w:right w:val="single" w:sz="2" w:space="0" w:color="C00000"/>
            </w:tcBorders>
            <w:hideMark/>
          </w:tcPr>
          <w:p w14:paraId="3DEFAB10" w14:textId="77777777" w:rsidR="001566F7" w:rsidRPr="00F85419" w:rsidRDefault="001566F7" w:rsidP="00367B80">
            <w:pPr>
              <w:spacing w:before="120"/>
              <w:jc w:val="center"/>
              <w:rPr>
                <w:rFonts w:ascii="Tahoma" w:hAnsi="Tahoma" w:cs="Tahoma"/>
                <w:noProof/>
                <w:lang w:eastAsia="es-ES"/>
              </w:rPr>
            </w:pPr>
            <w:r>
              <w:rPr>
                <w:rFonts w:ascii="Tahoma" w:hAnsi="Tahoma" w:cs="Tahoma"/>
                <w:noProof/>
                <w:lang w:val="en-GB" w:eastAsia="en-GB"/>
              </w:rPr>
              <w:drawing>
                <wp:inline distT="0" distB="0" distL="0" distR="0" wp14:anchorId="329FEBF3" wp14:editId="3C2BA36B">
                  <wp:extent cx="3212851" cy="3169920"/>
                  <wp:effectExtent l="0" t="0" r="6985"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cstate="print">
                            <a:extLst>
                              <a:ext uri="{28A0092B-C50C-407E-A947-70E740481C1C}">
                                <a14:useLocalDpi xmlns:a14="http://schemas.microsoft.com/office/drawing/2010/main" val="0"/>
                              </a:ext>
                            </a:extLst>
                          </a:blip>
                          <a:srcRect b="27873"/>
                          <a:stretch>
                            <a:fillRect/>
                          </a:stretch>
                        </pic:blipFill>
                        <pic:spPr bwMode="auto">
                          <a:xfrm>
                            <a:off x="0" y="0"/>
                            <a:ext cx="3243418" cy="3200078"/>
                          </a:xfrm>
                          <a:prstGeom prst="rect">
                            <a:avLst/>
                          </a:prstGeom>
                          <a:noFill/>
                          <a:ln>
                            <a:noFill/>
                          </a:ln>
                        </pic:spPr>
                      </pic:pic>
                    </a:graphicData>
                  </a:graphic>
                </wp:inline>
              </w:drawing>
            </w:r>
          </w:p>
        </w:tc>
      </w:tr>
      <w:tr w:rsidR="001566F7" w:rsidRPr="00C17E10" w14:paraId="0B92F552" w14:textId="77777777" w:rsidTr="00367B80">
        <w:trPr>
          <w:jc w:val="center"/>
        </w:trPr>
        <w:tc>
          <w:tcPr>
            <w:tcW w:w="0" w:type="auto"/>
            <w:tcBorders>
              <w:top w:val="nil"/>
              <w:left w:val="single" w:sz="2" w:space="0" w:color="C00000"/>
              <w:bottom w:val="single" w:sz="2" w:space="0" w:color="C00000"/>
              <w:right w:val="nil"/>
            </w:tcBorders>
            <w:hideMark/>
          </w:tcPr>
          <w:p w14:paraId="5A5EFF60" w14:textId="77777777" w:rsidR="001566F7" w:rsidRDefault="001566F7" w:rsidP="00367B80">
            <w:pPr>
              <w:jc w:val="right"/>
              <w:rPr>
                <w:b/>
                <w:bCs/>
                <w:lang w:val="en-GB"/>
              </w:rPr>
            </w:pPr>
            <w:r>
              <w:rPr>
                <w:b/>
                <w:bCs/>
                <w:lang w:val="en-GB"/>
              </w:rPr>
              <w:t>C</w:t>
            </w:r>
          </w:p>
        </w:tc>
        <w:tc>
          <w:tcPr>
            <w:tcW w:w="0" w:type="auto"/>
            <w:tcBorders>
              <w:top w:val="nil"/>
              <w:left w:val="nil"/>
              <w:bottom w:val="single" w:sz="2" w:space="0" w:color="C00000"/>
              <w:right w:val="nil"/>
            </w:tcBorders>
            <w:hideMark/>
          </w:tcPr>
          <w:p w14:paraId="0977D9E0" w14:textId="77777777" w:rsidR="001566F7" w:rsidRDefault="001566F7" w:rsidP="00367B80">
            <w:pPr>
              <w:keepNext/>
              <w:spacing w:before="120"/>
              <w:jc w:val="center"/>
            </w:pPr>
            <w:r>
              <w:rPr>
                <w:rFonts w:ascii="Tahoma" w:hAnsi="Tahoma" w:cs="Tahoma"/>
                <w:noProof/>
                <w:lang w:val="en-GB" w:eastAsia="en-GB"/>
              </w:rPr>
              <w:drawing>
                <wp:inline distT="0" distB="0" distL="0" distR="0" wp14:anchorId="7129070D" wp14:editId="4E006CFE">
                  <wp:extent cx="3200400" cy="3161199"/>
                  <wp:effectExtent l="0" t="0" r="0" b="127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cstate="print">
                            <a:extLst>
                              <a:ext uri="{28A0092B-C50C-407E-A947-70E740481C1C}">
                                <a14:useLocalDpi xmlns:a14="http://schemas.microsoft.com/office/drawing/2010/main" val="0"/>
                              </a:ext>
                            </a:extLst>
                          </a:blip>
                          <a:srcRect b="27806"/>
                          <a:stretch>
                            <a:fillRect/>
                          </a:stretch>
                        </pic:blipFill>
                        <pic:spPr bwMode="auto">
                          <a:xfrm>
                            <a:off x="0" y="0"/>
                            <a:ext cx="3251295" cy="3211471"/>
                          </a:xfrm>
                          <a:prstGeom prst="rect">
                            <a:avLst/>
                          </a:prstGeom>
                          <a:noFill/>
                          <a:ln>
                            <a:noFill/>
                          </a:ln>
                        </pic:spPr>
                      </pic:pic>
                    </a:graphicData>
                  </a:graphic>
                </wp:inline>
              </w:drawing>
            </w:r>
          </w:p>
          <w:p w14:paraId="55EE0B3D" w14:textId="77777777" w:rsidR="001566F7" w:rsidRPr="00683EAB" w:rsidRDefault="001566F7" w:rsidP="00367B80">
            <w:pPr>
              <w:pStyle w:val="Descripcin"/>
              <w:jc w:val="center"/>
              <w:rPr>
                <w:rFonts w:ascii="Tahoma" w:hAnsi="Tahoma" w:cs="Tahoma"/>
                <w:noProof/>
                <w:lang w:eastAsia="es-ES"/>
              </w:rPr>
            </w:pPr>
          </w:p>
        </w:tc>
        <w:tc>
          <w:tcPr>
            <w:tcW w:w="0" w:type="auto"/>
            <w:tcBorders>
              <w:top w:val="nil"/>
              <w:left w:val="nil"/>
              <w:bottom w:val="single" w:sz="2" w:space="0" w:color="C00000"/>
              <w:right w:val="nil"/>
            </w:tcBorders>
            <w:hideMark/>
          </w:tcPr>
          <w:p w14:paraId="28320B16" w14:textId="77777777" w:rsidR="001566F7" w:rsidRDefault="001566F7" w:rsidP="00367B80">
            <w:pPr>
              <w:jc w:val="right"/>
              <w:rPr>
                <w:b/>
                <w:bCs/>
                <w:lang w:val="en-GB"/>
              </w:rPr>
            </w:pPr>
            <w:r>
              <w:rPr>
                <w:b/>
                <w:bCs/>
                <w:lang w:val="en-GB"/>
              </w:rPr>
              <w:t>D</w:t>
            </w:r>
          </w:p>
        </w:tc>
        <w:tc>
          <w:tcPr>
            <w:tcW w:w="5286" w:type="dxa"/>
            <w:tcBorders>
              <w:top w:val="nil"/>
              <w:left w:val="nil"/>
              <w:bottom w:val="single" w:sz="2" w:space="0" w:color="C00000"/>
              <w:right w:val="single" w:sz="2" w:space="0" w:color="C00000"/>
            </w:tcBorders>
            <w:hideMark/>
          </w:tcPr>
          <w:p w14:paraId="22E0225C" w14:textId="77777777" w:rsidR="001566F7" w:rsidRDefault="001566F7" w:rsidP="00367B80">
            <w:pPr>
              <w:keepNext/>
              <w:spacing w:before="120"/>
              <w:jc w:val="center"/>
              <w:rPr>
                <w:b/>
                <w:bCs/>
                <w:lang w:val="en-GB"/>
              </w:rPr>
            </w:pPr>
            <w:r>
              <w:rPr>
                <w:rFonts w:ascii="Tahoma" w:hAnsi="Tahoma" w:cs="Tahoma"/>
                <w:noProof/>
                <w:lang w:val="en-GB" w:eastAsia="en-GB"/>
              </w:rPr>
              <w:drawing>
                <wp:inline distT="0" distB="0" distL="0" distR="0" wp14:anchorId="01621C14" wp14:editId="2BDBC98A">
                  <wp:extent cx="3128559" cy="3093720"/>
                  <wp:effectExtent l="0" t="0" r="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cstate="print">
                            <a:extLst>
                              <a:ext uri="{28A0092B-C50C-407E-A947-70E740481C1C}">
                                <a14:useLocalDpi xmlns:a14="http://schemas.microsoft.com/office/drawing/2010/main" val="0"/>
                              </a:ext>
                            </a:extLst>
                          </a:blip>
                          <a:srcRect t="15701" b="12024"/>
                          <a:stretch>
                            <a:fillRect/>
                          </a:stretch>
                        </pic:blipFill>
                        <pic:spPr bwMode="auto">
                          <a:xfrm>
                            <a:off x="0" y="0"/>
                            <a:ext cx="3174054" cy="3138708"/>
                          </a:xfrm>
                          <a:prstGeom prst="rect">
                            <a:avLst/>
                          </a:prstGeom>
                          <a:noFill/>
                          <a:ln>
                            <a:noFill/>
                          </a:ln>
                        </pic:spPr>
                      </pic:pic>
                    </a:graphicData>
                  </a:graphic>
                </wp:inline>
              </w:drawing>
            </w:r>
          </w:p>
        </w:tc>
      </w:tr>
    </w:tbl>
    <w:p w14:paraId="0C0D0513" w14:textId="77777777" w:rsidR="001566F7" w:rsidRPr="0011227C" w:rsidRDefault="001566F7" w:rsidP="001566F7">
      <w:r w:rsidRPr="0011227C">
        <w:rPr>
          <w:i/>
          <w:sz w:val="18"/>
          <w:szCs w:val="18"/>
          <w:lang w:val="en-GB"/>
        </w:rPr>
        <w:t>(</w:t>
      </w:r>
      <w:r w:rsidRPr="0011227C">
        <w:rPr>
          <w:i/>
          <w:sz w:val="18"/>
          <w:szCs w:val="18"/>
          <w:u w:val="single"/>
          <w:lang w:val="en-GB"/>
        </w:rPr>
        <w:t>Cross reference</w:t>
      </w:r>
      <w:r w:rsidRPr="0011227C">
        <w:rPr>
          <w:i/>
          <w:sz w:val="18"/>
          <w:szCs w:val="18"/>
          <w:lang w:val="en-GB"/>
        </w:rPr>
        <w:t>: Figure</w:t>
      </w:r>
      <w:r>
        <w:rPr>
          <w:i/>
          <w:sz w:val="18"/>
          <w:szCs w:val="18"/>
          <w:lang w:val="en-GB"/>
        </w:rPr>
        <w:t>s</w:t>
      </w:r>
      <w:r w:rsidRPr="0011227C">
        <w:rPr>
          <w:i/>
          <w:sz w:val="18"/>
          <w:szCs w:val="18"/>
          <w:lang w:val="en-GB"/>
        </w:rPr>
        <w:t xml:space="preserve"> </w:t>
      </w:r>
      <w:r>
        <w:rPr>
          <w:i/>
          <w:sz w:val="18"/>
          <w:szCs w:val="18"/>
          <w:lang w:val="en-GB"/>
        </w:rPr>
        <w:t>57, 58, 59 and 63</w:t>
      </w:r>
      <w:r w:rsidRPr="0011227C">
        <w:rPr>
          <w:i/>
          <w:sz w:val="18"/>
          <w:szCs w:val="18"/>
          <w:lang w:val="en-GB"/>
        </w:rPr>
        <w:t xml:space="preserve"> of Final Analysis Statistical Report dated </w:t>
      </w:r>
      <w:r>
        <w:rPr>
          <w:i/>
          <w:sz w:val="18"/>
          <w:szCs w:val="18"/>
          <w:lang w:val="en-GB"/>
        </w:rPr>
        <w:t>4</w:t>
      </w:r>
      <w:r w:rsidRPr="001B1571">
        <w:rPr>
          <w:i/>
          <w:sz w:val="18"/>
          <w:szCs w:val="18"/>
          <w:vertAlign w:val="superscript"/>
          <w:lang w:val="en-GB"/>
        </w:rPr>
        <w:t>th</w:t>
      </w:r>
      <w:r>
        <w:rPr>
          <w:i/>
          <w:sz w:val="18"/>
          <w:szCs w:val="18"/>
          <w:lang w:val="en-GB"/>
        </w:rPr>
        <w:t xml:space="preserve"> September</w:t>
      </w:r>
      <w:r w:rsidRPr="0011227C">
        <w:rPr>
          <w:i/>
          <w:sz w:val="18"/>
          <w:szCs w:val="18"/>
          <w:lang w:val="en-GB"/>
        </w:rPr>
        <w:t xml:space="preserve"> 2020).</w:t>
      </w:r>
    </w:p>
    <w:p w14:paraId="49E2BB14" w14:textId="11BEA9E7" w:rsidR="00893D9E" w:rsidRPr="00367B80" w:rsidRDefault="00893D9E" w:rsidP="007501F4"/>
    <w:p w14:paraId="589797A4" w14:textId="77777777" w:rsidR="00B66F06" w:rsidRDefault="00B66F06" w:rsidP="00367B80">
      <w:pPr>
        <w:pStyle w:val="FigureTitle"/>
        <w:jc w:val="left"/>
        <w:outlineLvl w:val="0"/>
      </w:pPr>
      <w:bookmarkStart w:id="763" w:name="_Ref52441525"/>
    </w:p>
    <w:p w14:paraId="290A4320" w14:textId="77777777" w:rsidR="00B66F06" w:rsidRDefault="00B66F06" w:rsidP="00367B80">
      <w:pPr>
        <w:pStyle w:val="FigureTitle"/>
        <w:jc w:val="left"/>
        <w:outlineLvl w:val="0"/>
      </w:pPr>
    </w:p>
    <w:p w14:paraId="6715CF10" w14:textId="77777777" w:rsidR="00B66F06" w:rsidRDefault="00B66F06" w:rsidP="00367B80">
      <w:pPr>
        <w:pStyle w:val="FigureTitle"/>
        <w:jc w:val="left"/>
        <w:outlineLvl w:val="0"/>
      </w:pPr>
    </w:p>
    <w:p w14:paraId="125DA54A" w14:textId="77777777" w:rsidR="00B66F06" w:rsidRDefault="00B66F06" w:rsidP="00367B80">
      <w:pPr>
        <w:pStyle w:val="FigureTitle"/>
        <w:jc w:val="left"/>
        <w:outlineLvl w:val="0"/>
        <w:sectPr w:rsidR="00B66F06" w:rsidSect="00B66F06">
          <w:pgSz w:w="11906" w:h="16838"/>
          <w:pgMar w:top="1418" w:right="567" w:bottom="1134" w:left="709" w:header="709" w:footer="709" w:gutter="0"/>
          <w:cols w:space="708"/>
          <w:docGrid w:linePitch="360"/>
        </w:sectPr>
      </w:pPr>
    </w:p>
    <w:p w14:paraId="12CFFFE4" w14:textId="3965D308" w:rsidR="001566F7" w:rsidRDefault="001566F7" w:rsidP="00367B80">
      <w:pPr>
        <w:pStyle w:val="FigureTitle"/>
        <w:jc w:val="left"/>
        <w:outlineLvl w:val="0"/>
      </w:pPr>
      <w:bookmarkStart w:id="764" w:name="_Toc52446233"/>
      <w:bookmarkStart w:id="765" w:name="_Toc52468190"/>
      <w:r>
        <w:lastRenderedPageBreak/>
        <w:t xml:space="preserve">Figure </w:t>
      </w:r>
      <w:r>
        <w:fldChar w:fldCharType="begin"/>
      </w:r>
      <w:r>
        <w:instrText xml:space="preserve"> SEQ Figure \* ARABIC </w:instrText>
      </w:r>
      <w:r>
        <w:fldChar w:fldCharType="separate"/>
      </w:r>
      <w:r>
        <w:t>8</w:t>
      </w:r>
      <w:r>
        <w:fldChar w:fldCharType="end"/>
      </w:r>
      <w:bookmarkEnd w:id="763"/>
      <w:r>
        <w:t xml:space="preserve">. </w:t>
      </w:r>
      <w:r w:rsidRPr="00513C44">
        <w:t>Kaplan-Meier curves for Overall Survival in patients without (A) and with (B) visceral disease, and with recurrent (C) and de novo (D) metastatic disease in the intention-to-treat population.</w:t>
      </w:r>
      <w:bookmarkEnd w:id="764"/>
      <w:bookmarkEnd w:id="765"/>
    </w:p>
    <w:tbl>
      <w:tblPr>
        <w:tblW w:w="12752" w:type="dxa"/>
        <w:jc w:val="center"/>
        <w:tblBorders>
          <w:top w:val="single" w:sz="2" w:space="0" w:color="C00000"/>
          <w:left w:val="single" w:sz="2" w:space="0" w:color="C00000"/>
          <w:bottom w:val="single" w:sz="2" w:space="0" w:color="C00000"/>
          <w:right w:val="single" w:sz="2" w:space="0" w:color="C00000"/>
        </w:tblBorders>
        <w:tblLook w:val="04A0" w:firstRow="1" w:lastRow="0" w:firstColumn="1" w:lastColumn="0" w:noHBand="0" w:noVBand="1"/>
      </w:tblPr>
      <w:tblGrid>
        <w:gridCol w:w="362"/>
        <w:gridCol w:w="5994"/>
        <w:gridCol w:w="362"/>
        <w:gridCol w:w="6034"/>
      </w:tblGrid>
      <w:tr w:rsidR="00893D9E" w:rsidRPr="00373212" w14:paraId="0276440A" w14:textId="77777777" w:rsidTr="00B66F06">
        <w:trPr>
          <w:trHeight w:val="4035"/>
          <w:jc w:val="center"/>
        </w:trPr>
        <w:tc>
          <w:tcPr>
            <w:tcW w:w="0" w:type="auto"/>
            <w:tcBorders>
              <w:top w:val="single" w:sz="2" w:space="0" w:color="C00000"/>
              <w:left w:val="single" w:sz="2" w:space="0" w:color="C00000"/>
              <w:bottom w:val="nil"/>
              <w:right w:val="nil"/>
            </w:tcBorders>
            <w:hideMark/>
          </w:tcPr>
          <w:p w14:paraId="371235AB" w14:textId="77777777" w:rsidR="00893D9E" w:rsidRDefault="00893D9E" w:rsidP="00E87941">
            <w:pPr>
              <w:jc w:val="right"/>
              <w:rPr>
                <w:b/>
                <w:bCs/>
                <w:lang w:val="en-GB"/>
              </w:rPr>
            </w:pPr>
            <w:r>
              <w:rPr>
                <w:b/>
                <w:bCs/>
                <w:lang w:val="en-GB"/>
              </w:rPr>
              <w:t>A</w:t>
            </w:r>
          </w:p>
        </w:tc>
        <w:tc>
          <w:tcPr>
            <w:tcW w:w="0" w:type="auto"/>
            <w:tcBorders>
              <w:top w:val="single" w:sz="2" w:space="0" w:color="C00000"/>
              <w:left w:val="nil"/>
              <w:bottom w:val="nil"/>
              <w:right w:val="nil"/>
            </w:tcBorders>
            <w:hideMark/>
          </w:tcPr>
          <w:p w14:paraId="64FBFEA7" w14:textId="3680FB7C" w:rsidR="00893D9E" w:rsidRPr="00B66F06" w:rsidRDefault="00893D9E" w:rsidP="00B66F06">
            <w:pPr>
              <w:keepNext/>
              <w:spacing w:before="120"/>
              <w:jc w:val="center"/>
            </w:pPr>
            <w:r>
              <w:rPr>
                <w:noProof/>
                <w:lang w:val="en-GB" w:eastAsia="en-GB"/>
              </w:rPr>
              <w:drawing>
                <wp:inline distT="0" distB="0" distL="0" distR="0" wp14:anchorId="5A4B0955" wp14:editId="0BB1D906">
                  <wp:extent cx="3657600" cy="2448560"/>
                  <wp:effectExtent l="0" t="0" r="0" b="8890"/>
                  <wp:docPr id="49" name="Imagen 49" descr="Imagen que contiene Gráfico&#10;&#10;Descripción generada automáticamente"/>
                  <wp:cNvGraphicFramePr/>
                  <a:graphic xmlns:a="http://schemas.openxmlformats.org/drawingml/2006/main">
                    <a:graphicData uri="http://schemas.openxmlformats.org/drawingml/2006/picture">
                      <pic:pic xmlns:pic="http://schemas.openxmlformats.org/drawingml/2006/picture">
                        <pic:nvPicPr>
                          <pic:cNvPr id="34" name="Imagen 34" descr="Imagen que contiene Gráfico&#10;&#10;Descripción generada automáticamente"/>
                          <pic:cNvPicPr/>
                        </pic:nvPicPr>
                        <pic:blipFill rotWithShape="1">
                          <a:blip r:embed="rId38" cstate="print">
                            <a:extLst>
                              <a:ext uri="{28A0092B-C50C-407E-A947-70E740481C1C}">
                                <a14:useLocalDpi xmlns:a14="http://schemas.microsoft.com/office/drawing/2010/main" val="0"/>
                              </a:ext>
                            </a:extLst>
                          </a:blip>
                          <a:srcRect b="14151"/>
                          <a:stretch/>
                        </pic:blipFill>
                        <pic:spPr bwMode="auto">
                          <a:xfrm>
                            <a:off x="0" y="0"/>
                            <a:ext cx="3668531" cy="245587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tcBorders>
              <w:top w:val="single" w:sz="2" w:space="0" w:color="C00000"/>
              <w:left w:val="nil"/>
              <w:bottom w:val="nil"/>
              <w:right w:val="nil"/>
            </w:tcBorders>
            <w:hideMark/>
          </w:tcPr>
          <w:p w14:paraId="32653D10" w14:textId="77777777" w:rsidR="00893D9E" w:rsidRDefault="00893D9E" w:rsidP="00E87941">
            <w:pPr>
              <w:jc w:val="right"/>
              <w:rPr>
                <w:b/>
                <w:bCs/>
                <w:lang w:val="en-GB"/>
              </w:rPr>
            </w:pPr>
            <w:r>
              <w:rPr>
                <w:b/>
                <w:bCs/>
                <w:lang w:val="en-GB"/>
              </w:rPr>
              <w:t>B</w:t>
            </w:r>
          </w:p>
        </w:tc>
        <w:tc>
          <w:tcPr>
            <w:tcW w:w="0" w:type="auto"/>
            <w:tcBorders>
              <w:top w:val="single" w:sz="2" w:space="0" w:color="C00000"/>
              <w:left w:val="nil"/>
              <w:bottom w:val="nil"/>
              <w:right w:val="single" w:sz="2" w:space="0" w:color="C00000"/>
            </w:tcBorders>
            <w:hideMark/>
          </w:tcPr>
          <w:p w14:paraId="70E453F8" w14:textId="77777777" w:rsidR="00893D9E" w:rsidRDefault="00893D9E" w:rsidP="00E87941">
            <w:pPr>
              <w:spacing w:before="120"/>
              <w:jc w:val="center"/>
              <w:rPr>
                <w:b/>
                <w:bCs/>
                <w:lang w:val="en-GB"/>
              </w:rPr>
            </w:pPr>
            <w:r>
              <w:rPr>
                <w:noProof/>
                <w:lang w:val="en-GB" w:eastAsia="en-GB"/>
              </w:rPr>
              <w:drawing>
                <wp:inline distT="0" distB="0" distL="0" distR="0" wp14:anchorId="40DF782C" wp14:editId="58120447">
                  <wp:extent cx="3644900" cy="2540000"/>
                  <wp:effectExtent l="0" t="0" r="0" b="0"/>
                  <wp:docPr id="50" name="Imagen 50" descr="Gráfico, Gráfico de líneas&#10;&#10;Descripción generada automáticamente"/>
                  <wp:cNvGraphicFramePr/>
                  <a:graphic xmlns:a="http://schemas.openxmlformats.org/drawingml/2006/main">
                    <a:graphicData uri="http://schemas.openxmlformats.org/drawingml/2006/picture">
                      <pic:pic xmlns:pic="http://schemas.openxmlformats.org/drawingml/2006/picture">
                        <pic:nvPicPr>
                          <pic:cNvPr id="35" name="Imagen 35" descr="Gráfico, Gráfico de líneas&#10;&#10;Descripción generada automáticamente"/>
                          <pic:cNvPicPr/>
                        </pic:nvPicPr>
                        <pic:blipFill rotWithShape="1">
                          <a:blip r:embed="rId39" cstate="print">
                            <a:extLst>
                              <a:ext uri="{28A0092B-C50C-407E-A947-70E740481C1C}">
                                <a14:useLocalDpi xmlns:a14="http://schemas.microsoft.com/office/drawing/2010/main" val="0"/>
                              </a:ext>
                            </a:extLst>
                          </a:blip>
                          <a:srcRect b="13809"/>
                          <a:stretch/>
                        </pic:blipFill>
                        <pic:spPr bwMode="auto">
                          <a:xfrm>
                            <a:off x="0" y="0"/>
                            <a:ext cx="3647335" cy="254169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93D9E" w:rsidRPr="00373212" w14:paraId="43E57143" w14:textId="77777777" w:rsidTr="00B66F06">
        <w:trPr>
          <w:trHeight w:val="3697"/>
          <w:jc w:val="center"/>
        </w:trPr>
        <w:tc>
          <w:tcPr>
            <w:tcW w:w="0" w:type="auto"/>
            <w:tcBorders>
              <w:top w:val="nil"/>
              <w:left w:val="single" w:sz="2" w:space="0" w:color="C00000"/>
              <w:bottom w:val="single" w:sz="2" w:space="0" w:color="C00000"/>
              <w:right w:val="nil"/>
            </w:tcBorders>
            <w:hideMark/>
          </w:tcPr>
          <w:p w14:paraId="0E1CD953" w14:textId="77777777" w:rsidR="00893D9E" w:rsidRDefault="00893D9E" w:rsidP="00E87941">
            <w:pPr>
              <w:jc w:val="right"/>
              <w:rPr>
                <w:b/>
                <w:bCs/>
                <w:lang w:val="en-GB"/>
              </w:rPr>
            </w:pPr>
            <w:r>
              <w:rPr>
                <w:b/>
                <w:bCs/>
                <w:lang w:val="en-GB"/>
              </w:rPr>
              <w:t>C</w:t>
            </w:r>
          </w:p>
        </w:tc>
        <w:tc>
          <w:tcPr>
            <w:tcW w:w="0" w:type="auto"/>
            <w:tcBorders>
              <w:top w:val="nil"/>
              <w:left w:val="nil"/>
              <w:bottom w:val="single" w:sz="2" w:space="0" w:color="C00000"/>
              <w:right w:val="nil"/>
            </w:tcBorders>
            <w:hideMark/>
          </w:tcPr>
          <w:p w14:paraId="786DA8FA" w14:textId="4D17C2DC" w:rsidR="00893D9E" w:rsidRPr="00B66F06" w:rsidRDefault="00893D9E" w:rsidP="00B66F06">
            <w:pPr>
              <w:keepNext/>
              <w:spacing w:before="120"/>
              <w:jc w:val="center"/>
            </w:pPr>
            <w:r>
              <w:rPr>
                <w:noProof/>
                <w:lang w:val="en-GB" w:eastAsia="en-GB"/>
              </w:rPr>
              <w:drawing>
                <wp:inline distT="0" distB="0" distL="0" distR="0" wp14:anchorId="463AFEE5" wp14:editId="60516EA2">
                  <wp:extent cx="3556000" cy="2171700"/>
                  <wp:effectExtent l="0" t="0" r="6350" b="0"/>
                  <wp:docPr id="51" name="Imagen 51" descr="Gráfico, Gráfico de líneas&#10;&#10;Descripción generada automáticamente"/>
                  <wp:cNvGraphicFramePr/>
                  <a:graphic xmlns:a="http://schemas.openxmlformats.org/drawingml/2006/main">
                    <a:graphicData uri="http://schemas.openxmlformats.org/drawingml/2006/picture">
                      <pic:pic xmlns:pic="http://schemas.openxmlformats.org/drawingml/2006/picture">
                        <pic:nvPicPr>
                          <pic:cNvPr id="36" name="Imagen 36" descr="Gráfico, Gráfico de líneas&#10;&#10;Descripción generada automáticamente"/>
                          <pic:cNvPicPr/>
                        </pic:nvPicPr>
                        <pic:blipFill rotWithShape="1">
                          <a:blip r:embed="rId40" cstate="print">
                            <a:extLst>
                              <a:ext uri="{28A0092B-C50C-407E-A947-70E740481C1C}">
                                <a14:useLocalDpi xmlns:a14="http://schemas.microsoft.com/office/drawing/2010/main" val="0"/>
                              </a:ext>
                            </a:extLst>
                          </a:blip>
                          <a:srcRect b="13785"/>
                          <a:stretch/>
                        </pic:blipFill>
                        <pic:spPr bwMode="auto">
                          <a:xfrm>
                            <a:off x="0" y="0"/>
                            <a:ext cx="3562458" cy="217564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tcBorders>
              <w:top w:val="nil"/>
              <w:left w:val="nil"/>
              <w:bottom w:val="single" w:sz="2" w:space="0" w:color="C00000"/>
              <w:right w:val="nil"/>
            </w:tcBorders>
            <w:hideMark/>
          </w:tcPr>
          <w:p w14:paraId="21F87223" w14:textId="77777777" w:rsidR="00893D9E" w:rsidRDefault="00893D9E" w:rsidP="00E87941">
            <w:pPr>
              <w:jc w:val="right"/>
              <w:rPr>
                <w:b/>
                <w:bCs/>
                <w:lang w:val="en-GB"/>
              </w:rPr>
            </w:pPr>
            <w:r>
              <w:rPr>
                <w:b/>
                <w:bCs/>
                <w:lang w:val="en-GB"/>
              </w:rPr>
              <w:t>D</w:t>
            </w:r>
          </w:p>
        </w:tc>
        <w:tc>
          <w:tcPr>
            <w:tcW w:w="0" w:type="auto"/>
            <w:tcBorders>
              <w:top w:val="nil"/>
              <w:left w:val="nil"/>
              <w:bottom w:val="single" w:sz="2" w:space="0" w:color="C00000"/>
              <w:right w:val="single" w:sz="2" w:space="0" w:color="C00000"/>
            </w:tcBorders>
            <w:hideMark/>
          </w:tcPr>
          <w:p w14:paraId="533F712B" w14:textId="77777777" w:rsidR="00893D9E" w:rsidRDefault="00893D9E" w:rsidP="00E87941">
            <w:pPr>
              <w:keepNext/>
              <w:spacing w:before="120"/>
              <w:jc w:val="center"/>
              <w:rPr>
                <w:b/>
                <w:bCs/>
                <w:lang w:val="en-GB"/>
              </w:rPr>
            </w:pPr>
            <w:r>
              <w:rPr>
                <w:noProof/>
                <w:lang w:val="en-GB" w:eastAsia="en-GB"/>
              </w:rPr>
              <w:drawing>
                <wp:inline distT="0" distB="0" distL="0" distR="0" wp14:anchorId="2F0E15B8" wp14:editId="4A63F7A7">
                  <wp:extent cx="3683000" cy="2171700"/>
                  <wp:effectExtent l="0" t="0" r="0" b="0"/>
                  <wp:docPr id="52" name="Imagen 52" descr="Imagen que contiene Gráfico&#10;&#10;Descripción generada automáticamente"/>
                  <wp:cNvGraphicFramePr/>
                  <a:graphic xmlns:a="http://schemas.openxmlformats.org/drawingml/2006/main">
                    <a:graphicData uri="http://schemas.openxmlformats.org/drawingml/2006/picture">
                      <pic:pic xmlns:pic="http://schemas.openxmlformats.org/drawingml/2006/picture">
                        <pic:nvPicPr>
                          <pic:cNvPr id="37" name="Imagen 37" descr="Imagen que contiene Gráfico&#10;&#10;Descripción generada automáticamente"/>
                          <pic:cNvPicPr/>
                        </pic:nvPicPr>
                        <pic:blipFill rotWithShape="1">
                          <a:blip r:embed="rId41" cstate="print">
                            <a:extLst>
                              <a:ext uri="{28A0092B-C50C-407E-A947-70E740481C1C}">
                                <a14:useLocalDpi xmlns:a14="http://schemas.microsoft.com/office/drawing/2010/main" val="0"/>
                              </a:ext>
                            </a:extLst>
                          </a:blip>
                          <a:srcRect b="14208"/>
                          <a:stretch/>
                        </pic:blipFill>
                        <pic:spPr bwMode="auto">
                          <a:xfrm>
                            <a:off x="0" y="0"/>
                            <a:ext cx="3684215" cy="2172416"/>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5EF59310" w14:textId="77777777" w:rsidR="00B66F06" w:rsidRDefault="00893D9E" w:rsidP="00EF5AB2">
      <w:pPr>
        <w:spacing w:after="0" w:line="240" w:lineRule="auto"/>
        <w:rPr>
          <w:i/>
          <w:sz w:val="18"/>
          <w:szCs w:val="18"/>
        </w:rPr>
      </w:pPr>
      <w:r w:rsidRPr="00B66F06">
        <w:rPr>
          <w:i/>
          <w:sz w:val="18"/>
          <w:szCs w:val="18"/>
        </w:rPr>
        <w:t xml:space="preserve">CI=confidence interval. HR=hazard ratio. </w:t>
      </w:r>
    </w:p>
    <w:p w14:paraId="5436EDBB" w14:textId="7F9A5681" w:rsidR="00893D9E" w:rsidRPr="00B66F06" w:rsidRDefault="00893D9E" w:rsidP="00EF5AB2">
      <w:pPr>
        <w:spacing w:after="0" w:line="240" w:lineRule="auto"/>
        <w:rPr>
          <w:i/>
          <w:sz w:val="18"/>
          <w:szCs w:val="18"/>
          <w:lang w:val="en-GB"/>
        </w:rPr>
      </w:pPr>
      <w:r w:rsidRPr="00B66F06">
        <w:rPr>
          <w:i/>
          <w:sz w:val="18"/>
          <w:szCs w:val="18"/>
          <w:lang w:val="en-GB"/>
        </w:rPr>
        <w:t>(</w:t>
      </w:r>
      <w:r w:rsidRPr="00B66F06">
        <w:rPr>
          <w:i/>
          <w:sz w:val="18"/>
          <w:szCs w:val="18"/>
          <w:u w:val="single"/>
          <w:lang w:val="en-GB"/>
        </w:rPr>
        <w:t>Cross reference</w:t>
      </w:r>
      <w:r w:rsidRPr="00B66F06">
        <w:rPr>
          <w:i/>
          <w:sz w:val="18"/>
          <w:szCs w:val="18"/>
          <w:lang w:val="en-GB"/>
        </w:rPr>
        <w:t>: Figure 45-48 of Final Analysis Statistical Report dated 4</w:t>
      </w:r>
      <w:r w:rsidRPr="00B66F06">
        <w:rPr>
          <w:i/>
          <w:sz w:val="18"/>
          <w:szCs w:val="18"/>
          <w:vertAlign w:val="superscript"/>
          <w:lang w:val="en-GB"/>
        </w:rPr>
        <w:t>th</w:t>
      </w:r>
      <w:r w:rsidRPr="00B66F06">
        <w:rPr>
          <w:i/>
          <w:sz w:val="18"/>
          <w:szCs w:val="18"/>
          <w:lang w:val="en-GB"/>
        </w:rPr>
        <w:t xml:space="preserve"> September 2020).</w:t>
      </w:r>
    </w:p>
    <w:p w14:paraId="5C92F751" w14:textId="77777777" w:rsidR="00893D9E" w:rsidRPr="00CB21D0" w:rsidRDefault="00893D9E" w:rsidP="00893D9E">
      <w:pPr>
        <w:rPr>
          <w:b/>
        </w:rPr>
        <w:sectPr w:rsidR="00893D9E" w:rsidRPr="00CB21D0" w:rsidSect="00B66F06">
          <w:pgSz w:w="16838" w:h="11906" w:orient="landscape"/>
          <w:pgMar w:top="709" w:right="1418" w:bottom="567" w:left="1134" w:header="709" w:footer="709" w:gutter="0"/>
          <w:cols w:space="708"/>
          <w:docGrid w:linePitch="360"/>
        </w:sectPr>
      </w:pPr>
    </w:p>
    <w:p w14:paraId="7A41218F" w14:textId="77777777" w:rsidR="00893D9E" w:rsidRDefault="00893D9E" w:rsidP="00893D9E">
      <w:pPr>
        <w:pStyle w:val="FigureTitle"/>
        <w:jc w:val="left"/>
        <w:outlineLvl w:val="0"/>
      </w:pPr>
      <w:bookmarkStart w:id="766" w:name="_Ref52470671"/>
      <w:bookmarkStart w:id="767" w:name="_Toc52446234"/>
      <w:bookmarkStart w:id="768" w:name="_Toc52468191"/>
      <w:r>
        <w:lastRenderedPageBreak/>
        <w:t xml:space="preserve">Figure </w:t>
      </w:r>
      <w:r>
        <w:fldChar w:fldCharType="begin"/>
      </w:r>
      <w:r>
        <w:instrText xml:space="preserve"> SEQ Figure \* ARABIC </w:instrText>
      </w:r>
      <w:r>
        <w:fldChar w:fldCharType="separate"/>
      </w:r>
      <w:r>
        <w:rPr>
          <w:noProof/>
        </w:rPr>
        <w:t>9</w:t>
      </w:r>
      <w:r>
        <w:fldChar w:fldCharType="end"/>
      </w:r>
      <w:bookmarkEnd w:id="766"/>
      <w:r>
        <w:t xml:space="preserve">. </w:t>
      </w:r>
      <w:r w:rsidRPr="00F7409D">
        <w:t>Correlation of Relative Dose Intensity versus Progression-free Survival (A) and Overall Survival (B) in the Intent-to Treat population.</w:t>
      </w:r>
      <w:bookmarkEnd w:id="767"/>
      <w:bookmarkEnd w:id="768"/>
    </w:p>
    <w:tbl>
      <w:tblPr>
        <w:tblW w:w="7920" w:type="dxa"/>
        <w:tblBorders>
          <w:top w:val="single" w:sz="2" w:space="0" w:color="C00000"/>
          <w:left w:val="single" w:sz="2" w:space="0" w:color="C00000"/>
          <w:bottom w:val="single" w:sz="2" w:space="0" w:color="C00000"/>
          <w:right w:val="single" w:sz="2" w:space="0" w:color="C00000"/>
          <w:insideH w:val="single" w:sz="2" w:space="0" w:color="C00000"/>
        </w:tblBorders>
        <w:tblLook w:val="04A0" w:firstRow="1" w:lastRow="0" w:firstColumn="1" w:lastColumn="0" w:noHBand="0" w:noVBand="1"/>
      </w:tblPr>
      <w:tblGrid>
        <w:gridCol w:w="361"/>
        <w:gridCol w:w="7559"/>
      </w:tblGrid>
      <w:tr w:rsidR="00893D9E" w:rsidRPr="00931820" w14:paraId="466BB250" w14:textId="77777777" w:rsidTr="00EF5AB2">
        <w:trPr>
          <w:trHeight w:val="4453"/>
        </w:trPr>
        <w:tc>
          <w:tcPr>
            <w:tcW w:w="0" w:type="auto"/>
          </w:tcPr>
          <w:p w14:paraId="4E0C62AD" w14:textId="77777777" w:rsidR="00893D9E" w:rsidRDefault="00893D9E" w:rsidP="00E87941">
            <w:pPr>
              <w:spacing w:line="240" w:lineRule="auto"/>
              <w:jc w:val="right"/>
              <w:rPr>
                <w:b/>
                <w:bCs/>
                <w:lang w:val="en-GB"/>
              </w:rPr>
            </w:pPr>
            <w:r>
              <w:rPr>
                <w:b/>
                <w:bCs/>
                <w:lang w:val="en-GB"/>
              </w:rPr>
              <w:t>A</w:t>
            </w:r>
          </w:p>
        </w:tc>
        <w:tc>
          <w:tcPr>
            <w:tcW w:w="7559" w:type="dxa"/>
          </w:tcPr>
          <w:p w14:paraId="4C3272D2" w14:textId="77777777" w:rsidR="00893D9E" w:rsidRPr="00931820" w:rsidRDefault="00893D9E" w:rsidP="00E87941">
            <w:pPr>
              <w:spacing w:before="120" w:line="240" w:lineRule="auto"/>
              <w:jc w:val="center"/>
              <w:rPr>
                <w:rFonts w:ascii="Tahoma" w:hAnsi="Tahoma" w:cs="Tahoma"/>
                <w:noProof/>
                <w:lang w:val="en-GB" w:eastAsia="es-ES"/>
              </w:rPr>
            </w:pPr>
            <w:r>
              <w:rPr>
                <w:rFonts w:ascii="Tahoma" w:hAnsi="Tahoma" w:cs="Tahoma"/>
                <w:noProof/>
                <w:lang w:val="en-GB" w:eastAsia="en-GB"/>
              </w:rPr>
              <w:drawing>
                <wp:inline distT="0" distB="0" distL="0" distR="0" wp14:anchorId="22B9E33D" wp14:editId="504F4E30">
                  <wp:extent cx="4625975" cy="2645228"/>
                  <wp:effectExtent l="0" t="0" r="3175" b="3175"/>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b="23754"/>
                          <a:stretch/>
                        </pic:blipFill>
                        <pic:spPr bwMode="auto">
                          <a:xfrm>
                            <a:off x="0" y="0"/>
                            <a:ext cx="4630511" cy="264782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93D9E" w:rsidRPr="00931820" w14:paraId="3F4BF74D" w14:textId="77777777" w:rsidTr="00EF5AB2">
        <w:trPr>
          <w:trHeight w:val="4453"/>
        </w:trPr>
        <w:tc>
          <w:tcPr>
            <w:tcW w:w="0" w:type="auto"/>
          </w:tcPr>
          <w:p w14:paraId="2CA4809A" w14:textId="77777777" w:rsidR="00893D9E" w:rsidRDefault="00893D9E" w:rsidP="00E87941">
            <w:pPr>
              <w:spacing w:line="240" w:lineRule="auto"/>
              <w:jc w:val="right"/>
              <w:rPr>
                <w:b/>
                <w:bCs/>
                <w:lang w:val="en-GB"/>
              </w:rPr>
            </w:pPr>
            <w:r>
              <w:rPr>
                <w:b/>
                <w:bCs/>
                <w:lang w:val="en-GB"/>
              </w:rPr>
              <w:t>B</w:t>
            </w:r>
          </w:p>
        </w:tc>
        <w:tc>
          <w:tcPr>
            <w:tcW w:w="7559" w:type="dxa"/>
          </w:tcPr>
          <w:p w14:paraId="3DE6701C" w14:textId="77777777" w:rsidR="00893D9E" w:rsidRDefault="00893D9E" w:rsidP="00E87941">
            <w:pPr>
              <w:keepNext/>
              <w:spacing w:before="120" w:line="240" w:lineRule="auto"/>
              <w:jc w:val="center"/>
            </w:pPr>
            <w:r>
              <w:rPr>
                <w:rFonts w:ascii="Tahoma" w:hAnsi="Tahoma" w:cs="Tahoma"/>
                <w:noProof/>
                <w:lang w:val="en-GB" w:eastAsia="en-GB"/>
              </w:rPr>
              <w:drawing>
                <wp:inline distT="0" distB="0" distL="0" distR="0" wp14:anchorId="0D7755AB" wp14:editId="361E2683">
                  <wp:extent cx="4572107" cy="2599267"/>
                  <wp:effectExtent l="0" t="0" r="0"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r="-6" b="24192"/>
                          <a:stretch/>
                        </pic:blipFill>
                        <pic:spPr bwMode="auto">
                          <a:xfrm>
                            <a:off x="0" y="0"/>
                            <a:ext cx="4580035" cy="2603774"/>
                          </a:xfrm>
                          <a:prstGeom prst="rect">
                            <a:avLst/>
                          </a:prstGeom>
                          <a:noFill/>
                          <a:ln>
                            <a:noFill/>
                          </a:ln>
                          <a:extLst>
                            <a:ext uri="{53640926-AAD7-44D8-BBD7-CCE9431645EC}">
                              <a14:shadowObscured xmlns:a14="http://schemas.microsoft.com/office/drawing/2010/main"/>
                            </a:ext>
                          </a:extLst>
                        </pic:spPr>
                      </pic:pic>
                    </a:graphicData>
                  </a:graphic>
                </wp:inline>
              </w:drawing>
            </w:r>
          </w:p>
          <w:p w14:paraId="4C67A5AF" w14:textId="77777777" w:rsidR="00893D9E" w:rsidRPr="00931820" w:rsidRDefault="00893D9E" w:rsidP="00E87941">
            <w:pPr>
              <w:pStyle w:val="Descripcin"/>
              <w:jc w:val="center"/>
              <w:rPr>
                <w:noProof/>
                <w:lang w:val="en-GB" w:eastAsia="es-ES"/>
              </w:rPr>
            </w:pPr>
          </w:p>
        </w:tc>
      </w:tr>
    </w:tbl>
    <w:p w14:paraId="648CC04A" w14:textId="77777777" w:rsidR="00B66F06" w:rsidRDefault="00B66F06">
      <w:pPr>
        <w:spacing w:after="0" w:line="240" w:lineRule="auto"/>
        <w:jc w:val="left"/>
        <w:rPr>
          <w:i/>
          <w:sz w:val="18"/>
          <w:szCs w:val="18"/>
          <w:lang w:val="en-GB"/>
        </w:rPr>
      </w:pPr>
    </w:p>
    <w:p w14:paraId="5E75014F" w14:textId="4C1BE0D2" w:rsidR="00893D9E" w:rsidRDefault="00893D9E">
      <w:pPr>
        <w:spacing w:after="0" w:line="240" w:lineRule="auto"/>
        <w:jc w:val="left"/>
        <w:rPr>
          <w:i/>
          <w:sz w:val="18"/>
          <w:szCs w:val="18"/>
          <w:lang w:val="en-GB"/>
        </w:rPr>
      </w:pPr>
      <w:r w:rsidRPr="0011227C">
        <w:rPr>
          <w:i/>
          <w:sz w:val="18"/>
          <w:szCs w:val="18"/>
          <w:lang w:val="en-GB"/>
        </w:rPr>
        <w:t>(</w:t>
      </w:r>
      <w:r w:rsidRPr="0011227C">
        <w:rPr>
          <w:i/>
          <w:sz w:val="18"/>
          <w:szCs w:val="18"/>
          <w:u w:val="single"/>
          <w:lang w:val="en-GB"/>
        </w:rPr>
        <w:t>Cross reference</w:t>
      </w:r>
      <w:r w:rsidRPr="0011227C">
        <w:rPr>
          <w:i/>
          <w:sz w:val="18"/>
          <w:szCs w:val="18"/>
          <w:lang w:val="en-GB"/>
        </w:rPr>
        <w:t xml:space="preserve">: </w:t>
      </w:r>
      <w:r>
        <w:rPr>
          <w:i/>
          <w:sz w:val="18"/>
          <w:szCs w:val="18"/>
          <w:lang w:val="en-GB"/>
        </w:rPr>
        <w:t>Figures 120 and 122</w:t>
      </w:r>
      <w:r w:rsidRPr="0011227C">
        <w:rPr>
          <w:i/>
          <w:sz w:val="18"/>
          <w:szCs w:val="18"/>
          <w:lang w:val="en-GB"/>
        </w:rPr>
        <w:t xml:space="preserve"> of Final Analysis Statistical Report dated </w:t>
      </w:r>
      <w:r>
        <w:rPr>
          <w:i/>
          <w:sz w:val="18"/>
          <w:szCs w:val="18"/>
          <w:lang w:val="en-GB"/>
        </w:rPr>
        <w:t>4</w:t>
      </w:r>
      <w:r w:rsidRPr="001B1571">
        <w:rPr>
          <w:i/>
          <w:sz w:val="18"/>
          <w:szCs w:val="18"/>
          <w:vertAlign w:val="superscript"/>
          <w:lang w:val="en-GB"/>
        </w:rPr>
        <w:t>th</w:t>
      </w:r>
      <w:r>
        <w:rPr>
          <w:i/>
          <w:sz w:val="18"/>
          <w:szCs w:val="18"/>
          <w:lang w:val="en-GB"/>
        </w:rPr>
        <w:t xml:space="preserve"> September</w:t>
      </w:r>
      <w:r w:rsidRPr="0011227C">
        <w:rPr>
          <w:i/>
          <w:sz w:val="18"/>
          <w:szCs w:val="18"/>
          <w:lang w:val="en-GB"/>
        </w:rPr>
        <w:t xml:space="preserve"> 2020).</w:t>
      </w:r>
    </w:p>
    <w:p w14:paraId="3D12F264" w14:textId="77777777" w:rsidR="004723AE" w:rsidRDefault="004723AE">
      <w:pPr>
        <w:spacing w:after="0" w:line="240" w:lineRule="auto"/>
        <w:jc w:val="left"/>
        <w:rPr>
          <w:i/>
          <w:sz w:val="18"/>
          <w:szCs w:val="18"/>
          <w:lang w:val="en-GB"/>
        </w:rPr>
        <w:sectPr w:rsidR="004723AE" w:rsidSect="004723AE">
          <w:footerReference w:type="even" r:id="rId44"/>
          <w:pgSz w:w="12240" w:h="15840" w:code="1"/>
          <w:pgMar w:top="1134" w:right="1134" w:bottom="1134" w:left="1559" w:header="1151" w:footer="851" w:gutter="0"/>
          <w:cols w:space="720"/>
          <w:noEndnote/>
        </w:sectPr>
      </w:pPr>
    </w:p>
    <w:p w14:paraId="01812F17" w14:textId="77089937" w:rsidR="00893D9E" w:rsidRDefault="00893D9E" w:rsidP="00893D9E">
      <w:pPr>
        <w:pStyle w:val="Descripcin"/>
        <w:outlineLvl w:val="0"/>
      </w:pPr>
      <w:bookmarkStart w:id="769" w:name="_Ref52470864"/>
      <w:bookmarkStart w:id="770" w:name="_Toc52446235"/>
      <w:bookmarkStart w:id="771" w:name="_Toc52468192"/>
      <w:r>
        <w:lastRenderedPageBreak/>
        <w:t xml:space="preserve">Figure </w:t>
      </w:r>
      <w:r>
        <w:fldChar w:fldCharType="begin"/>
      </w:r>
      <w:r>
        <w:instrText xml:space="preserve"> SEQ Figure \* ARABIC </w:instrText>
      </w:r>
      <w:r>
        <w:fldChar w:fldCharType="separate"/>
      </w:r>
      <w:r>
        <w:rPr>
          <w:noProof/>
        </w:rPr>
        <w:t>10</w:t>
      </w:r>
      <w:r>
        <w:fldChar w:fldCharType="end"/>
      </w:r>
      <w:bookmarkEnd w:id="769"/>
      <w:r>
        <w:t xml:space="preserve">. </w:t>
      </w:r>
      <w:r w:rsidRPr="00227335">
        <w:t>Distribution of Adverse Events and Treatment Emergent Adverse Events by study group in the Safety population.</w:t>
      </w:r>
      <w:bookmarkEnd w:id="770"/>
      <w:bookmarkEnd w:id="771"/>
    </w:p>
    <w:p w14:paraId="74475972" w14:textId="77777777" w:rsidR="00893D9E" w:rsidRDefault="00893D9E" w:rsidP="00893D9E">
      <w:pPr>
        <w:keepNext/>
      </w:pPr>
      <w:r w:rsidRPr="00E30C22">
        <w:rPr>
          <w:noProof/>
          <w:lang w:val="en-GB" w:eastAsia="en-GB"/>
        </w:rPr>
        <w:drawing>
          <wp:inline distT="0" distB="0" distL="0" distR="0" wp14:anchorId="10B11665" wp14:editId="391DDF96">
            <wp:extent cx="4124729" cy="4817262"/>
            <wp:effectExtent l="0" t="0" r="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134050" cy="4828148"/>
                    </a:xfrm>
                    <a:prstGeom prst="rect">
                      <a:avLst/>
                    </a:prstGeom>
                    <a:noFill/>
                    <a:ln>
                      <a:noFill/>
                    </a:ln>
                  </pic:spPr>
                </pic:pic>
              </a:graphicData>
            </a:graphic>
          </wp:inline>
        </w:drawing>
      </w:r>
    </w:p>
    <w:p w14:paraId="49BD3C82" w14:textId="77777777" w:rsidR="00B66F06" w:rsidRDefault="00B66F06" w:rsidP="00893D9E">
      <w:pPr>
        <w:rPr>
          <w:rFonts w:ascii="Tahoma" w:hAnsi="Tahoma" w:cs="Tahoma"/>
          <w:color w:val="000000"/>
          <w:lang w:val="en-GB"/>
        </w:rPr>
        <w:sectPr w:rsidR="00B66F06" w:rsidSect="00B66F06">
          <w:pgSz w:w="12240" w:h="15840" w:code="1"/>
          <w:pgMar w:top="1134" w:right="1134" w:bottom="1134" w:left="1559" w:header="1151" w:footer="851" w:gutter="0"/>
          <w:cols w:space="720"/>
          <w:noEndnote/>
        </w:sectPr>
      </w:pPr>
    </w:p>
    <w:p w14:paraId="703F684A" w14:textId="24541BDA" w:rsidR="00893D9E" w:rsidRDefault="00893D9E" w:rsidP="00893D9E">
      <w:pPr>
        <w:rPr>
          <w:rFonts w:ascii="Tahoma" w:hAnsi="Tahoma" w:cs="Tahoma"/>
          <w:color w:val="000000"/>
          <w:lang w:val="en-GB"/>
        </w:rPr>
      </w:pPr>
    </w:p>
    <w:p w14:paraId="05DA71FB" w14:textId="26331E33" w:rsidR="00893D9E" w:rsidRDefault="00893D9E" w:rsidP="00893D9E">
      <w:pPr>
        <w:pStyle w:val="Descripcin"/>
        <w:outlineLvl w:val="0"/>
      </w:pPr>
      <w:bookmarkStart w:id="772" w:name="_Ref52470942"/>
      <w:bookmarkStart w:id="773" w:name="_Toc52446236"/>
      <w:bookmarkStart w:id="774" w:name="_Toc52468193"/>
      <w:r>
        <w:t xml:space="preserve">Figure </w:t>
      </w:r>
      <w:r>
        <w:fldChar w:fldCharType="begin"/>
      </w:r>
      <w:r>
        <w:instrText xml:space="preserve"> SEQ Figure \* ARABIC </w:instrText>
      </w:r>
      <w:r>
        <w:fldChar w:fldCharType="separate"/>
      </w:r>
      <w:r>
        <w:t>11</w:t>
      </w:r>
      <w:r>
        <w:fldChar w:fldCharType="end"/>
      </w:r>
      <w:bookmarkEnd w:id="772"/>
      <w:r>
        <w:t xml:space="preserve">. </w:t>
      </w:r>
      <w:r w:rsidRPr="003B6FD9">
        <w:t>Overall distribution of TEAEs by MedDRA System Organ Class.</w:t>
      </w:r>
      <w:bookmarkEnd w:id="773"/>
      <w:bookmarkEnd w:id="774"/>
    </w:p>
    <w:p w14:paraId="285361EF" w14:textId="77777777" w:rsidR="00893D9E" w:rsidRDefault="00893D9E" w:rsidP="00893D9E">
      <w:pPr>
        <w:keepNext/>
        <w:adjustRightInd w:val="0"/>
        <w:rPr>
          <w:noProof/>
        </w:rPr>
      </w:pPr>
    </w:p>
    <w:p w14:paraId="21E0C6B2" w14:textId="77777777" w:rsidR="00893D9E" w:rsidRDefault="00C65F3E" w:rsidP="00893D9E">
      <w:pPr>
        <w:keepNext/>
        <w:adjustRightInd w:val="0"/>
      </w:pPr>
      <w:r>
        <w:rPr>
          <w:noProof/>
        </w:rPr>
        <w:object w:dxaOrig="12984" w:dyaOrig="8191" w14:anchorId="100E0B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06.1pt;height:384.6pt;mso-width-percent:0;mso-height-percent:0;mso-width-percent:0;mso-height-percent:0" o:ole="">
            <v:imagedata r:id="rId46" o:title=""/>
          </v:shape>
          <o:OLEObject Type="Embed" ProgID="Prism8.Document" ShapeID="_x0000_i1025" DrawAspect="Content" ObjectID="_1663134805" r:id="rId47"/>
        </w:object>
      </w:r>
    </w:p>
    <w:p w14:paraId="47336F55" w14:textId="77777777" w:rsidR="00893D9E" w:rsidRDefault="00893D9E" w:rsidP="00893D9E">
      <w:pPr>
        <w:keepNext/>
        <w:sectPr w:rsidR="00893D9E" w:rsidSect="00A11AB0">
          <w:pgSz w:w="15840" w:h="12240" w:orient="landscape" w:code="1"/>
          <w:pgMar w:top="1559" w:right="1134" w:bottom="1134" w:left="1134" w:header="1151" w:footer="851" w:gutter="0"/>
          <w:cols w:space="720"/>
          <w:noEndnote/>
        </w:sectPr>
      </w:pPr>
    </w:p>
    <w:p w14:paraId="1B42F376" w14:textId="77777777" w:rsidR="00893D9E" w:rsidRDefault="00893D9E" w:rsidP="00893D9E">
      <w:pPr>
        <w:pStyle w:val="Descripcin"/>
        <w:outlineLvl w:val="0"/>
      </w:pPr>
      <w:bookmarkStart w:id="775" w:name="_Ref52470994"/>
      <w:bookmarkStart w:id="776" w:name="_Toc52446237"/>
      <w:bookmarkStart w:id="777" w:name="_Toc52468194"/>
      <w:r>
        <w:lastRenderedPageBreak/>
        <w:t xml:space="preserve">Figure </w:t>
      </w:r>
      <w:r>
        <w:fldChar w:fldCharType="begin"/>
      </w:r>
      <w:r>
        <w:instrText xml:space="preserve"> SEQ Figure \* ARABIC </w:instrText>
      </w:r>
      <w:r>
        <w:fldChar w:fldCharType="separate"/>
      </w:r>
      <w:r>
        <w:t>12</w:t>
      </w:r>
      <w:r>
        <w:fldChar w:fldCharType="end"/>
      </w:r>
      <w:bookmarkEnd w:id="775"/>
      <w:r>
        <w:t xml:space="preserve">. </w:t>
      </w:r>
      <w:r w:rsidRPr="008A6B7C">
        <w:t>Distribution of most frequent (&gt; 15%) TEAEs by study group.</w:t>
      </w:r>
      <w:bookmarkEnd w:id="776"/>
      <w:bookmarkEnd w:id="777"/>
    </w:p>
    <w:p w14:paraId="7282B8B3" w14:textId="77777777" w:rsidR="00893D9E" w:rsidRDefault="00893D9E" w:rsidP="00893D9E">
      <w:pPr>
        <w:keepNext/>
      </w:pPr>
    </w:p>
    <w:p w14:paraId="1BF4AC22" w14:textId="77777777" w:rsidR="00893D9E" w:rsidRDefault="00893D9E" w:rsidP="00893D9E">
      <w:pPr>
        <w:keepNext/>
      </w:pPr>
      <w:r w:rsidRPr="001E766D">
        <w:rPr>
          <w:noProof/>
          <w:lang w:val="en-GB" w:eastAsia="en-GB"/>
        </w:rPr>
        <w:drawing>
          <wp:inline distT="0" distB="0" distL="0" distR="0" wp14:anchorId="7EAE63C1" wp14:editId="0335D815">
            <wp:extent cx="6061710" cy="5021741"/>
            <wp:effectExtent l="0" t="0" r="0"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61710" cy="5021741"/>
                    </a:xfrm>
                    <a:prstGeom prst="rect">
                      <a:avLst/>
                    </a:prstGeom>
                    <a:noFill/>
                    <a:ln>
                      <a:noFill/>
                    </a:ln>
                  </pic:spPr>
                </pic:pic>
              </a:graphicData>
            </a:graphic>
          </wp:inline>
        </w:drawing>
      </w:r>
    </w:p>
    <w:p w14:paraId="1B1F863D" w14:textId="29D9211A" w:rsidR="00893D9E" w:rsidRDefault="00893D9E" w:rsidP="00367B80">
      <w:pPr>
        <w:pStyle w:val="Descripcin"/>
        <w:outlineLvl w:val="0"/>
      </w:pPr>
      <w:r>
        <w:br w:type="page"/>
      </w:r>
      <w:bookmarkStart w:id="778" w:name="_Ref52471063"/>
      <w:bookmarkStart w:id="779" w:name="_Toc52446238"/>
      <w:bookmarkStart w:id="780" w:name="_Toc52468195"/>
      <w:r>
        <w:lastRenderedPageBreak/>
        <w:t xml:space="preserve">Figure </w:t>
      </w:r>
      <w:r>
        <w:fldChar w:fldCharType="begin"/>
      </w:r>
      <w:r>
        <w:instrText xml:space="preserve"> SEQ Figure \* ARABIC </w:instrText>
      </w:r>
      <w:r>
        <w:fldChar w:fldCharType="separate"/>
      </w:r>
      <w:r>
        <w:t>13</w:t>
      </w:r>
      <w:r>
        <w:fldChar w:fldCharType="end"/>
      </w:r>
      <w:bookmarkEnd w:id="778"/>
      <w:r>
        <w:t xml:space="preserve">. </w:t>
      </w:r>
      <w:r w:rsidRPr="00122611">
        <w:t>Study follow-up and reasons for end of treatment in patients with pulmonary embolism.</w:t>
      </w:r>
      <w:bookmarkEnd w:id="779"/>
      <w:bookmarkEnd w:id="780"/>
    </w:p>
    <w:p w14:paraId="236D838A" w14:textId="77777777" w:rsidR="00893D9E" w:rsidRDefault="00893D9E" w:rsidP="00893D9E">
      <w:pPr>
        <w:keepNext/>
        <w:adjustRightInd w:val="0"/>
        <w:spacing w:after="0" w:line="240" w:lineRule="auto"/>
      </w:pPr>
    </w:p>
    <w:p w14:paraId="3B5C1382" w14:textId="77777777" w:rsidR="00893D9E" w:rsidRDefault="00893D9E" w:rsidP="00893D9E">
      <w:pPr>
        <w:keepNext/>
        <w:adjustRightInd w:val="0"/>
        <w:spacing w:after="0" w:line="240" w:lineRule="auto"/>
      </w:pPr>
      <w:r>
        <w:rPr>
          <w:noProof/>
          <w:lang w:val="en-GB" w:eastAsia="en-GB"/>
        </w:rPr>
        <w:drawing>
          <wp:inline distT="0" distB="0" distL="0" distR="0" wp14:anchorId="647F0F86" wp14:editId="798380D6">
            <wp:extent cx="6061710" cy="2802255"/>
            <wp:effectExtent l="0" t="0" r="0" b="4445"/>
            <wp:docPr id="62" name="Imagen 62" descr="Gráfico, 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47" descr="Gráfico, Escala de tiempo&#10;&#10;Descripción generada automáticamente"/>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061710" cy="2802255"/>
                    </a:xfrm>
                    <a:prstGeom prst="rect">
                      <a:avLst/>
                    </a:prstGeom>
                    <a:noFill/>
                  </pic:spPr>
                </pic:pic>
              </a:graphicData>
            </a:graphic>
          </wp:inline>
        </w:drawing>
      </w:r>
    </w:p>
    <w:p w14:paraId="56653BEA" w14:textId="77777777" w:rsidR="00893D9E" w:rsidRDefault="00893D9E" w:rsidP="00893D9E">
      <w:pPr>
        <w:keepNext/>
        <w:adjustRightInd w:val="0"/>
        <w:spacing w:after="0" w:line="240" w:lineRule="auto"/>
      </w:pPr>
    </w:p>
    <w:p w14:paraId="04B86A1C" w14:textId="77777777" w:rsidR="00893D9E" w:rsidRPr="00EF5AB2" w:rsidRDefault="00893D9E" w:rsidP="00EF5AB2">
      <w:pPr>
        <w:spacing w:after="0" w:line="240" w:lineRule="auto"/>
        <w:rPr>
          <w:i/>
          <w:sz w:val="18"/>
          <w:szCs w:val="18"/>
        </w:rPr>
      </w:pPr>
      <w:r w:rsidRPr="00EF5AB2">
        <w:rPr>
          <w:i/>
          <w:sz w:val="18"/>
          <w:szCs w:val="18"/>
        </w:rPr>
        <w:t xml:space="preserve">* Only two patients suffered pulmonary embolism related with study drugs. They were related with </w:t>
      </w:r>
      <w:proofErr w:type="spellStart"/>
      <w:r w:rsidRPr="00EF5AB2">
        <w:rPr>
          <w:i/>
          <w:sz w:val="18"/>
          <w:szCs w:val="18"/>
        </w:rPr>
        <w:t>Fulvestrant</w:t>
      </w:r>
      <w:proofErr w:type="spellEnd"/>
      <w:r w:rsidRPr="00EF5AB2">
        <w:rPr>
          <w:i/>
          <w:sz w:val="18"/>
          <w:szCs w:val="18"/>
        </w:rPr>
        <w:t>. The pulmonary embolism in the other patients were unrelated with study drugs.</w:t>
      </w:r>
    </w:p>
    <w:p w14:paraId="31CB6F71" w14:textId="77777777" w:rsidR="00893D9E" w:rsidRPr="00EF5AB2" w:rsidRDefault="00893D9E" w:rsidP="00EF5AB2">
      <w:pPr>
        <w:spacing w:after="0" w:line="240" w:lineRule="auto"/>
        <w:rPr>
          <w:i/>
          <w:sz w:val="18"/>
          <w:szCs w:val="18"/>
        </w:rPr>
      </w:pPr>
      <w:r w:rsidRPr="00EF5AB2">
        <w:rPr>
          <w:i/>
          <w:sz w:val="18"/>
          <w:szCs w:val="18"/>
        </w:rPr>
        <w:t xml:space="preserve">AE, Adverse event; </w:t>
      </w:r>
      <w:proofErr w:type="spellStart"/>
      <w:r w:rsidRPr="00EF5AB2">
        <w:rPr>
          <w:i/>
          <w:sz w:val="18"/>
          <w:szCs w:val="18"/>
        </w:rPr>
        <w:t>EoT</w:t>
      </w:r>
      <w:proofErr w:type="spellEnd"/>
      <w:r w:rsidRPr="00EF5AB2">
        <w:rPr>
          <w:i/>
          <w:sz w:val="18"/>
          <w:szCs w:val="18"/>
        </w:rPr>
        <w:t>, End of treatment; PE: Pulmonary embolism.</w:t>
      </w:r>
    </w:p>
    <w:p w14:paraId="55D4239C" w14:textId="6B8AB558" w:rsidR="00893D9E" w:rsidRDefault="00893D9E">
      <w:pPr>
        <w:spacing w:after="0" w:line="240" w:lineRule="auto"/>
        <w:jc w:val="left"/>
        <w:rPr>
          <w:b/>
          <w:caps/>
          <w:sz w:val="24"/>
          <w:szCs w:val="24"/>
        </w:rPr>
      </w:pPr>
      <w:r>
        <w:rPr>
          <w:b/>
          <w:caps/>
          <w:sz w:val="24"/>
          <w:szCs w:val="24"/>
        </w:rPr>
        <w:br w:type="page"/>
      </w:r>
    </w:p>
    <w:p w14:paraId="6001796C" w14:textId="45407BA4" w:rsidR="00977932" w:rsidRPr="004F0FE2" w:rsidRDefault="00977932" w:rsidP="005A7B1B">
      <w:pPr>
        <w:pStyle w:val="Ttulo1"/>
        <w:tabs>
          <w:tab w:val="clear" w:pos="426"/>
          <w:tab w:val="left" w:pos="0"/>
        </w:tabs>
        <w:ind w:left="0" w:firstLine="0"/>
      </w:pPr>
      <w:bookmarkStart w:id="781" w:name="_Toc52468196"/>
      <w:r w:rsidRPr="004F0FE2">
        <w:lastRenderedPageBreak/>
        <w:t>REFERENCES</w:t>
      </w:r>
      <w:bookmarkEnd w:id="715"/>
      <w:bookmarkEnd w:id="716"/>
      <w:bookmarkEnd w:id="781"/>
    </w:p>
    <w:p w14:paraId="339C141A" w14:textId="77777777" w:rsidR="00977932" w:rsidRPr="004F0FE2" w:rsidRDefault="00977932" w:rsidP="005A7B1B">
      <w:pPr>
        <w:pStyle w:val="Blank"/>
        <w:tabs>
          <w:tab w:val="left" w:pos="0"/>
        </w:tabs>
        <w:rPr>
          <w:rFonts w:ascii="Arial" w:hAnsi="Arial" w:cs="Arial"/>
        </w:rPr>
      </w:pPr>
    </w:p>
    <w:p w14:paraId="05BC0A8E" w14:textId="77777777" w:rsidR="00CD67E8" w:rsidRPr="004F0FE2" w:rsidRDefault="00980646" w:rsidP="00D17507">
      <w:pPr>
        <w:widowControl w:val="0"/>
        <w:autoSpaceDE w:val="0"/>
        <w:autoSpaceDN w:val="0"/>
        <w:adjustRightInd w:val="0"/>
        <w:spacing w:line="240" w:lineRule="auto"/>
        <w:ind w:left="426" w:right="283" w:hanging="426"/>
        <w:rPr>
          <w:szCs w:val="24"/>
        </w:rPr>
      </w:pPr>
      <w:r w:rsidRPr="004F0FE2">
        <w:fldChar w:fldCharType="begin" w:fldLock="1"/>
      </w:r>
      <w:r w:rsidRPr="004F0FE2">
        <w:instrText xml:space="preserve">ADDIN Mendeley Bibliography CSL_BIBLIOGRAPHY </w:instrText>
      </w:r>
      <w:r w:rsidRPr="004F0FE2">
        <w:fldChar w:fldCharType="separate"/>
      </w:r>
      <w:r w:rsidR="00CD67E8" w:rsidRPr="004F0FE2">
        <w:rPr>
          <w:szCs w:val="24"/>
        </w:rPr>
        <w:t xml:space="preserve">1. </w:t>
      </w:r>
      <w:r w:rsidR="00CD67E8" w:rsidRPr="004F0FE2">
        <w:rPr>
          <w:szCs w:val="24"/>
        </w:rPr>
        <w:tab/>
        <w:t xml:space="preserve">Eisenhauer EA, Therasse P, Bogaerts J, Schwartz LH, Sargent D, Ford R, et al. New response evaluation criteria in solid tumours: Revised RECIST guideline (version 1.1). </w:t>
      </w:r>
    </w:p>
    <w:p w14:paraId="19EDACA6"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2. </w:t>
      </w:r>
      <w:r w:rsidRPr="004F0FE2">
        <w:rPr>
          <w:szCs w:val="24"/>
        </w:rPr>
        <w:tab/>
        <w:t>Cancer Institute N. Common Terminology Criteria for Adverse Events (CTCAE) Version 4.0 [Internet]. 2009. Available from: http://www.meddramsso.com</w:t>
      </w:r>
    </w:p>
    <w:p w14:paraId="4E052596"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3. </w:t>
      </w:r>
      <w:r w:rsidRPr="004F0FE2">
        <w:rPr>
          <w:szCs w:val="24"/>
        </w:rPr>
        <w:tab/>
        <w:t>Diéras V, Rugo HS, Schnell P, Gelmon K, Cristofanilli M, Loi S, et al. Long-term pooled safety analysis of palbociclib in combination with endocrine therapy for HR1/HER2- Advanced breast cancer. J Natl Cancer Inst [Internet]. 2019 [cited 2020 Aug 11];111(4). Available from: https://pubmed.ncbi.nlm.nih.gov/30032196/</w:t>
      </w:r>
    </w:p>
    <w:p w14:paraId="367FB7B2"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4. </w:t>
      </w:r>
      <w:r w:rsidRPr="004F0FE2">
        <w:rPr>
          <w:szCs w:val="24"/>
        </w:rPr>
        <w:tab/>
        <w:t>DeSantis C, Ma J, Bryan L, Jemal A. Breast cancer statistics, 2013. CA Cancer J Clin [Internet]. 2014 Jan [cited 2020 Aug 4];64(1):52–62. Available from: https://pubmed.ncbi.nlm.nih.gov/24114568/</w:t>
      </w:r>
    </w:p>
    <w:p w14:paraId="5CB6F716"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5. </w:t>
      </w:r>
      <w:r w:rsidRPr="004F0FE2">
        <w:rPr>
          <w:szCs w:val="24"/>
        </w:rPr>
        <w:tab/>
        <w:t>Cardoso F, Senkus E, Costa A, Papadopoulos E, Aapro M, André F, et al. 4th ESO-ESMO International Consensus Guidelines for Advanced Breast Cancer (ABC 4) †. Available from: https://academic.oup.com/annonc/advance-article-abstract/doi/10.1093/annonc/mdy192/5055519</w:t>
      </w:r>
    </w:p>
    <w:p w14:paraId="7231F582"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6. </w:t>
      </w:r>
      <w:r w:rsidRPr="004F0FE2">
        <w:rPr>
          <w:szCs w:val="24"/>
        </w:rPr>
        <w:tab/>
        <w:t>Nabholtz JM, Buzdar A, Pollak M, Harwin W, Burton G, Mangalik A, et al. Anastrozole is superior to tamoxifen as first-line therapy for advanced breast cancer in postmenopausal women: Results of a North American multicenter randomized trial. J Clin Oncol [Internet]. 2000 Nov 15 [cited 2020 Aug 4];18(22):3758–67. Available from: https://pubmed.ncbi.nlm.nih.gov/11078488/</w:t>
      </w:r>
    </w:p>
    <w:p w14:paraId="01A4795C"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D73C99">
        <w:rPr>
          <w:szCs w:val="24"/>
          <w:lang w:val="es-ES"/>
        </w:rPr>
        <w:t xml:space="preserve">7. </w:t>
      </w:r>
      <w:r w:rsidRPr="00D73C99">
        <w:rPr>
          <w:szCs w:val="24"/>
          <w:lang w:val="es-ES"/>
        </w:rPr>
        <w:tab/>
        <w:t xml:space="preserve">Mouridsen H, Gershanovich M, Sun Y, Pérez-Carrión R, Boni C, Monnier A, et al. </w:t>
      </w:r>
      <w:r w:rsidRPr="004F0FE2">
        <w:rPr>
          <w:szCs w:val="24"/>
        </w:rPr>
        <w:t>Superior efficacy of letrozole versus tamoxifen as first-line therapy for postmenopausal women with advanced breast cancer: Results of a phase III study of the international letrozole breast cancer group. J Clin Oncol [Internet]. 2001 May 15 [cited 2020 Aug 4];19(10):2596–606. Available from: https://pubmed.ncbi.nlm.nih.gov/11352951/</w:t>
      </w:r>
    </w:p>
    <w:p w14:paraId="1DD07F16"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D73C99">
        <w:rPr>
          <w:szCs w:val="24"/>
          <w:lang w:val="es-ES"/>
        </w:rPr>
        <w:t xml:space="preserve">8. </w:t>
      </w:r>
      <w:r w:rsidRPr="00D73C99">
        <w:rPr>
          <w:szCs w:val="24"/>
          <w:lang w:val="es-ES"/>
        </w:rPr>
        <w:tab/>
        <w:t xml:space="preserve">Paridaens RJ, Dirix LY, Beex L V., Nooij M, Cameron DA, Cufer T, et al. </w:t>
      </w:r>
      <w:r w:rsidRPr="004F0FE2">
        <w:rPr>
          <w:szCs w:val="24"/>
        </w:rPr>
        <w:t>Phase III study comparing exemestane with tamoxifen as first-line hormonal treatment of metastatic breast cancer in postmenopausal women: The European Organisation for Research and Treatment of Cancer Breast Cancer Cooperative Group. J Clin Oncol [Internet]. 2008 Oct 20 [cited 2020 Aug 4];26(30):4883–90. Available from: https://pubmed.ncbi.nlm.nih.gov/18794551/</w:t>
      </w:r>
    </w:p>
    <w:p w14:paraId="62A83F77"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9. </w:t>
      </w:r>
      <w:r w:rsidRPr="004F0FE2">
        <w:rPr>
          <w:szCs w:val="24"/>
        </w:rPr>
        <w:tab/>
        <w:t>Thürlimann B, Hess D, Köberle D, Senn I, Ballabeni P, Pagani O, et al. Anastrozole ('Arimidex’) versus tamoxifen as first-line therapy in postmenopausal women with advanced breast cancer: Results of the double-blind cross-over SAKK trial 21/95 - A sub-study of the TARGET (Tamoxifen or “Arimidex” Randomized Group Efficacy and Tolerability) trial. Breast Cancer Res Treat [Internet]. 2004 Jun [cited 2020 Aug 4];85(3):247–54. Available from: https://pubmed.ncbi.nlm.nih.gov/15111763/</w:t>
      </w:r>
    </w:p>
    <w:p w14:paraId="6B97A0B7"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10. </w:t>
      </w:r>
      <w:r w:rsidRPr="004F0FE2">
        <w:rPr>
          <w:szCs w:val="24"/>
        </w:rPr>
        <w:tab/>
        <w:t xml:space="preserve">Finn RS, Martin M, Rugo HS, Jones SE, Im S-A, Gelmon KA, et al. PALOMA-2: Primary results from a phase III trial of palbociclib (P) with letrozole (L) compared with letrozole alone in postmenopausal women with ER+/HER2– advanced breast cancer (ABC). J Clin Oncol. 2016 May 20;34(15_suppl):507–507. </w:t>
      </w:r>
    </w:p>
    <w:p w14:paraId="32FD84F7"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11. </w:t>
      </w:r>
      <w:r w:rsidRPr="004F0FE2">
        <w:rPr>
          <w:szCs w:val="24"/>
        </w:rPr>
        <w:tab/>
        <w:t>Hortobagyi GN, Stemmer SM, Burris HA, Yap YS, Sonke GS, Paluch-Shimon S, et al. Ribociclib as first-line therapy for HR-positive, advanced breast cancer. N Engl J Med [Internet]. 2016 Nov 3 [cited 2020 Aug 4];375(18):1738–48. Available from: https://pubmed.ncbi.nlm.nih.gov/27717303/</w:t>
      </w:r>
    </w:p>
    <w:p w14:paraId="42E2D491"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12. </w:t>
      </w:r>
      <w:r w:rsidRPr="004F0FE2">
        <w:rPr>
          <w:szCs w:val="24"/>
        </w:rPr>
        <w:tab/>
        <w:t>Im SA, Lu YS, Bardia A, Harbeck N, Colleoni M, Franke F, et al. Overall survival with ribociclib plus endocrine therapy in breast cancer. N Engl J Med [Internet]. 2019 Jul 25 [cited 2020 Aug 4];381(4):307–16. Available from: https://pubmed.ncbi.nlm.nih.gov/31166679/</w:t>
      </w:r>
    </w:p>
    <w:p w14:paraId="13019A8A"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13. </w:t>
      </w:r>
      <w:r w:rsidRPr="004F0FE2">
        <w:rPr>
          <w:szCs w:val="24"/>
        </w:rPr>
        <w:tab/>
        <w:t xml:space="preserve">Goetz MP, Toi M, Campone M, Trédan O, Bourayou N, Sohn J, et al. MONARCH 3: Abemaciclib as initial therapy for advanced breast cancer. J Clin Oncol [Internet]. 2017 Nov 10 [cited 2020 Aug </w:t>
      </w:r>
      <w:r w:rsidRPr="004F0FE2">
        <w:rPr>
          <w:szCs w:val="24"/>
        </w:rPr>
        <w:lastRenderedPageBreak/>
        <w:t>4];35(32):3638–46. Available from: https://pubmed.ncbi.nlm.nih.gov/28968163/</w:t>
      </w:r>
    </w:p>
    <w:p w14:paraId="3F926E22"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D73C99">
        <w:rPr>
          <w:szCs w:val="24"/>
          <w:lang w:val="es-ES"/>
        </w:rPr>
        <w:t xml:space="preserve">14. </w:t>
      </w:r>
      <w:r w:rsidRPr="00D73C99">
        <w:rPr>
          <w:szCs w:val="24"/>
          <w:lang w:val="es-ES"/>
        </w:rPr>
        <w:tab/>
        <w:t xml:space="preserve">Rugo HS, Finn RS, Diéras V, Ettl J, Lipatov O, Joy AA, et al. </w:t>
      </w:r>
      <w:r w:rsidRPr="004F0FE2">
        <w:rPr>
          <w:szCs w:val="24"/>
        </w:rPr>
        <w:t>Palbociclib plus letrozole as first-line therapy in estrogen receptor-positive/human epidermal growth factor receptor 2-negative advanced breast cancer with extended follow-up. Breast Cancer Res Treat [Internet]. 2019 Apr 30 [cited 2020 Aug 4];174(3):719–29. Available from: https://pubmed.ncbi.nlm.nih.gov/30632023/</w:t>
      </w:r>
    </w:p>
    <w:p w14:paraId="6F97EB8F"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15. </w:t>
      </w:r>
      <w:r w:rsidRPr="004F0FE2">
        <w:rPr>
          <w:szCs w:val="24"/>
        </w:rPr>
        <w:tab/>
        <w:t>Finn RS, Martin M, Rugo HS, Jones S, Im SA, Gelmon K, et al. Palbociclib and letrozole in advanced breast cancer. N Engl J Med [Internet]. 2016 Nov 17 [cited 2020 Aug 4];375(20):1925–36. Available from: https://pubmed.ncbi.nlm.nih.gov/27959613/</w:t>
      </w:r>
    </w:p>
    <w:p w14:paraId="3234CBA7"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16. </w:t>
      </w:r>
      <w:r w:rsidRPr="004F0FE2">
        <w:rPr>
          <w:szCs w:val="24"/>
        </w:rPr>
        <w:tab/>
        <w:t>Turner NC, Slamon DJ, Ro J, Bondarenko I, Im SA, Masuda N, et al. Overall survival with palbociclib and fulvestrant in advanced breast cancer. N Engl J Med [Internet]. 2018 Nov 15 [cited 2020 Aug 4];379(20):1926–36. Available from: https://pubmed.ncbi.nlm.nih.gov/30345905/</w:t>
      </w:r>
    </w:p>
    <w:p w14:paraId="2E75A581"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17. </w:t>
      </w:r>
      <w:r w:rsidRPr="004F0FE2">
        <w:rPr>
          <w:szCs w:val="24"/>
        </w:rPr>
        <w:tab/>
        <w:t>Sledge GW, Toi M, Neven P, Sohn J, Inoue K, Pivot X, et al. MONARCH 2: Abemaciclib in combination with fulvestrant in women with HR+/HER2-advanced breast cancer who had progressed while receiving endocrine therapy. J Clin Oncol [Internet]. 2017 Sep 1 [cited 2020 Aug 4];35(25):2875–84. Available from: https://pubmed.ncbi.nlm.nih.gov/28580882/</w:t>
      </w:r>
    </w:p>
    <w:p w14:paraId="725B058D"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18. </w:t>
      </w:r>
      <w:r w:rsidRPr="004F0FE2">
        <w:rPr>
          <w:szCs w:val="24"/>
        </w:rPr>
        <w:tab/>
        <w:t>Sledge GW, Toi M, Neven P, Sohn J, Inoue K, Pivot X, et al. The Effect of Abemaciclib Plus Fulvestrant on Overall Survival in Hormone Receptor-Positive, ERBB2-Negative Breast Cancer That Progressed on Endocrine Therapy - MONARCH 2: A Randomized Clinical Trial. JAMA Oncol [Internet]. 2020 Jan 1 [cited 2020 Aug 4];6(1):116–24. Available from: https://jamanetwork.com/</w:t>
      </w:r>
    </w:p>
    <w:p w14:paraId="28F0DB33"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19. </w:t>
      </w:r>
      <w:r w:rsidRPr="004F0FE2">
        <w:rPr>
          <w:szCs w:val="24"/>
        </w:rPr>
        <w:tab/>
        <w:t>Finn RS, Dering J, Conklin D, Kalous O, Cohen DJ, Desai AJ, et al. PD 0332991, a selective cyclin D kinase 4/6 inhibitor, preferentially inhibits proliferation of luminal estrogen receptor-positive human breast cancer cell lines in vitro. Breast Cancer Res [Internet]. 2009 Oct 29 [cited 2020 Aug 4];11(5):R77. Available from: /pmc/articles/PMC2790859/?report=abstract</w:t>
      </w:r>
    </w:p>
    <w:p w14:paraId="3B15F970"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20. </w:t>
      </w:r>
      <w:r w:rsidRPr="004F0FE2">
        <w:rPr>
          <w:szCs w:val="24"/>
        </w:rPr>
        <w:tab/>
        <w:t xml:space="preserve">Fry DW, Harvey PJ, Keller PR, Elliott WL, Meade M, Trachet E, et al. Specific inhibition of cyclin-dependent kinase 4/6 by PD 0332991 and associated antitumor activity in human tumor xenografts. Vol. 3, Mol Cancer Ther. 2004. </w:t>
      </w:r>
    </w:p>
    <w:p w14:paraId="550F0338"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21. </w:t>
      </w:r>
      <w:r w:rsidRPr="004F0FE2">
        <w:rPr>
          <w:szCs w:val="24"/>
        </w:rPr>
        <w:tab/>
        <w:t>Rocca A, Farolfi A, Bravaccini S, Schirone A, Amadori D. Palbociclib (PD 0332991): Targeting the cell cycle machinery in breast cancer. Expert Opin Pharmacother [Internet]. 2014 Feb [cited 2020 Aug 4];15(3):407–20. Available from: https://pubmed.ncbi.nlm.nih.gov/24369047/</w:t>
      </w:r>
    </w:p>
    <w:p w14:paraId="3BFB6AC3"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22. </w:t>
      </w:r>
      <w:r w:rsidRPr="004F0FE2">
        <w:rPr>
          <w:szCs w:val="24"/>
        </w:rPr>
        <w:tab/>
        <w:t>Bose P, Simmons GL, Grant S. Cyclin-dependent kinase inhibitor therapy for hematologic malignancies [Internet]. Vol. 22, Expert Opinion on Investigational Drugs. Expert Opin Investig Drugs; 2013 [cited 2020 Aug 4]. p. 723–38. Available from: https://pubmed.ncbi.nlm.nih.gov/23647051/</w:t>
      </w:r>
    </w:p>
    <w:p w14:paraId="373B9880"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23. </w:t>
      </w:r>
      <w:r w:rsidRPr="004F0FE2">
        <w:rPr>
          <w:szCs w:val="24"/>
        </w:rPr>
        <w:tab/>
        <w:t>Finn R, Crown J, Lang I, Boer K, Bondarenko I, Kulyk S, et al. Abstract S1-6: Results of a randomized phase 2 study of PD 0332991, a cyclin-dependent kinase (CDK) 4/6 inhibitor, in combination with letrozole vs letrozole alone for first-line treatment of ER+/HER2− advanced breast cancer (BC). In: Cancer Research [Internet]. American Association for Cancer Research (AACR); 2012 [cited 2020 Aug 4]. p. S1-6-S1-6. Available from: https://cancerres.aacrjournals.org/content/72/24_Supplement/S1-6</w:t>
      </w:r>
    </w:p>
    <w:p w14:paraId="0456424B"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24. </w:t>
      </w:r>
      <w:r w:rsidRPr="004F0FE2">
        <w:rPr>
          <w:szCs w:val="24"/>
        </w:rPr>
        <w:tab/>
        <w:t>Finn RS, Crown JP, Lang I, Boer K, Bondarenko IM, Kulyk SO, et al. The cyclin-dependent kinase 4/6 inhibitor palbociclib in combination with letrozole versus letrozole alone as first-line treatment of oestrogen receptor-positive, HER2-negative, advanced breast cancer (PALOMA-1/TRIO-18): A randomised phase 2 study. Lancet Oncol [Internet]. 2015 [cited 2020 Aug 14];16(1):25–35. Available from: https://pubmed.ncbi.nlm.nih.gov/25524798/</w:t>
      </w:r>
    </w:p>
    <w:p w14:paraId="7C39D7E9"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25. </w:t>
      </w:r>
      <w:r w:rsidRPr="004F0FE2">
        <w:rPr>
          <w:szCs w:val="24"/>
        </w:rPr>
        <w:tab/>
        <w:t>A Study of Palbociclib (PD-0332991) + Letrozole vs. Letrozole For 1st Line Treatment Of Postmenopausal Women With ER+/HER2- Advanced Breast Cancer (PALOMA-2) - Full Text View - ClinicalTrials.gov [Internet]. [cited 2020 Aug 4]. Available from: https://clinicaltrials.gov/ct2/show/NCT01740427</w:t>
      </w:r>
    </w:p>
    <w:p w14:paraId="521D0D57"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26. </w:t>
      </w:r>
      <w:r w:rsidRPr="004F0FE2">
        <w:rPr>
          <w:szCs w:val="24"/>
        </w:rPr>
        <w:tab/>
        <w:t xml:space="preserve">Cristofanilli M, Turner NC, Bondarenko I, Ro J, Im SA, Masuda N, et al. Fulvestrant plus palbociclib </w:t>
      </w:r>
      <w:r w:rsidRPr="004F0FE2">
        <w:rPr>
          <w:szCs w:val="24"/>
        </w:rPr>
        <w:lastRenderedPageBreak/>
        <w:t>versus fulvestrant plus placebo for treatment of hormone-receptor-positive, HER2-negative metastatic breast cancer that progressed on previous endocrine therapy (PALOMA-3): final analysis of the multicentre, double-blind, phase 3 randomised controlled trial. Lancet Oncol [Internet]. 2016 Apr 1 [cited 2020 Aug 4];17(4):425–39. Available from: https://pubmed.ncbi.nlm.nih.gov/26947331/</w:t>
      </w:r>
    </w:p>
    <w:p w14:paraId="3F959AA6"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27. </w:t>
      </w:r>
      <w:r w:rsidRPr="004F0FE2">
        <w:rPr>
          <w:szCs w:val="24"/>
        </w:rPr>
        <w:tab/>
        <w:t>Di Leo A, Jerusalem G, Petruzelka L, Torres R, Bondarenko IN, Khasanov R, et al. Results of the CONFIRM phase III trial comparing fulvestrant 250 mg with fulvestrant 500 mg in postmenopausal women with estrogen receptor-positive advanced breast cancer. J Clin Oncol [Internet]. 2010 Oct 20 [cited 2020 Aug 4];28(30):4594–600. Available from: https://pubmed.ncbi.nlm.nih.gov/20855825/</w:t>
      </w:r>
    </w:p>
    <w:p w14:paraId="695A9630"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28. </w:t>
      </w:r>
      <w:r w:rsidRPr="004F0FE2">
        <w:rPr>
          <w:szCs w:val="24"/>
        </w:rPr>
        <w:tab/>
        <w:t xml:space="preserve">Wakeling AE, Dukes M, Bowler J. A Potent Specific Pure Antiestrogen with Clinical Potential. Cancer Res. 1991;51(15). </w:t>
      </w:r>
    </w:p>
    <w:p w14:paraId="53409F01"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29. </w:t>
      </w:r>
      <w:r w:rsidRPr="004F0FE2">
        <w:rPr>
          <w:szCs w:val="24"/>
        </w:rPr>
        <w:tab/>
        <w:t xml:space="preserve">DeFriend DJ, Howell A, Nicholson RI, Anderson E, Dowsett M, Mansel RE, et al. Investigation of a New Pure Antiestrogen (ICI 182780) in Women with Primary Breast Cancer. Cancer Res. 1994;54(2). </w:t>
      </w:r>
    </w:p>
    <w:p w14:paraId="7120D4F5"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30. </w:t>
      </w:r>
      <w:r w:rsidRPr="004F0FE2">
        <w:rPr>
          <w:szCs w:val="24"/>
        </w:rPr>
        <w:tab/>
        <w:t>Dodwell D, Coombes G, Bliss JM, Kilburn LS, Johnston S. Combining Fulvestrant (Faslodex</w:t>
      </w:r>
      <w:r w:rsidRPr="004F0FE2">
        <w:rPr>
          <w:szCs w:val="24"/>
          <w:vertAlign w:val="superscript"/>
        </w:rPr>
        <w:t>TM</w:t>
      </w:r>
      <w:r w:rsidRPr="004F0FE2">
        <w:rPr>
          <w:szCs w:val="24"/>
        </w:rPr>
        <w:t>) with Continued Oestrogen Suppression in Endocrine-sensitive Advanced Breast Cancer: the SoFEA Trial [Internet]. Vol. 20, Clinical Oncology. Clin Oncol (R Coll Radiol); 2008 [cited 2020 Aug 4]. p. 321–4. Available from: https://pubmed.ncbi.nlm.nih.gov/18387790/</w:t>
      </w:r>
    </w:p>
    <w:p w14:paraId="1396B4EA"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31. </w:t>
      </w:r>
      <w:r w:rsidRPr="004F0FE2">
        <w:rPr>
          <w:szCs w:val="24"/>
        </w:rPr>
        <w:tab/>
        <w:t>Robertson JFR, Llombart-Cussac A, Rolski J, Feltl D, Dewar J, Macpherson E, et al. Activity of fulvestrant 500 mg versus anastrozole 1 mg as first-line treatment for advanced breast cancer: Results from the FIRST study. J Clin Oncol [Internet]. 2009 Sep 20 [cited 2020 Aug 4];27(27):4530–5. Available from: https://pubmed.ncbi.nlm.nih.gov/19704066/</w:t>
      </w:r>
    </w:p>
    <w:p w14:paraId="17A73CDE"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32. </w:t>
      </w:r>
      <w:r w:rsidRPr="004F0FE2">
        <w:rPr>
          <w:szCs w:val="24"/>
        </w:rPr>
        <w:tab/>
        <w:t>Robertson JFR, Bondarenko IM, Trishkina E, Dvorkin M, Panasci L, Manikhas A, et al. Fulvestrant 500 mg versus anastrozole 1 mg for hormone receptor-positive advanced breast cancer (FALCON): an international, randomised, double-blind, phase 3 trial. Lancet [Internet]. 2016 Dec 17 [cited 2020 Aug 4];388(10063):2997–3005. Available from: https://pubmed.ncbi.nlm.nih.gov/27908454/</w:t>
      </w:r>
    </w:p>
    <w:p w14:paraId="05D6CB8C"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33. </w:t>
      </w:r>
      <w:r w:rsidRPr="004F0FE2">
        <w:rPr>
          <w:szCs w:val="24"/>
        </w:rPr>
        <w:tab/>
        <w:t xml:space="preserve">Ellis MJ, Bondarenko I, Trishkina E, Dvorkin M, Panasci L, Manikhas A, et al. late-breaking and deferred publication abstracts LBA14 PR FALCON: A phase III randomised trial of fulvestrant 500 mg vs. anastrozole for hormone receptor-positive advanced breast cancer. Abstr B 41st ESMO Congr (ESMO 2016), 7-11 Oct 2016, Copenhagen, Denmark. 2016;27:vi554. </w:t>
      </w:r>
    </w:p>
    <w:p w14:paraId="1C4B647F"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34. </w:t>
      </w:r>
      <w:r w:rsidRPr="004F0FE2">
        <w:rPr>
          <w:szCs w:val="24"/>
        </w:rPr>
        <w:tab/>
        <w:t>Slamon DJ, Neven P, Chia S, Fasching PA, De Laurentiis M, Im SA, et al. Overall survival with ribociclib plus fulvestrant in advanced breast cancer. N Engl J Med [Internet]. 2020 Feb 6 [cited 2020 Aug 4];382(6):514–24. Available from: https://pubmed.ncbi.nlm.nih.gov/31826360/</w:t>
      </w:r>
    </w:p>
    <w:p w14:paraId="135B1D2D"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35. </w:t>
      </w:r>
      <w:r w:rsidRPr="004F0FE2">
        <w:rPr>
          <w:szCs w:val="24"/>
        </w:rPr>
        <w:tab/>
        <w:t>ECOG Performance Status - ECOG-ACRIN [Internet]. [cited 2020 Aug 6]. Available from: https://ecog-acrin.org/resources/ecog-performance-status</w:t>
      </w:r>
    </w:p>
    <w:p w14:paraId="297B144D"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36. </w:t>
      </w:r>
      <w:r w:rsidRPr="004F0FE2">
        <w:rPr>
          <w:szCs w:val="24"/>
        </w:rPr>
        <w:tab/>
        <w:t>Medicines Agency E. The European Agency for the Evaluation of Medicinal Products Evaluation of Medicines for Human Use [Internet]. 2000. Available from: http://www.eudra.org/emea.html</w:t>
      </w:r>
    </w:p>
    <w:p w14:paraId="71C6965A"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37. </w:t>
      </w:r>
      <w:r w:rsidRPr="004F0FE2">
        <w:rPr>
          <w:szCs w:val="24"/>
        </w:rPr>
        <w:tab/>
        <w:t>Fda, Cder, buckmans. Non-Inferiority Clinical Trials to Establish Effectiveness Guidance for Industry [Internet]. 2016. Available from: http://www.fda.gov/Drugs/GuidanceComplianceRegulatoryInformation/Guidances/default.htmand/orhttp://www.fda.gov/BiologicsBloodVaccines/GuidanceComplianceRegulatoryInformation/Guidances/default.htm</w:t>
      </w:r>
    </w:p>
    <w:p w14:paraId="6A82E65D"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t xml:space="preserve">38. </w:t>
      </w:r>
      <w:r w:rsidRPr="004F0FE2">
        <w:rPr>
          <w:szCs w:val="24"/>
        </w:rPr>
        <w:tab/>
        <w:t>Lachin JM, Foulkes MA. Evaluation of Sample Size and Power for Analyses of Survival with Allowance for Nonuniform Patient Entry, Losses to Follow-Up, Noncompliance, and Stratification. Biometrics [Internet]. 1986 Sep 1 [cited 2020 Aug 6];42(3):507. Available from: https://www.jstor.org/stable/2531201?origin=crossref</w:t>
      </w:r>
    </w:p>
    <w:p w14:paraId="3ACC7EBD"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D73C99">
        <w:rPr>
          <w:szCs w:val="24"/>
          <w:lang w:val="es-ES"/>
        </w:rPr>
        <w:t xml:space="preserve">39. </w:t>
      </w:r>
      <w:r w:rsidRPr="00D73C99">
        <w:rPr>
          <w:szCs w:val="24"/>
          <w:lang w:val="es-ES"/>
        </w:rPr>
        <w:tab/>
        <w:t xml:space="preserve">André F, Ciruelos E, Rubovszky G, Campone M, Loibl S, Rugo HS, et al. </w:t>
      </w:r>
      <w:r w:rsidRPr="004F0FE2">
        <w:rPr>
          <w:szCs w:val="24"/>
        </w:rPr>
        <w:t xml:space="preserve">Alpelisib for </w:t>
      </w:r>
      <w:r w:rsidRPr="004F0FE2">
        <w:rPr>
          <w:i/>
          <w:iCs/>
          <w:szCs w:val="24"/>
        </w:rPr>
        <w:t>PIK3CA</w:t>
      </w:r>
      <w:r w:rsidRPr="004F0FE2">
        <w:rPr>
          <w:szCs w:val="24"/>
        </w:rPr>
        <w:t xml:space="preserve"> -Mutated, Hormone Receptor–Positive Advanced Breast Cancer. N Engl J Med [Internet]. 2019 May 16 [cited 2020 Aug 13];380(20):1929–40. Available from: http://www.nejm.org/doi/10.1056/NEJMoa1813904</w:t>
      </w:r>
    </w:p>
    <w:p w14:paraId="5226E34A" w14:textId="77777777" w:rsidR="00CD67E8" w:rsidRPr="004F0FE2" w:rsidRDefault="00CD67E8" w:rsidP="00D17507">
      <w:pPr>
        <w:widowControl w:val="0"/>
        <w:autoSpaceDE w:val="0"/>
        <w:autoSpaceDN w:val="0"/>
        <w:adjustRightInd w:val="0"/>
        <w:spacing w:line="240" w:lineRule="auto"/>
        <w:ind w:left="426" w:right="283" w:hanging="426"/>
        <w:rPr>
          <w:szCs w:val="24"/>
        </w:rPr>
      </w:pPr>
      <w:r w:rsidRPr="004F0FE2">
        <w:rPr>
          <w:szCs w:val="24"/>
        </w:rPr>
        <w:lastRenderedPageBreak/>
        <w:t xml:space="preserve">40. </w:t>
      </w:r>
      <w:r w:rsidRPr="004F0FE2">
        <w:rPr>
          <w:szCs w:val="24"/>
        </w:rPr>
        <w:tab/>
        <w:t>Turner NC, Ro J, André F, Loi S, Verma S, Iwata H, et al. Palbociclib in hormone-receptor-positive advanced breast cancer. N Engl J Med [Internet]. 2015 Jul 16 [cited 2020 Aug 14];373(3):209–19. Available from: https://pubmed.ncbi.nlm.nih.gov/26030518/</w:t>
      </w:r>
    </w:p>
    <w:p w14:paraId="545BBCB0" w14:textId="36CFAB30" w:rsidR="00826737" w:rsidRDefault="00CD67E8" w:rsidP="00576FE1">
      <w:pPr>
        <w:widowControl w:val="0"/>
        <w:autoSpaceDE w:val="0"/>
        <w:autoSpaceDN w:val="0"/>
        <w:adjustRightInd w:val="0"/>
        <w:spacing w:line="240" w:lineRule="auto"/>
        <w:ind w:left="426" w:right="283" w:hanging="426"/>
        <w:rPr>
          <w:szCs w:val="24"/>
        </w:rPr>
      </w:pPr>
      <w:r w:rsidRPr="004F0FE2">
        <w:rPr>
          <w:szCs w:val="24"/>
        </w:rPr>
        <w:t xml:space="preserve">41. </w:t>
      </w:r>
      <w:r w:rsidRPr="004F0FE2">
        <w:rPr>
          <w:szCs w:val="24"/>
        </w:rPr>
        <w:tab/>
        <w:t>Vuppalanchi R, Saxena R, Storniolo AM V., Chalasani N. Pseudocirrhosis and liver failure in patients with metastatic breast cancer after treatment with palbociclib [Internet]. Vol. 65, Hepatology. John Wiley and Sons Inc.; 2017 [cited 2020 Aug 14]. p. 1762–4. Available from: http://doi.wiley.com/10.1002/hep.28720</w:t>
      </w:r>
      <w:r w:rsidR="00826737">
        <w:rPr>
          <w:szCs w:val="24"/>
        </w:rPr>
        <w:t>.</w:t>
      </w:r>
    </w:p>
    <w:p w14:paraId="6F69677F" w14:textId="402F8B25" w:rsidR="00D27007" w:rsidRPr="00B04639" w:rsidRDefault="00980646" w:rsidP="00B04639">
      <w:pPr>
        <w:pStyle w:val="Blank"/>
        <w:tabs>
          <w:tab w:val="left" w:pos="0"/>
          <w:tab w:val="decimal" w:pos="298"/>
        </w:tabs>
      </w:pPr>
      <w:r w:rsidRPr="004F0FE2">
        <w:fldChar w:fldCharType="end"/>
      </w:r>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sectPr w:rsidR="00D27007" w:rsidRPr="00B04639" w:rsidSect="00D27007">
      <w:pgSz w:w="12240" w:h="15840" w:code="1"/>
      <w:pgMar w:top="1134" w:right="1134" w:bottom="1134" w:left="1560" w:header="1151" w:footer="85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13EE27" w14:textId="77777777" w:rsidR="00C65F3E" w:rsidRDefault="00C65F3E" w:rsidP="00CA72DB">
      <w:r>
        <w:separator/>
      </w:r>
    </w:p>
    <w:p w14:paraId="10A4387F" w14:textId="77777777" w:rsidR="00C65F3E" w:rsidRDefault="00C65F3E" w:rsidP="00CA72DB"/>
  </w:endnote>
  <w:endnote w:type="continuationSeparator" w:id="0">
    <w:p w14:paraId="40427064" w14:textId="77777777" w:rsidR="00C65F3E" w:rsidRDefault="00C65F3E" w:rsidP="00CA72DB">
      <w:r>
        <w:continuationSeparator/>
      </w:r>
    </w:p>
    <w:p w14:paraId="4FDE803F" w14:textId="77777777" w:rsidR="00C65F3E" w:rsidRDefault="00C65F3E" w:rsidP="00CA72DB"/>
  </w:endnote>
  <w:endnote w:type="continuationNotice" w:id="1">
    <w:p w14:paraId="3DF3F646" w14:textId="77777777" w:rsidR="00C65F3E" w:rsidRDefault="00C65F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Times New Roman Bold">
    <w:altName w:val="Times New Roman"/>
    <w:panose1 w:val="020B0604020202020204"/>
    <w:charset w:val="00"/>
    <w:family w:val="roman"/>
    <w:notTrueType/>
    <w:pitch w:val="default"/>
    <w:sig w:usb0="00000003" w:usb1="00000000" w:usb2="00000000" w:usb3="00000000" w:csb0="00000001" w:csb1="00000000"/>
  </w:font>
  <w:font w:name="OTNEJMQuadraat">
    <w:altName w:val="MS PMincho"/>
    <w:panose1 w:val="020B0604020202020204"/>
    <w:charset w:val="80"/>
    <w:family w:val="roman"/>
    <w:notTrueType/>
    <w:pitch w:val="default"/>
    <w:sig w:usb0="00000001" w:usb1="08070000" w:usb2="00000010" w:usb3="00000000" w:csb0="00020000" w:csb1="00000000"/>
  </w:font>
  <w:font w:name="ArialMT">
    <w:altName w:val="Arial"/>
    <w:panose1 w:val="020B0604020202020204"/>
    <w:charset w:val="80"/>
    <w:family w:val="auto"/>
    <w:notTrueType/>
    <w:pitch w:val="default"/>
    <w:sig w:usb0="00000003" w:usb1="08070000" w:usb2="00000010" w:usb3="00000000" w:csb0="00020001" w:csb1="00000000"/>
  </w:font>
  <w:font w:name="TimesNewRoman">
    <w:altName w:val="Times New Roman"/>
    <w:panose1 w:val="020B0604020202020204"/>
    <w:charset w:val="00"/>
    <w:family w:val="roman"/>
    <w:pitch w:val="variable"/>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0D6522" w14:textId="77777777" w:rsidR="00F57DAA" w:rsidRDefault="00F57DAA">
    <w:pPr>
      <w:pStyle w:val="Piedepgina"/>
      <w:framePr w:wrap="around" w:vAnchor="text" w:hAnchor="margin" w:xAlign="right" w:y="1"/>
    </w:pPr>
    <w:r>
      <w:rPr>
        <w:rStyle w:val="Nmerodepgina"/>
      </w:rPr>
      <w:fldChar w:fldCharType="begin"/>
    </w:r>
    <w:r>
      <w:rPr>
        <w:rStyle w:val="Nmerodepgina"/>
      </w:rPr>
      <w:instrText xml:space="preserve">PAGE  </w:instrText>
    </w:r>
    <w:r>
      <w:rPr>
        <w:rStyle w:val="Nmerodepgina"/>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FA59A" w14:textId="13E3DE4E" w:rsidR="00F57DAA" w:rsidRPr="00D53779" w:rsidRDefault="00F57DAA" w:rsidP="00E47CC2">
    <w:pPr>
      <w:pStyle w:val="Blank"/>
      <w:rPr>
        <w:rFonts w:ascii="Arial" w:hAnsi="Arial" w:cs="Arial"/>
      </w:rPr>
    </w:pPr>
    <w:r w:rsidRPr="00367B80">
      <w:rPr>
        <w:rFonts w:ascii="Arial" w:hAnsi="Arial" w:cs="Arial"/>
        <w:sz w:val="18"/>
        <w:szCs w:val="18"/>
      </w:rPr>
      <w:t xml:space="preserve">Abbreviated </w:t>
    </w:r>
    <w:r w:rsidRPr="00111A2B">
      <w:rPr>
        <w:rFonts w:ascii="Arial" w:hAnsi="Arial" w:cs="Arial"/>
      </w:rPr>
      <w:t>Clinical Study Report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D53779">
      <w:rPr>
        <w:rFonts w:ascii="Arial" w:hAnsi="Arial" w:cs="Arial"/>
      </w:rPr>
      <w:t xml:space="preserve">Page </w:t>
    </w:r>
    <w:r w:rsidRPr="00D53779">
      <w:rPr>
        <w:rFonts w:ascii="Arial" w:hAnsi="Arial" w:cs="Arial"/>
      </w:rPr>
      <w:fldChar w:fldCharType="begin"/>
    </w:r>
    <w:r w:rsidRPr="00D53779">
      <w:rPr>
        <w:rFonts w:ascii="Arial" w:hAnsi="Arial" w:cs="Arial"/>
      </w:rPr>
      <w:instrText xml:space="preserve"> PAGE </w:instrText>
    </w:r>
    <w:r w:rsidRPr="00D53779">
      <w:rPr>
        <w:rFonts w:ascii="Arial" w:hAnsi="Arial" w:cs="Arial"/>
      </w:rPr>
      <w:fldChar w:fldCharType="separate"/>
    </w:r>
    <w:r w:rsidR="00BE21BA">
      <w:rPr>
        <w:rFonts w:ascii="Arial" w:hAnsi="Arial" w:cs="Arial"/>
        <w:noProof/>
      </w:rPr>
      <w:t>13</w:t>
    </w:r>
    <w:r w:rsidRPr="00D53779">
      <w:rPr>
        <w:rFonts w:ascii="Arial" w:hAnsi="Arial" w:cs="Arial"/>
      </w:rPr>
      <w:fldChar w:fldCharType="end"/>
    </w:r>
    <w:r w:rsidRPr="00D53779">
      <w:rPr>
        <w:rFonts w:ascii="Arial" w:hAnsi="Arial" w:cs="Arial"/>
      </w:rPr>
      <w:t xml:space="preserve"> of </w:t>
    </w:r>
    <w:r w:rsidRPr="00D53779">
      <w:rPr>
        <w:rFonts w:ascii="Arial" w:hAnsi="Arial" w:cs="Arial"/>
      </w:rPr>
      <w:fldChar w:fldCharType="begin"/>
    </w:r>
    <w:r w:rsidRPr="00D53779">
      <w:rPr>
        <w:rFonts w:ascii="Arial" w:hAnsi="Arial" w:cs="Arial"/>
      </w:rPr>
      <w:instrText xml:space="preserve"> NUMPAGES </w:instrText>
    </w:r>
    <w:r w:rsidRPr="00D53779">
      <w:rPr>
        <w:rFonts w:ascii="Arial" w:hAnsi="Arial" w:cs="Arial"/>
      </w:rPr>
      <w:fldChar w:fldCharType="separate"/>
    </w:r>
    <w:r w:rsidR="00BE21BA">
      <w:rPr>
        <w:rFonts w:ascii="Arial" w:hAnsi="Arial" w:cs="Arial"/>
        <w:noProof/>
      </w:rPr>
      <w:t>95</w:t>
    </w:r>
    <w:r w:rsidRPr="00D53779">
      <w:rPr>
        <w:rFonts w:ascii="Arial" w:hAnsi="Arial" w:cs="Arial"/>
      </w:rPr>
      <w:fldChar w:fldCharType="end"/>
    </w:r>
  </w:p>
  <w:p w14:paraId="32682334" w14:textId="77777777" w:rsidR="00F57DAA" w:rsidRDefault="00F57DAA">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2"/>
      </w:rPr>
      <w:id w:val="-1413541460"/>
      <w:docPartObj>
        <w:docPartGallery w:val="Page Numbers (Bottom of Page)"/>
        <w:docPartUnique/>
      </w:docPartObj>
    </w:sdtPr>
    <w:sdtEndPr/>
    <w:sdtContent>
      <w:p w14:paraId="5D84370F" w14:textId="215A5D9B" w:rsidR="00F57DAA" w:rsidRPr="00E237BD" w:rsidRDefault="00F57DAA" w:rsidP="00E237BD">
        <w:pPr>
          <w:pStyle w:val="Textonotapie"/>
          <w:rPr>
            <w:rFonts w:ascii="Arial" w:hAnsi="Arial" w:cs="Arial"/>
            <w:noProof/>
            <w:sz w:val="18"/>
            <w:szCs w:val="18"/>
          </w:rPr>
        </w:pPr>
        <w:r w:rsidRPr="00E237BD">
          <w:rPr>
            <w:rFonts w:ascii="Arial" w:hAnsi="Arial" w:cs="Arial"/>
            <w:noProof/>
            <w:sz w:val="18"/>
            <w:szCs w:val="18"/>
          </w:rPr>
          <w:t>Abbreviated Clinical Study Report</w:t>
        </w:r>
        <w:r>
          <w:rPr>
            <w:rFonts w:ascii="Arial" w:hAnsi="Arial" w:cs="Arial"/>
            <w:noProof/>
            <w:sz w:val="18"/>
            <w:szCs w:val="18"/>
          </w:rPr>
          <w:tab/>
        </w:r>
        <w:r>
          <w:rPr>
            <w:rFonts w:ascii="Arial" w:hAnsi="Arial" w:cs="Arial"/>
            <w:noProof/>
            <w:sz w:val="18"/>
            <w:szCs w:val="18"/>
          </w:rPr>
          <w:tab/>
        </w:r>
        <w:r>
          <w:rPr>
            <w:rFonts w:ascii="Arial" w:hAnsi="Arial" w:cs="Arial"/>
            <w:noProof/>
            <w:sz w:val="18"/>
            <w:szCs w:val="18"/>
          </w:rPr>
          <w:tab/>
        </w:r>
        <w:r>
          <w:rPr>
            <w:rFonts w:ascii="Arial" w:hAnsi="Arial" w:cs="Arial"/>
            <w:noProof/>
            <w:sz w:val="18"/>
            <w:szCs w:val="18"/>
          </w:rPr>
          <w:tab/>
        </w:r>
        <w:r>
          <w:rPr>
            <w:rFonts w:ascii="Arial" w:hAnsi="Arial" w:cs="Arial"/>
            <w:noProof/>
            <w:sz w:val="18"/>
            <w:szCs w:val="18"/>
          </w:rPr>
          <w:tab/>
        </w:r>
        <w:r>
          <w:rPr>
            <w:rFonts w:ascii="Arial" w:hAnsi="Arial" w:cs="Arial"/>
            <w:noProof/>
            <w:sz w:val="18"/>
            <w:szCs w:val="18"/>
          </w:rPr>
          <w:tab/>
        </w:r>
        <w:r w:rsidRPr="00E237BD">
          <w:rPr>
            <w:rFonts w:ascii="Arial" w:hAnsi="Arial" w:cs="Arial"/>
            <w:noProof/>
            <w:sz w:val="18"/>
            <w:szCs w:val="18"/>
          </w:rPr>
          <w:tab/>
        </w:r>
        <w:r w:rsidRPr="00E237BD">
          <w:rPr>
            <w:rFonts w:ascii="Arial" w:hAnsi="Arial" w:cs="Arial"/>
            <w:noProof/>
            <w:sz w:val="18"/>
            <w:szCs w:val="18"/>
          </w:rPr>
          <w:tab/>
          <w:t xml:space="preserve">Page </w:t>
        </w:r>
        <w:r w:rsidRPr="00E237BD">
          <w:rPr>
            <w:rFonts w:ascii="Arial" w:hAnsi="Arial" w:cs="Arial"/>
            <w:noProof/>
            <w:sz w:val="18"/>
            <w:szCs w:val="18"/>
          </w:rPr>
          <w:fldChar w:fldCharType="begin"/>
        </w:r>
        <w:r w:rsidRPr="00E237BD">
          <w:rPr>
            <w:rFonts w:ascii="Arial" w:hAnsi="Arial" w:cs="Arial"/>
            <w:noProof/>
            <w:sz w:val="18"/>
            <w:szCs w:val="18"/>
          </w:rPr>
          <w:instrText xml:space="preserve"> PAGE </w:instrText>
        </w:r>
        <w:r w:rsidRPr="00E237BD">
          <w:rPr>
            <w:rFonts w:ascii="Arial" w:hAnsi="Arial" w:cs="Arial"/>
            <w:noProof/>
            <w:sz w:val="18"/>
            <w:szCs w:val="18"/>
          </w:rPr>
          <w:fldChar w:fldCharType="separate"/>
        </w:r>
        <w:r w:rsidR="00BE21BA">
          <w:rPr>
            <w:rFonts w:ascii="Arial" w:hAnsi="Arial" w:cs="Arial"/>
            <w:noProof/>
            <w:sz w:val="18"/>
            <w:szCs w:val="18"/>
          </w:rPr>
          <w:t>52</w:t>
        </w:r>
        <w:r w:rsidRPr="00E237BD">
          <w:rPr>
            <w:rFonts w:ascii="Arial" w:hAnsi="Arial" w:cs="Arial"/>
            <w:noProof/>
            <w:sz w:val="18"/>
            <w:szCs w:val="18"/>
          </w:rPr>
          <w:fldChar w:fldCharType="end"/>
        </w:r>
        <w:r w:rsidRPr="00E237BD">
          <w:rPr>
            <w:rFonts w:ascii="Arial" w:hAnsi="Arial" w:cs="Arial"/>
            <w:noProof/>
            <w:sz w:val="18"/>
            <w:szCs w:val="18"/>
          </w:rPr>
          <w:t xml:space="preserve"> of </w:t>
        </w:r>
        <w:r w:rsidRPr="00E237BD">
          <w:rPr>
            <w:rFonts w:ascii="Arial" w:hAnsi="Arial" w:cs="Arial"/>
            <w:noProof/>
            <w:sz w:val="18"/>
            <w:szCs w:val="18"/>
          </w:rPr>
          <w:fldChar w:fldCharType="begin"/>
        </w:r>
        <w:r w:rsidRPr="00E237BD">
          <w:rPr>
            <w:rFonts w:ascii="Arial" w:hAnsi="Arial" w:cs="Arial"/>
            <w:noProof/>
            <w:sz w:val="18"/>
            <w:szCs w:val="18"/>
          </w:rPr>
          <w:instrText xml:space="preserve"> NUMPAGES </w:instrText>
        </w:r>
        <w:r w:rsidRPr="00E237BD">
          <w:rPr>
            <w:rFonts w:ascii="Arial" w:hAnsi="Arial" w:cs="Arial"/>
            <w:noProof/>
            <w:sz w:val="18"/>
            <w:szCs w:val="18"/>
          </w:rPr>
          <w:fldChar w:fldCharType="separate"/>
        </w:r>
        <w:r w:rsidR="00BE21BA">
          <w:rPr>
            <w:rFonts w:ascii="Arial" w:hAnsi="Arial" w:cs="Arial"/>
            <w:noProof/>
            <w:sz w:val="18"/>
            <w:szCs w:val="18"/>
          </w:rPr>
          <w:t>95</w:t>
        </w:r>
        <w:r w:rsidRPr="00E237BD">
          <w:rPr>
            <w:rFonts w:ascii="Arial" w:hAnsi="Arial" w:cs="Arial"/>
            <w:noProof/>
            <w:sz w:val="18"/>
            <w:szCs w:val="18"/>
          </w:rPr>
          <w:fldChar w:fldCharType="end"/>
        </w:r>
      </w:p>
      <w:p w14:paraId="082BA1B7" w14:textId="50AEC39C" w:rsidR="00F57DAA" w:rsidRDefault="00C65F3E" w:rsidP="00367B80">
        <w:pPr>
          <w:pStyle w:val="Piedepgina"/>
          <w:jc w:val="right"/>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B93AF1" w14:textId="77777777" w:rsidR="00F57DAA" w:rsidRDefault="00F57DA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447977" w14:textId="77777777" w:rsidR="00F57DAA" w:rsidRDefault="00F57DAA">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F3F92" w14:textId="77777777" w:rsidR="00F57DAA" w:rsidRDefault="00F57D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6B266E" w14:textId="77777777" w:rsidR="00C65F3E" w:rsidRDefault="00C65F3E" w:rsidP="00CA72DB">
      <w:r>
        <w:separator/>
      </w:r>
    </w:p>
    <w:p w14:paraId="6CAE012E" w14:textId="77777777" w:rsidR="00C65F3E" w:rsidRDefault="00C65F3E" w:rsidP="00CA72DB"/>
  </w:footnote>
  <w:footnote w:type="continuationSeparator" w:id="0">
    <w:p w14:paraId="6EDCE858" w14:textId="77777777" w:rsidR="00C65F3E" w:rsidRDefault="00C65F3E" w:rsidP="00CA72DB">
      <w:r>
        <w:continuationSeparator/>
      </w:r>
    </w:p>
    <w:p w14:paraId="2BCA58ED" w14:textId="77777777" w:rsidR="00C65F3E" w:rsidRDefault="00C65F3E" w:rsidP="00CA72DB"/>
  </w:footnote>
  <w:footnote w:type="continuationNotice" w:id="1">
    <w:p w14:paraId="16ACA6C2" w14:textId="77777777" w:rsidR="00C65F3E" w:rsidRDefault="00C65F3E">
      <w:pPr>
        <w:spacing w:after="0" w:line="240" w:lineRule="auto"/>
      </w:pPr>
    </w:p>
  </w:footnote>
  <w:footnote w:id="2">
    <w:p w14:paraId="3346FEB5" w14:textId="2D09572C" w:rsidR="00F57DAA" w:rsidRPr="00F8399C" w:rsidRDefault="00F57DAA" w:rsidP="00F8399C">
      <w:pPr>
        <w:pStyle w:val="Textonotapie"/>
        <w:tabs>
          <w:tab w:val="clear" w:pos="360"/>
          <w:tab w:val="left" w:pos="144"/>
        </w:tabs>
        <w:ind w:left="142" w:firstLine="2"/>
      </w:pPr>
      <w:r>
        <w:rPr>
          <w:rStyle w:val="Refdenotaalpie"/>
        </w:rPr>
        <w:footnoteRef/>
      </w:r>
      <w:r>
        <w:t xml:space="preserve"> </w:t>
      </w:r>
      <w:r w:rsidRPr="00FC4935">
        <w:rPr>
          <w:rFonts w:ascii="Arial" w:hAnsi="Arial" w:cs="Arial"/>
          <w:i/>
          <w:sz w:val="18"/>
          <w:szCs w:val="18"/>
        </w:rPr>
        <w:t>Breast cancer that have at least 1% of cells staging positive for ER should be considered ER-positive according to NCCN and ASCO guidelines.</w:t>
      </w:r>
    </w:p>
  </w:footnote>
  <w:footnote w:id="3">
    <w:p w14:paraId="3D8C3765" w14:textId="77777777" w:rsidR="00F57DAA" w:rsidRPr="00AE4D07" w:rsidRDefault="00F57DAA" w:rsidP="004565D4">
      <w:pPr>
        <w:pStyle w:val="Textonotapie"/>
        <w:tabs>
          <w:tab w:val="clear" w:pos="360"/>
          <w:tab w:val="left" w:pos="142"/>
        </w:tabs>
        <w:spacing w:after="0"/>
        <w:ind w:left="142" w:firstLine="0"/>
        <w:rPr>
          <w:rFonts w:ascii="Arial" w:hAnsi="Arial" w:cs="Arial"/>
          <w:i/>
          <w:sz w:val="18"/>
          <w:szCs w:val="18"/>
        </w:rPr>
      </w:pPr>
      <w:r w:rsidRPr="00AE4D07">
        <w:rPr>
          <w:rStyle w:val="Refdenotaalpie"/>
          <w:rFonts w:ascii="Arial" w:hAnsi="Arial" w:cs="Arial"/>
          <w:i/>
          <w:sz w:val="18"/>
          <w:szCs w:val="18"/>
        </w:rPr>
        <w:footnoteRef/>
      </w:r>
      <w:r w:rsidRPr="00AE4D07">
        <w:rPr>
          <w:rFonts w:ascii="Arial" w:hAnsi="Arial" w:cs="Arial"/>
          <w:i/>
          <w:sz w:val="18"/>
          <w:szCs w:val="18"/>
        </w:rPr>
        <w:t xml:space="preserve"> Visceral: refers to any lung (including pleura) and/or liver involvement. Non-visceral: refers to absence of lung (including pleura) and/or liver involvement.</w:t>
      </w:r>
    </w:p>
    <w:p w14:paraId="4735F369" w14:textId="77777777" w:rsidR="00F57DAA" w:rsidRDefault="00F57DAA" w:rsidP="004565D4">
      <w:pPr>
        <w:pStyle w:val="Textonotapie"/>
        <w:spacing w:after="0"/>
      </w:pPr>
    </w:p>
  </w:footnote>
  <w:footnote w:id="4">
    <w:p w14:paraId="7BC7D530" w14:textId="77777777" w:rsidR="00F57DAA" w:rsidRPr="003D0547" w:rsidRDefault="00F57DAA" w:rsidP="008508CB">
      <w:pPr>
        <w:pStyle w:val="Prrafodelista"/>
        <w:spacing w:after="0" w:line="240" w:lineRule="auto"/>
        <w:ind w:left="0"/>
        <w:rPr>
          <w:i/>
          <w:color w:val="222222"/>
          <w:sz w:val="18"/>
          <w:szCs w:val="18"/>
        </w:rPr>
      </w:pPr>
      <w:r w:rsidRPr="003D0547">
        <w:rPr>
          <w:rStyle w:val="Refdenotaalpie"/>
          <w:rFonts w:ascii="Arial" w:hAnsi="Arial"/>
          <w:i/>
          <w:sz w:val="18"/>
          <w:szCs w:val="18"/>
        </w:rPr>
        <w:footnoteRef/>
      </w:r>
      <w:r w:rsidRPr="003D0547">
        <w:rPr>
          <w:i/>
          <w:sz w:val="18"/>
          <w:szCs w:val="18"/>
        </w:rPr>
        <w:t xml:space="preserve"> CT or MRI of the brain must be obtained at screening or follow up only for those patients with clinical suspicion of central involvement. </w:t>
      </w:r>
    </w:p>
    <w:p w14:paraId="3C4A8EAB" w14:textId="77777777" w:rsidR="00F57DAA" w:rsidRPr="003D0547" w:rsidRDefault="00F57DAA" w:rsidP="008508CB">
      <w:pPr>
        <w:pStyle w:val="Textonotapie"/>
        <w:spacing w:after="0"/>
        <w:ind w:left="0"/>
        <w:rPr>
          <w:rFonts w:ascii="Arial" w:hAnsi="Arial" w:cs="Arial"/>
          <w:i/>
          <w:sz w:val="18"/>
          <w:szCs w:val="18"/>
        </w:rPr>
      </w:pPr>
    </w:p>
  </w:footnote>
  <w:footnote w:id="5">
    <w:p w14:paraId="13501642" w14:textId="77777777" w:rsidR="00F57DAA" w:rsidRPr="003D0547" w:rsidRDefault="00F57DAA" w:rsidP="008508CB">
      <w:pPr>
        <w:pStyle w:val="Prrafodelista"/>
        <w:spacing w:after="0" w:line="240" w:lineRule="auto"/>
        <w:ind w:left="0"/>
        <w:rPr>
          <w:i/>
          <w:sz w:val="18"/>
          <w:szCs w:val="18"/>
          <w:lang w:val="en-US"/>
        </w:rPr>
      </w:pPr>
      <w:r w:rsidRPr="003D0547">
        <w:rPr>
          <w:rStyle w:val="Refdenotaalpie"/>
          <w:rFonts w:ascii="Arial" w:hAnsi="Arial"/>
          <w:i/>
          <w:sz w:val="18"/>
          <w:szCs w:val="18"/>
        </w:rPr>
        <w:footnoteRef/>
      </w:r>
      <w:r w:rsidRPr="003D0547">
        <w:rPr>
          <w:i/>
          <w:sz w:val="18"/>
          <w:szCs w:val="18"/>
        </w:rPr>
        <w:t xml:space="preserve"> Bone scan are performed at baseline and only if bone involvement is identified, bone scans should be repeated every </w:t>
      </w:r>
      <w:r w:rsidRPr="003D0547">
        <w:rPr>
          <w:i/>
          <w:sz w:val="18"/>
          <w:szCs w:val="18"/>
          <w:lang w:val="en-US"/>
        </w:rPr>
        <w:t>24 weeks (</w:t>
      </w:r>
      <w:r w:rsidRPr="003D0547">
        <w:rPr>
          <w:i/>
          <w:sz w:val="18"/>
          <w:szCs w:val="18"/>
          <w:lang w:val="en-US"/>
        </w:rPr>
        <w:sym w:font="Symbol" w:char="F0B1"/>
      </w:r>
      <w:r w:rsidRPr="003D0547">
        <w:rPr>
          <w:i/>
          <w:sz w:val="18"/>
          <w:szCs w:val="18"/>
          <w:lang w:val="en-US"/>
        </w:rPr>
        <w:t xml:space="preserve"> 7 days)</w:t>
      </w:r>
      <w:r w:rsidRPr="003D0547">
        <w:rPr>
          <w:i/>
          <w:sz w:val="18"/>
          <w:szCs w:val="18"/>
        </w:rPr>
        <w:t xml:space="preserve">. </w:t>
      </w:r>
      <w:r w:rsidRPr="003D0547">
        <w:rPr>
          <w:i/>
          <w:sz w:val="18"/>
          <w:szCs w:val="18"/>
          <w:lang w:val="en-US"/>
        </w:rPr>
        <w:t>If bone lesions meet RECIST criteria to be followed by CT</w:t>
      </w:r>
      <w:r w:rsidRPr="003D0547">
        <w:rPr>
          <w:i/>
          <w:sz w:val="18"/>
          <w:szCs w:val="18"/>
        </w:rPr>
        <w:t xml:space="preserve"> or MRI scans</w:t>
      </w:r>
      <w:r w:rsidRPr="003D0547">
        <w:rPr>
          <w:i/>
          <w:sz w:val="18"/>
          <w:szCs w:val="18"/>
          <w:lang w:val="en-US"/>
        </w:rPr>
        <w:t>, bone lesion can</w:t>
      </w:r>
      <w:r w:rsidRPr="003D0547">
        <w:rPr>
          <w:i/>
          <w:sz w:val="18"/>
          <w:szCs w:val="18"/>
        </w:rPr>
        <w:t xml:space="preserve"> also</w:t>
      </w:r>
      <w:r w:rsidRPr="003D0547">
        <w:rPr>
          <w:i/>
          <w:sz w:val="18"/>
          <w:szCs w:val="18"/>
          <w:lang w:val="en-US"/>
        </w:rPr>
        <w:t xml:space="preserve"> be followed-up as part of the 12-week periodical tumor assessments. If no bone involvement is identified at baseline, it is no necessary to repeat the bone scan unless clinically or biochemically suspected bone progression. </w:t>
      </w:r>
    </w:p>
    <w:p w14:paraId="0272972E" w14:textId="77777777" w:rsidR="00F57DAA" w:rsidRPr="003D0547" w:rsidRDefault="00F57DAA" w:rsidP="003D0547">
      <w:pPr>
        <w:pStyle w:val="Textonotapie"/>
        <w:spacing w:after="0"/>
        <w:rPr>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8E370" w14:textId="0BA7D13E" w:rsidR="00F57DAA" w:rsidRDefault="00F57DAA">
    <w:pPr>
      <w:pStyle w:val="Encabezado"/>
    </w:pPr>
    <w:r>
      <w:rPr>
        <w:rFonts w:cs="Arial"/>
        <w:noProof/>
        <w:color w:val="000000" w:themeColor="text1"/>
        <w:sz w:val="16"/>
        <w:szCs w:val="16"/>
        <w:lang w:val="en-GB" w:eastAsia="en-GB"/>
      </w:rPr>
      <w:drawing>
        <wp:anchor distT="0" distB="0" distL="114300" distR="114300" simplePos="0" relativeHeight="251659264" behindDoc="1" locked="0" layoutInCell="1" allowOverlap="1" wp14:anchorId="4012EAA0" wp14:editId="11F02F6D">
          <wp:simplePos x="0" y="0"/>
          <wp:positionH relativeFrom="column">
            <wp:posOffset>-871870</wp:posOffset>
          </wp:positionH>
          <wp:positionV relativeFrom="paragraph">
            <wp:posOffset>-850531</wp:posOffset>
          </wp:positionV>
          <wp:extent cx="1828800" cy="1291590"/>
          <wp:effectExtent l="0" t="0" r="0" b="0"/>
          <wp:wrapTight wrapText="bothSides">
            <wp:wrapPolygon edited="0">
              <wp:start x="5700" y="8283"/>
              <wp:lineTo x="4950" y="9982"/>
              <wp:lineTo x="4950" y="11469"/>
              <wp:lineTo x="5550" y="12106"/>
              <wp:lineTo x="5700" y="13168"/>
              <wp:lineTo x="7200" y="13168"/>
              <wp:lineTo x="16950" y="12743"/>
              <wp:lineTo x="16950" y="9770"/>
              <wp:lineTo x="15750" y="9345"/>
              <wp:lineTo x="7200" y="8283"/>
              <wp:lineTo x="5700" y="8283"/>
            </wp:wrapPolygon>
          </wp:wrapTight>
          <wp:docPr id="6" name="Imagen 6"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91217_NEW LOGO MEDSIR_2020_LOGOTIPO.png"/>
                  <pic:cNvPicPr/>
                </pic:nvPicPr>
                <pic:blipFill>
                  <a:blip r:embed="rId1"/>
                  <a:stretch>
                    <a:fillRect/>
                  </a:stretch>
                </pic:blipFill>
                <pic:spPr>
                  <a:xfrm>
                    <a:off x="0" y="0"/>
                    <a:ext cx="1828800" cy="12915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679A0" w14:textId="67F8D3F7" w:rsidR="00F57DAA" w:rsidRPr="00733B84" w:rsidRDefault="00F57DAA" w:rsidP="00E237BD">
    <w:pPr>
      <w:pStyle w:val="Blank"/>
      <w:tabs>
        <w:tab w:val="left" w:pos="1903"/>
      </w:tabs>
      <w:rPr>
        <w:rFonts w:ascii="Arial" w:hAnsi="Arial" w:cs="Arial"/>
        <w:b/>
      </w:rPr>
    </w:pPr>
    <w:r w:rsidRPr="00733B84">
      <w:rPr>
        <w:rFonts w:ascii="Arial" w:hAnsi="Arial" w:cs="Arial"/>
        <w:b/>
      </w:rPr>
      <w:t>MedOPP067</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E237BD">
      <w:rPr>
        <w:rFonts w:ascii="Arial" w:hAnsi="Arial" w:cs="Arial"/>
        <w:bCs/>
      </w:rPr>
      <w:t>EudraCT#: 2014-004698-17</w:t>
    </w:r>
  </w:p>
  <w:p w14:paraId="41A535E7" w14:textId="77777777" w:rsidR="00F57DAA" w:rsidRDefault="00F57DAA">
    <w:pPr>
      <w:pStyle w:val="Blan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E5033" w14:textId="77777777" w:rsidR="00F57DAA" w:rsidRPr="00733B84" w:rsidRDefault="00F57DAA" w:rsidP="00E47CC2">
    <w:pPr>
      <w:pStyle w:val="Blank"/>
      <w:tabs>
        <w:tab w:val="left" w:pos="1903"/>
      </w:tabs>
      <w:rPr>
        <w:rFonts w:ascii="Arial" w:hAnsi="Arial" w:cs="Arial"/>
        <w:b/>
      </w:rPr>
    </w:pPr>
    <w:r w:rsidRPr="00733B84">
      <w:rPr>
        <w:rFonts w:ascii="Arial" w:hAnsi="Arial" w:cs="Arial"/>
        <w:b/>
      </w:rPr>
      <w:t>MedOPP067</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A7286D">
      <w:rPr>
        <w:rFonts w:ascii="Arial" w:hAnsi="Arial" w:cs="Arial"/>
        <w:bCs/>
      </w:rPr>
      <w:t>EudraCT#: 2014-004698-17</w:t>
    </w:r>
  </w:p>
  <w:p w14:paraId="2AFCEAAD" w14:textId="0E818337" w:rsidR="00F57DAA" w:rsidRPr="001224D4" w:rsidRDefault="00F57DAA" w:rsidP="00E47CC2">
    <w:pPr>
      <w:pStyle w:val="Textonotapie"/>
      <w:rPr>
        <w:rFonts w:ascii="Arial" w:hAnsi="Arial" w:cs="Arial"/>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E"/>
    <w:multiLevelType w:val="singleLevel"/>
    <w:tmpl w:val="A4E68510"/>
    <w:lvl w:ilvl="0">
      <w:start w:val="1"/>
      <w:numFmt w:val="decimal"/>
      <w:pStyle w:val="Listaconnmeros3"/>
      <w:lvlText w:val="%1."/>
      <w:lvlJc w:val="left"/>
      <w:pPr>
        <w:tabs>
          <w:tab w:val="num" w:pos="1080"/>
        </w:tabs>
        <w:ind w:left="1080" w:hanging="360"/>
      </w:pPr>
    </w:lvl>
  </w:abstractNum>
  <w:abstractNum w:abstractNumId="1" w15:restartNumberingAfterBreak="0">
    <w:nsid w:val="FFFFFF89"/>
    <w:multiLevelType w:val="singleLevel"/>
    <w:tmpl w:val="9BFC867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FFFFFFFB"/>
    <w:multiLevelType w:val="multilevel"/>
    <w:tmpl w:val="10001D20"/>
    <w:lvl w:ilvl="0">
      <w:start w:val="1"/>
      <w:numFmt w:val="none"/>
      <w:pStyle w:val="GuideDash"/>
      <w:suff w:val="nothing"/>
      <w:lvlText w:val=""/>
      <w:lvlJc w:val="left"/>
      <w:pPr>
        <w:ind w:left="0" w:firstLine="0"/>
      </w:pPr>
      <w:rPr>
        <w:rFonts w:hint="default"/>
      </w:rPr>
    </w:lvl>
    <w:lvl w:ilvl="1">
      <w:start w:val="1"/>
      <w:numFmt w:val="decimal"/>
      <w:lvlText w:val="%2."/>
      <w:lvlJc w:val="center"/>
      <w:pPr>
        <w:tabs>
          <w:tab w:val="num" w:pos="1685"/>
        </w:tabs>
        <w:ind w:left="0" w:firstLine="0"/>
      </w:pPr>
      <w:rPr>
        <w:rFonts w:hint="default"/>
      </w:rPr>
    </w:lvl>
    <w:lvl w:ilvl="2">
      <w:start w:val="1"/>
      <w:numFmt w:val="decimal"/>
      <w:lvlText w:val="%2.%3."/>
      <w:lvlJc w:val="left"/>
      <w:pPr>
        <w:tabs>
          <w:tab w:val="num" w:pos="977"/>
        </w:tabs>
        <w:ind w:left="0" w:firstLine="0"/>
      </w:pPr>
      <w:rPr>
        <w:rFonts w:hint="default"/>
      </w:rPr>
    </w:lvl>
    <w:lvl w:ilvl="3">
      <w:start w:val="1"/>
      <w:numFmt w:val="decimal"/>
      <w:lvlText w:val="%2.%3.%4."/>
      <w:lvlJc w:val="left"/>
      <w:pPr>
        <w:tabs>
          <w:tab w:val="num" w:pos="6231"/>
        </w:tabs>
        <w:ind w:left="0" w:firstLine="0"/>
      </w:pPr>
      <w:rPr>
        <w:rFonts w:hint="default"/>
      </w:rPr>
    </w:lvl>
    <w:lvl w:ilvl="4">
      <w:start w:val="1"/>
      <w:numFmt w:val="decimal"/>
      <w:lvlText w:val="%2.%3.%4.%5."/>
      <w:lvlJc w:val="left"/>
      <w:pPr>
        <w:tabs>
          <w:tab w:val="num" w:pos="3096"/>
        </w:tabs>
        <w:ind w:left="0" w:firstLine="0"/>
      </w:pPr>
      <w:rPr>
        <w:rFonts w:hint="default"/>
      </w:rPr>
    </w:lvl>
    <w:lvl w:ilvl="5">
      <w:start w:val="1"/>
      <w:numFmt w:val="decimal"/>
      <w:lvlText w:val="%2.%3.%4.%5.%6."/>
      <w:lvlJc w:val="left"/>
      <w:pPr>
        <w:tabs>
          <w:tab w:val="num" w:pos="3096"/>
        </w:tabs>
        <w:ind w:left="0" w:firstLine="0"/>
      </w:pPr>
      <w:rPr>
        <w:rFonts w:hint="default"/>
      </w:rPr>
    </w:lvl>
    <w:lvl w:ilvl="6">
      <w:start w:val="1"/>
      <w:numFmt w:val="decimal"/>
      <w:lvlText w:val="%7.%2.%3.%4.%5.%6."/>
      <w:lvlJc w:val="left"/>
      <w:pPr>
        <w:tabs>
          <w:tab w:val="num" w:pos="3096"/>
        </w:tabs>
        <w:ind w:left="0" w:firstLine="0"/>
      </w:pPr>
      <w:rPr>
        <w:rFonts w:hint="default"/>
      </w:rPr>
    </w:lvl>
    <w:lvl w:ilvl="7">
      <w:start w:val="1"/>
      <w:numFmt w:val="decimal"/>
      <w:lvlText w:val="%8.%2.%3.%4.%5.%6.%7."/>
      <w:lvlJc w:val="left"/>
      <w:pPr>
        <w:tabs>
          <w:tab w:val="num" w:pos="3485"/>
        </w:tabs>
        <w:ind w:left="0" w:firstLine="0"/>
      </w:pPr>
      <w:rPr>
        <w:rFonts w:hint="default"/>
      </w:rPr>
    </w:lvl>
    <w:lvl w:ilvl="8">
      <w:start w:val="1"/>
      <w:numFmt w:val="decimal"/>
      <w:lvlText w:val="%4.%2.%5.%6.%7.%8.%3.%9."/>
      <w:lvlJc w:val="left"/>
      <w:pPr>
        <w:tabs>
          <w:tab w:val="num" w:pos="3845"/>
        </w:tabs>
        <w:ind w:left="0" w:firstLine="0"/>
      </w:pPr>
      <w:rPr>
        <w:rFonts w:hint="default"/>
      </w:rPr>
    </w:lvl>
  </w:abstractNum>
  <w:abstractNum w:abstractNumId="3" w15:restartNumberingAfterBreak="0">
    <w:nsid w:val="0706345D"/>
    <w:multiLevelType w:val="hybridMultilevel"/>
    <w:tmpl w:val="41AA6288"/>
    <w:lvl w:ilvl="0" w:tplc="D446295C">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8304570"/>
    <w:multiLevelType w:val="hybridMultilevel"/>
    <w:tmpl w:val="5F3AC0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858475F"/>
    <w:multiLevelType w:val="singleLevel"/>
    <w:tmpl w:val="2C6C8504"/>
    <w:lvl w:ilvl="0">
      <w:start w:val="1"/>
      <w:numFmt w:val="bullet"/>
      <w:pStyle w:val="BulletIndent2"/>
      <w:lvlText w:val=""/>
      <w:lvlJc w:val="left"/>
      <w:pPr>
        <w:tabs>
          <w:tab w:val="num" w:pos="360"/>
        </w:tabs>
        <w:ind w:left="360" w:hanging="360"/>
      </w:pPr>
      <w:rPr>
        <w:rFonts w:ascii="Symbol" w:hAnsi="Symbol" w:hint="default"/>
      </w:rPr>
    </w:lvl>
  </w:abstractNum>
  <w:abstractNum w:abstractNumId="6" w15:restartNumberingAfterBreak="0">
    <w:nsid w:val="091C3A9C"/>
    <w:multiLevelType w:val="multilevel"/>
    <w:tmpl w:val="E4E6F270"/>
    <w:lvl w:ilvl="0">
      <w:start w:val="1"/>
      <w:numFmt w:val="decimal"/>
      <w:pStyle w:val="Ttulo1"/>
      <w:lvlText w:val="%1"/>
      <w:lvlJc w:val="left"/>
      <w:pPr>
        <w:ind w:left="4685" w:hanging="432"/>
      </w:pPr>
    </w:lvl>
    <w:lvl w:ilvl="1">
      <w:start w:val="1"/>
      <w:numFmt w:val="decimal"/>
      <w:pStyle w:val="Ttulo2"/>
      <w:lvlText w:val="%1.%2"/>
      <w:lvlJc w:val="left"/>
      <w:pPr>
        <w:ind w:left="576" w:hanging="576"/>
      </w:pPr>
    </w:lvl>
    <w:lvl w:ilvl="2">
      <w:start w:val="1"/>
      <w:numFmt w:val="decimal"/>
      <w:pStyle w:val="Ttulo3"/>
      <w:lvlText w:val="%1.%2.%3"/>
      <w:lvlJc w:val="left"/>
      <w:pPr>
        <w:ind w:left="7950" w:hanging="720"/>
      </w:pPr>
      <w:rPr>
        <w:sz w:val="20"/>
        <w:szCs w:val="20"/>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0B045914"/>
    <w:multiLevelType w:val="hybridMultilevel"/>
    <w:tmpl w:val="16A8915A"/>
    <w:lvl w:ilvl="0" w:tplc="DFECFCF6">
      <w:start w:val="1"/>
      <w:numFmt w:val="bullet"/>
      <w:lvlText w:val=""/>
      <w:lvlJc w:val="left"/>
      <w:pPr>
        <w:tabs>
          <w:tab w:val="num" w:pos="340"/>
        </w:tabs>
        <w:ind w:left="397" w:hanging="397"/>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DA3467D"/>
    <w:multiLevelType w:val="hybridMultilevel"/>
    <w:tmpl w:val="AC7EC9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30E44FD"/>
    <w:multiLevelType w:val="singleLevel"/>
    <w:tmpl w:val="931E7EF6"/>
    <w:lvl w:ilvl="0">
      <w:start w:val="1"/>
      <w:numFmt w:val="bullet"/>
      <w:pStyle w:val="BulletIndent3"/>
      <w:lvlText w:val=""/>
      <w:lvlJc w:val="left"/>
      <w:pPr>
        <w:tabs>
          <w:tab w:val="num" w:pos="360"/>
        </w:tabs>
        <w:ind w:left="360" w:hanging="360"/>
      </w:pPr>
      <w:rPr>
        <w:rFonts w:ascii="Symbol" w:hAnsi="Symbol" w:hint="default"/>
      </w:rPr>
    </w:lvl>
  </w:abstractNum>
  <w:abstractNum w:abstractNumId="10" w15:restartNumberingAfterBreak="0">
    <w:nsid w:val="13A2658D"/>
    <w:multiLevelType w:val="multilevel"/>
    <w:tmpl w:val="0FD23D3A"/>
    <w:lvl w:ilvl="0">
      <w:start w:val="1"/>
      <w:numFmt w:val="decimal"/>
      <w:lvlText w:val="%1."/>
      <w:lvlJc w:val="left"/>
      <w:pPr>
        <w:ind w:left="717" w:hanging="360"/>
      </w:pPr>
      <w:rPr>
        <w:rFonts w:hint="default"/>
        <w:b w:val="0"/>
      </w:rPr>
    </w:lvl>
    <w:lvl w:ilvl="1">
      <w:start w:val="1"/>
      <w:numFmt w:val="lowerLetter"/>
      <w:lvlText w:val="%2."/>
      <w:lvlJc w:val="left"/>
      <w:pPr>
        <w:ind w:left="1437" w:hanging="360"/>
      </w:pPr>
      <w:rPr>
        <w:rFonts w:hint="default"/>
      </w:rPr>
    </w:lvl>
    <w:lvl w:ilvl="2">
      <w:start w:val="1"/>
      <w:numFmt w:val="lowerRoman"/>
      <w:lvlText w:val="%3."/>
      <w:lvlJc w:val="right"/>
      <w:pPr>
        <w:ind w:left="2157" w:hanging="180"/>
      </w:pPr>
      <w:rPr>
        <w:rFonts w:hint="default"/>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1" w15:restartNumberingAfterBreak="0">
    <w:nsid w:val="14926464"/>
    <w:multiLevelType w:val="hybridMultilevel"/>
    <w:tmpl w:val="272AD3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4D56B41"/>
    <w:multiLevelType w:val="hybridMultilevel"/>
    <w:tmpl w:val="B5ECB3AA"/>
    <w:lvl w:ilvl="0" w:tplc="D446295C">
      <w:numFmt w:val="bullet"/>
      <w:lvlText w:val="-"/>
      <w:lvlJc w:val="left"/>
      <w:pPr>
        <w:ind w:left="360" w:hanging="360"/>
      </w:pPr>
      <w:rPr>
        <w:rFonts w:ascii="Tahoma" w:eastAsia="Times New Roman" w:hAnsi="Tahoma" w:cs="Tahoma"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start w:val="1"/>
      <w:numFmt w:val="bullet"/>
      <w:lvlText w:val=""/>
      <w:lvlJc w:val="left"/>
      <w:pPr>
        <w:ind w:left="6120" w:hanging="360"/>
      </w:pPr>
      <w:rPr>
        <w:rFonts w:ascii="Wingdings" w:hAnsi="Wingdings" w:hint="default"/>
      </w:rPr>
    </w:lvl>
  </w:abstractNum>
  <w:abstractNum w:abstractNumId="13" w15:restartNumberingAfterBreak="0">
    <w:nsid w:val="18BD4E26"/>
    <w:multiLevelType w:val="hybridMultilevel"/>
    <w:tmpl w:val="9ED4D29E"/>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start w:val="1"/>
      <w:numFmt w:val="bullet"/>
      <w:lvlText w:val=""/>
      <w:lvlJc w:val="left"/>
      <w:pPr>
        <w:ind w:left="6120" w:hanging="360"/>
      </w:pPr>
      <w:rPr>
        <w:rFonts w:ascii="Wingdings" w:hAnsi="Wingdings" w:hint="default"/>
      </w:rPr>
    </w:lvl>
  </w:abstractNum>
  <w:abstractNum w:abstractNumId="14" w15:restartNumberingAfterBreak="0">
    <w:nsid w:val="1FAC4FF5"/>
    <w:multiLevelType w:val="hybridMultilevel"/>
    <w:tmpl w:val="81703E00"/>
    <w:lvl w:ilvl="0" w:tplc="E83E1E8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F9461F"/>
    <w:multiLevelType w:val="hybridMultilevel"/>
    <w:tmpl w:val="A33A7E16"/>
    <w:lvl w:ilvl="0" w:tplc="0C0A0001">
      <w:start w:val="1"/>
      <w:numFmt w:val="bullet"/>
      <w:lvlText w:val=""/>
      <w:lvlJc w:val="left"/>
      <w:pPr>
        <w:ind w:left="1724" w:hanging="360"/>
      </w:pPr>
      <w:rPr>
        <w:rFonts w:ascii="Symbol" w:hAnsi="Symbol" w:hint="default"/>
      </w:rPr>
    </w:lvl>
    <w:lvl w:ilvl="1" w:tplc="0C0A0003" w:tentative="1">
      <w:start w:val="1"/>
      <w:numFmt w:val="bullet"/>
      <w:lvlText w:val="o"/>
      <w:lvlJc w:val="left"/>
      <w:pPr>
        <w:ind w:left="2444" w:hanging="360"/>
      </w:pPr>
      <w:rPr>
        <w:rFonts w:ascii="Courier New" w:hAnsi="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16" w15:restartNumberingAfterBreak="0">
    <w:nsid w:val="28C7176A"/>
    <w:multiLevelType w:val="hybridMultilevel"/>
    <w:tmpl w:val="EC2E2F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C062658"/>
    <w:multiLevelType w:val="hybridMultilevel"/>
    <w:tmpl w:val="4C9A0F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03111BC"/>
    <w:multiLevelType w:val="hybridMultilevel"/>
    <w:tmpl w:val="6458FD8A"/>
    <w:lvl w:ilvl="0" w:tplc="FF2A9E6E">
      <w:start w:val="1"/>
      <w:numFmt w:val="bullet"/>
      <w:pStyle w:val="ListBulleted"/>
      <w:lvlText w:val=""/>
      <w:lvlJc w:val="left"/>
      <w:pPr>
        <w:tabs>
          <w:tab w:val="num" w:pos="770"/>
        </w:tabs>
        <w:ind w:left="770" w:hanging="360"/>
      </w:pPr>
      <w:rPr>
        <w:rFonts w:ascii="Symbol" w:hAnsi="Symbol" w:hint="default"/>
        <w:b/>
      </w:rPr>
    </w:lvl>
    <w:lvl w:ilvl="1" w:tplc="34286820">
      <w:start w:val="1"/>
      <w:numFmt w:val="bullet"/>
      <w:lvlText w:val="-"/>
      <w:lvlJc w:val="left"/>
      <w:pPr>
        <w:tabs>
          <w:tab w:val="num" w:pos="1490"/>
        </w:tabs>
        <w:ind w:left="1490" w:hanging="360"/>
      </w:pPr>
      <w:rPr>
        <w:rFonts w:ascii="Courier New" w:hAnsi="Courier New" w:hint="default"/>
        <w:b/>
      </w:rPr>
    </w:lvl>
    <w:lvl w:ilvl="2" w:tplc="0409001B">
      <w:start w:val="1"/>
      <w:numFmt w:val="lowerRoman"/>
      <w:lvlText w:val="%3."/>
      <w:lvlJc w:val="right"/>
      <w:pPr>
        <w:tabs>
          <w:tab w:val="num" w:pos="2210"/>
        </w:tabs>
        <w:ind w:left="2210" w:hanging="180"/>
      </w:pPr>
    </w:lvl>
    <w:lvl w:ilvl="3" w:tplc="04090001">
      <w:start w:val="1"/>
      <w:numFmt w:val="bullet"/>
      <w:lvlText w:val=""/>
      <w:lvlJc w:val="left"/>
      <w:pPr>
        <w:tabs>
          <w:tab w:val="num" w:pos="2930"/>
        </w:tabs>
        <w:ind w:left="2930" w:hanging="360"/>
      </w:pPr>
      <w:rPr>
        <w:rFonts w:ascii="Symbol" w:hAnsi="Symbol" w:hint="default"/>
        <w:b/>
      </w:rPr>
    </w:lvl>
    <w:lvl w:ilvl="4" w:tplc="04090019">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19" w15:restartNumberingAfterBreak="0">
    <w:nsid w:val="32A34943"/>
    <w:multiLevelType w:val="multilevel"/>
    <w:tmpl w:val="9556881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upperRoman"/>
      <w:lvlText w:val="%4."/>
      <w:lvlJc w:val="right"/>
      <w:pPr>
        <w:ind w:left="1260" w:hanging="18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4AB3B6F"/>
    <w:multiLevelType w:val="hybridMultilevel"/>
    <w:tmpl w:val="BC4C36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4E62751"/>
    <w:multiLevelType w:val="multilevel"/>
    <w:tmpl w:val="115E8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1E5B59"/>
    <w:multiLevelType w:val="multilevel"/>
    <w:tmpl w:val="171858F8"/>
    <w:lvl w:ilvl="0">
      <w:start w:val="2"/>
      <w:numFmt w:val="decimal"/>
      <w:lvlText w:val="%1."/>
      <w:lvlJc w:val="left"/>
      <w:pPr>
        <w:ind w:left="72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3ED11CE1"/>
    <w:multiLevelType w:val="hybridMultilevel"/>
    <w:tmpl w:val="55202722"/>
    <w:lvl w:ilvl="0" w:tplc="D446295C">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122739C"/>
    <w:multiLevelType w:val="hybridMultilevel"/>
    <w:tmpl w:val="CC1A97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5714FC8"/>
    <w:multiLevelType w:val="hybridMultilevel"/>
    <w:tmpl w:val="CD9204E2"/>
    <w:lvl w:ilvl="0" w:tplc="E83E1E8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906694"/>
    <w:multiLevelType w:val="hybridMultilevel"/>
    <w:tmpl w:val="0A9694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8FA72D2"/>
    <w:multiLevelType w:val="singleLevel"/>
    <w:tmpl w:val="BB50A550"/>
    <w:lvl w:ilvl="0">
      <w:start w:val="1"/>
      <w:numFmt w:val="bullet"/>
      <w:pStyle w:val="DashIndent3"/>
      <w:lvlText w:val="–"/>
      <w:lvlJc w:val="left"/>
      <w:pPr>
        <w:tabs>
          <w:tab w:val="num" w:pos="360"/>
        </w:tabs>
        <w:ind w:left="360" w:hanging="360"/>
      </w:pPr>
      <w:rPr>
        <w:rFonts w:ascii="Times New Roman" w:hAnsi="Times New Roman" w:hint="default"/>
      </w:rPr>
    </w:lvl>
  </w:abstractNum>
  <w:abstractNum w:abstractNumId="28" w15:restartNumberingAfterBreak="0">
    <w:nsid w:val="4A197865"/>
    <w:multiLevelType w:val="hybridMultilevel"/>
    <w:tmpl w:val="98FC7D54"/>
    <w:lvl w:ilvl="0" w:tplc="9CB8B836">
      <w:start w:val="1"/>
      <w:numFmt w:val="decimal"/>
      <w:lvlText w:val="%1."/>
      <w:lvlJc w:val="left"/>
      <w:pPr>
        <w:ind w:left="720" w:hanging="360"/>
      </w:pPr>
      <w:rPr>
        <w:rFonts w:hint="default"/>
        <w:b w:val="0"/>
        <w:bCs w:val="0"/>
        <w:i w:val="0"/>
        <w:iCs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4F0A6EBF"/>
    <w:multiLevelType w:val="hybridMultilevel"/>
    <w:tmpl w:val="CE9478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16E3B35"/>
    <w:multiLevelType w:val="hybridMultilevel"/>
    <w:tmpl w:val="5A54C6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20723F7"/>
    <w:multiLevelType w:val="hybridMultilevel"/>
    <w:tmpl w:val="059215A8"/>
    <w:lvl w:ilvl="0" w:tplc="E83E1E8E">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A1D4F1D"/>
    <w:multiLevelType w:val="hybridMultilevel"/>
    <w:tmpl w:val="AA9EE522"/>
    <w:lvl w:ilvl="0" w:tplc="D446295C">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AB17ABD"/>
    <w:multiLevelType w:val="hybridMultilevel"/>
    <w:tmpl w:val="E85CBDC4"/>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34" w15:restartNumberingAfterBreak="0">
    <w:nsid w:val="5B435D8A"/>
    <w:multiLevelType w:val="hybridMultilevel"/>
    <w:tmpl w:val="70AE5A1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BED4FC1"/>
    <w:multiLevelType w:val="hybridMultilevel"/>
    <w:tmpl w:val="67E40212"/>
    <w:lvl w:ilvl="0" w:tplc="0A3CF2D6">
      <w:start w:val="1"/>
      <w:numFmt w:val="bullet"/>
      <w:pStyle w:val="F-PBulletList2"/>
      <w:lvlText w:val=""/>
      <w:lvlJc w:val="left"/>
      <w:pPr>
        <w:tabs>
          <w:tab w:val="num" w:pos="714"/>
        </w:tabs>
        <w:ind w:left="714"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1D02109"/>
    <w:multiLevelType w:val="hybridMultilevel"/>
    <w:tmpl w:val="37AE57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6243215"/>
    <w:multiLevelType w:val="singleLevel"/>
    <w:tmpl w:val="3856CCA0"/>
    <w:lvl w:ilvl="0">
      <w:start w:val="1"/>
      <w:numFmt w:val="bullet"/>
      <w:pStyle w:val="DashIndent2"/>
      <w:lvlText w:val="–"/>
      <w:lvlJc w:val="left"/>
      <w:pPr>
        <w:tabs>
          <w:tab w:val="num" w:pos="360"/>
        </w:tabs>
        <w:ind w:left="360" w:hanging="360"/>
      </w:pPr>
      <w:rPr>
        <w:rFonts w:ascii="Times New Roman" w:hAnsi="Times New Roman" w:hint="default"/>
      </w:rPr>
    </w:lvl>
  </w:abstractNum>
  <w:abstractNum w:abstractNumId="38" w15:restartNumberingAfterBreak="0">
    <w:nsid w:val="671E32EF"/>
    <w:multiLevelType w:val="singleLevel"/>
    <w:tmpl w:val="401E0E88"/>
    <w:lvl w:ilvl="0">
      <w:start w:val="1"/>
      <w:numFmt w:val="bullet"/>
      <w:pStyle w:val="BulletIndent4"/>
      <w:lvlText w:val=""/>
      <w:lvlJc w:val="left"/>
      <w:pPr>
        <w:tabs>
          <w:tab w:val="num" w:pos="360"/>
        </w:tabs>
        <w:ind w:left="360" w:hanging="360"/>
      </w:pPr>
      <w:rPr>
        <w:rFonts w:ascii="Symbol" w:hAnsi="Symbol" w:hint="default"/>
      </w:rPr>
    </w:lvl>
  </w:abstractNum>
  <w:abstractNum w:abstractNumId="39" w15:restartNumberingAfterBreak="0">
    <w:nsid w:val="6D854AA1"/>
    <w:multiLevelType w:val="hybridMultilevel"/>
    <w:tmpl w:val="F8D48952"/>
    <w:lvl w:ilvl="0" w:tplc="ACCCB4B6">
      <w:start w:val="1"/>
      <w:numFmt w:val="bullet"/>
      <w:pStyle w:val="F-PBulletList1"/>
      <w:lvlText w:val=""/>
      <w:lvlJc w:val="left"/>
      <w:pPr>
        <w:tabs>
          <w:tab w:val="num" w:pos="357"/>
        </w:tabs>
        <w:ind w:left="357" w:hanging="357"/>
      </w:pPr>
      <w:rPr>
        <w:rFonts w:ascii="Symbol" w:hAnsi="Symbol" w:hint="default"/>
        <w:color w:val="auto"/>
      </w:rPr>
    </w:lvl>
    <w:lvl w:ilvl="1" w:tplc="04090003">
      <w:start w:val="1"/>
      <w:numFmt w:val="bullet"/>
      <w:pStyle w:val="F-PHeading2notoc"/>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pStyle w:val="F-PHeading4notoc"/>
      <w:lvlText w:val=""/>
      <w:lvlJc w:val="left"/>
      <w:pPr>
        <w:tabs>
          <w:tab w:val="num" w:pos="2880"/>
        </w:tabs>
        <w:ind w:left="2880" w:hanging="360"/>
      </w:pPr>
      <w:rPr>
        <w:rFonts w:ascii="Symbol" w:hAnsi="Symbol" w:hint="default"/>
      </w:rPr>
    </w:lvl>
    <w:lvl w:ilvl="4" w:tplc="04090003">
      <w:start w:val="1"/>
      <w:numFmt w:val="bullet"/>
      <w:pStyle w:val="F-PHeading5notoc"/>
      <w:lvlText w:val="o"/>
      <w:lvlJc w:val="left"/>
      <w:pPr>
        <w:tabs>
          <w:tab w:val="num" w:pos="3600"/>
        </w:tabs>
        <w:ind w:left="3600" w:hanging="360"/>
      </w:pPr>
      <w:rPr>
        <w:rFonts w:ascii="Courier New" w:hAnsi="Courier New" w:cs="Courier New" w:hint="default"/>
      </w:rPr>
    </w:lvl>
    <w:lvl w:ilvl="5" w:tplc="04090005" w:tentative="1">
      <w:start w:val="1"/>
      <w:numFmt w:val="bullet"/>
      <w:pStyle w:val="F-PHeading6notoc"/>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205D2E"/>
    <w:multiLevelType w:val="singleLevel"/>
    <w:tmpl w:val="30F8FE8A"/>
    <w:lvl w:ilvl="0">
      <w:start w:val="1"/>
      <w:numFmt w:val="bullet"/>
      <w:pStyle w:val="BulletIndent1"/>
      <w:lvlText w:val=""/>
      <w:lvlJc w:val="left"/>
      <w:pPr>
        <w:tabs>
          <w:tab w:val="num" w:pos="360"/>
        </w:tabs>
        <w:ind w:left="360" w:hanging="360"/>
      </w:pPr>
      <w:rPr>
        <w:rFonts w:ascii="Symbol" w:hAnsi="Symbol" w:hint="default"/>
      </w:rPr>
    </w:lvl>
  </w:abstractNum>
  <w:abstractNum w:abstractNumId="41" w15:restartNumberingAfterBreak="0">
    <w:nsid w:val="7B5E0632"/>
    <w:multiLevelType w:val="singleLevel"/>
    <w:tmpl w:val="A8DEEEE8"/>
    <w:lvl w:ilvl="0">
      <w:start w:val="1"/>
      <w:numFmt w:val="bullet"/>
      <w:pStyle w:val="DashIndent1"/>
      <w:lvlText w:val="–"/>
      <w:lvlJc w:val="left"/>
      <w:pPr>
        <w:tabs>
          <w:tab w:val="num" w:pos="360"/>
        </w:tabs>
        <w:ind w:left="360" w:hanging="360"/>
      </w:pPr>
      <w:rPr>
        <w:rFonts w:ascii="Times New Roman" w:hAnsi="Times New Roman" w:hint="default"/>
      </w:rPr>
    </w:lvl>
  </w:abstractNum>
  <w:abstractNum w:abstractNumId="42" w15:restartNumberingAfterBreak="0">
    <w:nsid w:val="7F275E8F"/>
    <w:multiLevelType w:val="hybridMultilevel"/>
    <w:tmpl w:val="A71C57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9"/>
  </w:num>
  <w:num w:numId="4">
    <w:abstractNumId w:val="37"/>
  </w:num>
  <w:num w:numId="5">
    <w:abstractNumId w:val="27"/>
  </w:num>
  <w:num w:numId="6">
    <w:abstractNumId w:val="40"/>
  </w:num>
  <w:num w:numId="7">
    <w:abstractNumId w:val="41"/>
  </w:num>
  <w:num w:numId="8">
    <w:abstractNumId w:val="38"/>
  </w:num>
  <w:num w:numId="9">
    <w:abstractNumId w:val="8"/>
  </w:num>
  <w:num w:numId="10">
    <w:abstractNumId w:val="25"/>
  </w:num>
  <w:num w:numId="11">
    <w:abstractNumId w:val="31"/>
  </w:num>
  <w:num w:numId="12">
    <w:abstractNumId w:val="14"/>
  </w:num>
  <w:num w:numId="13">
    <w:abstractNumId w:val="13"/>
  </w:num>
  <w:num w:numId="14">
    <w:abstractNumId w:val="22"/>
  </w:num>
  <w:num w:numId="15">
    <w:abstractNumId w:val="28"/>
  </w:num>
  <w:num w:numId="16">
    <w:abstractNumId w:val="10"/>
  </w:num>
  <w:num w:numId="17">
    <w:abstractNumId w:val="7"/>
  </w:num>
  <w:num w:numId="18">
    <w:abstractNumId w:val="36"/>
  </w:num>
  <w:num w:numId="19">
    <w:abstractNumId w:val="16"/>
  </w:num>
  <w:num w:numId="20">
    <w:abstractNumId w:val="0"/>
  </w:num>
  <w:num w:numId="21">
    <w:abstractNumId w:val="4"/>
  </w:num>
  <w:num w:numId="22">
    <w:abstractNumId w:val="42"/>
  </w:num>
  <w:num w:numId="23">
    <w:abstractNumId w:val="30"/>
  </w:num>
  <w:num w:numId="24">
    <w:abstractNumId w:val="11"/>
  </w:num>
  <w:num w:numId="25">
    <w:abstractNumId w:val="6"/>
  </w:num>
  <w:num w:numId="26">
    <w:abstractNumId w:val="21"/>
  </w:num>
  <w:num w:numId="27">
    <w:abstractNumId w:val="12"/>
  </w:num>
  <w:num w:numId="28">
    <w:abstractNumId w:val="20"/>
  </w:num>
  <w:num w:numId="29">
    <w:abstractNumId w:val="17"/>
  </w:num>
  <w:num w:numId="30">
    <w:abstractNumId w:val="29"/>
  </w:num>
  <w:num w:numId="31">
    <w:abstractNumId w:val="26"/>
  </w:num>
  <w:num w:numId="32">
    <w:abstractNumId w:val="24"/>
  </w:num>
  <w:num w:numId="33">
    <w:abstractNumId w:val="19"/>
  </w:num>
  <w:num w:numId="34">
    <w:abstractNumId w:val="15"/>
  </w:num>
  <w:num w:numId="35">
    <w:abstractNumId w:val="33"/>
  </w:num>
  <w:num w:numId="36">
    <w:abstractNumId w:val="34"/>
  </w:num>
  <w:num w:numId="37">
    <w:abstractNumId w:val="1"/>
  </w:num>
  <w:num w:numId="38">
    <w:abstractNumId w:val="18"/>
  </w:num>
  <w:num w:numId="39">
    <w:abstractNumId w:val="39"/>
  </w:num>
  <w:num w:numId="40">
    <w:abstractNumId w:val="35"/>
  </w:num>
  <w:num w:numId="41">
    <w:abstractNumId w:val="32"/>
  </w:num>
  <w:num w:numId="42">
    <w:abstractNumId w:val="23"/>
  </w:num>
  <w:num w:numId="43">
    <w:abstractNumId w:val="3"/>
  </w:num>
  <w:num w:numId="44">
    <w:abstractNumId w:val="6"/>
  </w:num>
  <w:num w:numId="45">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ctiveWritingStyle w:appName="MSWord" w:lang="en-US" w:vendorID="64" w:dllVersion="5" w:nlCheck="1" w:checkStyle="1"/>
  <w:activeWritingStyle w:appName="MSWord" w:lang="en-US" w:vendorID="64" w:dllVersion="6" w:nlCheck="1" w:checkStyle="0"/>
  <w:activeWritingStyle w:appName="MSWord" w:lang="en-GB" w:vendorID="64" w:dllVersion="6" w:nlCheck="1" w:checkStyle="0"/>
  <w:activeWritingStyle w:appName="MSWord" w:lang="fr-FR" w:vendorID="64" w:dllVersion="6" w:nlCheck="1" w:checkStyle="1"/>
  <w:activeWritingStyle w:appName="MSWord" w:lang="es-ES_tradnl" w:vendorID="64" w:dllVersion="6" w:nlCheck="1" w:checkStyle="0"/>
  <w:activeWritingStyle w:appName="MSWord" w:lang="en-GB" w:vendorID="64" w:dllVersion="5" w:nlCheck="1" w:checkStyle="1"/>
  <w:activeWritingStyle w:appName="MSWord" w:lang="en-US" w:vendorID="64" w:dllVersion="4096" w:nlCheck="1" w:checkStyle="0"/>
  <w:activeWritingStyle w:appName="MSWord" w:lang="fr-FR" w:vendorID="64" w:dllVersion="4096" w:nlCheck="1" w:checkStyle="0"/>
  <w:activeWritingStyle w:appName="MSWord" w:lang="en-GB" w:vendorID="64" w:dllVersion="4096" w:nlCheck="1" w:checkStyle="0"/>
  <w:activeWritingStyle w:appName="MSWord" w:lang="de-DE" w:vendorID="64" w:dllVersion="4096" w:nlCheck="1" w:checkStyle="0"/>
  <w:activeWritingStyle w:appName="MSWord" w:lang="es-ES" w:vendorID="64" w:dllVersion="4096" w:nlCheck="1" w:checkStyle="0"/>
  <w:activeWritingStyle w:appName="MSWord" w:lang="it-IT" w:vendorID="64" w:dllVersion="4096" w:nlCheck="1" w:checkStyle="0"/>
  <w:activeWritingStyle w:appName="MSWord" w:lang="es-ES_tradnl" w:vendorID="64" w:dllVersion="4096" w:nlCheck="1" w:checkStyle="0"/>
  <w:activeWritingStyle w:appName="MSWord" w:lang="es-ES" w:vendorID="64" w:dllVersion="6" w:nlCheck="1" w:checkStyle="0"/>
  <w:activeWritingStyle w:appName="MSWord" w:lang="fr-CH" w:vendorID="64" w:dllVersion="4096" w:nlCheck="1" w:checkStyle="0"/>
  <w:activeWritingStyle w:appName="MSWord" w:lang="cs-CZ" w:vendorID="64" w:dllVersion="4096" w:nlCheck="1" w:checkStyle="0"/>
  <w:proofState w:spelling="clean" w:grammar="clean"/>
  <w:defaultTabStop w:val="720"/>
  <w:hyphenationZone w:val="425"/>
  <w:clickAndTypeStyle w:val="Heading1Char"/>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932"/>
    <w:rsid w:val="00001523"/>
    <w:rsid w:val="000026A9"/>
    <w:rsid w:val="00004E54"/>
    <w:rsid w:val="000060D1"/>
    <w:rsid w:val="00006C51"/>
    <w:rsid w:val="00006DB2"/>
    <w:rsid w:val="000070D4"/>
    <w:rsid w:val="00010F19"/>
    <w:rsid w:val="00011B28"/>
    <w:rsid w:val="0001300E"/>
    <w:rsid w:val="00015809"/>
    <w:rsid w:val="0002246E"/>
    <w:rsid w:val="00022EAC"/>
    <w:rsid w:val="00030843"/>
    <w:rsid w:val="00032216"/>
    <w:rsid w:val="0003569F"/>
    <w:rsid w:val="0004077C"/>
    <w:rsid w:val="000423CA"/>
    <w:rsid w:val="00043843"/>
    <w:rsid w:val="00044C04"/>
    <w:rsid w:val="00044D2B"/>
    <w:rsid w:val="00044EE5"/>
    <w:rsid w:val="00047961"/>
    <w:rsid w:val="000511B9"/>
    <w:rsid w:val="0005194D"/>
    <w:rsid w:val="000564FC"/>
    <w:rsid w:val="000604A7"/>
    <w:rsid w:val="00060802"/>
    <w:rsid w:val="000623CB"/>
    <w:rsid w:val="000624A9"/>
    <w:rsid w:val="0006256C"/>
    <w:rsid w:val="00065CE8"/>
    <w:rsid w:val="00065F9A"/>
    <w:rsid w:val="00070779"/>
    <w:rsid w:val="00071E43"/>
    <w:rsid w:val="000729E9"/>
    <w:rsid w:val="000811E4"/>
    <w:rsid w:val="00082DA7"/>
    <w:rsid w:val="00083511"/>
    <w:rsid w:val="0008762A"/>
    <w:rsid w:val="00091341"/>
    <w:rsid w:val="000919D2"/>
    <w:rsid w:val="00091D58"/>
    <w:rsid w:val="00092882"/>
    <w:rsid w:val="000942DB"/>
    <w:rsid w:val="000943D0"/>
    <w:rsid w:val="000A07D6"/>
    <w:rsid w:val="000A4F73"/>
    <w:rsid w:val="000A55C4"/>
    <w:rsid w:val="000B43F8"/>
    <w:rsid w:val="000C0009"/>
    <w:rsid w:val="000C001A"/>
    <w:rsid w:val="000C10F2"/>
    <w:rsid w:val="000C4149"/>
    <w:rsid w:val="000C51A1"/>
    <w:rsid w:val="000D3DEA"/>
    <w:rsid w:val="000E0032"/>
    <w:rsid w:val="000E08DB"/>
    <w:rsid w:val="000E0965"/>
    <w:rsid w:val="000E1EB4"/>
    <w:rsid w:val="000E3913"/>
    <w:rsid w:val="000E3997"/>
    <w:rsid w:val="000E3CB3"/>
    <w:rsid w:val="000E5778"/>
    <w:rsid w:val="000E626F"/>
    <w:rsid w:val="000E69F6"/>
    <w:rsid w:val="000F0569"/>
    <w:rsid w:val="000F32C7"/>
    <w:rsid w:val="000F3C2B"/>
    <w:rsid w:val="000F3E00"/>
    <w:rsid w:val="000F44D1"/>
    <w:rsid w:val="000F4E0D"/>
    <w:rsid w:val="000F53F4"/>
    <w:rsid w:val="000F6EFE"/>
    <w:rsid w:val="00104791"/>
    <w:rsid w:val="00106C97"/>
    <w:rsid w:val="00106DFC"/>
    <w:rsid w:val="001071CD"/>
    <w:rsid w:val="00110604"/>
    <w:rsid w:val="00111663"/>
    <w:rsid w:val="00111A2B"/>
    <w:rsid w:val="00114F3A"/>
    <w:rsid w:val="00115413"/>
    <w:rsid w:val="00115A4B"/>
    <w:rsid w:val="00115CD6"/>
    <w:rsid w:val="00117EB0"/>
    <w:rsid w:val="00121650"/>
    <w:rsid w:val="00121F39"/>
    <w:rsid w:val="001225D8"/>
    <w:rsid w:val="00124112"/>
    <w:rsid w:val="0013397F"/>
    <w:rsid w:val="00134EA8"/>
    <w:rsid w:val="00143095"/>
    <w:rsid w:val="001453BE"/>
    <w:rsid w:val="001458CB"/>
    <w:rsid w:val="00145BC7"/>
    <w:rsid w:val="00156522"/>
    <w:rsid w:val="001566F7"/>
    <w:rsid w:val="00157AD5"/>
    <w:rsid w:val="0016404E"/>
    <w:rsid w:val="00164DE4"/>
    <w:rsid w:val="00165318"/>
    <w:rsid w:val="00165F6E"/>
    <w:rsid w:val="001673D0"/>
    <w:rsid w:val="001677A4"/>
    <w:rsid w:val="00172A25"/>
    <w:rsid w:val="00175038"/>
    <w:rsid w:val="0017579A"/>
    <w:rsid w:val="00175F82"/>
    <w:rsid w:val="00177450"/>
    <w:rsid w:val="00177A65"/>
    <w:rsid w:val="00182007"/>
    <w:rsid w:val="00187724"/>
    <w:rsid w:val="001937EF"/>
    <w:rsid w:val="00196057"/>
    <w:rsid w:val="00197701"/>
    <w:rsid w:val="001A0511"/>
    <w:rsid w:val="001A11EB"/>
    <w:rsid w:val="001A245F"/>
    <w:rsid w:val="001A2F97"/>
    <w:rsid w:val="001A4762"/>
    <w:rsid w:val="001A5C80"/>
    <w:rsid w:val="001A66FD"/>
    <w:rsid w:val="001B1571"/>
    <w:rsid w:val="001B17C9"/>
    <w:rsid w:val="001B284D"/>
    <w:rsid w:val="001B28A3"/>
    <w:rsid w:val="001C71E7"/>
    <w:rsid w:val="001D5232"/>
    <w:rsid w:val="001E0CA1"/>
    <w:rsid w:val="001E280D"/>
    <w:rsid w:val="001E3857"/>
    <w:rsid w:val="001E4040"/>
    <w:rsid w:val="001E46A6"/>
    <w:rsid w:val="001E5EF0"/>
    <w:rsid w:val="001E6ED6"/>
    <w:rsid w:val="001E7FA5"/>
    <w:rsid w:val="001F1B76"/>
    <w:rsid w:val="001F20DC"/>
    <w:rsid w:val="001F2AB9"/>
    <w:rsid w:val="001F3F82"/>
    <w:rsid w:val="001F516D"/>
    <w:rsid w:val="001F5FA5"/>
    <w:rsid w:val="0020290C"/>
    <w:rsid w:val="00202F88"/>
    <w:rsid w:val="00203FBE"/>
    <w:rsid w:val="00204FEC"/>
    <w:rsid w:val="00206A9D"/>
    <w:rsid w:val="00206E8C"/>
    <w:rsid w:val="00213A46"/>
    <w:rsid w:val="00214000"/>
    <w:rsid w:val="002221CF"/>
    <w:rsid w:val="00223999"/>
    <w:rsid w:val="0022557B"/>
    <w:rsid w:val="002300B2"/>
    <w:rsid w:val="00230A4F"/>
    <w:rsid w:val="002325CB"/>
    <w:rsid w:val="002350E9"/>
    <w:rsid w:val="00235FA9"/>
    <w:rsid w:val="002418FB"/>
    <w:rsid w:val="0024538A"/>
    <w:rsid w:val="00247310"/>
    <w:rsid w:val="002525A2"/>
    <w:rsid w:val="0025644F"/>
    <w:rsid w:val="0025647E"/>
    <w:rsid w:val="00256DF1"/>
    <w:rsid w:val="0026170D"/>
    <w:rsid w:val="00264FDA"/>
    <w:rsid w:val="00270B0E"/>
    <w:rsid w:val="00272014"/>
    <w:rsid w:val="0027227E"/>
    <w:rsid w:val="00275393"/>
    <w:rsid w:val="002760D5"/>
    <w:rsid w:val="002768B7"/>
    <w:rsid w:val="00281A0A"/>
    <w:rsid w:val="002852C6"/>
    <w:rsid w:val="00285593"/>
    <w:rsid w:val="0028774E"/>
    <w:rsid w:val="00291640"/>
    <w:rsid w:val="00291725"/>
    <w:rsid w:val="00291F27"/>
    <w:rsid w:val="002A0A0A"/>
    <w:rsid w:val="002A0FDE"/>
    <w:rsid w:val="002A362D"/>
    <w:rsid w:val="002B1E14"/>
    <w:rsid w:val="002B7615"/>
    <w:rsid w:val="002C07EF"/>
    <w:rsid w:val="002C3226"/>
    <w:rsid w:val="002C5C08"/>
    <w:rsid w:val="002C6BE7"/>
    <w:rsid w:val="002D2A10"/>
    <w:rsid w:val="002D443D"/>
    <w:rsid w:val="002E1F47"/>
    <w:rsid w:val="002E4060"/>
    <w:rsid w:val="002E463A"/>
    <w:rsid w:val="002E73DE"/>
    <w:rsid w:val="002F7618"/>
    <w:rsid w:val="002F7E49"/>
    <w:rsid w:val="00304D18"/>
    <w:rsid w:val="00306E4F"/>
    <w:rsid w:val="00307C38"/>
    <w:rsid w:val="0031190A"/>
    <w:rsid w:val="00317825"/>
    <w:rsid w:val="00321C42"/>
    <w:rsid w:val="00323F8F"/>
    <w:rsid w:val="0032454A"/>
    <w:rsid w:val="00326F74"/>
    <w:rsid w:val="00327122"/>
    <w:rsid w:val="003340B9"/>
    <w:rsid w:val="00337D5A"/>
    <w:rsid w:val="00342ED7"/>
    <w:rsid w:val="00342EF9"/>
    <w:rsid w:val="0034449D"/>
    <w:rsid w:val="003448C4"/>
    <w:rsid w:val="003449F2"/>
    <w:rsid w:val="00345943"/>
    <w:rsid w:val="00346255"/>
    <w:rsid w:val="003465C3"/>
    <w:rsid w:val="003504C4"/>
    <w:rsid w:val="00351A18"/>
    <w:rsid w:val="0035303F"/>
    <w:rsid w:val="00353759"/>
    <w:rsid w:val="00361781"/>
    <w:rsid w:val="0036428E"/>
    <w:rsid w:val="00367B80"/>
    <w:rsid w:val="0037344C"/>
    <w:rsid w:val="00375397"/>
    <w:rsid w:val="003755AA"/>
    <w:rsid w:val="00376608"/>
    <w:rsid w:val="003818DF"/>
    <w:rsid w:val="00383B45"/>
    <w:rsid w:val="00386431"/>
    <w:rsid w:val="00391AA9"/>
    <w:rsid w:val="00395A12"/>
    <w:rsid w:val="00396085"/>
    <w:rsid w:val="003961FA"/>
    <w:rsid w:val="003970A8"/>
    <w:rsid w:val="003A1F0C"/>
    <w:rsid w:val="003A6E13"/>
    <w:rsid w:val="003B11F2"/>
    <w:rsid w:val="003B43D1"/>
    <w:rsid w:val="003B6014"/>
    <w:rsid w:val="003C1314"/>
    <w:rsid w:val="003C1C4D"/>
    <w:rsid w:val="003C21C0"/>
    <w:rsid w:val="003C561F"/>
    <w:rsid w:val="003C5F66"/>
    <w:rsid w:val="003C6ADA"/>
    <w:rsid w:val="003C722A"/>
    <w:rsid w:val="003D0547"/>
    <w:rsid w:val="003D3481"/>
    <w:rsid w:val="003D5D57"/>
    <w:rsid w:val="003E190B"/>
    <w:rsid w:val="003E39EA"/>
    <w:rsid w:val="003F024A"/>
    <w:rsid w:val="003F11B9"/>
    <w:rsid w:val="003F21F1"/>
    <w:rsid w:val="003F76F5"/>
    <w:rsid w:val="00400F87"/>
    <w:rsid w:val="00403386"/>
    <w:rsid w:val="00403DC6"/>
    <w:rsid w:val="00405236"/>
    <w:rsid w:val="0041052A"/>
    <w:rsid w:val="004141DF"/>
    <w:rsid w:val="00420099"/>
    <w:rsid w:val="00434EEA"/>
    <w:rsid w:val="00444CFF"/>
    <w:rsid w:val="0045077C"/>
    <w:rsid w:val="00452290"/>
    <w:rsid w:val="004565D4"/>
    <w:rsid w:val="0046139E"/>
    <w:rsid w:val="00463287"/>
    <w:rsid w:val="00465D5F"/>
    <w:rsid w:val="00466B96"/>
    <w:rsid w:val="00467179"/>
    <w:rsid w:val="004723AE"/>
    <w:rsid w:val="0047771E"/>
    <w:rsid w:val="004816EC"/>
    <w:rsid w:val="00482279"/>
    <w:rsid w:val="004834C5"/>
    <w:rsid w:val="0048458E"/>
    <w:rsid w:val="0048549D"/>
    <w:rsid w:val="00487389"/>
    <w:rsid w:val="004941E7"/>
    <w:rsid w:val="0049464D"/>
    <w:rsid w:val="00497AD6"/>
    <w:rsid w:val="004A21FA"/>
    <w:rsid w:val="004A2330"/>
    <w:rsid w:val="004A3F31"/>
    <w:rsid w:val="004B14E2"/>
    <w:rsid w:val="004B1DD6"/>
    <w:rsid w:val="004B26D9"/>
    <w:rsid w:val="004B355E"/>
    <w:rsid w:val="004B3B97"/>
    <w:rsid w:val="004B6D01"/>
    <w:rsid w:val="004B7A18"/>
    <w:rsid w:val="004C18F7"/>
    <w:rsid w:val="004C1F31"/>
    <w:rsid w:val="004D1027"/>
    <w:rsid w:val="004E4942"/>
    <w:rsid w:val="004E53C5"/>
    <w:rsid w:val="004E5FE8"/>
    <w:rsid w:val="004E6E17"/>
    <w:rsid w:val="004F0C46"/>
    <w:rsid w:val="004F0FE2"/>
    <w:rsid w:val="004F3340"/>
    <w:rsid w:val="004F4695"/>
    <w:rsid w:val="004F54FB"/>
    <w:rsid w:val="004F7977"/>
    <w:rsid w:val="00501CD8"/>
    <w:rsid w:val="005148BE"/>
    <w:rsid w:val="00514D3C"/>
    <w:rsid w:val="0052090E"/>
    <w:rsid w:val="00524311"/>
    <w:rsid w:val="00530FBC"/>
    <w:rsid w:val="0053174A"/>
    <w:rsid w:val="0053264B"/>
    <w:rsid w:val="005345DB"/>
    <w:rsid w:val="00535B42"/>
    <w:rsid w:val="00535D30"/>
    <w:rsid w:val="005362A1"/>
    <w:rsid w:val="00536D1D"/>
    <w:rsid w:val="0053701A"/>
    <w:rsid w:val="005406F7"/>
    <w:rsid w:val="005416F2"/>
    <w:rsid w:val="0054549A"/>
    <w:rsid w:val="005465ED"/>
    <w:rsid w:val="00555F21"/>
    <w:rsid w:val="00562050"/>
    <w:rsid w:val="00564033"/>
    <w:rsid w:val="00565309"/>
    <w:rsid w:val="00570E43"/>
    <w:rsid w:val="005733E6"/>
    <w:rsid w:val="00573901"/>
    <w:rsid w:val="00575960"/>
    <w:rsid w:val="00576C73"/>
    <w:rsid w:val="00576FE1"/>
    <w:rsid w:val="00577070"/>
    <w:rsid w:val="00577B7E"/>
    <w:rsid w:val="00581378"/>
    <w:rsid w:val="00583C8F"/>
    <w:rsid w:val="00586696"/>
    <w:rsid w:val="00586F8A"/>
    <w:rsid w:val="005876BC"/>
    <w:rsid w:val="005A03FD"/>
    <w:rsid w:val="005A08D2"/>
    <w:rsid w:val="005A0F66"/>
    <w:rsid w:val="005A2C25"/>
    <w:rsid w:val="005A2E32"/>
    <w:rsid w:val="005A2E5D"/>
    <w:rsid w:val="005A4062"/>
    <w:rsid w:val="005A6F4A"/>
    <w:rsid w:val="005A7B1B"/>
    <w:rsid w:val="005B2067"/>
    <w:rsid w:val="005B3E95"/>
    <w:rsid w:val="005B4664"/>
    <w:rsid w:val="005B7D73"/>
    <w:rsid w:val="005C0618"/>
    <w:rsid w:val="005C091F"/>
    <w:rsid w:val="005C2125"/>
    <w:rsid w:val="005C250B"/>
    <w:rsid w:val="005C286C"/>
    <w:rsid w:val="005C5F2B"/>
    <w:rsid w:val="005D17D7"/>
    <w:rsid w:val="005D3195"/>
    <w:rsid w:val="005D748C"/>
    <w:rsid w:val="005E11EE"/>
    <w:rsid w:val="005E1A69"/>
    <w:rsid w:val="005E2AE9"/>
    <w:rsid w:val="005E3390"/>
    <w:rsid w:val="005E5F9C"/>
    <w:rsid w:val="005E6AE3"/>
    <w:rsid w:val="005E7192"/>
    <w:rsid w:val="005F10D6"/>
    <w:rsid w:val="005F157F"/>
    <w:rsid w:val="005F16F8"/>
    <w:rsid w:val="005F2C4B"/>
    <w:rsid w:val="00601358"/>
    <w:rsid w:val="006041E7"/>
    <w:rsid w:val="0060493F"/>
    <w:rsid w:val="00604F40"/>
    <w:rsid w:val="00615BB3"/>
    <w:rsid w:val="00632195"/>
    <w:rsid w:val="0063721E"/>
    <w:rsid w:val="0063744F"/>
    <w:rsid w:val="00640A11"/>
    <w:rsid w:val="00643C8A"/>
    <w:rsid w:val="00646E1B"/>
    <w:rsid w:val="00653B74"/>
    <w:rsid w:val="00655DA8"/>
    <w:rsid w:val="00656E87"/>
    <w:rsid w:val="0065712B"/>
    <w:rsid w:val="00663287"/>
    <w:rsid w:val="006632B5"/>
    <w:rsid w:val="006649A3"/>
    <w:rsid w:val="00666E40"/>
    <w:rsid w:val="00673269"/>
    <w:rsid w:val="00673680"/>
    <w:rsid w:val="00676D6E"/>
    <w:rsid w:val="00677816"/>
    <w:rsid w:val="006A35B0"/>
    <w:rsid w:val="006A6F3F"/>
    <w:rsid w:val="006A6FA7"/>
    <w:rsid w:val="006A7887"/>
    <w:rsid w:val="006B00F7"/>
    <w:rsid w:val="006B340F"/>
    <w:rsid w:val="006B4DD6"/>
    <w:rsid w:val="006B64FC"/>
    <w:rsid w:val="006B67A6"/>
    <w:rsid w:val="006D57D4"/>
    <w:rsid w:val="006D6B0F"/>
    <w:rsid w:val="006E06E5"/>
    <w:rsid w:val="006E1D44"/>
    <w:rsid w:val="006E22CC"/>
    <w:rsid w:val="006E3100"/>
    <w:rsid w:val="006E4BE3"/>
    <w:rsid w:val="006E6538"/>
    <w:rsid w:val="006E73D0"/>
    <w:rsid w:val="006E7ED0"/>
    <w:rsid w:val="00701968"/>
    <w:rsid w:val="007028C1"/>
    <w:rsid w:val="00703006"/>
    <w:rsid w:val="00704917"/>
    <w:rsid w:val="0070581A"/>
    <w:rsid w:val="00705E3B"/>
    <w:rsid w:val="0071077C"/>
    <w:rsid w:val="00713913"/>
    <w:rsid w:val="007164B0"/>
    <w:rsid w:val="00725E97"/>
    <w:rsid w:val="007270A3"/>
    <w:rsid w:val="00727863"/>
    <w:rsid w:val="00727C85"/>
    <w:rsid w:val="0073219C"/>
    <w:rsid w:val="00733B84"/>
    <w:rsid w:val="00735280"/>
    <w:rsid w:val="00736987"/>
    <w:rsid w:val="0073722D"/>
    <w:rsid w:val="00737925"/>
    <w:rsid w:val="00737CAC"/>
    <w:rsid w:val="00740E33"/>
    <w:rsid w:val="00742251"/>
    <w:rsid w:val="0074579C"/>
    <w:rsid w:val="007501F4"/>
    <w:rsid w:val="007502EA"/>
    <w:rsid w:val="00753BEE"/>
    <w:rsid w:val="00754C9C"/>
    <w:rsid w:val="007573F7"/>
    <w:rsid w:val="00760D03"/>
    <w:rsid w:val="007612DB"/>
    <w:rsid w:val="00764782"/>
    <w:rsid w:val="00764CC7"/>
    <w:rsid w:val="00766C04"/>
    <w:rsid w:val="00773549"/>
    <w:rsid w:val="00777B5F"/>
    <w:rsid w:val="00777E1E"/>
    <w:rsid w:val="0078082B"/>
    <w:rsid w:val="0078084D"/>
    <w:rsid w:val="00780BD2"/>
    <w:rsid w:val="00780E6D"/>
    <w:rsid w:val="0078323E"/>
    <w:rsid w:val="007844D5"/>
    <w:rsid w:val="00787611"/>
    <w:rsid w:val="007956FE"/>
    <w:rsid w:val="00796087"/>
    <w:rsid w:val="00796C13"/>
    <w:rsid w:val="00797C7F"/>
    <w:rsid w:val="007A1581"/>
    <w:rsid w:val="007A747C"/>
    <w:rsid w:val="007B0EB2"/>
    <w:rsid w:val="007B704A"/>
    <w:rsid w:val="007C2456"/>
    <w:rsid w:val="007C28F9"/>
    <w:rsid w:val="007C2C9A"/>
    <w:rsid w:val="007C5424"/>
    <w:rsid w:val="007D0423"/>
    <w:rsid w:val="007D0443"/>
    <w:rsid w:val="007D3FB0"/>
    <w:rsid w:val="007D56E4"/>
    <w:rsid w:val="007E7820"/>
    <w:rsid w:val="007F7975"/>
    <w:rsid w:val="00800CB7"/>
    <w:rsid w:val="00800E62"/>
    <w:rsid w:val="00801364"/>
    <w:rsid w:val="00803736"/>
    <w:rsid w:val="00805DD7"/>
    <w:rsid w:val="008078A1"/>
    <w:rsid w:val="008145C5"/>
    <w:rsid w:val="008154B9"/>
    <w:rsid w:val="00816F74"/>
    <w:rsid w:val="00817D0E"/>
    <w:rsid w:val="00820295"/>
    <w:rsid w:val="00820DAA"/>
    <w:rsid w:val="00821749"/>
    <w:rsid w:val="00824BCB"/>
    <w:rsid w:val="00826737"/>
    <w:rsid w:val="00831B61"/>
    <w:rsid w:val="00833948"/>
    <w:rsid w:val="00834B4F"/>
    <w:rsid w:val="008352E3"/>
    <w:rsid w:val="00835EEE"/>
    <w:rsid w:val="0084296A"/>
    <w:rsid w:val="008442BE"/>
    <w:rsid w:val="008464F2"/>
    <w:rsid w:val="008508CB"/>
    <w:rsid w:val="00852335"/>
    <w:rsid w:val="0085259F"/>
    <w:rsid w:val="00853822"/>
    <w:rsid w:val="00853C57"/>
    <w:rsid w:val="00853D61"/>
    <w:rsid w:val="00860459"/>
    <w:rsid w:val="00861350"/>
    <w:rsid w:val="00864D28"/>
    <w:rsid w:val="00867E13"/>
    <w:rsid w:val="00867FD0"/>
    <w:rsid w:val="008747A1"/>
    <w:rsid w:val="008800BE"/>
    <w:rsid w:val="008808AF"/>
    <w:rsid w:val="0088373D"/>
    <w:rsid w:val="00883A31"/>
    <w:rsid w:val="00883B89"/>
    <w:rsid w:val="00884BF4"/>
    <w:rsid w:val="00884DAB"/>
    <w:rsid w:val="008863E6"/>
    <w:rsid w:val="00891D89"/>
    <w:rsid w:val="00893D9E"/>
    <w:rsid w:val="008A23F4"/>
    <w:rsid w:val="008A3938"/>
    <w:rsid w:val="008A5A26"/>
    <w:rsid w:val="008A627B"/>
    <w:rsid w:val="008B169D"/>
    <w:rsid w:val="008B1FA2"/>
    <w:rsid w:val="008B2FDD"/>
    <w:rsid w:val="008C018A"/>
    <w:rsid w:val="008C2B59"/>
    <w:rsid w:val="008C40F3"/>
    <w:rsid w:val="008C5310"/>
    <w:rsid w:val="008C6468"/>
    <w:rsid w:val="008C6B51"/>
    <w:rsid w:val="008D4986"/>
    <w:rsid w:val="008D5B33"/>
    <w:rsid w:val="008D79C8"/>
    <w:rsid w:val="008D7D7C"/>
    <w:rsid w:val="008E031B"/>
    <w:rsid w:val="008E0350"/>
    <w:rsid w:val="008E04F8"/>
    <w:rsid w:val="008E0E22"/>
    <w:rsid w:val="008E1D36"/>
    <w:rsid w:val="008E3E15"/>
    <w:rsid w:val="008E412B"/>
    <w:rsid w:val="008E7695"/>
    <w:rsid w:val="008E7F6B"/>
    <w:rsid w:val="008F2A1F"/>
    <w:rsid w:val="008F447A"/>
    <w:rsid w:val="009041F5"/>
    <w:rsid w:val="009044B0"/>
    <w:rsid w:val="009068B0"/>
    <w:rsid w:val="00906AF5"/>
    <w:rsid w:val="00912034"/>
    <w:rsid w:val="0091211E"/>
    <w:rsid w:val="009156D4"/>
    <w:rsid w:val="00917738"/>
    <w:rsid w:val="0092563A"/>
    <w:rsid w:val="00925E01"/>
    <w:rsid w:val="00932EC9"/>
    <w:rsid w:val="009356E8"/>
    <w:rsid w:val="0094016D"/>
    <w:rsid w:val="00940C25"/>
    <w:rsid w:val="0094371A"/>
    <w:rsid w:val="0094653A"/>
    <w:rsid w:val="00947731"/>
    <w:rsid w:val="00951D58"/>
    <w:rsid w:val="0095217A"/>
    <w:rsid w:val="00952FCA"/>
    <w:rsid w:val="00953B7F"/>
    <w:rsid w:val="00953FDC"/>
    <w:rsid w:val="00961836"/>
    <w:rsid w:val="009640B6"/>
    <w:rsid w:val="00964200"/>
    <w:rsid w:val="0097034E"/>
    <w:rsid w:val="009708A6"/>
    <w:rsid w:val="009715AF"/>
    <w:rsid w:val="00972C71"/>
    <w:rsid w:val="009738C3"/>
    <w:rsid w:val="00975994"/>
    <w:rsid w:val="009764D9"/>
    <w:rsid w:val="00977932"/>
    <w:rsid w:val="00980646"/>
    <w:rsid w:val="009826C3"/>
    <w:rsid w:val="00982DB4"/>
    <w:rsid w:val="0098463A"/>
    <w:rsid w:val="00986961"/>
    <w:rsid w:val="00986D22"/>
    <w:rsid w:val="00992DFA"/>
    <w:rsid w:val="0099300D"/>
    <w:rsid w:val="00993743"/>
    <w:rsid w:val="00994619"/>
    <w:rsid w:val="00994669"/>
    <w:rsid w:val="009A3AB6"/>
    <w:rsid w:val="009A47AC"/>
    <w:rsid w:val="009A6990"/>
    <w:rsid w:val="009A7700"/>
    <w:rsid w:val="009B36E8"/>
    <w:rsid w:val="009B3C93"/>
    <w:rsid w:val="009B7569"/>
    <w:rsid w:val="009C200C"/>
    <w:rsid w:val="009C235A"/>
    <w:rsid w:val="009D5108"/>
    <w:rsid w:val="009D5241"/>
    <w:rsid w:val="009D6060"/>
    <w:rsid w:val="009E03B8"/>
    <w:rsid w:val="009E1A68"/>
    <w:rsid w:val="009E722F"/>
    <w:rsid w:val="009E72A2"/>
    <w:rsid w:val="009E76A1"/>
    <w:rsid w:val="009F0394"/>
    <w:rsid w:val="009F1371"/>
    <w:rsid w:val="009F2AB7"/>
    <w:rsid w:val="009F4950"/>
    <w:rsid w:val="009F5AF7"/>
    <w:rsid w:val="00A0071D"/>
    <w:rsid w:val="00A01D3A"/>
    <w:rsid w:val="00A055E9"/>
    <w:rsid w:val="00A11AB0"/>
    <w:rsid w:val="00A218B1"/>
    <w:rsid w:val="00A22C8D"/>
    <w:rsid w:val="00A230A7"/>
    <w:rsid w:val="00A25684"/>
    <w:rsid w:val="00A3058C"/>
    <w:rsid w:val="00A31F63"/>
    <w:rsid w:val="00A31F6C"/>
    <w:rsid w:val="00A334A7"/>
    <w:rsid w:val="00A34FA3"/>
    <w:rsid w:val="00A40674"/>
    <w:rsid w:val="00A47054"/>
    <w:rsid w:val="00A52719"/>
    <w:rsid w:val="00A531F3"/>
    <w:rsid w:val="00A53B3E"/>
    <w:rsid w:val="00A55AF6"/>
    <w:rsid w:val="00A5705E"/>
    <w:rsid w:val="00A60103"/>
    <w:rsid w:val="00A60A5D"/>
    <w:rsid w:val="00A616DB"/>
    <w:rsid w:val="00A622AE"/>
    <w:rsid w:val="00A63191"/>
    <w:rsid w:val="00A63206"/>
    <w:rsid w:val="00A635A9"/>
    <w:rsid w:val="00A6453C"/>
    <w:rsid w:val="00A6496D"/>
    <w:rsid w:val="00A65A92"/>
    <w:rsid w:val="00A67B0D"/>
    <w:rsid w:val="00A76AD6"/>
    <w:rsid w:val="00A8047A"/>
    <w:rsid w:val="00A83059"/>
    <w:rsid w:val="00A85F09"/>
    <w:rsid w:val="00A85F87"/>
    <w:rsid w:val="00A8631F"/>
    <w:rsid w:val="00A91274"/>
    <w:rsid w:val="00A9157F"/>
    <w:rsid w:val="00A9216F"/>
    <w:rsid w:val="00A938B7"/>
    <w:rsid w:val="00A93FA7"/>
    <w:rsid w:val="00A96ADC"/>
    <w:rsid w:val="00AA0056"/>
    <w:rsid w:val="00AA1930"/>
    <w:rsid w:val="00AA1AD1"/>
    <w:rsid w:val="00AA4BD7"/>
    <w:rsid w:val="00AA5FDA"/>
    <w:rsid w:val="00AB08F3"/>
    <w:rsid w:val="00AB0C78"/>
    <w:rsid w:val="00AB284D"/>
    <w:rsid w:val="00AB2DF5"/>
    <w:rsid w:val="00AC2701"/>
    <w:rsid w:val="00AC2B33"/>
    <w:rsid w:val="00AC3842"/>
    <w:rsid w:val="00AC695F"/>
    <w:rsid w:val="00AC72BC"/>
    <w:rsid w:val="00AC7484"/>
    <w:rsid w:val="00AC79B7"/>
    <w:rsid w:val="00AD1A93"/>
    <w:rsid w:val="00AD1ADE"/>
    <w:rsid w:val="00AD2318"/>
    <w:rsid w:val="00AD3748"/>
    <w:rsid w:val="00AD43AE"/>
    <w:rsid w:val="00AD4D5D"/>
    <w:rsid w:val="00AD666E"/>
    <w:rsid w:val="00AE2B23"/>
    <w:rsid w:val="00AE2DF5"/>
    <w:rsid w:val="00AE467D"/>
    <w:rsid w:val="00AE4D07"/>
    <w:rsid w:val="00AE5B71"/>
    <w:rsid w:val="00AE64F2"/>
    <w:rsid w:val="00AE730C"/>
    <w:rsid w:val="00B03CCE"/>
    <w:rsid w:val="00B04639"/>
    <w:rsid w:val="00B05476"/>
    <w:rsid w:val="00B05952"/>
    <w:rsid w:val="00B07569"/>
    <w:rsid w:val="00B11444"/>
    <w:rsid w:val="00B116EA"/>
    <w:rsid w:val="00B15E86"/>
    <w:rsid w:val="00B15F8B"/>
    <w:rsid w:val="00B202AD"/>
    <w:rsid w:val="00B217A5"/>
    <w:rsid w:val="00B22181"/>
    <w:rsid w:val="00B23930"/>
    <w:rsid w:val="00B24750"/>
    <w:rsid w:val="00B24D87"/>
    <w:rsid w:val="00B25200"/>
    <w:rsid w:val="00B311E0"/>
    <w:rsid w:val="00B34205"/>
    <w:rsid w:val="00B34FCA"/>
    <w:rsid w:val="00B352AD"/>
    <w:rsid w:val="00B37149"/>
    <w:rsid w:val="00B372B3"/>
    <w:rsid w:val="00B53853"/>
    <w:rsid w:val="00B53C46"/>
    <w:rsid w:val="00B54736"/>
    <w:rsid w:val="00B54FA9"/>
    <w:rsid w:val="00B5580C"/>
    <w:rsid w:val="00B57C67"/>
    <w:rsid w:val="00B62DA7"/>
    <w:rsid w:val="00B66F06"/>
    <w:rsid w:val="00B675A6"/>
    <w:rsid w:val="00B71452"/>
    <w:rsid w:val="00B723AC"/>
    <w:rsid w:val="00B72BBC"/>
    <w:rsid w:val="00B72D12"/>
    <w:rsid w:val="00B75064"/>
    <w:rsid w:val="00B80F8B"/>
    <w:rsid w:val="00B81F9C"/>
    <w:rsid w:val="00B82AC0"/>
    <w:rsid w:val="00B834DA"/>
    <w:rsid w:val="00B83DCF"/>
    <w:rsid w:val="00B868FB"/>
    <w:rsid w:val="00B87492"/>
    <w:rsid w:val="00B911EB"/>
    <w:rsid w:val="00B93521"/>
    <w:rsid w:val="00B93607"/>
    <w:rsid w:val="00BA0B72"/>
    <w:rsid w:val="00BA6D2D"/>
    <w:rsid w:val="00BA785F"/>
    <w:rsid w:val="00BB2B23"/>
    <w:rsid w:val="00BB55F3"/>
    <w:rsid w:val="00BB6F6B"/>
    <w:rsid w:val="00BB71A2"/>
    <w:rsid w:val="00BC0ED1"/>
    <w:rsid w:val="00BC3A30"/>
    <w:rsid w:val="00BC63DE"/>
    <w:rsid w:val="00BC664D"/>
    <w:rsid w:val="00BC7097"/>
    <w:rsid w:val="00BD0E85"/>
    <w:rsid w:val="00BD1691"/>
    <w:rsid w:val="00BD4590"/>
    <w:rsid w:val="00BD5300"/>
    <w:rsid w:val="00BD5EAD"/>
    <w:rsid w:val="00BE0281"/>
    <w:rsid w:val="00BE0FF7"/>
    <w:rsid w:val="00BE181F"/>
    <w:rsid w:val="00BE1D72"/>
    <w:rsid w:val="00BE21BA"/>
    <w:rsid w:val="00BE28DE"/>
    <w:rsid w:val="00BE5F7F"/>
    <w:rsid w:val="00BE63CE"/>
    <w:rsid w:val="00BE6654"/>
    <w:rsid w:val="00BF0ED6"/>
    <w:rsid w:val="00BF5153"/>
    <w:rsid w:val="00BF588A"/>
    <w:rsid w:val="00C00CCB"/>
    <w:rsid w:val="00C02C4D"/>
    <w:rsid w:val="00C0724D"/>
    <w:rsid w:val="00C10DED"/>
    <w:rsid w:val="00C10E38"/>
    <w:rsid w:val="00C10F15"/>
    <w:rsid w:val="00C11A26"/>
    <w:rsid w:val="00C17982"/>
    <w:rsid w:val="00C20746"/>
    <w:rsid w:val="00C21363"/>
    <w:rsid w:val="00C21E50"/>
    <w:rsid w:val="00C227ED"/>
    <w:rsid w:val="00C22932"/>
    <w:rsid w:val="00C22CB7"/>
    <w:rsid w:val="00C23B81"/>
    <w:rsid w:val="00C250F3"/>
    <w:rsid w:val="00C2519E"/>
    <w:rsid w:val="00C25247"/>
    <w:rsid w:val="00C322AE"/>
    <w:rsid w:val="00C32C68"/>
    <w:rsid w:val="00C32D6C"/>
    <w:rsid w:val="00C33658"/>
    <w:rsid w:val="00C34828"/>
    <w:rsid w:val="00C41AEC"/>
    <w:rsid w:val="00C47A1B"/>
    <w:rsid w:val="00C47C21"/>
    <w:rsid w:val="00C511A6"/>
    <w:rsid w:val="00C5225B"/>
    <w:rsid w:val="00C56A76"/>
    <w:rsid w:val="00C5729B"/>
    <w:rsid w:val="00C57332"/>
    <w:rsid w:val="00C61101"/>
    <w:rsid w:val="00C62E2F"/>
    <w:rsid w:val="00C655D0"/>
    <w:rsid w:val="00C65F3E"/>
    <w:rsid w:val="00C665E8"/>
    <w:rsid w:val="00C74747"/>
    <w:rsid w:val="00C77079"/>
    <w:rsid w:val="00C778F9"/>
    <w:rsid w:val="00C802D5"/>
    <w:rsid w:val="00C81136"/>
    <w:rsid w:val="00C811BE"/>
    <w:rsid w:val="00C81797"/>
    <w:rsid w:val="00C82F9B"/>
    <w:rsid w:val="00C90529"/>
    <w:rsid w:val="00C9456D"/>
    <w:rsid w:val="00CA11E8"/>
    <w:rsid w:val="00CA203F"/>
    <w:rsid w:val="00CA389E"/>
    <w:rsid w:val="00CA4919"/>
    <w:rsid w:val="00CA6251"/>
    <w:rsid w:val="00CA6B77"/>
    <w:rsid w:val="00CA72DB"/>
    <w:rsid w:val="00CA7A8A"/>
    <w:rsid w:val="00CB0362"/>
    <w:rsid w:val="00CB0E96"/>
    <w:rsid w:val="00CB1326"/>
    <w:rsid w:val="00CB13A2"/>
    <w:rsid w:val="00CB1EF7"/>
    <w:rsid w:val="00CB209E"/>
    <w:rsid w:val="00CB3479"/>
    <w:rsid w:val="00CB47A9"/>
    <w:rsid w:val="00CB6828"/>
    <w:rsid w:val="00CB7688"/>
    <w:rsid w:val="00CC1596"/>
    <w:rsid w:val="00CC1969"/>
    <w:rsid w:val="00CC35E2"/>
    <w:rsid w:val="00CC53CB"/>
    <w:rsid w:val="00CC7797"/>
    <w:rsid w:val="00CC7DD8"/>
    <w:rsid w:val="00CD07FC"/>
    <w:rsid w:val="00CD0B83"/>
    <w:rsid w:val="00CD20FF"/>
    <w:rsid w:val="00CD2205"/>
    <w:rsid w:val="00CD2C3F"/>
    <w:rsid w:val="00CD43EE"/>
    <w:rsid w:val="00CD4643"/>
    <w:rsid w:val="00CD67E8"/>
    <w:rsid w:val="00CD7844"/>
    <w:rsid w:val="00CE13E1"/>
    <w:rsid w:val="00CE1F17"/>
    <w:rsid w:val="00CE3505"/>
    <w:rsid w:val="00CE403F"/>
    <w:rsid w:val="00CF1822"/>
    <w:rsid w:val="00CF3660"/>
    <w:rsid w:val="00CF6D0C"/>
    <w:rsid w:val="00D00D82"/>
    <w:rsid w:val="00D03558"/>
    <w:rsid w:val="00D03BAF"/>
    <w:rsid w:val="00D04282"/>
    <w:rsid w:val="00D15D54"/>
    <w:rsid w:val="00D17507"/>
    <w:rsid w:val="00D20C81"/>
    <w:rsid w:val="00D20D29"/>
    <w:rsid w:val="00D24AFB"/>
    <w:rsid w:val="00D26ACC"/>
    <w:rsid w:val="00D26EFA"/>
    <w:rsid w:val="00D27007"/>
    <w:rsid w:val="00D30122"/>
    <w:rsid w:val="00D30347"/>
    <w:rsid w:val="00D31B67"/>
    <w:rsid w:val="00D321F5"/>
    <w:rsid w:val="00D32623"/>
    <w:rsid w:val="00D3262C"/>
    <w:rsid w:val="00D33491"/>
    <w:rsid w:val="00D338A2"/>
    <w:rsid w:val="00D34A05"/>
    <w:rsid w:val="00D37076"/>
    <w:rsid w:val="00D37349"/>
    <w:rsid w:val="00D41F59"/>
    <w:rsid w:val="00D4277B"/>
    <w:rsid w:val="00D42CEB"/>
    <w:rsid w:val="00D4316A"/>
    <w:rsid w:val="00D51772"/>
    <w:rsid w:val="00D51E64"/>
    <w:rsid w:val="00D53779"/>
    <w:rsid w:val="00D565C7"/>
    <w:rsid w:val="00D57616"/>
    <w:rsid w:val="00D6443D"/>
    <w:rsid w:val="00D66BC9"/>
    <w:rsid w:val="00D67098"/>
    <w:rsid w:val="00D6733F"/>
    <w:rsid w:val="00D71CA5"/>
    <w:rsid w:val="00D73C99"/>
    <w:rsid w:val="00D747D4"/>
    <w:rsid w:val="00D76374"/>
    <w:rsid w:val="00D765BB"/>
    <w:rsid w:val="00D86D53"/>
    <w:rsid w:val="00D92E20"/>
    <w:rsid w:val="00D973CA"/>
    <w:rsid w:val="00DA4564"/>
    <w:rsid w:val="00DB3A51"/>
    <w:rsid w:val="00DC211A"/>
    <w:rsid w:val="00DC69A2"/>
    <w:rsid w:val="00DD0117"/>
    <w:rsid w:val="00DD2FBB"/>
    <w:rsid w:val="00DD441E"/>
    <w:rsid w:val="00DE0AD8"/>
    <w:rsid w:val="00DE0C02"/>
    <w:rsid w:val="00DE3549"/>
    <w:rsid w:val="00DE6509"/>
    <w:rsid w:val="00DE6D79"/>
    <w:rsid w:val="00DF3FBD"/>
    <w:rsid w:val="00DF75A8"/>
    <w:rsid w:val="00DF7E8E"/>
    <w:rsid w:val="00E06243"/>
    <w:rsid w:val="00E064AD"/>
    <w:rsid w:val="00E10B83"/>
    <w:rsid w:val="00E11B6F"/>
    <w:rsid w:val="00E14B66"/>
    <w:rsid w:val="00E14D4C"/>
    <w:rsid w:val="00E15901"/>
    <w:rsid w:val="00E15C21"/>
    <w:rsid w:val="00E16EF5"/>
    <w:rsid w:val="00E17A78"/>
    <w:rsid w:val="00E237BD"/>
    <w:rsid w:val="00E240E4"/>
    <w:rsid w:val="00E27537"/>
    <w:rsid w:val="00E27972"/>
    <w:rsid w:val="00E27A85"/>
    <w:rsid w:val="00E32385"/>
    <w:rsid w:val="00E33E5F"/>
    <w:rsid w:val="00E35BF3"/>
    <w:rsid w:val="00E35F00"/>
    <w:rsid w:val="00E431DA"/>
    <w:rsid w:val="00E463FF"/>
    <w:rsid w:val="00E47CC2"/>
    <w:rsid w:val="00E51672"/>
    <w:rsid w:val="00E52286"/>
    <w:rsid w:val="00E60F64"/>
    <w:rsid w:val="00E651B3"/>
    <w:rsid w:val="00E66FFB"/>
    <w:rsid w:val="00E70E3A"/>
    <w:rsid w:val="00E71F7C"/>
    <w:rsid w:val="00E72C09"/>
    <w:rsid w:val="00E7409C"/>
    <w:rsid w:val="00E755F7"/>
    <w:rsid w:val="00E75B40"/>
    <w:rsid w:val="00E80664"/>
    <w:rsid w:val="00E81EFB"/>
    <w:rsid w:val="00E820AA"/>
    <w:rsid w:val="00E82E63"/>
    <w:rsid w:val="00E83A5A"/>
    <w:rsid w:val="00E86014"/>
    <w:rsid w:val="00E87941"/>
    <w:rsid w:val="00E92B3E"/>
    <w:rsid w:val="00E94110"/>
    <w:rsid w:val="00E94878"/>
    <w:rsid w:val="00E973E7"/>
    <w:rsid w:val="00EA08A9"/>
    <w:rsid w:val="00EA56A8"/>
    <w:rsid w:val="00EA60AA"/>
    <w:rsid w:val="00EA6316"/>
    <w:rsid w:val="00EA6CBA"/>
    <w:rsid w:val="00EA7283"/>
    <w:rsid w:val="00EB12A3"/>
    <w:rsid w:val="00EB3461"/>
    <w:rsid w:val="00EB7061"/>
    <w:rsid w:val="00EC011F"/>
    <w:rsid w:val="00EC1E13"/>
    <w:rsid w:val="00EC3F0B"/>
    <w:rsid w:val="00EC45FA"/>
    <w:rsid w:val="00EC4947"/>
    <w:rsid w:val="00EC5E36"/>
    <w:rsid w:val="00EC63DE"/>
    <w:rsid w:val="00EC7542"/>
    <w:rsid w:val="00ED1320"/>
    <w:rsid w:val="00ED1596"/>
    <w:rsid w:val="00ED764D"/>
    <w:rsid w:val="00EE0530"/>
    <w:rsid w:val="00EE0FB4"/>
    <w:rsid w:val="00EE5AE7"/>
    <w:rsid w:val="00EE6484"/>
    <w:rsid w:val="00EF167D"/>
    <w:rsid w:val="00EF2964"/>
    <w:rsid w:val="00EF40A4"/>
    <w:rsid w:val="00EF5AB2"/>
    <w:rsid w:val="00EF72DB"/>
    <w:rsid w:val="00F007AC"/>
    <w:rsid w:val="00F034D9"/>
    <w:rsid w:val="00F04542"/>
    <w:rsid w:val="00F114D2"/>
    <w:rsid w:val="00F13D18"/>
    <w:rsid w:val="00F1408E"/>
    <w:rsid w:val="00F15685"/>
    <w:rsid w:val="00F22B1D"/>
    <w:rsid w:val="00F23508"/>
    <w:rsid w:val="00F278A6"/>
    <w:rsid w:val="00F30A52"/>
    <w:rsid w:val="00F34848"/>
    <w:rsid w:val="00F36672"/>
    <w:rsid w:val="00F3702F"/>
    <w:rsid w:val="00F37B05"/>
    <w:rsid w:val="00F41DF7"/>
    <w:rsid w:val="00F42BCD"/>
    <w:rsid w:val="00F443EA"/>
    <w:rsid w:val="00F45E60"/>
    <w:rsid w:val="00F509A0"/>
    <w:rsid w:val="00F51C8C"/>
    <w:rsid w:val="00F52F5B"/>
    <w:rsid w:val="00F53782"/>
    <w:rsid w:val="00F57BB2"/>
    <w:rsid w:val="00F57DAA"/>
    <w:rsid w:val="00F6166C"/>
    <w:rsid w:val="00F7796A"/>
    <w:rsid w:val="00F80A60"/>
    <w:rsid w:val="00F8254D"/>
    <w:rsid w:val="00F832A0"/>
    <w:rsid w:val="00F8399C"/>
    <w:rsid w:val="00F85E78"/>
    <w:rsid w:val="00F90041"/>
    <w:rsid w:val="00F952DC"/>
    <w:rsid w:val="00FA63E6"/>
    <w:rsid w:val="00FB1C22"/>
    <w:rsid w:val="00FB275A"/>
    <w:rsid w:val="00FB3356"/>
    <w:rsid w:val="00FB4C52"/>
    <w:rsid w:val="00FB5FC0"/>
    <w:rsid w:val="00FB6A52"/>
    <w:rsid w:val="00FB7188"/>
    <w:rsid w:val="00FB7275"/>
    <w:rsid w:val="00FC0E69"/>
    <w:rsid w:val="00FC385F"/>
    <w:rsid w:val="00FC4935"/>
    <w:rsid w:val="00FC79F3"/>
    <w:rsid w:val="00FD39B5"/>
    <w:rsid w:val="00FD5490"/>
    <w:rsid w:val="00FD61D0"/>
    <w:rsid w:val="00FE0FC9"/>
    <w:rsid w:val="00FE1253"/>
    <w:rsid w:val="00FE6F0A"/>
    <w:rsid w:val="00FF397F"/>
    <w:rsid w:val="00FF3AA8"/>
    <w:rsid w:val="00FF43E3"/>
    <w:rsid w:val="00FF5A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A41287"/>
  <w15:chartTrackingRefBased/>
  <w15:docId w15:val="{6652969A-4DBD-4491-A09B-02464E61B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779"/>
    <w:pPr>
      <w:spacing w:after="120" w:line="264" w:lineRule="auto"/>
      <w:jc w:val="both"/>
    </w:pPr>
    <w:rPr>
      <w:rFonts w:ascii="Arial" w:hAnsi="Arial" w:cs="Arial"/>
      <w:lang w:val="en-US" w:eastAsia="en-US"/>
    </w:rPr>
  </w:style>
  <w:style w:type="paragraph" w:styleId="Ttulo1">
    <w:name w:val="heading 1"/>
    <w:aliases w:val="Header 1"/>
    <w:basedOn w:val="Normal"/>
    <w:next w:val="BodyText10"/>
    <w:link w:val="Ttulo1Car"/>
    <w:qFormat/>
    <w:rsid w:val="00CA72DB"/>
    <w:pPr>
      <w:keepNext/>
      <w:keepLines/>
      <w:numPr>
        <w:numId w:val="25"/>
      </w:numPr>
      <w:tabs>
        <w:tab w:val="left" w:pos="426"/>
      </w:tabs>
      <w:spacing w:before="120"/>
      <w:jc w:val="left"/>
      <w:outlineLvl w:val="0"/>
    </w:pPr>
    <w:rPr>
      <w:b/>
      <w:caps/>
      <w:sz w:val="24"/>
      <w:szCs w:val="24"/>
    </w:rPr>
  </w:style>
  <w:style w:type="paragraph" w:styleId="Ttulo2">
    <w:name w:val="heading 2"/>
    <w:basedOn w:val="Normal"/>
    <w:next w:val="BodyText12"/>
    <w:link w:val="Ttulo2Car"/>
    <w:qFormat/>
    <w:rsid w:val="00196057"/>
    <w:pPr>
      <w:keepNext/>
      <w:keepLines/>
      <w:numPr>
        <w:ilvl w:val="1"/>
        <w:numId w:val="25"/>
      </w:numPr>
      <w:tabs>
        <w:tab w:val="left" w:pos="426"/>
        <w:tab w:val="left" w:pos="850"/>
      </w:tabs>
      <w:spacing w:before="120"/>
      <w:jc w:val="left"/>
      <w:outlineLvl w:val="1"/>
    </w:pPr>
    <w:rPr>
      <w:b/>
      <w:sz w:val="22"/>
      <w:szCs w:val="22"/>
    </w:rPr>
  </w:style>
  <w:style w:type="paragraph" w:styleId="Ttulo3">
    <w:name w:val="heading 3"/>
    <w:basedOn w:val="Normal"/>
    <w:next w:val="BodyText12"/>
    <w:link w:val="Ttulo3Car"/>
    <w:qFormat/>
    <w:rsid w:val="00646E1B"/>
    <w:pPr>
      <w:numPr>
        <w:ilvl w:val="2"/>
        <w:numId w:val="25"/>
      </w:numPr>
      <w:spacing w:before="120"/>
      <w:ind w:left="720"/>
      <w:outlineLvl w:val="2"/>
    </w:pPr>
    <w:rPr>
      <w:b/>
      <w:color w:val="000000"/>
    </w:rPr>
  </w:style>
  <w:style w:type="paragraph" w:styleId="Ttulo4">
    <w:name w:val="heading 4"/>
    <w:basedOn w:val="Ttulo3"/>
    <w:next w:val="BodyText12"/>
    <w:link w:val="Ttulo4Car"/>
    <w:qFormat/>
    <w:pPr>
      <w:numPr>
        <w:ilvl w:val="3"/>
      </w:numPr>
      <w:tabs>
        <w:tab w:val="left" w:pos="2246"/>
      </w:tabs>
      <w:outlineLvl w:val="3"/>
    </w:pPr>
    <w:rPr>
      <w:sz w:val="24"/>
    </w:rPr>
  </w:style>
  <w:style w:type="paragraph" w:styleId="Ttulo5">
    <w:name w:val="heading 5"/>
    <w:basedOn w:val="Ttulo4"/>
    <w:next w:val="BodyText12"/>
    <w:link w:val="Ttulo5Car"/>
    <w:qFormat/>
    <w:pPr>
      <w:numPr>
        <w:ilvl w:val="4"/>
      </w:numPr>
      <w:outlineLvl w:val="4"/>
    </w:pPr>
    <w:rPr>
      <w:i/>
    </w:rPr>
  </w:style>
  <w:style w:type="paragraph" w:styleId="Ttulo6">
    <w:name w:val="heading 6"/>
    <w:basedOn w:val="Ttulo5"/>
    <w:next w:val="BodyText12"/>
    <w:link w:val="Ttulo6Car"/>
    <w:qFormat/>
    <w:pPr>
      <w:numPr>
        <w:ilvl w:val="5"/>
      </w:numPr>
      <w:outlineLvl w:val="5"/>
    </w:pPr>
    <w:rPr>
      <w:i w:val="0"/>
    </w:rPr>
  </w:style>
  <w:style w:type="paragraph" w:styleId="Ttulo7">
    <w:name w:val="heading 7"/>
    <w:basedOn w:val="Ttulo6"/>
    <w:next w:val="BodyText12"/>
    <w:link w:val="Ttulo7Car"/>
    <w:uiPriority w:val="99"/>
    <w:qFormat/>
    <w:pPr>
      <w:numPr>
        <w:ilvl w:val="6"/>
      </w:numPr>
      <w:outlineLvl w:val="6"/>
    </w:pPr>
    <w:rPr>
      <w:i/>
    </w:rPr>
  </w:style>
  <w:style w:type="paragraph" w:styleId="Ttulo8">
    <w:name w:val="heading 8"/>
    <w:basedOn w:val="Ttulo7"/>
    <w:next w:val="BodyText12"/>
    <w:link w:val="Ttulo8Car"/>
    <w:uiPriority w:val="99"/>
    <w:qFormat/>
    <w:pPr>
      <w:numPr>
        <w:ilvl w:val="7"/>
      </w:numPr>
      <w:tabs>
        <w:tab w:val="clear" w:pos="2246"/>
        <w:tab w:val="left" w:pos="2650"/>
      </w:tabs>
      <w:outlineLvl w:val="7"/>
    </w:pPr>
    <w:rPr>
      <w:i w:val="0"/>
    </w:rPr>
  </w:style>
  <w:style w:type="paragraph" w:styleId="Ttulo9">
    <w:name w:val="heading 9"/>
    <w:basedOn w:val="Ttulo8"/>
    <w:next w:val="BodyText12"/>
    <w:link w:val="Ttulo9Car"/>
    <w:uiPriority w:val="99"/>
    <w:qFormat/>
    <w:pPr>
      <w:numPr>
        <w:ilvl w:val="8"/>
      </w:numPr>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odyText10">
    <w:name w:val="BodyText10"/>
    <w:pPr>
      <w:suppressAutoHyphens/>
      <w:spacing w:after="200"/>
      <w:jc w:val="both"/>
    </w:pPr>
    <w:rPr>
      <w:lang w:val="en-US" w:eastAsia="en-US"/>
    </w:rPr>
  </w:style>
  <w:style w:type="character" w:customStyle="1" w:styleId="Heading1Char">
    <w:name w:val="Heading 1 Char"/>
    <w:rPr>
      <w:rFonts w:ascii="Arial" w:hAnsi="Arial"/>
      <w:b/>
      <w:caps/>
      <w:sz w:val="28"/>
      <w:lang w:val="en-US" w:eastAsia="en-US" w:bidi="ar-SA"/>
    </w:rPr>
  </w:style>
  <w:style w:type="paragraph" w:customStyle="1" w:styleId="BodyText12">
    <w:name w:val="BodyText12"/>
    <w:pPr>
      <w:spacing w:after="200" w:line="300" w:lineRule="auto"/>
      <w:ind w:left="850"/>
      <w:jc w:val="both"/>
    </w:pPr>
    <w:rPr>
      <w:sz w:val="24"/>
      <w:lang w:val="en-US" w:eastAsia="en-US"/>
    </w:rPr>
  </w:style>
  <w:style w:type="character" w:customStyle="1" w:styleId="BodyText12Char">
    <w:name w:val="BodyText12 Char"/>
    <w:rPr>
      <w:sz w:val="24"/>
      <w:lang w:val="en-US" w:eastAsia="en-US" w:bidi="ar-SA"/>
    </w:rPr>
  </w:style>
  <w:style w:type="character" w:customStyle="1" w:styleId="Heading2Char">
    <w:name w:val="Heading 2 Char"/>
    <w:basedOn w:val="Heading1Char"/>
    <w:rPr>
      <w:rFonts w:ascii="Arial" w:hAnsi="Arial"/>
      <w:b/>
      <w:caps/>
      <w:sz w:val="28"/>
      <w:lang w:val="en-US" w:eastAsia="en-US" w:bidi="ar-SA"/>
    </w:rPr>
  </w:style>
  <w:style w:type="character" w:customStyle="1" w:styleId="Heading3Char">
    <w:name w:val="Heading 3 Char"/>
    <w:basedOn w:val="Heading2Char"/>
    <w:rPr>
      <w:rFonts w:ascii="Arial" w:hAnsi="Arial"/>
      <w:b/>
      <w:caps/>
      <w:sz w:val="28"/>
      <w:lang w:val="en-US" w:eastAsia="en-US" w:bidi="ar-SA"/>
    </w:rPr>
  </w:style>
  <w:style w:type="character" w:customStyle="1" w:styleId="Heading4Char">
    <w:name w:val="Heading 4 Char"/>
    <w:rPr>
      <w:rFonts w:ascii="Arial" w:hAnsi="Arial"/>
      <w:b/>
      <w:caps/>
      <w:sz w:val="24"/>
      <w:lang w:val="en-US" w:eastAsia="en-US" w:bidi="ar-SA"/>
    </w:rPr>
  </w:style>
  <w:style w:type="character" w:customStyle="1" w:styleId="Heading5Char">
    <w:name w:val="Heading 5 Char"/>
    <w:rPr>
      <w:rFonts w:ascii="Arial" w:hAnsi="Arial"/>
      <w:b/>
      <w:i/>
      <w:caps/>
      <w:sz w:val="24"/>
      <w:lang w:val="en-US" w:eastAsia="en-US" w:bidi="ar-SA"/>
    </w:rPr>
  </w:style>
  <w:style w:type="paragraph" w:customStyle="1" w:styleId="AppendixTitleNoTOC">
    <w:name w:val="Appendix Title (No TOC)"/>
    <w:next w:val="BodyText10"/>
    <w:pPr>
      <w:keepNext/>
      <w:jc w:val="center"/>
    </w:pPr>
    <w:rPr>
      <w:rFonts w:ascii="Arial" w:hAnsi="Arial"/>
      <w:lang w:val="en-US" w:eastAsia="en-US"/>
    </w:rPr>
  </w:style>
  <w:style w:type="paragraph" w:customStyle="1" w:styleId="BulletIndent1">
    <w:name w:val="Bullet Indent 1"/>
    <w:pPr>
      <w:numPr>
        <w:numId w:val="6"/>
      </w:numPr>
      <w:tabs>
        <w:tab w:val="clear" w:pos="360"/>
        <w:tab w:val="left" w:pos="1138"/>
      </w:tabs>
      <w:spacing w:after="100"/>
      <w:ind w:left="1138" w:hanging="288"/>
      <w:jc w:val="both"/>
    </w:pPr>
    <w:rPr>
      <w:sz w:val="24"/>
      <w:lang w:val="en-US" w:eastAsia="en-US"/>
    </w:rPr>
  </w:style>
  <w:style w:type="paragraph" w:customStyle="1" w:styleId="BulletIndent2">
    <w:name w:val="Bullet Indent 2"/>
    <w:basedOn w:val="BulletIndent1"/>
    <w:pPr>
      <w:numPr>
        <w:numId w:val="2"/>
      </w:numPr>
      <w:tabs>
        <w:tab w:val="clear" w:pos="360"/>
        <w:tab w:val="clear" w:pos="1138"/>
        <w:tab w:val="left" w:pos="1426"/>
      </w:tabs>
      <w:ind w:left="1426" w:hanging="288"/>
    </w:pPr>
  </w:style>
  <w:style w:type="paragraph" w:customStyle="1" w:styleId="BulletIndent3">
    <w:name w:val="Bullet Indent 3"/>
    <w:basedOn w:val="BulletIndent2"/>
    <w:pPr>
      <w:numPr>
        <w:numId w:val="3"/>
      </w:numPr>
      <w:tabs>
        <w:tab w:val="clear" w:pos="360"/>
        <w:tab w:val="clear" w:pos="1426"/>
        <w:tab w:val="left" w:pos="1714"/>
      </w:tabs>
      <w:ind w:left="1714" w:hanging="288"/>
    </w:pPr>
  </w:style>
  <w:style w:type="paragraph" w:customStyle="1" w:styleId="BulletIndent4">
    <w:name w:val="Bullet Indent 4"/>
    <w:basedOn w:val="BulletIndent3"/>
    <w:pPr>
      <w:numPr>
        <w:numId w:val="8"/>
      </w:numPr>
      <w:tabs>
        <w:tab w:val="clear" w:pos="360"/>
        <w:tab w:val="clear" w:pos="1714"/>
        <w:tab w:val="left" w:pos="2002"/>
      </w:tabs>
      <w:spacing w:after="200"/>
      <w:ind w:left="2002" w:hanging="288"/>
    </w:pPr>
  </w:style>
  <w:style w:type="paragraph" w:customStyle="1" w:styleId="DashIndent1">
    <w:name w:val="Dash Indent 1"/>
    <w:pPr>
      <w:numPr>
        <w:numId w:val="7"/>
      </w:numPr>
      <w:tabs>
        <w:tab w:val="clear" w:pos="360"/>
        <w:tab w:val="left" w:pos="1138"/>
      </w:tabs>
      <w:spacing w:after="100"/>
      <w:ind w:left="1138" w:hanging="288"/>
      <w:jc w:val="both"/>
    </w:pPr>
    <w:rPr>
      <w:sz w:val="24"/>
      <w:lang w:val="en-US" w:eastAsia="en-US"/>
    </w:rPr>
  </w:style>
  <w:style w:type="paragraph" w:customStyle="1" w:styleId="DashIndent2">
    <w:name w:val="Dash Indent 2"/>
    <w:basedOn w:val="DashIndent1"/>
    <w:pPr>
      <w:numPr>
        <w:numId w:val="4"/>
      </w:numPr>
      <w:tabs>
        <w:tab w:val="clear" w:pos="360"/>
        <w:tab w:val="clear" w:pos="1138"/>
        <w:tab w:val="left" w:pos="1426"/>
      </w:tabs>
      <w:ind w:left="1426" w:hanging="288"/>
    </w:pPr>
  </w:style>
  <w:style w:type="paragraph" w:customStyle="1" w:styleId="DashIndent3">
    <w:name w:val="Dash Indent 3"/>
    <w:basedOn w:val="DashIndent2"/>
    <w:pPr>
      <w:numPr>
        <w:numId w:val="5"/>
      </w:numPr>
      <w:tabs>
        <w:tab w:val="clear" w:pos="360"/>
        <w:tab w:val="clear" w:pos="1426"/>
        <w:tab w:val="left" w:pos="1714"/>
      </w:tabs>
      <w:ind w:left="1714" w:hanging="288"/>
    </w:pPr>
  </w:style>
  <w:style w:type="paragraph" w:customStyle="1" w:styleId="FigureText">
    <w:name w:val="FigureText"/>
    <w:pPr>
      <w:keepNext/>
    </w:pPr>
    <w:rPr>
      <w:lang w:val="en-US" w:eastAsia="en-US"/>
    </w:rPr>
  </w:style>
  <w:style w:type="paragraph" w:styleId="Piedepgina">
    <w:name w:val="footer"/>
    <w:link w:val="PiedepginaCar"/>
    <w:uiPriority w:val="99"/>
    <w:pPr>
      <w:tabs>
        <w:tab w:val="right" w:pos="8280"/>
      </w:tabs>
    </w:pPr>
    <w:rPr>
      <w:sz w:val="12"/>
      <w:lang w:val="en-US" w:eastAsia="en-US"/>
    </w:rPr>
  </w:style>
  <w:style w:type="character" w:styleId="Refdenotaalpie">
    <w:name w:val="footnote reference"/>
    <w:semiHidden/>
    <w:rPr>
      <w:rFonts w:ascii="Times New Roman" w:hAnsi="Times New Roman"/>
      <w:noProof w:val="0"/>
      <w:spacing w:val="0"/>
      <w:kern w:val="0"/>
      <w:position w:val="0"/>
      <w:vertAlign w:val="superscript"/>
      <w:lang w:val="en-US"/>
    </w:rPr>
  </w:style>
  <w:style w:type="paragraph" w:styleId="Textonotapie">
    <w:name w:val="footnote text"/>
    <w:basedOn w:val="BodyText10"/>
    <w:link w:val="TextonotapieCar"/>
    <w:uiPriority w:val="99"/>
    <w:semiHidden/>
    <w:pPr>
      <w:keepLines/>
      <w:tabs>
        <w:tab w:val="left" w:pos="360"/>
      </w:tabs>
      <w:ind w:left="504" w:hanging="360"/>
    </w:pPr>
  </w:style>
  <w:style w:type="paragraph" w:styleId="Encabezado">
    <w:name w:val="header"/>
    <w:aliases w:val="En-tête1,Page Header,Header1"/>
    <w:basedOn w:val="BodyText12"/>
    <w:link w:val="EncabezadoCar"/>
    <w:uiPriority w:val="99"/>
    <w:pPr>
      <w:spacing w:after="60" w:line="240" w:lineRule="auto"/>
      <w:ind w:left="0"/>
      <w:jc w:val="left"/>
    </w:pPr>
  </w:style>
  <w:style w:type="paragraph" w:customStyle="1" w:styleId="MarkAttachment">
    <w:name w:val="Mark Attachment"/>
    <w:next w:val="BodyText10"/>
    <w:pPr>
      <w:keepNext/>
      <w:jc w:val="center"/>
    </w:pPr>
    <w:rPr>
      <w:rFonts w:ascii="Arial" w:hAnsi="Arial"/>
      <w:lang w:val="en-US" w:eastAsia="en-US"/>
    </w:rPr>
  </w:style>
  <w:style w:type="paragraph" w:customStyle="1" w:styleId="MarkFigure">
    <w:name w:val="Mark Figure"/>
    <w:next w:val="FigureText"/>
    <w:pPr>
      <w:keepNext/>
      <w:jc w:val="center"/>
    </w:pPr>
    <w:rPr>
      <w:lang w:val="en-US" w:eastAsia="en-US"/>
    </w:rPr>
  </w:style>
  <w:style w:type="paragraph" w:customStyle="1" w:styleId="MarkTable">
    <w:name w:val="Mark Table"/>
    <w:next w:val="TableText"/>
    <w:pPr>
      <w:keepNext/>
      <w:jc w:val="center"/>
    </w:pPr>
    <w:rPr>
      <w:lang w:val="en-US" w:eastAsia="en-US"/>
    </w:rPr>
  </w:style>
  <w:style w:type="paragraph" w:customStyle="1" w:styleId="TableText">
    <w:name w:val="TableText"/>
    <w:uiPriority w:val="99"/>
    <w:pPr>
      <w:keepNext/>
    </w:pPr>
    <w:rPr>
      <w:lang w:val="en-US" w:eastAsia="en-US"/>
    </w:rPr>
  </w:style>
  <w:style w:type="character" w:customStyle="1" w:styleId="MarkTableChar">
    <w:name w:val="Mark Table Char"/>
    <w:rPr>
      <w:lang w:val="en-US" w:eastAsia="en-US" w:bidi="ar-SA"/>
    </w:rPr>
  </w:style>
  <w:style w:type="paragraph" w:customStyle="1" w:styleId="NarrativeText">
    <w:name w:val="NarrativeText"/>
    <w:basedOn w:val="BodyText12"/>
    <w:pPr>
      <w:spacing w:line="240" w:lineRule="auto"/>
    </w:pPr>
  </w:style>
  <w:style w:type="paragraph" w:customStyle="1" w:styleId="Bullet10">
    <w:name w:val="Bullet10"/>
    <w:basedOn w:val="BodyText10"/>
    <w:pPr>
      <w:tabs>
        <w:tab w:val="left" w:pos="288"/>
      </w:tabs>
      <w:spacing w:after="100"/>
      <w:ind w:left="288" w:hanging="288"/>
    </w:pPr>
  </w:style>
  <w:style w:type="character" w:styleId="Nmerodepgina">
    <w:name w:val="page number"/>
    <w:rPr>
      <w:rFonts w:ascii="Times New Roman" w:hAnsi="Times New Roman"/>
      <w:noProof w:val="0"/>
      <w:spacing w:val="0"/>
      <w:kern w:val="0"/>
      <w:position w:val="0"/>
      <w:sz w:val="20"/>
      <w:lang w:val="en-US"/>
    </w:rPr>
  </w:style>
  <w:style w:type="paragraph" w:customStyle="1" w:styleId="Reference">
    <w:name w:val="Reference"/>
    <w:uiPriority w:val="99"/>
    <w:pPr>
      <w:keepLines/>
      <w:spacing w:after="200"/>
      <w:ind w:left="1210" w:hanging="360"/>
      <w:jc w:val="both"/>
    </w:pPr>
    <w:rPr>
      <w:sz w:val="24"/>
      <w:lang w:val="en-US" w:eastAsia="en-US"/>
    </w:rPr>
  </w:style>
  <w:style w:type="paragraph" w:customStyle="1" w:styleId="SignaturePage">
    <w:name w:val="SignaturePage"/>
    <w:basedOn w:val="BodyText10"/>
    <w:pPr>
      <w:tabs>
        <w:tab w:val="left" w:pos="3960"/>
        <w:tab w:val="left" w:pos="4680"/>
      </w:tabs>
      <w:spacing w:after="0"/>
      <w:ind w:right="3600"/>
      <w:jc w:val="left"/>
    </w:pPr>
  </w:style>
  <w:style w:type="paragraph" w:customStyle="1" w:styleId="SynopsisText">
    <w:name w:val="SynopsisText"/>
    <w:pPr>
      <w:spacing w:before="60" w:after="60"/>
      <w:jc w:val="both"/>
    </w:pPr>
    <w:rPr>
      <w:sz w:val="18"/>
      <w:lang w:val="en-US" w:eastAsia="en-US"/>
    </w:rPr>
  </w:style>
  <w:style w:type="character" w:customStyle="1" w:styleId="SynopsisTextChar">
    <w:name w:val="SynopsisText Char"/>
    <w:rPr>
      <w:sz w:val="18"/>
      <w:lang w:val="en-US" w:eastAsia="en-US" w:bidi="ar-SA"/>
    </w:rPr>
  </w:style>
  <w:style w:type="paragraph" w:customStyle="1" w:styleId="TableNote">
    <w:name w:val="TableNote"/>
    <w:basedOn w:val="TableText"/>
    <w:pPr>
      <w:keepLines/>
      <w:tabs>
        <w:tab w:val="left" w:pos="187"/>
        <w:tab w:val="left" w:pos="1440"/>
      </w:tabs>
      <w:ind w:left="187" w:hanging="187"/>
    </w:pPr>
  </w:style>
  <w:style w:type="paragraph" w:customStyle="1" w:styleId="TitlePage">
    <w:name w:val="TitlePage"/>
    <w:pPr>
      <w:suppressAutoHyphens/>
    </w:pPr>
    <w:rPr>
      <w:sz w:val="24"/>
      <w:lang w:val="en-US" w:eastAsia="en-US"/>
    </w:rPr>
  </w:style>
  <w:style w:type="paragraph" w:styleId="TDC1">
    <w:name w:val="toc 1"/>
    <w:next w:val="Normal"/>
    <w:uiPriority w:val="39"/>
    <w:pPr>
      <w:tabs>
        <w:tab w:val="left" w:pos="720"/>
        <w:tab w:val="right" w:leader="dot" w:pos="8280"/>
      </w:tabs>
      <w:spacing w:before="200"/>
      <w:ind w:left="720" w:right="720" w:hanging="720"/>
    </w:pPr>
    <w:rPr>
      <w:rFonts w:ascii="Arial" w:hAnsi="Arial"/>
      <w:b/>
      <w:lang w:val="en-US" w:eastAsia="en-US"/>
    </w:rPr>
  </w:style>
  <w:style w:type="paragraph" w:styleId="TDC2">
    <w:name w:val="toc 2"/>
    <w:next w:val="Normal"/>
    <w:uiPriority w:val="39"/>
    <w:pPr>
      <w:tabs>
        <w:tab w:val="left" w:pos="720"/>
        <w:tab w:val="right" w:leader="dot" w:pos="8280"/>
      </w:tabs>
      <w:ind w:left="720" w:right="720" w:hanging="720"/>
    </w:pPr>
    <w:rPr>
      <w:rFonts w:ascii="Arial" w:hAnsi="Arial"/>
      <w:lang w:val="en-US" w:eastAsia="en-US"/>
    </w:rPr>
  </w:style>
  <w:style w:type="paragraph" w:styleId="TDC3">
    <w:name w:val="toc 3"/>
    <w:next w:val="Normal"/>
    <w:uiPriority w:val="39"/>
    <w:pPr>
      <w:tabs>
        <w:tab w:val="left" w:pos="1620"/>
        <w:tab w:val="right" w:leader="dot" w:pos="8280"/>
      </w:tabs>
      <w:ind w:left="1620" w:right="720" w:hanging="900"/>
    </w:pPr>
    <w:rPr>
      <w:rFonts w:ascii="Arial" w:hAnsi="Arial"/>
      <w:lang w:val="en-US" w:eastAsia="en-US"/>
    </w:rPr>
  </w:style>
  <w:style w:type="paragraph" w:styleId="TDC4">
    <w:name w:val="toc 4"/>
    <w:next w:val="Normal"/>
    <w:uiPriority w:val="39"/>
    <w:pPr>
      <w:tabs>
        <w:tab w:val="left" w:pos="1800"/>
        <w:tab w:val="right" w:leader="dot" w:pos="8280"/>
      </w:tabs>
      <w:ind w:left="1800" w:right="720" w:hanging="1080"/>
    </w:pPr>
    <w:rPr>
      <w:rFonts w:ascii="Arial" w:hAnsi="Arial"/>
      <w:lang w:val="en-US" w:eastAsia="en-US"/>
    </w:rPr>
  </w:style>
  <w:style w:type="paragraph" w:styleId="TDC5">
    <w:name w:val="toc 5"/>
    <w:next w:val="Normal"/>
    <w:uiPriority w:val="39"/>
    <w:pPr>
      <w:tabs>
        <w:tab w:val="left" w:pos="1987"/>
        <w:tab w:val="right" w:leader="dot" w:pos="8280"/>
      </w:tabs>
      <w:ind w:left="1987" w:right="720" w:hanging="1267"/>
    </w:pPr>
    <w:rPr>
      <w:rFonts w:ascii="Arial" w:hAnsi="Arial"/>
      <w:szCs w:val="24"/>
      <w:lang w:val="en-US" w:eastAsia="en-US"/>
    </w:rPr>
  </w:style>
  <w:style w:type="paragraph" w:styleId="TDC6">
    <w:name w:val="toc 6"/>
    <w:next w:val="Normal"/>
    <w:uiPriority w:val="39"/>
    <w:pPr>
      <w:tabs>
        <w:tab w:val="left" w:pos="2160"/>
        <w:tab w:val="right" w:leader="dot" w:pos="8280"/>
      </w:tabs>
      <w:ind w:left="2160" w:right="720" w:hanging="1440"/>
    </w:pPr>
    <w:rPr>
      <w:rFonts w:ascii="Arial" w:hAnsi="Arial"/>
      <w:lang w:val="en-US" w:eastAsia="en-US"/>
    </w:rPr>
  </w:style>
  <w:style w:type="paragraph" w:styleId="TDC7">
    <w:name w:val="toc 7"/>
    <w:uiPriority w:val="39"/>
    <w:pPr>
      <w:tabs>
        <w:tab w:val="left" w:pos="2340"/>
        <w:tab w:val="right" w:leader="dot" w:pos="8280"/>
      </w:tabs>
      <w:ind w:left="2340" w:right="720" w:hanging="1620"/>
    </w:pPr>
    <w:rPr>
      <w:rFonts w:ascii="Arial" w:hAnsi="Arial"/>
      <w:lang w:val="en-US" w:eastAsia="en-US"/>
    </w:rPr>
  </w:style>
  <w:style w:type="paragraph" w:styleId="TDC8">
    <w:name w:val="toc 8"/>
    <w:next w:val="Normal"/>
    <w:uiPriority w:val="39"/>
    <w:pPr>
      <w:tabs>
        <w:tab w:val="left" w:pos="1800"/>
        <w:tab w:val="right" w:leader="dot" w:pos="8280"/>
      </w:tabs>
      <w:spacing w:before="100"/>
      <w:ind w:left="1800" w:right="720" w:hanging="1800"/>
    </w:pPr>
    <w:rPr>
      <w:rFonts w:ascii="Arial" w:hAnsi="Arial"/>
      <w:lang w:val="en-US" w:eastAsia="en-US"/>
    </w:rPr>
  </w:style>
  <w:style w:type="paragraph" w:styleId="TDC9">
    <w:name w:val="toc 9"/>
    <w:next w:val="BodyText10"/>
    <w:uiPriority w:val="39"/>
    <w:pPr>
      <w:tabs>
        <w:tab w:val="left" w:pos="1080"/>
        <w:tab w:val="right" w:leader="dot" w:pos="8280"/>
      </w:tabs>
      <w:spacing w:before="100"/>
      <w:ind w:left="1080" w:right="720" w:hanging="1080"/>
    </w:pPr>
    <w:rPr>
      <w:rFonts w:ascii="Arial" w:hAnsi="Arial"/>
      <w:lang w:val="en-US" w:eastAsia="en-US"/>
    </w:rPr>
  </w:style>
  <w:style w:type="paragraph" w:customStyle="1" w:styleId="Subheading1">
    <w:name w:val="Subheading1"/>
    <w:basedOn w:val="BodyText12"/>
    <w:next w:val="BodyText12"/>
    <w:pPr>
      <w:keepNext/>
      <w:spacing w:before="100" w:after="100" w:line="240" w:lineRule="auto"/>
      <w:jc w:val="left"/>
    </w:pPr>
    <w:rPr>
      <w:b/>
    </w:rPr>
  </w:style>
  <w:style w:type="paragraph" w:customStyle="1" w:styleId="Subheading2">
    <w:name w:val="Subheading2"/>
    <w:basedOn w:val="Subheading1"/>
    <w:next w:val="BodyText12"/>
    <w:rPr>
      <w:b w:val="0"/>
      <w:u w:val="single"/>
    </w:rPr>
  </w:style>
  <w:style w:type="paragraph" w:customStyle="1" w:styleId="Blank">
    <w:name w:val="Blank"/>
    <w:basedOn w:val="BodyText10"/>
    <w:pPr>
      <w:spacing w:after="0"/>
      <w:jc w:val="left"/>
    </w:pPr>
  </w:style>
  <w:style w:type="paragraph" w:styleId="Mapadeldocumento">
    <w:name w:val="Document Map"/>
    <w:basedOn w:val="Normal"/>
    <w:link w:val="MapadeldocumentoCar"/>
    <w:uiPriority w:val="99"/>
    <w:semiHidden/>
    <w:pPr>
      <w:shd w:val="clear" w:color="auto" w:fill="000080"/>
    </w:pPr>
    <w:rPr>
      <w:rFonts w:ascii="Tahoma" w:hAnsi="Tahoma"/>
    </w:rPr>
  </w:style>
  <w:style w:type="paragraph" w:customStyle="1" w:styleId="HeadingNoTOC">
    <w:name w:val="Heading (No TOC)"/>
    <w:next w:val="BodyText10"/>
    <w:pPr>
      <w:spacing w:after="200"/>
    </w:pPr>
    <w:rPr>
      <w:rFonts w:ascii="Arial" w:hAnsi="Arial"/>
      <w:b/>
      <w:caps/>
      <w:noProof/>
      <w:sz w:val="28"/>
      <w:lang w:val="en-US" w:eastAsia="en-US"/>
    </w:rPr>
  </w:style>
  <w:style w:type="paragraph" w:customStyle="1" w:styleId="SynopsisHeading">
    <w:name w:val="SynopsisHeading"/>
    <w:next w:val="SynopsisText"/>
    <w:pPr>
      <w:keepNext/>
    </w:pPr>
    <w:rPr>
      <w:rFonts w:ascii="Arial" w:hAnsi="Arial"/>
      <w:b/>
      <w:lang w:val="en-US" w:eastAsia="en-US"/>
    </w:rPr>
  </w:style>
  <w:style w:type="paragraph" w:customStyle="1" w:styleId="Dash10">
    <w:name w:val="Dash10"/>
    <w:basedOn w:val="BodyText10"/>
    <w:pPr>
      <w:tabs>
        <w:tab w:val="left" w:pos="576"/>
      </w:tabs>
      <w:spacing w:after="100"/>
      <w:ind w:left="576" w:hanging="288"/>
    </w:pPr>
  </w:style>
  <w:style w:type="paragraph" w:customStyle="1" w:styleId="AppendixHeading">
    <w:name w:val="Appendix Heading"/>
    <w:next w:val="BodyText10"/>
    <w:pPr>
      <w:keepNext/>
      <w:keepLines/>
      <w:spacing w:after="60"/>
      <w:jc w:val="center"/>
    </w:pPr>
    <w:rPr>
      <w:rFonts w:ascii="Arial" w:hAnsi="Arial"/>
      <w:b/>
      <w:caps/>
      <w:sz w:val="24"/>
      <w:lang w:val="en-US" w:eastAsia="en-US"/>
    </w:rPr>
  </w:style>
  <w:style w:type="paragraph" w:customStyle="1" w:styleId="AppendixSubheading">
    <w:name w:val="Appendix Subheading"/>
    <w:next w:val="BodyText10"/>
    <w:pPr>
      <w:keepNext/>
      <w:keepLines/>
      <w:spacing w:after="60"/>
      <w:jc w:val="center"/>
    </w:pPr>
    <w:rPr>
      <w:rFonts w:ascii="Arial" w:hAnsi="Arial"/>
      <w:sz w:val="24"/>
      <w:lang w:val="en-US" w:eastAsia="en-US"/>
    </w:rPr>
  </w:style>
  <w:style w:type="character" w:styleId="Hipervnculo">
    <w:name w:val="Hyperlink"/>
    <w:uiPriority w:val="99"/>
    <w:rPr>
      <w:color w:val="0000FF"/>
      <w:u w:val="single"/>
    </w:rPr>
  </w:style>
  <w:style w:type="paragraph" w:customStyle="1" w:styleId="CM62">
    <w:name w:val="CM62"/>
    <w:basedOn w:val="Normal"/>
    <w:next w:val="Normal"/>
    <w:pPr>
      <w:widowControl w:val="0"/>
      <w:autoSpaceDE w:val="0"/>
      <w:autoSpaceDN w:val="0"/>
      <w:adjustRightInd w:val="0"/>
      <w:spacing w:after="195"/>
      <w:jc w:val="left"/>
    </w:pPr>
    <w:rPr>
      <w:szCs w:val="24"/>
    </w:rPr>
  </w:style>
  <w:style w:type="paragraph" w:customStyle="1" w:styleId="CM57">
    <w:name w:val="CM57"/>
    <w:basedOn w:val="Normal"/>
    <w:next w:val="Normal"/>
    <w:pPr>
      <w:widowControl w:val="0"/>
      <w:autoSpaceDE w:val="0"/>
      <w:autoSpaceDN w:val="0"/>
      <w:adjustRightInd w:val="0"/>
      <w:spacing w:after="383"/>
      <w:jc w:val="left"/>
    </w:pPr>
    <w:rPr>
      <w:szCs w:val="24"/>
    </w:rPr>
  </w:style>
  <w:style w:type="paragraph" w:customStyle="1" w:styleId="CM66">
    <w:name w:val="CM66"/>
    <w:basedOn w:val="Normal"/>
    <w:next w:val="Normal"/>
    <w:pPr>
      <w:widowControl w:val="0"/>
      <w:autoSpaceDE w:val="0"/>
      <w:autoSpaceDN w:val="0"/>
      <w:adjustRightInd w:val="0"/>
      <w:spacing w:after="328"/>
      <w:jc w:val="left"/>
    </w:pPr>
    <w:rPr>
      <w:szCs w:val="24"/>
    </w:rPr>
  </w:style>
  <w:style w:type="paragraph" w:customStyle="1" w:styleId="CM53">
    <w:name w:val="CM53"/>
    <w:basedOn w:val="Normal"/>
    <w:next w:val="Normal"/>
    <w:pPr>
      <w:widowControl w:val="0"/>
      <w:autoSpaceDE w:val="0"/>
      <w:autoSpaceDN w:val="0"/>
      <w:adjustRightInd w:val="0"/>
      <w:spacing w:after="250"/>
      <w:jc w:val="left"/>
    </w:pPr>
    <w:rPr>
      <w:szCs w:val="24"/>
    </w:rPr>
  </w:style>
  <w:style w:type="paragraph" w:customStyle="1" w:styleId="CM69">
    <w:name w:val="CM69"/>
    <w:basedOn w:val="Normal"/>
    <w:next w:val="Normal"/>
    <w:pPr>
      <w:widowControl w:val="0"/>
      <w:autoSpaceDE w:val="0"/>
      <w:autoSpaceDN w:val="0"/>
      <w:adjustRightInd w:val="0"/>
      <w:spacing w:after="930"/>
      <w:jc w:val="left"/>
    </w:pPr>
    <w:rPr>
      <w:szCs w:val="24"/>
    </w:rPr>
  </w:style>
  <w:style w:type="paragraph" w:styleId="Descripcin">
    <w:name w:val="caption"/>
    <w:basedOn w:val="Normal"/>
    <w:next w:val="Normal"/>
    <w:link w:val="DescripcinCar"/>
    <w:qFormat/>
    <w:pPr>
      <w:spacing w:before="120"/>
    </w:pPr>
    <w:rPr>
      <w:b/>
      <w:bCs/>
    </w:rPr>
  </w:style>
  <w:style w:type="paragraph" w:customStyle="1" w:styleId="Default">
    <w:name w:val="Default"/>
    <w:uiPriority w:val="99"/>
    <w:pPr>
      <w:widowControl w:val="0"/>
      <w:autoSpaceDE w:val="0"/>
      <w:autoSpaceDN w:val="0"/>
      <w:adjustRightInd w:val="0"/>
    </w:pPr>
    <w:rPr>
      <w:color w:val="000000"/>
      <w:sz w:val="24"/>
      <w:szCs w:val="24"/>
      <w:lang w:val="en-US" w:eastAsia="en-US"/>
    </w:rPr>
  </w:style>
  <w:style w:type="paragraph" w:customStyle="1" w:styleId="CM17">
    <w:name w:val="CM17"/>
    <w:basedOn w:val="Default"/>
    <w:next w:val="Default"/>
    <w:pPr>
      <w:spacing w:line="208" w:lineRule="atLeast"/>
    </w:pPr>
    <w:rPr>
      <w:color w:val="auto"/>
    </w:rPr>
  </w:style>
  <w:style w:type="paragraph" w:customStyle="1" w:styleId="CM18">
    <w:name w:val="CM18"/>
    <w:basedOn w:val="Default"/>
    <w:next w:val="Default"/>
    <w:pPr>
      <w:spacing w:line="348" w:lineRule="atLeast"/>
    </w:pPr>
    <w:rPr>
      <w:color w:val="auto"/>
    </w:rPr>
  </w:style>
  <w:style w:type="paragraph" w:customStyle="1" w:styleId="CM63">
    <w:name w:val="CM63"/>
    <w:basedOn w:val="Default"/>
    <w:next w:val="Default"/>
    <w:pPr>
      <w:spacing w:after="110"/>
    </w:pPr>
    <w:rPr>
      <w:color w:val="auto"/>
    </w:rPr>
  </w:style>
  <w:style w:type="paragraph" w:customStyle="1" w:styleId="CM10">
    <w:name w:val="CM10"/>
    <w:basedOn w:val="Default"/>
    <w:next w:val="Default"/>
    <w:pPr>
      <w:spacing w:line="231" w:lineRule="atLeast"/>
    </w:pPr>
    <w:rPr>
      <w:color w:val="auto"/>
    </w:rPr>
  </w:style>
  <w:style w:type="paragraph" w:customStyle="1" w:styleId="CM19">
    <w:name w:val="CM19"/>
    <w:basedOn w:val="Default"/>
    <w:next w:val="Default"/>
    <w:pPr>
      <w:spacing w:line="346" w:lineRule="atLeast"/>
    </w:pPr>
    <w:rPr>
      <w:color w:val="auto"/>
    </w:rPr>
  </w:style>
  <w:style w:type="paragraph" w:customStyle="1" w:styleId="CM73">
    <w:name w:val="CM73"/>
    <w:basedOn w:val="Default"/>
    <w:next w:val="Default"/>
    <w:pPr>
      <w:spacing w:after="53"/>
    </w:pPr>
    <w:rPr>
      <w:color w:val="auto"/>
    </w:rPr>
  </w:style>
  <w:style w:type="paragraph" w:customStyle="1" w:styleId="GuideDash">
    <w:name w:val="GuideDash"/>
    <w:pPr>
      <w:numPr>
        <w:numId w:val="1"/>
      </w:numPr>
      <w:tabs>
        <w:tab w:val="left" w:pos="576"/>
      </w:tabs>
      <w:spacing w:after="40"/>
      <w:ind w:left="576"/>
    </w:pPr>
    <w:rPr>
      <w:sz w:val="22"/>
      <w:lang w:val="en-US" w:eastAsia="en-US"/>
    </w:rPr>
  </w:style>
  <w:style w:type="paragraph" w:customStyle="1" w:styleId="CM3">
    <w:name w:val="CM3"/>
    <w:basedOn w:val="Default"/>
    <w:next w:val="Default"/>
    <w:rPr>
      <w:color w:val="auto"/>
    </w:rPr>
  </w:style>
  <w:style w:type="paragraph" w:customStyle="1" w:styleId="CM24">
    <w:name w:val="CM24"/>
    <w:basedOn w:val="Default"/>
    <w:next w:val="Default"/>
    <w:pPr>
      <w:spacing w:line="276" w:lineRule="atLeast"/>
    </w:pPr>
    <w:rPr>
      <w:color w:val="auto"/>
    </w:rPr>
  </w:style>
  <w:style w:type="paragraph" w:customStyle="1" w:styleId="CM22">
    <w:name w:val="CM22"/>
    <w:basedOn w:val="Default"/>
    <w:next w:val="Default"/>
    <w:pPr>
      <w:spacing w:line="276" w:lineRule="atLeast"/>
    </w:pPr>
    <w:rPr>
      <w:color w:val="auto"/>
    </w:rPr>
  </w:style>
  <w:style w:type="paragraph" w:customStyle="1" w:styleId="CM37">
    <w:name w:val="CM37"/>
    <w:basedOn w:val="Default"/>
    <w:next w:val="Default"/>
    <w:rPr>
      <w:color w:val="auto"/>
    </w:rPr>
  </w:style>
  <w:style w:type="paragraph" w:customStyle="1" w:styleId="CM38">
    <w:name w:val="CM38"/>
    <w:basedOn w:val="Default"/>
    <w:next w:val="Default"/>
    <w:rPr>
      <w:color w:val="auto"/>
    </w:rPr>
  </w:style>
  <w:style w:type="paragraph" w:customStyle="1" w:styleId="CM39">
    <w:name w:val="CM39"/>
    <w:basedOn w:val="Default"/>
    <w:next w:val="Default"/>
    <w:rPr>
      <w:color w:val="auto"/>
    </w:rPr>
  </w:style>
  <w:style w:type="paragraph" w:customStyle="1" w:styleId="CM40">
    <w:name w:val="CM40"/>
    <w:basedOn w:val="Default"/>
    <w:next w:val="Default"/>
    <w:rPr>
      <w:color w:val="auto"/>
    </w:rPr>
  </w:style>
  <w:style w:type="paragraph" w:customStyle="1" w:styleId="CM41">
    <w:name w:val="CM41"/>
    <w:basedOn w:val="Default"/>
    <w:next w:val="Default"/>
    <w:rPr>
      <w:color w:val="auto"/>
    </w:rPr>
  </w:style>
  <w:style w:type="paragraph" w:customStyle="1" w:styleId="CM42">
    <w:name w:val="CM42"/>
    <w:basedOn w:val="Default"/>
    <w:next w:val="Default"/>
    <w:pPr>
      <w:spacing w:line="231" w:lineRule="atLeast"/>
    </w:pPr>
    <w:rPr>
      <w:color w:val="auto"/>
    </w:rPr>
  </w:style>
  <w:style w:type="paragraph" w:customStyle="1" w:styleId="CM32">
    <w:name w:val="CM32"/>
    <w:basedOn w:val="Default"/>
    <w:next w:val="Default"/>
    <w:pPr>
      <w:spacing w:line="276" w:lineRule="atLeast"/>
    </w:pPr>
    <w:rPr>
      <w:color w:val="auto"/>
    </w:rPr>
  </w:style>
  <w:style w:type="paragraph" w:customStyle="1" w:styleId="CM26">
    <w:name w:val="CM26"/>
    <w:basedOn w:val="Default"/>
    <w:next w:val="Default"/>
    <w:pPr>
      <w:spacing w:line="348" w:lineRule="atLeast"/>
    </w:pPr>
    <w:rPr>
      <w:color w:val="auto"/>
    </w:rPr>
  </w:style>
  <w:style w:type="paragraph" w:styleId="Textoindependiente2">
    <w:name w:val="Body Text 2"/>
    <w:basedOn w:val="Normal"/>
    <w:link w:val="Textoindependiente2Car"/>
    <w:uiPriority w:val="99"/>
    <w:semiHidden/>
    <w:pPr>
      <w:spacing w:before="57" w:after="114" w:line="320" w:lineRule="atLeast"/>
      <w:jc w:val="left"/>
    </w:pPr>
    <w:rPr>
      <w:sz w:val="22"/>
      <w:szCs w:val="22"/>
      <w:lang w:val="en-GB" w:eastAsia="fr-FR"/>
    </w:rPr>
  </w:style>
  <w:style w:type="paragraph" w:styleId="Textoindependiente">
    <w:name w:val="Body Text"/>
    <w:basedOn w:val="Normal"/>
    <w:link w:val="TextoindependienteCar1"/>
    <w:uiPriority w:val="99"/>
    <w:semiHidden/>
  </w:style>
  <w:style w:type="paragraph" w:customStyle="1" w:styleId="CM1">
    <w:name w:val="CM1"/>
    <w:basedOn w:val="Default"/>
    <w:next w:val="Default"/>
    <w:pPr>
      <w:spacing w:line="280" w:lineRule="atLeast"/>
    </w:pPr>
    <w:rPr>
      <w:color w:val="auto"/>
    </w:rPr>
  </w:style>
  <w:style w:type="paragraph" w:customStyle="1" w:styleId="Textodeglobo1">
    <w:name w:val="Texto de globo1"/>
    <w:basedOn w:val="Normal"/>
    <w:semiHidden/>
    <w:rPr>
      <w:rFonts w:ascii="Tahoma" w:hAnsi="Tahoma" w:cs="Tahoma"/>
      <w:sz w:val="16"/>
      <w:szCs w:val="16"/>
    </w:rPr>
  </w:style>
  <w:style w:type="character" w:styleId="Refdecomentario">
    <w:name w:val="annotation reference"/>
    <w:semiHidden/>
    <w:rPr>
      <w:sz w:val="16"/>
      <w:szCs w:val="16"/>
    </w:rPr>
  </w:style>
  <w:style w:type="paragraph" w:styleId="Textocomentario">
    <w:name w:val="annotation text"/>
    <w:basedOn w:val="Normal"/>
    <w:link w:val="TextocomentarioCar"/>
    <w:uiPriority w:val="99"/>
  </w:style>
  <w:style w:type="paragraph" w:customStyle="1" w:styleId="CommentSubject">
    <w:name w:val="Comment Subject"/>
    <w:basedOn w:val="Textocomentario"/>
    <w:next w:val="Textocomentario"/>
    <w:semiHidden/>
    <w:rPr>
      <w:b/>
      <w:bCs/>
    </w:rPr>
  </w:style>
  <w:style w:type="paragraph" w:styleId="Textosinformato">
    <w:name w:val="Plain Text"/>
    <w:basedOn w:val="Normal"/>
    <w:link w:val="TextosinformatoCar"/>
    <w:uiPriority w:val="99"/>
    <w:pPr>
      <w:jc w:val="left"/>
    </w:pPr>
    <w:rPr>
      <w:rFonts w:ascii="Courier New" w:hAnsi="Courier New" w:cs="Courier New"/>
    </w:rPr>
  </w:style>
  <w:style w:type="character" w:customStyle="1" w:styleId="MarkAttachmentChar">
    <w:name w:val="Mark Attachment Char"/>
    <w:rPr>
      <w:rFonts w:ascii="Arial" w:hAnsi="Arial"/>
      <w:lang w:val="en-US" w:eastAsia="en-US" w:bidi="ar-SA"/>
    </w:rPr>
  </w:style>
  <w:style w:type="paragraph" w:customStyle="1" w:styleId="GuideText">
    <w:name w:val="GuideText"/>
    <w:pPr>
      <w:keepLines/>
      <w:spacing w:after="100"/>
    </w:pPr>
    <w:rPr>
      <w:sz w:val="22"/>
      <w:lang w:val="en-US" w:eastAsia="en-US"/>
    </w:rPr>
  </w:style>
  <w:style w:type="paragraph" w:styleId="Textodeglobo">
    <w:name w:val="Balloon Text"/>
    <w:basedOn w:val="Normal"/>
    <w:link w:val="TextodegloboCar"/>
    <w:uiPriority w:val="99"/>
    <w:semiHidden/>
    <w:unhideWhenUsed/>
    <w:rsid w:val="00977932"/>
    <w:rPr>
      <w:sz w:val="18"/>
      <w:szCs w:val="18"/>
    </w:rPr>
  </w:style>
  <w:style w:type="character" w:customStyle="1" w:styleId="TextodegloboCar">
    <w:name w:val="Texto de globo Car"/>
    <w:link w:val="Textodeglobo"/>
    <w:uiPriority w:val="99"/>
    <w:semiHidden/>
    <w:rsid w:val="00977932"/>
    <w:rPr>
      <w:sz w:val="18"/>
      <w:szCs w:val="18"/>
      <w:lang w:val="en-US" w:eastAsia="en-US"/>
    </w:rPr>
  </w:style>
  <w:style w:type="paragraph" w:styleId="Prrafodelista">
    <w:name w:val="List Paragraph"/>
    <w:basedOn w:val="Normal"/>
    <w:uiPriority w:val="34"/>
    <w:qFormat/>
    <w:rsid w:val="00111A2B"/>
    <w:pPr>
      <w:spacing w:line="360" w:lineRule="auto"/>
      <w:ind w:left="720"/>
      <w:contextualSpacing/>
    </w:pPr>
    <w:rPr>
      <w:rFonts w:eastAsia="Calibri"/>
      <w:szCs w:val="22"/>
      <w:lang w:val="en-GB"/>
    </w:rPr>
  </w:style>
  <w:style w:type="paragraph" w:styleId="NormalWeb">
    <w:name w:val="Normal (Web)"/>
    <w:basedOn w:val="Normal"/>
    <w:uiPriority w:val="99"/>
    <w:unhideWhenUsed/>
    <w:qFormat/>
    <w:rsid w:val="00EA56A8"/>
    <w:pPr>
      <w:spacing w:before="100" w:beforeAutospacing="1" w:after="100" w:afterAutospacing="1"/>
      <w:jc w:val="left"/>
    </w:pPr>
    <w:rPr>
      <w:szCs w:val="24"/>
      <w:lang w:val="es-ES" w:eastAsia="es-ES"/>
    </w:rPr>
  </w:style>
  <w:style w:type="table" w:styleId="Tablaconcuadrcula">
    <w:name w:val="Table Grid"/>
    <w:basedOn w:val="Tablanormal"/>
    <w:uiPriority w:val="39"/>
    <w:rsid w:val="00BE66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577B7E"/>
    <w:rPr>
      <w:b/>
      <w:bCs/>
    </w:rPr>
  </w:style>
  <w:style w:type="character" w:customStyle="1" w:styleId="TextocomentarioCar">
    <w:name w:val="Texto comentario Car"/>
    <w:link w:val="Textocomentario"/>
    <w:uiPriority w:val="99"/>
    <w:rsid w:val="00577B7E"/>
    <w:rPr>
      <w:lang w:val="en-US" w:eastAsia="en-US"/>
    </w:rPr>
  </w:style>
  <w:style w:type="character" w:customStyle="1" w:styleId="AsuntodelcomentarioCar">
    <w:name w:val="Asunto del comentario Car"/>
    <w:link w:val="Asuntodelcomentario"/>
    <w:uiPriority w:val="99"/>
    <w:semiHidden/>
    <w:rsid w:val="00577B7E"/>
    <w:rPr>
      <w:b/>
      <w:bCs/>
      <w:lang w:val="en-US" w:eastAsia="en-US"/>
    </w:rPr>
  </w:style>
  <w:style w:type="character" w:customStyle="1" w:styleId="hps">
    <w:name w:val="hps"/>
    <w:rsid w:val="00F04542"/>
  </w:style>
  <w:style w:type="character" w:customStyle="1" w:styleId="hgkelc">
    <w:name w:val="hgkelc"/>
    <w:rsid w:val="00CB0E96"/>
  </w:style>
  <w:style w:type="character" w:customStyle="1" w:styleId="st">
    <w:name w:val="st"/>
    <w:rsid w:val="00CB0E96"/>
  </w:style>
  <w:style w:type="character" w:customStyle="1" w:styleId="TextonotapieCar">
    <w:name w:val="Texto nota pie Car"/>
    <w:link w:val="Textonotapie"/>
    <w:uiPriority w:val="99"/>
    <w:semiHidden/>
    <w:locked/>
    <w:rsid w:val="00AD2318"/>
    <w:rPr>
      <w:lang w:val="en-US" w:eastAsia="en-US"/>
    </w:rPr>
  </w:style>
  <w:style w:type="paragraph" w:customStyle="1" w:styleId="Cuerpo">
    <w:name w:val="Cuerpo"/>
    <w:uiPriority w:val="99"/>
    <w:rsid w:val="00925E01"/>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Arial Unicode MS" w:cs="Arial Unicode MS"/>
      <w:color w:val="000000"/>
      <w:sz w:val="22"/>
      <w:szCs w:val="22"/>
      <w:lang w:eastAsia="es-ES"/>
    </w:rPr>
  </w:style>
  <w:style w:type="paragraph" w:customStyle="1" w:styleId="Estilodetabla2">
    <w:name w:val="Estilo de tabla 2"/>
    <w:uiPriority w:val="99"/>
    <w:rsid w:val="00925E01"/>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Helvetica" w:cs="Helvetica"/>
      <w:color w:val="000000"/>
      <w:lang w:eastAsia="es-ES"/>
    </w:rPr>
  </w:style>
  <w:style w:type="paragraph" w:customStyle="1" w:styleId="RRNormal">
    <w:name w:val="RR Normal"/>
    <w:basedOn w:val="Normal"/>
    <w:uiPriority w:val="99"/>
    <w:rsid w:val="00213A46"/>
    <w:pPr>
      <w:suppressAutoHyphens/>
      <w:spacing w:after="300" w:line="300" w:lineRule="auto"/>
      <w:jc w:val="left"/>
    </w:pPr>
  </w:style>
  <w:style w:type="paragraph" w:styleId="Listaconnmeros3">
    <w:name w:val="List Number 3"/>
    <w:basedOn w:val="Normal"/>
    <w:uiPriority w:val="99"/>
    <w:semiHidden/>
    <w:rsid w:val="00213A46"/>
    <w:pPr>
      <w:numPr>
        <w:numId w:val="20"/>
      </w:numPr>
      <w:jc w:val="left"/>
    </w:pPr>
  </w:style>
  <w:style w:type="character" w:styleId="Hipervnculovisitado">
    <w:name w:val="FollowedHyperlink"/>
    <w:semiHidden/>
    <w:rsid w:val="00737925"/>
    <w:rPr>
      <w:color w:val="800080"/>
      <w:u w:val="single"/>
    </w:rPr>
  </w:style>
  <w:style w:type="character" w:styleId="nfasis">
    <w:name w:val="Emphasis"/>
    <w:uiPriority w:val="20"/>
    <w:qFormat/>
    <w:rsid w:val="00860459"/>
    <w:rPr>
      <w:i/>
      <w:iCs/>
    </w:rPr>
  </w:style>
  <w:style w:type="character" w:customStyle="1" w:styleId="TextosinformatoCar">
    <w:name w:val="Texto sin formato Car"/>
    <w:link w:val="Textosinformato"/>
    <w:uiPriority w:val="99"/>
    <w:rsid w:val="00860459"/>
    <w:rPr>
      <w:rFonts w:ascii="Courier New" w:hAnsi="Courier New" w:cs="Courier New"/>
      <w:lang w:val="en-US" w:eastAsia="en-US"/>
    </w:rPr>
  </w:style>
  <w:style w:type="paragraph" w:customStyle="1" w:styleId="Parrafo-std">
    <w:name w:val="Parrafo-std"/>
    <w:basedOn w:val="Normal"/>
    <w:qFormat/>
    <w:rsid w:val="00CA72DB"/>
    <w:pPr>
      <w:widowControl w:val="0"/>
      <w:autoSpaceDE w:val="0"/>
      <w:autoSpaceDN w:val="0"/>
      <w:adjustRightInd w:val="0"/>
      <w:spacing w:before="120"/>
      <w:ind w:firstLine="624"/>
    </w:pPr>
  </w:style>
  <w:style w:type="character" w:customStyle="1" w:styleId="figpopup-sensitive-area">
    <w:name w:val="figpopup-sensitive-area"/>
    <w:rsid w:val="00032216"/>
  </w:style>
  <w:style w:type="character" w:customStyle="1" w:styleId="Ttulo2Car">
    <w:name w:val="Título 2 Car"/>
    <w:link w:val="Ttulo2"/>
    <w:rsid w:val="00EB7061"/>
    <w:rPr>
      <w:rFonts w:ascii="Arial" w:hAnsi="Arial" w:cs="Arial"/>
      <w:b/>
      <w:sz w:val="22"/>
      <w:szCs w:val="22"/>
      <w:lang w:val="en-US" w:eastAsia="en-US"/>
    </w:rPr>
  </w:style>
  <w:style w:type="character" w:customStyle="1" w:styleId="highlight">
    <w:name w:val="highlight"/>
    <w:rsid w:val="00B911EB"/>
  </w:style>
  <w:style w:type="paragraph" w:styleId="Sangradetextonormal">
    <w:name w:val="Body Text Indent"/>
    <w:basedOn w:val="Normal"/>
    <w:link w:val="SangradetextonormalCar"/>
    <w:uiPriority w:val="99"/>
    <w:semiHidden/>
    <w:unhideWhenUsed/>
    <w:rsid w:val="00D27007"/>
    <w:pPr>
      <w:ind w:left="283"/>
    </w:pPr>
  </w:style>
  <w:style w:type="character" w:customStyle="1" w:styleId="SangradetextonormalCar">
    <w:name w:val="Sangría de texto normal Car"/>
    <w:link w:val="Sangradetextonormal"/>
    <w:uiPriority w:val="99"/>
    <w:semiHidden/>
    <w:rsid w:val="00D27007"/>
    <w:rPr>
      <w:rFonts w:ascii="Arial" w:hAnsi="Arial" w:cs="Arial"/>
      <w:lang w:val="en-US" w:eastAsia="en-US"/>
    </w:rPr>
  </w:style>
  <w:style w:type="paragraph" w:styleId="Textoindependienteprimerasangra2">
    <w:name w:val="Body Text First Indent 2"/>
    <w:basedOn w:val="Sangradetextonormal"/>
    <w:link w:val="Textoindependienteprimerasangra2Car"/>
    <w:uiPriority w:val="99"/>
    <w:semiHidden/>
    <w:unhideWhenUsed/>
    <w:rsid w:val="00D27007"/>
    <w:pPr>
      <w:ind w:firstLine="210"/>
    </w:pPr>
  </w:style>
  <w:style w:type="character" w:customStyle="1" w:styleId="Textoindependienteprimerasangra2Car">
    <w:name w:val="Texto independiente primera sangría 2 Car"/>
    <w:basedOn w:val="SangradetextonormalCar"/>
    <w:link w:val="Textoindependienteprimerasangra2"/>
    <w:uiPriority w:val="99"/>
    <w:semiHidden/>
    <w:rsid w:val="00D27007"/>
    <w:rPr>
      <w:rFonts w:ascii="Arial" w:hAnsi="Arial" w:cs="Arial"/>
      <w:lang w:val="en-US" w:eastAsia="en-US"/>
    </w:rPr>
  </w:style>
  <w:style w:type="paragraph" w:styleId="Tabladeilustraciones">
    <w:name w:val="table of figures"/>
    <w:basedOn w:val="Normal"/>
    <w:next w:val="Normal"/>
    <w:uiPriority w:val="99"/>
    <w:unhideWhenUsed/>
    <w:rsid w:val="00D27007"/>
    <w:pPr>
      <w:spacing w:after="0" w:line="240" w:lineRule="auto"/>
      <w:ind w:left="480" w:hanging="480"/>
      <w:jc w:val="left"/>
    </w:pPr>
    <w:rPr>
      <w:rFonts w:ascii="Times New Roman" w:hAnsi="Times New Roman" w:cs="Times New Roman"/>
      <w:sz w:val="24"/>
    </w:rPr>
  </w:style>
  <w:style w:type="paragraph" w:styleId="TtuloTDC">
    <w:name w:val="TOC Heading"/>
    <w:basedOn w:val="Ttulo1"/>
    <w:next w:val="Normal"/>
    <w:uiPriority w:val="39"/>
    <w:unhideWhenUsed/>
    <w:qFormat/>
    <w:rsid w:val="00586F8A"/>
    <w:pPr>
      <w:numPr>
        <w:numId w:val="0"/>
      </w:numPr>
      <w:tabs>
        <w:tab w:val="clear" w:pos="426"/>
      </w:tabs>
      <w:spacing w:before="240" w:after="0" w:line="259" w:lineRule="auto"/>
      <w:outlineLvl w:val="9"/>
    </w:pPr>
    <w:rPr>
      <w:rFonts w:ascii="Calibri Light" w:hAnsi="Calibri Light" w:cs="Times New Roman"/>
      <w:b w:val="0"/>
      <w:caps w:val="0"/>
      <w:color w:val="2E74B5"/>
      <w:sz w:val="32"/>
      <w:szCs w:val="32"/>
      <w:lang w:val="es-ES" w:eastAsia="es-ES"/>
    </w:rPr>
  </w:style>
  <w:style w:type="paragraph" w:styleId="Revisin">
    <w:name w:val="Revision"/>
    <w:hidden/>
    <w:uiPriority w:val="99"/>
    <w:semiHidden/>
    <w:rsid w:val="00342ED7"/>
    <w:rPr>
      <w:rFonts w:ascii="Arial" w:hAnsi="Arial" w:cs="Arial"/>
      <w:lang w:val="en-US" w:eastAsia="en-US"/>
    </w:rPr>
  </w:style>
  <w:style w:type="character" w:customStyle="1" w:styleId="EncabezadoCar">
    <w:name w:val="Encabezado Car"/>
    <w:aliases w:val="En-tête1 Car,Page Header Car,Header1 Car"/>
    <w:basedOn w:val="Fuentedeprrafopredeter"/>
    <w:link w:val="Encabezado"/>
    <w:uiPriority w:val="99"/>
    <w:rsid w:val="00342ED7"/>
    <w:rPr>
      <w:sz w:val="24"/>
      <w:lang w:val="en-US" w:eastAsia="en-US"/>
    </w:rPr>
  </w:style>
  <w:style w:type="character" w:customStyle="1" w:styleId="Mencinsinresolver1">
    <w:name w:val="Mención sin resolver1"/>
    <w:basedOn w:val="Fuentedeprrafopredeter"/>
    <w:uiPriority w:val="99"/>
    <w:semiHidden/>
    <w:unhideWhenUsed/>
    <w:rsid w:val="00B07569"/>
    <w:rPr>
      <w:color w:val="605E5C"/>
      <w:shd w:val="clear" w:color="auto" w:fill="E1DFDD"/>
    </w:rPr>
  </w:style>
  <w:style w:type="character" w:customStyle="1" w:styleId="Ttulo1Car">
    <w:name w:val="Título 1 Car"/>
    <w:aliases w:val="Header 1 Car"/>
    <w:basedOn w:val="Fuentedeprrafopredeter"/>
    <w:link w:val="Ttulo1"/>
    <w:rsid w:val="00826737"/>
    <w:rPr>
      <w:rFonts w:ascii="Arial" w:hAnsi="Arial" w:cs="Arial"/>
      <w:b/>
      <w:caps/>
      <w:sz w:val="24"/>
      <w:szCs w:val="24"/>
      <w:lang w:val="en-US" w:eastAsia="en-US"/>
    </w:rPr>
  </w:style>
  <w:style w:type="character" w:customStyle="1" w:styleId="Ttulo3Car">
    <w:name w:val="Título 3 Car"/>
    <w:basedOn w:val="Fuentedeprrafopredeter"/>
    <w:link w:val="Ttulo3"/>
    <w:rsid w:val="00826737"/>
    <w:rPr>
      <w:rFonts w:ascii="Arial" w:hAnsi="Arial" w:cs="Arial"/>
      <w:b/>
      <w:color w:val="000000"/>
      <w:lang w:val="en-US" w:eastAsia="en-US"/>
    </w:rPr>
  </w:style>
  <w:style w:type="character" w:customStyle="1" w:styleId="Ttulo4Car">
    <w:name w:val="Título 4 Car"/>
    <w:basedOn w:val="Fuentedeprrafopredeter"/>
    <w:link w:val="Ttulo4"/>
    <w:rsid w:val="00826737"/>
    <w:rPr>
      <w:rFonts w:ascii="Arial" w:hAnsi="Arial" w:cs="Arial"/>
      <w:b/>
      <w:color w:val="000000"/>
      <w:sz w:val="24"/>
      <w:lang w:val="en-US" w:eastAsia="en-US"/>
    </w:rPr>
  </w:style>
  <w:style w:type="character" w:customStyle="1" w:styleId="Ttulo5Car">
    <w:name w:val="Título 5 Car"/>
    <w:basedOn w:val="Fuentedeprrafopredeter"/>
    <w:link w:val="Ttulo5"/>
    <w:rsid w:val="00826737"/>
    <w:rPr>
      <w:rFonts w:ascii="Arial" w:hAnsi="Arial" w:cs="Arial"/>
      <w:b/>
      <w:i/>
      <w:color w:val="000000"/>
      <w:sz w:val="24"/>
      <w:lang w:val="en-US" w:eastAsia="en-US"/>
    </w:rPr>
  </w:style>
  <w:style w:type="character" w:customStyle="1" w:styleId="Ttulo6Car">
    <w:name w:val="Título 6 Car"/>
    <w:basedOn w:val="Fuentedeprrafopredeter"/>
    <w:link w:val="Ttulo6"/>
    <w:rsid w:val="00826737"/>
    <w:rPr>
      <w:rFonts w:ascii="Arial" w:hAnsi="Arial" w:cs="Arial"/>
      <w:b/>
      <w:color w:val="000000"/>
      <w:sz w:val="24"/>
      <w:lang w:val="en-US" w:eastAsia="en-US"/>
    </w:rPr>
  </w:style>
  <w:style w:type="character" w:customStyle="1" w:styleId="Ttulo7Car">
    <w:name w:val="Título 7 Car"/>
    <w:basedOn w:val="Fuentedeprrafopredeter"/>
    <w:link w:val="Ttulo7"/>
    <w:uiPriority w:val="99"/>
    <w:rsid w:val="00826737"/>
    <w:rPr>
      <w:rFonts w:ascii="Arial" w:hAnsi="Arial" w:cs="Arial"/>
      <w:b/>
      <w:i/>
      <w:color w:val="000000"/>
      <w:sz w:val="24"/>
      <w:lang w:val="en-US" w:eastAsia="en-US"/>
    </w:rPr>
  </w:style>
  <w:style w:type="character" w:customStyle="1" w:styleId="Ttulo8Car">
    <w:name w:val="Título 8 Car"/>
    <w:basedOn w:val="Fuentedeprrafopredeter"/>
    <w:link w:val="Ttulo8"/>
    <w:uiPriority w:val="99"/>
    <w:rsid w:val="00826737"/>
    <w:rPr>
      <w:rFonts w:ascii="Arial" w:hAnsi="Arial" w:cs="Arial"/>
      <w:b/>
      <w:color w:val="000000"/>
      <w:sz w:val="24"/>
      <w:lang w:val="en-US" w:eastAsia="en-US"/>
    </w:rPr>
  </w:style>
  <w:style w:type="character" w:customStyle="1" w:styleId="Ttulo9Car">
    <w:name w:val="Título 9 Car"/>
    <w:basedOn w:val="Fuentedeprrafopredeter"/>
    <w:link w:val="Ttulo9"/>
    <w:uiPriority w:val="99"/>
    <w:rsid w:val="00826737"/>
    <w:rPr>
      <w:rFonts w:ascii="Arial" w:hAnsi="Arial" w:cs="Arial"/>
      <w:b/>
      <w:i/>
      <w:color w:val="000000"/>
      <w:sz w:val="24"/>
      <w:lang w:val="en-US" w:eastAsia="en-US"/>
    </w:rPr>
  </w:style>
  <w:style w:type="character" w:customStyle="1" w:styleId="MapadeldocumentoCar">
    <w:name w:val="Mapa del documento Car"/>
    <w:basedOn w:val="Fuentedeprrafopredeter"/>
    <w:link w:val="Mapadeldocumento"/>
    <w:uiPriority w:val="99"/>
    <w:semiHidden/>
    <w:rsid w:val="00826737"/>
    <w:rPr>
      <w:rFonts w:ascii="Tahoma" w:hAnsi="Tahoma" w:cs="Arial"/>
      <w:shd w:val="clear" w:color="auto" w:fill="000080"/>
      <w:lang w:val="en-US" w:eastAsia="en-US"/>
    </w:rPr>
  </w:style>
  <w:style w:type="character" w:customStyle="1" w:styleId="MapadeldocumentoCar1">
    <w:name w:val="Mapa del documento Car1"/>
    <w:basedOn w:val="Fuentedeprrafopredeter"/>
    <w:uiPriority w:val="99"/>
    <w:semiHidden/>
    <w:rsid w:val="00826737"/>
    <w:rPr>
      <w:rFonts w:ascii="Segoe UI" w:hAnsi="Segoe UI" w:cs="Segoe UI"/>
      <w:sz w:val="16"/>
      <w:szCs w:val="16"/>
    </w:rPr>
  </w:style>
  <w:style w:type="character" w:customStyle="1" w:styleId="PiedepginaCar">
    <w:name w:val="Pie de página Car"/>
    <w:basedOn w:val="Fuentedeprrafopredeter"/>
    <w:link w:val="Piedepgina"/>
    <w:uiPriority w:val="99"/>
    <w:rsid w:val="00826737"/>
    <w:rPr>
      <w:sz w:val="12"/>
      <w:lang w:val="en-US" w:eastAsia="en-US"/>
    </w:rPr>
  </w:style>
  <w:style w:type="character" w:customStyle="1" w:styleId="Bookmark">
    <w:name w:val="Bookmark"/>
    <w:basedOn w:val="Fuentedeprrafopredeter"/>
    <w:rsid w:val="00826737"/>
  </w:style>
  <w:style w:type="character" w:customStyle="1" w:styleId="DescripcinCar">
    <w:name w:val="Descripción Car"/>
    <w:link w:val="Descripcin"/>
    <w:rsid w:val="00826737"/>
    <w:rPr>
      <w:rFonts w:ascii="Arial" w:hAnsi="Arial" w:cs="Arial"/>
      <w:b/>
      <w:bCs/>
      <w:lang w:val="en-US" w:eastAsia="en-US"/>
    </w:rPr>
  </w:style>
  <w:style w:type="character" w:customStyle="1" w:styleId="TextocomentarioCar1">
    <w:name w:val="Texto comentario Car1"/>
    <w:basedOn w:val="Fuentedeprrafopredeter"/>
    <w:uiPriority w:val="99"/>
    <w:semiHidden/>
    <w:rsid w:val="00826737"/>
    <w:rPr>
      <w:sz w:val="20"/>
      <w:szCs w:val="20"/>
    </w:rPr>
  </w:style>
  <w:style w:type="character" w:customStyle="1" w:styleId="TextonotaalfinalCar">
    <w:name w:val="Texto nota al final Car"/>
    <w:basedOn w:val="Fuentedeprrafopredeter"/>
    <w:link w:val="Textonotaalfinal"/>
    <w:uiPriority w:val="99"/>
    <w:semiHidden/>
    <w:rsid w:val="00826737"/>
    <w:rPr>
      <w:sz w:val="24"/>
      <w:lang w:val="en-US"/>
    </w:rPr>
  </w:style>
  <w:style w:type="paragraph" w:styleId="Textonotaalfinal">
    <w:name w:val="endnote text"/>
    <w:basedOn w:val="Normal"/>
    <w:link w:val="TextonotaalfinalCar"/>
    <w:uiPriority w:val="99"/>
    <w:semiHidden/>
    <w:rsid w:val="00826737"/>
    <w:pPr>
      <w:keepLines/>
      <w:tabs>
        <w:tab w:val="decimal" w:pos="288"/>
        <w:tab w:val="left" w:pos="432"/>
      </w:tabs>
      <w:spacing w:after="300" w:line="300" w:lineRule="auto"/>
      <w:ind w:left="432" w:hanging="432"/>
      <w:jc w:val="left"/>
    </w:pPr>
    <w:rPr>
      <w:rFonts w:ascii="Times New Roman" w:hAnsi="Times New Roman" w:cs="Times New Roman"/>
      <w:sz w:val="24"/>
      <w:lang w:eastAsia="es-ES_tradnl"/>
    </w:rPr>
  </w:style>
  <w:style w:type="character" w:customStyle="1" w:styleId="TextonotaalfinalCar1">
    <w:name w:val="Texto nota al final Car1"/>
    <w:basedOn w:val="Fuentedeprrafopredeter"/>
    <w:uiPriority w:val="99"/>
    <w:semiHidden/>
    <w:rsid w:val="00826737"/>
    <w:rPr>
      <w:rFonts w:ascii="Arial" w:hAnsi="Arial" w:cs="Arial"/>
      <w:lang w:val="en-US" w:eastAsia="en-US"/>
    </w:rPr>
  </w:style>
  <w:style w:type="character" w:customStyle="1" w:styleId="TextonotapieCar1">
    <w:name w:val="Texto nota pie Car1"/>
    <w:basedOn w:val="Fuentedeprrafopredeter"/>
    <w:uiPriority w:val="99"/>
    <w:semiHidden/>
    <w:rsid w:val="00826737"/>
    <w:rPr>
      <w:sz w:val="20"/>
      <w:szCs w:val="20"/>
    </w:rPr>
  </w:style>
  <w:style w:type="paragraph" w:customStyle="1" w:styleId="Synopsis">
    <w:name w:val="Synopsis"/>
    <w:basedOn w:val="Normal"/>
    <w:uiPriority w:val="99"/>
    <w:rsid w:val="00826737"/>
    <w:pPr>
      <w:keepLines/>
      <w:framePr w:hSpace="187" w:wrap="around" w:vAnchor="page" w:hAnchor="margin" w:xAlign="right" w:y="721" w:anchorLock="1"/>
      <w:spacing w:after="0" w:line="240" w:lineRule="auto"/>
      <w:jc w:val="left"/>
    </w:pPr>
    <w:rPr>
      <w:rFonts w:ascii="Times New Roman" w:hAnsi="Times New Roman" w:cs="Times New Roman"/>
      <w:b/>
      <w:sz w:val="24"/>
    </w:rPr>
  </w:style>
  <w:style w:type="paragraph" w:customStyle="1" w:styleId="TableFootnote">
    <w:name w:val="Table Footnote"/>
    <w:basedOn w:val="Normal"/>
    <w:next w:val="Normal"/>
    <w:uiPriority w:val="99"/>
    <w:rsid w:val="00826737"/>
    <w:pPr>
      <w:tabs>
        <w:tab w:val="left" w:pos="288"/>
      </w:tabs>
      <w:spacing w:after="0" w:line="240" w:lineRule="auto"/>
      <w:ind w:left="288" w:hanging="288"/>
      <w:jc w:val="left"/>
    </w:pPr>
    <w:rPr>
      <w:rFonts w:ascii="Times New Roman" w:hAnsi="Times New Roman" w:cs="Times New Roman"/>
    </w:rPr>
  </w:style>
  <w:style w:type="paragraph" w:customStyle="1" w:styleId="TableTitle">
    <w:name w:val="Table Title"/>
    <w:basedOn w:val="Descripcin"/>
    <w:uiPriority w:val="99"/>
    <w:rsid w:val="00826737"/>
    <w:pPr>
      <w:keepNext/>
      <w:spacing w:line="240" w:lineRule="auto"/>
      <w:jc w:val="left"/>
    </w:pPr>
    <w:rPr>
      <w:bCs w:val="0"/>
    </w:rPr>
  </w:style>
  <w:style w:type="paragraph" w:customStyle="1" w:styleId="Lastsavedby">
    <w:name w:val="Last saved by"/>
    <w:uiPriority w:val="99"/>
    <w:rsid w:val="00826737"/>
    <w:rPr>
      <w:lang w:val="en-US" w:eastAsia="en-US"/>
    </w:rPr>
  </w:style>
  <w:style w:type="paragraph" w:customStyle="1" w:styleId="Filename">
    <w:name w:val="Filename"/>
    <w:uiPriority w:val="99"/>
    <w:rsid w:val="00826737"/>
    <w:rPr>
      <w:lang w:val="en-US" w:eastAsia="en-US"/>
    </w:rPr>
  </w:style>
  <w:style w:type="paragraph" w:customStyle="1" w:styleId="FigureTitle">
    <w:name w:val="Figure Title"/>
    <w:basedOn w:val="Descripcin"/>
    <w:next w:val="Normal"/>
    <w:uiPriority w:val="99"/>
    <w:rsid w:val="00826737"/>
    <w:pPr>
      <w:spacing w:line="240" w:lineRule="auto"/>
      <w:jc w:val="center"/>
    </w:pPr>
    <w:rPr>
      <w:bCs w:val="0"/>
    </w:rPr>
  </w:style>
  <w:style w:type="paragraph" w:customStyle="1" w:styleId="DateStamp">
    <w:name w:val="DateStamp"/>
    <w:uiPriority w:val="99"/>
    <w:rsid w:val="00826737"/>
    <w:pPr>
      <w:tabs>
        <w:tab w:val="center" w:pos="4320"/>
        <w:tab w:val="right" w:pos="8640"/>
      </w:tabs>
    </w:pPr>
    <w:rPr>
      <w:sz w:val="24"/>
      <w:lang w:val="en-US" w:eastAsia="en-US"/>
    </w:rPr>
  </w:style>
  <w:style w:type="paragraph" w:customStyle="1" w:styleId="TableTitleCont">
    <w:name w:val="Table Title Cont"/>
    <w:basedOn w:val="TableTitle"/>
    <w:next w:val="Normal"/>
    <w:uiPriority w:val="99"/>
    <w:rsid w:val="00826737"/>
  </w:style>
  <w:style w:type="character" w:customStyle="1" w:styleId="Instruction">
    <w:name w:val="Instruction"/>
    <w:basedOn w:val="Fuentedeprrafopredeter"/>
    <w:rsid w:val="00826737"/>
    <w:rPr>
      <w:color w:val="0000FF"/>
    </w:rPr>
  </w:style>
  <w:style w:type="paragraph" w:customStyle="1" w:styleId="RegNote">
    <w:name w:val="RegNote"/>
    <w:basedOn w:val="Textoindependiente"/>
    <w:next w:val="Textoindependiente"/>
    <w:uiPriority w:val="99"/>
    <w:rsid w:val="00826737"/>
    <w:pPr>
      <w:suppressAutoHyphens/>
      <w:spacing w:after="300" w:line="300" w:lineRule="auto"/>
      <w:jc w:val="left"/>
    </w:pPr>
    <w:rPr>
      <w:rFonts w:ascii="Times New Roman" w:hAnsi="Times New Roman" w:cs="Times New Roman"/>
      <w:color w:val="FF0000"/>
      <w:sz w:val="24"/>
    </w:rPr>
  </w:style>
  <w:style w:type="character" w:customStyle="1" w:styleId="TextoindependienteCar">
    <w:name w:val="Texto independiente Car"/>
    <w:basedOn w:val="Fuentedeprrafopredeter"/>
    <w:uiPriority w:val="99"/>
    <w:semiHidden/>
    <w:rsid w:val="00826737"/>
    <w:rPr>
      <w:rFonts w:ascii="Times New Roman" w:eastAsia="Times New Roman" w:hAnsi="Times New Roman" w:cs="Times New Roman"/>
      <w:sz w:val="24"/>
      <w:szCs w:val="20"/>
      <w:lang w:val="en-US"/>
    </w:rPr>
  </w:style>
  <w:style w:type="character" w:customStyle="1" w:styleId="InstructionCMCAR">
    <w:name w:val="Instruction CMCAR"/>
    <w:basedOn w:val="Fuentedeprrafopredeter"/>
    <w:rsid w:val="00826737"/>
    <w:rPr>
      <w:rFonts w:ascii="Times New Roman" w:hAnsi="Times New Roman"/>
      <w:i/>
      <w:noProof w:val="0"/>
      <w:color w:val="0000FF"/>
      <w:sz w:val="24"/>
      <w:lang w:val="en-US"/>
    </w:rPr>
  </w:style>
  <w:style w:type="character" w:customStyle="1" w:styleId="InstructionRed">
    <w:name w:val="Instruction Red"/>
    <w:basedOn w:val="Fuentedeprrafopredeter"/>
    <w:rsid w:val="00826737"/>
    <w:rPr>
      <w:rFonts w:ascii="Times New Roman" w:hAnsi="Times New Roman"/>
      <w:noProof w:val="0"/>
      <w:color w:val="FF0000"/>
      <w:sz w:val="24"/>
      <w:lang w:val="en-US"/>
    </w:rPr>
  </w:style>
  <w:style w:type="character" w:customStyle="1" w:styleId="InstructionB">
    <w:name w:val="InstructionB"/>
    <w:basedOn w:val="Fuentedeprrafopredeter"/>
    <w:rsid w:val="00826737"/>
    <w:rPr>
      <w:color w:val="0000FF"/>
    </w:rPr>
  </w:style>
  <w:style w:type="character" w:customStyle="1" w:styleId="HTMLMarkup">
    <w:name w:val="HTML Markup"/>
    <w:rsid w:val="00826737"/>
    <w:rPr>
      <w:vanish/>
      <w:color w:val="FF0000"/>
    </w:rPr>
  </w:style>
  <w:style w:type="character" w:customStyle="1" w:styleId="CierreCar">
    <w:name w:val="Cierre Car"/>
    <w:basedOn w:val="Fuentedeprrafopredeter"/>
    <w:link w:val="Cierre"/>
    <w:uiPriority w:val="99"/>
    <w:semiHidden/>
    <w:rsid w:val="00826737"/>
    <w:rPr>
      <w:sz w:val="24"/>
      <w:lang w:val="en-US"/>
    </w:rPr>
  </w:style>
  <w:style w:type="paragraph" w:styleId="Cierre">
    <w:name w:val="Closing"/>
    <w:basedOn w:val="Normal"/>
    <w:link w:val="CierreCar"/>
    <w:uiPriority w:val="99"/>
    <w:semiHidden/>
    <w:rsid w:val="00826737"/>
    <w:pPr>
      <w:spacing w:after="0" w:line="240" w:lineRule="auto"/>
      <w:ind w:left="4252"/>
      <w:jc w:val="left"/>
    </w:pPr>
    <w:rPr>
      <w:rFonts w:ascii="Times New Roman" w:hAnsi="Times New Roman" w:cs="Times New Roman"/>
      <w:sz w:val="24"/>
      <w:lang w:eastAsia="es-ES_tradnl"/>
    </w:rPr>
  </w:style>
  <w:style w:type="character" w:customStyle="1" w:styleId="CierreCar1">
    <w:name w:val="Cierre Car1"/>
    <w:basedOn w:val="Fuentedeprrafopredeter"/>
    <w:uiPriority w:val="99"/>
    <w:semiHidden/>
    <w:rsid w:val="00826737"/>
    <w:rPr>
      <w:rFonts w:ascii="Arial" w:hAnsi="Arial" w:cs="Arial"/>
      <w:lang w:val="en-US" w:eastAsia="en-US"/>
    </w:rPr>
  </w:style>
  <w:style w:type="paragraph" w:styleId="Direccinsobre">
    <w:name w:val="envelope address"/>
    <w:basedOn w:val="Normal"/>
    <w:uiPriority w:val="99"/>
    <w:semiHidden/>
    <w:rsid w:val="00826737"/>
    <w:pPr>
      <w:framePr w:w="7920" w:h="1980" w:hRule="exact" w:hSpace="141" w:wrap="auto" w:hAnchor="page" w:xAlign="center" w:yAlign="bottom"/>
      <w:spacing w:after="0" w:line="240" w:lineRule="auto"/>
      <w:ind w:left="2880"/>
      <w:jc w:val="left"/>
    </w:pPr>
    <w:rPr>
      <w:rFonts w:cs="Times New Roman"/>
      <w:sz w:val="24"/>
    </w:rPr>
  </w:style>
  <w:style w:type="character" w:customStyle="1" w:styleId="EncabezadodemensajeCar">
    <w:name w:val="Encabezado de mensaje Car"/>
    <w:basedOn w:val="Fuentedeprrafopredeter"/>
    <w:link w:val="Encabezadodemensaje"/>
    <w:uiPriority w:val="99"/>
    <w:semiHidden/>
    <w:rsid w:val="00826737"/>
    <w:rPr>
      <w:rFonts w:ascii="Arial" w:hAnsi="Arial"/>
      <w:sz w:val="24"/>
      <w:shd w:val="pct20" w:color="auto" w:fill="auto"/>
      <w:lang w:val="en-US"/>
    </w:rPr>
  </w:style>
  <w:style w:type="paragraph" w:styleId="Encabezadodemensaje">
    <w:name w:val="Message Header"/>
    <w:basedOn w:val="Normal"/>
    <w:link w:val="EncabezadodemensajeCar"/>
    <w:uiPriority w:val="99"/>
    <w:semiHidden/>
    <w:rsid w:val="0082673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left"/>
    </w:pPr>
    <w:rPr>
      <w:rFonts w:cs="Times New Roman"/>
      <w:sz w:val="24"/>
      <w:lang w:eastAsia="es-ES_tradnl"/>
    </w:rPr>
  </w:style>
  <w:style w:type="character" w:customStyle="1" w:styleId="EncabezadodemensajeCar1">
    <w:name w:val="Encabezado de mensaje Car1"/>
    <w:basedOn w:val="Fuentedeprrafopredeter"/>
    <w:uiPriority w:val="99"/>
    <w:semiHidden/>
    <w:rsid w:val="00826737"/>
    <w:rPr>
      <w:rFonts w:asciiTheme="majorHAnsi" w:eastAsiaTheme="majorEastAsia" w:hAnsiTheme="majorHAnsi" w:cstheme="majorBidi"/>
      <w:sz w:val="24"/>
      <w:szCs w:val="24"/>
      <w:shd w:val="pct20" w:color="auto" w:fill="auto"/>
      <w:lang w:val="en-US" w:eastAsia="en-US"/>
    </w:rPr>
  </w:style>
  <w:style w:type="character" w:customStyle="1" w:styleId="EncabezadodenotaCar">
    <w:name w:val="Encabezado de nota Car"/>
    <w:basedOn w:val="Fuentedeprrafopredeter"/>
    <w:link w:val="Encabezadodenota"/>
    <w:uiPriority w:val="99"/>
    <w:semiHidden/>
    <w:rsid w:val="00826737"/>
    <w:rPr>
      <w:sz w:val="24"/>
      <w:lang w:val="en-US"/>
    </w:rPr>
  </w:style>
  <w:style w:type="paragraph" w:styleId="Encabezadodenota">
    <w:name w:val="Note Heading"/>
    <w:basedOn w:val="Normal"/>
    <w:next w:val="Normal"/>
    <w:link w:val="EncabezadodenotaCar"/>
    <w:uiPriority w:val="99"/>
    <w:semiHidden/>
    <w:rsid w:val="00826737"/>
    <w:pPr>
      <w:spacing w:after="0" w:line="240" w:lineRule="auto"/>
      <w:jc w:val="left"/>
    </w:pPr>
    <w:rPr>
      <w:rFonts w:ascii="Times New Roman" w:hAnsi="Times New Roman" w:cs="Times New Roman"/>
      <w:sz w:val="24"/>
      <w:lang w:eastAsia="es-ES_tradnl"/>
    </w:rPr>
  </w:style>
  <w:style w:type="character" w:customStyle="1" w:styleId="EncabezadodenotaCar1">
    <w:name w:val="Encabezado de nota Car1"/>
    <w:basedOn w:val="Fuentedeprrafopredeter"/>
    <w:uiPriority w:val="99"/>
    <w:semiHidden/>
    <w:rsid w:val="00826737"/>
    <w:rPr>
      <w:rFonts w:ascii="Arial" w:hAnsi="Arial" w:cs="Arial"/>
      <w:lang w:val="en-US" w:eastAsia="en-US"/>
    </w:rPr>
  </w:style>
  <w:style w:type="character" w:customStyle="1" w:styleId="FechaCar">
    <w:name w:val="Fecha Car"/>
    <w:basedOn w:val="Fuentedeprrafopredeter"/>
    <w:link w:val="Fecha"/>
    <w:uiPriority w:val="99"/>
    <w:semiHidden/>
    <w:rsid w:val="00826737"/>
    <w:rPr>
      <w:sz w:val="24"/>
      <w:lang w:val="en-US"/>
    </w:rPr>
  </w:style>
  <w:style w:type="paragraph" w:styleId="Fecha">
    <w:name w:val="Date"/>
    <w:basedOn w:val="Normal"/>
    <w:next w:val="Normal"/>
    <w:link w:val="FechaCar"/>
    <w:uiPriority w:val="99"/>
    <w:semiHidden/>
    <w:rsid w:val="00826737"/>
    <w:pPr>
      <w:spacing w:after="0" w:line="240" w:lineRule="auto"/>
      <w:jc w:val="left"/>
    </w:pPr>
    <w:rPr>
      <w:rFonts w:ascii="Times New Roman" w:hAnsi="Times New Roman" w:cs="Times New Roman"/>
      <w:sz w:val="24"/>
      <w:lang w:eastAsia="es-ES_tradnl"/>
    </w:rPr>
  </w:style>
  <w:style w:type="character" w:customStyle="1" w:styleId="FechaCar1">
    <w:name w:val="Fecha Car1"/>
    <w:basedOn w:val="Fuentedeprrafopredeter"/>
    <w:uiPriority w:val="99"/>
    <w:semiHidden/>
    <w:rsid w:val="00826737"/>
    <w:rPr>
      <w:rFonts w:ascii="Arial" w:hAnsi="Arial" w:cs="Arial"/>
      <w:lang w:val="en-US" w:eastAsia="en-US"/>
    </w:rPr>
  </w:style>
  <w:style w:type="character" w:customStyle="1" w:styleId="FirmaCar">
    <w:name w:val="Firma Car"/>
    <w:basedOn w:val="Fuentedeprrafopredeter"/>
    <w:link w:val="Firma"/>
    <w:uiPriority w:val="99"/>
    <w:semiHidden/>
    <w:rsid w:val="00826737"/>
    <w:rPr>
      <w:sz w:val="24"/>
      <w:lang w:val="en-US"/>
    </w:rPr>
  </w:style>
  <w:style w:type="paragraph" w:styleId="Firma">
    <w:name w:val="Signature"/>
    <w:basedOn w:val="Normal"/>
    <w:link w:val="FirmaCar"/>
    <w:uiPriority w:val="99"/>
    <w:semiHidden/>
    <w:rsid w:val="00826737"/>
    <w:pPr>
      <w:spacing w:after="0" w:line="240" w:lineRule="auto"/>
      <w:ind w:left="4252"/>
      <w:jc w:val="left"/>
    </w:pPr>
    <w:rPr>
      <w:rFonts w:ascii="Times New Roman" w:hAnsi="Times New Roman" w:cs="Times New Roman"/>
      <w:sz w:val="24"/>
      <w:lang w:eastAsia="es-ES_tradnl"/>
    </w:rPr>
  </w:style>
  <w:style w:type="character" w:customStyle="1" w:styleId="FirmaCar1">
    <w:name w:val="Firma Car1"/>
    <w:basedOn w:val="Fuentedeprrafopredeter"/>
    <w:uiPriority w:val="99"/>
    <w:semiHidden/>
    <w:rsid w:val="00826737"/>
    <w:rPr>
      <w:rFonts w:ascii="Arial" w:hAnsi="Arial" w:cs="Arial"/>
      <w:lang w:val="en-US" w:eastAsia="en-US"/>
    </w:rPr>
  </w:style>
  <w:style w:type="paragraph" w:styleId="ndice1">
    <w:name w:val="index 1"/>
    <w:basedOn w:val="Normal"/>
    <w:next w:val="Normal"/>
    <w:autoRedefine/>
    <w:uiPriority w:val="99"/>
    <w:semiHidden/>
    <w:rsid w:val="00826737"/>
    <w:pPr>
      <w:spacing w:after="0" w:line="240" w:lineRule="auto"/>
      <w:ind w:left="240" w:hanging="240"/>
      <w:jc w:val="left"/>
    </w:pPr>
    <w:rPr>
      <w:rFonts w:ascii="Times New Roman" w:hAnsi="Times New Roman" w:cs="Times New Roman"/>
      <w:sz w:val="24"/>
    </w:rPr>
  </w:style>
  <w:style w:type="paragraph" w:styleId="Lista">
    <w:name w:val="List"/>
    <w:basedOn w:val="Normal"/>
    <w:uiPriority w:val="99"/>
    <w:semiHidden/>
    <w:rsid w:val="00826737"/>
    <w:pPr>
      <w:spacing w:after="0" w:line="240" w:lineRule="auto"/>
      <w:ind w:left="283" w:hanging="283"/>
      <w:jc w:val="left"/>
    </w:pPr>
    <w:rPr>
      <w:rFonts w:ascii="Times New Roman" w:hAnsi="Times New Roman" w:cs="Times New Roman"/>
      <w:sz w:val="24"/>
    </w:rPr>
  </w:style>
  <w:style w:type="paragraph" w:styleId="Listaconvietas">
    <w:name w:val="List Bullet"/>
    <w:basedOn w:val="Normal"/>
    <w:autoRedefine/>
    <w:uiPriority w:val="99"/>
    <w:semiHidden/>
    <w:rsid w:val="00826737"/>
    <w:pPr>
      <w:numPr>
        <w:numId w:val="37"/>
      </w:numPr>
      <w:spacing w:after="0" w:line="240" w:lineRule="auto"/>
      <w:jc w:val="left"/>
    </w:pPr>
    <w:rPr>
      <w:rFonts w:ascii="Times New Roman" w:hAnsi="Times New Roman" w:cs="Times New Roman"/>
      <w:sz w:val="24"/>
    </w:rPr>
  </w:style>
  <w:style w:type="character" w:customStyle="1" w:styleId="SaludoCar">
    <w:name w:val="Saludo Car"/>
    <w:basedOn w:val="Fuentedeprrafopredeter"/>
    <w:link w:val="Saludo"/>
    <w:uiPriority w:val="99"/>
    <w:semiHidden/>
    <w:rsid w:val="00826737"/>
    <w:rPr>
      <w:sz w:val="24"/>
      <w:lang w:val="en-US"/>
    </w:rPr>
  </w:style>
  <w:style w:type="paragraph" w:styleId="Saludo">
    <w:name w:val="Salutation"/>
    <w:basedOn w:val="Normal"/>
    <w:next w:val="Normal"/>
    <w:link w:val="SaludoCar"/>
    <w:uiPriority w:val="99"/>
    <w:semiHidden/>
    <w:rsid w:val="00826737"/>
    <w:pPr>
      <w:spacing w:after="0" w:line="240" w:lineRule="auto"/>
      <w:jc w:val="left"/>
    </w:pPr>
    <w:rPr>
      <w:rFonts w:ascii="Times New Roman" w:hAnsi="Times New Roman" w:cs="Times New Roman"/>
      <w:sz w:val="24"/>
      <w:lang w:eastAsia="es-ES_tradnl"/>
    </w:rPr>
  </w:style>
  <w:style w:type="character" w:customStyle="1" w:styleId="SaludoCar1">
    <w:name w:val="Saludo Car1"/>
    <w:basedOn w:val="Fuentedeprrafopredeter"/>
    <w:uiPriority w:val="99"/>
    <w:semiHidden/>
    <w:rsid w:val="00826737"/>
    <w:rPr>
      <w:rFonts w:ascii="Arial" w:hAnsi="Arial" w:cs="Arial"/>
      <w:lang w:val="en-US" w:eastAsia="en-US"/>
    </w:rPr>
  </w:style>
  <w:style w:type="character" w:customStyle="1" w:styleId="Sangra2detindependienteCar">
    <w:name w:val="Sangría 2 de t. independiente Car"/>
    <w:basedOn w:val="Fuentedeprrafopredeter"/>
    <w:link w:val="Sangra2detindependiente"/>
    <w:uiPriority w:val="99"/>
    <w:semiHidden/>
    <w:rsid w:val="00826737"/>
    <w:rPr>
      <w:sz w:val="24"/>
      <w:lang w:val="en-US"/>
    </w:rPr>
  </w:style>
  <w:style w:type="paragraph" w:styleId="Sangra2detindependiente">
    <w:name w:val="Body Text Indent 2"/>
    <w:basedOn w:val="Normal"/>
    <w:link w:val="Sangra2detindependienteCar"/>
    <w:uiPriority w:val="99"/>
    <w:semiHidden/>
    <w:rsid w:val="00826737"/>
    <w:pPr>
      <w:spacing w:line="480" w:lineRule="auto"/>
      <w:ind w:left="283"/>
      <w:jc w:val="left"/>
    </w:pPr>
    <w:rPr>
      <w:rFonts w:ascii="Times New Roman" w:hAnsi="Times New Roman" w:cs="Times New Roman"/>
      <w:sz w:val="24"/>
      <w:lang w:eastAsia="es-ES_tradnl"/>
    </w:rPr>
  </w:style>
  <w:style w:type="character" w:customStyle="1" w:styleId="Sangra2detindependienteCar1">
    <w:name w:val="Sangría 2 de t. independiente Car1"/>
    <w:basedOn w:val="Fuentedeprrafopredeter"/>
    <w:uiPriority w:val="99"/>
    <w:semiHidden/>
    <w:rsid w:val="00826737"/>
    <w:rPr>
      <w:rFonts w:ascii="Arial" w:hAnsi="Arial" w:cs="Arial"/>
      <w:lang w:val="en-US" w:eastAsia="en-US"/>
    </w:rPr>
  </w:style>
  <w:style w:type="character" w:customStyle="1" w:styleId="Sangra3detindependienteCar">
    <w:name w:val="Sangría 3 de t. independiente Car"/>
    <w:basedOn w:val="Fuentedeprrafopredeter"/>
    <w:link w:val="Sangra3detindependiente"/>
    <w:uiPriority w:val="99"/>
    <w:semiHidden/>
    <w:rsid w:val="00826737"/>
    <w:rPr>
      <w:sz w:val="16"/>
      <w:lang w:val="en-US"/>
    </w:rPr>
  </w:style>
  <w:style w:type="paragraph" w:styleId="Sangra3detindependiente">
    <w:name w:val="Body Text Indent 3"/>
    <w:basedOn w:val="Normal"/>
    <w:link w:val="Sangra3detindependienteCar"/>
    <w:uiPriority w:val="99"/>
    <w:semiHidden/>
    <w:rsid w:val="00826737"/>
    <w:pPr>
      <w:spacing w:line="240" w:lineRule="auto"/>
      <w:ind w:left="283"/>
      <w:jc w:val="left"/>
    </w:pPr>
    <w:rPr>
      <w:rFonts w:ascii="Times New Roman" w:hAnsi="Times New Roman" w:cs="Times New Roman"/>
      <w:sz w:val="16"/>
      <w:lang w:eastAsia="es-ES_tradnl"/>
    </w:rPr>
  </w:style>
  <w:style w:type="character" w:customStyle="1" w:styleId="Sangra3detindependienteCar1">
    <w:name w:val="Sangría 3 de t. independiente Car1"/>
    <w:basedOn w:val="Fuentedeprrafopredeter"/>
    <w:uiPriority w:val="99"/>
    <w:semiHidden/>
    <w:rsid w:val="00826737"/>
    <w:rPr>
      <w:rFonts w:ascii="Arial" w:hAnsi="Arial" w:cs="Arial"/>
      <w:sz w:val="16"/>
      <w:szCs w:val="16"/>
      <w:lang w:val="en-US" w:eastAsia="en-US"/>
    </w:rPr>
  </w:style>
  <w:style w:type="paragraph" w:styleId="Sangranormal">
    <w:name w:val="Normal Indent"/>
    <w:basedOn w:val="Normal"/>
    <w:uiPriority w:val="99"/>
    <w:semiHidden/>
    <w:rsid w:val="00826737"/>
    <w:pPr>
      <w:spacing w:after="0" w:line="240" w:lineRule="auto"/>
      <w:ind w:left="708"/>
      <w:jc w:val="left"/>
    </w:pPr>
    <w:rPr>
      <w:rFonts w:ascii="Times New Roman" w:hAnsi="Times New Roman" w:cs="Times New Roman"/>
      <w:sz w:val="24"/>
    </w:rPr>
  </w:style>
  <w:style w:type="paragraph" w:styleId="Subttulo">
    <w:name w:val="Subtitle"/>
    <w:basedOn w:val="Normal"/>
    <w:link w:val="SubttuloCar"/>
    <w:uiPriority w:val="99"/>
    <w:qFormat/>
    <w:rsid w:val="00826737"/>
    <w:pPr>
      <w:spacing w:after="60" w:line="240" w:lineRule="auto"/>
      <w:jc w:val="center"/>
      <w:outlineLvl w:val="1"/>
    </w:pPr>
    <w:rPr>
      <w:rFonts w:cs="Times New Roman"/>
      <w:sz w:val="24"/>
    </w:rPr>
  </w:style>
  <w:style w:type="character" w:customStyle="1" w:styleId="SubttuloCar">
    <w:name w:val="Subtítulo Car"/>
    <w:basedOn w:val="Fuentedeprrafopredeter"/>
    <w:link w:val="Subttulo"/>
    <w:uiPriority w:val="99"/>
    <w:rsid w:val="00826737"/>
    <w:rPr>
      <w:rFonts w:ascii="Arial" w:hAnsi="Arial"/>
      <w:sz w:val="24"/>
      <w:lang w:val="en-US" w:eastAsia="en-US"/>
    </w:rPr>
  </w:style>
  <w:style w:type="character" w:customStyle="1" w:styleId="Textoindependiente2Car">
    <w:name w:val="Texto independiente 2 Car"/>
    <w:basedOn w:val="Fuentedeprrafopredeter"/>
    <w:link w:val="Textoindependiente2"/>
    <w:uiPriority w:val="99"/>
    <w:semiHidden/>
    <w:rsid w:val="00826737"/>
    <w:rPr>
      <w:rFonts w:ascii="Arial" w:hAnsi="Arial" w:cs="Arial"/>
      <w:sz w:val="22"/>
      <w:szCs w:val="22"/>
      <w:lang w:val="en-GB" w:eastAsia="fr-FR"/>
    </w:rPr>
  </w:style>
  <w:style w:type="character" w:customStyle="1" w:styleId="Textoindependiente2Car1">
    <w:name w:val="Texto independiente 2 Car1"/>
    <w:basedOn w:val="Fuentedeprrafopredeter"/>
    <w:uiPriority w:val="99"/>
    <w:semiHidden/>
    <w:rsid w:val="00826737"/>
  </w:style>
  <w:style w:type="character" w:customStyle="1" w:styleId="Textoindependiente3Car">
    <w:name w:val="Texto independiente 3 Car"/>
    <w:basedOn w:val="Fuentedeprrafopredeter"/>
    <w:link w:val="Textoindependiente3"/>
    <w:uiPriority w:val="99"/>
    <w:semiHidden/>
    <w:rsid w:val="00826737"/>
    <w:rPr>
      <w:sz w:val="16"/>
      <w:lang w:val="en-US"/>
    </w:rPr>
  </w:style>
  <w:style w:type="paragraph" w:styleId="Textoindependiente3">
    <w:name w:val="Body Text 3"/>
    <w:basedOn w:val="Normal"/>
    <w:link w:val="Textoindependiente3Car"/>
    <w:uiPriority w:val="99"/>
    <w:semiHidden/>
    <w:rsid w:val="00826737"/>
    <w:pPr>
      <w:spacing w:line="240" w:lineRule="auto"/>
      <w:jc w:val="left"/>
    </w:pPr>
    <w:rPr>
      <w:rFonts w:ascii="Times New Roman" w:hAnsi="Times New Roman" w:cs="Times New Roman"/>
      <w:sz w:val="16"/>
      <w:lang w:eastAsia="es-ES_tradnl"/>
    </w:rPr>
  </w:style>
  <w:style w:type="character" w:customStyle="1" w:styleId="Textoindependiente3Car1">
    <w:name w:val="Texto independiente 3 Car1"/>
    <w:basedOn w:val="Fuentedeprrafopredeter"/>
    <w:uiPriority w:val="99"/>
    <w:semiHidden/>
    <w:rsid w:val="00826737"/>
    <w:rPr>
      <w:rFonts w:ascii="Arial" w:hAnsi="Arial" w:cs="Arial"/>
      <w:sz w:val="16"/>
      <w:szCs w:val="16"/>
      <w:lang w:val="en-US" w:eastAsia="en-US"/>
    </w:rPr>
  </w:style>
  <w:style w:type="character" w:customStyle="1" w:styleId="TextoindependienteprimerasangraCar">
    <w:name w:val="Texto independiente primera sangría Car"/>
    <w:basedOn w:val="TextoindependienteCar"/>
    <w:link w:val="Textoindependienteprimerasangra"/>
    <w:uiPriority w:val="99"/>
    <w:semiHidden/>
    <w:rsid w:val="00826737"/>
    <w:rPr>
      <w:rFonts w:ascii="Times New Roman" w:eastAsia="Times New Roman" w:hAnsi="Times New Roman" w:cs="Times New Roman"/>
      <w:sz w:val="24"/>
      <w:szCs w:val="20"/>
      <w:lang w:val="en-US"/>
    </w:rPr>
  </w:style>
  <w:style w:type="paragraph" w:styleId="Textoindependienteprimerasangra">
    <w:name w:val="Body Text First Indent"/>
    <w:basedOn w:val="Textoindependiente"/>
    <w:link w:val="TextoindependienteprimerasangraCar"/>
    <w:uiPriority w:val="99"/>
    <w:semiHidden/>
    <w:rsid w:val="00826737"/>
    <w:pPr>
      <w:spacing w:line="240" w:lineRule="auto"/>
      <w:ind w:firstLine="210"/>
      <w:jc w:val="left"/>
    </w:pPr>
    <w:rPr>
      <w:rFonts w:ascii="Times New Roman" w:hAnsi="Times New Roman" w:cs="Times New Roman"/>
      <w:sz w:val="24"/>
      <w:lang w:eastAsia="es-ES_tradnl"/>
    </w:rPr>
  </w:style>
  <w:style w:type="character" w:customStyle="1" w:styleId="TextoindependienteCar1">
    <w:name w:val="Texto independiente Car1"/>
    <w:basedOn w:val="Fuentedeprrafopredeter"/>
    <w:link w:val="Textoindependiente"/>
    <w:uiPriority w:val="99"/>
    <w:semiHidden/>
    <w:rsid w:val="00826737"/>
    <w:rPr>
      <w:rFonts w:ascii="Arial" w:hAnsi="Arial" w:cs="Arial"/>
      <w:lang w:val="en-US" w:eastAsia="en-US"/>
    </w:rPr>
  </w:style>
  <w:style w:type="character" w:customStyle="1" w:styleId="TextoindependienteprimerasangraCar1">
    <w:name w:val="Texto independiente primera sangría Car1"/>
    <w:basedOn w:val="TextoindependienteCar1"/>
    <w:uiPriority w:val="99"/>
    <w:semiHidden/>
    <w:rsid w:val="00826737"/>
    <w:rPr>
      <w:rFonts w:ascii="Arial" w:hAnsi="Arial" w:cs="Arial"/>
      <w:lang w:val="en-US" w:eastAsia="en-US"/>
    </w:rPr>
  </w:style>
  <w:style w:type="character" w:customStyle="1" w:styleId="Textoindependienteprimerasangra2Car1">
    <w:name w:val="Texto independiente primera sangría 2 Car1"/>
    <w:basedOn w:val="SangradetextonormalCar"/>
    <w:uiPriority w:val="99"/>
    <w:semiHidden/>
    <w:rsid w:val="00826737"/>
    <w:rPr>
      <w:rFonts w:ascii="Times New Roman" w:eastAsia="Times New Roman" w:hAnsi="Times New Roman" w:cs="Times New Roman"/>
      <w:sz w:val="24"/>
      <w:szCs w:val="20"/>
      <w:lang w:val="en-US" w:eastAsia="en-US"/>
    </w:rPr>
  </w:style>
  <w:style w:type="character" w:customStyle="1" w:styleId="TextomacroCar">
    <w:name w:val="Texto macro Car"/>
    <w:basedOn w:val="Fuentedeprrafopredeter"/>
    <w:link w:val="Textomacro"/>
    <w:uiPriority w:val="99"/>
    <w:semiHidden/>
    <w:rsid w:val="00826737"/>
    <w:rPr>
      <w:rFonts w:ascii="Courier New" w:hAnsi="Courier New"/>
      <w:lang w:val="en-US"/>
    </w:rPr>
  </w:style>
  <w:style w:type="paragraph" w:styleId="Textomacro">
    <w:name w:val="macro"/>
    <w:link w:val="TextomacroCar"/>
    <w:uiPriority w:val="99"/>
    <w:semiHidden/>
    <w:rsid w:val="00826737"/>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en-US"/>
    </w:rPr>
  </w:style>
  <w:style w:type="character" w:customStyle="1" w:styleId="TextomacroCar1">
    <w:name w:val="Texto macro Car1"/>
    <w:basedOn w:val="Fuentedeprrafopredeter"/>
    <w:uiPriority w:val="99"/>
    <w:semiHidden/>
    <w:rsid w:val="00826737"/>
    <w:rPr>
      <w:rFonts w:ascii="Consolas" w:hAnsi="Consolas" w:cs="Consolas"/>
      <w:lang w:val="en-US" w:eastAsia="en-US"/>
    </w:rPr>
  </w:style>
  <w:style w:type="paragraph" w:styleId="Ttulo">
    <w:name w:val="Title"/>
    <w:basedOn w:val="Normal"/>
    <w:link w:val="TtuloCar"/>
    <w:uiPriority w:val="99"/>
    <w:qFormat/>
    <w:rsid w:val="00826737"/>
    <w:pPr>
      <w:spacing w:before="240" w:after="60" w:line="240" w:lineRule="auto"/>
      <w:jc w:val="center"/>
      <w:outlineLvl w:val="0"/>
    </w:pPr>
    <w:rPr>
      <w:rFonts w:cs="Times New Roman"/>
      <w:b/>
      <w:kern w:val="28"/>
      <w:sz w:val="32"/>
    </w:rPr>
  </w:style>
  <w:style w:type="character" w:customStyle="1" w:styleId="TtuloCar">
    <w:name w:val="Título Car"/>
    <w:basedOn w:val="Fuentedeprrafopredeter"/>
    <w:link w:val="Ttulo"/>
    <w:uiPriority w:val="99"/>
    <w:rsid w:val="00826737"/>
    <w:rPr>
      <w:rFonts w:ascii="Arial" w:hAnsi="Arial"/>
      <w:b/>
      <w:kern w:val="28"/>
      <w:sz w:val="32"/>
      <w:lang w:val="en-US" w:eastAsia="en-US"/>
    </w:rPr>
  </w:style>
  <w:style w:type="paragraph" w:customStyle="1" w:styleId="DefinitionTerm">
    <w:name w:val="Definition Term"/>
    <w:basedOn w:val="Normal"/>
    <w:next w:val="DefinitionList"/>
    <w:uiPriority w:val="99"/>
    <w:rsid w:val="00826737"/>
    <w:pPr>
      <w:widowControl w:val="0"/>
      <w:spacing w:after="0" w:line="240" w:lineRule="auto"/>
      <w:jc w:val="left"/>
    </w:pPr>
    <w:rPr>
      <w:rFonts w:ascii="Times New Roman" w:hAnsi="Times New Roman" w:cs="Times New Roman"/>
      <w:snapToGrid w:val="0"/>
      <w:sz w:val="24"/>
      <w:lang w:val="es-ES_tradnl" w:eastAsia="es-ES"/>
    </w:rPr>
  </w:style>
  <w:style w:type="paragraph" w:customStyle="1" w:styleId="DefinitionList">
    <w:name w:val="Definition List"/>
    <w:basedOn w:val="Normal"/>
    <w:next w:val="DefinitionTerm"/>
    <w:uiPriority w:val="99"/>
    <w:rsid w:val="00826737"/>
    <w:pPr>
      <w:widowControl w:val="0"/>
      <w:spacing w:after="0" w:line="240" w:lineRule="auto"/>
      <w:ind w:left="360"/>
      <w:jc w:val="left"/>
    </w:pPr>
    <w:rPr>
      <w:rFonts w:ascii="Times New Roman" w:hAnsi="Times New Roman" w:cs="Times New Roman"/>
      <w:snapToGrid w:val="0"/>
      <w:sz w:val="24"/>
      <w:lang w:val="es-ES_tradnl" w:eastAsia="es-ES"/>
    </w:rPr>
  </w:style>
  <w:style w:type="paragraph" w:customStyle="1" w:styleId="BodyText4">
    <w:name w:val="Body Text 4"/>
    <w:basedOn w:val="Sangradetextonormal"/>
    <w:uiPriority w:val="99"/>
    <w:rsid w:val="00826737"/>
    <w:pPr>
      <w:spacing w:line="240" w:lineRule="auto"/>
      <w:ind w:left="360"/>
      <w:jc w:val="left"/>
    </w:pPr>
    <w:rPr>
      <w:rFonts w:ascii="Times New Roman" w:hAnsi="Times New Roman" w:cs="Times New Roman"/>
      <w:lang w:eastAsia="es-ES"/>
    </w:rPr>
  </w:style>
  <w:style w:type="paragraph" w:customStyle="1" w:styleId="HeadingBase">
    <w:name w:val="Heading Base"/>
    <w:basedOn w:val="Normal"/>
    <w:next w:val="Textoindependiente"/>
    <w:uiPriority w:val="99"/>
    <w:rsid w:val="00826737"/>
    <w:pPr>
      <w:keepNext/>
      <w:keepLines/>
      <w:spacing w:before="360" w:line="360" w:lineRule="exact"/>
      <w:jc w:val="left"/>
    </w:pPr>
    <w:rPr>
      <w:rFonts w:ascii="Times New Roman" w:hAnsi="Times New Roman" w:cs="Times New Roman"/>
      <w:b/>
      <w:kern w:val="28"/>
      <w:sz w:val="28"/>
    </w:rPr>
  </w:style>
  <w:style w:type="paragraph" w:customStyle="1" w:styleId="TEXT1">
    <w:name w:val="TEXT1"/>
    <w:basedOn w:val="Normal"/>
    <w:uiPriority w:val="99"/>
    <w:rsid w:val="00826737"/>
    <w:pPr>
      <w:spacing w:before="120" w:line="240" w:lineRule="auto"/>
      <w:jc w:val="left"/>
    </w:pPr>
    <w:rPr>
      <w:rFonts w:ascii="Times New Roman" w:hAnsi="Times New Roman" w:cs="Times New Roman"/>
      <w:sz w:val="24"/>
      <w:lang w:eastAsia="es-ES"/>
    </w:rPr>
  </w:style>
  <w:style w:type="paragraph" w:customStyle="1" w:styleId="SubSect">
    <w:name w:val="SubSect"/>
    <w:basedOn w:val="Normal"/>
    <w:next w:val="Normal"/>
    <w:uiPriority w:val="99"/>
    <w:rsid w:val="00826737"/>
    <w:pPr>
      <w:keepNext/>
      <w:tabs>
        <w:tab w:val="left" w:pos="2160"/>
      </w:tabs>
      <w:spacing w:after="0" w:line="360" w:lineRule="atLeast"/>
      <w:jc w:val="left"/>
    </w:pPr>
    <w:rPr>
      <w:rFonts w:ascii="Times New Roman" w:hAnsi="Times New Roman" w:cs="Times New Roman"/>
      <w:b/>
      <w:sz w:val="24"/>
      <w:lang w:eastAsia="es-ES"/>
    </w:rPr>
  </w:style>
  <w:style w:type="paragraph" w:customStyle="1" w:styleId="TabTblText">
    <w:name w:val="TabTblText"/>
    <w:basedOn w:val="Normal"/>
    <w:uiPriority w:val="99"/>
    <w:rsid w:val="00826737"/>
    <w:pPr>
      <w:spacing w:after="0" w:line="240" w:lineRule="auto"/>
      <w:jc w:val="left"/>
    </w:pPr>
    <w:rPr>
      <w:rFonts w:cs="Times New Roman"/>
      <w:lang w:eastAsia="es-ES"/>
    </w:rPr>
  </w:style>
  <w:style w:type="paragraph" w:customStyle="1" w:styleId="SYNOPSIS0">
    <w:name w:val="SYNOPSIS"/>
    <w:basedOn w:val="Normal"/>
    <w:uiPriority w:val="99"/>
    <w:rsid w:val="00826737"/>
    <w:pPr>
      <w:spacing w:line="240" w:lineRule="auto"/>
      <w:jc w:val="left"/>
    </w:pPr>
    <w:rPr>
      <w:rFonts w:ascii="Times New Roman" w:hAnsi="Times New Roman" w:cs="Times New Roman"/>
      <w:lang w:eastAsia="es-ES"/>
    </w:rPr>
  </w:style>
  <w:style w:type="paragraph" w:customStyle="1" w:styleId="TEXT3">
    <w:name w:val="TEXT3"/>
    <w:basedOn w:val="Normal"/>
    <w:uiPriority w:val="99"/>
    <w:rsid w:val="00826737"/>
    <w:pPr>
      <w:spacing w:before="120" w:line="240" w:lineRule="auto"/>
      <w:ind w:left="1440"/>
      <w:jc w:val="left"/>
    </w:pPr>
    <w:rPr>
      <w:rFonts w:ascii="Times New Roman" w:hAnsi="Times New Roman" w:cs="Times New Roman"/>
      <w:sz w:val="24"/>
      <w:lang w:eastAsia="es-ES"/>
    </w:rPr>
  </w:style>
  <w:style w:type="paragraph" w:customStyle="1" w:styleId="TablHead">
    <w:name w:val="TablHead"/>
    <w:basedOn w:val="TabTblText"/>
    <w:uiPriority w:val="99"/>
    <w:rsid w:val="00826737"/>
    <w:pPr>
      <w:tabs>
        <w:tab w:val="right" w:pos="8640"/>
      </w:tabs>
    </w:pPr>
  </w:style>
  <w:style w:type="character" w:customStyle="1" w:styleId="TextodegloboCar1">
    <w:name w:val="Texto de globo Car1"/>
    <w:basedOn w:val="Fuentedeprrafopredeter"/>
    <w:uiPriority w:val="99"/>
    <w:semiHidden/>
    <w:rsid w:val="00826737"/>
    <w:rPr>
      <w:rFonts w:ascii="Segoe UI" w:hAnsi="Segoe UI" w:cs="Segoe UI"/>
      <w:sz w:val="18"/>
      <w:szCs w:val="18"/>
    </w:rPr>
  </w:style>
  <w:style w:type="paragraph" w:customStyle="1" w:styleId="NormalHeading1">
    <w:name w:val="Normal Heading 1"/>
    <w:basedOn w:val="Normal"/>
    <w:link w:val="NormalHeading1Char"/>
    <w:rsid w:val="00826737"/>
    <w:pPr>
      <w:spacing w:before="120" w:line="240" w:lineRule="auto"/>
      <w:ind w:left="360"/>
    </w:pPr>
    <w:rPr>
      <w:rFonts w:ascii="Times New Roman" w:hAnsi="Times New Roman" w:cs="Times New Roman"/>
      <w:sz w:val="24"/>
    </w:rPr>
  </w:style>
  <w:style w:type="character" w:customStyle="1" w:styleId="NormalHeading1Char">
    <w:name w:val="Normal Heading 1 Char"/>
    <w:basedOn w:val="Fuentedeprrafopredeter"/>
    <w:link w:val="NormalHeading1"/>
    <w:rsid w:val="00826737"/>
    <w:rPr>
      <w:sz w:val="24"/>
      <w:lang w:val="en-US" w:eastAsia="en-US"/>
    </w:rPr>
  </w:style>
  <w:style w:type="paragraph" w:customStyle="1" w:styleId="NormalHeading2">
    <w:name w:val="Normal Heading 2"/>
    <w:basedOn w:val="NormalHeading1"/>
    <w:link w:val="NormalHeading2Char1"/>
    <w:rsid w:val="00826737"/>
    <w:pPr>
      <w:spacing w:after="180"/>
      <w:ind w:left="1008"/>
    </w:pPr>
  </w:style>
  <w:style w:type="character" w:customStyle="1" w:styleId="NormalHeading2Char1">
    <w:name w:val="Normal Heading 2 Char1"/>
    <w:basedOn w:val="Fuentedeprrafopredeter"/>
    <w:link w:val="NormalHeading2"/>
    <w:rsid w:val="00826737"/>
    <w:rPr>
      <w:sz w:val="24"/>
      <w:lang w:val="en-US" w:eastAsia="en-US"/>
    </w:rPr>
  </w:style>
  <w:style w:type="paragraph" w:customStyle="1" w:styleId="Style3">
    <w:name w:val="Style 3"/>
    <w:basedOn w:val="Normal"/>
    <w:uiPriority w:val="99"/>
    <w:rsid w:val="00826737"/>
    <w:pPr>
      <w:keepNext/>
      <w:spacing w:after="0" w:line="240" w:lineRule="auto"/>
      <w:ind w:left="2160"/>
      <w:jc w:val="left"/>
      <w:outlineLvl w:val="4"/>
    </w:pPr>
    <w:rPr>
      <w:rFonts w:ascii="Times New Roman" w:hAnsi="Times New Roman" w:cs="Times New Roman"/>
      <w:sz w:val="24"/>
    </w:rPr>
  </w:style>
  <w:style w:type="paragraph" w:customStyle="1" w:styleId="Style1">
    <w:name w:val="Style 1"/>
    <w:basedOn w:val="Normal"/>
    <w:uiPriority w:val="99"/>
    <w:rsid w:val="00826737"/>
    <w:pPr>
      <w:keepNext/>
      <w:spacing w:after="0" w:line="240" w:lineRule="auto"/>
      <w:ind w:left="720"/>
      <w:jc w:val="left"/>
      <w:outlineLvl w:val="4"/>
    </w:pPr>
    <w:rPr>
      <w:rFonts w:ascii="Times New Roman" w:hAnsi="Times New Roman" w:cs="Times New Roman"/>
      <w:sz w:val="24"/>
    </w:rPr>
  </w:style>
  <w:style w:type="paragraph" w:customStyle="1" w:styleId="Style2">
    <w:name w:val="Style 2"/>
    <w:basedOn w:val="Normal"/>
    <w:uiPriority w:val="99"/>
    <w:rsid w:val="00826737"/>
    <w:pPr>
      <w:keepNext/>
      <w:spacing w:after="0" w:line="240" w:lineRule="auto"/>
      <w:ind w:left="1440"/>
      <w:jc w:val="left"/>
      <w:outlineLvl w:val="4"/>
    </w:pPr>
    <w:rPr>
      <w:rFonts w:ascii="Times New Roman" w:hAnsi="Times New Roman" w:cs="Times New Roman"/>
      <w:sz w:val="24"/>
    </w:rPr>
  </w:style>
  <w:style w:type="character" w:customStyle="1" w:styleId="AsuntodelcomentarioCar1">
    <w:name w:val="Asunto del comentario Car1"/>
    <w:basedOn w:val="TextocomentarioCar1"/>
    <w:uiPriority w:val="99"/>
    <w:semiHidden/>
    <w:rsid w:val="00826737"/>
    <w:rPr>
      <w:b/>
      <w:bCs/>
      <w:sz w:val="20"/>
      <w:szCs w:val="20"/>
    </w:rPr>
  </w:style>
  <w:style w:type="character" w:customStyle="1" w:styleId="shorttext">
    <w:name w:val="short_text"/>
    <w:basedOn w:val="Fuentedeprrafopredeter"/>
    <w:rsid w:val="00826737"/>
  </w:style>
  <w:style w:type="paragraph" w:customStyle="1" w:styleId="Normal-text">
    <w:name w:val="Normal-text"/>
    <w:basedOn w:val="Normal"/>
    <w:link w:val="Normal-textChar"/>
    <w:uiPriority w:val="99"/>
    <w:rsid w:val="00826737"/>
    <w:pPr>
      <w:spacing w:after="0" w:line="360" w:lineRule="auto"/>
      <w:jc w:val="left"/>
    </w:pPr>
    <w:rPr>
      <w:rFonts w:ascii="Times New Roman" w:hAnsi="Times New Roman"/>
      <w:sz w:val="24"/>
      <w:szCs w:val="24"/>
      <w:lang w:bidi="he-IL"/>
    </w:rPr>
  </w:style>
  <w:style w:type="character" w:customStyle="1" w:styleId="Normal-textChar">
    <w:name w:val="Normal-text Char"/>
    <w:link w:val="Normal-text"/>
    <w:uiPriority w:val="99"/>
    <w:rsid w:val="00826737"/>
    <w:rPr>
      <w:rFonts w:cs="Arial"/>
      <w:sz w:val="24"/>
      <w:szCs w:val="24"/>
      <w:lang w:val="en-US" w:eastAsia="en-US" w:bidi="he-IL"/>
    </w:rPr>
  </w:style>
  <w:style w:type="paragraph" w:customStyle="1" w:styleId="body">
    <w:name w:val="body"/>
    <w:basedOn w:val="Normal"/>
    <w:link w:val="bodyChar"/>
    <w:rsid w:val="00826737"/>
    <w:pPr>
      <w:spacing w:after="0" w:line="240" w:lineRule="auto"/>
      <w:jc w:val="left"/>
    </w:pPr>
    <w:rPr>
      <w:rFonts w:ascii="Times New Roman" w:hAnsi="Times New Roman" w:cs="Times New Roman"/>
      <w:sz w:val="22"/>
    </w:rPr>
  </w:style>
  <w:style w:type="character" w:customStyle="1" w:styleId="bodyChar">
    <w:name w:val="body Char"/>
    <w:basedOn w:val="Fuentedeprrafopredeter"/>
    <w:link w:val="body"/>
    <w:rsid w:val="00826737"/>
    <w:rPr>
      <w:sz w:val="22"/>
      <w:lang w:val="en-US" w:eastAsia="en-US"/>
    </w:rPr>
  </w:style>
  <w:style w:type="paragraph" w:customStyle="1" w:styleId="Paragraph">
    <w:name w:val="Paragraph"/>
    <w:uiPriority w:val="99"/>
    <w:rsid w:val="00826737"/>
    <w:pPr>
      <w:spacing w:after="240"/>
    </w:pPr>
    <w:rPr>
      <w:sz w:val="24"/>
      <w:szCs w:val="24"/>
      <w:lang w:val="en-US" w:eastAsia="en-US"/>
    </w:rPr>
  </w:style>
  <w:style w:type="paragraph" w:customStyle="1" w:styleId="ListBulleted">
    <w:name w:val="List Bulleted"/>
    <w:basedOn w:val="Normal"/>
    <w:link w:val="ListBulletedChar"/>
    <w:uiPriority w:val="99"/>
    <w:rsid w:val="00826737"/>
    <w:pPr>
      <w:numPr>
        <w:numId w:val="38"/>
      </w:numPr>
      <w:spacing w:before="60" w:after="60" w:line="240" w:lineRule="auto"/>
      <w:jc w:val="left"/>
    </w:pPr>
    <w:rPr>
      <w:rFonts w:ascii="Times New Roman" w:hAnsi="Times New Roman" w:cs="Times New Roman"/>
      <w:sz w:val="24"/>
      <w:szCs w:val="22"/>
    </w:rPr>
  </w:style>
  <w:style w:type="character" w:customStyle="1" w:styleId="ListBulletedChar">
    <w:name w:val="List Bulleted Char"/>
    <w:link w:val="ListBulleted"/>
    <w:uiPriority w:val="99"/>
    <w:rsid w:val="00826737"/>
    <w:rPr>
      <w:sz w:val="24"/>
      <w:szCs w:val="22"/>
      <w:lang w:val="en-US" w:eastAsia="en-US"/>
    </w:rPr>
  </w:style>
  <w:style w:type="paragraph" w:styleId="Bibliografa">
    <w:name w:val="Bibliography"/>
    <w:basedOn w:val="Normal"/>
    <w:next w:val="Normal"/>
    <w:uiPriority w:val="37"/>
    <w:unhideWhenUsed/>
    <w:rsid w:val="00826737"/>
    <w:pPr>
      <w:tabs>
        <w:tab w:val="left" w:pos="384"/>
      </w:tabs>
      <w:spacing w:after="240" w:line="240" w:lineRule="auto"/>
      <w:ind w:left="384" w:hanging="384"/>
      <w:jc w:val="left"/>
    </w:pPr>
    <w:rPr>
      <w:rFonts w:ascii="Times New Roman" w:hAnsi="Times New Roman" w:cs="Times New Roman"/>
      <w:sz w:val="24"/>
    </w:rPr>
  </w:style>
  <w:style w:type="paragraph" w:customStyle="1" w:styleId="Cuadrculamedia1-nfasis21">
    <w:name w:val="Cuadrícula media 1 - Énfasis 21"/>
    <w:basedOn w:val="Normal"/>
    <w:link w:val="Cuadrculamedia1-nfasis2Car"/>
    <w:uiPriority w:val="34"/>
    <w:qFormat/>
    <w:rsid w:val="00826737"/>
    <w:pPr>
      <w:spacing w:before="120" w:line="360" w:lineRule="auto"/>
      <w:ind w:left="720"/>
      <w:contextualSpacing/>
    </w:pPr>
    <w:rPr>
      <w:rFonts w:eastAsia="Calibri" w:cs="Times New Roman"/>
      <w:sz w:val="22"/>
      <w:szCs w:val="22"/>
    </w:rPr>
  </w:style>
  <w:style w:type="character" w:customStyle="1" w:styleId="Cuadrculamedia1-nfasis2Car">
    <w:name w:val="Cuadrícula media 1 - Énfasis 2 Car"/>
    <w:link w:val="Cuadrculamedia1-nfasis21"/>
    <w:uiPriority w:val="34"/>
    <w:locked/>
    <w:rsid w:val="00826737"/>
    <w:rPr>
      <w:rFonts w:ascii="Arial" w:eastAsia="Calibri" w:hAnsi="Arial"/>
      <w:sz w:val="22"/>
      <w:szCs w:val="22"/>
      <w:lang w:val="en-US" w:eastAsia="en-US"/>
    </w:rPr>
  </w:style>
  <w:style w:type="paragraph" w:customStyle="1" w:styleId="Text">
    <w:name w:val="Text"/>
    <w:basedOn w:val="Normal"/>
    <w:uiPriority w:val="99"/>
    <w:rsid w:val="00826737"/>
    <w:pPr>
      <w:overflowPunct w:val="0"/>
      <w:autoSpaceDE w:val="0"/>
      <w:autoSpaceDN w:val="0"/>
      <w:adjustRightInd w:val="0"/>
      <w:spacing w:before="120" w:after="0" w:line="240" w:lineRule="auto"/>
      <w:textAlignment w:val="baseline"/>
    </w:pPr>
    <w:rPr>
      <w:rFonts w:ascii="Times New Roman" w:hAnsi="Times New Roman" w:cs="Times New Roman"/>
      <w:sz w:val="24"/>
    </w:rPr>
  </w:style>
  <w:style w:type="paragraph" w:customStyle="1" w:styleId="F-PBulletList1">
    <w:name w:val="F-P Bullet List 1"/>
    <w:link w:val="F-PBulletList1Char"/>
    <w:uiPriority w:val="99"/>
    <w:rsid w:val="00826737"/>
    <w:pPr>
      <w:numPr>
        <w:numId w:val="39"/>
      </w:numPr>
      <w:spacing w:after="120" w:line="360" w:lineRule="exact"/>
      <w:jc w:val="both"/>
    </w:pPr>
    <w:rPr>
      <w:sz w:val="24"/>
      <w:lang w:val="en-US" w:eastAsia="en-US"/>
    </w:rPr>
  </w:style>
  <w:style w:type="character" w:customStyle="1" w:styleId="F-PBulletList1Char">
    <w:name w:val="F-P Bullet List 1 Char"/>
    <w:link w:val="F-PBulletList1"/>
    <w:uiPriority w:val="99"/>
    <w:rsid w:val="00826737"/>
    <w:rPr>
      <w:sz w:val="24"/>
      <w:lang w:val="en-US" w:eastAsia="en-US"/>
    </w:rPr>
  </w:style>
  <w:style w:type="paragraph" w:customStyle="1" w:styleId="F-PHeading2notoc">
    <w:name w:val="F-P Heading2notoc"/>
    <w:basedOn w:val="Normal"/>
    <w:next w:val="Normal"/>
    <w:uiPriority w:val="99"/>
    <w:rsid w:val="00826737"/>
    <w:pPr>
      <w:keepNext/>
      <w:numPr>
        <w:ilvl w:val="1"/>
        <w:numId w:val="39"/>
      </w:numPr>
      <w:spacing w:before="200" w:after="180" w:line="360" w:lineRule="exact"/>
      <w:outlineLvl w:val="1"/>
    </w:pPr>
    <w:rPr>
      <w:rFonts w:ascii="Times New Roman Bold" w:hAnsi="Times New Roman Bold" w:cs="Times New Roman"/>
      <w:b/>
      <w:sz w:val="28"/>
      <w:szCs w:val="28"/>
    </w:rPr>
  </w:style>
  <w:style w:type="paragraph" w:customStyle="1" w:styleId="F-PHeading4notoc">
    <w:name w:val="F-P Heading4notoc"/>
    <w:basedOn w:val="Normal"/>
    <w:next w:val="Normal"/>
    <w:uiPriority w:val="99"/>
    <w:rsid w:val="00826737"/>
    <w:pPr>
      <w:keepNext/>
      <w:numPr>
        <w:ilvl w:val="3"/>
        <w:numId w:val="39"/>
      </w:numPr>
      <w:spacing w:after="180" w:line="360" w:lineRule="exact"/>
      <w:outlineLvl w:val="3"/>
    </w:pPr>
    <w:rPr>
      <w:rFonts w:ascii="Times New Roman Bold" w:hAnsi="Times New Roman Bold" w:cs="Times New Roman"/>
      <w:b/>
      <w:i/>
      <w:sz w:val="24"/>
      <w:szCs w:val="24"/>
    </w:rPr>
  </w:style>
  <w:style w:type="paragraph" w:customStyle="1" w:styleId="F-PHeading5notoc">
    <w:name w:val="F-P Heading5notoc"/>
    <w:basedOn w:val="Normal"/>
    <w:next w:val="Normal"/>
    <w:uiPriority w:val="99"/>
    <w:rsid w:val="00826737"/>
    <w:pPr>
      <w:keepNext/>
      <w:numPr>
        <w:ilvl w:val="4"/>
        <w:numId w:val="39"/>
      </w:numPr>
      <w:spacing w:after="180" w:line="360" w:lineRule="exact"/>
    </w:pPr>
    <w:rPr>
      <w:rFonts w:ascii="Times New Roman Bold" w:hAnsi="Times New Roman Bold" w:cs="Times New Roman"/>
      <w:b/>
      <w:sz w:val="22"/>
      <w:szCs w:val="22"/>
    </w:rPr>
  </w:style>
  <w:style w:type="paragraph" w:customStyle="1" w:styleId="F-PHeading6notoc">
    <w:name w:val="F-P Heading6notoc"/>
    <w:basedOn w:val="Normal"/>
    <w:next w:val="Normal"/>
    <w:uiPriority w:val="99"/>
    <w:rsid w:val="00826737"/>
    <w:pPr>
      <w:keepNext/>
      <w:numPr>
        <w:ilvl w:val="5"/>
        <w:numId w:val="39"/>
      </w:numPr>
      <w:spacing w:after="180" w:line="360" w:lineRule="exact"/>
    </w:pPr>
    <w:rPr>
      <w:rFonts w:ascii="Times New Roman Bold" w:hAnsi="Times New Roman Bold" w:cs="Times New Roman"/>
      <w:b/>
      <w:i/>
      <w:sz w:val="22"/>
      <w:szCs w:val="22"/>
    </w:rPr>
  </w:style>
  <w:style w:type="paragraph" w:customStyle="1" w:styleId="F-PBulletList2">
    <w:name w:val="F-P Bullet List 2"/>
    <w:uiPriority w:val="99"/>
    <w:rsid w:val="00826737"/>
    <w:pPr>
      <w:numPr>
        <w:numId w:val="40"/>
      </w:numPr>
      <w:spacing w:after="120" w:line="360" w:lineRule="exact"/>
      <w:jc w:val="both"/>
    </w:pPr>
    <w:rPr>
      <w:sz w:val="24"/>
      <w:lang w:val="en-US" w:eastAsia="en-US"/>
    </w:rPr>
  </w:style>
  <w:style w:type="character" w:customStyle="1" w:styleId="normal1">
    <w:name w:val="normal1"/>
    <w:basedOn w:val="Fuentedeprrafopredeter"/>
    <w:rsid w:val="00826737"/>
    <w:rPr>
      <w:rFonts w:ascii="Arial" w:hAnsi="Arial" w:cs="Arial" w:hint="default"/>
      <w:color w:val="000000"/>
      <w:sz w:val="20"/>
      <w:szCs w:val="20"/>
    </w:rPr>
  </w:style>
  <w:style w:type="character" w:customStyle="1" w:styleId="result">
    <w:name w:val="result"/>
    <w:basedOn w:val="Fuentedeprrafopredeter"/>
    <w:rsid w:val="00826737"/>
    <w:rPr>
      <w:color w:val="000080"/>
    </w:rPr>
  </w:style>
  <w:style w:type="paragraph" w:customStyle="1" w:styleId="small">
    <w:name w:val="small"/>
    <w:basedOn w:val="Normal"/>
    <w:uiPriority w:val="99"/>
    <w:rsid w:val="00826737"/>
    <w:pPr>
      <w:spacing w:after="0" w:line="240" w:lineRule="auto"/>
      <w:jc w:val="left"/>
    </w:pPr>
    <w:rPr>
      <w:lang w:val="es-ES" w:eastAsia="es-ES"/>
    </w:rPr>
  </w:style>
  <w:style w:type="table" w:styleId="Tablaconcuadrcula3-nfasis3">
    <w:name w:val="Grid Table 3 Accent 3"/>
    <w:basedOn w:val="Tablanormal"/>
    <w:uiPriority w:val="48"/>
    <w:rsid w:val="00826737"/>
    <w:rPr>
      <w:rFonts w:asciiTheme="minorHAnsi" w:eastAsiaTheme="minorHAnsi" w:hAnsiTheme="minorHAnsi" w:cstheme="minorBidi"/>
      <w:sz w:val="24"/>
      <w:szCs w:val="24"/>
      <w:lang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Listaconnmeros">
    <w:name w:val="List Number"/>
    <w:basedOn w:val="Normal"/>
    <w:uiPriority w:val="99"/>
    <w:semiHidden/>
    <w:rsid w:val="00826737"/>
    <w:pPr>
      <w:tabs>
        <w:tab w:val="num" w:pos="360"/>
      </w:tabs>
      <w:spacing w:after="0" w:line="240" w:lineRule="auto"/>
      <w:ind w:left="360" w:hanging="360"/>
      <w:jc w:val="left"/>
    </w:pPr>
    <w:rPr>
      <w:rFonts w:ascii="Times New Roman" w:hAnsi="Times New Roman" w:cs="Times New Roman"/>
      <w:sz w:val="24"/>
    </w:rPr>
  </w:style>
  <w:style w:type="paragraph" w:styleId="Listaconnmeros2">
    <w:name w:val="List Number 2"/>
    <w:basedOn w:val="Normal"/>
    <w:uiPriority w:val="99"/>
    <w:semiHidden/>
    <w:rsid w:val="00826737"/>
    <w:pPr>
      <w:tabs>
        <w:tab w:val="num" w:pos="720"/>
      </w:tabs>
      <w:spacing w:after="0" w:line="240" w:lineRule="auto"/>
      <w:ind w:left="720" w:hanging="360"/>
      <w:jc w:val="left"/>
    </w:pPr>
    <w:rPr>
      <w:rFonts w:ascii="Times New Roman" w:hAnsi="Times New Roman" w:cs="Times New Roman"/>
      <w:sz w:val="24"/>
    </w:rPr>
  </w:style>
  <w:style w:type="paragraph" w:styleId="Listaconnmeros4">
    <w:name w:val="List Number 4"/>
    <w:basedOn w:val="Normal"/>
    <w:uiPriority w:val="99"/>
    <w:semiHidden/>
    <w:rsid w:val="00826737"/>
    <w:pPr>
      <w:tabs>
        <w:tab w:val="num" w:pos="1440"/>
      </w:tabs>
      <w:spacing w:after="0" w:line="240" w:lineRule="auto"/>
      <w:ind w:left="1440" w:hanging="360"/>
      <w:jc w:val="left"/>
    </w:pPr>
    <w:rPr>
      <w:rFonts w:ascii="Times New Roman" w:hAnsi="Times New Roman" w:cs="Times New Roman"/>
      <w:sz w:val="24"/>
    </w:rPr>
  </w:style>
  <w:style w:type="paragraph" w:styleId="Listaconnmeros5">
    <w:name w:val="List Number 5"/>
    <w:basedOn w:val="Normal"/>
    <w:uiPriority w:val="99"/>
    <w:semiHidden/>
    <w:rsid w:val="00826737"/>
    <w:pPr>
      <w:tabs>
        <w:tab w:val="num" w:pos="1800"/>
      </w:tabs>
      <w:spacing w:after="0" w:line="240" w:lineRule="auto"/>
      <w:ind w:left="1800" w:hanging="360"/>
      <w:jc w:val="left"/>
    </w:pPr>
    <w:rPr>
      <w:rFonts w:ascii="Times New Roman" w:hAnsi="Times New Roman" w:cs="Times New Roman"/>
      <w:sz w:val="24"/>
    </w:rPr>
  </w:style>
  <w:style w:type="paragraph" w:styleId="Listaconvietas2">
    <w:name w:val="List Bullet 2"/>
    <w:basedOn w:val="Normal"/>
    <w:autoRedefine/>
    <w:uiPriority w:val="99"/>
    <w:semiHidden/>
    <w:rsid w:val="00826737"/>
    <w:pPr>
      <w:tabs>
        <w:tab w:val="num" w:pos="720"/>
      </w:tabs>
      <w:spacing w:after="0" w:line="240" w:lineRule="auto"/>
      <w:ind w:left="720" w:hanging="360"/>
      <w:jc w:val="left"/>
    </w:pPr>
    <w:rPr>
      <w:rFonts w:ascii="Times New Roman" w:hAnsi="Times New Roman" w:cs="Times New Roman"/>
      <w:sz w:val="24"/>
    </w:rPr>
  </w:style>
  <w:style w:type="paragraph" w:styleId="Listaconvietas3">
    <w:name w:val="List Bullet 3"/>
    <w:basedOn w:val="Normal"/>
    <w:autoRedefine/>
    <w:uiPriority w:val="99"/>
    <w:semiHidden/>
    <w:rsid w:val="00826737"/>
    <w:pPr>
      <w:tabs>
        <w:tab w:val="num" w:pos="1080"/>
      </w:tabs>
      <w:spacing w:after="0" w:line="240" w:lineRule="auto"/>
      <w:ind w:left="1080" w:hanging="360"/>
      <w:jc w:val="left"/>
    </w:pPr>
    <w:rPr>
      <w:rFonts w:ascii="Times New Roman" w:hAnsi="Times New Roman" w:cs="Times New Roman"/>
      <w:sz w:val="24"/>
    </w:rPr>
  </w:style>
  <w:style w:type="paragraph" w:styleId="Listaconvietas4">
    <w:name w:val="List Bullet 4"/>
    <w:basedOn w:val="Normal"/>
    <w:autoRedefine/>
    <w:uiPriority w:val="99"/>
    <w:semiHidden/>
    <w:rsid w:val="00826737"/>
    <w:pPr>
      <w:tabs>
        <w:tab w:val="num" w:pos="1440"/>
      </w:tabs>
      <w:spacing w:after="0" w:line="240" w:lineRule="auto"/>
      <w:ind w:left="1440" w:hanging="360"/>
      <w:jc w:val="left"/>
    </w:pPr>
    <w:rPr>
      <w:rFonts w:ascii="Times New Roman" w:hAnsi="Times New Roman" w:cs="Times New Roman"/>
      <w:sz w:val="24"/>
    </w:rPr>
  </w:style>
  <w:style w:type="paragraph" w:styleId="Listaconvietas5">
    <w:name w:val="List Bullet 5"/>
    <w:basedOn w:val="Normal"/>
    <w:autoRedefine/>
    <w:uiPriority w:val="99"/>
    <w:semiHidden/>
    <w:rsid w:val="00826737"/>
    <w:pPr>
      <w:tabs>
        <w:tab w:val="num" w:pos="1800"/>
      </w:tabs>
      <w:spacing w:after="0" w:line="240" w:lineRule="auto"/>
      <w:ind w:left="1800" w:hanging="360"/>
      <w:jc w:val="left"/>
    </w:pPr>
    <w:rPr>
      <w:rFonts w:ascii="Times New Roman" w:hAnsi="Times New Roman" w:cs="Times New Roman"/>
      <w:sz w:val="24"/>
    </w:rPr>
  </w:style>
  <w:style w:type="paragraph" w:customStyle="1" w:styleId="msonormal0">
    <w:name w:val="msonormal"/>
    <w:basedOn w:val="Normal"/>
    <w:uiPriority w:val="99"/>
    <w:rsid w:val="00826737"/>
    <w:pPr>
      <w:spacing w:before="100" w:beforeAutospacing="1" w:after="100" w:afterAutospacing="1" w:line="240" w:lineRule="auto"/>
    </w:pPr>
    <w:rPr>
      <w:rFonts w:ascii="Times New Roman" w:hAnsi="Times New Roman" w:cs="Times New Roman"/>
      <w:sz w:val="24"/>
      <w:szCs w:val="24"/>
      <w:lang w:val="es-ES" w:eastAsia="es-ES"/>
    </w:rPr>
  </w:style>
  <w:style w:type="paragraph" w:styleId="ndice2">
    <w:name w:val="index 2"/>
    <w:basedOn w:val="Normal"/>
    <w:next w:val="Normal"/>
    <w:autoRedefine/>
    <w:uiPriority w:val="99"/>
    <w:semiHidden/>
    <w:unhideWhenUsed/>
    <w:rsid w:val="00826737"/>
    <w:pPr>
      <w:spacing w:after="0" w:line="240" w:lineRule="auto"/>
      <w:ind w:left="480" w:hanging="240"/>
      <w:jc w:val="left"/>
    </w:pPr>
    <w:rPr>
      <w:rFonts w:ascii="Times New Roman" w:hAnsi="Times New Roman" w:cs="Times New Roman"/>
      <w:sz w:val="24"/>
    </w:rPr>
  </w:style>
  <w:style w:type="paragraph" w:styleId="ndice3">
    <w:name w:val="index 3"/>
    <w:basedOn w:val="Normal"/>
    <w:next w:val="Normal"/>
    <w:autoRedefine/>
    <w:uiPriority w:val="99"/>
    <w:semiHidden/>
    <w:unhideWhenUsed/>
    <w:rsid w:val="00826737"/>
    <w:pPr>
      <w:spacing w:after="0" w:line="240" w:lineRule="auto"/>
      <w:ind w:left="720" w:hanging="240"/>
      <w:jc w:val="left"/>
    </w:pPr>
    <w:rPr>
      <w:rFonts w:ascii="Times New Roman" w:hAnsi="Times New Roman" w:cs="Times New Roman"/>
      <w:sz w:val="24"/>
    </w:rPr>
  </w:style>
  <w:style w:type="paragraph" w:styleId="ndice4">
    <w:name w:val="index 4"/>
    <w:basedOn w:val="Normal"/>
    <w:next w:val="Normal"/>
    <w:autoRedefine/>
    <w:uiPriority w:val="99"/>
    <w:semiHidden/>
    <w:unhideWhenUsed/>
    <w:rsid w:val="00826737"/>
    <w:pPr>
      <w:spacing w:after="0" w:line="240" w:lineRule="auto"/>
      <w:ind w:left="960" w:hanging="240"/>
      <w:jc w:val="left"/>
    </w:pPr>
    <w:rPr>
      <w:rFonts w:ascii="Times New Roman" w:hAnsi="Times New Roman" w:cs="Times New Roman"/>
      <w:sz w:val="24"/>
    </w:rPr>
  </w:style>
  <w:style w:type="paragraph" w:styleId="ndice5">
    <w:name w:val="index 5"/>
    <w:basedOn w:val="Normal"/>
    <w:next w:val="Normal"/>
    <w:autoRedefine/>
    <w:uiPriority w:val="99"/>
    <w:semiHidden/>
    <w:unhideWhenUsed/>
    <w:rsid w:val="00826737"/>
    <w:pPr>
      <w:spacing w:after="0" w:line="240" w:lineRule="auto"/>
      <w:ind w:left="1200" w:hanging="240"/>
      <w:jc w:val="left"/>
    </w:pPr>
    <w:rPr>
      <w:rFonts w:ascii="Times New Roman" w:hAnsi="Times New Roman" w:cs="Times New Roman"/>
      <w:sz w:val="24"/>
    </w:rPr>
  </w:style>
  <w:style w:type="paragraph" w:styleId="ndice6">
    <w:name w:val="index 6"/>
    <w:basedOn w:val="Normal"/>
    <w:next w:val="Normal"/>
    <w:autoRedefine/>
    <w:uiPriority w:val="99"/>
    <w:semiHidden/>
    <w:unhideWhenUsed/>
    <w:rsid w:val="00826737"/>
    <w:pPr>
      <w:spacing w:after="0" w:line="240" w:lineRule="auto"/>
      <w:ind w:left="1440" w:hanging="240"/>
      <w:jc w:val="left"/>
    </w:pPr>
    <w:rPr>
      <w:rFonts w:ascii="Times New Roman" w:hAnsi="Times New Roman" w:cs="Times New Roman"/>
      <w:sz w:val="24"/>
    </w:rPr>
  </w:style>
  <w:style w:type="paragraph" w:styleId="ndice7">
    <w:name w:val="index 7"/>
    <w:basedOn w:val="Normal"/>
    <w:next w:val="Normal"/>
    <w:autoRedefine/>
    <w:uiPriority w:val="99"/>
    <w:semiHidden/>
    <w:unhideWhenUsed/>
    <w:rsid w:val="00826737"/>
    <w:pPr>
      <w:spacing w:after="0" w:line="240" w:lineRule="auto"/>
      <w:ind w:left="1680" w:hanging="240"/>
      <w:jc w:val="left"/>
    </w:pPr>
    <w:rPr>
      <w:rFonts w:ascii="Times New Roman" w:hAnsi="Times New Roman" w:cs="Times New Roman"/>
      <w:sz w:val="24"/>
    </w:rPr>
  </w:style>
  <w:style w:type="paragraph" w:styleId="ndice8">
    <w:name w:val="index 8"/>
    <w:basedOn w:val="Normal"/>
    <w:next w:val="Normal"/>
    <w:autoRedefine/>
    <w:uiPriority w:val="99"/>
    <w:semiHidden/>
    <w:unhideWhenUsed/>
    <w:rsid w:val="00826737"/>
    <w:pPr>
      <w:spacing w:after="0" w:line="240" w:lineRule="auto"/>
      <w:ind w:left="1920" w:hanging="240"/>
      <w:jc w:val="left"/>
    </w:pPr>
    <w:rPr>
      <w:rFonts w:ascii="Times New Roman" w:hAnsi="Times New Roman" w:cs="Times New Roman"/>
      <w:sz w:val="24"/>
    </w:rPr>
  </w:style>
  <w:style w:type="paragraph" w:styleId="ndice9">
    <w:name w:val="index 9"/>
    <w:basedOn w:val="Normal"/>
    <w:next w:val="Normal"/>
    <w:autoRedefine/>
    <w:uiPriority w:val="99"/>
    <w:semiHidden/>
    <w:unhideWhenUsed/>
    <w:rsid w:val="00826737"/>
    <w:pPr>
      <w:spacing w:after="0" w:line="240" w:lineRule="auto"/>
      <w:ind w:left="2160" w:hanging="240"/>
      <w:jc w:val="left"/>
    </w:pPr>
    <w:rPr>
      <w:rFonts w:ascii="Times New Roman" w:hAnsi="Times New Roman" w:cs="Times New Roman"/>
      <w:sz w:val="24"/>
    </w:rPr>
  </w:style>
  <w:style w:type="paragraph" w:styleId="Ttulodendice">
    <w:name w:val="index heading"/>
    <w:basedOn w:val="Normal"/>
    <w:next w:val="ndice1"/>
    <w:uiPriority w:val="99"/>
    <w:semiHidden/>
    <w:unhideWhenUsed/>
    <w:rsid w:val="00826737"/>
    <w:pPr>
      <w:spacing w:after="0" w:line="240" w:lineRule="auto"/>
      <w:jc w:val="left"/>
    </w:pPr>
    <w:rPr>
      <w:rFonts w:cs="Times New Roman"/>
      <w:b/>
      <w:sz w:val="24"/>
    </w:rPr>
  </w:style>
  <w:style w:type="paragraph" w:styleId="Remitedesobre">
    <w:name w:val="envelope return"/>
    <w:basedOn w:val="Normal"/>
    <w:uiPriority w:val="99"/>
    <w:semiHidden/>
    <w:unhideWhenUsed/>
    <w:rsid w:val="00826737"/>
    <w:pPr>
      <w:spacing w:after="0" w:line="240" w:lineRule="auto"/>
      <w:jc w:val="left"/>
    </w:pPr>
    <w:rPr>
      <w:rFonts w:cs="Times New Roman"/>
    </w:rPr>
  </w:style>
  <w:style w:type="paragraph" w:styleId="Textoconsangra">
    <w:name w:val="table of authorities"/>
    <w:basedOn w:val="Normal"/>
    <w:next w:val="Normal"/>
    <w:uiPriority w:val="99"/>
    <w:semiHidden/>
    <w:unhideWhenUsed/>
    <w:rsid w:val="00826737"/>
    <w:pPr>
      <w:spacing w:after="0" w:line="240" w:lineRule="auto"/>
      <w:ind w:left="240" w:hanging="240"/>
      <w:jc w:val="left"/>
    </w:pPr>
    <w:rPr>
      <w:rFonts w:ascii="Times New Roman" w:hAnsi="Times New Roman" w:cs="Times New Roman"/>
      <w:sz w:val="24"/>
    </w:rPr>
  </w:style>
  <w:style w:type="paragraph" w:styleId="Encabezadodelista">
    <w:name w:val="toa heading"/>
    <w:basedOn w:val="Normal"/>
    <w:next w:val="Normal"/>
    <w:uiPriority w:val="99"/>
    <w:semiHidden/>
    <w:unhideWhenUsed/>
    <w:rsid w:val="00826737"/>
    <w:pPr>
      <w:spacing w:before="120" w:after="0" w:line="240" w:lineRule="auto"/>
      <w:jc w:val="left"/>
    </w:pPr>
    <w:rPr>
      <w:rFonts w:cs="Times New Roman"/>
      <w:b/>
      <w:sz w:val="24"/>
    </w:rPr>
  </w:style>
  <w:style w:type="paragraph" w:styleId="Lista2">
    <w:name w:val="List 2"/>
    <w:basedOn w:val="Normal"/>
    <w:uiPriority w:val="99"/>
    <w:semiHidden/>
    <w:unhideWhenUsed/>
    <w:rsid w:val="00826737"/>
    <w:pPr>
      <w:spacing w:after="0" w:line="240" w:lineRule="auto"/>
      <w:ind w:left="566" w:hanging="283"/>
      <w:jc w:val="left"/>
    </w:pPr>
    <w:rPr>
      <w:rFonts w:ascii="Times New Roman" w:hAnsi="Times New Roman" w:cs="Times New Roman"/>
      <w:sz w:val="24"/>
    </w:rPr>
  </w:style>
  <w:style w:type="paragraph" w:styleId="Lista3">
    <w:name w:val="List 3"/>
    <w:basedOn w:val="Normal"/>
    <w:uiPriority w:val="99"/>
    <w:semiHidden/>
    <w:unhideWhenUsed/>
    <w:rsid w:val="00826737"/>
    <w:pPr>
      <w:spacing w:after="0" w:line="240" w:lineRule="auto"/>
      <w:ind w:left="849" w:hanging="283"/>
      <w:jc w:val="left"/>
    </w:pPr>
    <w:rPr>
      <w:rFonts w:ascii="Times New Roman" w:hAnsi="Times New Roman" w:cs="Times New Roman"/>
      <w:sz w:val="24"/>
    </w:rPr>
  </w:style>
  <w:style w:type="paragraph" w:styleId="Lista4">
    <w:name w:val="List 4"/>
    <w:basedOn w:val="Normal"/>
    <w:uiPriority w:val="99"/>
    <w:semiHidden/>
    <w:unhideWhenUsed/>
    <w:rsid w:val="00826737"/>
    <w:pPr>
      <w:spacing w:after="0" w:line="240" w:lineRule="auto"/>
      <w:ind w:left="1132" w:hanging="283"/>
      <w:jc w:val="left"/>
    </w:pPr>
    <w:rPr>
      <w:rFonts w:ascii="Times New Roman" w:hAnsi="Times New Roman" w:cs="Times New Roman"/>
      <w:sz w:val="24"/>
    </w:rPr>
  </w:style>
  <w:style w:type="paragraph" w:styleId="Lista5">
    <w:name w:val="List 5"/>
    <w:basedOn w:val="Normal"/>
    <w:uiPriority w:val="99"/>
    <w:semiHidden/>
    <w:unhideWhenUsed/>
    <w:rsid w:val="00826737"/>
    <w:pPr>
      <w:spacing w:after="0" w:line="240" w:lineRule="auto"/>
      <w:ind w:left="1415" w:hanging="283"/>
      <w:jc w:val="left"/>
    </w:pPr>
    <w:rPr>
      <w:rFonts w:ascii="Times New Roman" w:hAnsi="Times New Roman" w:cs="Times New Roman"/>
      <w:sz w:val="24"/>
    </w:rPr>
  </w:style>
  <w:style w:type="paragraph" w:styleId="Continuarlista">
    <w:name w:val="List Continue"/>
    <w:basedOn w:val="Normal"/>
    <w:uiPriority w:val="99"/>
    <w:semiHidden/>
    <w:unhideWhenUsed/>
    <w:rsid w:val="00826737"/>
    <w:pPr>
      <w:spacing w:line="240" w:lineRule="auto"/>
      <w:ind w:left="283"/>
      <w:jc w:val="left"/>
    </w:pPr>
    <w:rPr>
      <w:rFonts w:ascii="Times New Roman" w:hAnsi="Times New Roman" w:cs="Times New Roman"/>
      <w:sz w:val="24"/>
    </w:rPr>
  </w:style>
  <w:style w:type="paragraph" w:styleId="Continuarlista2">
    <w:name w:val="List Continue 2"/>
    <w:basedOn w:val="Normal"/>
    <w:uiPriority w:val="99"/>
    <w:semiHidden/>
    <w:unhideWhenUsed/>
    <w:rsid w:val="00826737"/>
    <w:pPr>
      <w:spacing w:line="240" w:lineRule="auto"/>
      <w:ind w:left="566"/>
      <w:jc w:val="left"/>
    </w:pPr>
    <w:rPr>
      <w:rFonts w:ascii="Times New Roman" w:hAnsi="Times New Roman" w:cs="Times New Roman"/>
      <w:sz w:val="24"/>
    </w:rPr>
  </w:style>
  <w:style w:type="paragraph" w:styleId="Continuarlista3">
    <w:name w:val="List Continue 3"/>
    <w:basedOn w:val="Normal"/>
    <w:uiPriority w:val="99"/>
    <w:semiHidden/>
    <w:unhideWhenUsed/>
    <w:rsid w:val="00826737"/>
    <w:pPr>
      <w:spacing w:line="240" w:lineRule="auto"/>
      <w:ind w:left="849"/>
      <w:jc w:val="left"/>
    </w:pPr>
    <w:rPr>
      <w:rFonts w:ascii="Times New Roman" w:hAnsi="Times New Roman" w:cs="Times New Roman"/>
      <w:sz w:val="24"/>
    </w:rPr>
  </w:style>
  <w:style w:type="paragraph" w:styleId="Continuarlista4">
    <w:name w:val="List Continue 4"/>
    <w:basedOn w:val="Normal"/>
    <w:uiPriority w:val="99"/>
    <w:semiHidden/>
    <w:unhideWhenUsed/>
    <w:rsid w:val="00826737"/>
    <w:pPr>
      <w:spacing w:line="240" w:lineRule="auto"/>
      <w:ind w:left="1132"/>
      <w:jc w:val="left"/>
    </w:pPr>
    <w:rPr>
      <w:rFonts w:ascii="Times New Roman" w:hAnsi="Times New Roman" w:cs="Times New Roman"/>
      <w:sz w:val="24"/>
    </w:rPr>
  </w:style>
  <w:style w:type="paragraph" w:styleId="Continuarlista5">
    <w:name w:val="List Continue 5"/>
    <w:basedOn w:val="Normal"/>
    <w:uiPriority w:val="99"/>
    <w:semiHidden/>
    <w:unhideWhenUsed/>
    <w:rsid w:val="00826737"/>
    <w:pPr>
      <w:spacing w:line="240" w:lineRule="auto"/>
      <w:ind w:left="1415"/>
      <w:jc w:val="left"/>
    </w:pPr>
    <w:rPr>
      <w:rFonts w:ascii="Times New Roman" w:hAnsi="Times New Roman" w:cs="Times New Roman"/>
      <w:sz w:val="24"/>
    </w:rPr>
  </w:style>
  <w:style w:type="paragraph" w:styleId="Textodebloque">
    <w:name w:val="Block Text"/>
    <w:basedOn w:val="Normal"/>
    <w:uiPriority w:val="99"/>
    <w:semiHidden/>
    <w:unhideWhenUsed/>
    <w:rsid w:val="00826737"/>
    <w:pPr>
      <w:spacing w:line="240" w:lineRule="auto"/>
      <w:ind w:left="1440" w:right="1440"/>
      <w:jc w:val="left"/>
    </w:pPr>
    <w:rPr>
      <w:rFonts w:ascii="Times New Roman" w:hAnsi="Times New Roman" w:cs="Times New Roman"/>
      <w:sz w:val="24"/>
    </w:rPr>
  </w:style>
  <w:style w:type="character" w:styleId="Refdenotaalfinal">
    <w:name w:val="endnote reference"/>
    <w:basedOn w:val="Fuentedeprrafopredeter"/>
    <w:semiHidden/>
    <w:unhideWhenUsed/>
    <w:rsid w:val="00826737"/>
    <w:rPr>
      <w:vertAlign w:val="superscript"/>
    </w:rPr>
  </w:style>
  <w:style w:type="table" w:styleId="Tablanormal1">
    <w:name w:val="Plain Table 1"/>
    <w:basedOn w:val="Tablanormal"/>
    <w:uiPriority w:val="41"/>
    <w:rsid w:val="00826737"/>
    <w:rPr>
      <w:rFonts w:asciiTheme="minorHAnsi" w:eastAsiaTheme="minorHAnsi" w:hAnsiTheme="minorHAnsi" w:cstheme="minorBidi"/>
      <w:sz w:val="22"/>
      <w:szCs w:val="22"/>
      <w:lang w:val="ca-ES" w:eastAsia="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826737"/>
    <w:rPr>
      <w:rFonts w:asciiTheme="minorHAnsi" w:eastAsiaTheme="minorHAnsi" w:hAnsiTheme="minorHAnsi" w:cstheme="minorBidi"/>
      <w:sz w:val="22"/>
      <w:szCs w:val="22"/>
      <w:lang w:val="ca-ES" w:eastAsia="en-US" w:bidi="he-IL"/>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
    <w:name w:val="Grid Table 1 Light"/>
    <w:basedOn w:val="Tablanormal"/>
    <w:uiPriority w:val="46"/>
    <w:rsid w:val="00826737"/>
    <w:rPr>
      <w:rFonts w:asciiTheme="minorHAnsi" w:eastAsiaTheme="minorHAnsi" w:hAnsiTheme="minorHAnsi" w:cstheme="minorBidi"/>
      <w:sz w:val="22"/>
      <w:szCs w:val="22"/>
      <w:lang w:val="ca-ES" w:eastAsia="en-US"/>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51">
    <w:name w:val="Tabla normal 51"/>
    <w:basedOn w:val="Tablanormal"/>
    <w:uiPriority w:val="45"/>
    <w:rsid w:val="00826737"/>
    <w:rPr>
      <w:lang w:val="ca-ES" w:eastAsia="ca-ES"/>
    </w:rPr>
    <w:tblPr>
      <w:tblStyleRowBandSize w:val="1"/>
      <w:tblStyleColBandSize w:val="1"/>
      <w:tblInd w:w="0" w:type="nil"/>
    </w:tblPr>
    <w:tblStylePr w:type="firstRow">
      <w:rPr>
        <w:rFonts w:asciiTheme="majorHAnsi" w:eastAsiaTheme="majorEastAsia" w:hAnsiTheme="majorHAnsi" w:cstheme="majorBidi"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31">
    <w:name w:val="Tabla normal 31"/>
    <w:basedOn w:val="Tablanormal"/>
    <w:uiPriority w:val="43"/>
    <w:rsid w:val="00826737"/>
    <w:rPr>
      <w:lang w:val="ca-ES" w:eastAsia="ca-ES"/>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11">
    <w:name w:val="Tabla normal 11"/>
    <w:basedOn w:val="Tablanormal"/>
    <w:uiPriority w:val="41"/>
    <w:rsid w:val="00826737"/>
    <w:rPr>
      <w:rFonts w:asciiTheme="minorHAnsi" w:eastAsiaTheme="minorHAnsi" w:hAnsiTheme="minorHAnsi" w:cstheme="minorBidi"/>
      <w:sz w:val="22"/>
      <w:szCs w:val="22"/>
      <w:lang w:val="ca-ES" w:eastAsia="en-US" w:bidi="he-IL"/>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title">
    <w:name w:val="Table-title"/>
    <w:basedOn w:val="TableTitle"/>
    <w:autoRedefine/>
    <w:qFormat/>
    <w:rsid w:val="00826737"/>
  </w:style>
  <w:style w:type="character" w:customStyle="1" w:styleId="Mencinsinresolver2">
    <w:name w:val="Mención sin resolver2"/>
    <w:basedOn w:val="Fuentedeprrafopredeter"/>
    <w:uiPriority w:val="99"/>
    <w:semiHidden/>
    <w:unhideWhenUsed/>
    <w:rsid w:val="00705E3B"/>
    <w:rPr>
      <w:color w:val="605E5C"/>
      <w:shd w:val="clear" w:color="auto" w:fill="E1DFDD"/>
    </w:rPr>
  </w:style>
  <w:style w:type="character" w:styleId="Mencinsinresolver">
    <w:name w:val="Unresolved Mention"/>
    <w:basedOn w:val="Fuentedeprrafopredeter"/>
    <w:uiPriority w:val="99"/>
    <w:semiHidden/>
    <w:unhideWhenUsed/>
    <w:rsid w:val="007501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99125">
      <w:bodyDiv w:val="1"/>
      <w:marLeft w:val="0"/>
      <w:marRight w:val="0"/>
      <w:marTop w:val="0"/>
      <w:marBottom w:val="0"/>
      <w:divBdr>
        <w:top w:val="none" w:sz="0" w:space="0" w:color="auto"/>
        <w:left w:val="none" w:sz="0" w:space="0" w:color="auto"/>
        <w:bottom w:val="none" w:sz="0" w:space="0" w:color="auto"/>
        <w:right w:val="none" w:sz="0" w:space="0" w:color="auto"/>
      </w:divBdr>
    </w:div>
    <w:div w:id="65109341">
      <w:bodyDiv w:val="1"/>
      <w:marLeft w:val="0"/>
      <w:marRight w:val="0"/>
      <w:marTop w:val="0"/>
      <w:marBottom w:val="0"/>
      <w:divBdr>
        <w:top w:val="none" w:sz="0" w:space="0" w:color="auto"/>
        <w:left w:val="none" w:sz="0" w:space="0" w:color="auto"/>
        <w:bottom w:val="none" w:sz="0" w:space="0" w:color="auto"/>
        <w:right w:val="none" w:sz="0" w:space="0" w:color="auto"/>
      </w:divBdr>
    </w:div>
    <w:div w:id="92744210">
      <w:bodyDiv w:val="1"/>
      <w:marLeft w:val="0"/>
      <w:marRight w:val="0"/>
      <w:marTop w:val="0"/>
      <w:marBottom w:val="0"/>
      <w:divBdr>
        <w:top w:val="none" w:sz="0" w:space="0" w:color="auto"/>
        <w:left w:val="none" w:sz="0" w:space="0" w:color="auto"/>
        <w:bottom w:val="none" w:sz="0" w:space="0" w:color="auto"/>
        <w:right w:val="none" w:sz="0" w:space="0" w:color="auto"/>
      </w:divBdr>
    </w:div>
    <w:div w:id="117728147">
      <w:bodyDiv w:val="1"/>
      <w:marLeft w:val="0"/>
      <w:marRight w:val="0"/>
      <w:marTop w:val="0"/>
      <w:marBottom w:val="0"/>
      <w:divBdr>
        <w:top w:val="none" w:sz="0" w:space="0" w:color="auto"/>
        <w:left w:val="none" w:sz="0" w:space="0" w:color="auto"/>
        <w:bottom w:val="none" w:sz="0" w:space="0" w:color="auto"/>
        <w:right w:val="none" w:sz="0" w:space="0" w:color="auto"/>
      </w:divBdr>
    </w:div>
    <w:div w:id="141779936">
      <w:bodyDiv w:val="1"/>
      <w:marLeft w:val="0"/>
      <w:marRight w:val="0"/>
      <w:marTop w:val="0"/>
      <w:marBottom w:val="0"/>
      <w:divBdr>
        <w:top w:val="none" w:sz="0" w:space="0" w:color="auto"/>
        <w:left w:val="none" w:sz="0" w:space="0" w:color="auto"/>
        <w:bottom w:val="none" w:sz="0" w:space="0" w:color="auto"/>
        <w:right w:val="none" w:sz="0" w:space="0" w:color="auto"/>
      </w:divBdr>
    </w:div>
    <w:div w:id="176313128">
      <w:bodyDiv w:val="1"/>
      <w:marLeft w:val="0"/>
      <w:marRight w:val="0"/>
      <w:marTop w:val="0"/>
      <w:marBottom w:val="0"/>
      <w:divBdr>
        <w:top w:val="none" w:sz="0" w:space="0" w:color="auto"/>
        <w:left w:val="none" w:sz="0" w:space="0" w:color="auto"/>
        <w:bottom w:val="none" w:sz="0" w:space="0" w:color="auto"/>
        <w:right w:val="none" w:sz="0" w:space="0" w:color="auto"/>
      </w:divBdr>
    </w:div>
    <w:div w:id="340204389">
      <w:bodyDiv w:val="1"/>
      <w:marLeft w:val="0"/>
      <w:marRight w:val="0"/>
      <w:marTop w:val="0"/>
      <w:marBottom w:val="0"/>
      <w:divBdr>
        <w:top w:val="none" w:sz="0" w:space="0" w:color="auto"/>
        <w:left w:val="none" w:sz="0" w:space="0" w:color="auto"/>
        <w:bottom w:val="none" w:sz="0" w:space="0" w:color="auto"/>
        <w:right w:val="none" w:sz="0" w:space="0" w:color="auto"/>
      </w:divBdr>
    </w:div>
    <w:div w:id="385377415">
      <w:bodyDiv w:val="1"/>
      <w:marLeft w:val="0"/>
      <w:marRight w:val="0"/>
      <w:marTop w:val="0"/>
      <w:marBottom w:val="0"/>
      <w:divBdr>
        <w:top w:val="none" w:sz="0" w:space="0" w:color="auto"/>
        <w:left w:val="none" w:sz="0" w:space="0" w:color="auto"/>
        <w:bottom w:val="none" w:sz="0" w:space="0" w:color="auto"/>
        <w:right w:val="none" w:sz="0" w:space="0" w:color="auto"/>
      </w:divBdr>
      <w:divsChild>
        <w:div w:id="1603294845">
          <w:marLeft w:val="0"/>
          <w:marRight w:val="0"/>
          <w:marTop w:val="0"/>
          <w:marBottom w:val="0"/>
          <w:divBdr>
            <w:top w:val="none" w:sz="0" w:space="0" w:color="auto"/>
            <w:left w:val="none" w:sz="0" w:space="0" w:color="auto"/>
            <w:bottom w:val="none" w:sz="0" w:space="0" w:color="auto"/>
            <w:right w:val="none" w:sz="0" w:space="0" w:color="auto"/>
          </w:divBdr>
          <w:divsChild>
            <w:div w:id="2111853399">
              <w:marLeft w:val="0"/>
              <w:marRight w:val="0"/>
              <w:marTop w:val="0"/>
              <w:marBottom w:val="0"/>
              <w:divBdr>
                <w:top w:val="none" w:sz="0" w:space="0" w:color="auto"/>
                <w:left w:val="none" w:sz="0" w:space="0" w:color="auto"/>
                <w:bottom w:val="none" w:sz="0" w:space="0" w:color="auto"/>
                <w:right w:val="none" w:sz="0" w:space="0" w:color="auto"/>
              </w:divBdr>
              <w:divsChild>
                <w:div w:id="1028415428">
                  <w:marLeft w:val="0"/>
                  <w:marRight w:val="0"/>
                  <w:marTop w:val="0"/>
                  <w:marBottom w:val="0"/>
                  <w:divBdr>
                    <w:top w:val="none" w:sz="0" w:space="0" w:color="auto"/>
                    <w:left w:val="none" w:sz="0" w:space="0" w:color="auto"/>
                    <w:bottom w:val="none" w:sz="0" w:space="0" w:color="auto"/>
                    <w:right w:val="none" w:sz="0" w:space="0" w:color="auto"/>
                  </w:divBdr>
                  <w:divsChild>
                    <w:div w:id="913050046">
                      <w:marLeft w:val="0"/>
                      <w:marRight w:val="0"/>
                      <w:marTop w:val="0"/>
                      <w:marBottom w:val="0"/>
                      <w:divBdr>
                        <w:top w:val="none" w:sz="0" w:space="0" w:color="auto"/>
                        <w:left w:val="none" w:sz="0" w:space="0" w:color="auto"/>
                        <w:bottom w:val="none" w:sz="0" w:space="0" w:color="auto"/>
                        <w:right w:val="none" w:sz="0" w:space="0" w:color="auto"/>
                      </w:divBdr>
                      <w:divsChild>
                        <w:div w:id="441261933">
                          <w:marLeft w:val="0"/>
                          <w:marRight w:val="0"/>
                          <w:marTop w:val="0"/>
                          <w:marBottom w:val="0"/>
                          <w:divBdr>
                            <w:top w:val="none" w:sz="0" w:space="0" w:color="auto"/>
                            <w:left w:val="none" w:sz="0" w:space="0" w:color="auto"/>
                            <w:bottom w:val="none" w:sz="0" w:space="0" w:color="auto"/>
                            <w:right w:val="none" w:sz="0" w:space="0" w:color="auto"/>
                          </w:divBdr>
                          <w:divsChild>
                            <w:div w:id="1338073749">
                              <w:marLeft w:val="0"/>
                              <w:marRight w:val="0"/>
                              <w:marTop w:val="0"/>
                              <w:marBottom w:val="0"/>
                              <w:divBdr>
                                <w:top w:val="none" w:sz="0" w:space="0" w:color="auto"/>
                                <w:left w:val="none" w:sz="0" w:space="0" w:color="auto"/>
                                <w:bottom w:val="none" w:sz="0" w:space="0" w:color="auto"/>
                                <w:right w:val="none" w:sz="0" w:space="0" w:color="auto"/>
                              </w:divBdr>
                              <w:divsChild>
                                <w:div w:id="867059008">
                                  <w:marLeft w:val="0"/>
                                  <w:marRight w:val="0"/>
                                  <w:marTop w:val="0"/>
                                  <w:marBottom w:val="0"/>
                                  <w:divBdr>
                                    <w:top w:val="none" w:sz="0" w:space="0" w:color="auto"/>
                                    <w:left w:val="none" w:sz="0" w:space="0" w:color="auto"/>
                                    <w:bottom w:val="none" w:sz="0" w:space="0" w:color="auto"/>
                                    <w:right w:val="none" w:sz="0" w:space="0" w:color="auto"/>
                                  </w:divBdr>
                                  <w:divsChild>
                                    <w:div w:id="1106191921">
                                      <w:marLeft w:val="0"/>
                                      <w:marRight w:val="0"/>
                                      <w:marTop w:val="0"/>
                                      <w:marBottom w:val="0"/>
                                      <w:divBdr>
                                        <w:top w:val="none" w:sz="0" w:space="0" w:color="auto"/>
                                        <w:left w:val="none" w:sz="0" w:space="0" w:color="auto"/>
                                        <w:bottom w:val="none" w:sz="0" w:space="0" w:color="auto"/>
                                        <w:right w:val="none" w:sz="0" w:space="0" w:color="auto"/>
                                      </w:divBdr>
                                      <w:divsChild>
                                        <w:div w:id="60955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6558809">
      <w:bodyDiv w:val="1"/>
      <w:marLeft w:val="0"/>
      <w:marRight w:val="0"/>
      <w:marTop w:val="0"/>
      <w:marBottom w:val="0"/>
      <w:divBdr>
        <w:top w:val="none" w:sz="0" w:space="0" w:color="auto"/>
        <w:left w:val="none" w:sz="0" w:space="0" w:color="auto"/>
        <w:bottom w:val="none" w:sz="0" w:space="0" w:color="auto"/>
        <w:right w:val="none" w:sz="0" w:space="0" w:color="auto"/>
      </w:divBdr>
    </w:div>
    <w:div w:id="450395283">
      <w:bodyDiv w:val="1"/>
      <w:marLeft w:val="0"/>
      <w:marRight w:val="0"/>
      <w:marTop w:val="0"/>
      <w:marBottom w:val="0"/>
      <w:divBdr>
        <w:top w:val="none" w:sz="0" w:space="0" w:color="auto"/>
        <w:left w:val="none" w:sz="0" w:space="0" w:color="auto"/>
        <w:bottom w:val="none" w:sz="0" w:space="0" w:color="auto"/>
        <w:right w:val="none" w:sz="0" w:space="0" w:color="auto"/>
      </w:divBdr>
    </w:div>
    <w:div w:id="469591266">
      <w:bodyDiv w:val="1"/>
      <w:marLeft w:val="0"/>
      <w:marRight w:val="0"/>
      <w:marTop w:val="0"/>
      <w:marBottom w:val="0"/>
      <w:divBdr>
        <w:top w:val="none" w:sz="0" w:space="0" w:color="auto"/>
        <w:left w:val="none" w:sz="0" w:space="0" w:color="auto"/>
        <w:bottom w:val="none" w:sz="0" w:space="0" w:color="auto"/>
        <w:right w:val="none" w:sz="0" w:space="0" w:color="auto"/>
      </w:divBdr>
    </w:div>
    <w:div w:id="477768649">
      <w:bodyDiv w:val="1"/>
      <w:marLeft w:val="0"/>
      <w:marRight w:val="0"/>
      <w:marTop w:val="0"/>
      <w:marBottom w:val="0"/>
      <w:divBdr>
        <w:top w:val="none" w:sz="0" w:space="0" w:color="auto"/>
        <w:left w:val="none" w:sz="0" w:space="0" w:color="auto"/>
        <w:bottom w:val="none" w:sz="0" w:space="0" w:color="auto"/>
        <w:right w:val="none" w:sz="0" w:space="0" w:color="auto"/>
      </w:divBdr>
    </w:div>
    <w:div w:id="610354486">
      <w:bodyDiv w:val="1"/>
      <w:marLeft w:val="0"/>
      <w:marRight w:val="0"/>
      <w:marTop w:val="0"/>
      <w:marBottom w:val="0"/>
      <w:divBdr>
        <w:top w:val="none" w:sz="0" w:space="0" w:color="auto"/>
        <w:left w:val="none" w:sz="0" w:space="0" w:color="auto"/>
        <w:bottom w:val="none" w:sz="0" w:space="0" w:color="auto"/>
        <w:right w:val="none" w:sz="0" w:space="0" w:color="auto"/>
      </w:divBdr>
    </w:div>
    <w:div w:id="707532474">
      <w:bodyDiv w:val="1"/>
      <w:marLeft w:val="0"/>
      <w:marRight w:val="0"/>
      <w:marTop w:val="0"/>
      <w:marBottom w:val="0"/>
      <w:divBdr>
        <w:top w:val="none" w:sz="0" w:space="0" w:color="auto"/>
        <w:left w:val="none" w:sz="0" w:space="0" w:color="auto"/>
        <w:bottom w:val="none" w:sz="0" w:space="0" w:color="auto"/>
        <w:right w:val="none" w:sz="0" w:space="0" w:color="auto"/>
      </w:divBdr>
    </w:div>
    <w:div w:id="725954295">
      <w:bodyDiv w:val="1"/>
      <w:marLeft w:val="0"/>
      <w:marRight w:val="0"/>
      <w:marTop w:val="0"/>
      <w:marBottom w:val="0"/>
      <w:divBdr>
        <w:top w:val="none" w:sz="0" w:space="0" w:color="auto"/>
        <w:left w:val="none" w:sz="0" w:space="0" w:color="auto"/>
        <w:bottom w:val="none" w:sz="0" w:space="0" w:color="auto"/>
        <w:right w:val="none" w:sz="0" w:space="0" w:color="auto"/>
      </w:divBdr>
    </w:div>
    <w:div w:id="729696532">
      <w:bodyDiv w:val="1"/>
      <w:marLeft w:val="0"/>
      <w:marRight w:val="0"/>
      <w:marTop w:val="0"/>
      <w:marBottom w:val="0"/>
      <w:divBdr>
        <w:top w:val="none" w:sz="0" w:space="0" w:color="auto"/>
        <w:left w:val="none" w:sz="0" w:space="0" w:color="auto"/>
        <w:bottom w:val="none" w:sz="0" w:space="0" w:color="auto"/>
        <w:right w:val="none" w:sz="0" w:space="0" w:color="auto"/>
      </w:divBdr>
    </w:div>
    <w:div w:id="742534215">
      <w:bodyDiv w:val="1"/>
      <w:marLeft w:val="0"/>
      <w:marRight w:val="0"/>
      <w:marTop w:val="0"/>
      <w:marBottom w:val="0"/>
      <w:divBdr>
        <w:top w:val="none" w:sz="0" w:space="0" w:color="auto"/>
        <w:left w:val="none" w:sz="0" w:space="0" w:color="auto"/>
        <w:bottom w:val="none" w:sz="0" w:space="0" w:color="auto"/>
        <w:right w:val="none" w:sz="0" w:space="0" w:color="auto"/>
      </w:divBdr>
    </w:div>
    <w:div w:id="745305146">
      <w:bodyDiv w:val="1"/>
      <w:marLeft w:val="0"/>
      <w:marRight w:val="0"/>
      <w:marTop w:val="0"/>
      <w:marBottom w:val="0"/>
      <w:divBdr>
        <w:top w:val="none" w:sz="0" w:space="0" w:color="auto"/>
        <w:left w:val="none" w:sz="0" w:space="0" w:color="auto"/>
        <w:bottom w:val="none" w:sz="0" w:space="0" w:color="auto"/>
        <w:right w:val="none" w:sz="0" w:space="0" w:color="auto"/>
      </w:divBdr>
    </w:div>
    <w:div w:id="805322221">
      <w:bodyDiv w:val="1"/>
      <w:marLeft w:val="0"/>
      <w:marRight w:val="0"/>
      <w:marTop w:val="0"/>
      <w:marBottom w:val="0"/>
      <w:divBdr>
        <w:top w:val="none" w:sz="0" w:space="0" w:color="auto"/>
        <w:left w:val="none" w:sz="0" w:space="0" w:color="auto"/>
        <w:bottom w:val="none" w:sz="0" w:space="0" w:color="auto"/>
        <w:right w:val="none" w:sz="0" w:space="0" w:color="auto"/>
      </w:divBdr>
    </w:div>
    <w:div w:id="819618265">
      <w:bodyDiv w:val="1"/>
      <w:marLeft w:val="0"/>
      <w:marRight w:val="0"/>
      <w:marTop w:val="0"/>
      <w:marBottom w:val="0"/>
      <w:divBdr>
        <w:top w:val="none" w:sz="0" w:space="0" w:color="auto"/>
        <w:left w:val="none" w:sz="0" w:space="0" w:color="auto"/>
        <w:bottom w:val="none" w:sz="0" w:space="0" w:color="auto"/>
        <w:right w:val="none" w:sz="0" w:space="0" w:color="auto"/>
      </w:divBdr>
    </w:div>
    <w:div w:id="929463678">
      <w:bodyDiv w:val="1"/>
      <w:marLeft w:val="0"/>
      <w:marRight w:val="0"/>
      <w:marTop w:val="0"/>
      <w:marBottom w:val="0"/>
      <w:divBdr>
        <w:top w:val="none" w:sz="0" w:space="0" w:color="auto"/>
        <w:left w:val="none" w:sz="0" w:space="0" w:color="auto"/>
        <w:bottom w:val="none" w:sz="0" w:space="0" w:color="auto"/>
        <w:right w:val="none" w:sz="0" w:space="0" w:color="auto"/>
      </w:divBdr>
    </w:div>
    <w:div w:id="930242102">
      <w:bodyDiv w:val="1"/>
      <w:marLeft w:val="0"/>
      <w:marRight w:val="0"/>
      <w:marTop w:val="0"/>
      <w:marBottom w:val="0"/>
      <w:divBdr>
        <w:top w:val="none" w:sz="0" w:space="0" w:color="auto"/>
        <w:left w:val="none" w:sz="0" w:space="0" w:color="auto"/>
        <w:bottom w:val="none" w:sz="0" w:space="0" w:color="auto"/>
        <w:right w:val="none" w:sz="0" w:space="0" w:color="auto"/>
      </w:divBdr>
    </w:div>
    <w:div w:id="934361410">
      <w:bodyDiv w:val="1"/>
      <w:marLeft w:val="0"/>
      <w:marRight w:val="0"/>
      <w:marTop w:val="0"/>
      <w:marBottom w:val="0"/>
      <w:divBdr>
        <w:top w:val="none" w:sz="0" w:space="0" w:color="auto"/>
        <w:left w:val="none" w:sz="0" w:space="0" w:color="auto"/>
        <w:bottom w:val="none" w:sz="0" w:space="0" w:color="auto"/>
        <w:right w:val="none" w:sz="0" w:space="0" w:color="auto"/>
      </w:divBdr>
    </w:div>
    <w:div w:id="969676769">
      <w:bodyDiv w:val="1"/>
      <w:marLeft w:val="0"/>
      <w:marRight w:val="0"/>
      <w:marTop w:val="0"/>
      <w:marBottom w:val="0"/>
      <w:divBdr>
        <w:top w:val="none" w:sz="0" w:space="0" w:color="auto"/>
        <w:left w:val="none" w:sz="0" w:space="0" w:color="auto"/>
        <w:bottom w:val="none" w:sz="0" w:space="0" w:color="auto"/>
        <w:right w:val="none" w:sz="0" w:space="0" w:color="auto"/>
      </w:divBdr>
    </w:div>
    <w:div w:id="981009398">
      <w:bodyDiv w:val="1"/>
      <w:marLeft w:val="0"/>
      <w:marRight w:val="0"/>
      <w:marTop w:val="0"/>
      <w:marBottom w:val="0"/>
      <w:divBdr>
        <w:top w:val="none" w:sz="0" w:space="0" w:color="auto"/>
        <w:left w:val="none" w:sz="0" w:space="0" w:color="auto"/>
        <w:bottom w:val="none" w:sz="0" w:space="0" w:color="auto"/>
        <w:right w:val="none" w:sz="0" w:space="0" w:color="auto"/>
      </w:divBdr>
    </w:div>
    <w:div w:id="987592648">
      <w:bodyDiv w:val="1"/>
      <w:marLeft w:val="0"/>
      <w:marRight w:val="0"/>
      <w:marTop w:val="0"/>
      <w:marBottom w:val="0"/>
      <w:divBdr>
        <w:top w:val="none" w:sz="0" w:space="0" w:color="auto"/>
        <w:left w:val="none" w:sz="0" w:space="0" w:color="auto"/>
        <w:bottom w:val="none" w:sz="0" w:space="0" w:color="auto"/>
        <w:right w:val="none" w:sz="0" w:space="0" w:color="auto"/>
      </w:divBdr>
    </w:div>
    <w:div w:id="1049650389">
      <w:bodyDiv w:val="1"/>
      <w:marLeft w:val="0"/>
      <w:marRight w:val="0"/>
      <w:marTop w:val="0"/>
      <w:marBottom w:val="0"/>
      <w:divBdr>
        <w:top w:val="none" w:sz="0" w:space="0" w:color="auto"/>
        <w:left w:val="none" w:sz="0" w:space="0" w:color="auto"/>
        <w:bottom w:val="none" w:sz="0" w:space="0" w:color="auto"/>
        <w:right w:val="none" w:sz="0" w:space="0" w:color="auto"/>
      </w:divBdr>
    </w:div>
    <w:div w:id="1127043666">
      <w:bodyDiv w:val="1"/>
      <w:marLeft w:val="0"/>
      <w:marRight w:val="0"/>
      <w:marTop w:val="0"/>
      <w:marBottom w:val="0"/>
      <w:divBdr>
        <w:top w:val="none" w:sz="0" w:space="0" w:color="auto"/>
        <w:left w:val="none" w:sz="0" w:space="0" w:color="auto"/>
        <w:bottom w:val="none" w:sz="0" w:space="0" w:color="auto"/>
        <w:right w:val="none" w:sz="0" w:space="0" w:color="auto"/>
      </w:divBdr>
      <w:divsChild>
        <w:div w:id="713624321">
          <w:marLeft w:val="0"/>
          <w:marRight w:val="0"/>
          <w:marTop w:val="0"/>
          <w:marBottom w:val="0"/>
          <w:divBdr>
            <w:top w:val="none" w:sz="0" w:space="0" w:color="auto"/>
            <w:left w:val="none" w:sz="0" w:space="0" w:color="auto"/>
            <w:bottom w:val="none" w:sz="0" w:space="0" w:color="auto"/>
            <w:right w:val="none" w:sz="0" w:space="0" w:color="auto"/>
          </w:divBdr>
          <w:divsChild>
            <w:div w:id="1306929633">
              <w:marLeft w:val="0"/>
              <w:marRight w:val="0"/>
              <w:marTop w:val="0"/>
              <w:marBottom w:val="0"/>
              <w:divBdr>
                <w:top w:val="none" w:sz="0" w:space="0" w:color="auto"/>
                <w:left w:val="none" w:sz="0" w:space="0" w:color="auto"/>
                <w:bottom w:val="none" w:sz="0" w:space="0" w:color="auto"/>
                <w:right w:val="none" w:sz="0" w:space="0" w:color="auto"/>
              </w:divBdr>
              <w:divsChild>
                <w:div w:id="1773284450">
                  <w:marLeft w:val="0"/>
                  <w:marRight w:val="0"/>
                  <w:marTop w:val="0"/>
                  <w:marBottom w:val="0"/>
                  <w:divBdr>
                    <w:top w:val="none" w:sz="0" w:space="0" w:color="auto"/>
                    <w:left w:val="none" w:sz="0" w:space="0" w:color="auto"/>
                    <w:bottom w:val="none" w:sz="0" w:space="0" w:color="auto"/>
                    <w:right w:val="none" w:sz="0" w:space="0" w:color="auto"/>
                  </w:divBdr>
                  <w:divsChild>
                    <w:div w:id="2015066070">
                      <w:marLeft w:val="0"/>
                      <w:marRight w:val="0"/>
                      <w:marTop w:val="0"/>
                      <w:marBottom w:val="0"/>
                      <w:divBdr>
                        <w:top w:val="none" w:sz="0" w:space="0" w:color="auto"/>
                        <w:left w:val="none" w:sz="0" w:space="0" w:color="auto"/>
                        <w:bottom w:val="none" w:sz="0" w:space="0" w:color="auto"/>
                        <w:right w:val="none" w:sz="0" w:space="0" w:color="auto"/>
                      </w:divBdr>
                      <w:divsChild>
                        <w:div w:id="1217817791">
                          <w:marLeft w:val="0"/>
                          <w:marRight w:val="0"/>
                          <w:marTop w:val="0"/>
                          <w:marBottom w:val="0"/>
                          <w:divBdr>
                            <w:top w:val="none" w:sz="0" w:space="0" w:color="auto"/>
                            <w:left w:val="none" w:sz="0" w:space="0" w:color="auto"/>
                            <w:bottom w:val="none" w:sz="0" w:space="0" w:color="auto"/>
                            <w:right w:val="none" w:sz="0" w:space="0" w:color="auto"/>
                          </w:divBdr>
                          <w:divsChild>
                            <w:div w:id="2128160863">
                              <w:marLeft w:val="0"/>
                              <w:marRight w:val="0"/>
                              <w:marTop w:val="0"/>
                              <w:marBottom w:val="0"/>
                              <w:divBdr>
                                <w:top w:val="none" w:sz="0" w:space="0" w:color="auto"/>
                                <w:left w:val="none" w:sz="0" w:space="0" w:color="auto"/>
                                <w:bottom w:val="none" w:sz="0" w:space="0" w:color="auto"/>
                                <w:right w:val="none" w:sz="0" w:space="0" w:color="auto"/>
                              </w:divBdr>
                              <w:divsChild>
                                <w:div w:id="1643925826">
                                  <w:marLeft w:val="0"/>
                                  <w:marRight w:val="0"/>
                                  <w:marTop w:val="0"/>
                                  <w:marBottom w:val="0"/>
                                  <w:divBdr>
                                    <w:top w:val="none" w:sz="0" w:space="0" w:color="auto"/>
                                    <w:left w:val="none" w:sz="0" w:space="0" w:color="auto"/>
                                    <w:bottom w:val="none" w:sz="0" w:space="0" w:color="auto"/>
                                    <w:right w:val="none" w:sz="0" w:space="0" w:color="auto"/>
                                  </w:divBdr>
                                  <w:divsChild>
                                    <w:div w:id="207225572">
                                      <w:marLeft w:val="0"/>
                                      <w:marRight w:val="0"/>
                                      <w:marTop w:val="0"/>
                                      <w:marBottom w:val="0"/>
                                      <w:divBdr>
                                        <w:top w:val="none" w:sz="0" w:space="0" w:color="auto"/>
                                        <w:left w:val="none" w:sz="0" w:space="0" w:color="auto"/>
                                        <w:bottom w:val="none" w:sz="0" w:space="0" w:color="auto"/>
                                        <w:right w:val="none" w:sz="0" w:space="0" w:color="auto"/>
                                      </w:divBdr>
                                      <w:divsChild>
                                        <w:div w:id="50732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660487">
                                  <w:marLeft w:val="0"/>
                                  <w:marRight w:val="0"/>
                                  <w:marTop w:val="0"/>
                                  <w:marBottom w:val="0"/>
                                  <w:divBdr>
                                    <w:top w:val="none" w:sz="0" w:space="0" w:color="auto"/>
                                    <w:left w:val="none" w:sz="0" w:space="0" w:color="auto"/>
                                    <w:bottom w:val="none" w:sz="0" w:space="0" w:color="auto"/>
                                    <w:right w:val="none" w:sz="0" w:space="0" w:color="auto"/>
                                  </w:divBdr>
                                  <w:divsChild>
                                    <w:div w:id="658734759">
                                      <w:marLeft w:val="0"/>
                                      <w:marRight w:val="0"/>
                                      <w:marTop w:val="0"/>
                                      <w:marBottom w:val="0"/>
                                      <w:divBdr>
                                        <w:top w:val="none" w:sz="0" w:space="0" w:color="auto"/>
                                        <w:left w:val="none" w:sz="0" w:space="0" w:color="auto"/>
                                        <w:bottom w:val="none" w:sz="0" w:space="0" w:color="auto"/>
                                        <w:right w:val="none" w:sz="0" w:space="0" w:color="auto"/>
                                      </w:divBdr>
                                      <w:divsChild>
                                        <w:div w:id="284895949">
                                          <w:marLeft w:val="0"/>
                                          <w:marRight w:val="0"/>
                                          <w:marTop w:val="60"/>
                                          <w:marBottom w:val="0"/>
                                          <w:divBdr>
                                            <w:top w:val="none" w:sz="0" w:space="0" w:color="auto"/>
                                            <w:left w:val="none" w:sz="0" w:space="0" w:color="auto"/>
                                            <w:bottom w:val="none" w:sz="0" w:space="0" w:color="auto"/>
                                            <w:right w:val="none" w:sz="0" w:space="0" w:color="auto"/>
                                          </w:divBdr>
                                        </w:div>
                                        <w:div w:id="412242172">
                                          <w:marLeft w:val="0"/>
                                          <w:marRight w:val="0"/>
                                          <w:marTop w:val="60"/>
                                          <w:marBottom w:val="0"/>
                                          <w:divBdr>
                                            <w:top w:val="none" w:sz="0" w:space="0" w:color="auto"/>
                                            <w:left w:val="none" w:sz="0" w:space="0" w:color="auto"/>
                                            <w:bottom w:val="none" w:sz="0" w:space="0" w:color="auto"/>
                                            <w:right w:val="none" w:sz="0" w:space="0" w:color="auto"/>
                                          </w:divBdr>
                                        </w:div>
                                        <w:div w:id="208714355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2725055">
      <w:bodyDiv w:val="1"/>
      <w:marLeft w:val="0"/>
      <w:marRight w:val="0"/>
      <w:marTop w:val="0"/>
      <w:marBottom w:val="0"/>
      <w:divBdr>
        <w:top w:val="none" w:sz="0" w:space="0" w:color="auto"/>
        <w:left w:val="none" w:sz="0" w:space="0" w:color="auto"/>
        <w:bottom w:val="none" w:sz="0" w:space="0" w:color="auto"/>
        <w:right w:val="none" w:sz="0" w:space="0" w:color="auto"/>
      </w:divBdr>
    </w:div>
    <w:div w:id="1192034841">
      <w:bodyDiv w:val="1"/>
      <w:marLeft w:val="0"/>
      <w:marRight w:val="0"/>
      <w:marTop w:val="0"/>
      <w:marBottom w:val="0"/>
      <w:divBdr>
        <w:top w:val="none" w:sz="0" w:space="0" w:color="auto"/>
        <w:left w:val="none" w:sz="0" w:space="0" w:color="auto"/>
        <w:bottom w:val="none" w:sz="0" w:space="0" w:color="auto"/>
        <w:right w:val="none" w:sz="0" w:space="0" w:color="auto"/>
      </w:divBdr>
    </w:div>
    <w:div w:id="1197279488">
      <w:bodyDiv w:val="1"/>
      <w:marLeft w:val="0"/>
      <w:marRight w:val="0"/>
      <w:marTop w:val="0"/>
      <w:marBottom w:val="0"/>
      <w:divBdr>
        <w:top w:val="none" w:sz="0" w:space="0" w:color="auto"/>
        <w:left w:val="none" w:sz="0" w:space="0" w:color="auto"/>
        <w:bottom w:val="none" w:sz="0" w:space="0" w:color="auto"/>
        <w:right w:val="none" w:sz="0" w:space="0" w:color="auto"/>
      </w:divBdr>
    </w:div>
    <w:div w:id="1252814958">
      <w:bodyDiv w:val="1"/>
      <w:marLeft w:val="0"/>
      <w:marRight w:val="0"/>
      <w:marTop w:val="0"/>
      <w:marBottom w:val="0"/>
      <w:divBdr>
        <w:top w:val="none" w:sz="0" w:space="0" w:color="auto"/>
        <w:left w:val="none" w:sz="0" w:space="0" w:color="auto"/>
        <w:bottom w:val="none" w:sz="0" w:space="0" w:color="auto"/>
        <w:right w:val="none" w:sz="0" w:space="0" w:color="auto"/>
      </w:divBdr>
    </w:div>
    <w:div w:id="1263565739">
      <w:bodyDiv w:val="1"/>
      <w:marLeft w:val="0"/>
      <w:marRight w:val="0"/>
      <w:marTop w:val="0"/>
      <w:marBottom w:val="0"/>
      <w:divBdr>
        <w:top w:val="none" w:sz="0" w:space="0" w:color="auto"/>
        <w:left w:val="none" w:sz="0" w:space="0" w:color="auto"/>
        <w:bottom w:val="none" w:sz="0" w:space="0" w:color="auto"/>
        <w:right w:val="none" w:sz="0" w:space="0" w:color="auto"/>
      </w:divBdr>
    </w:div>
    <w:div w:id="1304970122">
      <w:bodyDiv w:val="1"/>
      <w:marLeft w:val="0"/>
      <w:marRight w:val="0"/>
      <w:marTop w:val="0"/>
      <w:marBottom w:val="0"/>
      <w:divBdr>
        <w:top w:val="none" w:sz="0" w:space="0" w:color="auto"/>
        <w:left w:val="none" w:sz="0" w:space="0" w:color="auto"/>
        <w:bottom w:val="none" w:sz="0" w:space="0" w:color="auto"/>
        <w:right w:val="none" w:sz="0" w:space="0" w:color="auto"/>
      </w:divBdr>
    </w:div>
    <w:div w:id="1328745416">
      <w:bodyDiv w:val="1"/>
      <w:marLeft w:val="0"/>
      <w:marRight w:val="0"/>
      <w:marTop w:val="0"/>
      <w:marBottom w:val="0"/>
      <w:divBdr>
        <w:top w:val="none" w:sz="0" w:space="0" w:color="auto"/>
        <w:left w:val="none" w:sz="0" w:space="0" w:color="auto"/>
        <w:bottom w:val="none" w:sz="0" w:space="0" w:color="auto"/>
        <w:right w:val="none" w:sz="0" w:space="0" w:color="auto"/>
      </w:divBdr>
    </w:div>
    <w:div w:id="1334533115">
      <w:bodyDiv w:val="1"/>
      <w:marLeft w:val="0"/>
      <w:marRight w:val="0"/>
      <w:marTop w:val="0"/>
      <w:marBottom w:val="0"/>
      <w:divBdr>
        <w:top w:val="none" w:sz="0" w:space="0" w:color="auto"/>
        <w:left w:val="none" w:sz="0" w:space="0" w:color="auto"/>
        <w:bottom w:val="none" w:sz="0" w:space="0" w:color="auto"/>
        <w:right w:val="none" w:sz="0" w:space="0" w:color="auto"/>
      </w:divBdr>
    </w:div>
    <w:div w:id="1397359654">
      <w:bodyDiv w:val="1"/>
      <w:marLeft w:val="0"/>
      <w:marRight w:val="0"/>
      <w:marTop w:val="0"/>
      <w:marBottom w:val="0"/>
      <w:divBdr>
        <w:top w:val="none" w:sz="0" w:space="0" w:color="auto"/>
        <w:left w:val="none" w:sz="0" w:space="0" w:color="auto"/>
        <w:bottom w:val="none" w:sz="0" w:space="0" w:color="auto"/>
        <w:right w:val="none" w:sz="0" w:space="0" w:color="auto"/>
      </w:divBdr>
    </w:div>
    <w:div w:id="1401977311">
      <w:bodyDiv w:val="1"/>
      <w:marLeft w:val="0"/>
      <w:marRight w:val="0"/>
      <w:marTop w:val="0"/>
      <w:marBottom w:val="0"/>
      <w:divBdr>
        <w:top w:val="none" w:sz="0" w:space="0" w:color="auto"/>
        <w:left w:val="none" w:sz="0" w:space="0" w:color="auto"/>
        <w:bottom w:val="none" w:sz="0" w:space="0" w:color="auto"/>
        <w:right w:val="none" w:sz="0" w:space="0" w:color="auto"/>
      </w:divBdr>
    </w:div>
    <w:div w:id="1452170698">
      <w:bodyDiv w:val="1"/>
      <w:marLeft w:val="0"/>
      <w:marRight w:val="0"/>
      <w:marTop w:val="0"/>
      <w:marBottom w:val="0"/>
      <w:divBdr>
        <w:top w:val="none" w:sz="0" w:space="0" w:color="auto"/>
        <w:left w:val="none" w:sz="0" w:space="0" w:color="auto"/>
        <w:bottom w:val="none" w:sz="0" w:space="0" w:color="auto"/>
        <w:right w:val="none" w:sz="0" w:space="0" w:color="auto"/>
      </w:divBdr>
    </w:div>
    <w:div w:id="1458716596">
      <w:bodyDiv w:val="1"/>
      <w:marLeft w:val="0"/>
      <w:marRight w:val="0"/>
      <w:marTop w:val="0"/>
      <w:marBottom w:val="0"/>
      <w:divBdr>
        <w:top w:val="none" w:sz="0" w:space="0" w:color="auto"/>
        <w:left w:val="none" w:sz="0" w:space="0" w:color="auto"/>
        <w:bottom w:val="none" w:sz="0" w:space="0" w:color="auto"/>
        <w:right w:val="none" w:sz="0" w:space="0" w:color="auto"/>
      </w:divBdr>
    </w:div>
    <w:div w:id="1486244919">
      <w:bodyDiv w:val="1"/>
      <w:marLeft w:val="0"/>
      <w:marRight w:val="0"/>
      <w:marTop w:val="0"/>
      <w:marBottom w:val="0"/>
      <w:divBdr>
        <w:top w:val="none" w:sz="0" w:space="0" w:color="auto"/>
        <w:left w:val="none" w:sz="0" w:space="0" w:color="auto"/>
        <w:bottom w:val="none" w:sz="0" w:space="0" w:color="auto"/>
        <w:right w:val="none" w:sz="0" w:space="0" w:color="auto"/>
      </w:divBdr>
    </w:div>
    <w:div w:id="1517302729">
      <w:bodyDiv w:val="1"/>
      <w:marLeft w:val="0"/>
      <w:marRight w:val="0"/>
      <w:marTop w:val="0"/>
      <w:marBottom w:val="0"/>
      <w:divBdr>
        <w:top w:val="none" w:sz="0" w:space="0" w:color="auto"/>
        <w:left w:val="none" w:sz="0" w:space="0" w:color="auto"/>
        <w:bottom w:val="none" w:sz="0" w:space="0" w:color="auto"/>
        <w:right w:val="none" w:sz="0" w:space="0" w:color="auto"/>
      </w:divBdr>
    </w:div>
    <w:div w:id="1519612987">
      <w:bodyDiv w:val="1"/>
      <w:marLeft w:val="0"/>
      <w:marRight w:val="0"/>
      <w:marTop w:val="0"/>
      <w:marBottom w:val="0"/>
      <w:divBdr>
        <w:top w:val="none" w:sz="0" w:space="0" w:color="auto"/>
        <w:left w:val="none" w:sz="0" w:space="0" w:color="auto"/>
        <w:bottom w:val="none" w:sz="0" w:space="0" w:color="auto"/>
        <w:right w:val="none" w:sz="0" w:space="0" w:color="auto"/>
      </w:divBdr>
    </w:div>
    <w:div w:id="1555501987">
      <w:bodyDiv w:val="1"/>
      <w:marLeft w:val="0"/>
      <w:marRight w:val="0"/>
      <w:marTop w:val="0"/>
      <w:marBottom w:val="0"/>
      <w:divBdr>
        <w:top w:val="none" w:sz="0" w:space="0" w:color="auto"/>
        <w:left w:val="none" w:sz="0" w:space="0" w:color="auto"/>
        <w:bottom w:val="none" w:sz="0" w:space="0" w:color="auto"/>
        <w:right w:val="none" w:sz="0" w:space="0" w:color="auto"/>
      </w:divBdr>
    </w:div>
    <w:div w:id="1604722390">
      <w:bodyDiv w:val="1"/>
      <w:marLeft w:val="0"/>
      <w:marRight w:val="0"/>
      <w:marTop w:val="0"/>
      <w:marBottom w:val="0"/>
      <w:divBdr>
        <w:top w:val="none" w:sz="0" w:space="0" w:color="auto"/>
        <w:left w:val="none" w:sz="0" w:space="0" w:color="auto"/>
        <w:bottom w:val="none" w:sz="0" w:space="0" w:color="auto"/>
        <w:right w:val="none" w:sz="0" w:space="0" w:color="auto"/>
      </w:divBdr>
    </w:div>
    <w:div w:id="1611929987">
      <w:bodyDiv w:val="1"/>
      <w:marLeft w:val="0"/>
      <w:marRight w:val="0"/>
      <w:marTop w:val="0"/>
      <w:marBottom w:val="0"/>
      <w:divBdr>
        <w:top w:val="none" w:sz="0" w:space="0" w:color="auto"/>
        <w:left w:val="none" w:sz="0" w:space="0" w:color="auto"/>
        <w:bottom w:val="none" w:sz="0" w:space="0" w:color="auto"/>
        <w:right w:val="none" w:sz="0" w:space="0" w:color="auto"/>
      </w:divBdr>
    </w:div>
    <w:div w:id="1612393341">
      <w:bodyDiv w:val="1"/>
      <w:marLeft w:val="0"/>
      <w:marRight w:val="0"/>
      <w:marTop w:val="0"/>
      <w:marBottom w:val="0"/>
      <w:divBdr>
        <w:top w:val="none" w:sz="0" w:space="0" w:color="auto"/>
        <w:left w:val="none" w:sz="0" w:space="0" w:color="auto"/>
        <w:bottom w:val="none" w:sz="0" w:space="0" w:color="auto"/>
        <w:right w:val="none" w:sz="0" w:space="0" w:color="auto"/>
      </w:divBdr>
    </w:div>
    <w:div w:id="1683510453">
      <w:bodyDiv w:val="1"/>
      <w:marLeft w:val="0"/>
      <w:marRight w:val="0"/>
      <w:marTop w:val="0"/>
      <w:marBottom w:val="0"/>
      <w:divBdr>
        <w:top w:val="none" w:sz="0" w:space="0" w:color="auto"/>
        <w:left w:val="none" w:sz="0" w:space="0" w:color="auto"/>
        <w:bottom w:val="none" w:sz="0" w:space="0" w:color="auto"/>
        <w:right w:val="none" w:sz="0" w:space="0" w:color="auto"/>
      </w:divBdr>
    </w:div>
    <w:div w:id="1724519706">
      <w:bodyDiv w:val="1"/>
      <w:marLeft w:val="0"/>
      <w:marRight w:val="0"/>
      <w:marTop w:val="0"/>
      <w:marBottom w:val="0"/>
      <w:divBdr>
        <w:top w:val="none" w:sz="0" w:space="0" w:color="auto"/>
        <w:left w:val="none" w:sz="0" w:space="0" w:color="auto"/>
        <w:bottom w:val="none" w:sz="0" w:space="0" w:color="auto"/>
        <w:right w:val="none" w:sz="0" w:space="0" w:color="auto"/>
      </w:divBdr>
    </w:div>
    <w:div w:id="1732924470">
      <w:bodyDiv w:val="1"/>
      <w:marLeft w:val="0"/>
      <w:marRight w:val="0"/>
      <w:marTop w:val="0"/>
      <w:marBottom w:val="0"/>
      <w:divBdr>
        <w:top w:val="none" w:sz="0" w:space="0" w:color="auto"/>
        <w:left w:val="none" w:sz="0" w:space="0" w:color="auto"/>
        <w:bottom w:val="none" w:sz="0" w:space="0" w:color="auto"/>
        <w:right w:val="none" w:sz="0" w:space="0" w:color="auto"/>
      </w:divBdr>
    </w:div>
    <w:div w:id="1742604815">
      <w:bodyDiv w:val="1"/>
      <w:marLeft w:val="0"/>
      <w:marRight w:val="0"/>
      <w:marTop w:val="0"/>
      <w:marBottom w:val="0"/>
      <w:divBdr>
        <w:top w:val="none" w:sz="0" w:space="0" w:color="auto"/>
        <w:left w:val="none" w:sz="0" w:space="0" w:color="auto"/>
        <w:bottom w:val="none" w:sz="0" w:space="0" w:color="auto"/>
        <w:right w:val="none" w:sz="0" w:space="0" w:color="auto"/>
      </w:divBdr>
    </w:div>
    <w:div w:id="1765956880">
      <w:bodyDiv w:val="1"/>
      <w:marLeft w:val="0"/>
      <w:marRight w:val="0"/>
      <w:marTop w:val="0"/>
      <w:marBottom w:val="0"/>
      <w:divBdr>
        <w:top w:val="none" w:sz="0" w:space="0" w:color="auto"/>
        <w:left w:val="none" w:sz="0" w:space="0" w:color="auto"/>
        <w:bottom w:val="none" w:sz="0" w:space="0" w:color="auto"/>
        <w:right w:val="none" w:sz="0" w:space="0" w:color="auto"/>
      </w:divBdr>
    </w:div>
    <w:div w:id="1826358137">
      <w:bodyDiv w:val="1"/>
      <w:marLeft w:val="0"/>
      <w:marRight w:val="0"/>
      <w:marTop w:val="0"/>
      <w:marBottom w:val="0"/>
      <w:divBdr>
        <w:top w:val="none" w:sz="0" w:space="0" w:color="auto"/>
        <w:left w:val="none" w:sz="0" w:space="0" w:color="auto"/>
        <w:bottom w:val="none" w:sz="0" w:space="0" w:color="auto"/>
        <w:right w:val="none" w:sz="0" w:space="0" w:color="auto"/>
      </w:divBdr>
    </w:div>
    <w:div w:id="1866794965">
      <w:bodyDiv w:val="1"/>
      <w:marLeft w:val="0"/>
      <w:marRight w:val="0"/>
      <w:marTop w:val="0"/>
      <w:marBottom w:val="0"/>
      <w:divBdr>
        <w:top w:val="none" w:sz="0" w:space="0" w:color="auto"/>
        <w:left w:val="none" w:sz="0" w:space="0" w:color="auto"/>
        <w:bottom w:val="none" w:sz="0" w:space="0" w:color="auto"/>
        <w:right w:val="none" w:sz="0" w:space="0" w:color="auto"/>
      </w:divBdr>
    </w:div>
    <w:div w:id="1869029357">
      <w:bodyDiv w:val="1"/>
      <w:marLeft w:val="0"/>
      <w:marRight w:val="0"/>
      <w:marTop w:val="0"/>
      <w:marBottom w:val="0"/>
      <w:divBdr>
        <w:top w:val="none" w:sz="0" w:space="0" w:color="auto"/>
        <w:left w:val="none" w:sz="0" w:space="0" w:color="auto"/>
        <w:bottom w:val="none" w:sz="0" w:space="0" w:color="auto"/>
        <w:right w:val="none" w:sz="0" w:space="0" w:color="auto"/>
      </w:divBdr>
    </w:div>
    <w:div w:id="1889146796">
      <w:bodyDiv w:val="1"/>
      <w:marLeft w:val="0"/>
      <w:marRight w:val="0"/>
      <w:marTop w:val="0"/>
      <w:marBottom w:val="0"/>
      <w:divBdr>
        <w:top w:val="none" w:sz="0" w:space="0" w:color="auto"/>
        <w:left w:val="none" w:sz="0" w:space="0" w:color="auto"/>
        <w:bottom w:val="none" w:sz="0" w:space="0" w:color="auto"/>
        <w:right w:val="none" w:sz="0" w:space="0" w:color="auto"/>
      </w:divBdr>
    </w:div>
    <w:div w:id="1923299017">
      <w:bodyDiv w:val="1"/>
      <w:marLeft w:val="0"/>
      <w:marRight w:val="0"/>
      <w:marTop w:val="0"/>
      <w:marBottom w:val="0"/>
      <w:divBdr>
        <w:top w:val="none" w:sz="0" w:space="0" w:color="auto"/>
        <w:left w:val="none" w:sz="0" w:space="0" w:color="auto"/>
        <w:bottom w:val="none" w:sz="0" w:space="0" w:color="auto"/>
        <w:right w:val="none" w:sz="0" w:space="0" w:color="auto"/>
      </w:divBdr>
    </w:div>
    <w:div w:id="1938176056">
      <w:bodyDiv w:val="1"/>
      <w:marLeft w:val="0"/>
      <w:marRight w:val="0"/>
      <w:marTop w:val="0"/>
      <w:marBottom w:val="0"/>
      <w:divBdr>
        <w:top w:val="none" w:sz="0" w:space="0" w:color="auto"/>
        <w:left w:val="none" w:sz="0" w:space="0" w:color="auto"/>
        <w:bottom w:val="none" w:sz="0" w:space="0" w:color="auto"/>
        <w:right w:val="none" w:sz="0" w:space="0" w:color="auto"/>
      </w:divBdr>
    </w:div>
    <w:div w:id="1954896574">
      <w:bodyDiv w:val="1"/>
      <w:marLeft w:val="0"/>
      <w:marRight w:val="0"/>
      <w:marTop w:val="0"/>
      <w:marBottom w:val="0"/>
      <w:divBdr>
        <w:top w:val="none" w:sz="0" w:space="0" w:color="auto"/>
        <w:left w:val="none" w:sz="0" w:space="0" w:color="auto"/>
        <w:bottom w:val="none" w:sz="0" w:space="0" w:color="auto"/>
        <w:right w:val="none" w:sz="0" w:space="0" w:color="auto"/>
      </w:divBdr>
    </w:div>
    <w:div w:id="2037270624">
      <w:bodyDiv w:val="1"/>
      <w:marLeft w:val="0"/>
      <w:marRight w:val="0"/>
      <w:marTop w:val="0"/>
      <w:marBottom w:val="0"/>
      <w:divBdr>
        <w:top w:val="none" w:sz="0" w:space="0" w:color="auto"/>
        <w:left w:val="none" w:sz="0" w:space="0" w:color="auto"/>
        <w:bottom w:val="none" w:sz="0" w:space="0" w:color="auto"/>
        <w:right w:val="none" w:sz="0" w:space="0" w:color="auto"/>
      </w:divBdr>
    </w:div>
    <w:div w:id="2093357220">
      <w:bodyDiv w:val="1"/>
      <w:marLeft w:val="0"/>
      <w:marRight w:val="0"/>
      <w:marTop w:val="0"/>
      <w:marBottom w:val="0"/>
      <w:divBdr>
        <w:top w:val="none" w:sz="0" w:space="0" w:color="auto"/>
        <w:left w:val="none" w:sz="0" w:space="0" w:color="auto"/>
        <w:bottom w:val="none" w:sz="0" w:space="0" w:color="auto"/>
        <w:right w:val="none" w:sz="0" w:space="0" w:color="auto"/>
      </w:divBdr>
    </w:div>
    <w:div w:id="2136487854">
      <w:bodyDiv w:val="1"/>
      <w:marLeft w:val="0"/>
      <w:marRight w:val="0"/>
      <w:marTop w:val="0"/>
      <w:marBottom w:val="0"/>
      <w:divBdr>
        <w:top w:val="none" w:sz="0" w:space="0" w:color="auto"/>
        <w:left w:val="none" w:sz="0" w:space="0" w:color="auto"/>
        <w:bottom w:val="none" w:sz="0" w:space="0" w:color="auto"/>
        <w:right w:val="none" w:sz="0" w:space="0" w:color="auto"/>
      </w:divBdr>
      <w:divsChild>
        <w:div w:id="1670138415">
          <w:marLeft w:val="0"/>
          <w:marRight w:val="0"/>
          <w:marTop w:val="0"/>
          <w:marBottom w:val="0"/>
          <w:divBdr>
            <w:top w:val="none" w:sz="0" w:space="0" w:color="auto"/>
            <w:left w:val="none" w:sz="0" w:space="0" w:color="auto"/>
            <w:bottom w:val="none" w:sz="0" w:space="0" w:color="auto"/>
            <w:right w:val="none" w:sz="0" w:space="0" w:color="auto"/>
          </w:divBdr>
          <w:divsChild>
            <w:div w:id="1985550534">
              <w:marLeft w:val="0"/>
              <w:marRight w:val="0"/>
              <w:marTop w:val="0"/>
              <w:marBottom w:val="0"/>
              <w:divBdr>
                <w:top w:val="none" w:sz="0" w:space="0" w:color="auto"/>
                <w:left w:val="none" w:sz="0" w:space="0" w:color="auto"/>
                <w:bottom w:val="none" w:sz="0" w:space="0" w:color="auto"/>
                <w:right w:val="none" w:sz="0" w:space="0" w:color="auto"/>
              </w:divBdr>
              <w:divsChild>
                <w:div w:id="642581744">
                  <w:marLeft w:val="0"/>
                  <w:marRight w:val="0"/>
                  <w:marTop w:val="0"/>
                  <w:marBottom w:val="0"/>
                  <w:divBdr>
                    <w:top w:val="none" w:sz="0" w:space="0" w:color="auto"/>
                    <w:left w:val="none" w:sz="0" w:space="0" w:color="auto"/>
                    <w:bottom w:val="none" w:sz="0" w:space="0" w:color="auto"/>
                    <w:right w:val="none" w:sz="0" w:space="0" w:color="auto"/>
                  </w:divBdr>
                  <w:divsChild>
                    <w:div w:id="1726642312">
                      <w:marLeft w:val="0"/>
                      <w:marRight w:val="0"/>
                      <w:marTop w:val="0"/>
                      <w:marBottom w:val="0"/>
                      <w:divBdr>
                        <w:top w:val="none" w:sz="0" w:space="0" w:color="auto"/>
                        <w:left w:val="none" w:sz="0" w:space="0" w:color="auto"/>
                        <w:bottom w:val="none" w:sz="0" w:space="0" w:color="auto"/>
                        <w:right w:val="none" w:sz="0" w:space="0" w:color="auto"/>
                      </w:divBdr>
                      <w:divsChild>
                        <w:div w:id="248391819">
                          <w:marLeft w:val="0"/>
                          <w:marRight w:val="0"/>
                          <w:marTop w:val="0"/>
                          <w:marBottom w:val="0"/>
                          <w:divBdr>
                            <w:top w:val="none" w:sz="0" w:space="0" w:color="auto"/>
                            <w:left w:val="none" w:sz="0" w:space="0" w:color="auto"/>
                            <w:bottom w:val="none" w:sz="0" w:space="0" w:color="auto"/>
                            <w:right w:val="none" w:sz="0" w:space="0" w:color="auto"/>
                          </w:divBdr>
                          <w:divsChild>
                            <w:div w:id="11693224">
                              <w:marLeft w:val="0"/>
                              <w:marRight w:val="0"/>
                              <w:marTop w:val="0"/>
                              <w:marBottom w:val="0"/>
                              <w:divBdr>
                                <w:top w:val="none" w:sz="0" w:space="0" w:color="auto"/>
                                <w:left w:val="none" w:sz="0" w:space="0" w:color="auto"/>
                                <w:bottom w:val="none" w:sz="0" w:space="0" w:color="auto"/>
                                <w:right w:val="none" w:sz="0" w:space="0" w:color="auto"/>
                              </w:divBdr>
                              <w:divsChild>
                                <w:div w:id="201132439">
                                  <w:marLeft w:val="0"/>
                                  <w:marRight w:val="0"/>
                                  <w:marTop w:val="0"/>
                                  <w:marBottom w:val="0"/>
                                  <w:divBdr>
                                    <w:top w:val="none" w:sz="0" w:space="0" w:color="auto"/>
                                    <w:left w:val="none" w:sz="0" w:space="0" w:color="auto"/>
                                    <w:bottom w:val="none" w:sz="0" w:space="0" w:color="auto"/>
                                    <w:right w:val="none" w:sz="0" w:space="0" w:color="auto"/>
                                  </w:divBdr>
                                  <w:divsChild>
                                    <w:div w:id="527186331">
                                      <w:marLeft w:val="0"/>
                                      <w:marRight w:val="0"/>
                                      <w:marTop w:val="0"/>
                                      <w:marBottom w:val="0"/>
                                      <w:divBdr>
                                        <w:top w:val="none" w:sz="0" w:space="0" w:color="auto"/>
                                        <w:left w:val="none" w:sz="0" w:space="0" w:color="auto"/>
                                        <w:bottom w:val="none" w:sz="0" w:space="0" w:color="auto"/>
                                        <w:right w:val="none" w:sz="0" w:space="0" w:color="auto"/>
                                      </w:divBdr>
                                      <w:divsChild>
                                        <w:div w:id="141906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schmid@qmul.ac.uk" TargetMode="External"/><Relationship Id="rId18" Type="http://schemas.openxmlformats.org/officeDocument/2006/relationships/hyperlink" Target="mailto:jose.perez@medsir.org" TargetMode="External"/><Relationship Id="rId26" Type="http://schemas.openxmlformats.org/officeDocument/2006/relationships/image" Target="media/image3.png"/><Relationship Id="rId39" Type="http://schemas.openxmlformats.org/officeDocument/2006/relationships/image" Target="media/image16.png"/><Relationship Id="rId21" Type="http://schemas.openxmlformats.org/officeDocument/2006/relationships/header" Target="header3.xml"/><Relationship Id="rId34" Type="http://schemas.openxmlformats.org/officeDocument/2006/relationships/image" Target="media/image11.emf"/><Relationship Id="rId42" Type="http://schemas.openxmlformats.org/officeDocument/2006/relationships/image" Target="media/image19.png"/><Relationship Id="rId47" Type="http://schemas.openxmlformats.org/officeDocument/2006/relationships/oleObject" Target="embeddings/oleObject1.bin"/><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Serena.DiCosimo@istitutotumori.mi.it" TargetMode="External"/><Relationship Id="rId29" Type="http://schemas.openxmlformats.org/officeDocument/2006/relationships/image" Target="media/image6.jpeg"/><Relationship Id="rId11" Type="http://schemas.openxmlformats.org/officeDocument/2006/relationships/header" Target="header2.xml"/><Relationship Id="rId24" Type="http://schemas.openxmlformats.org/officeDocument/2006/relationships/footer" Target="footer5.xml"/><Relationship Id="rId32" Type="http://schemas.openxmlformats.org/officeDocument/2006/relationships/image" Target="media/image9.png"/><Relationship Id="rId37" Type="http://schemas.openxmlformats.org/officeDocument/2006/relationships/image" Target="media/image14.emf"/><Relationship Id="rId40" Type="http://schemas.openxmlformats.org/officeDocument/2006/relationships/image" Target="media/image17.png"/><Relationship Id="rId45" Type="http://schemas.openxmlformats.org/officeDocument/2006/relationships/image" Target="media/image21.emf"/><Relationship Id="rId5" Type="http://schemas.openxmlformats.org/officeDocument/2006/relationships/webSettings" Target="webSettings.xml"/><Relationship Id="rId15" Type="http://schemas.openxmlformats.org/officeDocument/2006/relationships/hyperlink" Target="mailto:shaheenah_d@yahoo.com" TargetMode="External"/><Relationship Id="rId23" Type="http://schemas.openxmlformats.org/officeDocument/2006/relationships/footer" Target="footer4.xml"/><Relationship Id="rId28" Type="http://schemas.openxmlformats.org/officeDocument/2006/relationships/image" Target="media/image5.emf"/><Relationship Id="rId36" Type="http://schemas.openxmlformats.org/officeDocument/2006/relationships/image" Target="media/image13.emf"/><Relationship Id="rId49" Type="http://schemas.openxmlformats.org/officeDocument/2006/relationships/image" Target="media/image24.png"/><Relationship Id="rId10" Type="http://schemas.openxmlformats.org/officeDocument/2006/relationships/footer" Target="footer2.xml"/><Relationship Id="rId19" Type="http://schemas.openxmlformats.org/officeDocument/2006/relationships/hyperlink" Target="mailto:antonio.llombart@medsir.org" TargetMode="External"/><Relationship Id="rId31" Type="http://schemas.openxmlformats.org/officeDocument/2006/relationships/image" Target="media/image8.jpeg"/><Relationship Id="rId44"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joseph.gligorov@tnn.aphp.fr" TargetMode="External"/><Relationship Id="rId22" Type="http://schemas.openxmlformats.org/officeDocument/2006/relationships/footer" Target="footer3.xml"/><Relationship Id="rId27" Type="http://schemas.openxmlformats.org/officeDocument/2006/relationships/image" Target="media/image4.png"/><Relationship Id="rId30" Type="http://schemas.openxmlformats.org/officeDocument/2006/relationships/image" Target="media/image7.jpeg"/><Relationship Id="rId35" Type="http://schemas.openxmlformats.org/officeDocument/2006/relationships/image" Target="media/image12.emf"/><Relationship Id="rId43" Type="http://schemas.openxmlformats.org/officeDocument/2006/relationships/image" Target="media/image20.png"/><Relationship Id="rId48" Type="http://schemas.openxmlformats.org/officeDocument/2006/relationships/image" Target="media/image23.emf"/><Relationship Id="rId8" Type="http://schemas.openxmlformats.org/officeDocument/2006/relationships/header" Target="header1.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jacortes@vhio.net" TargetMode="External"/><Relationship Id="rId17" Type="http://schemas.openxmlformats.org/officeDocument/2006/relationships/hyperlink" Target="mailto:frederikmarme@me.com" TargetMode="External"/><Relationship Id="rId25" Type="http://schemas.openxmlformats.org/officeDocument/2006/relationships/image" Target="media/image2.png"/><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image" Target="media/image22.emf"/><Relationship Id="rId20" Type="http://schemas.openxmlformats.org/officeDocument/2006/relationships/hyperlink" Target="mailto:jalbanell@parcdesalutmar.cat" TargetMode="External"/><Relationship Id="rId41"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2BE07-3FFA-4CFB-9F20-218214F4A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95</Pages>
  <Words>85368</Words>
  <Characters>469526</Characters>
  <Application>Microsoft Office Word</Application>
  <DocSecurity>0</DocSecurity>
  <Lines>3912</Lines>
  <Paragraphs>1107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1</vt:lpstr>
      <vt:lpstr>1</vt:lpstr>
    </vt:vector>
  </TitlesOfParts>
  <Company>Johnson &amp; Johnson</Company>
  <LinksUpToDate>false</LinksUpToDate>
  <CharactersWithSpaces>553787</CharactersWithSpaces>
  <SharedDoc>false</SharedDoc>
  <HLinks>
    <vt:vector size="492" baseType="variant">
      <vt:variant>
        <vt:i4>6488149</vt:i4>
      </vt:variant>
      <vt:variant>
        <vt:i4>638</vt:i4>
      </vt:variant>
      <vt:variant>
        <vt:i4>0</vt:i4>
      </vt:variant>
      <vt:variant>
        <vt:i4>5</vt:i4>
      </vt:variant>
      <vt:variant>
        <vt:lpwstr>https://www.uptodate.com/contents/fulvestrant-drug-information?topicRef=778&amp;source=see_link</vt:lpwstr>
      </vt:variant>
      <vt:variant>
        <vt:lpwstr/>
      </vt:variant>
      <vt:variant>
        <vt:i4>1179708</vt:i4>
      </vt:variant>
      <vt:variant>
        <vt:i4>478</vt:i4>
      </vt:variant>
      <vt:variant>
        <vt:i4>0</vt:i4>
      </vt:variant>
      <vt:variant>
        <vt:i4>5</vt:i4>
      </vt:variant>
      <vt:variant>
        <vt:lpwstr/>
      </vt:variant>
      <vt:variant>
        <vt:lpwstr>_Toc48458149</vt:lpwstr>
      </vt:variant>
      <vt:variant>
        <vt:i4>1245244</vt:i4>
      </vt:variant>
      <vt:variant>
        <vt:i4>472</vt:i4>
      </vt:variant>
      <vt:variant>
        <vt:i4>0</vt:i4>
      </vt:variant>
      <vt:variant>
        <vt:i4>5</vt:i4>
      </vt:variant>
      <vt:variant>
        <vt:lpwstr/>
      </vt:variant>
      <vt:variant>
        <vt:lpwstr>_Toc48458148</vt:lpwstr>
      </vt:variant>
      <vt:variant>
        <vt:i4>1835068</vt:i4>
      </vt:variant>
      <vt:variant>
        <vt:i4>466</vt:i4>
      </vt:variant>
      <vt:variant>
        <vt:i4>0</vt:i4>
      </vt:variant>
      <vt:variant>
        <vt:i4>5</vt:i4>
      </vt:variant>
      <vt:variant>
        <vt:lpwstr/>
      </vt:variant>
      <vt:variant>
        <vt:lpwstr>_Toc48458147</vt:lpwstr>
      </vt:variant>
      <vt:variant>
        <vt:i4>1900604</vt:i4>
      </vt:variant>
      <vt:variant>
        <vt:i4>460</vt:i4>
      </vt:variant>
      <vt:variant>
        <vt:i4>0</vt:i4>
      </vt:variant>
      <vt:variant>
        <vt:i4>5</vt:i4>
      </vt:variant>
      <vt:variant>
        <vt:lpwstr/>
      </vt:variant>
      <vt:variant>
        <vt:lpwstr>_Toc48458146</vt:lpwstr>
      </vt:variant>
      <vt:variant>
        <vt:i4>1966140</vt:i4>
      </vt:variant>
      <vt:variant>
        <vt:i4>454</vt:i4>
      </vt:variant>
      <vt:variant>
        <vt:i4>0</vt:i4>
      </vt:variant>
      <vt:variant>
        <vt:i4>5</vt:i4>
      </vt:variant>
      <vt:variant>
        <vt:lpwstr/>
      </vt:variant>
      <vt:variant>
        <vt:lpwstr>_Toc48458145</vt:lpwstr>
      </vt:variant>
      <vt:variant>
        <vt:i4>2031676</vt:i4>
      </vt:variant>
      <vt:variant>
        <vt:i4>448</vt:i4>
      </vt:variant>
      <vt:variant>
        <vt:i4>0</vt:i4>
      </vt:variant>
      <vt:variant>
        <vt:i4>5</vt:i4>
      </vt:variant>
      <vt:variant>
        <vt:lpwstr/>
      </vt:variant>
      <vt:variant>
        <vt:lpwstr>_Toc48458144</vt:lpwstr>
      </vt:variant>
      <vt:variant>
        <vt:i4>1572924</vt:i4>
      </vt:variant>
      <vt:variant>
        <vt:i4>442</vt:i4>
      </vt:variant>
      <vt:variant>
        <vt:i4>0</vt:i4>
      </vt:variant>
      <vt:variant>
        <vt:i4>5</vt:i4>
      </vt:variant>
      <vt:variant>
        <vt:lpwstr/>
      </vt:variant>
      <vt:variant>
        <vt:lpwstr>_Toc48458143</vt:lpwstr>
      </vt:variant>
      <vt:variant>
        <vt:i4>1638460</vt:i4>
      </vt:variant>
      <vt:variant>
        <vt:i4>436</vt:i4>
      </vt:variant>
      <vt:variant>
        <vt:i4>0</vt:i4>
      </vt:variant>
      <vt:variant>
        <vt:i4>5</vt:i4>
      </vt:variant>
      <vt:variant>
        <vt:lpwstr/>
      </vt:variant>
      <vt:variant>
        <vt:lpwstr>_Toc48458142</vt:lpwstr>
      </vt:variant>
      <vt:variant>
        <vt:i4>1703996</vt:i4>
      </vt:variant>
      <vt:variant>
        <vt:i4>430</vt:i4>
      </vt:variant>
      <vt:variant>
        <vt:i4>0</vt:i4>
      </vt:variant>
      <vt:variant>
        <vt:i4>5</vt:i4>
      </vt:variant>
      <vt:variant>
        <vt:lpwstr/>
      </vt:variant>
      <vt:variant>
        <vt:lpwstr>_Toc48458141</vt:lpwstr>
      </vt:variant>
      <vt:variant>
        <vt:i4>1769532</vt:i4>
      </vt:variant>
      <vt:variant>
        <vt:i4>424</vt:i4>
      </vt:variant>
      <vt:variant>
        <vt:i4>0</vt:i4>
      </vt:variant>
      <vt:variant>
        <vt:i4>5</vt:i4>
      </vt:variant>
      <vt:variant>
        <vt:lpwstr/>
      </vt:variant>
      <vt:variant>
        <vt:lpwstr>_Toc48458140</vt:lpwstr>
      </vt:variant>
      <vt:variant>
        <vt:i4>1179707</vt:i4>
      </vt:variant>
      <vt:variant>
        <vt:i4>418</vt:i4>
      </vt:variant>
      <vt:variant>
        <vt:i4>0</vt:i4>
      </vt:variant>
      <vt:variant>
        <vt:i4>5</vt:i4>
      </vt:variant>
      <vt:variant>
        <vt:lpwstr/>
      </vt:variant>
      <vt:variant>
        <vt:lpwstr>_Toc48458139</vt:lpwstr>
      </vt:variant>
      <vt:variant>
        <vt:i4>1245243</vt:i4>
      </vt:variant>
      <vt:variant>
        <vt:i4>412</vt:i4>
      </vt:variant>
      <vt:variant>
        <vt:i4>0</vt:i4>
      </vt:variant>
      <vt:variant>
        <vt:i4>5</vt:i4>
      </vt:variant>
      <vt:variant>
        <vt:lpwstr/>
      </vt:variant>
      <vt:variant>
        <vt:lpwstr>_Toc48458138</vt:lpwstr>
      </vt:variant>
      <vt:variant>
        <vt:i4>1835067</vt:i4>
      </vt:variant>
      <vt:variant>
        <vt:i4>406</vt:i4>
      </vt:variant>
      <vt:variant>
        <vt:i4>0</vt:i4>
      </vt:variant>
      <vt:variant>
        <vt:i4>5</vt:i4>
      </vt:variant>
      <vt:variant>
        <vt:lpwstr/>
      </vt:variant>
      <vt:variant>
        <vt:lpwstr>_Toc48458137</vt:lpwstr>
      </vt:variant>
      <vt:variant>
        <vt:i4>1900603</vt:i4>
      </vt:variant>
      <vt:variant>
        <vt:i4>400</vt:i4>
      </vt:variant>
      <vt:variant>
        <vt:i4>0</vt:i4>
      </vt:variant>
      <vt:variant>
        <vt:i4>5</vt:i4>
      </vt:variant>
      <vt:variant>
        <vt:lpwstr/>
      </vt:variant>
      <vt:variant>
        <vt:lpwstr>_Toc48458136</vt:lpwstr>
      </vt:variant>
      <vt:variant>
        <vt:i4>1966139</vt:i4>
      </vt:variant>
      <vt:variant>
        <vt:i4>394</vt:i4>
      </vt:variant>
      <vt:variant>
        <vt:i4>0</vt:i4>
      </vt:variant>
      <vt:variant>
        <vt:i4>5</vt:i4>
      </vt:variant>
      <vt:variant>
        <vt:lpwstr/>
      </vt:variant>
      <vt:variant>
        <vt:lpwstr>_Toc48458135</vt:lpwstr>
      </vt:variant>
      <vt:variant>
        <vt:i4>2031675</vt:i4>
      </vt:variant>
      <vt:variant>
        <vt:i4>388</vt:i4>
      </vt:variant>
      <vt:variant>
        <vt:i4>0</vt:i4>
      </vt:variant>
      <vt:variant>
        <vt:i4>5</vt:i4>
      </vt:variant>
      <vt:variant>
        <vt:lpwstr/>
      </vt:variant>
      <vt:variant>
        <vt:lpwstr>_Toc48458134</vt:lpwstr>
      </vt:variant>
      <vt:variant>
        <vt:i4>1572923</vt:i4>
      </vt:variant>
      <vt:variant>
        <vt:i4>382</vt:i4>
      </vt:variant>
      <vt:variant>
        <vt:i4>0</vt:i4>
      </vt:variant>
      <vt:variant>
        <vt:i4>5</vt:i4>
      </vt:variant>
      <vt:variant>
        <vt:lpwstr/>
      </vt:variant>
      <vt:variant>
        <vt:lpwstr>_Toc48458133</vt:lpwstr>
      </vt:variant>
      <vt:variant>
        <vt:i4>1638459</vt:i4>
      </vt:variant>
      <vt:variant>
        <vt:i4>376</vt:i4>
      </vt:variant>
      <vt:variant>
        <vt:i4>0</vt:i4>
      </vt:variant>
      <vt:variant>
        <vt:i4>5</vt:i4>
      </vt:variant>
      <vt:variant>
        <vt:lpwstr/>
      </vt:variant>
      <vt:variant>
        <vt:lpwstr>_Toc48458132</vt:lpwstr>
      </vt:variant>
      <vt:variant>
        <vt:i4>1703995</vt:i4>
      </vt:variant>
      <vt:variant>
        <vt:i4>370</vt:i4>
      </vt:variant>
      <vt:variant>
        <vt:i4>0</vt:i4>
      </vt:variant>
      <vt:variant>
        <vt:i4>5</vt:i4>
      </vt:variant>
      <vt:variant>
        <vt:lpwstr/>
      </vt:variant>
      <vt:variant>
        <vt:lpwstr>_Toc48458131</vt:lpwstr>
      </vt:variant>
      <vt:variant>
        <vt:i4>1769531</vt:i4>
      </vt:variant>
      <vt:variant>
        <vt:i4>364</vt:i4>
      </vt:variant>
      <vt:variant>
        <vt:i4>0</vt:i4>
      </vt:variant>
      <vt:variant>
        <vt:i4>5</vt:i4>
      </vt:variant>
      <vt:variant>
        <vt:lpwstr/>
      </vt:variant>
      <vt:variant>
        <vt:lpwstr>_Toc48458130</vt:lpwstr>
      </vt:variant>
      <vt:variant>
        <vt:i4>1179706</vt:i4>
      </vt:variant>
      <vt:variant>
        <vt:i4>358</vt:i4>
      </vt:variant>
      <vt:variant>
        <vt:i4>0</vt:i4>
      </vt:variant>
      <vt:variant>
        <vt:i4>5</vt:i4>
      </vt:variant>
      <vt:variant>
        <vt:lpwstr/>
      </vt:variant>
      <vt:variant>
        <vt:lpwstr>_Toc48458129</vt:lpwstr>
      </vt:variant>
      <vt:variant>
        <vt:i4>1245242</vt:i4>
      </vt:variant>
      <vt:variant>
        <vt:i4>352</vt:i4>
      </vt:variant>
      <vt:variant>
        <vt:i4>0</vt:i4>
      </vt:variant>
      <vt:variant>
        <vt:i4>5</vt:i4>
      </vt:variant>
      <vt:variant>
        <vt:lpwstr/>
      </vt:variant>
      <vt:variant>
        <vt:lpwstr>_Toc48458128</vt:lpwstr>
      </vt:variant>
      <vt:variant>
        <vt:i4>1835066</vt:i4>
      </vt:variant>
      <vt:variant>
        <vt:i4>346</vt:i4>
      </vt:variant>
      <vt:variant>
        <vt:i4>0</vt:i4>
      </vt:variant>
      <vt:variant>
        <vt:i4>5</vt:i4>
      </vt:variant>
      <vt:variant>
        <vt:lpwstr/>
      </vt:variant>
      <vt:variant>
        <vt:lpwstr>_Toc48458127</vt:lpwstr>
      </vt:variant>
      <vt:variant>
        <vt:i4>1900602</vt:i4>
      </vt:variant>
      <vt:variant>
        <vt:i4>340</vt:i4>
      </vt:variant>
      <vt:variant>
        <vt:i4>0</vt:i4>
      </vt:variant>
      <vt:variant>
        <vt:i4>5</vt:i4>
      </vt:variant>
      <vt:variant>
        <vt:lpwstr/>
      </vt:variant>
      <vt:variant>
        <vt:lpwstr>_Toc48458126</vt:lpwstr>
      </vt:variant>
      <vt:variant>
        <vt:i4>1966138</vt:i4>
      </vt:variant>
      <vt:variant>
        <vt:i4>334</vt:i4>
      </vt:variant>
      <vt:variant>
        <vt:i4>0</vt:i4>
      </vt:variant>
      <vt:variant>
        <vt:i4>5</vt:i4>
      </vt:variant>
      <vt:variant>
        <vt:lpwstr/>
      </vt:variant>
      <vt:variant>
        <vt:lpwstr>_Toc48458125</vt:lpwstr>
      </vt:variant>
      <vt:variant>
        <vt:i4>2031674</vt:i4>
      </vt:variant>
      <vt:variant>
        <vt:i4>328</vt:i4>
      </vt:variant>
      <vt:variant>
        <vt:i4>0</vt:i4>
      </vt:variant>
      <vt:variant>
        <vt:i4>5</vt:i4>
      </vt:variant>
      <vt:variant>
        <vt:lpwstr/>
      </vt:variant>
      <vt:variant>
        <vt:lpwstr>_Toc48458124</vt:lpwstr>
      </vt:variant>
      <vt:variant>
        <vt:i4>1572922</vt:i4>
      </vt:variant>
      <vt:variant>
        <vt:i4>322</vt:i4>
      </vt:variant>
      <vt:variant>
        <vt:i4>0</vt:i4>
      </vt:variant>
      <vt:variant>
        <vt:i4>5</vt:i4>
      </vt:variant>
      <vt:variant>
        <vt:lpwstr/>
      </vt:variant>
      <vt:variant>
        <vt:lpwstr>_Toc48458123</vt:lpwstr>
      </vt:variant>
      <vt:variant>
        <vt:i4>1638458</vt:i4>
      </vt:variant>
      <vt:variant>
        <vt:i4>316</vt:i4>
      </vt:variant>
      <vt:variant>
        <vt:i4>0</vt:i4>
      </vt:variant>
      <vt:variant>
        <vt:i4>5</vt:i4>
      </vt:variant>
      <vt:variant>
        <vt:lpwstr/>
      </vt:variant>
      <vt:variant>
        <vt:lpwstr>_Toc48458122</vt:lpwstr>
      </vt:variant>
      <vt:variant>
        <vt:i4>1703994</vt:i4>
      </vt:variant>
      <vt:variant>
        <vt:i4>310</vt:i4>
      </vt:variant>
      <vt:variant>
        <vt:i4>0</vt:i4>
      </vt:variant>
      <vt:variant>
        <vt:i4>5</vt:i4>
      </vt:variant>
      <vt:variant>
        <vt:lpwstr/>
      </vt:variant>
      <vt:variant>
        <vt:lpwstr>_Toc48458121</vt:lpwstr>
      </vt:variant>
      <vt:variant>
        <vt:i4>1769530</vt:i4>
      </vt:variant>
      <vt:variant>
        <vt:i4>304</vt:i4>
      </vt:variant>
      <vt:variant>
        <vt:i4>0</vt:i4>
      </vt:variant>
      <vt:variant>
        <vt:i4>5</vt:i4>
      </vt:variant>
      <vt:variant>
        <vt:lpwstr/>
      </vt:variant>
      <vt:variant>
        <vt:lpwstr>_Toc48458120</vt:lpwstr>
      </vt:variant>
      <vt:variant>
        <vt:i4>1179705</vt:i4>
      </vt:variant>
      <vt:variant>
        <vt:i4>298</vt:i4>
      </vt:variant>
      <vt:variant>
        <vt:i4>0</vt:i4>
      </vt:variant>
      <vt:variant>
        <vt:i4>5</vt:i4>
      </vt:variant>
      <vt:variant>
        <vt:lpwstr/>
      </vt:variant>
      <vt:variant>
        <vt:lpwstr>_Toc48458119</vt:lpwstr>
      </vt:variant>
      <vt:variant>
        <vt:i4>1245241</vt:i4>
      </vt:variant>
      <vt:variant>
        <vt:i4>292</vt:i4>
      </vt:variant>
      <vt:variant>
        <vt:i4>0</vt:i4>
      </vt:variant>
      <vt:variant>
        <vt:i4>5</vt:i4>
      </vt:variant>
      <vt:variant>
        <vt:lpwstr/>
      </vt:variant>
      <vt:variant>
        <vt:lpwstr>_Toc48458118</vt:lpwstr>
      </vt:variant>
      <vt:variant>
        <vt:i4>1835065</vt:i4>
      </vt:variant>
      <vt:variant>
        <vt:i4>286</vt:i4>
      </vt:variant>
      <vt:variant>
        <vt:i4>0</vt:i4>
      </vt:variant>
      <vt:variant>
        <vt:i4>5</vt:i4>
      </vt:variant>
      <vt:variant>
        <vt:lpwstr/>
      </vt:variant>
      <vt:variant>
        <vt:lpwstr>_Toc48458117</vt:lpwstr>
      </vt:variant>
      <vt:variant>
        <vt:i4>1900601</vt:i4>
      </vt:variant>
      <vt:variant>
        <vt:i4>280</vt:i4>
      </vt:variant>
      <vt:variant>
        <vt:i4>0</vt:i4>
      </vt:variant>
      <vt:variant>
        <vt:i4>5</vt:i4>
      </vt:variant>
      <vt:variant>
        <vt:lpwstr/>
      </vt:variant>
      <vt:variant>
        <vt:lpwstr>_Toc48458116</vt:lpwstr>
      </vt:variant>
      <vt:variant>
        <vt:i4>1966137</vt:i4>
      </vt:variant>
      <vt:variant>
        <vt:i4>274</vt:i4>
      </vt:variant>
      <vt:variant>
        <vt:i4>0</vt:i4>
      </vt:variant>
      <vt:variant>
        <vt:i4>5</vt:i4>
      </vt:variant>
      <vt:variant>
        <vt:lpwstr/>
      </vt:variant>
      <vt:variant>
        <vt:lpwstr>_Toc48458115</vt:lpwstr>
      </vt:variant>
      <vt:variant>
        <vt:i4>2031673</vt:i4>
      </vt:variant>
      <vt:variant>
        <vt:i4>268</vt:i4>
      </vt:variant>
      <vt:variant>
        <vt:i4>0</vt:i4>
      </vt:variant>
      <vt:variant>
        <vt:i4>5</vt:i4>
      </vt:variant>
      <vt:variant>
        <vt:lpwstr/>
      </vt:variant>
      <vt:variant>
        <vt:lpwstr>_Toc48458114</vt:lpwstr>
      </vt:variant>
      <vt:variant>
        <vt:i4>1572921</vt:i4>
      </vt:variant>
      <vt:variant>
        <vt:i4>262</vt:i4>
      </vt:variant>
      <vt:variant>
        <vt:i4>0</vt:i4>
      </vt:variant>
      <vt:variant>
        <vt:i4>5</vt:i4>
      </vt:variant>
      <vt:variant>
        <vt:lpwstr/>
      </vt:variant>
      <vt:variant>
        <vt:lpwstr>_Toc48458113</vt:lpwstr>
      </vt:variant>
      <vt:variant>
        <vt:i4>1638457</vt:i4>
      </vt:variant>
      <vt:variant>
        <vt:i4>256</vt:i4>
      </vt:variant>
      <vt:variant>
        <vt:i4>0</vt:i4>
      </vt:variant>
      <vt:variant>
        <vt:i4>5</vt:i4>
      </vt:variant>
      <vt:variant>
        <vt:lpwstr/>
      </vt:variant>
      <vt:variant>
        <vt:lpwstr>_Toc48458112</vt:lpwstr>
      </vt:variant>
      <vt:variant>
        <vt:i4>1703993</vt:i4>
      </vt:variant>
      <vt:variant>
        <vt:i4>250</vt:i4>
      </vt:variant>
      <vt:variant>
        <vt:i4>0</vt:i4>
      </vt:variant>
      <vt:variant>
        <vt:i4>5</vt:i4>
      </vt:variant>
      <vt:variant>
        <vt:lpwstr/>
      </vt:variant>
      <vt:variant>
        <vt:lpwstr>_Toc48458111</vt:lpwstr>
      </vt:variant>
      <vt:variant>
        <vt:i4>1769529</vt:i4>
      </vt:variant>
      <vt:variant>
        <vt:i4>244</vt:i4>
      </vt:variant>
      <vt:variant>
        <vt:i4>0</vt:i4>
      </vt:variant>
      <vt:variant>
        <vt:i4>5</vt:i4>
      </vt:variant>
      <vt:variant>
        <vt:lpwstr/>
      </vt:variant>
      <vt:variant>
        <vt:lpwstr>_Toc48458110</vt:lpwstr>
      </vt:variant>
      <vt:variant>
        <vt:i4>1179704</vt:i4>
      </vt:variant>
      <vt:variant>
        <vt:i4>238</vt:i4>
      </vt:variant>
      <vt:variant>
        <vt:i4>0</vt:i4>
      </vt:variant>
      <vt:variant>
        <vt:i4>5</vt:i4>
      </vt:variant>
      <vt:variant>
        <vt:lpwstr/>
      </vt:variant>
      <vt:variant>
        <vt:lpwstr>_Toc48458109</vt:lpwstr>
      </vt:variant>
      <vt:variant>
        <vt:i4>1245240</vt:i4>
      </vt:variant>
      <vt:variant>
        <vt:i4>232</vt:i4>
      </vt:variant>
      <vt:variant>
        <vt:i4>0</vt:i4>
      </vt:variant>
      <vt:variant>
        <vt:i4>5</vt:i4>
      </vt:variant>
      <vt:variant>
        <vt:lpwstr/>
      </vt:variant>
      <vt:variant>
        <vt:lpwstr>_Toc48458108</vt:lpwstr>
      </vt:variant>
      <vt:variant>
        <vt:i4>1835064</vt:i4>
      </vt:variant>
      <vt:variant>
        <vt:i4>226</vt:i4>
      </vt:variant>
      <vt:variant>
        <vt:i4>0</vt:i4>
      </vt:variant>
      <vt:variant>
        <vt:i4>5</vt:i4>
      </vt:variant>
      <vt:variant>
        <vt:lpwstr/>
      </vt:variant>
      <vt:variant>
        <vt:lpwstr>_Toc48458107</vt:lpwstr>
      </vt:variant>
      <vt:variant>
        <vt:i4>1900600</vt:i4>
      </vt:variant>
      <vt:variant>
        <vt:i4>220</vt:i4>
      </vt:variant>
      <vt:variant>
        <vt:i4>0</vt:i4>
      </vt:variant>
      <vt:variant>
        <vt:i4>5</vt:i4>
      </vt:variant>
      <vt:variant>
        <vt:lpwstr/>
      </vt:variant>
      <vt:variant>
        <vt:lpwstr>_Toc48458106</vt:lpwstr>
      </vt:variant>
      <vt:variant>
        <vt:i4>1966136</vt:i4>
      </vt:variant>
      <vt:variant>
        <vt:i4>214</vt:i4>
      </vt:variant>
      <vt:variant>
        <vt:i4>0</vt:i4>
      </vt:variant>
      <vt:variant>
        <vt:i4>5</vt:i4>
      </vt:variant>
      <vt:variant>
        <vt:lpwstr/>
      </vt:variant>
      <vt:variant>
        <vt:lpwstr>_Toc48458105</vt:lpwstr>
      </vt:variant>
      <vt:variant>
        <vt:i4>2031672</vt:i4>
      </vt:variant>
      <vt:variant>
        <vt:i4>208</vt:i4>
      </vt:variant>
      <vt:variant>
        <vt:i4>0</vt:i4>
      </vt:variant>
      <vt:variant>
        <vt:i4>5</vt:i4>
      </vt:variant>
      <vt:variant>
        <vt:lpwstr/>
      </vt:variant>
      <vt:variant>
        <vt:lpwstr>_Toc48458104</vt:lpwstr>
      </vt:variant>
      <vt:variant>
        <vt:i4>1572920</vt:i4>
      </vt:variant>
      <vt:variant>
        <vt:i4>202</vt:i4>
      </vt:variant>
      <vt:variant>
        <vt:i4>0</vt:i4>
      </vt:variant>
      <vt:variant>
        <vt:i4>5</vt:i4>
      </vt:variant>
      <vt:variant>
        <vt:lpwstr/>
      </vt:variant>
      <vt:variant>
        <vt:lpwstr>_Toc48458103</vt:lpwstr>
      </vt:variant>
      <vt:variant>
        <vt:i4>1638456</vt:i4>
      </vt:variant>
      <vt:variant>
        <vt:i4>196</vt:i4>
      </vt:variant>
      <vt:variant>
        <vt:i4>0</vt:i4>
      </vt:variant>
      <vt:variant>
        <vt:i4>5</vt:i4>
      </vt:variant>
      <vt:variant>
        <vt:lpwstr/>
      </vt:variant>
      <vt:variant>
        <vt:lpwstr>_Toc48458102</vt:lpwstr>
      </vt:variant>
      <vt:variant>
        <vt:i4>1703992</vt:i4>
      </vt:variant>
      <vt:variant>
        <vt:i4>190</vt:i4>
      </vt:variant>
      <vt:variant>
        <vt:i4>0</vt:i4>
      </vt:variant>
      <vt:variant>
        <vt:i4>5</vt:i4>
      </vt:variant>
      <vt:variant>
        <vt:lpwstr/>
      </vt:variant>
      <vt:variant>
        <vt:lpwstr>_Toc48458101</vt:lpwstr>
      </vt:variant>
      <vt:variant>
        <vt:i4>1769528</vt:i4>
      </vt:variant>
      <vt:variant>
        <vt:i4>184</vt:i4>
      </vt:variant>
      <vt:variant>
        <vt:i4>0</vt:i4>
      </vt:variant>
      <vt:variant>
        <vt:i4>5</vt:i4>
      </vt:variant>
      <vt:variant>
        <vt:lpwstr/>
      </vt:variant>
      <vt:variant>
        <vt:lpwstr>_Toc48458100</vt:lpwstr>
      </vt:variant>
      <vt:variant>
        <vt:i4>1245233</vt:i4>
      </vt:variant>
      <vt:variant>
        <vt:i4>178</vt:i4>
      </vt:variant>
      <vt:variant>
        <vt:i4>0</vt:i4>
      </vt:variant>
      <vt:variant>
        <vt:i4>5</vt:i4>
      </vt:variant>
      <vt:variant>
        <vt:lpwstr/>
      </vt:variant>
      <vt:variant>
        <vt:lpwstr>_Toc48458099</vt:lpwstr>
      </vt:variant>
      <vt:variant>
        <vt:i4>1179697</vt:i4>
      </vt:variant>
      <vt:variant>
        <vt:i4>172</vt:i4>
      </vt:variant>
      <vt:variant>
        <vt:i4>0</vt:i4>
      </vt:variant>
      <vt:variant>
        <vt:i4>5</vt:i4>
      </vt:variant>
      <vt:variant>
        <vt:lpwstr/>
      </vt:variant>
      <vt:variant>
        <vt:lpwstr>_Toc48458098</vt:lpwstr>
      </vt:variant>
      <vt:variant>
        <vt:i4>1900593</vt:i4>
      </vt:variant>
      <vt:variant>
        <vt:i4>166</vt:i4>
      </vt:variant>
      <vt:variant>
        <vt:i4>0</vt:i4>
      </vt:variant>
      <vt:variant>
        <vt:i4>5</vt:i4>
      </vt:variant>
      <vt:variant>
        <vt:lpwstr/>
      </vt:variant>
      <vt:variant>
        <vt:lpwstr>_Toc48458097</vt:lpwstr>
      </vt:variant>
      <vt:variant>
        <vt:i4>1835057</vt:i4>
      </vt:variant>
      <vt:variant>
        <vt:i4>160</vt:i4>
      </vt:variant>
      <vt:variant>
        <vt:i4>0</vt:i4>
      </vt:variant>
      <vt:variant>
        <vt:i4>5</vt:i4>
      </vt:variant>
      <vt:variant>
        <vt:lpwstr/>
      </vt:variant>
      <vt:variant>
        <vt:lpwstr>_Toc48458096</vt:lpwstr>
      </vt:variant>
      <vt:variant>
        <vt:i4>2031665</vt:i4>
      </vt:variant>
      <vt:variant>
        <vt:i4>154</vt:i4>
      </vt:variant>
      <vt:variant>
        <vt:i4>0</vt:i4>
      </vt:variant>
      <vt:variant>
        <vt:i4>5</vt:i4>
      </vt:variant>
      <vt:variant>
        <vt:lpwstr/>
      </vt:variant>
      <vt:variant>
        <vt:lpwstr>_Toc48458095</vt:lpwstr>
      </vt:variant>
      <vt:variant>
        <vt:i4>1966129</vt:i4>
      </vt:variant>
      <vt:variant>
        <vt:i4>148</vt:i4>
      </vt:variant>
      <vt:variant>
        <vt:i4>0</vt:i4>
      </vt:variant>
      <vt:variant>
        <vt:i4>5</vt:i4>
      </vt:variant>
      <vt:variant>
        <vt:lpwstr/>
      </vt:variant>
      <vt:variant>
        <vt:lpwstr>_Toc48458094</vt:lpwstr>
      </vt:variant>
      <vt:variant>
        <vt:i4>1638449</vt:i4>
      </vt:variant>
      <vt:variant>
        <vt:i4>142</vt:i4>
      </vt:variant>
      <vt:variant>
        <vt:i4>0</vt:i4>
      </vt:variant>
      <vt:variant>
        <vt:i4>5</vt:i4>
      </vt:variant>
      <vt:variant>
        <vt:lpwstr/>
      </vt:variant>
      <vt:variant>
        <vt:lpwstr>_Toc48458093</vt:lpwstr>
      </vt:variant>
      <vt:variant>
        <vt:i4>1572913</vt:i4>
      </vt:variant>
      <vt:variant>
        <vt:i4>136</vt:i4>
      </vt:variant>
      <vt:variant>
        <vt:i4>0</vt:i4>
      </vt:variant>
      <vt:variant>
        <vt:i4>5</vt:i4>
      </vt:variant>
      <vt:variant>
        <vt:lpwstr/>
      </vt:variant>
      <vt:variant>
        <vt:lpwstr>_Toc48458092</vt:lpwstr>
      </vt:variant>
      <vt:variant>
        <vt:i4>1769521</vt:i4>
      </vt:variant>
      <vt:variant>
        <vt:i4>130</vt:i4>
      </vt:variant>
      <vt:variant>
        <vt:i4>0</vt:i4>
      </vt:variant>
      <vt:variant>
        <vt:i4>5</vt:i4>
      </vt:variant>
      <vt:variant>
        <vt:lpwstr/>
      </vt:variant>
      <vt:variant>
        <vt:lpwstr>_Toc48458091</vt:lpwstr>
      </vt:variant>
      <vt:variant>
        <vt:i4>1703985</vt:i4>
      </vt:variant>
      <vt:variant>
        <vt:i4>124</vt:i4>
      </vt:variant>
      <vt:variant>
        <vt:i4>0</vt:i4>
      </vt:variant>
      <vt:variant>
        <vt:i4>5</vt:i4>
      </vt:variant>
      <vt:variant>
        <vt:lpwstr/>
      </vt:variant>
      <vt:variant>
        <vt:lpwstr>_Toc48458090</vt:lpwstr>
      </vt:variant>
      <vt:variant>
        <vt:i4>1245232</vt:i4>
      </vt:variant>
      <vt:variant>
        <vt:i4>118</vt:i4>
      </vt:variant>
      <vt:variant>
        <vt:i4>0</vt:i4>
      </vt:variant>
      <vt:variant>
        <vt:i4>5</vt:i4>
      </vt:variant>
      <vt:variant>
        <vt:lpwstr/>
      </vt:variant>
      <vt:variant>
        <vt:lpwstr>_Toc48458089</vt:lpwstr>
      </vt:variant>
      <vt:variant>
        <vt:i4>1179696</vt:i4>
      </vt:variant>
      <vt:variant>
        <vt:i4>112</vt:i4>
      </vt:variant>
      <vt:variant>
        <vt:i4>0</vt:i4>
      </vt:variant>
      <vt:variant>
        <vt:i4>5</vt:i4>
      </vt:variant>
      <vt:variant>
        <vt:lpwstr/>
      </vt:variant>
      <vt:variant>
        <vt:lpwstr>_Toc48458088</vt:lpwstr>
      </vt:variant>
      <vt:variant>
        <vt:i4>1900592</vt:i4>
      </vt:variant>
      <vt:variant>
        <vt:i4>106</vt:i4>
      </vt:variant>
      <vt:variant>
        <vt:i4>0</vt:i4>
      </vt:variant>
      <vt:variant>
        <vt:i4>5</vt:i4>
      </vt:variant>
      <vt:variant>
        <vt:lpwstr/>
      </vt:variant>
      <vt:variant>
        <vt:lpwstr>_Toc48458087</vt:lpwstr>
      </vt:variant>
      <vt:variant>
        <vt:i4>1835056</vt:i4>
      </vt:variant>
      <vt:variant>
        <vt:i4>100</vt:i4>
      </vt:variant>
      <vt:variant>
        <vt:i4>0</vt:i4>
      </vt:variant>
      <vt:variant>
        <vt:i4>5</vt:i4>
      </vt:variant>
      <vt:variant>
        <vt:lpwstr/>
      </vt:variant>
      <vt:variant>
        <vt:lpwstr>_Toc48458086</vt:lpwstr>
      </vt:variant>
      <vt:variant>
        <vt:i4>2031664</vt:i4>
      </vt:variant>
      <vt:variant>
        <vt:i4>94</vt:i4>
      </vt:variant>
      <vt:variant>
        <vt:i4>0</vt:i4>
      </vt:variant>
      <vt:variant>
        <vt:i4>5</vt:i4>
      </vt:variant>
      <vt:variant>
        <vt:lpwstr/>
      </vt:variant>
      <vt:variant>
        <vt:lpwstr>_Toc48458085</vt:lpwstr>
      </vt:variant>
      <vt:variant>
        <vt:i4>1966128</vt:i4>
      </vt:variant>
      <vt:variant>
        <vt:i4>88</vt:i4>
      </vt:variant>
      <vt:variant>
        <vt:i4>0</vt:i4>
      </vt:variant>
      <vt:variant>
        <vt:i4>5</vt:i4>
      </vt:variant>
      <vt:variant>
        <vt:lpwstr/>
      </vt:variant>
      <vt:variant>
        <vt:lpwstr>_Toc48458084</vt:lpwstr>
      </vt:variant>
      <vt:variant>
        <vt:i4>1638448</vt:i4>
      </vt:variant>
      <vt:variant>
        <vt:i4>82</vt:i4>
      </vt:variant>
      <vt:variant>
        <vt:i4>0</vt:i4>
      </vt:variant>
      <vt:variant>
        <vt:i4>5</vt:i4>
      </vt:variant>
      <vt:variant>
        <vt:lpwstr/>
      </vt:variant>
      <vt:variant>
        <vt:lpwstr>_Toc48458083</vt:lpwstr>
      </vt:variant>
      <vt:variant>
        <vt:i4>1572912</vt:i4>
      </vt:variant>
      <vt:variant>
        <vt:i4>76</vt:i4>
      </vt:variant>
      <vt:variant>
        <vt:i4>0</vt:i4>
      </vt:variant>
      <vt:variant>
        <vt:i4>5</vt:i4>
      </vt:variant>
      <vt:variant>
        <vt:lpwstr/>
      </vt:variant>
      <vt:variant>
        <vt:lpwstr>_Toc48458082</vt:lpwstr>
      </vt:variant>
      <vt:variant>
        <vt:i4>1769520</vt:i4>
      </vt:variant>
      <vt:variant>
        <vt:i4>70</vt:i4>
      </vt:variant>
      <vt:variant>
        <vt:i4>0</vt:i4>
      </vt:variant>
      <vt:variant>
        <vt:i4>5</vt:i4>
      </vt:variant>
      <vt:variant>
        <vt:lpwstr/>
      </vt:variant>
      <vt:variant>
        <vt:lpwstr>_Toc48458081</vt:lpwstr>
      </vt:variant>
      <vt:variant>
        <vt:i4>1703984</vt:i4>
      </vt:variant>
      <vt:variant>
        <vt:i4>64</vt:i4>
      </vt:variant>
      <vt:variant>
        <vt:i4>0</vt:i4>
      </vt:variant>
      <vt:variant>
        <vt:i4>5</vt:i4>
      </vt:variant>
      <vt:variant>
        <vt:lpwstr/>
      </vt:variant>
      <vt:variant>
        <vt:lpwstr>_Toc48458080</vt:lpwstr>
      </vt:variant>
      <vt:variant>
        <vt:i4>1245247</vt:i4>
      </vt:variant>
      <vt:variant>
        <vt:i4>58</vt:i4>
      </vt:variant>
      <vt:variant>
        <vt:i4>0</vt:i4>
      </vt:variant>
      <vt:variant>
        <vt:i4>5</vt:i4>
      </vt:variant>
      <vt:variant>
        <vt:lpwstr/>
      </vt:variant>
      <vt:variant>
        <vt:lpwstr>_Toc48458079</vt:lpwstr>
      </vt:variant>
      <vt:variant>
        <vt:i4>1179711</vt:i4>
      </vt:variant>
      <vt:variant>
        <vt:i4>52</vt:i4>
      </vt:variant>
      <vt:variant>
        <vt:i4>0</vt:i4>
      </vt:variant>
      <vt:variant>
        <vt:i4>5</vt:i4>
      </vt:variant>
      <vt:variant>
        <vt:lpwstr/>
      </vt:variant>
      <vt:variant>
        <vt:lpwstr>_Toc48458078</vt:lpwstr>
      </vt:variant>
      <vt:variant>
        <vt:i4>1900607</vt:i4>
      </vt:variant>
      <vt:variant>
        <vt:i4>46</vt:i4>
      </vt:variant>
      <vt:variant>
        <vt:i4>0</vt:i4>
      </vt:variant>
      <vt:variant>
        <vt:i4>5</vt:i4>
      </vt:variant>
      <vt:variant>
        <vt:lpwstr/>
      </vt:variant>
      <vt:variant>
        <vt:lpwstr>_Toc48458077</vt:lpwstr>
      </vt:variant>
      <vt:variant>
        <vt:i4>1835071</vt:i4>
      </vt:variant>
      <vt:variant>
        <vt:i4>40</vt:i4>
      </vt:variant>
      <vt:variant>
        <vt:i4>0</vt:i4>
      </vt:variant>
      <vt:variant>
        <vt:i4>5</vt:i4>
      </vt:variant>
      <vt:variant>
        <vt:lpwstr/>
      </vt:variant>
      <vt:variant>
        <vt:lpwstr>_Toc48458076</vt:lpwstr>
      </vt:variant>
      <vt:variant>
        <vt:i4>2031679</vt:i4>
      </vt:variant>
      <vt:variant>
        <vt:i4>34</vt:i4>
      </vt:variant>
      <vt:variant>
        <vt:i4>0</vt:i4>
      </vt:variant>
      <vt:variant>
        <vt:i4>5</vt:i4>
      </vt:variant>
      <vt:variant>
        <vt:lpwstr/>
      </vt:variant>
      <vt:variant>
        <vt:lpwstr>_Toc48458075</vt:lpwstr>
      </vt:variant>
      <vt:variant>
        <vt:i4>1966143</vt:i4>
      </vt:variant>
      <vt:variant>
        <vt:i4>28</vt:i4>
      </vt:variant>
      <vt:variant>
        <vt:i4>0</vt:i4>
      </vt:variant>
      <vt:variant>
        <vt:i4>5</vt:i4>
      </vt:variant>
      <vt:variant>
        <vt:lpwstr/>
      </vt:variant>
      <vt:variant>
        <vt:lpwstr>_Toc48458074</vt:lpwstr>
      </vt:variant>
      <vt:variant>
        <vt:i4>1638463</vt:i4>
      </vt:variant>
      <vt:variant>
        <vt:i4>22</vt:i4>
      </vt:variant>
      <vt:variant>
        <vt:i4>0</vt:i4>
      </vt:variant>
      <vt:variant>
        <vt:i4>5</vt:i4>
      </vt:variant>
      <vt:variant>
        <vt:lpwstr/>
      </vt:variant>
      <vt:variant>
        <vt:lpwstr>_Toc48458073</vt:lpwstr>
      </vt:variant>
      <vt:variant>
        <vt:i4>1572927</vt:i4>
      </vt:variant>
      <vt:variant>
        <vt:i4>16</vt:i4>
      </vt:variant>
      <vt:variant>
        <vt:i4>0</vt:i4>
      </vt:variant>
      <vt:variant>
        <vt:i4>5</vt:i4>
      </vt:variant>
      <vt:variant>
        <vt:lpwstr/>
      </vt:variant>
      <vt:variant>
        <vt:lpwstr>_Toc48458072</vt:lpwstr>
      </vt:variant>
      <vt:variant>
        <vt:i4>1703999</vt:i4>
      </vt:variant>
      <vt:variant>
        <vt:i4>10</vt:i4>
      </vt:variant>
      <vt:variant>
        <vt:i4>0</vt:i4>
      </vt:variant>
      <vt:variant>
        <vt:i4>5</vt:i4>
      </vt:variant>
      <vt:variant>
        <vt:lpwstr/>
      </vt:variant>
      <vt:variant>
        <vt:lpwstr>_Toc48458070</vt:lpwstr>
      </vt:variant>
      <vt:variant>
        <vt:i4>1245246</vt:i4>
      </vt:variant>
      <vt:variant>
        <vt:i4>4</vt:i4>
      </vt:variant>
      <vt:variant>
        <vt:i4>0</vt:i4>
      </vt:variant>
      <vt:variant>
        <vt:i4>5</vt:i4>
      </vt:variant>
      <vt:variant>
        <vt:lpwstr/>
      </vt:variant>
      <vt:variant>
        <vt:lpwstr>_Toc48458069</vt:lpwstr>
      </vt:variant>
      <vt:variant>
        <vt:i4>3801133</vt:i4>
      </vt:variant>
      <vt:variant>
        <vt:i4>0</vt:i4>
      </vt:variant>
      <vt:variant>
        <vt:i4>0</vt:i4>
      </vt:variant>
      <vt:variant>
        <vt:i4>5</vt:i4>
      </vt:variant>
      <vt:variant>
        <vt:lpwstr>https://ascopubs.org/na101/home/literatum/publisher/asco/journals/content/jco/2018/jco.2018.36.issue-24/jco.2018.78.9909/20180807/images/large/jco.2018.78.9909t1.jpeg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LLuciano</dc:creator>
  <cp:keywords/>
  <dc:description/>
  <cp:lastModifiedBy>Crina Popa</cp:lastModifiedBy>
  <cp:revision>15</cp:revision>
  <cp:lastPrinted>2008-05-02T12:32:00Z</cp:lastPrinted>
  <dcterms:created xsi:type="dcterms:W3CDTF">2020-10-01T16:07:00Z</dcterms:created>
  <dcterms:modified xsi:type="dcterms:W3CDTF">2020-10-02T07:07:00Z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-1633732620</vt:i4>
  </property>
  <property fmtid="{D5CDD505-2E9C-101B-9397-08002B2CF9AE}" pid="3" name="_NewReviewCycle">
    <vt:lpwstr/>
  </property>
  <property fmtid="{D5CDD505-2E9C-101B-9397-08002B2CF9AE}" pid="4" name="_EmailSubject">
    <vt:lpwstr>VELCADE EAP: Final abbreviated CSR</vt:lpwstr>
  </property>
  <property fmtid="{D5CDD505-2E9C-101B-9397-08002B2CF9AE}" pid="5" name="_AuthorEmail">
    <vt:lpwstr>isy.goodwin@quintiles.com</vt:lpwstr>
  </property>
  <property fmtid="{D5CDD505-2E9C-101B-9397-08002B2CF9AE}" pid="6" name="_AuthorEmailDisplayName">
    <vt:lpwstr>isy goodwin</vt:lpwstr>
  </property>
  <property fmtid="{D5CDD505-2E9C-101B-9397-08002B2CF9AE}" pid="7" name="_ReviewingToolsShownOnce">
    <vt:lpwstr/>
  </property>
  <property fmtid="{D5CDD505-2E9C-101B-9397-08002B2CF9AE}" pid="8" name="Mendeley Recent Style Id 0_1">
    <vt:lpwstr>http://www.zotero.org/styles/american-medical-association</vt:lpwstr>
  </property>
  <property fmtid="{D5CDD505-2E9C-101B-9397-08002B2CF9AE}" pid="9" name="Mendeley Recent Style Name 0_1">
    <vt:lpwstr>American Medical Association</vt:lpwstr>
  </property>
  <property fmtid="{D5CDD505-2E9C-101B-9397-08002B2CF9AE}" pid="10" name="Mendeley Recent Style Id 1_1">
    <vt:lpwstr>http://www.zotero.org/styles/american-political-science-association</vt:lpwstr>
  </property>
  <property fmtid="{D5CDD505-2E9C-101B-9397-08002B2CF9AE}" pid="11" name="Mendeley Recent Style Name 1_1">
    <vt:lpwstr>American Political Science Association</vt:lpwstr>
  </property>
  <property fmtid="{D5CDD505-2E9C-101B-9397-08002B2CF9AE}" pid="12" name="Mendeley Recent Style Id 2_1">
    <vt:lpwstr>http://www.zotero.org/styles/apa</vt:lpwstr>
  </property>
  <property fmtid="{D5CDD505-2E9C-101B-9397-08002B2CF9AE}" pid="13" name="Mendeley Recent Style Name 2_1">
    <vt:lpwstr>American Psychological Association 7th edition</vt:lpwstr>
  </property>
  <property fmtid="{D5CDD505-2E9C-101B-9397-08002B2CF9AE}" pid="14" name="Mendeley Recent Style Id 3_1">
    <vt:lpwstr>http://www.zotero.org/styles/american-sociological-association</vt:lpwstr>
  </property>
  <property fmtid="{D5CDD505-2E9C-101B-9397-08002B2CF9AE}" pid="15" name="Mendeley Recent Style Name 3_1">
    <vt:lpwstr>American Sociological Association 6th edition</vt:lpwstr>
  </property>
  <property fmtid="{D5CDD505-2E9C-101B-9397-08002B2CF9AE}" pid="16" name="Mendeley Recent Style Id 4_1">
    <vt:lpwstr>http://www.zotero.org/styles/harvard-cite-them-right</vt:lpwstr>
  </property>
  <property fmtid="{D5CDD505-2E9C-101B-9397-08002B2CF9AE}" pid="17" name="Mendeley Recent Style Name 4_1">
    <vt:lpwstr>Cite Them Right 10th edition - Harvard</vt:lpwstr>
  </property>
  <property fmtid="{D5CDD505-2E9C-101B-9397-08002B2CF9AE}" pid="18" name="Mendeley Recent Style Id 5_1">
    <vt:lpwstr>http://www.zotero.org/styles/ieee</vt:lpwstr>
  </property>
  <property fmtid="{D5CDD505-2E9C-101B-9397-08002B2CF9AE}" pid="19" name="Mendeley Recent Style Name 5_1">
    <vt:lpwstr>IEEE</vt:lpwstr>
  </property>
  <property fmtid="{D5CDD505-2E9C-101B-9397-08002B2CF9AE}" pid="20" name="Mendeley Recent Style Id 6_1">
    <vt:lpwstr>http://www.zotero.org/styles/nature</vt:lpwstr>
  </property>
  <property fmtid="{D5CDD505-2E9C-101B-9397-08002B2CF9AE}" pid="21" name="Mendeley Recent Style Name 6_1">
    <vt:lpwstr>Nature</vt:lpwstr>
  </property>
  <property fmtid="{D5CDD505-2E9C-101B-9397-08002B2CF9AE}" pid="22" name="Mendeley Recent Style Id 7_1">
    <vt:lpwstr>http://www.zotero.org/styles/vancouver</vt:lpwstr>
  </property>
  <property fmtid="{D5CDD505-2E9C-101B-9397-08002B2CF9AE}" pid="23" name="Mendeley Recent Style Name 7_1">
    <vt:lpwstr>Vancouver</vt:lpwstr>
  </property>
  <property fmtid="{D5CDD505-2E9C-101B-9397-08002B2CF9AE}" pid="24" name="Mendeley Recent Style Id 8_1">
    <vt:lpwstr>http://csl.mendeley.com/styles/582373781/vancouver-cursiva</vt:lpwstr>
  </property>
  <property fmtid="{D5CDD505-2E9C-101B-9397-08002B2CF9AE}" pid="25" name="Mendeley Recent Style Name 8_1">
    <vt:lpwstr>Vancouver - Juliana  Martínez Atienza</vt:lpwstr>
  </property>
  <property fmtid="{D5CDD505-2E9C-101B-9397-08002B2CF9AE}" pid="26" name="Mendeley Recent Style Id 9_1">
    <vt:lpwstr>https://csl.mendeley.com/styles/582373781/vancouver</vt:lpwstr>
  </property>
  <property fmtid="{D5CDD505-2E9C-101B-9397-08002B2CF9AE}" pid="27" name="Mendeley Recent Style Name 9_1">
    <vt:lpwstr>Vancouver - Juliana  Martínez Atienza</vt:lpwstr>
  </property>
  <property fmtid="{D5CDD505-2E9C-101B-9397-08002B2CF9AE}" pid="28" name="Mendeley Document_1">
    <vt:lpwstr>True</vt:lpwstr>
  </property>
  <property fmtid="{D5CDD505-2E9C-101B-9397-08002B2CF9AE}" pid="29" name="Mendeley Unique User Id_1">
    <vt:lpwstr>5e5038f5-b13f-3ad9-9458-5ee0c4503e20</vt:lpwstr>
  </property>
  <property fmtid="{D5CDD505-2E9C-101B-9397-08002B2CF9AE}" pid="30" name="Mendeley Citation Style_1">
    <vt:lpwstr>https://csl.mendeley.com/styles/582373781/vancouver</vt:lpwstr>
  </property>
</Properties>
</file>