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366" w:rsidRPr="00FB1FB7" w:rsidRDefault="00441366" w:rsidP="00441366">
      <w:pPr>
        <w:tabs>
          <w:tab w:val="left" w:pos="7604"/>
          <w:tab w:val="right" w:pos="9406"/>
        </w:tabs>
        <w:jc w:val="both"/>
      </w:pPr>
    </w:p>
    <w:p w:rsidR="00441366" w:rsidRPr="00245F16" w:rsidRDefault="00441366" w:rsidP="00441366">
      <w:pPr>
        <w:jc w:val="both"/>
        <w:rPr>
          <w:b/>
          <w:sz w:val="24"/>
        </w:rPr>
      </w:pPr>
    </w:p>
    <w:p w:rsidR="00441366" w:rsidRPr="00567C22" w:rsidRDefault="00441366" w:rsidP="00D353EC">
      <w:pPr>
        <w:jc w:val="both"/>
        <w:rPr>
          <w:b/>
          <w:i/>
        </w:rPr>
      </w:pPr>
      <w:r w:rsidRPr="00567C22">
        <w:rPr>
          <w:b/>
          <w:i/>
        </w:rPr>
        <w:t>All grade toxicities within 6, 12 and 24 months</w:t>
      </w:r>
    </w:p>
    <w:p w:rsidR="00441366" w:rsidRDefault="00441366" w:rsidP="00441366">
      <w:pPr>
        <w:jc w:val="both"/>
      </w:pPr>
      <w:r>
        <w:t xml:space="preserve">A total of 668 AEs within 6 months were reported. In all 53 patients an AE of any grade had occurred during that time. </w:t>
      </w:r>
    </w:p>
    <w:p w:rsidR="00441366" w:rsidRDefault="00441366" w:rsidP="00441366">
      <w:pPr>
        <w:jc w:val="both"/>
      </w:pPr>
      <w:r>
        <w:t xml:space="preserve">The rate of any toxicity within the first 6 months was </w:t>
      </w:r>
    </w:p>
    <w:p w:rsidR="00441366" w:rsidRDefault="00441366" w:rsidP="00441366">
      <w:pPr>
        <w:jc w:val="both"/>
        <w:rPr>
          <w:b/>
        </w:rPr>
      </w:pPr>
      <w:r>
        <w:rPr>
          <w:b/>
        </w:rPr>
        <w:t>P=53/53</w:t>
      </w:r>
      <w:r w:rsidRPr="00915E60">
        <w:rPr>
          <w:b/>
        </w:rPr>
        <w:t xml:space="preserve"> </w:t>
      </w:r>
      <w:r>
        <w:rPr>
          <w:b/>
        </w:rPr>
        <w:t>= 100.0</w:t>
      </w:r>
      <w:r w:rsidRPr="00915E60">
        <w:rPr>
          <w:b/>
        </w:rPr>
        <w:t xml:space="preserve">%, 95% confidence interval: </w:t>
      </w:r>
      <w:r>
        <w:rPr>
          <w:b/>
        </w:rPr>
        <w:t>93.3</w:t>
      </w:r>
      <w:r w:rsidRPr="00915E60">
        <w:rPr>
          <w:b/>
        </w:rPr>
        <w:t>%</w:t>
      </w:r>
      <w:r>
        <w:rPr>
          <w:b/>
        </w:rPr>
        <w:t xml:space="preserve"> to</w:t>
      </w:r>
      <w:r w:rsidRPr="00915E60">
        <w:rPr>
          <w:b/>
        </w:rPr>
        <w:t xml:space="preserve"> </w:t>
      </w:r>
      <w:r>
        <w:rPr>
          <w:b/>
        </w:rPr>
        <w:t>100.0</w:t>
      </w:r>
      <w:r w:rsidRPr="00915E60">
        <w:rPr>
          <w:b/>
        </w:rPr>
        <w:t>%</w:t>
      </w:r>
      <w:r>
        <w:rPr>
          <w:b/>
        </w:rPr>
        <w:t>.</w:t>
      </w:r>
    </w:p>
    <w:p w:rsidR="00441366" w:rsidRDefault="00441366" w:rsidP="00441366">
      <w:pPr>
        <w:jc w:val="both"/>
        <w:rPr>
          <w:b/>
        </w:rPr>
      </w:pPr>
      <w:r>
        <w:rPr>
          <w:b/>
        </w:rPr>
        <w:t xml:space="preserve">Accordingly, the rates within 12 and 24 months were the same. </w:t>
      </w:r>
    </w:p>
    <w:p w:rsidR="00441366" w:rsidRPr="00B76867" w:rsidRDefault="00441366" w:rsidP="00441366">
      <w:pPr>
        <w:jc w:val="both"/>
      </w:pPr>
    </w:p>
    <w:p w:rsidR="00441366" w:rsidRPr="00567C22" w:rsidRDefault="00441366" w:rsidP="00441366">
      <w:pPr>
        <w:jc w:val="both"/>
        <w:rPr>
          <w:b/>
          <w:i/>
        </w:rPr>
      </w:pPr>
      <w:r w:rsidRPr="00567C22">
        <w:rPr>
          <w:b/>
          <w:i/>
        </w:rPr>
        <w:t>Grade 2 to 4 toxicities within 6, 12 and 24 months</w:t>
      </w:r>
    </w:p>
    <w:p w:rsidR="00441366" w:rsidRDefault="00441366" w:rsidP="00441366">
      <w:pPr>
        <w:jc w:val="both"/>
      </w:pPr>
      <w:r>
        <w:t>A total of 262 AEs of grade 2 to 4 within 6 months were reported. In 48 of 53 patients</w:t>
      </w:r>
      <w:r w:rsidR="004368C9">
        <w:t>,</w:t>
      </w:r>
      <w:r>
        <w:t xml:space="preserve"> a grade 2 to 4 AE had occurred during that time. </w:t>
      </w:r>
    </w:p>
    <w:p w:rsidR="00441366" w:rsidRDefault="00441366" w:rsidP="00441366">
      <w:pPr>
        <w:jc w:val="both"/>
      </w:pPr>
      <w:r>
        <w:t>A total of 311 AEs of grade 2 to 4 within 12 months were reported. In 49 of 52 patients</w:t>
      </w:r>
      <w:r w:rsidR="004368C9">
        <w:t>,</w:t>
      </w:r>
      <w:r>
        <w:t xml:space="preserve"> a grade 2 to 4 AE had occurred during that time. </w:t>
      </w:r>
      <w:r w:rsidRPr="0072770E">
        <w:t xml:space="preserve">One patient was excluded from the analysis due to insufficient observation time. </w:t>
      </w:r>
    </w:p>
    <w:p w:rsidR="00441366" w:rsidRDefault="00441366" w:rsidP="00441366">
      <w:pPr>
        <w:jc w:val="both"/>
      </w:pPr>
      <w:r>
        <w:t>A total of 340 AEs of grade 2 to 4 within 24 months were reported. In 49 of 50 patients</w:t>
      </w:r>
      <w:r w:rsidR="004368C9">
        <w:t>,</w:t>
      </w:r>
      <w:r>
        <w:t xml:space="preserve"> a grade 2 to 4 AE had occurred during that time. Three</w:t>
      </w:r>
      <w:r w:rsidRPr="0072770E">
        <w:t xml:space="preserve"> patient</w:t>
      </w:r>
      <w:r>
        <w:t>s were</w:t>
      </w:r>
      <w:r w:rsidRPr="0072770E">
        <w:t xml:space="preserve"> excluded from the analysis due to insufficient observation time. </w:t>
      </w:r>
    </w:p>
    <w:p w:rsidR="00441366" w:rsidRDefault="00441366" w:rsidP="00441366">
      <w:pPr>
        <w:jc w:val="both"/>
      </w:pPr>
      <w:r>
        <w:t xml:space="preserve">The rate of grade 2 to 4 toxicity within the first 6 months </w:t>
      </w:r>
      <w:r w:rsidR="004368C9">
        <w:t xml:space="preserve">was </w:t>
      </w:r>
    </w:p>
    <w:p w:rsidR="00441366" w:rsidRPr="00525CA4" w:rsidRDefault="00441366" w:rsidP="00441366">
      <w:pPr>
        <w:jc w:val="both"/>
      </w:pPr>
      <w:r>
        <w:rPr>
          <w:b/>
        </w:rPr>
        <w:t>P=48/53</w:t>
      </w:r>
      <w:r w:rsidRPr="00915E60">
        <w:rPr>
          <w:b/>
        </w:rPr>
        <w:t xml:space="preserve"> </w:t>
      </w:r>
      <w:r>
        <w:rPr>
          <w:b/>
        </w:rPr>
        <w:t>= 90.6</w:t>
      </w:r>
      <w:r w:rsidRPr="00915E60">
        <w:rPr>
          <w:b/>
        </w:rPr>
        <w:t xml:space="preserve">%, 95% confidence interval: </w:t>
      </w:r>
      <w:r>
        <w:rPr>
          <w:b/>
        </w:rPr>
        <w:t>79.3</w:t>
      </w:r>
      <w:r w:rsidRPr="00915E60">
        <w:rPr>
          <w:b/>
        </w:rPr>
        <w:t>%</w:t>
      </w:r>
      <w:r>
        <w:rPr>
          <w:b/>
        </w:rPr>
        <w:t xml:space="preserve"> to</w:t>
      </w:r>
      <w:r w:rsidRPr="00915E60">
        <w:rPr>
          <w:b/>
        </w:rPr>
        <w:t xml:space="preserve"> </w:t>
      </w:r>
      <w:r>
        <w:rPr>
          <w:b/>
        </w:rPr>
        <w:t>96.9</w:t>
      </w:r>
      <w:r w:rsidRPr="00915E60">
        <w:rPr>
          <w:b/>
        </w:rPr>
        <w:t>%</w:t>
      </w:r>
      <w:r>
        <w:rPr>
          <w:b/>
        </w:rPr>
        <w:t>.</w:t>
      </w:r>
    </w:p>
    <w:p w:rsidR="00441366" w:rsidRDefault="00441366" w:rsidP="00441366">
      <w:pPr>
        <w:jc w:val="both"/>
      </w:pPr>
      <w:r>
        <w:t xml:space="preserve">The rate of grade 2 to 4 toxicity within the first 12 months </w:t>
      </w:r>
      <w:r w:rsidR="004368C9">
        <w:t xml:space="preserve">was </w:t>
      </w:r>
    </w:p>
    <w:p w:rsidR="00441366" w:rsidRDefault="00441366" w:rsidP="00441366">
      <w:pPr>
        <w:jc w:val="both"/>
        <w:rPr>
          <w:b/>
        </w:rPr>
      </w:pPr>
      <w:r>
        <w:rPr>
          <w:b/>
        </w:rPr>
        <w:t>P=49/52</w:t>
      </w:r>
      <w:r w:rsidRPr="00915E60">
        <w:rPr>
          <w:b/>
        </w:rPr>
        <w:t xml:space="preserve"> </w:t>
      </w:r>
      <w:r>
        <w:rPr>
          <w:b/>
        </w:rPr>
        <w:t>= 94.2</w:t>
      </w:r>
      <w:r w:rsidRPr="00915E60">
        <w:rPr>
          <w:b/>
        </w:rPr>
        <w:t xml:space="preserve">%, 95% confidence interval: </w:t>
      </w:r>
      <w:r>
        <w:rPr>
          <w:b/>
        </w:rPr>
        <w:t>84.1</w:t>
      </w:r>
      <w:r w:rsidRPr="00915E60">
        <w:rPr>
          <w:b/>
        </w:rPr>
        <w:t>%</w:t>
      </w:r>
      <w:r>
        <w:rPr>
          <w:b/>
        </w:rPr>
        <w:t xml:space="preserve"> to</w:t>
      </w:r>
      <w:r w:rsidRPr="00915E60">
        <w:rPr>
          <w:b/>
        </w:rPr>
        <w:t xml:space="preserve"> </w:t>
      </w:r>
      <w:r>
        <w:rPr>
          <w:b/>
        </w:rPr>
        <w:t>98.8</w:t>
      </w:r>
      <w:r w:rsidRPr="00915E60">
        <w:rPr>
          <w:b/>
        </w:rPr>
        <w:t>%</w:t>
      </w:r>
      <w:r>
        <w:rPr>
          <w:b/>
        </w:rPr>
        <w:t>.</w:t>
      </w:r>
    </w:p>
    <w:p w:rsidR="00441366" w:rsidRDefault="00441366" w:rsidP="00441366">
      <w:pPr>
        <w:jc w:val="both"/>
      </w:pPr>
      <w:r>
        <w:t xml:space="preserve">The rate of grade 2 to 4 toxicity within the first 24 months </w:t>
      </w:r>
      <w:r w:rsidR="004368C9">
        <w:t xml:space="preserve">was </w:t>
      </w:r>
    </w:p>
    <w:p w:rsidR="00441366" w:rsidRDefault="00441366" w:rsidP="00441366">
      <w:pPr>
        <w:jc w:val="both"/>
        <w:rPr>
          <w:b/>
        </w:rPr>
      </w:pPr>
      <w:r>
        <w:rPr>
          <w:b/>
        </w:rPr>
        <w:t>P=40/50</w:t>
      </w:r>
      <w:r w:rsidRPr="00915E60">
        <w:rPr>
          <w:b/>
        </w:rPr>
        <w:t xml:space="preserve"> </w:t>
      </w:r>
      <w:r>
        <w:rPr>
          <w:b/>
        </w:rPr>
        <w:t>= 98.0</w:t>
      </w:r>
      <w:r w:rsidRPr="00915E60">
        <w:rPr>
          <w:b/>
        </w:rPr>
        <w:t xml:space="preserve">%, 95% confidence interval: </w:t>
      </w:r>
      <w:r>
        <w:rPr>
          <w:b/>
        </w:rPr>
        <w:t>89.4</w:t>
      </w:r>
      <w:r w:rsidRPr="00915E60">
        <w:rPr>
          <w:b/>
        </w:rPr>
        <w:t>%</w:t>
      </w:r>
      <w:r>
        <w:rPr>
          <w:b/>
        </w:rPr>
        <w:t xml:space="preserve"> to</w:t>
      </w:r>
      <w:r w:rsidRPr="00915E60">
        <w:rPr>
          <w:b/>
        </w:rPr>
        <w:t xml:space="preserve"> </w:t>
      </w:r>
      <w:r>
        <w:rPr>
          <w:b/>
        </w:rPr>
        <w:t>100.0</w:t>
      </w:r>
      <w:r w:rsidRPr="00915E60">
        <w:rPr>
          <w:b/>
        </w:rPr>
        <w:t>%</w:t>
      </w:r>
      <w:r>
        <w:rPr>
          <w:b/>
        </w:rPr>
        <w:t>.</w:t>
      </w:r>
    </w:p>
    <w:p w:rsidR="00441366" w:rsidRDefault="00441366" w:rsidP="00441366">
      <w:pPr>
        <w:jc w:val="both"/>
        <w:rPr>
          <w:b/>
        </w:rPr>
      </w:pPr>
    </w:p>
    <w:p w:rsidR="00441366" w:rsidRPr="00567C22" w:rsidRDefault="00441366" w:rsidP="00441366">
      <w:pPr>
        <w:jc w:val="both"/>
        <w:rPr>
          <w:b/>
          <w:i/>
        </w:rPr>
      </w:pPr>
      <w:r w:rsidRPr="00567C22">
        <w:rPr>
          <w:b/>
          <w:i/>
        </w:rPr>
        <w:t>Grade 3 and 4 toxicities within 6, 12 and 24 months</w:t>
      </w:r>
    </w:p>
    <w:p w:rsidR="00441366" w:rsidRDefault="00441366" w:rsidP="00441366">
      <w:pPr>
        <w:jc w:val="both"/>
      </w:pPr>
      <w:r>
        <w:t>A total of 84 AEs of grade 3 to 4 within 6 months were reported. In 33 of 53 patients</w:t>
      </w:r>
      <w:r w:rsidR="00961E5D">
        <w:t>,</w:t>
      </w:r>
      <w:r>
        <w:t xml:space="preserve"> a grade 3 to 4 AE had occurred during that time. </w:t>
      </w:r>
    </w:p>
    <w:p w:rsidR="00441366" w:rsidRDefault="00441366" w:rsidP="00441366">
      <w:pPr>
        <w:jc w:val="both"/>
      </w:pPr>
      <w:r>
        <w:t>A total of 101 AEs of grade 3 to 4 within 12 months were reported. In 36 of 51 patients</w:t>
      </w:r>
      <w:r w:rsidR="00961E5D">
        <w:t>,</w:t>
      </w:r>
      <w:r>
        <w:t xml:space="preserve"> a grade 3 to 4 AE had occurred during that time. Two</w:t>
      </w:r>
      <w:r w:rsidRPr="0072770E">
        <w:t xml:space="preserve"> patient</w:t>
      </w:r>
      <w:r>
        <w:t>s were</w:t>
      </w:r>
      <w:r w:rsidRPr="0072770E">
        <w:t xml:space="preserve"> excluded from the analysis due to insufficient observation time. </w:t>
      </w:r>
    </w:p>
    <w:p w:rsidR="00441366" w:rsidRDefault="00441366" w:rsidP="00441366">
      <w:pPr>
        <w:jc w:val="both"/>
      </w:pPr>
      <w:r>
        <w:t>A total of 114 AEs of grade 3 to 4 within 24 months were reported. In 37 of 46 patients</w:t>
      </w:r>
      <w:r w:rsidR="00961E5D">
        <w:t>,</w:t>
      </w:r>
      <w:r>
        <w:t xml:space="preserve"> a grade 3 to 4 AE had occurred during that time. Seven</w:t>
      </w:r>
      <w:r w:rsidRPr="0072770E">
        <w:t xml:space="preserve"> patient</w:t>
      </w:r>
      <w:r>
        <w:t>s were</w:t>
      </w:r>
      <w:r w:rsidRPr="0072770E">
        <w:t xml:space="preserve"> excluded from the analysis due to insufficient observation time. </w:t>
      </w:r>
    </w:p>
    <w:p w:rsidR="00441366" w:rsidRDefault="00441366" w:rsidP="00441366">
      <w:pPr>
        <w:jc w:val="both"/>
      </w:pPr>
      <w:r>
        <w:t xml:space="preserve">The rate of grade 3 to 4 toxicity within the first 6 months </w:t>
      </w:r>
      <w:r w:rsidR="00961E5D">
        <w:t xml:space="preserve">was </w:t>
      </w:r>
    </w:p>
    <w:p w:rsidR="00441366" w:rsidRDefault="00441366" w:rsidP="00441366">
      <w:pPr>
        <w:jc w:val="both"/>
        <w:rPr>
          <w:b/>
        </w:rPr>
      </w:pPr>
      <w:r>
        <w:rPr>
          <w:b/>
        </w:rPr>
        <w:t>P=33/53</w:t>
      </w:r>
      <w:r w:rsidRPr="00915E60">
        <w:rPr>
          <w:b/>
        </w:rPr>
        <w:t xml:space="preserve"> </w:t>
      </w:r>
      <w:r>
        <w:rPr>
          <w:b/>
        </w:rPr>
        <w:t>= 62.3</w:t>
      </w:r>
      <w:r w:rsidRPr="00915E60">
        <w:rPr>
          <w:b/>
        </w:rPr>
        <w:t xml:space="preserve">%, 95% confidence interval: </w:t>
      </w:r>
      <w:r>
        <w:rPr>
          <w:b/>
        </w:rPr>
        <w:t>47.9</w:t>
      </w:r>
      <w:r w:rsidRPr="00915E60">
        <w:rPr>
          <w:b/>
        </w:rPr>
        <w:t>%</w:t>
      </w:r>
      <w:r>
        <w:rPr>
          <w:b/>
        </w:rPr>
        <w:t xml:space="preserve"> to</w:t>
      </w:r>
      <w:r w:rsidRPr="00915E60">
        <w:rPr>
          <w:b/>
        </w:rPr>
        <w:t xml:space="preserve"> </w:t>
      </w:r>
      <w:r>
        <w:rPr>
          <w:b/>
        </w:rPr>
        <w:t>75.2</w:t>
      </w:r>
      <w:r w:rsidRPr="00915E60">
        <w:rPr>
          <w:b/>
        </w:rPr>
        <w:t>%</w:t>
      </w:r>
      <w:r>
        <w:rPr>
          <w:b/>
        </w:rPr>
        <w:t>.</w:t>
      </w:r>
    </w:p>
    <w:p w:rsidR="00441366" w:rsidRDefault="00441366" w:rsidP="00441366">
      <w:pPr>
        <w:jc w:val="both"/>
      </w:pPr>
      <w:r>
        <w:t xml:space="preserve">The rate of grade 3 to 4 toxicity within the first 12 months </w:t>
      </w:r>
      <w:r w:rsidR="00961E5D">
        <w:t xml:space="preserve">was </w:t>
      </w:r>
    </w:p>
    <w:p w:rsidR="00441366" w:rsidRDefault="00441366" w:rsidP="00441366">
      <w:pPr>
        <w:jc w:val="both"/>
        <w:rPr>
          <w:b/>
        </w:rPr>
      </w:pPr>
      <w:r>
        <w:rPr>
          <w:b/>
        </w:rPr>
        <w:t>P=36/51</w:t>
      </w:r>
      <w:r w:rsidRPr="00915E60">
        <w:rPr>
          <w:b/>
        </w:rPr>
        <w:t xml:space="preserve"> </w:t>
      </w:r>
      <w:r>
        <w:rPr>
          <w:b/>
        </w:rPr>
        <w:t>= 70.6</w:t>
      </w:r>
      <w:r w:rsidRPr="00915E60">
        <w:rPr>
          <w:b/>
        </w:rPr>
        <w:t xml:space="preserve">%, 95% confidence interval: </w:t>
      </w:r>
      <w:r>
        <w:rPr>
          <w:b/>
        </w:rPr>
        <w:t>56.2</w:t>
      </w:r>
      <w:r w:rsidRPr="00915E60">
        <w:rPr>
          <w:b/>
        </w:rPr>
        <w:t>%</w:t>
      </w:r>
      <w:r>
        <w:rPr>
          <w:b/>
        </w:rPr>
        <w:t xml:space="preserve"> to</w:t>
      </w:r>
      <w:r w:rsidRPr="00915E60">
        <w:rPr>
          <w:b/>
        </w:rPr>
        <w:t xml:space="preserve"> </w:t>
      </w:r>
      <w:r>
        <w:rPr>
          <w:b/>
        </w:rPr>
        <w:t>82.5</w:t>
      </w:r>
      <w:r w:rsidRPr="00915E60">
        <w:rPr>
          <w:b/>
        </w:rPr>
        <w:t>%</w:t>
      </w:r>
      <w:r>
        <w:rPr>
          <w:b/>
        </w:rPr>
        <w:t>.</w:t>
      </w:r>
    </w:p>
    <w:p w:rsidR="00441366" w:rsidRDefault="00441366" w:rsidP="00441366">
      <w:pPr>
        <w:jc w:val="both"/>
      </w:pPr>
      <w:r>
        <w:t xml:space="preserve">The rate of grade 3 to 4 toxicity within the first 24 months </w:t>
      </w:r>
      <w:r w:rsidR="00961E5D">
        <w:t xml:space="preserve">was </w:t>
      </w:r>
    </w:p>
    <w:p w:rsidR="00441366" w:rsidRPr="0072770E" w:rsidRDefault="00441366" w:rsidP="00441366">
      <w:pPr>
        <w:jc w:val="both"/>
        <w:rPr>
          <w:b/>
        </w:rPr>
      </w:pPr>
      <w:r>
        <w:rPr>
          <w:b/>
        </w:rPr>
        <w:t>P=37/46</w:t>
      </w:r>
      <w:r w:rsidRPr="00915E60">
        <w:rPr>
          <w:b/>
        </w:rPr>
        <w:t xml:space="preserve"> </w:t>
      </w:r>
      <w:r>
        <w:rPr>
          <w:b/>
        </w:rPr>
        <w:t>= 80.4</w:t>
      </w:r>
      <w:r w:rsidRPr="00915E60">
        <w:rPr>
          <w:b/>
        </w:rPr>
        <w:t xml:space="preserve">%, 95% confidence interval: </w:t>
      </w:r>
      <w:r>
        <w:rPr>
          <w:b/>
        </w:rPr>
        <w:t>66.1</w:t>
      </w:r>
      <w:r w:rsidRPr="00915E60">
        <w:rPr>
          <w:b/>
        </w:rPr>
        <w:t>%</w:t>
      </w:r>
      <w:r>
        <w:rPr>
          <w:b/>
        </w:rPr>
        <w:t xml:space="preserve"> to</w:t>
      </w:r>
      <w:r w:rsidRPr="00915E60">
        <w:rPr>
          <w:b/>
        </w:rPr>
        <w:t xml:space="preserve"> </w:t>
      </w:r>
      <w:r>
        <w:rPr>
          <w:b/>
        </w:rPr>
        <w:t>90.6</w:t>
      </w:r>
      <w:r w:rsidRPr="00915E60">
        <w:rPr>
          <w:b/>
        </w:rPr>
        <w:t>%</w:t>
      </w:r>
      <w:r>
        <w:rPr>
          <w:b/>
        </w:rPr>
        <w:t>.</w:t>
      </w:r>
    </w:p>
    <w:p w:rsidR="00441366" w:rsidRDefault="00441366" w:rsidP="00441366">
      <w:pPr>
        <w:jc w:val="both"/>
        <w:rPr>
          <w:b/>
          <w:sz w:val="24"/>
        </w:rPr>
      </w:pPr>
    </w:p>
    <w:p w:rsidR="00441366" w:rsidRPr="00B111A1" w:rsidRDefault="00441366" w:rsidP="00441366">
      <w:pPr>
        <w:pStyle w:val="SOPberschriftnichtnummeriert"/>
        <w:rPr>
          <w:rFonts w:asciiTheme="minorHAnsi" w:hAnsiTheme="minorHAnsi"/>
          <w:lang w:val="en-US"/>
        </w:rPr>
      </w:pPr>
      <w:r w:rsidRPr="00B111A1">
        <w:rPr>
          <w:rFonts w:asciiTheme="minorHAnsi" w:hAnsiTheme="minorHAnsi"/>
          <w:lang w:val="en-US"/>
        </w:rPr>
        <w:t>Full analysis data set:</w:t>
      </w:r>
    </w:p>
    <w:p w:rsidR="00441366" w:rsidRPr="00D353EC" w:rsidRDefault="00441366" w:rsidP="00D353EC">
      <w:pPr>
        <w:tabs>
          <w:tab w:val="left" w:pos="7604"/>
          <w:tab w:val="right" w:pos="9406"/>
        </w:tabs>
        <w:jc w:val="both"/>
      </w:pPr>
      <w:r w:rsidRPr="00FB1FB7">
        <w:t>For</w:t>
      </w:r>
      <w:r>
        <w:t xml:space="preserve"> this analysis all 57</w:t>
      </w:r>
      <w:r w:rsidRPr="00FB1FB7">
        <w:t xml:space="preserve"> patients of the </w:t>
      </w:r>
      <w:r>
        <w:t>full</w:t>
      </w:r>
      <w:r w:rsidRPr="00FB1FB7">
        <w:t xml:space="preserve"> analysis data set were included.</w:t>
      </w:r>
    </w:p>
    <w:p w:rsidR="00441366" w:rsidRPr="00567C22" w:rsidRDefault="00441366" w:rsidP="00D353EC">
      <w:pPr>
        <w:spacing w:before="240"/>
        <w:jc w:val="both"/>
        <w:rPr>
          <w:b/>
          <w:i/>
        </w:rPr>
      </w:pPr>
      <w:r w:rsidRPr="00567C22">
        <w:rPr>
          <w:b/>
          <w:i/>
        </w:rPr>
        <w:t>All grade toxicities within 6, 12 and 24 months</w:t>
      </w:r>
    </w:p>
    <w:p w:rsidR="00441366" w:rsidRDefault="00441366" w:rsidP="00441366">
      <w:pPr>
        <w:jc w:val="both"/>
      </w:pPr>
      <w:r>
        <w:t xml:space="preserve">A total of 708 AEs within 6 months were reported. In all 57 patients an AE of any grade had occurred during that time. </w:t>
      </w:r>
    </w:p>
    <w:p w:rsidR="00441366" w:rsidRDefault="00441366" w:rsidP="00441366">
      <w:pPr>
        <w:jc w:val="both"/>
      </w:pPr>
      <w:r>
        <w:t xml:space="preserve">The rate of any toxicity within the first 6 months was </w:t>
      </w:r>
    </w:p>
    <w:p w:rsidR="00441366" w:rsidRDefault="00441366" w:rsidP="00441366">
      <w:pPr>
        <w:jc w:val="both"/>
        <w:rPr>
          <w:b/>
        </w:rPr>
      </w:pPr>
      <w:r>
        <w:rPr>
          <w:b/>
        </w:rPr>
        <w:t>P=57/57</w:t>
      </w:r>
      <w:r w:rsidRPr="00915E60">
        <w:rPr>
          <w:b/>
        </w:rPr>
        <w:t xml:space="preserve"> </w:t>
      </w:r>
      <w:r>
        <w:rPr>
          <w:b/>
        </w:rPr>
        <w:t>= 100.0</w:t>
      </w:r>
      <w:r w:rsidRPr="00915E60">
        <w:rPr>
          <w:b/>
        </w:rPr>
        <w:t xml:space="preserve">%, 95% confidence interval: </w:t>
      </w:r>
      <w:r>
        <w:rPr>
          <w:b/>
        </w:rPr>
        <w:t>93.7</w:t>
      </w:r>
      <w:r w:rsidRPr="00915E60">
        <w:rPr>
          <w:b/>
        </w:rPr>
        <w:t>%</w:t>
      </w:r>
      <w:r>
        <w:rPr>
          <w:b/>
        </w:rPr>
        <w:t xml:space="preserve"> to</w:t>
      </w:r>
      <w:r w:rsidRPr="00915E60">
        <w:rPr>
          <w:b/>
        </w:rPr>
        <w:t xml:space="preserve"> </w:t>
      </w:r>
      <w:r>
        <w:rPr>
          <w:b/>
        </w:rPr>
        <w:t>100.0</w:t>
      </w:r>
      <w:r w:rsidRPr="00915E60">
        <w:rPr>
          <w:b/>
        </w:rPr>
        <w:t>%</w:t>
      </w:r>
      <w:r>
        <w:rPr>
          <w:b/>
        </w:rPr>
        <w:t>.</w:t>
      </w:r>
    </w:p>
    <w:p w:rsidR="00441366" w:rsidRDefault="00441366" w:rsidP="00441366">
      <w:pPr>
        <w:jc w:val="both"/>
        <w:rPr>
          <w:b/>
        </w:rPr>
      </w:pPr>
      <w:r>
        <w:rPr>
          <w:b/>
        </w:rPr>
        <w:t xml:space="preserve">Accordingly, the rates within 12 and 24 months were the same. </w:t>
      </w:r>
    </w:p>
    <w:p w:rsidR="00441366" w:rsidRPr="00B76867" w:rsidRDefault="00441366" w:rsidP="00441366">
      <w:pPr>
        <w:jc w:val="both"/>
      </w:pPr>
    </w:p>
    <w:p w:rsidR="00441366" w:rsidRPr="00567C22" w:rsidRDefault="00441366" w:rsidP="00441366">
      <w:pPr>
        <w:jc w:val="both"/>
        <w:rPr>
          <w:b/>
          <w:i/>
        </w:rPr>
      </w:pPr>
      <w:r w:rsidRPr="00567C22">
        <w:rPr>
          <w:b/>
          <w:i/>
        </w:rPr>
        <w:t>Grade 2 to 4 toxicities within 6, 12 and 24 months</w:t>
      </w:r>
    </w:p>
    <w:p w:rsidR="00441366" w:rsidRDefault="00441366" w:rsidP="00441366">
      <w:pPr>
        <w:jc w:val="both"/>
      </w:pPr>
      <w:r>
        <w:t>A total of 285 AEs of grade 2 to 4 within 6 months were reported. In 52 of 57 patients</w:t>
      </w:r>
      <w:r w:rsidR="00961E5D">
        <w:t>,</w:t>
      </w:r>
      <w:r>
        <w:t xml:space="preserve"> a grade 2 to 4 AE had occurred during that time. </w:t>
      </w:r>
    </w:p>
    <w:p w:rsidR="00441366" w:rsidRDefault="00441366" w:rsidP="00441366">
      <w:pPr>
        <w:jc w:val="both"/>
      </w:pPr>
      <w:r>
        <w:t>A total of 334 AEs of grade 2 to 4 within 12 months were reported. In 53 of 56 patients</w:t>
      </w:r>
      <w:r w:rsidR="00961E5D">
        <w:t>,</w:t>
      </w:r>
      <w:r>
        <w:t xml:space="preserve"> a grade 2 to 4 AE had occurred during that time. </w:t>
      </w:r>
      <w:r w:rsidRPr="0072770E">
        <w:t xml:space="preserve">One patient was excluded from the analysis due to insufficient observation time. </w:t>
      </w:r>
    </w:p>
    <w:p w:rsidR="00441366" w:rsidRDefault="00441366" w:rsidP="00441366">
      <w:pPr>
        <w:jc w:val="both"/>
      </w:pPr>
      <w:r>
        <w:t>A total of 363 AEs of grade 2 to 4 within 24 months were reported. In 53 of 54 patients</w:t>
      </w:r>
      <w:r w:rsidR="00961E5D">
        <w:t>,</w:t>
      </w:r>
      <w:r>
        <w:t xml:space="preserve"> a grade 2 to 4 AE had occurred during that time. Three</w:t>
      </w:r>
      <w:r w:rsidRPr="0072770E">
        <w:t xml:space="preserve"> patient</w:t>
      </w:r>
      <w:r>
        <w:t>s were</w:t>
      </w:r>
      <w:r w:rsidRPr="0072770E">
        <w:t xml:space="preserve"> excluded from the analysis due to insufficient observation time. </w:t>
      </w:r>
    </w:p>
    <w:p w:rsidR="00441366" w:rsidRDefault="00441366" w:rsidP="00441366">
      <w:pPr>
        <w:jc w:val="both"/>
      </w:pPr>
      <w:r>
        <w:t xml:space="preserve">The rate of grade 2 to 4 toxicity within the first 6 months </w:t>
      </w:r>
      <w:r w:rsidR="00961E5D">
        <w:t xml:space="preserve">was </w:t>
      </w:r>
    </w:p>
    <w:p w:rsidR="00441366" w:rsidRDefault="00441366" w:rsidP="00441366">
      <w:pPr>
        <w:jc w:val="both"/>
        <w:rPr>
          <w:b/>
        </w:rPr>
      </w:pPr>
      <w:r>
        <w:rPr>
          <w:b/>
        </w:rPr>
        <w:t>P=52/57</w:t>
      </w:r>
      <w:r w:rsidRPr="00915E60">
        <w:rPr>
          <w:b/>
        </w:rPr>
        <w:t xml:space="preserve"> </w:t>
      </w:r>
      <w:r>
        <w:rPr>
          <w:b/>
        </w:rPr>
        <w:t>= 91.2</w:t>
      </w:r>
      <w:r w:rsidRPr="00915E60">
        <w:rPr>
          <w:b/>
        </w:rPr>
        <w:t xml:space="preserve">%, 95% confidence interval: </w:t>
      </w:r>
      <w:r>
        <w:rPr>
          <w:b/>
        </w:rPr>
        <w:t>80.7</w:t>
      </w:r>
      <w:r w:rsidRPr="00915E60">
        <w:rPr>
          <w:b/>
        </w:rPr>
        <w:t>%</w:t>
      </w:r>
      <w:r>
        <w:rPr>
          <w:b/>
        </w:rPr>
        <w:t xml:space="preserve"> to</w:t>
      </w:r>
      <w:r w:rsidRPr="00915E60">
        <w:rPr>
          <w:b/>
        </w:rPr>
        <w:t xml:space="preserve"> </w:t>
      </w:r>
      <w:r>
        <w:rPr>
          <w:b/>
        </w:rPr>
        <w:t>97.1</w:t>
      </w:r>
      <w:r w:rsidRPr="00915E60">
        <w:rPr>
          <w:b/>
        </w:rPr>
        <w:t>%</w:t>
      </w:r>
      <w:r>
        <w:rPr>
          <w:b/>
        </w:rPr>
        <w:t>.</w:t>
      </w:r>
    </w:p>
    <w:p w:rsidR="00441366" w:rsidRDefault="00441366" w:rsidP="00441366">
      <w:pPr>
        <w:jc w:val="both"/>
      </w:pPr>
      <w:r>
        <w:t xml:space="preserve">The rate of grade 2 to 4 toxicity within the first 12 months </w:t>
      </w:r>
      <w:r w:rsidR="00961E5D">
        <w:t xml:space="preserve">was </w:t>
      </w:r>
    </w:p>
    <w:p w:rsidR="00441366" w:rsidRDefault="00441366" w:rsidP="00441366">
      <w:pPr>
        <w:jc w:val="both"/>
        <w:rPr>
          <w:b/>
        </w:rPr>
      </w:pPr>
      <w:r>
        <w:rPr>
          <w:b/>
        </w:rPr>
        <w:t>P=53/56</w:t>
      </w:r>
      <w:r w:rsidRPr="00915E60">
        <w:rPr>
          <w:b/>
        </w:rPr>
        <w:t xml:space="preserve"> </w:t>
      </w:r>
      <w:r>
        <w:rPr>
          <w:b/>
        </w:rPr>
        <w:t>= 94.6</w:t>
      </w:r>
      <w:r w:rsidRPr="00915E60">
        <w:rPr>
          <w:b/>
        </w:rPr>
        <w:t xml:space="preserve">%, 95% confidence interval: </w:t>
      </w:r>
      <w:r>
        <w:rPr>
          <w:b/>
        </w:rPr>
        <w:t>85.1</w:t>
      </w:r>
      <w:r w:rsidRPr="00915E60">
        <w:rPr>
          <w:b/>
        </w:rPr>
        <w:t>%</w:t>
      </w:r>
      <w:r>
        <w:rPr>
          <w:b/>
        </w:rPr>
        <w:t xml:space="preserve"> to</w:t>
      </w:r>
      <w:r w:rsidRPr="00915E60">
        <w:rPr>
          <w:b/>
        </w:rPr>
        <w:t xml:space="preserve"> </w:t>
      </w:r>
      <w:r>
        <w:rPr>
          <w:b/>
        </w:rPr>
        <w:t>98.9</w:t>
      </w:r>
      <w:r w:rsidRPr="00915E60">
        <w:rPr>
          <w:b/>
        </w:rPr>
        <w:t>%</w:t>
      </w:r>
      <w:r>
        <w:rPr>
          <w:b/>
        </w:rPr>
        <w:t>.</w:t>
      </w:r>
    </w:p>
    <w:p w:rsidR="00441366" w:rsidRDefault="00441366" w:rsidP="00441366">
      <w:pPr>
        <w:jc w:val="both"/>
      </w:pPr>
      <w:r>
        <w:t xml:space="preserve">The rate of grade 2 to 4 toxicity within the first 24 months </w:t>
      </w:r>
      <w:r w:rsidR="00961E5D">
        <w:t xml:space="preserve">was </w:t>
      </w:r>
    </w:p>
    <w:p w:rsidR="00441366" w:rsidRDefault="00441366" w:rsidP="00441366">
      <w:pPr>
        <w:jc w:val="both"/>
        <w:rPr>
          <w:b/>
        </w:rPr>
      </w:pPr>
      <w:r>
        <w:rPr>
          <w:b/>
        </w:rPr>
        <w:t>P=53/54</w:t>
      </w:r>
      <w:r w:rsidRPr="00915E60">
        <w:rPr>
          <w:b/>
        </w:rPr>
        <w:t xml:space="preserve"> </w:t>
      </w:r>
      <w:r>
        <w:rPr>
          <w:b/>
        </w:rPr>
        <w:t>= 98.2</w:t>
      </w:r>
      <w:r w:rsidRPr="00915E60">
        <w:rPr>
          <w:b/>
        </w:rPr>
        <w:t xml:space="preserve">%, 95% confidence interval: </w:t>
      </w:r>
      <w:r>
        <w:rPr>
          <w:b/>
        </w:rPr>
        <w:t>90.1</w:t>
      </w:r>
      <w:r w:rsidRPr="00915E60">
        <w:rPr>
          <w:b/>
        </w:rPr>
        <w:t>%</w:t>
      </w:r>
      <w:r>
        <w:rPr>
          <w:b/>
        </w:rPr>
        <w:t xml:space="preserve"> to</w:t>
      </w:r>
      <w:r w:rsidRPr="00915E60">
        <w:rPr>
          <w:b/>
        </w:rPr>
        <w:t xml:space="preserve"> </w:t>
      </w:r>
      <w:r>
        <w:rPr>
          <w:b/>
        </w:rPr>
        <w:t>100.0</w:t>
      </w:r>
      <w:r w:rsidRPr="00915E60">
        <w:rPr>
          <w:b/>
        </w:rPr>
        <w:t>%</w:t>
      </w:r>
      <w:r>
        <w:rPr>
          <w:b/>
        </w:rPr>
        <w:t>.</w:t>
      </w:r>
    </w:p>
    <w:p w:rsidR="00441366" w:rsidRDefault="00441366" w:rsidP="00441366">
      <w:pPr>
        <w:jc w:val="both"/>
        <w:rPr>
          <w:b/>
        </w:rPr>
      </w:pPr>
    </w:p>
    <w:p w:rsidR="00441366" w:rsidRPr="00567C22" w:rsidRDefault="00441366" w:rsidP="00441366">
      <w:pPr>
        <w:jc w:val="both"/>
        <w:rPr>
          <w:b/>
          <w:i/>
        </w:rPr>
      </w:pPr>
      <w:r w:rsidRPr="00567C22">
        <w:rPr>
          <w:b/>
          <w:i/>
        </w:rPr>
        <w:t>Grade 3 and 4 toxicities within 6, 12 and 24 months</w:t>
      </w:r>
    </w:p>
    <w:p w:rsidR="00441366" w:rsidRDefault="00441366" w:rsidP="00441366">
      <w:pPr>
        <w:jc w:val="both"/>
      </w:pPr>
      <w:r>
        <w:t>A total of 93 AEs of grade 3 to 4 within 6 months were reported. In 37 of 57 patients</w:t>
      </w:r>
      <w:r w:rsidR="00E8012D">
        <w:t>,</w:t>
      </w:r>
      <w:r>
        <w:t xml:space="preserve"> a grade 3 to 4 AE had occurred during that time. </w:t>
      </w:r>
    </w:p>
    <w:p w:rsidR="00441366" w:rsidRDefault="00441366" w:rsidP="00441366">
      <w:pPr>
        <w:jc w:val="both"/>
      </w:pPr>
      <w:r>
        <w:t>A total of 110 AEs of grade 3 to 4 within 12 months were reported. In 40 of 55 patients</w:t>
      </w:r>
      <w:r w:rsidR="00E8012D">
        <w:t>,</w:t>
      </w:r>
      <w:r>
        <w:t xml:space="preserve"> a grade 3 to 4 AE had occurred during that time. Two</w:t>
      </w:r>
      <w:r w:rsidRPr="0072770E">
        <w:t xml:space="preserve"> patient</w:t>
      </w:r>
      <w:r>
        <w:t>s were</w:t>
      </w:r>
      <w:r w:rsidRPr="0072770E">
        <w:t xml:space="preserve"> excluded from the analysis due to insufficient observation time. </w:t>
      </w:r>
    </w:p>
    <w:p w:rsidR="00441366" w:rsidRDefault="00441366" w:rsidP="00441366">
      <w:pPr>
        <w:jc w:val="both"/>
      </w:pPr>
      <w:r>
        <w:t>A total of 123 AEs of grade 3 to 4 within 24 months were reported. In 41 of 50 patients</w:t>
      </w:r>
      <w:r w:rsidR="00E8012D">
        <w:t>,</w:t>
      </w:r>
      <w:r>
        <w:t xml:space="preserve"> a grade 3 to 4 AE had occurred during that time. Seven</w:t>
      </w:r>
      <w:r w:rsidRPr="0072770E">
        <w:t xml:space="preserve"> patient</w:t>
      </w:r>
      <w:r>
        <w:t>s were</w:t>
      </w:r>
      <w:r w:rsidRPr="0072770E">
        <w:t xml:space="preserve"> excluded from the analysis due to insufficient observation time. </w:t>
      </w:r>
    </w:p>
    <w:p w:rsidR="00441366" w:rsidRDefault="00441366" w:rsidP="00441366">
      <w:pPr>
        <w:jc w:val="both"/>
      </w:pPr>
      <w:r>
        <w:t xml:space="preserve">The rate of grade 3 to 4 toxicity within the first 6 months </w:t>
      </w:r>
      <w:r w:rsidR="00E8012D">
        <w:t xml:space="preserve">was </w:t>
      </w:r>
    </w:p>
    <w:p w:rsidR="00441366" w:rsidRDefault="00441366" w:rsidP="00441366">
      <w:pPr>
        <w:jc w:val="both"/>
        <w:rPr>
          <w:b/>
        </w:rPr>
      </w:pPr>
      <w:r>
        <w:rPr>
          <w:b/>
        </w:rPr>
        <w:t>P=37/57</w:t>
      </w:r>
      <w:r w:rsidRPr="00915E60">
        <w:rPr>
          <w:b/>
        </w:rPr>
        <w:t xml:space="preserve"> </w:t>
      </w:r>
      <w:r>
        <w:rPr>
          <w:b/>
        </w:rPr>
        <w:t>= 64.9</w:t>
      </w:r>
      <w:r w:rsidRPr="00915E60">
        <w:rPr>
          <w:b/>
        </w:rPr>
        <w:t xml:space="preserve">%, 95% confidence interval: </w:t>
      </w:r>
      <w:r>
        <w:rPr>
          <w:b/>
        </w:rPr>
        <w:t>51.1</w:t>
      </w:r>
      <w:r w:rsidRPr="00915E60">
        <w:rPr>
          <w:b/>
        </w:rPr>
        <w:t>%</w:t>
      </w:r>
      <w:r>
        <w:rPr>
          <w:b/>
        </w:rPr>
        <w:t xml:space="preserve"> to</w:t>
      </w:r>
      <w:r w:rsidRPr="00915E60">
        <w:rPr>
          <w:b/>
        </w:rPr>
        <w:t xml:space="preserve"> </w:t>
      </w:r>
      <w:r>
        <w:rPr>
          <w:b/>
        </w:rPr>
        <w:t>77.1</w:t>
      </w:r>
      <w:r w:rsidRPr="00915E60">
        <w:rPr>
          <w:b/>
        </w:rPr>
        <w:t>%</w:t>
      </w:r>
      <w:r>
        <w:rPr>
          <w:b/>
        </w:rPr>
        <w:t>.</w:t>
      </w:r>
    </w:p>
    <w:p w:rsidR="00441366" w:rsidRDefault="00441366" w:rsidP="00441366">
      <w:pPr>
        <w:jc w:val="both"/>
      </w:pPr>
      <w:r>
        <w:t xml:space="preserve">The rate of grade 3 to 4 toxicity within the first 12 months </w:t>
      </w:r>
      <w:r w:rsidR="00E8012D">
        <w:t xml:space="preserve">was </w:t>
      </w:r>
    </w:p>
    <w:p w:rsidR="00441366" w:rsidRDefault="00441366" w:rsidP="00441366">
      <w:pPr>
        <w:jc w:val="both"/>
        <w:rPr>
          <w:b/>
        </w:rPr>
      </w:pPr>
      <w:r>
        <w:rPr>
          <w:b/>
        </w:rPr>
        <w:t>P=40/55</w:t>
      </w:r>
      <w:r w:rsidRPr="00915E60">
        <w:rPr>
          <w:b/>
        </w:rPr>
        <w:t xml:space="preserve"> </w:t>
      </w:r>
      <w:r>
        <w:rPr>
          <w:b/>
        </w:rPr>
        <w:t>= 72.7</w:t>
      </w:r>
      <w:r w:rsidRPr="00915E60">
        <w:rPr>
          <w:b/>
        </w:rPr>
        <w:t xml:space="preserve">%, 95% confidence interval: </w:t>
      </w:r>
      <w:r>
        <w:rPr>
          <w:b/>
        </w:rPr>
        <w:t>59.0</w:t>
      </w:r>
      <w:r w:rsidRPr="00915E60">
        <w:rPr>
          <w:b/>
        </w:rPr>
        <w:t>%</w:t>
      </w:r>
      <w:r>
        <w:rPr>
          <w:b/>
        </w:rPr>
        <w:t xml:space="preserve"> to</w:t>
      </w:r>
      <w:r w:rsidRPr="00915E60">
        <w:rPr>
          <w:b/>
        </w:rPr>
        <w:t xml:space="preserve"> </w:t>
      </w:r>
      <w:r>
        <w:rPr>
          <w:b/>
        </w:rPr>
        <w:t>83.9</w:t>
      </w:r>
      <w:r w:rsidRPr="00915E60">
        <w:rPr>
          <w:b/>
        </w:rPr>
        <w:t>%</w:t>
      </w:r>
      <w:r>
        <w:rPr>
          <w:b/>
        </w:rPr>
        <w:t>.</w:t>
      </w:r>
    </w:p>
    <w:p w:rsidR="00441366" w:rsidRDefault="00441366" w:rsidP="00441366">
      <w:pPr>
        <w:jc w:val="both"/>
      </w:pPr>
      <w:r>
        <w:t xml:space="preserve">The rate of grade 3 to 4 toxicity within the first 24 months </w:t>
      </w:r>
      <w:r w:rsidR="00E8012D">
        <w:t xml:space="preserve">was </w:t>
      </w:r>
    </w:p>
    <w:p w:rsidR="00441366" w:rsidRDefault="00441366" w:rsidP="00441366">
      <w:pPr>
        <w:jc w:val="both"/>
        <w:rPr>
          <w:b/>
        </w:rPr>
      </w:pPr>
      <w:r>
        <w:rPr>
          <w:b/>
        </w:rPr>
        <w:t>P=41/50</w:t>
      </w:r>
      <w:r w:rsidRPr="00915E60">
        <w:rPr>
          <w:b/>
        </w:rPr>
        <w:t xml:space="preserve"> </w:t>
      </w:r>
      <w:r>
        <w:rPr>
          <w:b/>
        </w:rPr>
        <w:t>= 82.0</w:t>
      </w:r>
      <w:r w:rsidRPr="00915E60">
        <w:rPr>
          <w:b/>
        </w:rPr>
        <w:t xml:space="preserve">%, 95% confidence interval: </w:t>
      </w:r>
      <w:r>
        <w:rPr>
          <w:b/>
        </w:rPr>
        <w:t>68.6</w:t>
      </w:r>
      <w:r w:rsidRPr="00915E60">
        <w:rPr>
          <w:b/>
        </w:rPr>
        <w:t>%</w:t>
      </w:r>
      <w:r>
        <w:rPr>
          <w:b/>
        </w:rPr>
        <w:t xml:space="preserve"> to</w:t>
      </w:r>
      <w:r w:rsidRPr="00915E60">
        <w:rPr>
          <w:b/>
        </w:rPr>
        <w:t xml:space="preserve"> </w:t>
      </w:r>
      <w:r>
        <w:rPr>
          <w:b/>
        </w:rPr>
        <w:t>91.4</w:t>
      </w:r>
      <w:r w:rsidRPr="00915E60">
        <w:rPr>
          <w:b/>
        </w:rPr>
        <w:t>%</w:t>
      </w:r>
      <w:r>
        <w:rPr>
          <w:b/>
        </w:rPr>
        <w:t>.</w:t>
      </w:r>
    </w:p>
    <w:p w:rsidR="00441366" w:rsidRDefault="00441366" w:rsidP="00441366">
      <w:pPr>
        <w:jc w:val="both"/>
        <w:rPr>
          <w:b/>
        </w:rPr>
      </w:pPr>
    </w:p>
    <w:p w:rsidR="00441366" w:rsidRPr="00B111A1" w:rsidRDefault="00441366" w:rsidP="00B111A1">
      <w:pPr>
        <w:pStyle w:val="SOPberschriftnichtnummeriert"/>
        <w:rPr>
          <w:rFonts w:asciiTheme="minorHAnsi" w:hAnsiTheme="minorHAnsi"/>
          <w:lang w:val="en-US"/>
        </w:rPr>
      </w:pPr>
      <w:r w:rsidRPr="00A22659">
        <w:rPr>
          <w:rFonts w:asciiTheme="minorHAnsi" w:hAnsiTheme="minorHAnsi"/>
          <w:lang w:val="en-US"/>
        </w:rPr>
        <w:t xml:space="preserve">Rates of grade 2 to 4 GI AEs within 12 and </w:t>
      </w:r>
      <w:r w:rsidR="00B111A1">
        <w:rPr>
          <w:rFonts w:asciiTheme="minorHAnsi" w:hAnsiTheme="minorHAnsi"/>
          <w:lang w:val="en-US"/>
        </w:rPr>
        <w:t>24 months</w:t>
      </w:r>
    </w:p>
    <w:p w:rsidR="00441366" w:rsidRDefault="00441366" w:rsidP="00441366">
      <w:pPr>
        <w:jc w:val="both"/>
      </w:pPr>
      <w:r>
        <w:t xml:space="preserve">In the </w:t>
      </w:r>
      <w:r w:rsidRPr="00E850CC">
        <w:rPr>
          <w:i/>
        </w:rPr>
        <w:t>primary analysis data set</w:t>
      </w:r>
      <w:r w:rsidR="00E8012D">
        <w:rPr>
          <w:i/>
        </w:rPr>
        <w:t>,</w:t>
      </w:r>
      <w:r>
        <w:t xml:space="preserve"> in 31 of 48 patients a grade 2 to 4 GI AE had occurred within the first 12 months. Five</w:t>
      </w:r>
      <w:r w:rsidRPr="0072770E">
        <w:t xml:space="preserve"> patient</w:t>
      </w:r>
      <w:r>
        <w:t>s were</w:t>
      </w:r>
      <w:r w:rsidRPr="0072770E">
        <w:t xml:space="preserve"> excluded from the analysis due to insufficient observation time. </w:t>
      </w:r>
    </w:p>
    <w:p w:rsidR="00441366" w:rsidRDefault="00441366" w:rsidP="00441366">
      <w:pPr>
        <w:jc w:val="both"/>
      </w:pPr>
      <w:r>
        <w:t xml:space="preserve">The rate of grade 2 to 4 GI toxicity within the first 12 months </w:t>
      </w:r>
      <w:r w:rsidR="00E8012D">
        <w:t xml:space="preserve">was </w:t>
      </w:r>
    </w:p>
    <w:p w:rsidR="00441366" w:rsidRDefault="00441366" w:rsidP="00441366">
      <w:pPr>
        <w:jc w:val="both"/>
        <w:rPr>
          <w:b/>
        </w:rPr>
      </w:pPr>
      <w:r>
        <w:rPr>
          <w:b/>
        </w:rPr>
        <w:t>P=31/48</w:t>
      </w:r>
      <w:r w:rsidRPr="00915E60">
        <w:rPr>
          <w:b/>
        </w:rPr>
        <w:t xml:space="preserve"> </w:t>
      </w:r>
      <w:r>
        <w:rPr>
          <w:b/>
        </w:rPr>
        <w:t>= 64.6</w:t>
      </w:r>
      <w:r w:rsidRPr="00915E60">
        <w:rPr>
          <w:b/>
        </w:rPr>
        <w:t xml:space="preserve">%, 95% confidence interval: </w:t>
      </w:r>
      <w:r>
        <w:rPr>
          <w:b/>
        </w:rPr>
        <w:t>49.5</w:t>
      </w:r>
      <w:r w:rsidRPr="00915E60">
        <w:rPr>
          <w:b/>
        </w:rPr>
        <w:t>%</w:t>
      </w:r>
      <w:r>
        <w:rPr>
          <w:b/>
        </w:rPr>
        <w:t xml:space="preserve"> to</w:t>
      </w:r>
      <w:r w:rsidRPr="00915E60">
        <w:rPr>
          <w:b/>
        </w:rPr>
        <w:t xml:space="preserve"> </w:t>
      </w:r>
      <w:r>
        <w:rPr>
          <w:b/>
        </w:rPr>
        <w:t>77.8</w:t>
      </w:r>
      <w:r w:rsidRPr="00915E60">
        <w:rPr>
          <w:b/>
        </w:rPr>
        <w:t>%</w:t>
      </w:r>
      <w:r>
        <w:rPr>
          <w:b/>
        </w:rPr>
        <w:t>.</w:t>
      </w:r>
    </w:p>
    <w:p w:rsidR="00441366" w:rsidRDefault="00441366" w:rsidP="00441366">
      <w:pPr>
        <w:jc w:val="both"/>
      </w:pPr>
    </w:p>
    <w:p w:rsidR="00441366" w:rsidRDefault="00441366" w:rsidP="00441366">
      <w:pPr>
        <w:jc w:val="both"/>
      </w:pPr>
      <w:r>
        <w:t xml:space="preserve">In the </w:t>
      </w:r>
      <w:r w:rsidRPr="00E850CC">
        <w:rPr>
          <w:i/>
        </w:rPr>
        <w:t>full analysis data set</w:t>
      </w:r>
      <w:r w:rsidR="00E8012D">
        <w:rPr>
          <w:i/>
        </w:rPr>
        <w:t>,</w:t>
      </w:r>
      <w:r>
        <w:t xml:space="preserve"> in 34 of 51 patients a grade 2 to 4 GI AE had occurred within the first 12 months. Six</w:t>
      </w:r>
      <w:r w:rsidRPr="0072770E">
        <w:t xml:space="preserve"> patient</w:t>
      </w:r>
      <w:r>
        <w:t>s were</w:t>
      </w:r>
      <w:r w:rsidRPr="0072770E">
        <w:t xml:space="preserve"> excluded from the analysis due to insufficient observation time. </w:t>
      </w:r>
    </w:p>
    <w:p w:rsidR="00441366" w:rsidRDefault="00441366" w:rsidP="00441366">
      <w:pPr>
        <w:jc w:val="both"/>
      </w:pPr>
      <w:r>
        <w:t xml:space="preserve">The rate of grade 2 to 4 GI toxicity within the first 12 months </w:t>
      </w:r>
      <w:r w:rsidR="00E8012D">
        <w:t xml:space="preserve">was </w:t>
      </w:r>
    </w:p>
    <w:p w:rsidR="00441366" w:rsidRDefault="00441366" w:rsidP="00441366">
      <w:pPr>
        <w:jc w:val="both"/>
        <w:rPr>
          <w:b/>
        </w:rPr>
      </w:pPr>
      <w:r>
        <w:rPr>
          <w:b/>
        </w:rPr>
        <w:t>P=34/51</w:t>
      </w:r>
      <w:r w:rsidRPr="00915E60">
        <w:rPr>
          <w:b/>
        </w:rPr>
        <w:t xml:space="preserve"> </w:t>
      </w:r>
      <w:r>
        <w:rPr>
          <w:b/>
        </w:rPr>
        <w:t>= 66.7</w:t>
      </w:r>
      <w:r w:rsidRPr="00915E60">
        <w:rPr>
          <w:b/>
        </w:rPr>
        <w:t xml:space="preserve">%, 95% confidence interval: </w:t>
      </w:r>
      <w:r>
        <w:rPr>
          <w:b/>
        </w:rPr>
        <w:t>52.1</w:t>
      </w:r>
      <w:r w:rsidRPr="00915E60">
        <w:rPr>
          <w:b/>
        </w:rPr>
        <w:t>%</w:t>
      </w:r>
      <w:r>
        <w:rPr>
          <w:b/>
        </w:rPr>
        <w:t xml:space="preserve"> to</w:t>
      </w:r>
      <w:r w:rsidRPr="00915E60">
        <w:rPr>
          <w:b/>
        </w:rPr>
        <w:t xml:space="preserve"> </w:t>
      </w:r>
      <w:r>
        <w:rPr>
          <w:b/>
        </w:rPr>
        <w:t>79.2</w:t>
      </w:r>
      <w:r w:rsidRPr="00915E60">
        <w:rPr>
          <w:b/>
        </w:rPr>
        <w:t>%</w:t>
      </w:r>
      <w:r>
        <w:rPr>
          <w:b/>
        </w:rPr>
        <w:t>.</w:t>
      </w:r>
    </w:p>
    <w:p w:rsidR="00441366" w:rsidRDefault="00441366" w:rsidP="00441366">
      <w:pPr>
        <w:jc w:val="both"/>
        <w:rPr>
          <w:rFonts w:ascii="Courier New" w:hAnsi="Courier New" w:cs="Courier New"/>
          <w:color w:val="008000"/>
          <w:sz w:val="20"/>
          <w:szCs w:val="20"/>
          <w:shd w:val="clear" w:color="auto" w:fill="FFFFFF"/>
        </w:rPr>
      </w:pPr>
    </w:p>
    <w:p w:rsidR="00441366" w:rsidRDefault="00441366" w:rsidP="00441366">
      <w:pPr>
        <w:jc w:val="both"/>
      </w:pPr>
      <w:r>
        <w:t xml:space="preserve">In the </w:t>
      </w:r>
      <w:r w:rsidRPr="00E850CC">
        <w:rPr>
          <w:i/>
        </w:rPr>
        <w:t>primary analysis data set</w:t>
      </w:r>
      <w:r w:rsidR="00E8012D">
        <w:rPr>
          <w:i/>
        </w:rPr>
        <w:t>,</w:t>
      </w:r>
      <w:r>
        <w:t xml:space="preserve"> in 31 of 43 patients a grade 2 to 4 GI AE had occurred within the first 24 months. Ten</w:t>
      </w:r>
      <w:r w:rsidRPr="0072770E">
        <w:t xml:space="preserve"> patient</w:t>
      </w:r>
      <w:r>
        <w:t>s were</w:t>
      </w:r>
      <w:r w:rsidRPr="0072770E">
        <w:t xml:space="preserve"> excluded from the analysis due to insufficient observation time. </w:t>
      </w:r>
    </w:p>
    <w:p w:rsidR="00441366" w:rsidRDefault="00441366" w:rsidP="00441366">
      <w:pPr>
        <w:jc w:val="both"/>
      </w:pPr>
      <w:r>
        <w:t xml:space="preserve">The rate of grade 2 to 4 GI toxicity within the first 24 months </w:t>
      </w:r>
      <w:r w:rsidR="00E8012D">
        <w:t xml:space="preserve">was </w:t>
      </w:r>
    </w:p>
    <w:p w:rsidR="00441366" w:rsidRDefault="00441366" w:rsidP="00441366">
      <w:pPr>
        <w:jc w:val="both"/>
        <w:rPr>
          <w:b/>
        </w:rPr>
      </w:pPr>
      <w:r>
        <w:rPr>
          <w:b/>
        </w:rPr>
        <w:t>P=31/43</w:t>
      </w:r>
      <w:r w:rsidRPr="00915E60">
        <w:rPr>
          <w:b/>
        </w:rPr>
        <w:t xml:space="preserve"> </w:t>
      </w:r>
      <w:r>
        <w:rPr>
          <w:b/>
        </w:rPr>
        <w:t>= 72.1</w:t>
      </w:r>
      <w:r w:rsidRPr="00915E60">
        <w:rPr>
          <w:b/>
        </w:rPr>
        <w:t xml:space="preserve">%, 95% confidence interval: </w:t>
      </w:r>
      <w:r>
        <w:rPr>
          <w:b/>
        </w:rPr>
        <w:t>56.3</w:t>
      </w:r>
      <w:r w:rsidRPr="00915E60">
        <w:rPr>
          <w:b/>
        </w:rPr>
        <w:t>%</w:t>
      </w:r>
      <w:r>
        <w:rPr>
          <w:b/>
        </w:rPr>
        <w:t xml:space="preserve"> to</w:t>
      </w:r>
      <w:r w:rsidRPr="00915E60">
        <w:rPr>
          <w:b/>
        </w:rPr>
        <w:t xml:space="preserve"> </w:t>
      </w:r>
      <w:r>
        <w:rPr>
          <w:b/>
        </w:rPr>
        <w:t>84.7</w:t>
      </w:r>
      <w:r w:rsidRPr="00915E60">
        <w:rPr>
          <w:b/>
        </w:rPr>
        <w:t>%</w:t>
      </w:r>
      <w:r w:rsidR="00B111A1">
        <w:rPr>
          <w:b/>
        </w:rPr>
        <w:t>.</w:t>
      </w:r>
    </w:p>
    <w:p w:rsidR="00B111A1" w:rsidRPr="00B111A1" w:rsidRDefault="00B111A1" w:rsidP="00441366">
      <w:pPr>
        <w:jc w:val="both"/>
        <w:rPr>
          <w:b/>
        </w:rPr>
      </w:pPr>
    </w:p>
    <w:p w:rsidR="00441366" w:rsidRDefault="00441366" w:rsidP="00441366">
      <w:pPr>
        <w:jc w:val="both"/>
      </w:pPr>
      <w:r>
        <w:t xml:space="preserve">In the </w:t>
      </w:r>
      <w:r w:rsidRPr="00E850CC">
        <w:rPr>
          <w:i/>
        </w:rPr>
        <w:t>full analysis data set</w:t>
      </w:r>
      <w:r w:rsidR="00E8012D">
        <w:rPr>
          <w:i/>
        </w:rPr>
        <w:t>,</w:t>
      </w:r>
      <w:r>
        <w:t xml:space="preserve"> in 34 of 46 patients a grade 2 to 4 GI AE had occurred within the first 24 months. Eleven</w:t>
      </w:r>
      <w:r w:rsidRPr="0072770E">
        <w:t xml:space="preserve"> patient</w:t>
      </w:r>
      <w:r>
        <w:t>s were</w:t>
      </w:r>
      <w:r w:rsidRPr="0072770E">
        <w:t xml:space="preserve"> excluded from the analysis due to insufficient observation time. </w:t>
      </w:r>
    </w:p>
    <w:p w:rsidR="00441366" w:rsidRDefault="00441366" w:rsidP="00441366">
      <w:pPr>
        <w:jc w:val="both"/>
      </w:pPr>
      <w:r>
        <w:t xml:space="preserve">The rate of grade 2 to 4 GI toxicity within the first 24 months </w:t>
      </w:r>
      <w:r w:rsidR="00E8012D">
        <w:t xml:space="preserve">was </w:t>
      </w:r>
    </w:p>
    <w:p w:rsidR="00441366" w:rsidRDefault="00441366" w:rsidP="00441366">
      <w:pPr>
        <w:jc w:val="both"/>
        <w:rPr>
          <w:b/>
        </w:rPr>
      </w:pPr>
      <w:r>
        <w:rPr>
          <w:b/>
        </w:rPr>
        <w:t>P=34/46</w:t>
      </w:r>
      <w:r w:rsidRPr="00915E60">
        <w:rPr>
          <w:b/>
        </w:rPr>
        <w:t xml:space="preserve"> </w:t>
      </w:r>
      <w:r>
        <w:rPr>
          <w:b/>
        </w:rPr>
        <w:t>= 73.9</w:t>
      </w:r>
      <w:r w:rsidRPr="00915E60">
        <w:rPr>
          <w:b/>
        </w:rPr>
        <w:t xml:space="preserve">%, 95% confidence interval: </w:t>
      </w:r>
      <w:r>
        <w:rPr>
          <w:b/>
        </w:rPr>
        <w:t>58.9</w:t>
      </w:r>
      <w:r w:rsidRPr="00915E60">
        <w:rPr>
          <w:b/>
        </w:rPr>
        <w:t>%</w:t>
      </w:r>
      <w:r>
        <w:rPr>
          <w:b/>
        </w:rPr>
        <w:t xml:space="preserve"> to</w:t>
      </w:r>
      <w:r w:rsidRPr="00915E60">
        <w:rPr>
          <w:b/>
        </w:rPr>
        <w:t xml:space="preserve"> </w:t>
      </w:r>
      <w:r>
        <w:rPr>
          <w:b/>
        </w:rPr>
        <w:t>85.7</w:t>
      </w:r>
      <w:r w:rsidRPr="00915E60">
        <w:rPr>
          <w:b/>
        </w:rPr>
        <w:t>%</w:t>
      </w:r>
      <w:r>
        <w:rPr>
          <w:b/>
        </w:rPr>
        <w:t>.</w:t>
      </w:r>
    </w:p>
    <w:p w:rsidR="00441366" w:rsidRPr="00FE3BE4" w:rsidRDefault="00441366" w:rsidP="00441366">
      <w:pPr>
        <w:jc w:val="both"/>
        <w:rPr>
          <w:b/>
          <w:sz w:val="24"/>
        </w:rPr>
      </w:pPr>
    </w:p>
    <w:p w:rsidR="00441366" w:rsidRPr="00A22659" w:rsidRDefault="00441366" w:rsidP="00441366">
      <w:pPr>
        <w:pStyle w:val="SOPberschriftnichtnummeriert"/>
        <w:rPr>
          <w:rFonts w:asciiTheme="minorHAnsi" w:hAnsiTheme="minorHAnsi"/>
          <w:lang w:val="en-US"/>
        </w:rPr>
      </w:pPr>
      <w:r w:rsidRPr="00A22659">
        <w:rPr>
          <w:rFonts w:asciiTheme="minorHAnsi" w:hAnsiTheme="minorHAnsi"/>
          <w:lang w:val="en-US"/>
        </w:rPr>
        <w:t>Time to event analysis of grade 2 to 4 GI AEs</w:t>
      </w:r>
    </w:p>
    <w:p w:rsidR="00441366" w:rsidRDefault="00441366" w:rsidP="00441366">
      <w:pPr>
        <w:jc w:val="both"/>
      </w:pPr>
      <w:r w:rsidRPr="002511A9">
        <w:t xml:space="preserve">The cumulative incidence of grade 2 to 4 GI toxicity </w:t>
      </w:r>
      <w:r>
        <w:t xml:space="preserve">in the </w:t>
      </w:r>
      <w:r w:rsidRPr="00E763F2">
        <w:rPr>
          <w:i/>
        </w:rPr>
        <w:t>primary analysis data set</w:t>
      </w:r>
      <w:r>
        <w:t xml:space="preserve"> </w:t>
      </w:r>
      <w:r w:rsidRPr="002511A9">
        <w:t xml:space="preserve">is </w:t>
      </w:r>
      <w:r w:rsidRPr="001246AF">
        <w:t xml:space="preserve">shown in </w:t>
      </w:r>
      <w:r w:rsidRPr="001246AF">
        <w:fldChar w:fldCharType="begin"/>
      </w:r>
      <w:r w:rsidRPr="001246AF">
        <w:instrText xml:space="preserve"> REF _Ref71790799 \h  \* MERGEFORMAT </w:instrText>
      </w:r>
      <w:r w:rsidRPr="001246AF">
        <w:fldChar w:fldCharType="separate"/>
      </w:r>
      <w:r w:rsidR="00016BBE" w:rsidRPr="00016BBE">
        <w:t xml:space="preserve">Figure </w:t>
      </w:r>
      <w:r w:rsidR="00016BBE" w:rsidRPr="00016BBE">
        <w:rPr>
          <w:noProof/>
        </w:rPr>
        <w:t>10</w:t>
      </w:r>
      <w:r w:rsidRPr="001246AF">
        <w:fldChar w:fldCharType="end"/>
      </w:r>
      <w:r w:rsidRPr="001246AF">
        <w:t>.</w:t>
      </w:r>
      <w:r>
        <w:t xml:space="preserve"> </w:t>
      </w:r>
      <w:r w:rsidRPr="003D0C70">
        <w:t>GI toxicity occurred in 31 (58.5%) of the 53 patients. Two patients (3.8%) experienced a</w:t>
      </w:r>
      <w:r>
        <w:t>n</w:t>
      </w:r>
      <w:r w:rsidRPr="003D0C70">
        <w:t xml:space="preserve"> SAE that led to discontinuation of bosutinib. These </w:t>
      </w:r>
      <w:r>
        <w:t xml:space="preserve">two </w:t>
      </w:r>
      <w:r w:rsidRPr="003D0C70">
        <w:t xml:space="preserve">events were considered </w:t>
      </w:r>
      <w:r>
        <w:t>as competing events to GI toxicity. The remaining 20</w:t>
      </w:r>
      <w:r w:rsidRPr="003D0C70">
        <w:t xml:space="preserve"> (37.7%) patients without GI toxicity and </w:t>
      </w:r>
      <w:r w:rsidR="00E8012D">
        <w:t xml:space="preserve">without </w:t>
      </w:r>
      <w:r w:rsidRPr="003D0C70">
        <w:t>competing event were censored.</w:t>
      </w:r>
    </w:p>
    <w:p w:rsidR="00441366" w:rsidRDefault="00441366" w:rsidP="00441366"/>
    <w:p w:rsidR="00441366" w:rsidRDefault="00441366" w:rsidP="00441366">
      <w:pPr>
        <w:keepNext/>
      </w:pPr>
      <w:r>
        <w:rPr>
          <w:noProof/>
          <w:lang w:val="de-DE" w:eastAsia="de-DE"/>
        </w:rPr>
        <w:drawing>
          <wp:inline distT="0" distB="0" distL="0" distR="0" wp14:anchorId="756024D3" wp14:editId="0471A67F">
            <wp:extent cx="4320000" cy="3021795"/>
            <wp:effectExtent l="0" t="0" r="4445" b="7620"/>
            <wp:docPr id="7" name="Grafik 7" descr="C:\Users\manz\CLINAREA\uni-bonn\bodo\docs\Bodo-TMF\I_Studienordner\6_Statistik\6_3_Projekte\6_3_12_Endauswertung\Ergebnisse\time_to_GI_AE_primar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nz\CLINAREA\uni-bonn\bodo\docs\Bodo-TMF\I_Studienordner\6_Statistik\6_3_Projekte\6_3_12_Endauswertung\Ergebnisse\time_to_GI_AE_primary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02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366" w:rsidRPr="001246AF" w:rsidRDefault="00441366" w:rsidP="00441366">
      <w:pPr>
        <w:pStyle w:val="Beschriftung"/>
        <w:rPr>
          <w:b w:val="0"/>
          <w:color w:val="auto"/>
          <w:sz w:val="20"/>
          <w:szCs w:val="20"/>
        </w:rPr>
      </w:pPr>
      <w:bookmarkStart w:id="0" w:name="_Ref71790799"/>
      <w:r w:rsidRPr="001246AF">
        <w:rPr>
          <w:b w:val="0"/>
          <w:color w:val="auto"/>
          <w:sz w:val="20"/>
          <w:szCs w:val="20"/>
        </w:rPr>
        <w:t xml:space="preserve">Figure </w:t>
      </w:r>
      <w:r w:rsidRPr="001246AF">
        <w:rPr>
          <w:b w:val="0"/>
          <w:color w:val="auto"/>
          <w:sz w:val="20"/>
          <w:szCs w:val="20"/>
        </w:rPr>
        <w:fldChar w:fldCharType="begin"/>
      </w:r>
      <w:r w:rsidRPr="001246AF">
        <w:rPr>
          <w:b w:val="0"/>
          <w:color w:val="auto"/>
          <w:sz w:val="20"/>
          <w:szCs w:val="20"/>
        </w:rPr>
        <w:instrText xml:space="preserve"> SEQ Figure \* ARABIC </w:instrText>
      </w:r>
      <w:r w:rsidRPr="001246AF">
        <w:rPr>
          <w:b w:val="0"/>
          <w:color w:val="auto"/>
          <w:sz w:val="20"/>
          <w:szCs w:val="20"/>
        </w:rPr>
        <w:fldChar w:fldCharType="separate"/>
      </w:r>
      <w:r w:rsidR="00016BBE">
        <w:rPr>
          <w:b w:val="0"/>
          <w:noProof/>
          <w:color w:val="auto"/>
          <w:sz w:val="20"/>
          <w:szCs w:val="20"/>
        </w:rPr>
        <w:t>10</w:t>
      </w:r>
      <w:r w:rsidRPr="001246AF">
        <w:rPr>
          <w:b w:val="0"/>
          <w:color w:val="auto"/>
          <w:sz w:val="20"/>
          <w:szCs w:val="20"/>
        </w:rPr>
        <w:fldChar w:fldCharType="end"/>
      </w:r>
      <w:bookmarkEnd w:id="0"/>
      <w:r w:rsidRPr="001246AF">
        <w:rPr>
          <w:b w:val="0"/>
          <w:color w:val="auto"/>
          <w:sz w:val="20"/>
          <w:szCs w:val="20"/>
        </w:rPr>
        <w:t xml:space="preserve">: Cumulative incidence of grade 2 to 4 gastrointestinal (GI) toxicity in </w:t>
      </w:r>
      <w:r w:rsidR="00E8012D">
        <w:rPr>
          <w:b w:val="0"/>
          <w:color w:val="auto"/>
          <w:sz w:val="20"/>
          <w:szCs w:val="20"/>
        </w:rPr>
        <w:t xml:space="preserve">the </w:t>
      </w:r>
      <w:r w:rsidRPr="001246AF">
        <w:rPr>
          <w:b w:val="0"/>
          <w:color w:val="auto"/>
          <w:sz w:val="20"/>
          <w:szCs w:val="20"/>
        </w:rPr>
        <w:t>primary analysis data set (n=53).</w:t>
      </w:r>
    </w:p>
    <w:p w:rsidR="00B632C1" w:rsidRDefault="00B632C1" w:rsidP="00441366"/>
    <w:p w:rsidR="00441366" w:rsidRPr="00BE20B8" w:rsidRDefault="00441366" w:rsidP="00441366">
      <w:r w:rsidRPr="00BE20B8">
        <w:t xml:space="preserve">The corresponding probabilities of </w:t>
      </w:r>
      <w:r>
        <w:t xml:space="preserve">grade 2 to 4 </w:t>
      </w:r>
      <w:r w:rsidRPr="00BE20B8">
        <w:t>GI toxici</w:t>
      </w:r>
      <w:r>
        <w:t xml:space="preserve">ty </w:t>
      </w:r>
      <w:r w:rsidR="00E8012D">
        <w:t>were</w:t>
      </w:r>
    </w:p>
    <w:p w:rsidR="00441366" w:rsidRDefault="00441366" w:rsidP="00441366">
      <w:pPr>
        <w:jc w:val="both"/>
        <w:rPr>
          <w:b/>
        </w:rPr>
      </w:pPr>
      <w:r>
        <w:rPr>
          <w:b/>
        </w:rPr>
        <w:t>57.1%, 95% confidence interval: 42.6</w:t>
      </w:r>
      <w:r w:rsidRPr="00BE20B8">
        <w:rPr>
          <w:b/>
        </w:rPr>
        <w:t>% to 6</w:t>
      </w:r>
      <w:r>
        <w:rPr>
          <w:b/>
        </w:rPr>
        <w:t>9.2</w:t>
      </w:r>
      <w:r w:rsidRPr="00BE20B8">
        <w:rPr>
          <w:b/>
        </w:rPr>
        <w:t xml:space="preserve">% </w:t>
      </w:r>
      <w:r w:rsidRPr="00BE20B8">
        <w:t>at 6 months and</w:t>
      </w:r>
      <w:r w:rsidRPr="00BE20B8">
        <w:rPr>
          <w:b/>
        </w:rPr>
        <w:t xml:space="preserve"> </w:t>
      </w:r>
    </w:p>
    <w:p w:rsidR="00441366" w:rsidRPr="00BE20B8" w:rsidRDefault="00441366" w:rsidP="00441366">
      <w:pPr>
        <w:jc w:val="both"/>
        <w:rPr>
          <w:b/>
        </w:rPr>
      </w:pPr>
      <w:r>
        <w:rPr>
          <w:b/>
        </w:rPr>
        <w:t>59.3</w:t>
      </w:r>
      <w:r w:rsidRPr="00BE20B8">
        <w:rPr>
          <w:b/>
        </w:rPr>
        <w:t>%, 95% confidence interval: 4</w:t>
      </w:r>
      <w:r>
        <w:rPr>
          <w:b/>
        </w:rPr>
        <w:t>4.7% to 71.4</w:t>
      </w:r>
      <w:r w:rsidRPr="00BE20B8">
        <w:rPr>
          <w:b/>
        </w:rPr>
        <w:t xml:space="preserve">% </w:t>
      </w:r>
      <w:r w:rsidRPr="00BE20B8">
        <w:t>at 12 and 24 months.</w:t>
      </w:r>
    </w:p>
    <w:p w:rsidR="00B111A1" w:rsidRDefault="00B111A1" w:rsidP="00441366">
      <w:pPr>
        <w:jc w:val="both"/>
        <w:rPr>
          <w:sz w:val="24"/>
        </w:rPr>
      </w:pPr>
    </w:p>
    <w:p w:rsidR="00441366" w:rsidRDefault="00441366" w:rsidP="00441366">
      <w:pPr>
        <w:jc w:val="both"/>
      </w:pPr>
      <w:r w:rsidRPr="002511A9">
        <w:t xml:space="preserve">The cumulative incidence of grade 2 to 4 GI toxicity </w:t>
      </w:r>
      <w:r>
        <w:t xml:space="preserve">in the </w:t>
      </w:r>
      <w:r w:rsidRPr="00E763F2">
        <w:rPr>
          <w:i/>
        </w:rPr>
        <w:t>full analysis data set</w:t>
      </w:r>
      <w:r>
        <w:t xml:space="preserve"> </w:t>
      </w:r>
      <w:r w:rsidRPr="002511A9">
        <w:t xml:space="preserve">is shown in </w:t>
      </w:r>
      <w:r w:rsidRPr="00390E6B">
        <w:fldChar w:fldCharType="begin"/>
      </w:r>
      <w:r w:rsidRPr="00390E6B">
        <w:instrText xml:space="preserve"> REF _Ref71790178 \h  \* MERGEFORMAT </w:instrText>
      </w:r>
      <w:r w:rsidRPr="00390E6B">
        <w:fldChar w:fldCharType="separate"/>
      </w:r>
      <w:r w:rsidR="00016BBE" w:rsidRPr="00016BBE">
        <w:t xml:space="preserve">Figure </w:t>
      </w:r>
      <w:r w:rsidR="00016BBE" w:rsidRPr="00016BBE">
        <w:rPr>
          <w:noProof/>
        </w:rPr>
        <w:t>11</w:t>
      </w:r>
      <w:r w:rsidRPr="00390E6B">
        <w:fldChar w:fldCharType="end"/>
      </w:r>
      <w:r>
        <w:t>. GI toxicity occurred in 34 (59.6%) of the 57 patients. Two patients (3.5</w:t>
      </w:r>
      <w:r w:rsidRPr="003D0C70">
        <w:t>%) experienced a</w:t>
      </w:r>
      <w:r>
        <w:t>n</w:t>
      </w:r>
      <w:r w:rsidRPr="003D0C70">
        <w:t xml:space="preserve"> SAE that led to discontinuation of bosutinib. These </w:t>
      </w:r>
      <w:r>
        <w:t xml:space="preserve">two </w:t>
      </w:r>
      <w:r w:rsidRPr="003D0C70">
        <w:t xml:space="preserve">events were considered </w:t>
      </w:r>
      <w:r>
        <w:t>as competing events to</w:t>
      </w:r>
      <w:r w:rsidRPr="003D0C70">
        <w:t xml:space="preserve"> G</w:t>
      </w:r>
      <w:r>
        <w:t>I toxicity. The remaining 21 (36.8</w:t>
      </w:r>
      <w:r w:rsidRPr="003D0C70">
        <w:t xml:space="preserve">%) patients without GI toxicity and </w:t>
      </w:r>
      <w:r w:rsidR="00E8012D">
        <w:t xml:space="preserve">without </w:t>
      </w:r>
      <w:r w:rsidRPr="003D0C70">
        <w:t>competing event were censored.</w:t>
      </w:r>
    </w:p>
    <w:p w:rsidR="00441366" w:rsidRDefault="00441366" w:rsidP="00441366">
      <w:pPr>
        <w:jc w:val="both"/>
      </w:pPr>
    </w:p>
    <w:p w:rsidR="00441366" w:rsidRDefault="00441366" w:rsidP="00441366">
      <w:pPr>
        <w:keepNext/>
      </w:pPr>
      <w:r>
        <w:rPr>
          <w:rFonts w:ascii="Courier New" w:hAnsi="Courier New" w:cs="Courier New"/>
          <w:noProof/>
          <w:color w:val="0000FF"/>
          <w:sz w:val="20"/>
          <w:szCs w:val="20"/>
          <w:shd w:val="clear" w:color="auto" w:fill="FFFFFF"/>
          <w:lang w:val="de-DE" w:eastAsia="de-DE"/>
        </w:rPr>
        <w:drawing>
          <wp:inline distT="0" distB="0" distL="0" distR="0" wp14:anchorId="170D02B9" wp14:editId="692E299A">
            <wp:extent cx="4320000" cy="3021795"/>
            <wp:effectExtent l="0" t="0" r="4445" b="7620"/>
            <wp:docPr id="6" name="Grafik 6" descr="C:\Users\manz\CLINAREA\uni-bonn\bodo\docs\Bodo-TMF\I_Studienordner\6_Statistik\6_3_Projekte\6_3_12_Endauswertung\Ergebnisse\time_to_GI_AE_fu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nz\CLINAREA\uni-bonn\bodo\docs\Bodo-TMF\I_Studienordner\6_Statistik\6_3_Projekte\6_3_12_Endauswertung\Ergebnisse\time_to_GI_AE_full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02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366" w:rsidRPr="00390E6B" w:rsidRDefault="00441366" w:rsidP="00441366">
      <w:pPr>
        <w:pStyle w:val="Beschriftung"/>
        <w:rPr>
          <w:b w:val="0"/>
          <w:color w:val="auto"/>
          <w:sz w:val="20"/>
        </w:rPr>
      </w:pPr>
      <w:bookmarkStart w:id="1" w:name="_Ref71790178"/>
      <w:r w:rsidRPr="00390E6B">
        <w:rPr>
          <w:b w:val="0"/>
          <w:color w:val="auto"/>
          <w:sz w:val="20"/>
        </w:rPr>
        <w:t xml:space="preserve">Figure </w:t>
      </w:r>
      <w:r w:rsidRPr="00390E6B">
        <w:rPr>
          <w:b w:val="0"/>
          <w:color w:val="auto"/>
          <w:sz w:val="20"/>
        </w:rPr>
        <w:fldChar w:fldCharType="begin"/>
      </w:r>
      <w:r w:rsidRPr="00390E6B">
        <w:rPr>
          <w:b w:val="0"/>
          <w:color w:val="auto"/>
          <w:sz w:val="20"/>
        </w:rPr>
        <w:instrText xml:space="preserve"> SEQ Figure \* ARABIC </w:instrText>
      </w:r>
      <w:r w:rsidRPr="00390E6B">
        <w:rPr>
          <w:b w:val="0"/>
          <w:color w:val="auto"/>
          <w:sz w:val="20"/>
        </w:rPr>
        <w:fldChar w:fldCharType="separate"/>
      </w:r>
      <w:r w:rsidR="00016BBE">
        <w:rPr>
          <w:b w:val="0"/>
          <w:noProof/>
          <w:color w:val="auto"/>
          <w:sz w:val="20"/>
        </w:rPr>
        <w:t>11</w:t>
      </w:r>
      <w:r w:rsidRPr="00390E6B">
        <w:rPr>
          <w:b w:val="0"/>
          <w:color w:val="auto"/>
          <w:sz w:val="20"/>
        </w:rPr>
        <w:fldChar w:fldCharType="end"/>
      </w:r>
      <w:bookmarkEnd w:id="1"/>
      <w:r w:rsidRPr="00390E6B">
        <w:rPr>
          <w:b w:val="0"/>
          <w:color w:val="auto"/>
          <w:sz w:val="20"/>
        </w:rPr>
        <w:t xml:space="preserve">: Cumulative incidence of grade 2 to 4 gastrointestinal (GI) toxicity in </w:t>
      </w:r>
      <w:r w:rsidR="00E8012D">
        <w:rPr>
          <w:b w:val="0"/>
          <w:color w:val="auto"/>
          <w:sz w:val="20"/>
        </w:rPr>
        <w:t xml:space="preserve">the </w:t>
      </w:r>
      <w:r w:rsidRPr="00390E6B">
        <w:rPr>
          <w:b w:val="0"/>
          <w:color w:val="auto"/>
          <w:sz w:val="20"/>
        </w:rPr>
        <w:t xml:space="preserve">full analysis data set (n=57). </w:t>
      </w:r>
    </w:p>
    <w:p w:rsidR="00441366" w:rsidRDefault="00441366" w:rsidP="00441366">
      <w:pPr>
        <w:rPr>
          <w:sz w:val="24"/>
        </w:rPr>
      </w:pPr>
    </w:p>
    <w:p w:rsidR="00441366" w:rsidRPr="00BE20B8" w:rsidRDefault="00441366" w:rsidP="00441366">
      <w:r w:rsidRPr="00BE20B8">
        <w:t xml:space="preserve">The corresponding probabilities of </w:t>
      </w:r>
      <w:r>
        <w:t xml:space="preserve">grade 2 to 4 </w:t>
      </w:r>
      <w:r w:rsidRPr="00BE20B8">
        <w:t>GI toxici</w:t>
      </w:r>
      <w:r>
        <w:t xml:space="preserve">ty </w:t>
      </w:r>
      <w:r w:rsidR="00E8012D">
        <w:t>were</w:t>
      </w:r>
    </w:p>
    <w:p w:rsidR="00441366" w:rsidRDefault="00441366" w:rsidP="00B84E20">
      <w:pPr>
        <w:spacing w:before="240"/>
        <w:jc w:val="both"/>
        <w:rPr>
          <w:b/>
        </w:rPr>
      </w:pPr>
      <w:r>
        <w:rPr>
          <w:b/>
        </w:rPr>
        <w:t>59.2%, 95% confidence interval: 45.1% to 70.8</w:t>
      </w:r>
      <w:r w:rsidRPr="00BE20B8">
        <w:rPr>
          <w:b/>
        </w:rPr>
        <w:t xml:space="preserve">% </w:t>
      </w:r>
      <w:r w:rsidRPr="00BE20B8">
        <w:t>at 6 months and</w:t>
      </w:r>
      <w:r w:rsidRPr="00BE20B8">
        <w:rPr>
          <w:b/>
        </w:rPr>
        <w:t xml:space="preserve"> </w:t>
      </w:r>
    </w:p>
    <w:p w:rsidR="00441366" w:rsidRPr="00B84E20" w:rsidRDefault="00441366" w:rsidP="00B84E20">
      <w:pPr>
        <w:jc w:val="both"/>
        <w:rPr>
          <w:b/>
        </w:rPr>
      </w:pPr>
      <w:r>
        <w:rPr>
          <w:b/>
        </w:rPr>
        <w:t>61.4</w:t>
      </w:r>
      <w:r w:rsidRPr="00BE20B8">
        <w:rPr>
          <w:b/>
        </w:rPr>
        <w:t>%, 95% confidence interval: 4</w:t>
      </w:r>
      <w:r>
        <w:rPr>
          <w:b/>
        </w:rPr>
        <w:t>7.1% to 72.9</w:t>
      </w:r>
      <w:r w:rsidRPr="00BE20B8">
        <w:rPr>
          <w:b/>
        </w:rPr>
        <w:t xml:space="preserve">% </w:t>
      </w:r>
      <w:r w:rsidRPr="00BE20B8">
        <w:t>at 12 and 24 months.</w:t>
      </w:r>
    </w:p>
    <w:p w:rsidR="00441366" w:rsidRPr="00B86E16" w:rsidRDefault="00441366" w:rsidP="00B84E20">
      <w:pPr>
        <w:spacing w:before="240"/>
        <w:jc w:val="both"/>
      </w:pPr>
      <w:r w:rsidRPr="00B86E16">
        <w:t>Additional time-to-event analyses in the full analysis data set were performed for AEs of any grade, AEs of grade 2 to 4, AEs of grade 3 to 4</w:t>
      </w:r>
      <w:r w:rsidR="00920148">
        <w:t>,</w:t>
      </w:r>
      <w:r>
        <w:t xml:space="preserve"> and for SAEs</w:t>
      </w:r>
      <w:r w:rsidRPr="00B86E16">
        <w:t xml:space="preserve">. The same definitions as above apply to the times and types of events. </w:t>
      </w:r>
    </w:p>
    <w:p w:rsidR="00441366" w:rsidRPr="00B86E16" w:rsidRDefault="00441366" w:rsidP="00441366">
      <w:pPr>
        <w:rPr>
          <w:sz w:val="24"/>
        </w:rPr>
      </w:pPr>
    </w:p>
    <w:p w:rsidR="00441366" w:rsidRPr="00B86E16" w:rsidRDefault="00441366" w:rsidP="00441366">
      <w:pPr>
        <w:rPr>
          <w:i/>
        </w:rPr>
      </w:pPr>
      <w:r w:rsidRPr="00B86E16">
        <w:rPr>
          <w:i/>
        </w:rPr>
        <w:t>Cumulative incidence of AEs of any grade</w:t>
      </w:r>
    </w:p>
    <w:p w:rsidR="00441366" w:rsidRDefault="00441366" w:rsidP="00441366">
      <w:pPr>
        <w:jc w:val="both"/>
      </w:pPr>
      <w:r w:rsidRPr="002511A9">
        <w:t xml:space="preserve">The cumulative incidence of </w:t>
      </w:r>
      <w:r>
        <w:t xml:space="preserve">any </w:t>
      </w:r>
      <w:r w:rsidRPr="002511A9">
        <w:t xml:space="preserve">toxicity </w:t>
      </w:r>
      <w:r>
        <w:t xml:space="preserve">in the </w:t>
      </w:r>
      <w:r w:rsidRPr="00E763F2">
        <w:rPr>
          <w:i/>
        </w:rPr>
        <w:t xml:space="preserve">full analysis data </w:t>
      </w:r>
      <w:r w:rsidRPr="001246AF">
        <w:rPr>
          <w:i/>
        </w:rPr>
        <w:t>set</w:t>
      </w:r>
      <w:r w:rsidRPr="001246AF">
        <w:t xml:space="preserve"> is shown in </w:t>
      </w:r>
      <w:r w:rsidRPr="001246AF">
        <w:fldChar w:fldCharType="begin"/>
      </w:r>
      <w:r w:rsidRPr="001246AF">
        <w:instrText xml:space="preserve"> REF _Ref71791033 \h  \* MERGEFORMAT </w:instrText>
      </w:r>
      <w:r w:rsidRPr="001246AF">
        <w:fldChar w:fldCharType="separate"/>
      </w:r>
      <w:r w:rsidR="00016BBE" w:rsidRPr="00016BBE">
        <w:t xml:space="preserve">Figure </w:t>
      </w:r>
      <w:r w:rsidR="00016BBE" w:rsidRPr="00016BBE">
        <w:rPr>
          <w:noProof/>
        </w:rPr>
        <w:t>12</w:t>
      </w:r>
      <w:r w:rsidRPr="001246AF">
        <w:fldChar w:fldCharType="end"/>
      </w:r>
      <w:r w:rsidRPr="001246AF">
        <w:t xml:space="preserve">. </w:t>
      </w:r>
      <w:r>
        <w:t xml:space="preserve">In all 57 (100%) patients an AE was reported as first event. </w:t>
      </w:r>
    </w:p>
    <w:p w:rsidR="00441366" w:rsidRDefault="00441366" w:rsidP="00441366">
      <w:pPr>
        <w:jc w:val="both"/>
      </w:pPr>
    </w:p>
    <w:p w:rsidR="00441366" w:rsidRDefault="00441366" w:rsidP="00441366">
      <w:pPr>
        <w:keepNext/>
      </w:pPr>
      <w:r>
        <w:rPr>
          <w:noProof/>
          <w:lang w:val="de-DE" w:eastAsia="de-DE"/>
        </w:rPr>
        <w:drawing>
          <wp:inline distT="0" distB="0" distL="0" distR="0" wp14:anchorId="2AFEF434" wp14:editId="11EB4104">
            <wp:extent cx="4320000" cy="3021795"/>
            <wp:effectExtent l="0" t="0" r="4445" b="7620"/>
            <wp:docPr id="8" name="Grafik 8" descr="C:\Users\manz\CLINAREA\uni-bonn\bodo\docs\Bodo-TMF\I_Studienordner\6_Statistik\6_3_Projekte\6_3_12_Endauswertung\Ergebnisse\time_to_any_AE_fu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nz\CLINAREA\uni-bonn\bodo\docs\Bodo-TMF\I_Studienordner\6_Statistik\6_3_Projekte\6_3_12_Endauswertung\Ergebnisse\time_to_any_AE_full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02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366" w:rsidRDefault="00441366" w:rsidP="00441366">
      <w:pPr>
        <w:pStyle w:val="Beschriftung"/>
      </w:pPr>
      <w:bookmarkStart w:id="2" w:name="_Ref71791033"/>
      <w:r w:rsidRPr="001246AF">
        <w:rPr>
          <w:b w:val="0"/>
          <w:color w:val="auto"/>
          <w:sz w:val="20"/>
          <w:szCs w:val="20"/>
        </w:rPr>
        <w:t xml:space="preserve">Figure </w:t>
      </w:r>
      <w:r w:rsidRPr="001246AF">
        <w:rPr>
          <w:b w:val="0"/>
          <w:color w:val="auto"/>
          <w:sz w:val="20"/>
          <w:szCs w:val="20"/>
        </w:rPr>
        <w:fldChar w:fldCharType="begin"/>
      </w:r>
      <w:r w:rsidRPr="001246AF">
        <w:rPr>
          <w:b w:val="0"/>
          <w:color w:val="auto"/>
          <w:sz w:val="20"/>
          <w:szCs w:val="20"/>
        </w:rPr>
        <w:instrText xml:space="preserve"> SEQ Figure \* ARABIC </w:instrText>
      </w:r>
      <w:r w:rsidRPr="001246AF">
        <w:rPr>
          <w:b w:val="0"/>
          <w:color w:val="auto"/>
          <w:sz w:val="20"/>
          <w:szCs w:val="20"/>
        </w:rPr>
        <w:fldChar w:fldCharType="separate"/>
      </w:r>
      <w:r w:rsidR="00016BBE">
        <w:rPr>
          <w:b w:val="0"/>
          <w:noProof/>
          <w:color w:val="auto"/>
          <w:sz w:val="20"/>
          <w:szCs w:val="20"/>
        </w:rPr>
        <w:t>12</w:t>
      </w:r>
      <w:r w:rsidRPr="001246AF">
        <w:rPr>
          <w:b w:val="0"/>
          <w:color w:val="auto"/>
          <w:sz w:val="20"/>
          <w:szCs w:val="20"/>
        </w:rPr>
        <w:fldChar w:fldCharType="end"/>
      </w:r>
      <w:bookmarkEnd w:id="2"/>
      <w:r w:rsidRPr="001246AF">
        <w:rPr>
          <w:b w:val="0"/>
          <w:color w:val="auto"/>
          <w:sz w:val="20"/>
          <w:szCs w:val="20"/>
        </w:rPr>
        <w:t>: Cumulative incidence</w:t>
      </w:r>
      <w:r w:rsidRPr="001246AF">
        <w:rPr>
          <w:b w:val="0"/>
          <w:color w:val="auto"/>
          <w:sz w:val="20"/>
        </w:rPr>
        <w:t xml:space="preserve"> </w:t>
      </w:r>
      <w:r w:rsidRPr="00390E6B">
        <w:rPr>
          <w:b w:val="0"/>
          <w:color w:val="auto"/>
          <w:sz w:val="20"/>
        </w:rPr>
        <w:t xml:space="preserve">of </w:t>
      </w:r>
      <w:r>
        <w:rPr>
          <w:b w:val="0"/>
          <w:color w:val="auto"/>
          <w:sz w:val="20"/>
        </w:rPr>
        <w:t xml:space="preserve">any </w:t>
      </w:r>
      <w:r w:rsidRPr="00390E6B">
        <w:rPr>
          <w:b w:val="0"/>
          <w:color w:val="auto"/>
          <w:sz w:val="20"/>
        </w:rPr>
        <w:t xml:space="preserve">toxicity in </w:t>
      </w:r>
      <w:r w:rsidR="00E8012D">
        <w:rPr>
          <w:b w:val="0"/>
          <w:color w:val="auto"/>
          <w:sz w:val="20"/>
        </w:rPr>
        <w:t xml:space="preserve">the </w:t>
      </w:r>
      <w:r w:rsidRPr="00390E6B">
        <w:rPr>
          <w:b w:val="0"/>
          <w:color w:val="auto"/>
          <w:sz w:val="20"/>
        </w:rPr>
        <w:t>full analysis data set (n=57).</w:t>
      </w:r>
    </w:p>
    <w:p w:rsidR="00441366" w:rsidRDefault="00441366" w:rsidP="00441366"/>
    <w:p w:rsidR="00441366" w:rsidRPr="00BE20B8" w:rsidRDefault="00441366" w:rsidP="00441366">
      <w:r w:rsidRPr="00BE20B8">
        <w:t xml:space="preserve">The corresponding probabilities of </w:t>
      </w:r>
      <w:r>
        <w:t>any</w:t>
      </w:r>
      <w:r w:rsidRPr="00BE20B8">
        <w:t xml:space="preserve"> toxici</w:t>
      </w:r>
      <w:r>
        <w:t xml:space="preserve">ty </w:t>
      </w:r>
      <w:r w:rsidR="00E8012D">
        <w:t>were</w:t>
      </w:r>
    </w:p>
    <w:p w:rsidR="00441366" w:rsidRDefault="00441366" w:rsidP="00B84E20">
      <w:pPr>
        <w:spacing w:before="240"/>
        <w:jc w:val="both"/>
      </w:pPr>
      <w:r>
        <w:rPr>
          <w:b/>
        </w:rPr>
        <w:t>87.7%, 95% confidence interval: 76.0% to 93.9</w:t>
      </w:r>
      <w:r w:rsidRPr="00BE20B8">
        <w:rPr>
          <w:b/>
        </w:rPr>
        <w:t xml:space="preserve">% </w:t>
      </w:r>
      <w:r>
        <w:t>at 1 month,</w:t>
      </w:r>
      <w:r w:rsidRPr="00BE20B8">
        <w:t xml:space="preserve"> </w:t>
      </w:r>
    </w:p>
    <w:p w:rsidR="00441366" w:rsidRDefault="00441366" w:rsidP="00441366">
      <w:pPr>
        <w:jc w:val="both"/>
        <w:rPr>
          <w:b/>
        </w:rPr>
      </w:pPr>
      <w:r>
        <w:rPr>
          <w:b/>
        </w:rPr>
        <w:t>94.7%, 95% confidence interval: 84.6% to 98.3</w:t>
      </w:r>
      <w:r w:rsidRPr="00BE20B8">
        <w:rPr>
          <w:b/>
        </w:rPr>
        <w:t xml:space="preserve">% </w:t>
      </w:r>
      <w:r>
        <w:t>at 2 months and</w:t>
      </w:r>
    </w:p>
    <w:p w:rsidR="00441366" w:rsidRPr="00BE20B8" w:rsidRDefault="00441366" w:rsidP="00441366">
      <w:pPr>
        <w:jc w:val="both"/>
        <w:rPr>
          <w:b/>
        </w:rPr>
      </w:pPr>
      <w:r>
        <w:rPr>
          <w:b/>
        </w:rPr>
        <w:t>98.2%, 95% confidence interval: 88.2% to 99.8</w:t>
      </w:r>
      <w:r w:rsidRPr="00BE20B8">
        <w:rPr>
          <w:b/>
        </w:rPr>
        <w:t xml:space="preserve">% </w:t>
      </w:r>
      <w:r>
        <w:t>at 3 months</w:t>
      </w:r>
      <w:r w:rsidRPr="00BE20B8">
        <w:t>.</w:t>
      </w:r>
    </w:p>
    <w:p w:rsidR="00441366" w:rsidRDefault="00441366" w:rsidP="00441366"/>
    <w:p w:rsidR="00441366" w:rsidRPr="00B86E16" w:rsidRDefault="00441366" w:rsidP="00441366">
      <w:pPr>
        <w:rPr>
          <w:i/>
        </w:rPr>
      </w:pPr>
      <w:r w:rsidRPr="00B86E16">
        <w:rPr>
          <w:i/>
        </w:rPr>
        <w:t>Cumulative incidence of AEs of grade 2 to 4</w:t>
      </w:r>
    </w:p>
    <w:p w:rsidR="00441366" w:rsidRDefault="00441366" w:rsidP="00441366">
      <w:pPr>
        <w:jc w:val="both"/>
      </w:pPr>
      <w:r w:rsidRPr="002511A9">
        <w:t>The cumulat</w:t>
      </w:r>
      <w:r>
        <w:t>ive incidence of grade 2 to 4</w:t>
      </w:r>
      <w:r w:rsidRPr="002511A9">
        <w:t xml:space="preserve"> toxicity </w:t>
      </w:r>
      <w:r>
        <w:t xml:space="preserve">in the </w:t>
      </w:r>
      <w:r w:rsidRPr="00E763F2">
        <w:rPr>
          <w:i/>
        </w:rPr>
        <w:t>full analysis data set</w:t>
      </w:r>
      <w:r>
        <w:t xml:space="preserve"> </w:t>
      </w:r>
      <w:r w:rsidRPr="002511A9">
        <w:t xml:space="preserve">is </w:t>
      </w:r>
      <w:r w:rsidRPr="00E0218B">
        <w:t xml:space="preserve">shown in </w:t>
      </w:r>
      <w:r w:rsidRPr="00E0218B">
        <w:fldChar w:fldCharType="begin"/>
      </w:r>
      <w:r w:rsidRPr="00E0218B">
        <w:instrText xml:space="preserve"> REF _Ref71792025 \h  \* MERGEFORMAT </w:instrText>
      </w:r>
      <w:r w:rsidRPr="00E0218B">
        <w:fldChar w:fldCharType="separate"/>
      </w:r>
      <w:r w:rsidR="00016BBE" w:rsidRPr="00016BBE">
        <w:t xml:space="preserve">Figure </w:t>
      </w:r>
      <w:r w:rsidR="00016BBE" w:rsidRPr="00016BBE">
        <w:rPr>
          <w:noProof/>
        </w:rPr>
        <w:t>13</w:t>
      </w:r>
      <w:r w:rsidRPr="00E0218B">
        <w:fldChar w:fldCharType="end"/>
      </w:r>
      <w:r w:rsidRPr="00E0218B">
        <w:t xml:space="preserve">. </w:t>
      </w:r>
      <w:r>
        <w:t>Grade 2 to 4 toxicity occurred in 53 (93.0%) of the 57 patients. Four (7.0%) patients without grade 2 to 4</w:t>
      </w:r>
      <w:r w:rsidRPr="003D0C70">
        <w:t xml:space="preserve"> toxicity and </w:t>
      </w:r>
      <w:r w:rsidR="00E8012D">
        <w:t xml:space="preserve">without </w:t>
      </w:r>
      <w:r w:rsidRPr="003D0C70">
        <w:t>competing event were censored.</w:t>
      </w:r>
    </w:p>
    <w:p w:rsidR="00441366" w:rsidRPr="00441366" w:rsidRDefault="00441366" w:rsidP="00441366">
      <w:pPr>
        <w:jc w:val="both"/>
      </w:pPr>
    </w:p>
    <w:p w:rsidR="00441366" w:rsidRDefault="00441366" w:rsidP="00441366">
      <w:pPr>
        <w:keepNext/>
      </w:pPr>
      <w:r>
        <w:rPr>
          <w:noProof/>
          <w:sz w:val="24"/>
          <w:lang w:val="de-DE" w:eastAsia="de-DE"/>
        </w:rPr>
        <w:drawing>
          <wp:inline distT="0" distB="0" distL="0" distR="0" wp14:anchorId="0929ECEE" wp14:editId="28731BF6">
            <wp:extent cx="4680000" cy="3273611"/>
            <wp:effectExtent l="0" t="0" r="6350" b="3175"/>
            <wp:docPr id="9" name="Grafik 9" descr="C:\Users\manz\CLINAREA\uni-bonn\bodo\docs\Bodo-TMF\I_Studienordner\6_Statistik\6_3_Projekte\6_3_12_Endauswertung\Ergebnisse\time_to_AE_2to4_fu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nz\CLINAREA\uni-bonn\bodo\docs\Bodo-TMF\I_Studienordner\6_Statistik\6_3_Projekte\6_3_12_Endauswertung\Ergebnisse\time_to_AE_2to4_full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3273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366" w:rsidRPr="00390E6B" w:rsidRDefault="00441366" w:rsidP="00441366">
      <w:pPr>
        <w:pStyle w:val="Beschriftung"/>
        <w:rPr>
          <w:b w:val="0"/>
          <w:color w:val="auto"/>
          <w:sz w:val="20"/>
        </w:rPr>
      </w:pPr>
      <w:bookmarkStart w:id="3" w:name="_Ref71792025"/>
      <w:r w:rsidRPr="00E0218B">
        <w:rPr>
          <w:b w:val="0"/>
          <w:color w:val="auto"/>
          <w:sz w:val="20"/>
          <w:szCs w:val="20"/>
        </w:rPr>
        <w:t xml:space="preserve">Figure </w:t>
      </w:r>
      <w:r w:rsidRPr="00E0218B">
        <w:rPr>
          <w:b w:val="0"/>
          <w:color w:val="auto"/>
          <w:sz w:val="20"/>
          <w:szCs w:val="20"/>
        </w:rPr>
        <w:fldChar w:fldCharType="begin"/>
      </w:r>
      <w:r w:rsidRPr="00E0218B">
        <w:rPr>
          <w:b w:val="0"/>
          <w:color w:val="auto"/>
          <w:sz w:val="20"/>
          <w:szCs w:val="20"/>
        </w:rPr>
        <w:instrText xml:space="preserve"> SEQ Figure \* ARABIC </w:instrText>
      </w:r>
      <w:r w:rsidRPr="00E0218B">
        <w:rPr>
          <w:b w:val="0"/>
          <w:color w:val="auto"/>
          <w:sz w:val="20"/>
          <w:szCs w:val="20"/>
        </w:rPr>
        <w:fldChar w:fldCharType="separate"/>
      </w:r>
      <w:r w:rsidR="00016BBE">
        <w:rPr>
          <w:b w:val="0"/>
          <w:noProof/>
          <w:color w:val="auto"/>
          <w:sz w:val="20"/>
          <w:szCs w:val="20"/>
        </w:rPr>
        <w:t>13</w:t>
      </w:r>
      <w:r w:rsidRPr="00E0218B">
        <w:rPr>
          <w:b w:val="0"/>
          <w:color w:val="auto"/>
          <w:sz w:val="20"/>
          <w:szCs w:val="20"/>
        </w:rPr>
        <w:fldChar w:fldCharType="end"/>
      </w:r>
      <w:bookmarkEnd w:id="3"/>
      <w:r w:rsidRPr="00E0218B">
        <w:rPr>
          <w:b w:val="0"/>
          <w:color w:val="auto"/>
          <w:sz w:val="20"/>
          <w:szCs w:val="20"/>
        </w:rPr>
        <w:t>: Cumulative</w:t>
      </w:r>
      <w:r w:rsidRPr="00E0218B">
        <w:rPr>
          <w:b w:val="0"/>
          <w:color w:val="auto"/>
          <w:sz w:val="20"/>
        </w:rPr>
        <w:t xml:space="preserve"> </w:t>
      </w:r>
      <w:r w:rsidRPr="00390E6B">
        <w:rPr>
          <w:b w:val="0"/>
          <w:color w:val="auto"/>
          <w:sz w:val="20"/>
        </w:rPr>
        <w:t xml:space="preserve">incidence of grade 2 to 4 toxicity in </w:t>
      </w:r>
      <w:r w:rsidR="00E8012D">
        <w:rPr>
          <w:b w:val="0"/>
          <w:color w:val="auto"/>
          <w:sz w:val="20"/>
        </w:rPr>
        <w:t xml:space="preserve">the </w:t>
      </w:r>
      <w:r w:rsidRPr="00390E6B">
        <w:rPr>
          <w:b w:val="0"/>
          <w:color w:val="auto"/>
          <w:sz w:val="20"/>
        </w:rPr>
        <w:t xml:space="preserve">full analysis data set (n=57). </w:t>
      </w:r>
    </w:p>
    <w:p w:rsidR="00441366" w:rsidRDefault="00441366" w:rsidP="00441366">
      <w:pPr>
        <w:pStyle w:val="Beschriftung"/>
        <w:rPr>
          <w:sz w:val="24"/>
        </w:rPr>
      </w:pPr>
    </w:p>
    <w:p w:rsidR="00441366" w:rsidRPr="00BE20B8" w:rsidRDefault="00441366" w:rsidP="00441366">
      <w:r w:rsidRPr="00BE20B8">
        <w:t xml:space="preserve">The corresponding probabilities of </w:t>
      </w:r>
      <w:r>
        <w:t>grade 2 to 4</w:t>
      </w:r>
      <w:r w:rsidRPr="00BE20B8">
        <w:t xml:space="preserve"> toxici</w:t>
      </w:r>
      <w:r>
        <w:t xml:space="preserve">ty </w:t>
      </w:r>
      <w:r w:rsidR="00E8012D">
        <w:t>were</w:t>
      </w:r>
    </w:p>
    <w:p w:rsidR="00441366" w:rsidRDefault="00441366" w:rsidP="00441366">
      <w:pPr>
        <w:jc w:val="both"/>
      </w:pPr>
      <w:r>
        <w:rPr>
          <w:b/>
        </w:rPr>
        <w:t>89.5%, 95% confidence interval: 78.1% to 95.1</w:t>
      </w:r>
      <w:r w:rsidRPr="00BE20B8">
        <w:rPr>
          <w:b/>
        </w:rPr>
        <w:t xml:space="preserve">% </w:t>
      </w:r>
      <w:r>
        <w:t>at 3 months,</w:t>
      </w:r>
      <w:r w:rsidRPr="00BE20B8">
        <w:t xml:space="preserve"> </w:t>
      </w:r>
    </w:p>
    <w:p w:rsidR="00441366" w:rsidRDefault="00441366" w:rsidP="00441366">
      <w:pPr>
        <w:jc w:val="both"/>
        <w:rPr>
          <w:b/>
        </w:rPr>
      </w:pPr>
      <w:r>
        <w:rPr>
          <w:b/>
        </w:rPr>
        <w:t>89.5%, 95% confidence interval: 78.1% to 95.1</w:t>
      </w:r>
      <w:r w:rsidRPr="00BE20B8">
        <w:rPr>
          <w:b/>
        </w:rPr>
        <w:t xml:space="preserve">% </w:t>
      </w:r>
      <w:r>
        <w:t>at 6 months and</w:t>
      </w:r>
    </w:p>
    <w:p w:rsidR="00441366" w:rsidRPr="00BE20B8" w:rsidRDefault="00441366" w:rsidP="00441366">
      <w:pPr>
        <w:jc w:val="both"/>
        <w:rPr>
          <w:b/>
        </w:rPr>
      </w:pPr>
      <w:r>
        <w:rPr>
          <w:b/>
        </w:rPr>
        <w:t>94.4%, 95% confidence interval: 82.2% to 98.3</w:t>
      </w:r>
      <w:r w:rsidRPr="00BE20B8">
        <w:rPr>
          <w:b/>
        </w:rPr>
        <w:t xml:space="preserve">% </w:t>
      </w:r>
      <w:r>
        <w:t>at 12 months</w:t>
      </w:r>
      <w:r w:rsidRPr="00BE20B8">
        <w:t>.</w:t>
      </w:r>
    </w:p>
    <w:p w:rsidR="00441366" w:rsidRDefault="00441366" w:rsidP="00441366">
      <w:pPr>
        <w:rPr>
          <w:sz w:val="24"/>
        </w:rPr>
      </w:pPr>
    </w:p>
    <w:p w:rsidR="00441366" w:rsidRPr="00B86E16" w:rsidRDefault="00441366" w:rsidP="00441366">
      <w:pPr>
        <w:rPr>
          <w:i/>
        </w:rPr>
      </w:pPr>
      <w:r w:rsidRPr="00B86E16">
        <w:rPr>
          <w:i/>
        </w:rPr>
        <w:t>Cumulative incidence of AEs of grade 3 to 4</w:t>
      </w:r>
    </w:p>
    <w:p w:rsidR="00441366" w:rsidRDefault="00441366" w:rsidP="00441366">
      <w:pPr>
        <w:jc w:val="both"/>
      </w:pPr>
      <w:r w:rsidRPr="002511A9">
        <w:t>The cumulat</w:t>
      </w:r>
      <w:r>
        <w:t>ive incidence of grade 3 to 4</w:t>
      </w:r>
      <w:r w:rsidRPr="002511A9">
        <w:t xml:space="preserve"> toxicity </w:t>
      </w:r>
      <w:r>
        <w:t xml:space="preserve">in the </w:t>
      </w:r>
      <w:r w:rsidRPr="00E763F2">
        <w:rPr>
          <w:i/>
        </w:rPr>
        <w:t>full analysis data set</w:t>
      </w:r>
      <w:r>
        <w:t xml:space="preserve"> </w:t>
      </w:r>
      <w:r w:rsidRPr="002511A9">
        <w:t xml:space="preserve">is </w:t>
      </w:r>
      <w:r w:rsidRPr="00E0218B">
        <w:t xml:space="preserve">shown in </w:t>
      </w:r>
      <w:r w:rsidRPr="00E0218B">
        <w:fldChar w:fldCharType="begin"/>
      </w:r>
      <w:r w:rsidRPr="00E0218B">
        <w:instrText xml:space="preserve"> REF _Ref71792445 \h  \* MERGEFORMAT </w:instrText>
      </w:r>
      <w:r w:rsidRPr="00E0218B">
        <w:fldChar w:fldCharType="separate"/>
      </w:r>
      <w:r w:rsidR="00016BBE" w:rsidRPr="00016BBE">
        <w:t xml:space="preserve">Figure </w:t>
      </w:r>
      <w:r w:rsidR="00016BBE" w:rsidRPr="00016BBE">
        <w:rPr>
          <w:noProof/>
        </w:rPr>
        <w:t>14</w:t>
      </w:r>
      <w:r w:rsidRPr="00E0218B">
        <w:fldChar w:fldCharType="end"/>
      </w:r>
      <w:r w:rsidRPr="00E0218B">
        <w:t xml:space="preserve">. </w:t>
      </w:r>
      <w:r>
        <w:t>Grade 3 to 4 toxicity occurred in 41 (71.9%) of the 57 patients. Sixteen (28.1%) patients without grade 3 to 4</w:t>
      </w:r>
      <w:r w:rsidRPr="003D0C70">
        <w:t xml:space="preserve"> toxicity and </w:t>
      </w:r>
      <w:r w:rsidR="00B065DD">
        <w:t xml:space="preserve">without </w:t>
      </w:r>
      <w:r w:rsidRPr="003D0C70">
        <w:t>competing event were censored.</w:t>
      </w:r>
    </w:p>
    <w:p w:rsidR="00441366" w:rsidRDefault="00441366" w:rsidP="00441366">
      <w:pPr>
        <w:jc w:val="both"/>
      </w:pPr>
    </w:p>
    <w:p w:rsidR="00441366" w:rsidRDefault="00441366" w:rsidP="00441366">
      <w:pPr>
        <w:rPr>
          <w:sz w:val="24"/>
        </w:rPr>
      </w:pPr>
    </w:p>
    <w:p w:rsidR="00441366" w:rsidRDefault="00441366" w:rsidP="00441366">
      <w:pPr>
        <w:keepNext/>
      </w:pPr>
      <w:r>
        <w:rPr>
          <w:noProof/>
          <w:sz w:val="24"/>
          <w:lang w:val="de-DE" w:eastAsia="de-DE"/>
        </w:rPr>
        <w:drawing>
          <wp:inline distT="0" distB="0" distL="0" distR="0" wp14:anchorId="63047A5E" wp14:editId="3DD7455C">
            <wp:extent cx="4320000" cy="3021795"/>
            <wp:effectExtent l="0" t="0" r="4445" b="7620"/>
            <wp:docPr id="10" name="Grafik 10" descr="C:\Users\manz\CLINAREA\uni-bonn\bodo\docs\Bodo-TMF\I_Studienordner\6_Statistik\6_3_Projekte\6_3_12_Endauswertung\Ergebnisse\time_to_AE_3to4_fu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nz\CLINAREA\uni-bonn\bodo\docs\Bodo-TMF\I_Studienordner\6_Statistik\6_3_Projekte\6_3_12_Endauswertung\Ergebnisse\time_to_AE_3to4_full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02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366" w:rsidRDefault="00441366" w:rsidP="00441366">
      <w:pPr>
        <w:pStyle w:val="Beschriftung"/>
        <w:rPr>
          <w:sz w:val="24"/>
        </w:rPr>
      </w:pPr>
      <w:bookmarkStart w:id="4" w:name="_Ref71792445"/>
      <w:r w:rsidRPr="00E0218B">
        <w:rPr>
          <w:b w:val="0"/>
          <w:color w:val="auto"/>
          <w:sz w:val="20"/>
          <w:szCs w:val="20"/>
        </w:rPr>
        <w:t xml:space="preserve">Figure </w:t>
      </w:r>
      <w:r w:rsidRPr="00E0218B">
        <w:rPr>
          <w:b w:val="0"/>
          <w:color w:val="auto"/>
          <w:sz w:val="20"/>
          <w:szCs w:val="20"/>
        </w:rPr>
        <w:fldChar w:fldCharType="begin"/>
      </w:r>
      <w:r w:rsidRPr="00E0218B">
        <w:rPr>
          <w:b w:val="0"/>
          <w:color w:val="auto"/>
          <w:sz w:val="20"/>
          <w:szCs w:val="20"/>
        </w:rPr>
        <w:instrText xml:space="preserve"> SEQ Figure \* ARABIC </w:instrText>
      </w:r>
      <w:r w:rsidRPr="00E0218B">
        <w:rPr>
          <w:b w:val="0"/>
          <w:color w:val="auto"/>
          <w:sz w:val="20"/>
          <w:szCs w:val="20"/>
        </w:rPr>
        <w:fldChar w:fldCharType="separate"/>
      </w:r>
      <w:r w:rsidR="00016BBE">
        <w:rPr>
          <w:b w:val="0"/>
          <w:noProof/>
          <w:color w:val="auto"/>
          <w:sz w:val="20"/>
          <w:szCs w:val="20"/>
        </w:rPr>
        <w:t>14</w:t>
      </w:r>
      <w:r w:rsidRPr="00E0218B">
        <w:rPr>
          <w:b w:val="0"/>
          <w:color w:val="auto"/>
          <w:sz w:val="20"/>
          <w:szCs w:val="20"/>
        </w:rPr>
        <w:fldChar w:fldCharType="end"/>
      </w:r>
      <w:bookmarkEnd w:id="4"/>
      <w:r w:rsidRPr="00E0218B">
        <w:rPr>
          <w:b w:val="0"/>
          <w:color w:val="auto"/>
          <w:sz w:val="20"/>
          <w:szCs w:val="20"/>
        </w:rPr>
        <w:t>: Cumulative incidence</w:t>
      </w:r>
      <w:r w:rsidRPr="00E0218B">
        <w:rPr>
          <w:b w:val="0"/>
          <w:color w:val="auto"/>
          <w:sz w:val="20"/>
        </w:rPr>
        <w:t xml:space="preserve"> </w:t>
      </w:r>
      <w:r>
        <w:rPr>
          <w:b w:val="0"/>
          <w:color w:val="auto"/>
          <w:sz w:val="20"/>
        </w:rPr>
        <w:t>of grade 3</w:t>
      </w:r>
      <w:r w:rsidRPr="00390E6B">
        <w:rPr>
          <w:b w:val="0"/>
          <w:color w:val="auto"/>
          <w:sz w:val="20"/>
        </w:rPr>
        <w:t xml:space="preserve"> to 4 toxicity in </w:t>
      </w:r>
      <w:r w:rsidR="00B065DD">
        <w:rPr>
          <w:b w:val="0"/>
          <w:color w:val="auto"/>
          <w:sz w:val="20"/>
        </w:rPr>
        <w:t xml:space="preserve">the </w:t>
      </w:r>
      <w:r w:rsidRPr="00390E6B">
        <w:rPr>
          <w:b w:val="0"/>
          <w:color w:val="auto"/>
          <w:sz w:val="20"/>
        </w:rPr>
        <w:t>full analysis data set (n=57).</w:t>
      </w:r>
    </w:p>
    <w:p w:rsidR="00441366" w:rsidRDefault="00441366" w:rsidP="00441366">
      <w:pPr>
        <w:rPr>
          <w:sz w:val="24"/>
        </w:rPr>
      </w:pPr>
    </w:p>
    <w:p w:rsidR="00441366" w:rsidRPr="00BE20B8" w:rsidRDefault="00441366" w:rsidP="00441366">
      <w:r w:rsidRPr="00BE20B8">
        <w:t xml:space="preserve">The corresponding probabilities of </w:t>
      </w:r>
      <w:r>
        <w:t>grade 3 to 4</w:t>
      </w:r>
      <w:r w:rsidRPr="00BE20B8">
        <w:t xml:space="preserve"> toxici</w:t>
      </w:r>
      <w:r>
        <w:t xml:space="preserve">ty </w:t>
      </w:r>
      <w:r w:rsidR="00C85B11">
        <w:t>we</w:t>
      </w:r>
      <w:r>
        <w:t>re</w:t>
      </w:r>
    </w:p>
    <w:p w:rsidR="00441366" w:rsidRDefault="00441366" w:rsidP="00B84E20">
      <w:pPr>
        <w:spacing w:before="240"/>
        <w:jc w:val="both"/>
      </w:pPr>
      <w:r>
        <w:rPr>
          <w:b/>
        </w:rPr>
        <w:t>54.4%, 95% confidence interval: 40.7% to 66.2</w:t>
      </w:r>
      <w:r w:rsidRPr="00BE20B8">
        <w:rPr>
          <w:b/>
        </w:rPr>
        <w:t xml:space="preserve">% </w:t>
      </w:r>
      <w:r>
        <w:t>at 3 months,</w:t>
      </w:r>
      <w:r w:rsidRPr="00BE20B8">
        <w:t xml:space="preserve"> </w:t>
      </w:r>
    </w:p>
    <w:p w:rsidR="00441366" w:rsidRDefault="00441366" w:rsidP="00441366">
      <w:pPr>
        <w:jc w:val="both"/>
        <w:rPr>
          <w:b/>
        </w:rPr>
      </w:pPr>
      <w:r>
        <w:rPr>
          <w:b/>
        </w:rPr>
        <w:t>61.4%, 95% confidence interval: 47.5% to 72.6</w:t>
      </w:r>
      <w:r w:rsidRPr="00BE20B8">
        <w:rPr>
          <w:b/>
        </w:rPr>
        <w:t xml:space="preserve">% </w:t>
      </w:r>
      <w:r>
        <w:t>at 6 months,</w:t>
      </w:r>
    </w:p>
    <w:p w:rsidR="00441366" w:rsidRPr="00BE20B8" w:rsidRDefault="00441366" w:rsidP="00441366">
      <w:pPr>
        <w:jc w:val="both"/>
        <w:rPr>
          <w:b/>
        </w:rPr>
      </w:pPr>
      <w:r>
        <w:rPr>
          <w:b/>
        </w:rPr>
        <w:t>68.8%, 95% confidence interval: 54.9% to 79.1</w:t>
      </w:r>
      <w:r w:rsidRPr="00BE20B8">
        <w:rPr>
          <w:b/>
        </w:rPr>
        <w:t xml:space="preserve">% </w:t>
      </w:r>
      <w:r>
        <w:t>at 12 months and</w:t>
      </w:r>
    </w:p>
    <w:p w:rsidR="00441366" w:rsidRPr="00BE20B8" w:rsidRDefault="00441366" w:rsidP="00441366">
      <w:pPr>
        <w:jc w:val="both"/>
        <w:rPr>
          <w:b/>
        </w:rPr>
      </w:pPr>
      <w:r>
        <w:rPr>
          <w:b/>
        </w:rPr>
        <w:t>75.7%, 95% confidence interval: 59.9% to 84.9</w:t>
      </w:r>
      <w:r w:rsidRPr="00BE20B8">
        <w:rPr>
          <w:b/>
        </w:rPr>
        <w:t xml:space="preserve">% </w:t>
      </w:r>
      <w:r>
        <w:t>at 24 months</w:t>
      </w:r>
      <w:r w:rsidRPr="00BE20B8">
        <w:t>.</w:t>
      </w:r>
    </w:p>
    <w:p w:rsidR="00441366" w:rsidRDefault="00441366" w:rsidP="00441366">
      <w:pPr>
        <w:rPr>
          <w:sz w:val="24"/>
        </w:rPr>
      </w:pPr>
    </w:p>
    <w:p w:rsidR="00441366" w:rsidRDefault="00441366" w:rsidP="00441366">
      <w:pPr>
        <w:rPr>
          <w:i/>
        </w:rPr>
      </w:pPr>
      <w:r w:rsidRPr="00B86E16">
        <w:rPr>
          <w:i/>
        </w:rPr>
        <w:t xml:space="preserve">Cumulative incidence of </w:t>
      </w:r>
      <w:r>
        <w:rPr>
          <w:i/>
        </w:rPr>
        <w:t>S</w:t>
      </w:r>
      <w:r w:rsidRPr="00B86E16">
        <w:rPr>
          <w:i/>
        </w:rPr>
        <w:t xml:space="preserve">AEs </w:t>
      </w:r>
    </w:p>
    <w:p w:rsidR="00441366" w:rsidRDefault="00441366" w:rsidP="00441366">
      <w:pPr>
        <w:jc w:val="both"/>
      </w:pPr>
      <w:r w:rsidRPr="002511A9">
        <w:t>The cumulat</w:t>
      </w:r>
      <w:r>
        <w:t>ive incidence of SAEs</w:t>
      </w:r>
      <w:r w:rsidRPr="002511A9">
        <w:t xml:space="preserve"> </w:t>
      </w:r>
      <w:r>
        <w:t xml:space="preserve">in the </w:t>
      </w:r>
      <w:r w:rsidRPr="00E763F2">
        <w:rPr>
          <w:i/>
        </w:rPr>
        <w:t>full analysis data set</w:t>
      </w:r>
      <w:r>
        <w:t xml:space="preserve"> </w:t>
      </w:r>
      <w:r w:rsidRPr="002511A9">
        <w:t xml:space="preserve">is </w:t>
      </w:r>
      <w:r w:rsidRPr="009D16F7">
        <w:t xml:space="preserve">shown in </w:t>
      </w:r>
      <w:r w:rsidRPr="009D16F7">
        <w:fldChar w:fldCharType="begin"/>
      </w:r>
      <w:r w:rsidRPr="009D16F7">
        <w:instrText xml:space="preserve"> REF _Ref71792869 \h  \* MERGEFORMAT </w:instrText>
      </w:r>
      <w:r w:rsidRPr="009D16F7">
        <w:fldChar w:fldCharType="separate"/>
      </w:r>
      <w:r w:rsidR="00016BBE" w:rsidRPr="00016BBE">
        <w:t xml:space="preserve">Figure </w:t>
      </w:r>
      <w:r w:rsidR="00016BBE" w:rsidRPr="00016BBE">
        <w:rPr>
          <w:noProof/>
        </w:rPr>
        <w:t>15</w:t>
      </w:r>
      <w:r w:rsidRPr="009D16F7">
        <w:fldChar w:fldCharType="end"/>
      </w:r>
      <w:r w:rsidRPr="009D16F7">
        <w:t xml:space="preserve">. </w:t>
      </w:r>
      <w:r>
        <w:t>SAE occurred in 16 (28.1%) of the 57 patients. Forty-one (71.9%) patients without SAE</w:t>
      </w:r>
      <w:r w:rsidRPr="003D0C70">
        <w:t xml:space="preserve"> and competing event were censored.</w:t>
      </w:r>
    </w:p>
    <w:p w:rsidR="00441366" w:rsidRDefault="00441366" w:rsidP="00441366">
      <w:pPr>
        <w:jc w:val="both"/>
      </w:pPr>
    </w:p>
    <w:p w:rsidR="00441366" w:rsidRPr="009D16F7" w:rsidRDefault="00441366" w:rsidP="00441366"/>
    <w:p w:rsidR="00441366" w:rsidRDefault="00441366" w:rsidP="00441366">
      <w:pPr>
        <w:keepNext/>
      </w:pPr>
      <w:r>
        <w:rPr>
          <w:noProof/>
          <w:lang w:val="de-DE" w:eastAsia="de-DE"/>
        </w:rPr>
        <w:drawing>
          <wp:inline distT="0" distB="0" distL="0" distR="0" wp14:anchorId="068CB2C4" wp14:editId="5EB2C299">
            <wp:extent cx="4320000" cy="3021795"/>
            <wp:effectExtent l="0" t="0" r="4445" b="7620"/>
            <wp:docPr id="11" name="Grafik 11" descr="C:\Users\manz\CLINAREA\uni-bonn\bodo\docs\Bodo-TMF\I_Studienordner\6_Statistik\6_3_Projekte\6_3_12_Endauswertung\Ergebnisse\time_to_SAE_fu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nz\CLINAREA\uni-bonn\bodo\docs\Bodo-TMF\I_Studienordner\6_Statistik\6_3_Projekte\6_3_12_Endauswertung\Ergebnisse\time_to_SAE_full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02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366" w:rsidRPr="009D16F7" w:rsidRDefault="00441366" w:rsidP="00441366">
      <w:pPr>
        <w:pStyle w:val="Beschriftung"/>
      </w:pPr>
      <w:bookmarkStart w:id="5" w:name="_Ref71792869"/>
      <w:r w:rsidRPr="009D16F7">
        <w:rPr>
          <w:b w:val="0"/>
          <w:color w:val="auto"/>
          <w:sz w:val="20"/>
          <w:szCs w:val="20"/>
        </w:rPr>
        <w:t xml:space="preserve">Figure </w:t>
      </w:r>
      <w:r w:rsidRPr="009D16F7">
        <w:rPr>
          <w:b w:val="0"/>
          <w:color w:val="auto"/>
          <w:sz w:val="20"/>
          <w:szCs w:val="20"/>
        </w:rPr>
        <w:fldChar w:fldCharType="begin"/>
      </w:r>
      <w:r w:rsidRPr="009D16F7">
        <w:rPr>
          <w:b w:val="0"/>
          <w:color w:val="auto"/>
          <w:sz w:val="20"/>
          <w:szCs w:val="20"/>
        </w:rPr>
        <w:instrText xml:space="preserve"> SEQ Figure \* ARABIC </w:instrText>
      </w:r>
      <w:r w:rsidRPr="009D16F7">
        <w:rPr>
          <w:b w:val="0"/>
          <w:color w:val="auto"/>
          <w:sz w:val="20"/>
          <w:szCs w:val="20"/>
        </w:rPr>
        <w:fldChar w:fldCharType="separate"/>
      </w:r>
      <w:r w:rsidR="00016BBE">
        <w:rPr>
          <w:b w:val="0"/>
          <w:noProof/>
          <w:color w:val="auto"/>
          <w:sz w:val="20"/>
          <w:szCs w:val="20"/>
        </w:rPr>
        <w:t>15</w:t>
      </w:r>
      <w:r w:rsidRPr="009D16F7">
        <w:rPr>
          <w:b w:val="0"/>
          <w:color w:val="auto"/>
          <w:sz w:val="20"/>
          <w:szCs w:val="20"/>
        </w:rPr>
        <w:fldChar w:fldCharType="end"/>
      </w:r>
      <w:bookmarkEnd w:id="5"/>
      <w:r w:rsidRPr="009D16F7">
        <w:rPr>
          <w:b w:val="0"/>
          <w:color w:val="auto"/>
          <w:sz w:val="20"/>
          <w:szCs w:val="20"/>
        </w:rPr>
        <w:t xml:space="preserve">: Cumulative </w:t>
      </w:r>
      <w:r w:rsidRPr="00E0218B">
        <w:rPr>
          <w:b w:val="0"/>
          <w:color w:val="auto"/>
          <w:sz w:val="20"/>
          <w:szCs w:val="20"/>
        </w:rPr>
        <w:t>incidence</w:t>
      </w:r>
      <w:r w:rsidRPr="00E0218B">
        <w:rPr>
          <w:b w:val="0"/>
          <w:color w:val="auto"/>
          <w:sz w:val="20"/>
        </w:rPr>
        <w:t xml:space="preserve"> </w:t>
      </w:r>
      <w:r>
        <w:rPr>
          <w:b w:val="0"/>
          <w:color w:val="auto"/>
          <w:sz w:val="20"/>
        </w:rPr>
        <w:t>of serious adverse events (SAEs)</w:t>
      </w:r>
      <w:r w:rsidRPr="00390E6B">
        <w:rPr>
          <w:b w:val="0"/>
          <w:color w:val="auto"/>
          <w:sz w:val="20"/>
        </w:rPr>
        <w:t xml:space="preserve"> in </w:t>
      </w:r>
      <w:r w:rsidR="002C53CF">
        <w:rPr>
          <w:b w:val="0"/>
          <w:color w:val="auto"/>
          <w:sz w:val="20"/>
        </w:rPr>
        <w:t xml:space="preserve">the </w:t>
      </w:r>
      <w:r w:rsidRPr="00390E6B">
        <w:rPr>
          <w:b w:val="0"/>
          <w:color w:val="auto"/>
          <w:sz w:val="20"/>
        </w:rPr>
        <w:t>full analysis data set (n=57).</w:t>
      </w:r>
    </w:p>
    <w:p w:rsidR="00441366" w:rsidRDefault="00441366" w:rsidP="00441366">
      <w:pPr>
        <w:rPr>
          <w:sz w:val="24"/>
        </w:rPr>
      </w:pPr>
    </w:p>
    <w:p w:rsidR="00441366" w:rsidRPr="00BE20B8" w:rsidRDefault="00441366" w:rsidP="00441366">
      <w:r w:rsidRPr="00BE20B8">
        <w:t xml:space="preserve">The corresponding probabilities of </w:t>
      </w:r>
      <w:r>
        <w:t xml:space="preserve">SAE </w:t>
      </w:r>
      <w:r w:rsidR="002C53CF">
        <w:t>were</w:t>
      </w:r>
    </w:p>
    <w:p w:rsidR="00441366" w:rsidRDefault="00441366" w:rsidP="00B84E20">
      <w:pPr>
        <w:spacing w:before="240"/>
        <w:jc w:val="both"/>
        <w:rPr>
          <w:b/>
        </w:rPr>
      </w:pPr>
      <w:r>
        <w:rPr>
          <w:b/>
        </w:rPr>
        <w:t>17.2%, 95% confidence interval: 8.5% to 28.6</w:t>
      </w:r>
      <w:r w:rsidRPr="00BE20B8">
        <w:rPr>
          <w:b/>
        </w:rPr>
        <w:t xml:space="preserve">% </w:t>
      </w:r>
      <w:r>
        <w:t>at 6 months,</w:t>
      </w:r>
    </w:p>
    <w:p w:rsidR="00441366" w:rsidRPr="00BE20B8" w:rsidRDefault="00441366" w:rsidP="00441366">
      <w:pPr>
        <w:jc w:val="both"/>
        <w:rPr>
          <w:b/>
        </w:rPr>
      </w:pPr>
      <w:r>
        <w:rPr>
          <w:b/>
        </w:rPr>
        <w:t>29.4%, 95% confidence interval: 17.1% to 42.9</w:t>
      </w:r>
      <w:r w:rsidRPr="00BE20B8">
        <w:rPr>
          <w:b/>
        </w:rPr>
        <w:t xml:space="preserve">% </w:t>
      </w:r>
      <w:r>
        <w:t>at 12 months and</w:t>
      </w:r>
    </w:p>
    <w:p w:rsidR="00441366" w:rsidRPr="00BE20B8" w:rsidRDefault="00441366" w:rsidP="00441366">
      <w:pPr>
        <w:jc w:val="both"/>
        <w:rPr>
          <w:b/>
        </w:rPr>
      </w:pPr>
      <w:r>
        <w:rPr>
          <w:b/>
        </w:rPr>
        <w:t>36.2%, 95% confidence interval: 21.7% to 50.9</w:t>
      </w:r>
      <w:r w:rsidRPr="00BE20B8">
        <w:rPr>
          <w:b/>
        </w:rPr>
        <w:t xml:space="preserve">% </w:t>
      </w:r>
      <w:r>
        <w:t>at 24 months</w:t>
      </w:r>
      <w:r w:rsidRPr="00BE20B8">
        <w:t>.</w:t>
      </w:r>
      <w:bookmarkStart w:id="6" w:name="_GoBack"/>
      <w:bookmarkEnd w:id="6"/>
    </w:p>
    <w:sectPr w:rsidR="00441366" w:rsidRPr="00BE20B8" w:rsidSect="00C573F0">
      <w:headerReference w:type="default" r:id="rId14"/>
      <w:footerReference w:type="default" r:id="rId15"/>
      <w:pgSz w:w="11907" w:h="16839" w:code="9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CB7" w:rsidRDefault="00595CB7" w:rsidP="00AF3E72">
      <w:pPr>
        <w:spacing w:after="0" w:line="240" w:lineRule="auto"/>
      </w:pPr>
      <w:r>
        <w:separator/>
      </w:r>
    </w:p>
  </w:endnote>
  <w:endnote w:type="continuationSeparator" w:id="0">
    <w:p w:rsidR="00595CB7" w:rsidRDefault="00595CB7" w:rsidP="00AF3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MU CompatilFact">
    <w:altName w:val="Bell MT"/>
    <w:charset w:val="00"/>
    <w:family w:val="auto"/>
    <w:pitch w:val="variable"/>
    <w:sig w:usb0="8000002F" w:usb1="00000042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83015413"/>
      <w:docPartObj>
        <w:docPartGallery w:val="Page Numbers (Bottom of Page)"/>
        <w:docPartUnique/>
      </w:docPartObj>
    </w:sdtPr>
    <w:sdtEndPr/>
    <w:sdtContent>
      <w:p w:rsidR="00595CB7" w:rsidRDefault="00595CB7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051B" w:rsidRPr="0005051B">
          <w:rPr>
            <w:noProof/>
            <w:lang w:val="de-DE"/>
          </w:rPr>
          <w:t>9</w:t>
        </w:r>
        <w:r>
          <w:fldChar w:fldCharType="end"/>
        </w:r>
      </w:p>
    </w:sdtContent>
  </w:sdt>
  <w:p w:rsidR="00595CB7" w:rsidRDefault="00595CB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CB7" w:rsidRDefault="00595CB7" w:rsidP="00AF3E72">
      <w:pPr>
        <w:spacing w:after="0" w:line="240" w:lineRule="auto"/>
      </w:pPr>
      <w:r>
        <w:separator/>
      </w:r>
    </w:p>
  </w:footnote>
  <w:footnote w:type="continuationSeparator" w:id="0">
    <w:p w:rsidR="00595CB7" w:rsidRDefault="00595CB7" w:rsidP="00AF3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CB7" w:rsidRPr="00B30506" w:rsidRDefault="00595CB7" w:rsidP="00B30506">
    <w:pPr>
      <w:pStyle w:val="SOPTextkrper1"/>
      <w:rPr>
        <w:rFonts w:ascii="Arial" w:hAnsi="Arial" w:cs="Arial"/>
        <w:sz w:val="18"/>
        <w:lang w:val="en-US"/>
      </w:rPr>
    </w:pPr>
    <w:r w:rsidRPr="00CD1601">
      <w:rPr>
        <w:rFonts w:ascii="Arial" w:hAnsi="Arial" w:cs="Arial"/>
        <w:sz w:val="18"/>
        <w:lang w:val="en-US"/>
      </w:rPr>
      <w:t xml:space="preserve">STATISTICAL REPORT </w:t>
    </w:r>
    <w:r>
      <w:rPr>
        <w:rFonts w:ascii="Arial" w:hAnsi="Arial" w:cs="Arial"/>
        <w:sz w:val="18"/>
        <w:lang w:val="en-US"/>
      </w:rPr>
      <w:t>BODO</w:t>
    </w:r>
    <w:r w:rsidRPr="00CD1601">
      <w:rPr>
        <w:rFonts w:ascii="Arial" w:hAnsi="Arial" w:cs="Arial"/>
        <w:sz w:val="18"/>
        <w:lang w:val="en-US"/>
      </w:rPr>
      <w:t xml:space="preserve"> STUDY</w:t>
    </w:r>
    <w:r w:rsidRPr="00CD1601">
      <w:rPr>
        <w:rFonts w:ascii="Arial" w:hAnsi="Arial" w:cs="Arial"/>
        <w:sz w:val="18"/>
        <w:lang w:val="en-US"/>
      </w:rPr>
      <w:tab/>
    </w:r>
    <w:r w:rsidRPr="00CD1601">
      <w:rPr>
        <w:rFonts w:ascii="Arial" w:hAnsi="Arial" w:cs="Arial"/>
        <w:sz w:val="18"/>
        <w:lang w:val="en-US"/>
      </w:rPr>
      <w:tab/>
    </w:r>
    <w:r w:rsidRPr="00CD1601">
      <w:rPr>
        <w:rFonts w:ascii="Arial" w:hAnsi="Arial" w:cs="Arial"/>
        <w:sz w:val="18"/>
        <w:lang w:val="en-US"/>
      </w:rPr>
      <w:tab/>
    </w:r>
    <w:r w:rsidRPr="00CD1601">
      <w:rPr>
        <w:rFonts w:ascii="Arial" w:hAnsi="Arial" w:cs="Arial"/>
        <w:sz w:val="18"/>
        <w:lang w:val="en-US"/>
      </w:rPr>
      <w:tab/>
    </w:r>
    <w:r w:rsidRPr="00CD1601">
      <w:rPr>
        <w:rFonts w:ascii="Arial" w:hAnsi="Arial" w:cs="Arial"/>
        <w:sz w:val="18"/>
        <w:lang w:val="en-US"/>
      </w:rPr>
      <w:tab/>
      <w:t xml:space="preserve">EudraCT-No. </w:t>
    </w:r>
    <w:r w:rsidRPr="00B30506">
      <w:rPr>
        <w:rFonts w:ascii="Arial" w:hAnsi="Arial" w:cs="Arial"/>
        <w:sz w:val="18"/>
        <w:lang w:val="en-US"/>
      </w:rPr>
      <w:t>2014-005531-13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823E8"/>
    <w:multiLevelType w:val="hybridMultilevel"/>
    <w:tmpl w:val="577474D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6139E"/>
    <w:multiLevelType w:val="hybridMultilevel"/>
    <w:tmpl w:val="EBC472B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047130"/>
    <w:multiLevelType w:val="hybridMultilevel"/>
    <w:tmpl w:val="92DA5D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4A2BE1"/>
    <w:multiLevelType w:val="hybridMultilevel"/>
    <w:tmpl w:val="0E68295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F3F61"/>
    <w:multiLevelType w:val="hybridMultilevel"/>
    <w:tmpl w:val="09BA6BF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023756"/>
    <w:multiLevelType w:val="hybridMultilevel"/>
    <w:tmpl w:val="5094C12E"/>
    <w:lvl w:ilvl="0" w:tplc="0407000B">
      <w:start w:val="9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1F4CC5"/>
    <w:multiLevelType w:val="hybridMultilevel"/>
    <w:tmpl w:val="F0905D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2A47EF"/>
    <w:multiLevelType w:val="hybridMultilevel"/>
    <w:tmpl w:val="E976FED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C3AE9"/>
    <w:multiLevelType w:val="hybridMultilevel"/>
    <w:tmpl w:val="64742360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6FF4A1B"/>
    <w:multiLevelType w:val="hybridMultilevel"/>
    <w:tmpl w:val="5DAC1DF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C2470F"/>
    <w:multiLevelType w:val="hybridMultilevel"/>
    <w:tmpl w:val="10C84C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A46661"/>
    <w:multiLevelType w:val="hybridMultilevel"/>
    <w:tmpl w:val="9B104E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CE4973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E0E5C45"/>
    <w:multiLevelType w:val="hybridMultilevel"/>
    <w:tmpl w:val="41BAF1F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441D5162"/>
    <w:multiLevelType w:val="multilevel"/>
    <w:tmpl w:val="6436DC7C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  <w:lang w:val="en-US"/>
      </w:rPr>
    </w:lvl>
    <w:lvl w:ilvl="1">
      <w:start w:val="1"/>
      <w:numFmt w:val="decimal"/>
      <w:lvlText w:val="%1.%2"/>
      <w:lvlJc w:val="left"/>
      <w:pPr>
        <w:ind w:left="2155" w:hanging="737"/>
      </w:pPr>
      <w:rPr>
        <w:rFonts w:hint="default"/>
        <w:lang w:val="de-DE"/>
      </w:rPr>
    </w:lvl>
    <w:lvl w:ilvl="2">
      <w:start w:val="1"/>
      <w:numFmt w:val="decimal"/>
      <w:lvlText w:val="%1.%2.%3"/>
      <w:lvlJc w:val="left"/>
      <w:pPr>
        <w:ind w:left="5274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715" w:hanging="1440"/>
      </w:pPr>
      <w:rPr>
        <w:rFonts w:hint="default"/>
      </w:rPr>
    </w:lvl>
  </w:abstractNum>
  <w:abstractNum w:abstractNumId="15" w15:restartNumberingAfterBreak="0">
    <w:nsid w:val="4492658C"/>
    <w:multiLevelType w:val="hybridMultilevel"/>
    <w:tmpl w:val="D562CECC"/>
    <w:lvl w:ilvl="0" w:tplc="6EE020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4D2E60"/>
    <w:multiLevelType w:val="hybridMultilevel"/>
    <w:tmpl w:val="D1648C4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24FA1"/>
    <w:multiLevelType w:val="multilevel"/>
    <w:tmpl w:val="547698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78C5C9D"/>
    <w:multiLevelType w:val="hybridMultilevel"/>
    <w:tmpl w:val="135AC556"/>
    <w:lvl w:ilvl="0" w:tplc="7B8643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BB2068"/>
    <w:multiLevelType w:val="hybridMultilevel"/>
    <w:tmpl w:val="70AA8C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E42C19"/>
    <w:multiLevelType w:val="multilevel"/>
    <w:tmpl w:val="1032B7A6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E5949EC"/>
    <w:multiLevelType w:val="hybridMultilevel"/>
    <w:tmpl w:val="AEE2AE1C"/>
    <w:lvl w:ilvl="0" w:tplc="459AB418">
      <w:numFmt w:val="bullet"/>
      <w:lvlText w:val="-"/>
      <w:lvlJc w:val="left"/>
      <w:pPr>
        <w:ind w:left="720" w:hanging="360"/>
      </w:pPr>
      <w:rPr>
        <w:rFonts w:ascii="LMU CompatilFact" w:eastAsia="Times New Roman" w:hAnsi="LMU CompatilFact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DD23AC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3382AE4"/>
    <w:multiLevelType w:val="hybridMultilevel"/>
    <w:tmpl w:val="576881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8114D4"/>
    <w:multiLevelType w:val="hybridMultilevel"/>
    <w:tmpl w:val="A03EDEB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31578F"/>
    <w:multiLevelType w:val="hybridMultilevel"/>
    <w:tmpl w:val="C2FE160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CF73A5"/>
    <w:multiLevelType w:val="hybridMultilevel"/>
    <w:tmpl w:val="958ED95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71DD0C4F"/>
    <w:multiLevelType w:val="hybridMultilevel"/>
    <w:tmpl w:val="13F8599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3E5485"/>
    <w:multiLevelType w:val="hybridMultilevel"/>
    <w:tmpl w:val="7226B9B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4B209C"/>
    <w:multiLevelType w:val="multilevel"/>
    <w:tmpl w:val="42B0C028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  <w:rPr>
        <w:rFonts w:asciiTheme="minorHAnsi" w:hAnsiTheme="minorHAnsi" w:hint="default"/>
        <w:color w:val="auto"/>
        <w:sz w:val="24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  <w:rPr>
        <w:color w:val="auto"/>
      </w:r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>
    <w:abstractNumId w:val="14"/>
  </w:num>
  <w:num w:numId="2">
    <w:abstractNumId w:val="3"/>
  </w:num>
  <w:num w:numId="3">
    <w:abstractNumId w:val="8"/>
  </w:num>
  <w:num w:numId="4">
    <w:abstractNumId w:val="2"/>
  </w:num>
  <w:num w:numId="5">
    <w:abstractNumId w:val="11"/>
  </w:num>
  <w:num w:numId="6">
    <w:abstractNumId w:val="9"/>
  </w:num>
  <w:num w:numId="7">
    <w:abstractNumId w:val="25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7"/>
  </w:num>
  <w:num w:numId="11">
    <w:abstractNumId w:val="1"/>
  </w:num>
  <w:num w:numId="1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23"/>
  </w:num>
  <w:num w:numId="16">
    <w:abstractNumId w:val="28"/>
  </w:num>
  <w:num w:numId="17">
    <w:abstractNumId w:val="5"/>
  </w:num>
  <w:num w:numId="18">
    <w:abstractNumId w:val="19"/>
  </w:num>
  <w:num w:numId="19">
    <w:abstractNumId w:val="27"/>
  </w:num>
  <w:num w:numId="20">
    <w:abstractNumId w:val="15"/>
  </w:num>
  <w:num w:numId="21">
    <w:abstractNumId w:val="18"/>
  </w:num>
  <w:num w:numId="22">
    <w:abstractNumId w:val="16"/>
  </w:num>
  <w:num w:numId="23">
    <w:abstractNumId w:val="20"/>
  </w:num>
  <w:num w:numId="24">
    <w:abstractNumId w:val="12"/>
  </w:num>
  <w:num w:numId="25">
    <w:abstractNumId w:val="21"/>
  </w:num>
  <w:num w:numId="26">
    <w:abstractNumId w:val="6"/>
  </w:num>
  <w:num w:numId="27">
    <w:abstractNumId w:val="29"/>
  </w:num>
  <w:num w:numId="28">
    <w:abstractNumId w:val="10"/>
  </w:num>
  <w:num w:numId="29">
    <w:abstractNumId w:val="4"/>
  </w:num>
  <w:num w:numId="30">
    <w:abstractNumId w:val="22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923"/>
    <w:rsid w:val="00000D5A"/>
    <w:rsid w:val="00003FE1"/>
    <w:rsid w:val="00010749"/>
    <w:rsid w:val="00013DAE"/>
    <w:rsid w:val="00016BBE"/>
    <w:rsid w:val="00025F11"/>
    <w:rsid w:val="00036F68"/>
    <w:rsid w:val="00042CAE"/>
    <w:rsid w:val="0004531B"/>
    <w:rsid w:val="0004740A"/>
    <w:rsid w:val="0005051B"/>
    <w:rsid w:val="00054544"/>
    <w:rsid w:val="00066F1C"/>
    <w:rsid w:val="00074A81"/>
    <w:rsid w:val="0007568F"/>
    <w:rsid w:val="00077754"/>
    <w:rsid w:val="00083918"/>
    <w:rsid w:val="0008611C"/>
    <w:rsid w:val="000965D3"/>
    <w:rsid w:val="000A385D"/>
    <w:rsid w:val="000B60AA"/>
    <w:rsid w:val="000C1789"/>
    <w:rsid w:val="000D2931"/>
    <w:rsid w:val="000D394F"/>
    <w:rsid w:val="000E2CEE"/>
    <w:rsid w:val="000E4B32"/>
    <w:rsid w:val="000E6748"/>
    <w:rsid w:val="000E6953"/>
    <w:rsid w:val="000F6A89"/>
    <w:rsid w:val="00103709"/>
    <w:rsid w:val="00110133"/>
    <w:rsid w:val="00120B4E"/>
    <w:rsid w:val="00125378"/>
    <w:rsid w:val="00140683"/>
    <w:rsid w:val="00140B88"/>
    <w:rsid w:val="001431C8"/>
    <w:rsid w:val="00145AA9"/>
    <w:rsid w:val="00152631"/>
    <w:rsid w:val="00154F35"/>
    <w:rsid w:val="001553A6"/>
    <w:rsid w:val="00157FB5"/>
    <w:rsid w:val="0016731C"/>
    <w:rsid w:val="001754C3"/>
    <w:rsid w:val="001761BF"/>
    <w:rsid w:val="00176991"/>
    <w:rsid w:val="00181871"/>
    <w:rsid w:val="00185BB1"/>
    <w:rsid w:val="001942A9"/>
    <w:rsid w:val="001957EF"/>
    <w:rsid w:val="001A5BAC"/>
    <w:rsid w:val="001A7136"/>
    <w:rsid w:val="001A75C5"/>
    <w:rsid w:val="001B1EFC"/>
    <w:rsid w:val="001B2F91"/>
    <w:rsid w:val="001B690A"/>
    <w:rsid w:val="001B6AAF"/>
    <w:rsid w:val="001B7B6B"/>
    <w:rsid w:val="001C3307"/>
    <w:rsid w:val="001C4A11"/>
    <w:rsid w:val="001C7EFF"/>
    <w:rsid w:val="001C7F89"/>
    <w:rsid w:val="001D1087"/>
    <w:rsid w:val="001D12F4"/>
    <w:rsid w:val="001D2EA0"/>
    <w:rsid w:val="001E36CB"/>
    <w:rsid w:val="001E6A29"/>
    <w:rsid w:val="001F2285"/>
    <w:rsid w:val="001F343C"/>
    <w:rsid w:val="001F4A98"/>
    <w:rsid w:val="001F5B2B"/>
    <w:rsid w:val="00204B7E"/>
    <w:rsid w:val="0020685C"/>
    <w:rsid w:val="00207557"/>
    <w:rsid w:val="00211134"/>
    <w:rsid w:val="002202AF"/>
    <w:rsid w:val="00220581"/>
    <w:rsid w:val="00221FC2"/>
    <w:rsid w:val="00222B2D"/>
    <w:rsid w:val="00225AD7"/>
    <w:rsid w:val="00227058"/>
    <w:rsid w:val="00230694"/>
    <w:rsid w:val="00234769"/>
    <w:rsid w:val="002347A0"/>
    <w:rsid w:val="002347A1"/>
    <w:rsid w:val="00235852"/>
    <w:rsid w:val="00241EE0"/>
    <w:rsid w:val="0024219D"/>
    <w:rsid w:val="00242A8D"/>
    <w:rsid w:val="00252855"/>
    <w:rsid w:val="002530F5"/>
    <w:rsid w:val="002574DC"/>
    <w:rsid w:val="00261500"/>
    <w:rsid w:val="00264441"/>
    <w:rsid w:val="00265B1E"/>
    <w:rsid w:val="00266E9B"/>
    <w:rsid w:val="00271B6B"/>
    <w:rsid w:val="00273E0C"/>
    <w:rsid w:val="00275E27"/>
    <w:rsid w:val="00280618"/>
    <w:rsid w:val="00281EDC"/>
    <w:rsid w:val="002824E9"/>
    <w:rsid w:val="002911EC"/>
    <w:rsid w:val="00297C20"/>
    <w:rsid w:val="002B2440"/>
    <w:rsid w:val="002B2D9F"/>
    <w:rsid w:val="002B589F"/>
    <w:rsid w:val="002B7BF6"/>
    <w:rsid w:val="002C26A1"/>
    <w:rsid w:val="002C36F4"/>
    <w:rsid w:val="002C3999"/>
    <w:rsid w:val="002C53CF"/>
    <w:rsid w:val="002D0B82"/>
    <w:rsid w:val="002D399F"/>
    <w:rsid w:val="002D4532"/>
    <w:rsid w:val="002E0652"/>
    <w:rsid w:val="002E216B"/>
    <w:rsid w:val="002E47C8"/>
    <w:rsid w:val="002E52A4"/>
    <w:rsid w:val="002E5DEE"/>
    <w:rsid w:val="002F02D2"/>
    <w:rsid w:val="002F1FAE"/>
    <w:rsid w:val="002F70D9"/>
    <w:rsid w:val="00302E7A"/>
    <w:rsid w:val="00304396"/>
    <w:rsid w:val="003109A1"/>
    <w:rsid w:val="00313324"/>
    <w:rsid w:val="00314842"/>
    <w:rsid w:val="00314909"/>
    <w:rsid w:val="003157D9"/>
    <w:rsid w:val="00316937"/>
    <w:rsid w:val="0032259A"/>
    <w:rsid w:val="003233FE"/>
    <w:rsid w:val="003252AE"/>
    <w:rsid w:val="00326CA8"/>
    <w:rsid w:val="0033499E"/>
    <w:rsid w:val="00335C1F"/>
    <w:rsid w:val="00336B06"/>
    <w:rsid w:val="003416B1"/>
    <w:rsid w:val="00344B3C"/>
    <w:rsid w:val="0035039C"/>
    <w:rsid w:val="00355449"/>
    <w:rsid w:val="003661B5"/>
    <w:rsid w:val="00366C18"/>
    <w:rsid w:val="003711FE"/>
    <w:rsid w:val="00371CB2"/>
    <w:rsid w:val="00372410"/>
    <w:rsid w:val="003737BE"/>
    <w:rsid w:val="00373C9D"/>
    <w:rsid w:val="003A0EC9"/>
    <w:rsid w:val="003A3A78"/>
    <w:rsid w:val="003A46FE"/>
    <w:rsid w:val="003B1754"/>
    <w:rsid w:val="003B72ED"/>
    <w:rsid w:val="003C3607"/>
    <w:rsid w:val="003C431B"/>
    <w:rsid w:val="003C695D"/>
    <w:rsid w:val="003D229A"/>
    <w:rsid w:val="003D3541"/>
    <w:rsid w:val="003D572E"/>
    <w:rsid w:val="003D68ED"/>
    <w:rsid w:val="003D70DC"/>
    <w:rsid w:val="003E2CFA"/>
    <w:rsid w:val="003F2155"/>
    <w:rsid w:val="003F687D"/>
    <w:rsid w:val="00400F44"/>
    <w:rsid w:val="00421929"/>
    <w:rsid w:val="00421BE1"/>
    <w:rsid w:val="00427FCC"/>
    <w:rsid w:val="00431373"/>
    <w:rsid w:val="00431A86"/>
    <w:rsid w:val="00436381"/>
    <w:rsid w:val="004368C9"/>
    <w:rsid w:val="00441366"/>
    <w:rsid w:val="00444745"/>
    <w:rsid w:val="00444C69"/>
    <w:rsid w:val="00444CAC"/>
    <w:rsid w:val="004458B0"/>
    <w:rsid w:val="00451B18"/>
    <w:rsid w:val="004600A4"/>
    <w:rsid w:val="00460C3C"/>
    <w:rsid w:val="00464605"/>
    <w:rsid w:val="0047191D"/>
    <w:rsid w:val="0047339D"/>
    <w:rsid w:val="00473F38"/>
    <w:rsid w:val="00483670"/>
    <w:rsid w:val="0048667B"/>
    <w:rsid w:val="00490885"/>
    <w:rsid w:val="00491142"/>
    <w:rsid w:val="004952BC"/>
    <w:rsid w:val="00495331"/>
    <w:rsid w:val="004A020E"/>
    <w:rsid w:val="004A1D3F"/>
    <w:rsid w:val="004A3626"/>
    <w:rsid w:val="004A7C52"/>
    <w:rsid w:val="004B2C47"/>
    <w:rsid w:val="004B64F6"/>
    <w:rsid w:val="004E0A97"/>
    <w:rsid w:val="004E2B42"/>
    <w:rsid w:val="004E72F6"/>
    <w:rsid w:val="004E7F49"/>
    <w:rsid w:val="004F048C"/>
    <w:rsid w:val="004F1AD6"/>
    <w:rsid w:val="004F7FFA"/>
    <w:rsid w:val="00514DCD"/>
    <w:rsid w:val="00514E2C"/>
    <w:rsid w:val="00525DC0"/>
    <w:rsid w:val="0053458A"/>
    <w:rsid w:val="00537328"/>
    <w:rsid w:val="00541CF7"/>
    <w:rsid w:val="00552670"/>
    <w:rsid w:val="00553850"/>
    <w:rsid w:val="005564F5"/>
    <w:rsid w:val="00556AEB"/>
    <w:rsid w:val="00566EBE"/>
    <w:rsid w:val="005677CB"/>
    <w:rsid w:val="00571268"/>
    <w:rsid w:val="005722FB"/>
    <w:rsid w:val="00587D7D"/>
    <w:rsid w:val="005934E2"/>
    <w:rsid w:val="00595CB7"/>
    <w:rsid w:val="005A09FD"/>
    <w:rsid w:val="005B457E"/>
    <w:rsid w:val="005B54EE"/>
    <w:rsid w:val="005B5619"/>
    <w:rsid w:val="005C2E09"/>
    <w:rsid w:val="005C590C"/>
    <w:rsid w:val="005D08BC"/>
    <w:rsid w:val="005D0F1E"/>
    <w:rsid w:val="005D11EA"/>
    <w:rsid w:val="005E4969"/>
    <w:rsid w:val="005E545A"/>
    <w:rsid w:val="005E58B3"/>
    <w:rsid w:val="005E6CD9"/>
    <w:rsid w:val="005F1351"/>
    <w:rsid w:val="005F238F"/>
    <w:rsid w:val="00605073"/>
    <w:rsid w:val="006050E8"/>
    <w:rsid w:val="00612A1D"/>
    <w:rsid w:val="00613C44"/>
    <w:rsid w:val="00613ED7"/>
    <w:rsid w:val="00620737"/>
    <w:rsid w:val="00631D22"/>
    <w:rsid w:val="006322D5"/>
    <w:rsid w:val="0063470E"/>
    <w:rsid w:val="0064665A"/>
    <w:rsid w:val="00652659"/>
    <w:rsid w:val="00660F0C"/>
    <w:rsid w:val="0066256B"/>
    <w:rsid w:val="006665FB"/>
    <w:rsid w:val="00667A90"/>
    <w:rsid w:val="00673DBD"/>
    <w:rsid w:val="0067481A"/>
    <w:rsid w:val="00675C38"/>
    <w:rsid w:val="00681878"/>
    <w:rsid w:val="006832DF"/>
    <w:rsid w:val="006872BA"/>
    <w:rsid w:val="006913F0"/>
    <w:rsid w:val="006B090B"/>
    <w:rsid w:val="006B5C49"/>
    <w:rsid w:val="006C011D"/>
    <w:rsid w:val="006C0A1F"/>
    <w:rsid w:val="006C0C03"/>
    <w:rsid w:val="006C146F"/>
    <w:rsid w:val="006C6CE2"/>
    <w:rsid w:val="006C71A6"/>
    <w:rsid w:val="006D0220"/>
    <w:rsid w:val="006D5348"/>
    <w:rsid w:val="006D661B"/>
    <w:rsid w:val="006E38FD"/>
    <w:rsid w:val="006F137E"/>
    <w:rsid w:val="00706EF9"/>
    <w:rsid w:val="00712F24"/>
    <w:rsid w:val="0071466B"/>
    <w:rsid w:val="00716714"/>
    <w:rsid w:val="007220BA"/>
    <w:rsid w:val="007220EE"/>
    <w:rsid w:val="0073681C"/>
    <w:rsid w:val="00740204"/>
    <w:rsid w:val="007427AA"/>
    <w:rsid w:val="007450AD"/>
    <w:rsid w:val="00745917"/>
    <w:rsid w:val="00751089"/>
    <w:rsid w:val="007568D6"/>
    <w:rsid w:val="00770BF1"/>
    <w:rsid w:val="0077731B"/>
    <w:rsid w:val="007816BD"/>
    <w:rsid w:val="00794DF2"/>
    <w:rsid w:val="007979CB"/>
    <w:rsid w:val="007A0338"/>
    <w:rsid w:val="007A21D6"/>
    <w:rsid w:val="007A4317"/>
    <w:rsid w:val="007A6520"/>
    <w:rsid w:val="007A6F8B"/>
    <w:rsid w:val="007A7CB7"/>
    <w:rsid w:val="007B6B92"/>
    <w:rsid w:val="007C49A4"/>
    <w:rsid w:val="007C5AD5"/>
    <w:rsid w:val="007D3A33"/>
    <w:rsid w:val="007E11AB"/>
    <w:rsid w:val="007E4E5A"/>
    <w:rsid w:val="007E62A0"/>
    <w:rsid w:val="007F0DB0"/>
    <w:rsid w:val="007F6942"/>
    <w:rsid w:val="007F73CC"/>
    <w:rsid w:val="00820B98"/>
    <w:rsid w:val="00822D69"/>
    <w:rsid w:val="00824A08"/>
    <w:rsid w:val="00824A50"/>
    <w:rsid w:val="008331E9"/>
    <w:rsid w:val="008354A6"/>
    <w:rsid w:val="00843141"/>
    <w:rsid w:val="00847F52"/>
    <w:rsid w:val="0085496B"/>
    <w:rsid w:val="008628BB"/>
    <w:rsid w:val="0086503E"/>
    <w:rsid w:val="008725EC"/>
    <w:rsid w:val="00873E68"/>
    <w:rsid w:val="008742FF"/>
    <w:rsid w:val="008752EE"/>
    <w:rsid w:val="00882127"/>
    <w:rsid w:val="008843AB"/>
    <w:rsid w:val="008860DD"/>
    <w:rsid w:val="00897858"/>
    <w:rsid w:val="008A10C1"/>
    <w:rsid w:val="008A250A"/>
    <w:rsid w:val="008B483E"/>
    <w:rsid w:val="008B53CA"/>
    <w:rsid w:val="008C6D51"/>
    <w:rsid w:val="008D2112"/>
    <w:rsid w:val="008D3865"/>
    <w:rsid w:val="008E200A"/>
    <w:rsid w:val="008E6394"/>
    <w:rsid w:val="008E6500"/>
    <w:rsid w:val="008F59DF"/>
    <w:rsid w:val="008F5A48"/>
    <w:rsid w:val="008F5BE7"/>
    <w:rsid w:val="00903865"/>
    <w:rsid w:val="00907E8E"/>
    <w:rsid w:val="0091735E"/>
    <w:rsid w:val="00920148"/>
    <w:rsid w:val="00921AE7"/>
    <w:rsid w:val="0092271F"/>
    <w:rsid w:val="00923D9B"/>
    <w:rsid w:val="00935E57"/>
    <w:rsid w:val="00945838"/>
    <w:rsid w:val="00947230"/>
    <w:rsid w:val="00961E5D"/>
    <w:rsid w:val="00966CB2"/>
    <w:rsid w:val="009679FB"/>
    <w:rsid w:val="00973577"/>
    <w:rsid w:val="0097606C"/>
    <w:rsid w:val="00977870"/>
    <w:rsid w:val="00981436"/>
    <w:rsid w:val="00981D7B"/>
    <w:rsid w:val="009855C9"/>
    <w:rsid w:val="00992545"/>
    <w:rsid w:val="009A1FF5"/>
    <w:rsid w:val="009A300D"/>
    <w:rsid w:val="009C0F64"/>
    <w:rsid w:val="009C16DA"/>
    <w:rsid w:val="009C5CCF"/>
    <w:rsid w:val="009C6FBD"/>
    <w:rsid w:val="009D6C84"/>
    <w:rsid w:val="009D6DE8"/>
    <w:rsid w:val="009E1F4F"/>
    <w:rsid w:val="009E514A"/>
    <w:rsid w:val="009F062F"/>
    <w:rsid w:val="009F73E8"/>
    <w:rsid w:val="00A02E1D"/>
    <w:rsid w:val="00A06594"/>
    <w:rsid w:val="00A107EE"/>
    <w:rsid w:val="00A21B0C"/>
    <w:rsid w:val="00A22659"/>
    <w:rsid w:val="00A22C80"/>
    <w:rsid w:val="00A24162"/>
    <w:rsid w:val="00A33240"/>
    <w:rsid w:val="00A577F8"/>
    <w:rsid w:val="00A57EDC"/>
    <w:rsid w:val="00A604D3"/>
    <w:rsid w:val="00A60DEB"/>
    <w:rsid w:val="00A631E6"/>
    <w:rsid w:val="00A72FD3"/>
    <w:rsid w:val="00A7486A"/>
    <w:rsid w:val="00A80B0C"/>
    <w:rsid w:val="00A83370"/>
    <w:rsid w:val="00A84821"/>
    <w:rsid w:val="00A85A54"/>
    <w:rsid w:val="00A85A96"/>
    <w:rsid w:val="00A8653D"/>
    <w:rsid w:val="00A92A9A"/>
    <w:rsid w:val="00AA25FD"/>
    <w:rsid w:val="00AA3436"/>
    <w:rsid w:val="00AA4B87"/>
    <w:rsid w:val="00AC0EA9"/>
    <w:rsid w:val="00AC4537"/>
    <w:rsid w:val="00AC58C3"/>
    <w:rsid w:val="00AD3F38"/>
    <w:rsid w:val="00AD6C40"/>
    <w:rsid w:val="00AE4819"/>
    <w:rsid w:val="00AF2438"/>
    <w:rsid w:val="00AF33E4"/>
    <w:rsid w:val="00AF3E72"/>
    <w:rsid w:val="00AF49C3"/>
    <w:rsid w:val="00AF5239"/>
    <w:rsid w:val="00AF64D4"/>
    <w:rsid w:val="00AF6FD1"/>
    <w:rsid w:val="00B03D58"/>
    <w:rsid w:val="00B054C8"/>
    <w:rsid w:val="00B065DD"/>
    <w:rsid w:val="00B111A1"/>
    <w:rsid w:val="00B1572C"/>
    <w:rsid w:val="00B15CB8"/>
    <w:rsid w:val="00B16AE3"/>
    <w:rsid w:val="00B21EB8"/>
    <w:rsid w:val="00B25E09"/>
    <w:rsid w:val="00B27535"/>
    <w:rsid w:val="00B27FDC"/>
    <w:rsid w:val="00B30506"/>
    <w:rsid w:val="00B335E5"/>
    <w:rsid w:val="00B377C2"/>
    <w:rsid w:val="00B410A6"/>
    <w:rsid w:val="00B632C1"/>
    <w:rsid w:val="00B6559C"/>
    <w:rsid w:val="00B6560C"/>
    <w:rsid w:val="00B676B2"/>
    <w:rsid w:val="00B71C6B"/>
    <w:rsid w:val="00B74F19"/>
    <w:rsid w:val="00B77A1E"/>
    <w:rsid w:val="00B84E20"/>
    <w:rsid w:val="00B95474"/>
    <w:rsid w:val="00BA053D"/>
    <w:rsid w:val="00BA2FA0"/>
    <w:rsid w:val="00BA41F0"/>
    <w:rsid w:val="00BC55E1"/>
    <w:rsid w:val="00BD0C4C"/>
    <w:rsid w:val="00BD1B4A"/>
    <w:rsid w:val="00BD2870"/>
    <w:rsid w:val="00BD5AB7"/>
    <w:rsid w:val="00BD79C1"/>
    <w:rsid w:val="00BE0DF5"/>
    <w:rsid w:val="00BE64FE"/>
    <w:rsid w:val="00BE7414"/>
    <w:rsid w:val="00BF04DF"/>
    <w:rsid w:val="00BF0E40"/>
    <w:rsid w:val="00BF5528"/>
    <w:rsid w:val="00C107DF"/>
    <w:rsid w:val="00C12077"/>
    <w:rsid w:val="00C143D1"/>
    <w:rsid w:val="00C155C8"/>
    <w:rsid w:val="00C21F29"/>
    <w:rsid w:val="00C22025"/>
    <w:rsid w:val="00C267AB"/>
    <w:rsid w:val="00C37C55"/>
    <w:rsid w:val="00C43487"/>
    <w:rsid w:val="00C4394C"/>
    <w:rsid w:val="00C47699"/>
    <w:rsid w:val="00C47CD0"/>
    <w:rsid w:val="00C55799"/>
    <w:rsid w:val="00C573F0"/>
    <w:rsid w:val="00C61F9F"/>
    <w:rsid w:val="00C6220E"/>
    <w:rsid w:val="00C72085"/>
    <w:rsid w:val="00C836C0"/>
    <w:rsid w:val="00C85B11"/>
    <w:rsid w:val="00C95F49"/>
    <w:rsid w:val="00C97DB7"/>
    <w:rsid w:val="00CA4F24"/>
    <w:rsid w:val="00CA5F73"/>
    <w:rsid w:val="00CB49AD"/>
    <w:rsid w:val="00CD29DA"/>
    <w:rsid w:val="00CD2CEA"/>
    <w:rsid w:val="00CD4D06"/>
    <w:rsid w:val="00CD51F0"/>
    <w:rsid w:val="00CD6873"/>
    <w:rsid w:val="00CE05B1"/>
    <w:rsid w:val="00CE1FA7"/>
    <w:rsid w:val="00CE2AFA"/>
    <w:rsid w:val="00CE3070"/>
    <w:rsid w:val="00CF37C6"/>
    <w:rsid w:val="00CF6239"/>
    <w:rsid w:val="00D11923"/>
    <w:rsid w:val="00D2039B"/>
    <w:rsid w:val="00D21BBD"/>
    <w:rsid w:val="00D26B0E"/>
    <w:rsid w:val="00D33887"/>
    <w:rsid w:val="00D34E62"/>
    <w:rsid w:val="00D353EC"/>
    <w:rsid w:val="00D359B2"/>
    <w:rsid w:val="00D435D6"/>
    <w:rsid w:val="00D50DCC"/>
    <w:rsid w:val="00D529A9"/>
    <w:rsid w:val="00D52BB1"/>
    <w:rsid w:val="00D535AA"/>
    <w:rsid w:val="00D54403"/>
    <w:rsid w:val="00D56AF8"/>
    <w:rsid w:val="00D6264D"/>
    <w:rsid w:val="00D6548A"/>
    <w:rsid w:val="00D678CF"/>
    <w:rsid w:val="00D74374"/>
    <w:rsid w:val="00D85103"/>
    <w:rsid w:val="00D85746"/>
    <w:rsid w:val="00D86B7C"/>
    <w:rsid w:val="00D86DF6"/>
    <w:rsid w:val="00D90AC1"/>
    <w:rsid w:val="00D91349"/>
    <w:rsid w:val="00D92135"/>
    <w:rsid w:val="00D9457C"/>
    <w:rsid w:val="00D973BC"/>
    <w:rsid w:val="00DA2F87"/>
    <w:rsid w:val="00DA6957"/>
    <w:rsid w:val="00DB1927"/>
    <w:rsid w:val="00DB3B70"/>
    <w:rsid w:val="00DC293E"/>
    <w:rsid w:val="00DC5596"/>
    <w:rsid w:val="00DC74A1"/>
    <w:rsid w:val="00DF02F7"/>
    <w:rsid w:val="00E061BA"/>
    <w:rsid w:val="00E074BD"/>
    <w:rsid w:val="00E12F99"/>
    <w:rsid w:val="00E16C16"/>
    <w:rsid w:val="00E2521C"/>
    <w:rsid w:val="00E255ED"/>
    <w:rsid w:val="00E32B25"/>
    <w:rsid w:val="00E33BD1"/>
    <w:rsid w:val="00E347E5"/>
    <w:rsid w:val="00E42CC3"/>
    <w:rsid w:val="00E42F3B"/>
    <w:rsid w:val="00E473C1"/>
    <w:rsid w:val="00E55B93"/>
    <w:rsid w:val="00E56DBA"/>
    <w:rsid w:val="00E6762B"/>
    <w:rsid w:val="00E73246"/>
    <w:rsid w:val="00E73658"/>
    <w:rsid w:val="00E738AF"/>
    <w:rsid w:val="00E74800"/>
    <w:rsid w:val="00E755FE"/>
    <w:rsid w:val="00E77117"/>
    <w:rsid w:val="00E8012D"/>
    <w:rsid w:val="00E827C1"/>
    <w:rsid w:val="00E8354D"/>
    <w:rsid w:val="00E9436E"/>
    <w:rsid w:val="00EA353F"/>
    <w:rsid w:val="00EB5F42"/>
    <w:rsid w:val="00EC0A05"/>
    <w:rsid w:val="00EC24CD"/>
    <w:rsid w:val="00ED1CAE"/>
    <w:rsid w:val="00ED27AC"/>
    <w:rsid w:val="00ED4ACD"/>
    <w:rsid w:val="00EF758C"/>
    <w:rsid w:val="00F05527"/>
    <w:rsid w:val="00F066D5"/>
    <w:rsid w:val="00F07C68"/>
    <w:rsid w:val="00F100E5"/>
    <w:rsid w:val="00F10DE3"/>
    <w:rsid w:val="00F16512"/>
    <w:rsid w:val="00F2062C"/>
    <w:rsid w:val="00F2197C"/>
    <w:rsid w:val="00F26639"/>
    <w:rsid w:val="00F32041"/>
    <w:rsid w:val="00F3747C"/>
    <w:rsid w:val="00F42A8B"/>
    <w:rsid w:val="00F5129B"/>
    <w:rsid w:val="00F55BD6"/>
    <w:rsid w:val="00F647C9"/>
    <w:rsid w:val="00F64FFD"/>
    <w:rsid w:val="00F67DB8"/>
    <w:rsid w:val="00F715D7"/>
    <w:rsid w:val="00F71A33"/>
    <w:rsid w:val="00F74288"/>
    <w:rsid w:val="00F75FB7"/>
    <w:rsid w:val="00F77871"/>
    <w:rsid w:val="00F80BA8"/>
    <w:rsid w:val="00F81665"/>
    <w:rsid w:val="00F82914"/>
    <w:rsid w:val="00F83066"/>
    <w:rsid w:val="00F840EA"/>
    <w:rsid w:val="00F84717"/>
    <w:rsid w:val="00F85D27"/>
    <w:rsid w:val="00F8611C"/>
    <w:rsid w:val="00F91F10"/>
    <w:rsid w:val="00F9684D"/>
    <w:rsid w:val="00F978D0"/>
    <w:rsid w:val="00FA1A7B"/>
    <w:rsid w:val="00FA4403"/>
    <w:rsid w:val="00FA4F69"/>
    <w:rsid w:val="00FB226A"/>
    <w:rsid w:val="00FB3B7C"/>
    <w:rsid w:val="00FB48A3"/>
    <w:rsid w:val="00FC2C0A"/>
    <w:rsid w:val="00FC2E20"/>
    <w:rsid w:val="00FC379A"/>
    <w:rsid w:val="00FC4D73"/>
    <w:rsid w:val="00FC58B3"/>
    <w:rsid w:val="00FC6CE5"/>
    <w:rsid w:val="00FD3F28"/>
    <w:rsid w:val="00FD4E13"/>
    <w:rsid w:val="00FD7007"/>
    <w:rsid w:val="00FD7481"/>
    <w:rsid w:val="00FD7BCB"/>
    <w:rsid w:val="00FE0779"/>
    <w:rsid w:val="00FE190D"/>
    <w:rsid w:val="00FF2294"/>
    <w:rsid w:val="00FF591B"/>
    <w:rsid w:val="00FF6572"/>
    <w:rsid w:val="00FF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EB6B85BB-C96F-44CC-A058-C8554C8A4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4B2C47"/>
    <w:pPr>
      <w:keepNext/>
      <w:keepLines/>
      <w:numPr>
        <w:numId w:val="27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11923"/>
    <w:pPr>
      <w:keepNext/>
      <w:keepLines/>
      <w:numPr>
        <w:ilvl w:val="1"/>
        <w:numId w:val="27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3D70DC"/>
    <w:pPr>
      <w:keepNext/>
      <w:keepLines/>
      <w:numPr>
        <w:ilvl w:val="2"/>
        <w:numId w:val="27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D70DC"/>
    <w:pPr>
      <w:keepNext/>
      <w:keepLines/>
      <w:numPr>
        <w:ilvl w:val="3"/>
        <w:numId w:val="27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D70DC"/>
    <w:pPr>
      <w:keepNext/>
      <w:keepLines/>
      <w:numPr>
        <w:ilvl w:val="4"/>
        <w:numId w:val="27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D70DC"/>
    <w:pPr>
      <w:keepNext/>
      <w:keepLines/>
      <w:numPr>
        <w:ilvl w:val="5"/>
        <w:numId w:val="27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D70DC"/>
    <w:pPr>
      <w:keepNext/>
      <w:keepLines/>
      <w:numPr>
        <w:ilvl w:val="6"/>
        <w:numId w:val="27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D70DC"/>
    <w:pPr>
      <w:keepNext/>
      <w:keepLines/>
      <w:numPr>
        <w:ilvl w:val="7"/>
        <w:numId w:val="27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D70DC"/>
    <w:pPr>
      <w:keepNext/>
      <w:keepLines/>
      <w:numPr>
        <w:ilvl w:val="8"/>
        <w:numId w:val="27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B2C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1192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81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81D7B"/>
    <w:rPr>
      <w:rFonts w:ascii="Tahoma" w:hAnsi="Tahoma" w:cs="Tahoma"/>
      <w:sz w:val="16"/>
      <w:szCs w:val="16"/>
    </w:rPr>
  </w:style>
  <w:style w:type="paragraph" w:styleId="Beschriftung">
    <w:name w:val="caption"/>
    <w:basedOn w:val="Standard"/>
    <w:next w:val="Standard"/>
    <w:uiPriority w:val="35"/>
    <w:unhideWhenUsed/>
    <w:qFormat/>
    <w:rsid w:val="0055267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el">
    <w:name w:val="Title"/>
    <w:basedOn w:val="Standard"/>
    <w:link w:val="TitelZchn"/>
    <w:qFormat/>
    <w:rsid w:val="004B2C47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Arial" w:eastAsia="Times New Roman" w:hAnsi="Arial" w:cs="Arial"/>
      <w:b/>
      <w:bCs/>
      <w:kern w:val="28"/>
      <w:sz w:val="32"/>
      <w:szCs w:val="32"/>
      <w:lang w:val="de-DE" w:eastAsia="de-DE"/>
    </w:rPr>
  </w:style>
  <w:style w:type="character" w:customStyle="1" w:styleId="TitelZchn">
    <w:name w:val="Titel Zchn"/>
    <w:basedOn w:val="Absatz-Standardschriftart"/>
    <w:link w:val="Titel"/>
    <w:rsid w:val="004B2C47"/>
    <w:rPr>
      <w:rFonts w:ascii="Arial" w:eastAsia="Times New Roman" w:hAnsi="Arial" w:cs="Arial"/>
      <w:b/>
      <w:bCs/>
      <w:kern w:val="28"/>
      <w:sz w:val="32"/>
      <w:szCs w:val="32"/>
      <w:lang w:val="de-DE" w:eastAsia="de-DE"/>
    </w:rPr>
  </w:style>
  <w:style w:type="paragraph" w:styleId="Untertitel">
    <w:name w:val="Subtitle"/>
    <w:basedOn w:val="Standard"/>
    <w:link w:val="UntertitelZchn"/>
    <w:qFormat/>
    <w:rsid w:val="004B2C47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  <w:outlineLvl w:val="1"/>
    </w:pPr>
    <w:rPr>
      <w:rFonts w:ascii="Arial" w:eastAsia="Times New Roman" w:hAnsi="Arial" w:cs="Arial"/>
      <w:sz w:val="24"/>
      <w:szCs w:val="24"/>
      <w:lang w:val="de-DE" w:eastAsia="de-DE"/>
    </w:rPr>
  </w:style>
  <w:style w:type="character" w:customStyle="1" w:styleId="UntertitelZchn">
    <w:name w:val="Untertitel Zchn"/>
    <w:basedOn w:val="Absatz-Standardschriftart"/>
    <w:link w:val="Untertitel"/>
    <w:rsid w:val="004B2C47"/>
    <w:rPr>
      <w:rFonts w:ascii="Arial" w:eastAsia="Times New Roman" w:hAnsi="Arial" w:cs="Arial"/>
      <w:sz w:val="24"/>
      <w:szCs w:val="24"/>
      <w:lang w:val="de-DE" w:eastAsia="de-DE"/>
    </w:rPr>
  </w:style>
  <w:style w:type="paragraph" w:customStyle="1" w:styleId="SOPTextkrper1">
    <w:name w:val="SOP Textkörper 1"/>
    <w:basedOn w:val="Textkrper"/>
    <w:qFormat/>
    <w:rsid w:val="004B2C47"/>
    <w:pPr>
      <w:spacing w:before="60"/>
      <w:jc w:val="both"/>
    </w:pPr>
    <w:rPr>
      <w:rFonts w:ascii="LMU CompatilFact" w:eastAsia="Times New Roman" w:hAnsi="LMU CompatilFact" w:cs="Times New Roman"/>
      <w:lang w:val="de-DE" w:eastAsia="de-DE"/>
    </w:rPr>
  </w:style>
  <w:style w:type="paragraph" w:styleId="Textkrper">
    <w:name w:val="Body Text"/>
    <w:basedOn w:val="Standard"/>
    <w:link w:val="TextkrperZchn"/>
    <w:unhideWhenUsed/>
    <w:rsid w:val="004B2C47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4B2C47"/>
  </w:style>
  <w:style w:type="paragraph" w:customStyle="1" w:styleId="SOPTabellentext1">
    <w:name w:val="SOP Tabellentext 1"/>
    <w:basedOn w:val="SOPTextkrper1"/>
    <w:qFormat/>
    <w:rsid w:val="004B2C47"/>
    <w:pPr>
      <w:spacing w:before="0" w:after="60"/>
    </w:pPr>
  </w:style>
  <w:style w:type="paragraph" w:customStyle="1" w:styleId="SOPberschrift1">
    <w:name w:val="SOP Überschrift 1"/>
    <w:basedOn w:val="berschrift1"/>
    <w:next w:val="SOPTextkrper1"/>
    <w:qFormat/>
    <w:rsid w:val="004B2C47"/>
    <w:pPr>
      <w:keepLines w:val="0"/>
      <w:tabs>
        <w:tab w:val="num" w:pos="360"/>
      </w:tabs>
      <w:spacing w:before="360" w:after="120" w:line="240" w:lineRule="auto"/>
      <w:jc w:val="both"/>
    </w:pPr>
    <w:rPr>
      <w:rFonts w:ascii="LMU CompatilFact" w:eastAsia="Times New Roman" w:hAnsi="LMU CompatilFact" w:cs="Times New Roman"/>
      <w:color w:val="auto"/>
      <w:kern w:val="32"/>
      <w:sz w:val="24"/>
      <w:szCs w:val="32"/>
      <w:lang w:val="de-DE" w:eastAsia="de-DE"/>
    </w:rPr>
  </w:style>
  <w:style w:type="paragraph" w:customStyle="1" w:styleId="SOPberschrift2">
    <w:name w:val="SOP Überschrift 2"/>
    <w:basedOn w:val="SOPberschrift1"/>
    <w:next w:val="SOPTextkrper1"/>
    <w:qFormat/>
    <w:rsid w:val="005E6CD9"/>
    <w:pPr>
      <w:numPr>
        <w:numId w:val="0"/>
      </w:numPr>
      <w:tabs>
        <w:tab w:val="num" w:pos="360"/>
      </w:tabs>
      <w:spacing w:before="0" w:after="0"/>
      <w:ind w:left="737" w:hanging="576"/>
    </w:pPr>
    <w:rPr>
      <w:rFonts w:asciiTheme="minorHAnsi" w:hAnsiTheme="minorHAnsi"/>
      <w:lang w:val="en-US"/>
    </w:rPr>
  </w:style>
  <w:style w:type="paragraph" w:customStyle="1" w:styleId="SOPberschrift3">
    <w:name w:val="SOP Überschrift 3"/>
    <w:basedOn w:val="SOPberschrift2"/>
    <w:next w:val="SOPTextkrper1"/>
    <w:qFormat/>
    <w:rsid w:val="004B2C47"/>
    <w:pPr>
      <w:numPr>
        <w:ilvl w:val="2"/>
      </w:numPr>
      <w:tabs>
        <w:tab w:val="num" w:pos="360"/>
        <w:tab w:val="left" w:pos="851"/>
      </w:tabs>
      <w:ind w:left="737" w:hanging="576"/>
    </w:pPr>
  </w:style>
  <w:style w:type="paragraph" w:customStyle="1" w:styleId="SOPberschriftnichtnummeriert">
    <w:name w:val="SOP Überschrift nicht nummeriert"/>
    <w:basedOn w:val="SOPTextkrper1"/>
    <w:next w:val="SOPTextkrper1"/>
    <w:qFormat/>
    <w:rsid w:val="004B2C47"/>
    <w:pPr>
      <w:spacing w:before="240"/>
    </w:pPr>
    <w:rPr>
      <w:b/>
    </w:rPr>
  </w:style>
  <w:style w:type="table" w:styleId="Tabellenraster">
    <w:name w:val="Table Grid"/>
    <w:basedOn w:val="NormaleTabelle"/>
    <w:uiPriority w:val="59"/>
    <w:rsid w:val="004B2C47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514DCD"/>
    <w:pPr>
      <w:outlineLvl w:val="9"/>
    </w:pPr>
  </w:style>
  <w:style w:type="paragraph" w:styleId="Verzeichnis1">
    <w:name w:val="toc 1"/>
    <w:basedOn w:val="Standard"/>
    <w:next w:val="Standard"/>
    <w:autoRedefine/>
    <w:uiPriority w:val="39"/>
    <w:unhideWhenUsed/>
    <w:rsid w:val="00514DCD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514DCD"/>
    <w:pPr>
      <w:spacing w:after="100"/>
      <w:ind w:left="220"/>
    </w:pPr>
  </w:style>
  <w:style w:type="character" w:styleId="Hyperlink">
    <w:name w:val="Hyperlink"/>
    <w:basedOn w:val="Absatz-Standardschriftart"/>
    <w:uiPriority w:val="99"/>
    <w:unhideWhenUsed/>
    <w:rsid w:val="00514DCD"/>
    <w:rPr>
      <w:color w:val="0000FF" w:themeColor="hyperlink"/>
      <w:u w:val="single"/>
    </w:rPr>
  </w:style>
  <w:style w:type="paragraph" w:styleId="Funotentext">
    <w:name w:val="footnote text"/>
    <w:basedOn w:val="Standard"/>
    <w:link w:val="FunotentextZchn"/>
    <w:uiPriority w:val="99"/>
    <w:unhideWhenUsed/>
    <w:rsid w:val="00AF3E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AF3E72"/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AF3E72"/>
    <w:rPr>
      <w:vertAlign w:val="superscript"/>
    </w:rPr>
  </w:style>
  <w:style w:type="paragraph" w:styleId="KeinLeerraum">
    <w:name w:val="No Spacing"/>
    <w:uiPriority w:val="1"/>
    <w:qFormat/>
    <w:rsid w:val="00BC55E1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F3204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32041"/>
  </w:style>
  <w:style w:type="paragraph" w:styleId="Fuzeile">
    <w:name w:val="footer"/>
    <w:basedOn w:val="Standard"/>
    <w:link w:val="FuzeileZchn"/>
    <w:uiPriority w:val="99"/>
    <w:unhideWhenUsed/>
    <w:rsid w:val="00F3204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32041"/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751089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7510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51089"/>
    <w:rPr>
      <w:rFonts w:ascii="Times New Roman" w:eastAsia="Times New Roman" w:hAnsi="Times New Roman" w:cs="Times New Roman"/>
      <w:b/>
      <w:bCs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51089"/>
    <w:rPr>
      <w:b/>
      <w:bCs/>
    </w:rPr>
  </w:style>
  <w:style w:type="paragraph" w:styleId="Listenabsatz">
    <w:name w:val="List Paragraph"/>
    <w:basedOn w:val="Standard"/>
    <w:uiPriority w:val="34"/>
    <w:qFormat/>
    <w:rsid w:val="00751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customStyle="1" w:styleId="highwire-cite-metadata-journal">
    <w:name w:val="highwire-cite-metadata-journal"/>
    <w:basedOn w:val="Absatz-Standardschriftart"/>
    <w:rsid w:val="00751089"/>
  </w:style>
  <w:style w:type="character" w:customStyle="1" w:styleId="highwire-cite-metadata-date">
    <w:name w:val="highwire-cite-metadata-date"/>
    <w:basedOn w:val="Absatz-Standardschriftart"/>
    <w:rsid w:val="00751089"/>
  </w:style>
  <w:style w:type="character" w:customStyle="1" w:styleId="highwire-cite-metadata-volume-pages">
    <w:name w:val="highwire-cite-metadata-volume-pages"/>
    <w:basedOn w:val="Absatz-Standardschriftart"/>
    <w:rsid w:val="00751089"/>
  </w:style>
  <w:style w:type="paragraph" w:styleId="HTMLVorformatiert">
    <w:name w:val="HTML Preformatted"/>
    <w:basedOn w:val="Standard"/>
    <w:link w:val="HTMLVorformatiertZchn"/>
    <w:uiPriority w:val="99"/>
    <w:unhideWhenUsed/>
    <w:rsid w:val="00751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de-DE" w:eastAsia="de-DE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sid w:val="00751089"/>
    <w:rPr>
      <w:rFonts w:ascii="Courier New" w:eastAsia="Times New Roman" w:hAnsi="Courier New" w:cs="Courier New"/>
      <w:sz w:val="20"/>
      <w:szCs w:val="20"/>
      <w:lang w:val="de-DE" w:eastAsia="de-DE"/>
    </w:rPr>
  </w:style>
  <w:style w:type="character" w:customStyle="1" w:styleId="gnkrckgcgsb">
    <w:name w:val="gnkrckgcgsb"/>
    <w:basedOn w:val="Absatz-Standardschriftart"/>
    <w:rsid w:val="00751089"/>
  </w:style>
  <w:style w:type="paragraph" w:styleId="Verzeichnis7">
    <w:name w:val="toc 7"/>
    <w:basedOn w:val="Standard"/>
    <w:next w:val="Standard"/>
    <w:autoRedefine/>
    <w:uiPriority w:val="39"/>
    <w:unhideWhenUsed/>
    <w:rsid w:val="00751089"/>
    <w:pPr>
      <w:spacing w:after="100"/>
      <w:ind w:left="1320"/>
    </w:pPr>
    <w:rPr>
      <w:rFonts w:eastAsiaTheme="minorEastAsia"/>
      <w:lang w:val="de-DE" w:eastAsia="de-DE"/>
    </w:rPr>
  </w:style>
  <w:style w:type="paragraph" w:styleId="Verzeichnis3">
    <w:name w:val="toc 3"/>
    <w:basedOn w:val="Standard"/>
    <w:next w:val="Standard"/>
    <w:autoRedefine/>
    <w:uiPriority w:val="39"/>
    <w:unhideWhenUsed/>
    <w:rsid w:val="00751089"/>
    <w:pPr>
      <w:spacing w:after="100" w:line="240" w:lineRule="auto"/>
      <w:ind w:left="480"/>
    </w:pPr>
    <w:rPr>
      <w:rFonts w:ascii="LMU CompatilFact" w:eastAsia="Times New Roman" w:hAnsi="LMU CompatilFact" w:cs="Times New Roman"/>
      <w:sz w:val="24"/>
      <w:szCs w:val="24"/>
      <w:lang w:eastAsia="de-DE"/>
    </w:rPr>
  </w:style>
  <w:style w:type="paragraph" w:styleId="Verzeichnis4">
    <w:name w:val="toc 4"/>
    <w:basedOn w:val="Standard"/>
    <w:next w:val="Standard"/>
    <w:autoRedefine/>
    <w:uiPriority w:val="39"/>
    <w:unhideWhenUsed/>
    <w:rsid w:val="00751089"/>
    <w:pPr>
      <w:spacing w:after="100" w:line="240" w:lineRule="auto"/>
      <w:ind w:left="720"/>
    </w:pPr>
    <w:rPr>
      <w:rFonts w:ascii="LMU CompatilFact" w:eastAsia="Times New Roman" w:hAnsi="LMU CompatilFact" w:cs="Times New Roman"/>
      <w:sz w:val="24"/>
      <w:szCs w:val="24"/>
      <w:lang w:eastAsia="de-DE"/>
    </w:rPr>
  </w:style>
  <w:style w:type="paragraph" w:styleId="Verzeichnis5">
    <w:name w:val="toc 5"/>
    <w:basedOn w:val="Standard"/>
    <w:next w:val="Standard"/>
    <w:autoRedefine/>
    <w:uiPriority w:val="39"/>
    <w:unhideWhenUsed/>
    <w:rsid w:val="00751089"/>
    <w:pPr>
      <w:spacing w:after="100" w:line="240" w:lineRule="auto"/>
      <w:ind w:left="960"/>
    </w:pPr>
    <w:rPr>
      <w:rFonts w:ascii="LMU CompatilFact" w:eastAsia="Times New Roman" w:hAnsi="LMU CompatilFact" w:cs="Times New Roman"/>
      <w:sz w:val="24"/>
      <w:szCs w:val="24"/>
      <w:lang w:eastAsia="de-DE"/>
    </w:rPr>
  </w:style>
  <w:style w:type="paragraph" w:styleId="Verzeichnis6">
    <w:name w:val="toc 6"/>
    <w:basedOn w:val="Standard"/>
    <w:next w:val="Standard"/>
    <w:autoRedefine/>
    <w:uiPriority w:val="39"/>
    <w:unhideWhenUsed/>
    <w:rsid w:val="00751089"/>
    <w:pPr>
      <w:spacing w:after="100" w:line="240" w:lineRule="auto"/>
      <w:ind w:left="1200"/>
    </w:pPr>
    <w:rPr>
      <w:rFonts w:ascii="LMU CompatilFact" w:eastAsia="Times New Roman" w:hAnsi="LMU CompatilFact" w:cs="Times New Roman"/>
      <w:sz w:val="24"/>
      <w:szCs w:val="24"/>
      <w:lang w:eastAsia="de-DE"/>
    </w:rPr>
  </w:style>
  <w:style w:type="paragraph" w:styleId="Verzeichnis8">
    <w:name w:val="toc 8"/>
    <w:basedOn w:val="Standard"/>
    <w:next w:val="Standard"/>
    <w:autoRedefine/>
    <w:uiPriority w:val="39"/>
    <w:unhideWhenUsed/>
    <w:rsid w:val="00751089"/>
    <w:pPr>
      <w:spacing w:after="100"/>
      <w:ind w:left="1540"/>
    </w:pPr>
    <w:rPr>
      <w:rFonts w:eastAsiaTheme="minorEastAsia"/>
      <w:lang w:val="de-DE" w:eastAsia="de-DE"/>
    </w:rPr>
  </w:style>
  <w:style w:type="paragraph" w:styleId="Verzeichnis9">
    <w:name w:val="toc 9"/>
    <w:basedOn w:val="Standard"/>
    <w:next w:val="Standard"/>
    <w:autoRedefine/>
    <w:uiPriority w:val="39"/>
    <w:unhideWhenUsed/>
    <w:rsid w:val="00751089"/>
    <w:pPr>
      <w:spacing w:after="100"/>
      <w:ind w:left="1760"/>
    </w:pPr>
    <w:rPr>
      <w:rFonts w:eastAsiaTheme="minorEastAsia"/>
      <w:lang w:val="de-DE" w:eastAsia="de-DE"/>
    </w:rPr>
  </w:style>
  <w:style w:type="paragraph" w:customStyle="1" w:styleId="Text">
    <w:name w:val="Text"/>
    <w:basedOn w:val="Standard"/>
    <w:link w:val="TextChar3"/>
    <w:rsid w:val="00751089"/>
    <w:pPr>
      <w:spacing w:before="120" w:after="0" w:line="240" w:lineRule="auto"/>
      <w:jc w:val="both"/>
    </w:pPr>
    <w:rPr>
      <w:rFonts w:ascii="Arial" w:eastAsia="MS Mincho" w:hAnsi="Arial" w:cs="Times New Roman"/>
      <w:szCs w:val="20"/>
    </w:rPr>
  </w:style>
  <w:style w:type="character" w:customStyle="1" w:styleId="TextChar3">
    <w:name w:val="Text Char3"/>
    <w:link w:val="Text"/>
    <w:locked/>
    <w:rsid w:val="00751089"/>
    <w:rPr>
      <w:rFonts w:ascii="Arial" w:eastAsia="MS Mincho" w:hAnsi="Arial" w:cs="Times New Roman"/>
      <w:szCs w:val="20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3D70D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D70D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D70D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D70D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D70D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D70D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D70D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Hervorhebung">
    <w:name w:val="Emphasis"/>
    <w:basedOn w:val="Absatz-Standardschriftart"/>
    <w:uiPriority w:val="20"/>
    <w:qFormat/>
    <w:rsid w:val="007F73CC"/>
    <w:rPr>
      <w:i/>
      <w:iCs/>
    </w:rPr>
  </w:style>
  <w:style w:type="character" w:styleId="BesuchterLink">
    <w:name w:val="FollowedHyperlink"/>
    <w:basedOn w:val="Absatz-Standardschriftart"/>
    <w:uiPriority w:val="99"/>
    <w:semiHidden/>
    <w:unhideWhenUsed/>
    <w:rsid w:val="00DB1927"/>
    <w:rPr>
      <w:color w:val="800080" w:themeColor="followedHyperlink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335E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7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0204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3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4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969581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97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52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26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902833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63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78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630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05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3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411880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37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7784718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6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03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24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19476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2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9581519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06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0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765065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9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11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175017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27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448691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5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8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447383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564738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7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26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6440504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1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71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6801533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82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07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29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34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2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5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1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700747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44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13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image" Target="media/image6.tif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tif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if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tiff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84AA7-6F5B-46EE-B798-86365A3D6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1478</Words>
  <Characters>9317</Characters>
  <Application>Microsoft Office Word</Application>
  <DocSecurity>0</DocSecurity>
  <Lines>77</Lines>
  <Paragraphs>21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manz</dc:creator>
  <cp:lastModifiedBy>Verena Dykstra</cp:lastModifiedBy>
  <cp:revision>2</cp:revision>
  <cp:lastPrinted>2021-06-03T17:08:00Z</cp:lastPrinted>
  <dcterms:created xsi:type="dcterms:W3CDTF">2022-02-21T09:19:00Z</dcterms:created>
  <dcterms:modified xsi:type="dcterms:W3CDTF">2022-02-21T09:19:00Z</dcterms:modified>
</cp:coreProperties>
</file>