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4A563" w14:textId="77777777" w:rsidR="00D446BE" w:rsidRDefault="00D446BE" w:rsidP="00D446BE">
      <w:pPr>
        <w:pStyle w:val="Heading1"/>
        <w:numPr>
          <w:ilvl w:val="0"/>
          <w:numId w:val="8"/>
        </w:numPr>
        <w:rPr>
          <w:sz w:val="22"/>
        </w:rPr>
      </w:pPr>
      <w:bookmarkStart w:id="0" w:name="_Toc9409635"/>
      <w:r>
        <w:t>SYNOPSIS</w:t>
      </w:r>
      <w:bookmarkEnd w:id="0"/>
    </w:p>
    <w:tbl>
      <w:tblPr>
        <w:tblW w:w="4984" w:type="pct"/>
        <w:tblLook w:val="0000" w:firstRow="0" w:lastRow="0" w:firstColumn="0" w:lastColumn="0" w:noHBand="0" w:noVBand="0"/>
      </w:tblPr>
      <w:tblGrid>
        <w:gridCol w:w="8959"/>
      </w:tblGrid>
      <w:tr w:rsidR="00D446BE" w14:paraId="5342E516" w14:textId="77777777" w:rsidTr="00F67D08">
        <w:tc>
          <w:tcPr>
            <w:tcW w:w="5000" w:type="pct"/>
            <w:tcBorders>
              <w:top w:val="double" w:sz="6" w:space="0" w:color="auto"/>
              <w:left w:val="double" w:sz="6" w:space="0" w:color="auto"/>
              <w:bottom w:val="single" w:sz="6" w:space="0" w:color="auto"/>
              <w:right w:val="double" w:sz="4" w:space="0" w:color="auto"/>
            </w:tcBorders>
          </w:tcPr>
          <w:p w14:paraId="43F96FCD" w14:textId="77777777" w:rsidR="00D446BE" w:rsidRDefault="00D446BE" w:rsidP="00F67D08">
            <w:pPr>
              <w:tabs>
                <w:tab w:val="left" w:pos="6015"/>
              </w:tabs>
              <w:spacing w:before="120" w:line="300" w:lineRule="exact"/>
              <w:jc w:val="left"/>
              <w:rPr>
                <w:b/>
                <w:sz w:val="22"/>
                <w:szCs w:val="22"/>
              </w:rPr>
            </w:pPr>
            <w:r>
              <w:rPr>
                <w:b/>
                <w:sz w:val="22"/>
                <w:szCs w:val="22"/>
              </w:rPr>
              <w:t xml:space="preserve">Name of Sponsor: </w:t>
            </w:r>
            <w:r>
              <w:rPr>
                <w:sz w:val="22"/>
                <w:szCs w:val="22"/>
                <w:lang w:val="en-IN" w:eastAsia="en-GB"/>
              </w:rPr>
              <w:t>Stealth BioTherapeutics Inc.</w:t>
            </w:r>
          </w:p>
        </w:tc>
      </w:tr>
      <w:tr w:rsidR="00D446BE" w14:paraId="74836B03" w14:textId="77777777" w:rsidTr="00F67D08">
        <w:tc>
          <w:tcPr>
            <w:tcW w:w="5000" w:type="pct"/>
            <w:tcBorders>
              <w:top w:val="single" w:sz="6" w:space="0" w:color="auto"/>
              <w:left w:val="double" w:sz="6" w:space="0" w:color="auto"/>
              <w:bottom w:val="double" w:sz="6" w:space="0" w:color="auto"/>
              <w:right w:val="double" w:sz="4" w:space="0" w:color="auto"/>
            </w:tcBorders>
          </w:tcPr>
          <w:p w14:paraId="485B601F" w14:textId="77777777" w:rsidR="00D446BE" w:rsidRDefault="00D446BE" w:rsidP="00F67D08">
            <w:pPr>
              <w:spacing w:before="120" w:line="300" w:lineRule="exact"/>
              <w:jc w:val="left"/>
              <w:rPr>
                <w:b/>
                <w:sz w:val="22"/>
                <w:szCs w:val="22"/>
              </w:rPr>
            </w:pPr>
            <w:r>
              <w:rPr>
                <w:b/>
                <w:sz w:val="22"/>
                <w:szCs w:val="22"/>
              </w:rPr>
              <w:t xml:space="preserve">Name of Active Ingredient: </w:t>
            </w:r>
            <w:r>
              <w:rPr>
                <w:sz w:val="22"/>
                <w:szCs w:val="22"/>
              </w:rPr>
              <w:t>Elamipretide (MTP-131)</w:t>
            </w:r>
          </w:p>
        </w:tc>
      </w:tr>
      <w:tr w:rsidR="00D446BE" w14:paraId="42522EFA"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double" w:sz="6" w:space="0" w:color="auto"/>
              <w:left w:val="double" w:sz="6" w:space="0" w:color="auto"/>
              <w:bottom w:val="nil"/>
              <w:right w:val="double" w:sz="6" w:space="0" w:color="auto"/>
            </w:tcBorders>
          </w:tcPr>
          <w:p w14:paraId="70AD458D" w14:textId="77777777" w:rsidR="00D446BE" w:rsidRDefault="00D446BE" w:rsidP="00F67D08">
            <w:pPr>
              <w:pStyle w:val="Synopsis"/>
              <w:keepNext/>
              <w:spacing w:before="120" w:after="120" w:line="300" w:lineRule="exact"/>
              <w:rPr>
                <w:rFonts w:cs="Times New Roman"/>
              </w:rPr>
            </w:pPr>
            <w:r>
              <w:rPr>
                <w:rFonts w:cs="Times New Roman"/>
                <w:b/>
              </w:rPr>
              <w:t xml:space="preserve">Title of Study: </w:t>
            </w:r>
            <w:r>
              <w:rPr>
                <w:rFonts w:cs="Times New Roman"/>
              </w:rPr>
              <w:t>A Phase 2 Randomized, Double-Blinded, Placebo-Controlled Study to Evaluate the Effects of Multiple Subcutaneous Injections of Elamipretide on Left Ventricular Function in Subjects with Stable Heart Failure with Reduced Ejection Fraction</w:t>
            </w:r>
          </w:p>
        </w:tc>
      </w:tr>
      <w:tr w:rsidR="00D446BE" w14:paraId="0747765C"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65E1174B" w14:textId="77777777" w:rsidR="00D446BE" w:rsidRDefault="00D446BE" w:rsidP="00F67D08">
            <w:pPr>
              <w:pStyle w:val="Synopsis"/>
              <w:keepNext/>
              <w:spacing w:before="120" w:after="120" w:line="300" w:lineRule="exact"/>
              <w:rPr>
                <w:rFonts w:cs="Times New Roman"/>
                <w:b/>
              </w:rPr>
            </w:pPr>
            <w:r>
              <w:rPr>
                <w:rFonts w:cs="Times New Roman"/>
                <w:b/>
              </w:rPr>
              <w:t xml:space="preserve">Number of Centre(s) and Countries: </w:t>
            </w:r>
            <w:r>
              <w:rPr>
                <w:rFonts w:cs="Times New Roman"/>
              </w:rPr>
              <w:t>This study was conducted in 15 centers in Europe with 14 of those sites consenting at least 1 subject.</w:t>
            </w:r>
          </w:p>
        </w:tc>
      </w:tr>
      <w:tr w:rsidR="00D446BE" w14:paraId="663EF1EA"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5B94604B" w14:textId="77777777" w:rsidR="00D446BE" w:rsidRDefault="00D446BE" w:rsidP="00F67D08">
            <w:pPr>
              <w:overflowPunct/>
              <w:spacing w:before="120" w:line="300" w:lineRule="exact"/>
              <w:jc w:val="left"/>
              <w:textAlignment w:val="auto"/>
              <w:rPr>
                <w:b/>
                <w:sz w:val="22"/>
                <w:szCs w:val="22"/>
              </w:rPr>
            </w:pPr>
            <w:r>
              <w:rPr>
                <w:b/>
                <w:sz w:val="22"/>
                <w:szCs w:val="22"/>
              </w:rPr>
              <w:t xml:space="preserve">Publications (References): </w:t>
            </w:r>
            <w:r>
              <w:rPr>
                <w:sz w:val="22"/>
                <w:szCs w:val="22"/>
              </w:rPr>
              <w:t>None</w:t>
            </w:r>
          </w:p>
        </w:tc>
      </w:tr>
      <w:tr w:rsidR="00D446BE" w14:paraId="281F40B1"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single" w:sz="4" w:space="0" w:color="auto"/>
              <w:right w:val="double" w:sz="6" w:space="0" w:color="auto"/>
            </w:tcBorders>
          </w:tcPr>
          <w:p w14:paraId="17D38197" w14:textId="77777777" w:rsidR="00D446BE" w:rsidRDefault="00D446BE" w:rsidP="00F67D08">
            <w:pPr>
              <w:pStyle w:val="Synopsis"/>
              <w:keepNext/>
              <w:spacing w:before="120" w:after="120" w:line="300" w:lineRule="exact"/>
              <w:jc w:val="left"/>
              <w:rPr>
                <w:rFonts w:cs="Times New Roman"/>
                <w:b/>
              </w:rPr>
            </w:pPr>
            <w:r>
              <w:rPr>
                <w:rFonts w:cs="Times New Roman"/>
                <w:b/>
              </w:rPr>
              <w:t xml:space="preserve">Phase of Development: </w:t>
            </w:r>
            <w:r>
              <w:rPr>
                <w:rFonts w:cs="Times New Roman"/>
              </w:rPr>
              <w:t>Phase 2</w:t>
            </w:r>
          </w:p>
        </w:tc>
      </w:tr>
      <w:tr w:rsidR="00D446BE" w14:paraId="0A913EBD"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single" w:sz="4" w:space="0" w:color="auto"/>
              <w:right w:val="double" w:sz="6" w:space="0" w:color="auto"/>
            </w:tcBorders>
          </w:tcPr>
          <w:p w14:paraId="5201A10A" w14:textId="77777777" w:rsidR="00D446BE" w:rsidRDefault="00D446BE" w:rsidP="00F67D08">
            <w:pPr>
              <w:pStyle w:val="Synopsis"/>
              <w:keepNext/>
              <w:spacing w:before="120" w:after="120" w:line="300" w:lineRule="exact"/>
              <w:jc w:val="left"/>
              <w:rPr>
                <w:rFonts w:cs="Times New Roman"/>
              </w:rPr>
            </w:pPr>
            <w:r>
              <w:rPr>
                <w:rFonts w:cs="Times New Roman"/>
                <w:b/>
                <w:bCs/>
              </w:rPr>
              <w:t xml:space="preserve">Principal Investigator: </w:t>
            </w:r>
            <w:r>
              <w:rPr>
                <w:rFonts w:cs="Times New Roman"/>
                <w:bCs/>
              </w:rPr>
              <w:t>Dr. Michele Senni (Italy)</w:t>
            </w:r>
          </w:p>
          <w:p w14:paraId="238BD533" w14:textId="77777777" w:rsidR="00D446BE" w:rsidRDefault="00D446BE" w:rsidP="00F67D08">
            <w:pPr>
              <w:pStyle w:val="Synopsis"/>
              <w:keepNext/>
              <w:spacing w:before="120" w:after="120" w:line="300" w:lineRule="exact"/>
              <w:jc w:val="left"/>
              <w:rPr>
                <w:rFonts w:cs="Times New Roman"/>
                <w:lang w:val="de-DE"/>
              </w:rPr>
            </w:pPr>
            <w:r>
              <w:rPr>
                <w:rFonts w:cs="Times New Roman"/>
              </w:rPr>
              <w:t xml:space="preserve">                                        Professor </w:t>
            </w:r>
            <w:r>
              <w:rPr>
                <w:rFonts w:cs="Times New Roman"/>
                <w:lang w:val="de-DE"/>
              </w:rPr>
              <w:t>Dr. Adriaan Voors (Netherlands)</w:t>
            </w:r>
          </w:p>
          <w:p w14:paraId="467ED3D4" w14:textId="77777777" w:rsidR="00D446BE" w:rsidRDefault="00D446BE" w:rsidP="00F67D08">
            <w:pPr>
              <w:pStyle w:val="Synopsis"/>
              <w:keepNext/>
              <w:spacing w:before="120" w:after="120" w:line="300" w:lineRule="exact"/>
              <w:jc w:val="left"/>
              <w:rPr>
                <w:rFonts w:cs="Times New Roman"/>
                <w:b/>
                <w:lang w:val="de-DE"/>
              </w:rPr>
            </w:pPr>
            <w:r>
              <w:rPr>
                <w:rFonts w:cs="Times New Roman"/>
                <w:lang w:val="de-DE"/>
              </w:rPr>
              <w:t xml:space="preserve">                                        Professor Dr. Chim Lang (UK)</w:t>
            </w:r>
          </w:p>
        </w:tc>
      </w:tr>
      <w:tr w:rsidR="00D446BE" w14:paraId="6F3992E6"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4" w:space="0" w:color="auto"/>
              <w:left w:val="double" w:sz="4" w:space="0" w:color="auto"/>
              <w:bottom w:val="single" w:sz="4" w:space="0" w:color="auto"/>
              <w:right w:val="double" w:sz="4" w:space="0" w:color="auto"/>
            </w:tcBorders>
          </w:tcPr>
          <w:p w14:paraId="0120A085" w14:textId="77777777" w:rsidR="00D446BE" w:rsidRDefault="00D446BE" w:rsidP="00F67D08">
            <w:pPr>
              <w:pStyle w:val="Synopsis"/>
              <w:keepNext/>
              <w:spacing w:before="120" w:after="120" w:line="300" w:lineRule="exact"/>
              <w:jc w:val="left"/>
              <w:rPr>
                <w:rFonts w:cs="Times New Roman"/>
                <w:b/>
              </w:rPr>
            </w:pPr>
            <w:r>
              <w:rPr>
                <w:rFonts w:cs="Times New Roman"/>
                <w:b/>
              </w:rPr>
              <w:t>Study Period:</w:t>
            </w:r>
          </w:p>
          <w:p w14:paraId="5BBAC935" w14:textId="77777777" w:rsidR="00D446BE" w:rsidRDefault="00D446BE" w:rsidP="00F67D08">
            <w:pPr>
              <w:pStyle w:val="Synopsis"/>
              <w:keepNext/>
              <w:spacing w:before="120" w:after="120" w:line="300" w:lineRule="exact"/>
              <w:jc w:val="left"/>
              <w:rPr>
                <w:rFonts w:cs="Times New Roman"/>
                <w:b/>
              </w:rPr>
            </w:pPr>
            <w:r>
              <w:rPr>
                <w:rFonts w:cs="Times New Roman"/>
                <w:b/>
              </w:rPr>
              <w:t xml:space="preserve">First Patient Randomized: </w:t>
            </w:r>
            <w:r>
              <w:rPr>
                <w:rFonts w:cs="Times New Roman"/>
              </w:rPr>
              <w:t>20 Jun 2016</w:t>
            </w:r>
            <w:r>
              <w:rPr>
                <w:rFonts w:cs="Times New Roman"/>
                <w:b/>
              </w:rPr>
              <w:t xml:space="preserve"> </w:t>
            </w:r>
          </w:p>
          <w:p w14:paraId="27C5ED9E" w14:textId="77777777" w:rsidR="00D446BE" w:rsidRDefault="00D446BE" w:rsidP="00F67D08">
            <w:pPr>
              <w:pStyle w:val="Synopsis"/>
              <w:keepNext/>
              <w:spacing w:before="120" w:after="120" w:line="300" w:lineRule="exact"/>
              <w:jc w:val="left"/>
              <w:rPr>
                <w:rFonts w:cs="Times New Roman"/>
                <w:b/>
              </w:rPr>
            </w:pPr>
            <w:r>
              <w:rPr>
                <w:rFonts w:cs="Times New Roman"/>
                <w:b/>
              </w:rPr>
              <w:t xml:space="preserve">Last Patient Completed: </w:t>
            </w:r>
            <w:r>
              <w:rPr>
                <w:rFonts w:cs="Times New Roman"/>
              </w:rPr>
              <w:t>12 Oct 2017</w:t>
            </w:r>
          </w:p>
        </w:tc>
      </w:tr>
      <w:tr w:rsidR="00D446BE" w14:paraId="46EDC53B"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4" w:space="0" w:color="auto"/>
              <w:left w:val="double" w:sz="6" w:space="0" w:color="auto"/>
              <w:bottom w:val="single" w:sz="6" w:space="0" w:color="auto"/>
              <w:right w:val="double" w:sz="6" w:space="0" w:color="auto"/>
            </w:tcBorders>
          </w:tcPr>
          <w:p w14:paraId="0EC56CDB" w14:textId="77777777" w:rsidR="00D446BE" w:rsidRDefault="00D446BE" w:rsidP="00F67D08">
            <w:pPr>
              <w:keepNext/>
              <w:keepLines/>
              <w:spacing w:before="120" w:line="300" w:lineRule="exact"/>
              <w:jc w:val="left"/>
              <w:rPr>
                <w:b/>
                <w:sz w:val="22"/>
                <w:szCs w:val="22"/>
              </w:rPr>
            </w:pPr>
            <w:r>
              <w:rPr>
                <w:b/>
                <w:sz w:val="22"/>
                <w:szCs w:val="22"/>
              </w:rPr>
              <w:t xml:space="preserve">Reporting Period: </w:t>
            </w:r>
            <w:r>
              <w:rPr>
                <w:sz w:val="22"/>
                <w:szCs w:val="22"/>
              </w:rPr>
              <w:t>20 June 2016 to 12 October 2017</w:t>
            </w:r>
          </w:p>
        </w:tc>
      </w:tr>
      <w:tr w:rsidR="00D446BE" w14:paraId="6022EBD1"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single" w:sz="4" w:space="0" w:color="auto"/>
              <w:right w:val="double" w:sz="6" w:space="0" w:color="auto"/>
            </w:tcBorders>
          </w:tcPr>
          <w:p w14:paraId="2AB440B3" w14:textId="77777777" w:rsidR="00D446BE" w:rsidRDefault="00D446BE" w:rsidP="00F67D08">
            <w:pPr>
              <w:pStyle w:val="Synopsis"/>
              <w:keepNext/>
              <w:tabs>
                <w:tab w:val="left" w:pos="284"/>
              </w:tabs>
              <w:spacing w:before="120" w:after="120" w:line="300" w:lineRule="exact"/>
              <w:rPr>
                <w:rFonts w:cs="Times New Roman"/>
                <w:b/>
              </w:rPr>
            </w:pPr>
            <w:r>
              <w:rPr>
                <w:rFonts w:cs="Times New Roman"/>
                <w:b/>
              </w:rPr>
              <w:t>Objectives:</w:t>
            </w:r>
          </w:p>
        </w:tc>
      </w:tr>
      <w:tr w:rsidR="00D446BE" w14:paraId="5AA07726"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4" w:space="0" w:color="auto"/>
              <w:left w:val="double" w:sz="6" w:space="0" w:color="auto"/>
              <w:bottom w:val="single" w:sz="6" w:space="0" w:color="auto"/>
              <w:right w:val="double" w:sz="6" w:space="0" w:color="auto"/>
            </w:tcBorders>
          </w:tcPr>
          <w:p w14:paraId="36BD9422" w14:textId="77777777" w:rsidR="00D446BE" w:rsidRDefault="00D446BE" w:rsidP="00F67D08">
            <w:pPr>
              <w:pStyle w:val="Synopsis"/>
              <w:tabs>
                <w:tab w:val="left" w:pos="284"/>
              </w:tabs>
              <w:spacing w:before="120" w:after="120" w:line="300" w:lineRule="exact"/>
              <w:rPr>
                <w:rFonts w:cs="Times New Roman"/>
                <w:b/>
              </w:rPr>
            </w:pPr>
            <w:r>
              <w:rPr>
                <w:rFonts w:cs="Times New Roman"/>
                <w:b/>
              </w:rPr>
              <w:t>Primary:</w:t>
            </w:r>
          </w:p>
          <w:p w14:paraId="21E8A2B6" w14:textId="77777777" w:rsidR="00D446BE" w:rsidRDefault="00D446BE" w:rsidP="00D446BE">
            <w:pPr>
              <w:pStyle w:val="Comment"/>
              <w:numPr>
                <w:ilvl w:val="0"/>
                <w:numId w:val="3"/>
              </w:numPr>
              <w:spacing w:before="120" w:after="120" w:line="300" w:lineRule="exact"/>
              <w:rPr>
                <w:i w:val="0"/>
                <w:color w:val="auto"/>
                <w:sz w:val="22"/>
                <w:szCs w:val="22"/>
                <w:lang w:val="en-IN"/>
              </w:rPr>
            </w:pPr>
            <w:r>
              <w:rPr>
                <w:i w:val="0"/>
                <w:color w:val="auto"/>
                <w:sz w:val="22"/>
                <w:szCs w:val="22"/>
                <w:lang w:val="en-IN"/>
              </w:rPr>
              <w:t>To evaluate the effects of multiple subcutaneous (SC) doses of elamipretide on left ventricular end systolic volume (LV ESV) assessed by cardiac Magnetic Resonance Imaging (MRI)</w:t>
            </w:r>
            <w:r>
              <w:rPr>
                <w:i w:val="0"/>
                <w:color w:val="auto"/>
                <w:sz w:val="22"/>
                <w:szCs w:val="22"/>
              </w:rPr>
              <w:t>.</w:t>
            </w:r>
          </w:p>
          <w:p w14:paraId="74B6E918" w14:textId="77777777" w:rsidR="00D446BE" w:rsidRDefault="00D446BE" w:rsidP="00F67D08">
            <w:pPr>
              <w:pStyle w:val="Synopsis"/>
              <w:tabs>
                <w:tab w:val="left" w:pos="284"/>
              </w:tabs>
              <w:spacing w:before="120" w:after="120" w:line="300" w:lineRule="exact"/>
              <w:rPr>
                <w:rFonts w:cs="Times New Roman"/>
                <w:b/>
              </w:rPr>
            </w:pPr>
            <w:r>
              <w:rPr>
                <w:rFonts w:cs="Times New Roman"/>
                <w:b/>
              </w:rPr>
              <w:t>Secondary:</w:t>
            </w:r>
          </w:p>
          <w:p w14:paraId="28193AC7" w14:textId="77777777" w:rsidR="00D446BE" w:rsidRDefault="00D446BE" w:rsidP="00D446BE">
            <w:pPr>
              <w:pStyle w:val="Comment"/>
              <w:numPr>
                <w:ilvl w:val="0"/>
                <w:numId w:val="2"/>
              </w:numPr>
              <w:spacing w:before="120" w:after="120" w:line="300" w:lineRule="exact"/>
              <w:rPr>
                <w:i w:val="0"/>
                <w:color w:val="auto"/>
                <w:sz w:val="22"/>
                <w:szCs w:val="22"/>
              </w:rPr>
            </w:pPr>
            <w:r>
              <w:rPr>
                <w:i w:val="0"/>
                <w:color w:val="auto"/>
                <w:sz w:val="22"/>
                <w:szCs w:val="22"/>
              </w:rPr>
              <w:t>To evaluate the safety and tolerability of multiple SC doses of elamipretide</w:t>
            </w:r>
          </w:p>
          <w:p w14:paraId="6AF09DE9" w14:textId="77777777" w:rsidR="00D446BE" w:rsidRDefault="00D446BE" w:rsidP="00D446BE">
            <w:pPr>
              <w:pStyle w:val="Comment"/>
              <w:numPr>
                <w:ilvl w:val="0"/>
                <w:numId w:val="2"/>
              </w:numPr>
              <w:spacing w:before="120" w:after="120" w:line="300" w:lineRule="exact"/>
              <w:rPr>
                <w:i w:val="0"/>
                <w:color w:val="auto"/>
                <w:sz w:val="22"/>
                <w:szCs w:val="22"/>
              </w:rPr>
            </w:pPr>
            <w:r>
              <w:rPr>
                <w:i w:val="0"/>
                <w:color w:val="auto"/>
                <w:sz w:val="22"/>
                <w:szCs w:val="22"/>
              </w:rPr>
              <w:t xml:space="preserve">To evaluate the effects of multiple SC doses of elamipretide on </w:t>
            </w:r>
            <w:r>
              <w:rPr>
                <w:i w:val="0"/>
                <w:color w:val="auto"/>
                <w:sz w:val="22"/>
                <w:szCs w:val="22"/>
                <w:lang w:val="en-IN"/>
              </w:rPr>
              <w:t>left ventricular</w:t>
            </w:r>
            <w:r>
              <w:rPr>
                <w:i w:val="0"/>
                <w:color w:val="auto"/>
                <w:sz w:val="22"/>
                <w:szCs w:val="22"/>
              </w:rPr>
              <w:t xml:space="preserve"> (LV) systolic and diastolic function, LV volumes, LV global longitudinal strain, left atrial (LAV) volume, LV mass (LVM), mitral and tricuspid regurgitation severity, and right ventricular (RV) function.</w:t>
            </w:r>
          </w:p>
          <w:p w14:paraId="2BE6E7A3" w14:textId="77777777" w:rsidR="00D446BE" w:rsidRDefault="00D446BE" w:rsidP="00F67D08">
            <w:pPr>
              <w:pStyle w:val="Synopsis"/>
              <w:keepNext/>
              <w:tabs>
                <w:tab w:val="left" w:pos="284"/>
              </w:tabs>
              <w:spacing w:before="120" w:after="120" w:line="300" w:lineRule="exact"/>
              <w:rPr>
                <w:rFonts w:cs="Times New Roman"/>
                <w:b/>
              </w:rPr>
            </w:pPr>
            <w:r>
              <w:rPr>
                <w:rFonts w:cs="Times New Roman"/>
                <w:b/>
              </w:rPr>
              <w:t>Exploratory:</w:t>
            </w:r>
          </w:p>
          <w:p w14:paraId="54511295" w14:textId="77777777" w:rsidR="00D446BE" w:rsidRDefault="00D446BE" w:rsidP="00F67D08">
            <w:pPr>
              <w:pStyle w:val="Comment"/>
              <w:spacing w:before="120" w:after="120" w:line="300" w:lineRule="exact"/>
              <w:ind w:left="360"/>
              <w:rPr>
                <w:i w:val="0"/>
                <w:color w:val="auto"/>
                <w:sz w:val="22"/>
                <w:szCs w:val="22"/>
              </w:rPr>
            </w:pPr>
            <w:r>
              <w:rPr>
                <w:i w:val="0"/>
                <w:color w:val="auto"/>
                <w:sz w:val="22"/>
                <w:szCs w:val="22"/>
              </w:rPr>
              <w:t xml:space="preserve">To evaluate the effects of multiple SC doses of elamipretide on: </w:t>
            </w:r>
          </w:p>
          <w:p w14:paraId="4542CB13" w14:textId="77777777" w:rsidR="00D446BE" w:rsidRDefault="00D446BE" w:rsidP="00D446BE">
            <w:pPr>
              <w:pStyle w:val="Comment"/>
              <w:numPr>
                <w:ilvl w:val="0"/>
                <w:numId w:val="7"/>
              </w:numPr>
              <w:tabs>
                <w:tab w:val="clear" w:pos="1350"/>
              </w:tabs>
              <w:spacing w:before="120" w:after="120" w:line="300" w:lineRule="exact"/>
              <w:ind w:left="707" w:hanging="270"/>
              <w:rPr>
                <w:i w:val="0"/>
                <w:color w:val="auto"/>
                <w:sz w:val="22"/>
                <w:szCs w:val="22"/>
              </w:rPr>
            </w:pPr>
            <w:r>
              <w:rPr>
                <w:i w:val="0"/>
                <w:color w:val="auto"/>
                <w:sz w:val="22"/>
                <w:szCs w:val="22"/>
              </w:rPr>
              <w:t>6-minute walking distance</w:t>
            </w:r>
          </w:p>
          <w:p w14:paraId="2E7575CA" w14:textId="77777777" w:rsidR="00D446BE" w:rsidRDefault="00D446BE" w:rsidP="00D446BE">
            <w:pPr>
              <w:pStyle w:val="Comment"/>
              <w:numPr>
                <w:ilvl w:val="0"/>
                <w:numId w:val="7"/>
              </w:numPr>
              <w:tabs>
                <w:tab w:val="clear" w:pos="1350"/>
              </w:tabs>
              <w:spacing w:before="120" w:after="120" w:line="300" w:lineRule="exact"/>
              <w:ind w:left="707" w:hanging="270"/>
              <w:rPr>
                <w:i w:val="0"/>
                <w:color w:val="auto"/>
                <w:sz w:val="22"/>
                <w:szCs w:val="22"/>
              </w:rPr>
            </w:pPr>
            <w:r>
              <w:rPr>
                <w:i w:val="0"/>
                <w:color w:val="auto"/>
                <w:sz w:val="22"/>
                <w:szCs w:val="22"/>
              </w:rPr>
              <w:lastRenderedPageBreak/>
              <w:t>Quality of Life</w:t>
            </w:r>
          </w:p>
          <w:p w14:paraId="6B3490B6" w14:textId="77777777" w:rsidR="00D446BE" w:rsidRDefault="00D446BE" w:rsidP="00D446BE">
            <w:pPr>
              <w:pStyle w:val="Comment"/>
              <w:numPr>
                <w:ilvl w:val="0"/>
                <w:numId w:val="7"/>
              </w:numPr>
              <w:tabs>
                <w:tab w:val="clear" w:pos="1350"/>
              </w:tabs>
              <w:spacing w:before="120" w:after="120" w:line="300" w:lineRule="exact"/>
              <w:ind w:left="707" w:hanging="270"/>
              <w:rPr>
                <w:i w:val="0"/>
                <w:color w:val="auto"/>
                <w:sz w:val="22"/>
                <w:szCs w:val="22"/>
              </w:rPr>
            </w:pPr>
            <w:r>
              <w:rPr>
                <w:i w:val="0"/>
                <w:color w:val="auto"/>
                <w:sz w:val="22"/>
                <w:szCs w:val="22"/>
              </w:rPr>
              <w:t>N-terminal pro-brain natriuretic peptide (NT-pro-BNP) levels</w:t>
            </w:r>
          </w:p>
        </w:tc>
      </w:tr>
      <w:tr w:rsidR="00D446BE" w14:paraId="1B185C59"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5907CF56" w14:textId="77777777" w:rsidR="00D446BE" w:rsidRDefault="00D446BE" w:rsidP="00F67D08">
            <w:pPr>
              <w:pStyle w:val="Synopsis"/>
              <w:keepNext/>
              <w:spacing w:before="120" w:after="120" w:line="300" w:lineRule="exact"/>
              <w:rPr>
                <w:rFonts w:cs="Times New Roman"/>
                <w:b/>
              </w:rPr>
            </w:pPr>
            <w:r>
              <w:rPr>
                <w:rFonts w:cs="Times New Roman"/>
                <w:b/>
              </w:rPr>
              <w:lastRenderedPageBreak/>
              <w:t>Methodology:</w:t>
            </w:r>
          </w:p>
          <w:p w14:paraId="1BA9EA9D" w14:textId="77777777" w:rsidR="00D446BE" w:rsidRDefault="00D446BE" w:rsidP="00F67D08">
            <w:pPr>
              <w:overflowPunct/>
              <w:spacing w:before="120" w:line="300" w:lineRule="exact"/>
              <w:textAlignment w:val="auto"/>
              <w:rPr>
                <w:sz w:val="22"/>
                <w:szCs w:val="22"/>
                <w:lang w:val="en-IN" w:eastAsia="en-GB"/>
              </w:rPr>
            </w:pPr>
            <w:r>
              <w:rPr>
                <w:sz w:val="22"/>
                <w:szCs w:val="22"/>
                <w:lang w:val="en-IN" w:eastAsia="en-GB"/>
              </w:rPr>
              <w:t>This was a randomized, double-blinded, placebo-controlled, multiple dose study in subjects with stable heart failure (HF) with reduced ejection fraction (HFrEF). After completing the Screening period, a total of 71 subjects were randomized, in a 1:1:1 ratio, to receive either placebo, 4 mg elamipretide, or 40 mg elamipretide once daily for 28 consecutive days.</w:t>
            </w:r>
          </w:p>
          <w:p w14:paraId="609A50BD" w14:textId="77777777" w:rsidR="00D446BE" w:rsidRDefault="00D446BE" w:rsidP="00F67D08">
            <w:pPr>
              <w:overflowPunct/>
              <w:spacing w:before="120" w:line="300" w:lineRule="exact"/>
              <w:textAlignment w:val="auto"/>
              <w:rPr>
                <w:sz w:val="22"/>
                <w:szCs w:val="22"/>
                <w:lang w:val="en-IN" w:eastAsia="en-GB"/>
              </w:rPr>
            </w:pPr>
            <w:r>
              <w:rPr>
                <w:sz w:val="22"/>
                <w:szCs w:val="22"/>
                <w:lang w:val="en-IN" w:eastAsia="en-GB"/>
              </w:rPr>
              <w:t>Each treatment group went through 3 distinct periods: Screening, Treatment, and Follow</w:t>
            </w:r>
            <w:r>
              <w:rPr>
                <w:sz w:val="22"/>
                <w:szCs w:val="22"/>
                <w:lang w:val="en-IN" w:eastAsia="en-GB"/>
              </w:rPr>
              <w:noBreakHyphen/>
              <w:t>up. Study procedures, their timing, and additional details for the 3 study periods are found in the Study Schedule in Attachment 1 and are detailed in the Protocol (</w:t>
            </w:r>
            <w:r>
              <w:rPr>
                <w:color w:val="0000FF"/>
                <w:sz w:val="22"/>
                <w:szCs w:val="22"/>
                <w:lang w:val="en-IN" w:eastAsia="en-GB"/>
              </w:rPr>
              <w:t>Appendix</w:t>
            </w:r>
            <w:r>
              <w:rPr>
                <w:color w:val="000000" w:themeColor="text1"/>
                <w:sz w:val="22"/>
                <w:szCs w:val="22"/>
                <w:lang w:val="en-IN" w:eastAsia="en-GB"/>
              </w:rPr>
              <w:t xml:space="preserve"> </w:t>
            </w:r>
            <w:r>
              <w:rPr>
                <w:color w:val="0000FF"/>
                <w:sz w:val="22"/>
                <w:szCs w:val="22"/>
                <w:lang w:val="en-IN" w:eastAsia="en-GB"/>
              </w:rPr>
              <w:t>16.1.1</w:t>
            </w:r>
            <w:r>
              <w:rPr>
                <w:sz w:val="22"/>
                <w:szCs w:val="22"/>
                <w:lang w:val="en-IN" w:eastAsia="en-GB"/>
              </w:rPr>
              <w:t>). Details regarding the clinical laboratory tests performed are found in Attachment 2 of the Protocol and were detailed in the protocol.</w:t>
            </w:r>
          </w:p>
        </w:tc>
      </w:tr>
      <w:tr w:rsidR="00D446BE" w14:paraId="241B9047"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109B7536" w14:textId="77777777" w:rsidR="00D446BE" w:rsidRDefault="00D446BE" w:rsidP="00F67D08">
            <w:pPr>
              <w:pStyle w:val="Synopsis"/>
              <w:keepNext/>
              <w:spacing w:before="120" w:after="120" w:line="300" w:lineRule="exact"/>
              <w:rPr>
                <w:rFonts w:cs="Times New Roman"/>
                <w:b/>
              </w:rPr>
            </w:pPr>
            <w:r>
              <w:rPr>
                <w:rFonts w:cs="Times New Roman"/>
                <w:b/>
              </w:rPr>
              <w:t>Duration of Treatment:</w:t>
            </w:r>
          </w:p>
          <w:p w14:paraId="36EC58E8" w14:textId="77777777" w:rsidR="00D446BE" w:rsidRDefault="00D446BE" w:rsidP="00F67D08">
            <w:pPr>
              <w:pStyle w:val="Synopsis"/>
              <w:keepNext/>
              <w:spacing w:before="120" w:after="120" w:line="300" w:lineRule="exact"/>
              <w:rPr>
                <w:rFonts w:cs="Times New Roman"/>
              </w:rPr>
            </w:pPr>
            <w:r>
              <w:rPr>
                <w:rFonts w:cs="Times New Roman"/>
              </w:rPr>
              <w:t>28 days.</w:t>
            </w:r>
          </w:p>
        </w:tc>
      </w:tr>
      <w:tr w:rsidR="00D446BE" w14:paraId="0FFF0ABF"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507ABF05" w14:textId="77777777" w:rsidR="00D446BE" w:rsidRDefault="00D446BE" w:rsidP="00F67D08">
            <w:pPr>
              <w:pStyle w:val="Synopsis"/>
              <w:keepNext/>
              <w:tabs>
                <w:tab w:val="left" w:pos="284"/>
              </w:tabs>
              <w:spacing w:before="120" w:after="120" w:line="300" w:lineRule="exact"/>
              <w:rPr>
                <w:rFonts w:cs="Times New Roman"/>
                <w:b/>
              </w:rPr>
            </w:pPr>
            <w:r>
              <w:rPr>
                <w:rFonts w:cs="Times New Roman"/>
                <w:b/>
              </w:rPr>
              <w:t>Number of Subjects:</w:t>
            </w:r>
          </w:p>
        </w:tc>
      </w:tr>
      <w:tr w:rsidR="00D446BE" w14:paraId="7B405EF2"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nil"/>
              <w:left w:val="double" w:sz="6" w:space="0" w:color="auto"/>
              <w:bottom w:val="single" w:sz="6" w:space="0" w:color="auto"/>
              <w:right w:val="double" w:sz="6" w:space="0" w:color="auto"/>
            </w:tcBorders>
          </w:tcPr>
          <w:p w14:paraId="464BF264" w14:textId="77777777" w:rsidR="00D446BE" w:rsidRDefault="00D446BE" w:rsidP="00F67D08">
            <w:pPr>
              <w:pStyle w:val="Synopsis"/>
              <w:keepNext/>
              <w:tabs>
                <w:tab w:val="left" w:pos="284"/>
              </w:tabs>
              <w:spacing w:before="120" w:after="120" w:line="300" w:lineRule="exact"/>
              <w:rPr>
                <w:rFonts w:cs="Times New Roman"/>
                <w:b/>
              </w:rPr>
            </w:pPr>
            <w:r>
              <w:rPr>
                <w:rFonts w:cs="Times New Roman"/>
                <w:b/>
              </w:rPr>
              <w:t>Planned:</w:t>
            </w:r>
          </w:p>
          <w:p w14:paraId="6A9EB839" w14:textId="77777777" w:rsidR="00D446BE" w:rsidRDefault="00D446BE" w:rsidP="00F67D08">
            <w:pPr>
              <w:pStyle w:val="Comment"/>
              <w:keepNext/>
              <w:tabs>
                <w:tab w:val="left" w:pos="7020"/>
              </w:tabs>
              <w:spacing w:before="120" w:after="120" w:line="300" w:lineRule="exact"/>
              <w:rPr>
                <w:i w:val="0"/>
                <w:color w:val="auto"/>
                <w:sz w:val="22"/>
                <w:szCs w:val="22"/>
              </w:rPr>
            </w:pPr>
            <w:r>
              <w:rPr>
                <w:i w:val="0"/>
                <w:color w:val="auto"/>
                <w:sz w:val="22"/>
                <w:szCs w:val="22"/>
                <w:lang w:val="en-IN"/>
              </w:rPr>
              <w:t>Approximately 70 subjects were to be randomized</w:t>
            </w:r>
            <w:r>
              <w:rPr>
                <w:i w:val="0"/>
                <w:color w:val="auto"/>
                <w:sz w:val="22"/>
                <w:szCs w:val="22"/>
              </w:rPr>
              <w:t>.</w:t>
            </w:r>
          </w:p>
          <w:p w14:paraId="660E5100" w14:textId="77777777" w:rsidR="00D446BE" w:rsidRDefault="00D446BE" w:rsidP="00F67D08">
            <w:pPr>
              <w:pStyle w:val="Synopsis"/>
              <w:keepNext/>
              <w:tabs>
                <w:tab w:val="left" w:pos="284"/>
              </w:tabs>
              <w:spacing w:before="120" w:after="120" w:line="300" w:lineRule="exact"/>
              <w:rPr>
                <w:rFonts w:cs="Times New Roman"/>
                <w:b/>
              </w:rPr>
            </w:pPr>
            <w:r>
              <w:rPr>
                <w:rFonts w:cs="Times New Roman"/>
                <w:b/>
              </w:rPr>
              <w:t>Analyzed:</w:t>
            </w:r>
          </w:p>
          <w:p w14:paraId="4E46553A" w14:textId="77777777" w:rsidR="00D446BE" w:rsidRDefault="00D446BE" w:rsidP="00F67D08">
            <w:pPr>
              <w:pStyle w:val="Synopsis"/>
              <w:keepNext/>
              <w:tabs>
                <w:tab w:val="left" w:pos="284"/>
              </w:tabs>
              <w:spacing w:before="120" w:after="120" w:line="300" w:lineRule="exact"/>
              <w:rPr>
                <w:rFonts w:cs="Times New Roman"/>
              </w:rPr>
            </w:pPr>
            <w:r>
              <w:rPr>
                <w:rFonts w:cs="Times New Roman"/>
              </w:rPr>
              <w:t>A total of 71 subjects were randomized and analyzed during the study.</w:t>
            </w:r>
          </w:p>
        </w:tc>
      </w:tr>
      <w:tr w:rsidR="00D446BE" w14:paraId="3555BCCE"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6F8751B0" w14:textId="77777777" w:rsidR="00D446BE" w:rsidRDefault="00D446BE" w:rsidP="00F67D08">
            <w:pPr>
              <w:pStyle w:val="Synopsis"/>
              <w:keepNext/>
              <w:spacing w:before="0" w:after="120" w:line="300" w:lineRule="exact"/>
              <w:rPr>
                <w:rFonts w:cs="Times New Roman"/>
              </w:rPr>
            </w:pPr>
            <w:r>
              <w:rPr>
                <w:rFonts w:cs="Times New Roman"/>
                <w:b/>
              </w:rPr>
              <w:t>Diagnosis and Main Criteria for Eligibility:</w:t>
            </w:r>
          </w:p>
        </w:tc>
      </w:tr>
      <w:tr w:rsidR="00D446BE" w14:paraId="688EE5D8"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nil"/>
              <w:left w:val="double" w:sz="6" w:space="0" w:color="auto"/>
              <w:bottom w:val="single" w:sz="6" w:space="0" w:color="auto"/>
              <w:right w:val="double" w:sz="6" w:space="0" w:color="auto"/>
            </w:tcBorders>
          </w:tcPr>
          <w:p w14:paraId="35390C05" w14:textId="77777777" w:rsidR="00D446BE" w:rsidRPr="007D3C07" w:rsidRDefault="00D446BE" w:rsidP="00F67D08">
            <w:pPr>
              <w:pStyle w:val="Comment"/>
              <w:spacing w:before="0" w:after="120" w:line="300" w:lineRule="exact"/>
              <w:rPr>
                <w:i w:val="0"/>
                <w:color w:val="auto"/>
                <w:sz w:val="22"/>
                <w:szCs w:val="22"/>
              </w:rPr>
            </w:pPr>
            <w:r w:rsidRPr="007D3C07">
              <w:rPr>
                <w:bCs/>
                <w:i w:val="0"/>
                <w:color w:val="auto"/>
                <w:sz w:val="22"/>
                <w:szCs w:val="22"/>
              </w:rPr>
              <w:t xml:space="preserve">Subjects ≥40 and </w:t>
            </w:r>
            <w:r w:rsidRPr="007D3C07">
              <w:rPr>
                <w:bCs/>
                <w:i w:val="0"/>
                <w:color w:val="auto"/>
                <w:sz w:val="22"/>
                <w:szCs w:val="22"/>
                <w:u w:val="single"/>
              </w:rPr>
              <w:t>&lt;</w:t>
            </w:r>
            <w:r w:rsidRPr="007D3C07">
              <w:rPr>
                <w:bCs/>
                <w:i w:val="0"/>
                <w:color w:val="auto"/>
                <w:sz w:val="22"/>
                <w:szCs w:val="22"/>
              </w:rPr>
              <w:t>80 years with known history of chronic ischemic or non-ischemic cardiomyopathy of at least 6 months duration or signs and symptoms consistent with stable HF receiving HF treatment (stable doses ≥1 month, with normal sinus rhythm, and left ventricular ejection fraction (LVEF) ≤40% by 2-D echocardiography.</w:t>
            </w:r>
          </w:p>
        </w:tc>
      </w:tr>
      <w:tr w:rsidR="00D446BE" w14:paraId="25BF2EDA"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4D147AFE" w14:textId="77777777" w:rsidR="00D446BE" w:rsidRDefault="00D446BE" w:rsidP="00F67D08">
            <w:pPr>
              <w:pStyle w:val="Synopsis"/>
              <w:keepNext/>
              <w:spacing w:before="120" w:after="120" w:line="300" w:lineRule="exact"/>
              <w:rPr>
                <w:rFonts w:cs="Times New Roman"/>
              </w:rPr>
            </w:pPr>
            <w:r>
              <w:rPr>
                <w:rFonts w:cs="Times New Roman"/>
                <w:b/>
              </w:rPr>
              <w:t>Investigational Medicinal Product (IMP), Dosage, and Mode of administration:</w:t>
            </w:r>
            <w:r>
              <w:rPr>
                <w:rFonts w:cs="Times New Roman"/>
                <w:lang w:val="en-IN" w:eastAsia="en-GB"/>
              </w:rPr>
              <w:t xml:space="preserve"> Elamipretide (MTP</w:t>
            </w:r>
            <w:r>
              <w:rPr>
                <w:rFonts w:cs="Times New Roman"/>
                <w:lang w:val="en-IN" w:eastAsia="en-GB"/>
              </w:rPr>
              <w:noBreakHyphen/>
              <w:t xml:space="preserve">131) was supplied as 40 mg/1 mL sterile solution for SC injection. The doses of </w:t>
            </w:r>
            <w:r>
              <w:rPr>
                <w:rFonts w:cs="Times New Roman"/>
                <w:iCs/>
                <w:lang w:val="en-IN" w:eastAsia="en-GB"/>
              </w:rPr>
              <w:t>elamipretide were 4 mg or 40 mg administered as a once daily SC injection.</w:t>
            </w:r>
            <w:r>
              <w:rPr>
                <w:rFonts w:cs="Times New Roman"/>
              </w:rPr>
              <w:t xml:space="preserve"> </w:t>
            </w:r>
          </w:p>
        </w:tc>
      </w:tr>
      <w:tr w:rsidR="00D446BE" w14:paraId="544FF1FF"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32752D19" w14:textId="77777777" w:rsidR="00D446BE" w:rsidRDefault="00D446BE" w:rsidP="00F67D08">
            <w:pPr>
              <w:pStyle w:val="Synopsis"/>
              <w:keepNext/>
              <w:spacing w:before="120" w:after="120" w:line="300" w:lineRule="exact"/>
              <w:jc w:val="left"/>
              <w:rPr>
                <w:rFonts w:cs="Times New Roman"/>
                <w:b/>
              </w:rPr>
            </w:pPr>
            <w:r>
              <w:rPr>
                <w:rFonts w:cs="Times New Roman"/>
                <w:b/>
              </w:rPr>
              <w:t xml:space="preserve">Batch Number of Elamipretide: </w:t>
            </w:r>
            <w:r>
              <w:rPr>
                <w:rFonts w:cs="Times New Roman"/>
              </w:rPr>
              <w:t>1-FIN-2390</w:t>
            </w:r>
          </w:p>
        </w:tc>
      </w:tr>
      <w:tr w:rsidR="00D446BE" w14:paraId="178F2510"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single" w:sz="6" w:space="0" w:color="auto"/>
              <w:right w:val="double" w:sz="6" w:space="0" w:color="auto"/>
            </w:tcBorders>
          </w:tcPr>
          <w:p w14:paraId="1A039C48" w14:textId="77777777" w:rsidR="00D446BE" w:rsidRDefault="00D446BE" w:rsidP="00F67D08">
            <w:pPr>
              <w:overflowPunct/>
              <w:spacing w:before="120" w:line="300" w:lineRule="exact"/>
              <w:textAlignment w:val="auto"/>
              <w:rPr>
                <w:b/>
                <w:sz w:val="22"/>
                <w:szCs w:val="22"/>
                <w:lang w:val="en-IN" w:eastAsia="en-GB"/>
              </w:rPr>
            </w:pPr>
            <w:r>
              <w:rPr>
                <w:b/>
                <w:sz w:val="22"/>
                <w:szCs w:val="22"/>
              </w:rPr>
              <w:t xml:space="preserve">Reference therapy, Dosage, and Mode of Administration: </w:t>
            </w:r>
            <w:r>
              <w:rPr>
                <w:sz w:val="22"/>
                <w:szCs w:val="22"/>
              </w:rPr>
              <w:t>The placebo for this study was a sterile solution in matching sterile glass vials composed of excipients used to manufacture the IMP elamipretide without the active drug substance. Subjects randomized to placebo received an injection containing either 1 mL or 0.1 mL sterile solution to match the 2 volumes administered in the active arm.</w:t>
            </w:r>
          </w:p>
        </w:tc>
      </w:tr>
      <w:tr w:rsidR="00D446BE" w14:paraId="7A0F9BBC"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rPr>
          <w:cantSplit/>
        </w:trPr>
        <w:tc>
          <w:tcPr>
            <w:tcW w:w="5000" w:type="pct"/>
            <w:tcBorders>
              <w:top w:val="single" w:sz="6" w:space="0" w:color="auto"/>
              <w:left w:val="double" w:sz="6" w:space="0" w:color="auto"/>
              <w:bottom w:val="single" w:sz="6" w:space="0" w:color="auto"/>
              <w:right w:val="double" w:sz="6" w:space="0" w:color="auto"/>
            </w:tcBorders>
          </w:tcPr>
          <w:p w14:paraId="698DA569" w14:textId="77777777" w:rsidR="00D446BE" w:rsidRDefault="00D446BE" w:rsidP="00F67D08">
            <w:pPr>
              <w:overflowPunct/>
              <w:spacing w:before="120" w:line="300" w:lineRule="exact"/>
              <w:textAlignment w:val="auto"/>
              <w:rPr>
                <w:b/>
                <w:sz w:val="22"/>
                <w:szCs w:val="22"/>
              </w:rPr>
            </w:pPr>
            <w:r>
              <w:rPr>
                <w:b/>
                <w:sz w:val="22"/>
                <w:szCs w:val="22"/>
              </w:rPr>
              <w:t>Batch Number of Placebo:</w:t>
            </w:r>
            <w:r>
              <w:rPr>
                <w:sz w:val="22"/>
                <w:szCs w:val="22"/>
              </w:rPr>
              <w:t xml:space="preserve"> 1-FIN-2385</w:t>
            </w:r>
          </w:p>
        </w:tc>
      </w:tr>
      <w:tr w:rsidR="00D446BE" w14:paraId="00FC2CE5"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rPr>
          <w:cantSplit/>
        </w:trPr>
        <w:tc>
          <w:tcPr>
            <w:tcW w:w="5000" w:type="pct"/>
            <w:tcBorders>
              <w:top w:val="single" w:sz="6" w:space="0" w:color="auto"/>
              <w:left w:val="double" w:sz="6" w:space="0" w:color="auto"/>
              <w:bottom w:val="single" w:sz="4" w:space="0" w:color="auto"/>
              <w:right w:val="double" w:sz="6" w:space="0" w:color="auto"/>
            </w:tcBorders>
          </w:tcPr>
          <w:p w14:paraId="43D67F65" w14:textId="77777777" w:rsidR="00D446BE" w:rsidRDefault="00D446BE" w:rsidP="00F67D08">
            <w:pPr>
              <w:overflowPunct/>
              <w:spacing w:before="120" w:line="300" w:lineRule="exact"/>
              <w:textAlignment w:val="auto"/>
              <w:rPr>
                <w:b/>
                <w:sz w:val="22"/>
                <w:szCs w:val="22"/>
              </w:rPr>
            </w:pPr>
            <w:r>
              <w:rPr>
                <w:b/>
                <w:sz w:val="22"/>
                <w:szCs w:val="22"/>
              </w:rPr>
              <w:lastRenderedPageBreak/>
              <w:t>Endpoints:</w:t>
            </w:r>
          </w:p>
          <w:p w14:paraId="16E22886" w14:textId="77777777" w:rsidR="00D446BE" w:rsidRDefault="00D446BE" w:rsidP="00F67D08">
            <w:pPr>
              <w:pStyle w:val="Synopsis"/>
              <w:keepNext/>
              <w:keepLines/>
              <w:spacing w:before="120" w:after="120" w:line="300" w:lineRule="exact"/>
              <w:jc w:val="left"/>
              <w:rPr>
                <w:rFonts w:cs="Times New Roman"/>
                <w:b/>
                <w:bCs/>
              </w:rPr>
            </w:pPr>
            <w:r>
              <w:rPr>
                <w:rFonts w:cs="Times New Roman"/>
                <w:b/>
                <w:bCs/>
              </w:rPr>
              <w:t xml:space="preserve">Primary Endpoint: </w:t>
            </w:r>
          </w:p>
          <w:p w14:paraId="7D39668E" w14:textId="77777777" w:rsidR="00D446BE" w:rsidRDefault="00D446BE" w:rsidP="00F67D08">
            <w:pPr>
              <w:pStyle w:val="Comment"/>
              <w:keepNext/>
              <w:keepLines/>
              <w:spacing w:before="120" w:after="120" w:line="300" w:lineRule="exact"/>
              <w:jc w:val="left"/>
              <w:rPr>
                <w:i w:val="0"/>
                <w:color w:val="auto"/>
                <w:sz w:val="22"/>
                <w:szCs w:val="22"/>
              </w:rPr>
            </w:pPr>
            <w:r>
              <w:rPr>
                <w:i w:val="0"/>
                <w:color w:val="auto"/>
                <w:sz w:val="22"/>
                <w:szCs w:val="22"/>
              </w:rPr>
              <w:t>Change from baseline in LV ESV assessed by cardiac MRI.</w:t>
            </w:r>
          </w:p>
          <w:p w14:paraId="1E205989" w14:textId="77777777" w:rsidR="00D446BE" w:rsidRDefault="00D446BE" w:rsidP="00F67D08">
            <w:pPr>
              <w:pStyle w:val="Synopsis"/>
              <w:keepNext/>
              <w:keepLines/>
              <w:spacing w:before="120" w:after="120" w:line="300" w:lineRule="exact"/>
              <w:jc w:val="left"/>
              <w:rPr>
                <w:rFonts w:cs="Times New Roman"/>
                <w:b/>
                <w:bCs/>
              </w:rPr>
            </w:pPr>
            <w:r>
              <w:rPr>
                <w:rFonts w:cs="Times New Roman"/>
                <w:b/>
                <w:bCs/>
              </w:rPr>
              <w:t>Secondary Endpoints:</w:t>
            </w:r>
          </w:p>
          <w:p w14:paraId="5A17B1A9" w14:textId="77777777" w:rsidR="00D446BE" w:rsidRDefault="00D446BE" w:rsidP="00D446BE">
            <w:pPr>
              <w:pStyle w:val="Comment"/>
              <w:keepNext/>
              <w:keepLines/>
              <w:numPr>
                <w:ilvl w:val="0"/>
                <w:numId w:val="2"/>
              </w:numPr>
              <w:spacing w:before="120" w:after="120" w:line="300" w:lineRule="exact"/>
              <w:jc w:val="left"/>
              <w:rPr>
                <w:b/>
                <w:i w:val="0"/>
                <w:color w:val="auto"/>
                <w:sz w:val="22"/>
                <w:szCs w:val="22"/>
              </w:rPr>
            </w:pPr>
            <w:r>
              <w:rPr>
                <w:i w:val="0"/>
                <w:color w:val="auto"/>
                <w:sz w:val="22"/>
                <w:szCs w:val="22"/>
              </w:rPr>
              <w:t>Adverse Events (AEs)</w:t>
            </w:r>
          </w:p>
          <w:p w14:paraId="5A0798E1" w14:textId="77777777" w:rsidR="00D446BE" w:rsidRDefault="00D446BE" w:rsidP="00D446BE">
            <w:pPr>
              <w:pStyle w:val="Comment"/>
              <w:keepNext/>
              <w:keepLines/>
              <w:numPr>
                <w:ilvl w:val="0"/>
                <w:numId w:val="2"/>
              </w:numPr>
              <w:spacing w:before="120" w:after="120" w:line="300" w:lineRule="exact"/>
              <w:jc w:val="left"/>
              <w:rPr>
                <w:i w:val="0"/>
                <w:color w:val="auto"/>
                <w:sz w:val="22"/>
                <w:szCs w:val="22"/>
              </w:rPr>
            </w:pPr>
            <w:r>
              <w:rPr>
                <w:i w:val="0"/>
                <w:color w:val="auto"/>
                <w:sz w:val="22"/>
                <w:szCs w:val="22"/>
              </w:rPr>
              <w:t>Changes from baseline in vital signs</w:t>
            </w:r>
          </w:p>
          <w:p w14:paraId="7080CC92" w14:textId="77777777" w:rsidR="00D446BE" w:rsidRDefault="00D446BE" w:rsidP="00D446BE">
            <w:pPr>
              <w:pStyle w:val="Comment"/>
              <w:keepNext/>
              <w:keepLines/>
              <w:numPr>
                <w:ilvl w:val="0"/>
                <w:numId w:val="2"/>
              </w:numPr>
              <w:spacing w:before="120" w:after="120" w:line="300" w:lineRule="exact"/>
              <w:jc w:val="left"/>
              <w:rPr>
                <w:i w:val="0"/>
                <w:color w:val="auto"/>
                <w:sz w:val="22"/>
                <w:szCs w:val="22"/>
              </w:rPr>
            </w:pPr>
            <w:r>
              <w:rPr>
                <w:i w:val="0"/>
                <w:color w:val="auto"/>
                <w:sz w:val="22"/>
                <w:szCs w:val="22"/>
              </w:rPr>
              <w:t>Changes from baseline in electrocardiograms (ECGs)</w:t>
            </w:r>
          </w:p>
          <w:p w14:paraId="1834FF44" w14:textId="77777777" w:rsidR="00D446BE" w:rsidRDefault="00D446BE" w:rsidP="00D446BE">
            <w:pPr>
              <w:pStyle w:val="Comment"/>
              <w:keepNext/>
              <w:keepLines/>
              <w:numPr>
                <w:ilvl w:val="0"/>
                <w:numId w:val="2"/>
              </w:numPr>
              <w:spacing w:before="120" w:after="120" w:line="300" w:lineRule="exact"/>
              <w:jc w:val="left"/>
              <w:rPr>
                <w:i w:val="0"/>
                <w:color w:val="auto"/>
                <w:sz w:val="22"/>
                <w:szCs w:val="22"/>
              </w:rPr>
            </w:pPr>
            <w:r>
              <w:rPr>
                <w:i w:val="0"/>
                <w:color w:val="auto"/>
                <w:sz w:val="22"/>
                <w:szCs w:val="22"/>
              </w:rPr>
              <w:t>Changes from baseline in clinical laboratory evaluations</w:t>
            </w:r>
          </w:p>
          <w:p w14:paraId="4431A1DA" w14:textId="77777777" w:rsidR="00D446BE" w:rsidRDefault="00D446BE" w:rsidP="00D446BE">
            <w:pPr>
              <w:pStyle w:val="Comment"/>
              <w:keepNext/>
              <w:keepLines/>
              <w:numPr>
                <w:ilvl w:val="0"/>
                <w:numId w:val="2"/>
              </w:numPr>
              <w:spacing w:before="120" w:after="120" w:line="300" w:lineRule="exact"/>
              <w:jc w:val="left"/>
              <w:rPr>
                <w:i w:val="0"/>
                <w:color w:val="auto"/>
                <w:sz w:val="22"/>
                <w:szCs w:val="22"/>
              </w:rPr>
            </w:pPr>
            <w:r>
              <w:rPr>
                <w:i w:val="0"/>
                <w:color w:val="auto"/>
                <w:sz w:val="22"/>
                <w:szCs w:val="22"/>
              </w:rPr>
              <w:t>Changes from baseline in the following parameters assessed by cardiac MRI</w:t>
            </w:r>
          </w:p>
          <w:p w14:paraId="3F1B1358" w14:textId="77777777" w:rsidR="00D446BE" w:rsidRDefault="00D446BE" w:rsidP="00D446BE">
            <w:pPr>
              <w:pStyle w:val="Comment"/>
              <w:keepNext/>
              <w:keepLines/>
              <w:numPr>
                <w:ilvl w:val="0"/>
                <w:numId w:val="4"/>
              </w:numPr>
              <w:spacing w:before="120" w:after="120" w:line="300" w:lineRule="exact"/>
              <w:jc w:val="left"/>
              <w:rPr>
                <w:i w:val="0"/>
                <w:color w:val="auto"/>
                <w:sz w:val="22"/>
                <w:szCs w:val="22"/>
              </w:rPr>
            </w:pPr>
            <w:r>
              <w:rPr>
                <w:i w:val="0"/>
                <w:color w:val="auto"/>
                <w:sz w:val="22"/>
                <w:szCs w:val="22"/>
              </w:rPr>
              <w:t>LVEF</w:t>
            </w:r>
          </w:p>
          <w:p w14:paraId="0CC1E712" w14:textId="77777777" w:rsidR="00D446BE" w:rsidRDefault="00D446BE" w:rsidP="00D446BE">
            <w:pPr>
              <w:pStyle w:val="Comment"/>
              <w:keepNext/>
              <w:keepLines/>
              <w:numPr>
                <w:ilvl w:val="0"/>
                <w:numId w:val="4"/>
              </w:numPr>
              <w:spacing w:before="120" w:after="120" w:line="300" w:lineRule="exact"/>
              <w:jc w:val="left"/>
              <w:rPr>
                <w:i w:val="0"/>
                <w:color w:val="auto"/>
                <w:sz w:val="22"/>
                <w:szCs w:val="22"/>
              </w:rPr>
            </w:pPr>
            <w:r>
              <w:rPr>
                <w:i w:val="0"/>
                <w:color w:val="auto"/>
                <w:sz w:val="22"/>
                <w:szCs w:val="22"/>
              </w:rPr>
              <w:t>LV end diastolic volume (EDV)</w:t>
            </w:r>
          </w:p>
          <w:p w14:paraId="05CA57B0" w14:textId="77777777" w:rsidR="00D446BE" w:rsidRDefault="00D446BE" w:rsidP="00D446BE">
            <w:pPr>
              <w:pStyle w:val="Comment"/>
              <w:keepNext/>
              <w:keepLines/>
              <w:numPr>
                <w:ilvl w:val="0"/>
                <w:numId w:val="2"/>
              </w:numPr>
              <w:spacing w:before="120" w:after="120" w:line="300" w:lineRule="exact"/>
              <w:jc w:val="left"/>
              <w:rPr>
                <w:i w:val="0"/>
                <w:color w:val="auto"/>
                <w:sz w:val="22"/>
                <w:szCs w:val="22"/>
              </w:rPr>
            </w:pPr>
            <w:r>
              <w:rPr>
                <w:i w:val="0"/>
                <w:color w:val="auto"/>
                <w:sz w:val="22"/>
                <w:szCs w:val="22"/>
              </w:rPr>
              <w:t>Changes from baseline in the following parameters assessed by echocardiography</w:t>
            </w:r>
          </w:p>
          <w:p w14:paraId="3E92AC9E"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EA (ratio between early and late mitral inflow velocity)</w:t>
            </w:r>
          </w:p>
          <w:p w14:paraId="1BF4ED49"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E/e’ (Ratio between early mitral inflow velocity and mitral annular early diastolic velocity)</w:t>
            </w:r>
          </w:p>
          <w:p w14:paraId="1E3FD2BA"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LV EDV, LV end systolic volume and biplane Ejection Fraction (EF)</w:t>
            </w:r>
          </w:p>
          <w:p w14:paraId="1183EECF"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LV global longitudinal strain</w:t>
            </w:r>
          </w:p>
          <w:p w14:paraId="0D6D2862"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 xml:space="preserve">LA volume </w:t>
            </w:r>
          </w:p>
          <w:p w14:paraId="2FB2FF62" w14:textId="77777777" w:rsidR="00D446BE" w:rsidRPr="00ED105A"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LV mass</w:t>
            </w:r>
          </w:p>
        </w:tc>
      </w:tr>
      <w:tr w:rsidR="00D446BE" w14:paraId="10C26BEF"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4" w:space="0" w:color="auto"/>
              <w:left w:val="double" w:sz="6" w:space="0" w:color="auto"/>
              <w:bottom w:val="single" w:sz="6" w:space="0" w:color="auto"/>
              <w:right w:val="double" w:sz="6" w:space="0" w:color="auto"/>
            </w:tcBorders>
          </w:tcPr>
          <w:p w14:paraId="6552FBF2"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Mitral regurgitation severity (MRS)</w:t>
            </w:r>
          </w:p>
          <w:p w14:paraId="3B9859F1"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Tricuspid regurgitation severity</w:t>
            </w:r>
          </w:p>
          <w:p w14:paraId="5EBF4E7C"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RV fractional area change (RV FAC)</w:t>
            </w:r>
          </w:p>
          <w:p w14:paraId="6C32E660" w14:textId="77777777" w:rsidR="00D446BE"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RV systolic pressure (RVSP)</w:t>
            </w:r>
          </w:p>
          <w:p w14:paraId="77BCF053" w14:textId="77777777" w:rsidR="00D446BE" w:rsidRDefault="00D446BE" w:rsidP="00F67D08">
            <w:pPr>
              <w:pStyle w:val="Synopsis"/>
              <w:keepNext/>
              <w:keepLines/>
              <w:spacing w:before="120" w:after="120" w:line="300" w:lineRule="exact"/>
              <w:jc w:val="left"/>
              <w:rPr>
                <w:rFonts w:cs="Times New Roman"/>
                <w:b/>
                <w:bCs/>
              </w:rPr>
            </w:pPr>
            <w:r>
              <w:rPr>
                <w:rFonts w:cs="Times New Roman"/>
                <w:b/>
                <w:bCs/>
              </w:rPr>
              <w:t>Exploratory Endpoints:</w:t>
            </w:r>
          </w:p>
          <w:p w14:paraId="265C9F4F" w14:textId="77777777" w:rsidR="00D446BE" w:rsidRDefault="00D446BE" w:rsidP="00D446BE">
            <w:pPr>
              <w:pStyle w:val="Comment"/>
              <w:keepNext/>
              <w:keepLines/>
              <w:numPr>
                <w:ilvl w:val="0"/>
                <w:numId w:val="2"/>
              </w:numPr>
              <w:spacing w:before="120" w:after="120" w:line="300" w:lineRule="exact"/>
              <w:jc w:val="left"/>
              <w:rPr>
                <w:i w:val="0"/>
                <w:color w:val="auto"/>
                <w:sz w:val="22"/>
                <w:szCs w:val="22"/>
              </w:rPr>
            </w:pPr>
            <w:r>
              <w:rPr>
                <w:i w:val="0"/>
                <w:color w:val="auto"/>
                <w:sz w:val="22"/>
                <w:szCs w:val="22"/>
              </w:rPr>
              <w:t>Changes from baseline in:</w:t>
            </w:r>
          </w:p>
          <w:p w14:paraId="4A58569E" w14:textId="77777777" w:rsidR="00D446BE" w:rsidRDefault="00D446BE" w:rsidP="00D446BE">
            <w:pPr>
              <w:pStyle w:val="Comment"/>
              <w:keepNext/>
              <w:keepLines/>
              <w:numPr>
                <w:ilvl w:val="0"/>
                <w:numId w:val="6"/>
              </w:numPr>
              <w:spacing w:before="120" w:after="120" w:line="300" w:lineRule="exact"/>
              <w:jc w:val="left"/>
              <w:rPr>
                <w:i w:val="0"/>
                <w:color w:val="auto"/>
                <w:sz w:val="22"/>
                <w:szCs w:val="22"/>
              </w:rPr>
            </w:pPr>
            <w:r>
              <w:rPr>
                <w:i w:val="0"/>
                <w:color w:val="auto"/>
                <w:sz w:val="22"/>
                <w:szCs w:val="22"/>
              </w:rPr>
              <w:t>Distance walked (meters) on the 6-minute walk test (6MWT)</w:t>
            </w:r>
          </w:p>
          <w:p w14:paraId="39FFB8BA" w14:textId="77777777" w:rsidR="00D446BE" w:rsidRDefault="00D446BE" w:rsidP="00D446BE">
            <w:pPr>
              <w:pStyle w:val="Comment"/>
              <w:keepNext/>
              <w:keepLines/>
              <w:numPr>
                <w:ilvl w:val="0"/>
                <w:numId w:val="6"/>
              </w:numPr>
              <w:spacing w:before="120" w:after="120" w:line="300" w:lineRule="exact"/>
              <w:jc w:val="left"/>
              <w:rPr>
                <w:i w:val="0"/>
                <w:color w:val="auto"/>
                <w:sz w:val="22"/>
                <w:szCs w:val="22"/>
              </w:rPr>
            </w:pPr>
            <w:r>
              <w:rPr>
                <w:i w:val="0"/>
                <w:color w:val="auto"/>
                <w:sz w:val="22"/>
                <w:szCs w:val="22"/>
              </w:rPr>
              <w:t xml:space="preserve">Kansas City Cardiomyopathy Questionnaire (KCCQ) score </w:t>
            </w:r>
          </w:p>
          <w:p w14:paraId="225E7C6E" w14:textId="77777777" w:rsidR="00D446BE" w:rsidRDefault="00D446BE" w:rsidP="00D446BE">
            <w:pPr>
              <w:pStyle w:val="Comment"/>
              <w:keepNext/>
              <w:keepLines/>
              <w:numPr>
                <w:ilvl w:val="0"/>
                <w:numId w:val="6"/>
              </w:numPr>
              <w:spacing w:before="120" w:after="120" w:line="300" w:lineRule="exact"/>
              <w:jc w:val="left"/>
              <w:rPr>
                <w:i w:val="0"/>
                <w:color w:val="auto"/>
                <w:sz w:val="22"/>
                <w:szCs w:val="22"/>
              </w:rPr>
            </w:pPr>
            <w:r>
              <w:rPr>
                <w:i w:val="0"/>
                <w:color w:val="auto"/>
                <w:sz w:val="22"/>
                <w:szCs w:val="22"/>
              </w:rPr>
              <w:t>Levels of NT-pro-BNP</w:t>
            </w:r>
          </w:p>
          <w:p w14:paraId="1DD85F08" w14:textId="77777777" w:rsidR="00D446BE" w:rsidRPr="00CB5E80" w:rsidRDefault="00D446BE" w:rsidP="00D446BE">
            <w:pPr>
              <w:pStyle w:val="Comment"/>
              <w:keepNext/>
              <w:keepLines/>
              <w:numPr>
                <w:ilvl w:val="0"/>
                <w:numId w:val="5"/>
              </w:numPr>
              <w:spacing w:before="120" w:after="120" w:line="300" w:lineRule="exact"/>
              <w:jc w:val="left"/>
              <w:rPr>
                <w:i w:val="0"/>
                <w:color w:val="auto"/>
                <w:sz w:val="22"/>
                <w:szCs w:val="22"/>
              </w:rPr>
            </w:pPr>
            <w:r>
              <w:rPr>
                <w:i w:val="0"/>
                <w:color w:val="auto"/>
                <w:sz w:val="22"/>
                <w:szCs w:val="22"/>
              </w:rPr>
              <w:t>Change in Borg dyspnea scale</w:t>
            </w:r>
          </w:p>
        </w:tc>
      </w:tr>
      <w:tr w:rsidR="00D446BE" w14:paraId="35BEB51A"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nil"/>
              <w:right w:val="double" w:sz="6" w:space="0" w:color="auto"/>
            </w:tcBorders>
          </w:tcPr>
          <w:p w14:paraId="0DB361E1" w14:textId="77777777" w:rsidR="00D446BE" w:rsidRDefault="00D446BE" w:rsidP="00F67D08">
            <w:pPr>
              <w:pStyle w:val="Synopsis"/>
              <w:keepNext/>
              <w:tabs>
                <w:tab w:val="left" w:pos="284"/>
              </w:tabs>
              <w:spacing w:before="120" w:after="120" w:line="300" w:lineRule="exact"/>
              <w:jc w:val="left"/>
              <w:rPr>
                <w:rFonts w:cs="Times New Roman"/>
                <w:b/>
              </w:rPr>
            </w:pPr>
            <w:r>
              <w:rPr>
                <w:rFonts w:cs="Times New Roman"/>
                <w:b/>
              </w:rPr>
              <w:t>Statistical Methods:</w:t>
            </w:r>
          </w:p>
        </w:tc>
      </w:tr>
      <w:tr w:rsidR="00D446BE" w14:paraId="01C65199"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nil"/>
              <w:left w:val="double" w:sz="6" w:space="0" w:color="auto"/>
              <w:bottom w:val="single" w:sz="6" w:space="0" w:color="auto"/>
              <w:right w:val="double" w:sz="6" w:space="0" w:color="auto"/>
            </w:tcBorders>
          </w:tcPr>
          <w:p w14:paraId="70368168" w14:textId="77777777" w:rsidR="00D446BE" w:rsidRDefault="00D446BE" w:rsidP="00F67D08">
            <w:pPr>
              <w:overflowPunct/>
              <w:spacing w:before="120" w:line="300" w:lineRule="exact"/>
              <w:textAlignment w:val="auto"/>
              <w:rPr>
                <w:iCs/>
                <w:sz w:val="22"/>
                <w:szCs w:val="22"/>
                <w:lang w:val="en-IN"/>
              </w:rPr>
            </w:pPr>
            <w:r>
              <w:rPr>
                <w:iCs/>
                <w:sz w:val="22"/>
                <w:szCs w:val="22"/>
                <w:lang w:val="en-IN"/>
              </w:rPr>
              <w:t xml:space="preserve">Data were summarized using descriptive statistics (number of subjects, mean, median, standard deviation [SD], minima and maxima) for continuous variables and using frequencies and </w:t>
            </w:r>
            <w:r>
              <w:rPr>
                <w:iCs/>
                <w:sz w:val="22"/>
                <w:szCs w:val="22"/>
                <w:lang w:val="en-IN"/>
              </w:rPr>
              <w:lastRenderedPageBreak/>
              <w:t>percentages for discrete variables. Data were presented by treatment group, as appropriate. Each active dose was tested against placebo.</w:t>
            </w:r>
          </w:p>
          <w:p w14:paraId="760F6040" w14:textId="77777777" w:rsidR="00D446BE" w:rsidRDefault="00D446BE" w:rsidP="00F67D08">
            <w:pPr>
              <w:overflowPunct/>
              <w:spacing w:before="120" w:line="300" w:lineRule="exact"/>
              <w:textAlignment w:val="auto"/>
              <w:rPr>
                <w:iCs/>
                <w:sz w:val="22"/>
                <w:szCs w:val="22"/>
                <w:lang w:val="en-IN"/>
              </w:rPr>
            </w:pPr>
            <w:r>
              <w:rPr>
                <w:iCs/>
                <w:sz w:val="22"/>
                <w:szCs w:val="22"/>
                <w:lang w:val="en-IN"/>
              </w:rPr>
              <w:t>For primary and secondary efficacy endpoints, the change from baseline in all continuous endpoints were summarized using descriptive statistics (mean, median, SD, minimum, maximum) by treatment group. Additional analyses were performed according to the Statistical Analysis Plan (SAP).</w:t>
            </w:r>
          </w:p>
          <w:p w14:paraId="46EC5FA0" w14:textId="77777777" w:rsidR="00D446BE" w:rsidRDefault="00D446BE" w:rsidP="00F67D08">
            <w:pPr>
              <w:overflowPunct/>
              <w:spacing w:before="120" w:line="300" w:lineRule="exact"/>
              <w:textAlignment w:val="auto"/>
              <w:rPr>
                <w:iCs/>
                <w:sz w:val="22"/>
                <w:szCs w:val="22"/>
                <w:lang w:val="en-IN"/>
              </w:rPr>
            </w:pPr>
            <w:r>
              <w:rPr>
                <w:iCs/>
                <w:sz w:val="22"/>
                <w:szCs w:val="22"/>
                <w:lang w:val="en-IN"/>
              </w:rPr>
              <w:t>Safety data analysis were conducted on all subjects in the Safety Population. The number and percentage of subjects experiencing one or more treatment emergent AEs were summarized by treatment group, relationship to study medication, and severity. Listings of subjects who experienced withdrawal due to an AE, Serious Adverse Events (SAEs), suspected unexpected serious adverse reactions (SUSARs), and/or death were presented. Laboratory parameters were summarized using descriptive statistics, by post</w:t>
            </w:r>
            <w:r>
              <w:rPr>
                <w:iCs/>
                <w:sz w:val="22"/>
                <w:szCs w:val="22"/>
                <w:lang w:val="en-IN"/>
              </w:rPr>
              <w:noBreakHyphen/>
              <w:t>dosing shifts relative to baseline where appropriate, and data listings of clinically significant abnormalities. Vital signs and ECG data were summarized by changes from baseline values using descriptive statistics.</w:t>
            </w:r>
          </w:p>
          <w:p w14:paraId="751D5803" w14:textId="77777777" w:rsidR="00D446BE" w:rsidRDefault="00D446BE" w:rsidP="00F67D08">
            <w:pPr>
              <w:overflowPunct/>
              <w:spacing w:before="120" w:line="300" w:lineRule="exact"/>
              <w:textAlignment w:val="auto"/>
              <w:rPr>
                <w:sz w:val="22"/>
                <w:szCs w:val="22"/>
              </w:rPr>
            </w:pPr>
            <w:r>
              <w:rPr>
                <w:iCs/>
                <w:sz w:val="22"/>
                <w:szCs w:val="22"/>
                <w:lang w:val="en-IN"/>
              </w:rPr>
              <w:t>A revised estimate of the SD, based on a review of blinded LV ESV data from the first 11 subjects who completed treatment, suggested it would be as high as 9.4 mL. Accordingly, the sample size was increased to approximately 22 subjects per treatment group, which provided 80% power to detect the aforementioned 8 mL difference between treatment groups. If necessary, the SD was to be reassessed in blinded fashion and the sample size was modified accordingly.</w:t>
            </w:r>
          </w:p>
        </w:tc>
      </w:tr>
      <w:tr w:rsidR="00D446BE" w14:paraId="470BBFF4"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single" w:sz="6" w:space="0" w:color="auto"/>
              <w:right w:val="double" w:sz="6" w:space="0" w:color="auto"/>
            </w:tcBorders>
          </w:tcPr>
          <w:p w14:paraId="3034FA47" w14:textId="77777777" w:rsidR="00D446BE" w:rsidRDefault="00D446BE" w:rsidP="00F67D08">
            <w:pPr>
              <w:pStyle w:val="Synopsis"/>
              <w:spacing w:before="120" w:after="120" w:line="300" w:lineRule="exact"/>
              <w:rPr>
                <w:rFonts w:cs="Times New Roman"/>
                <w:b/>
              </w:rPr>
            </w:pPr>
            <w:r>
              <w:rPr>
                <w:rFonts w:cs="Times New Roman"/>
                <w:b/>
              </w:rPr>
              <w:lastRenderedPageBreak/>
              <w:t>SUMMARY OF RESULTS AND CONCLUSIONS</w:t>
            </w:r>
          </w:p>
          <w:p w14:paraId="7B724943" w14:textId="77777777" w:rsidR="00D446BE" w:rsidRDefault="00D446BE" w:rsidP="00F67D08">
            <w:pPr>
              <w:pStyle w:val="Synopsis"/>
              <w:spacing w:before="120" w:after="120" w:line="300" w:lineRule="exact"/>
              <w:rPr>
                <w:rFonts w:cs="Times New Roman"/>
              </w:rPr>
            </w:pPr>
            <w:r>
              <w:rPr>
                <w:rFonts w:cs="Times New Roman"/>
              </w:rPr>
              <w:t xml:space="preserve">Seventy subjects completed the study with 22 subjects in the 4 mg elamipretide group and 24 subjects in the 40 mg and placebo group. Overall, 54 subjects (76.1%) were male and 17 subjects (23.9%) were female; the ratio of male to female subjects was different in all treatment groups. </w:t>
            </w:r>
            <w:r>
              <w:rPr>
                <w:rFonts w:cs="Times New Roman"/>
                <w:lang w:val="en-GB"/>
              </w:rPr>
              <w:t>All subjects in the study were White and 37 subjects (52.1%) were ≥ 65 years of age. Mean (SD) age was 64.8 years (9.83) years and mean (SD) weight was 86.72 (18.97) kg</w:t>
            </w:r>
            <w:r>
              <w:rPr>
                <w:rFonts w:cs="Times New Roman"/>
              </w:rPr>
              <w:t>.</w:t>
            </w:r>
          </w:p>
          <w:p w14:paraId="6A718D84" w14:textId="77777777" w:rsidR="00D446BE" w:rsidRDefault="00D446BE" w:rsidP="00F67D08">
            <w:pPr>
              <w:pStyle w:val="Synopsis"/>
              <w:spacing w:before="120" w:after="120" w:line="300" w:lineRule="exact"/>
              <w:jc w:val="left"/>
              <w:rPr>
                <w:rFonts w:cs="Times New Roman"/>
              </w:rPr>
            </w:pPr>
            <w:r>
              <w:rPr>
                <w:rFonts w:cs="Times New Roman"/>
                <w:b/>
                <w:bCs/>
              </w:rPr>
              <w:t>EFFICACY RESULTS:</w:t>
            </w:r>
          </w:p>
          <w:p w14:paraId="214EFCA9" w14:textId="77777777" w:rsidR="00D446BE" w:rsidRDefault="00D446BE" w:rsidP="00F67D08">
            <w:pPr>
              <w:tabs>
                <w:tab w:val="left" w:pos="7639"/>
              </w:tabs>
              <w:spacing w:after="60" w:line="300" w:lineRule="exact"/>
              <w:rPr>
                <w:sz w:val="22"/>
                <w:szCs w:val="22"/>
              </w:rPr>
            </w:pPr>
            <w:r>
              <w:rPr>
                <w:bCs/>
                <w:sz w:val="22"/>
                <w:szCs w:val="22"/>
              </w:rPr>
              <w:t>A decrease in LV ESV from Baseline to Week 4 was observed in all groups. Maximum decrease in LV ESV was observed for the 4 mg group (mean [SD]=4.4 mL [6.50]). An increase in EF values from baseline to Week 4 was observed for all treatment groups. The maximum increase in EF was found for the placebo group (mean [SD]=2.3% [3.69]), followed by the 4 mg group (mean [SD]=2.2% [2.43]), and elamipretide 40 mg (mean [SD]=1.5% [2.82]).  A decrease in LV EDV was observed for 4 mg and placebo groups, with the maximum observed for the 4 mg group (mean [SD]=</w:t>
            </w:r>
            <w:r>
              <w:rPr>
                <w:bCs/>
                <w:sz w:val="22"/>
                <w:szCs w:val="22"/>
              </w:rPr>
              <w:noBreakHyphen/>
              <w:t xml:space="preserve">2.8 mL [9.50]); whereas there was an increase in LV EDV observed in the 40 mg group (mean [SD]=0.5 mL [11.96]). Increases in left ventricular stroke volume (LV SV) were observed for all treatment groups, with maximum increase found in the 40 mg group (mean [SD]=3.7 mL [9.36]).  </w:t>
            </w:r>
          </w:p>
          <w:p w14:paraId="6E3FB4F6" w14:textId="77777777" w:rsidR="00D446BE" w:rsidRDefault="00D446BE" w:rsidP="00F67D08">
            <w:pPr>
              <w:spacing w:after="60" w:line="300" w:lineRule="exact"/>
              <w:rPr>
                <w:sz w:val="22"/>
                <w:szCs w:val="22"/>
              </w:rPr>
            </w:pPr>
            <w:r>
              <w:rPr>
                <w:bCs/>
                <w:sz w:val="22"/>
                <w:szCs w:val="22"/>
              </w:rPr>
              <w:t>Initially a decrease in left ventricular cardiac output (LV CO) was observed at Week 1 for placebo and 4 mg group. However, by Week 4 there was an increase in CO observed for placebo (mean [SD]=0.27 L/min [0.860]) and 4 mg group (mean [SD]=0.21</w:t>
            </w:r>
            <w:r>
              <w:rPr>
                <w:bCs/>
              </w:rPr>
              <w:t xml:space="preserve"> </w:t>
            </w:r>
            <w:r>
              <w:rPr>
                <w:bCs/>
                <w:sz w:val="22"/>
                <w:szCs w:val="22"/>
              </w:rPr>
              <w:t>L/min [1.264]).  By Week 4 no significant change in the LV myocardial mass was observed for all the 3 treatment groups. Decrease in RV ESV was observed for all the 3 treatment groups, with maximum decrease for group with elamipretide 4 mg (mean [SD]=</w:t>
            </w:r>
            <w:r>
              <w:rPr>
                <w:bCs/>
                <w:sz w:val="22"/>
                <w:szCs w:val="22"/>
              </w:rPr>
              <w:noBreakHyphen/>
              <w:t xml:space="preserve">0.9 mL [4.21]). Increase in right ventricular end diastolic volume (RV EDV) was observed for group with elamipretide 4 mg (mean [SD]=0.5 mL [9.70]). There was </w:t>
            </w:r>
            <w:r>
              <w:rPr>
                <w:bCs/>
                <w:sz w:val="22"/>
                <w:szCs w:val="22"/>
              </w:rPr>
              <w:lastRenderedPageBreak/>
              <w:t>a decrease in RV EDV noted for group with elamipretide 40 mg (mean [SD]=</w:t>
            </w:r>
            <w:r>
              <w:rPr>
                <w:bCs/>
                <w:sz w:val="22"/>
                <w:szCs w:val="22"/>
              </w:rPr>
              <w:noBreakHyphen/>
              <w:t xml:space="preserve">1.2 mL [10.72] mL) and no change in the placebo group.  </w:t>
            </w:r>
          </w:p>
          <w:p w14:paraId="1D0E2BD8" w14:textId="77777777" w:rsidR="00D446BE" w:rsidRDefault="00D446BE" w:rsidP="00F67D08">
            <w:pPr>
              <w:spacing w:after="60" w:line="300" w:lineRule="exact"/>
              <w:rPr>
                <w:sz w:val="22"/>
                <w:szCs w:val="22"/>
              </w:rPr>
            </w:pPr>
            <w:r>
              <w:rPr>
                <w:bCs/>
                <w:sz w:val="22"/>
                <w:szCs w:val="22"/>
              </w:rPr>
              <w:t>An increase in right ventricular ejection fraction (RV EF) was observed for all 3 groups with the maximum increase noted for the group with elamipretide 4 mg (mean [SD]=1.4 % [3.05]). There was a minimal increase of mean (SD)=0.4 (2.10)% observed for group with elamipretide 40 mg. A decrease in the ratio between early and late mitral inflow velocity (E/A) was observed for all the 3 treatment groups by the end of Week 6.  The maximum decrease was noted for the group with elamipretide 4 mg (mean [SD] change from baseline was -0.13 [0.326]). Also, a decrease in E/e’ ratio was observed for all the 3 treatment groups by the end of Week 6; it was maximum for placebo group (mean [SD]=</w:t>
            </w:r>
            <w:r>
              <w:rPr>
                <w:bCs/>
                <w:sz w:val="22"/>
                <w:szCs w:val="22"/>
              </w:rPr>
              <w:noBreakHyphen/>
              <w:t xml:space="preserve">0.38 [4.136]), followed by the group with elamipretide 4 mg (mean [SD]=-0.32 [2.311]). A decrease in LAV was observed for the group with elamipretide 4 mg by the end of Week 6 (mean [SD]=-1.5mL [5.98]). There was a decrease in global longitudinal strain for all </w:t>
            </w:r>
            <w:r>
              <w:rPr>
                <w:bCs/>
              </w:rPr>
              <w:t>3 treatment</w:t>
            </w:r>
            <w:r>
              <w:rPr>
                <w:bCs/>
                <w:sz w:val="22"/>
                <w:szCs w:val="22"/>
              </w:rPr>
              <w:t xml:space="preserve"> groups, with maximum decrease in the placebo group (mean [SD]=</w:t>
            </w:r>
            <w:r>
              <w:rPr>
                <w:bCs/>
                <w:sz w:val="22"/>
                <w:szCs w:val="22"/>
              </w:rPr>
              <w:noBreakHyphen/>
              <w:t>1.87% [2.260]).</w:t>
            </w:r>
          </w:p>
          <w:p w14:paraId="43B4B54A" w14:textId="77777777" w:rsidR="00D446BE" w:rsidRDefault="00D446BE" w:rsidP="00F67D08">
            <w:pPr>
              <w:spacing w:after="60" w:line="300" w:lineRule="exact"/>
              <w:rPr>
                <w:sz w:val="22"/>
                <w:szCs w:val="22"/>
              </w:rPr>
            </w:pPr>
            <w:r>
              <w:rPr>
                <w:bCs/>
                <w:sz w:val="22"/>
                <w:szCs w:val="22"/>
              </w:rPr>
              <w:t>A decrease in LV EDV was noted for groups treated with elamipretide 4 mg (mean [SD]=</w:t>
            </w:r>
            <w:r>
              <w:rPr>
                <w:bCs/>
                <w:sz w:val="22"/>
                <w:szCs w:val="22"/>
              </w:rPr>
              <w:noBreakHyphen/>
              <w:t>3.2 mL [15.60]) and elamipretide 40 mg (mean [SD]=-3.7 mL [12.81]) by the end of Week 6; whereas an increase in LV EDV was observed for the placebo group (mean [SD]=2.9 mL [16.08]). By the end of Week 6, there was decrease in LV ESV observed for the group with elamipretide 4 mg (mean [SD]=-3.1 mL [10.02]) and elamipretide 40 mg (mean [SD=</w:t>
            </w:r>
            <w:r>
              <w:rPr>
                <w:bCs/>
                <w:sz w:val="22"/>
                <w:szCs w:val="22"/>
              </w:rPr>
              <w:noBreakHyphen/>
              <w:t>2.8 mL [7.53]); however, there was mean (SD) increase of 0.7 mL (9.85) noted for the placebo group. An increase in EF was recorded for all the 3 treatment groups up to Week 6, with maximum increase noted for placebo group (mean [SD]=1.6 mL [5.29]), followed by elamipretide 4 mg (mean [SD]=1.2 mL[4.04]).  A reduction in the LVM was noted for all the 3 treatment groups by Week 6, with maximum reduction observed for placebo group (mean [SD]=-10.7g [24.03]). There was a decrease in mitral, tricuspid regurgitation, and RV fractional area change during the study. Reduction in right ventricular systolic pressure (RV SP) for 4 mg group was observed by the end of Week 6.</w:t>
            </w:r>
          </w:p>
          <w:p w14:paraId="069BBE17" w14:textId="77777777" w:rsidR="00D446BE" w:rsidRPr="007D3C07" w:rsidRDefault="00D446BE" w:rsidP="00F67D08">
            <w:pPr>
              <w:pStyle w:val="Comment"/>
              <w:spacing w:before="0" w:line="300" w:lineRule="exact"/>
              <w:rPr>
                <w:i w:val="0"/>
                <w:color w:val="auto"/>
                <w:sz w:val="22"/>
                <w:szCs w:val="22"/>
                <w:lang w:val="en-IN"/>
              </w:rPr>
            </w:pPr>
            <w:r w:rsidRPr="007D3C07">
              <w:rPr>
                <w:bCs/>
                <w:i w:val="0"/>
                <w:color w:val="auto"/>
                <w:sz w:val="22"/>
                <w:szCs w:val="22"/>
              </w:rPr>
              <w:t>Increase in the distance walked was noted in all 3 treatment groups during 6-minute Walking Test by the end of Week 4. It was maximum for the placebo group (mean [SD] distance=37.6 m [52.74]) and least for elamipretide 4 mg group (mean [SD distance=23.1 m [82.10]). For the group with elamipretide 40 mg, the mean (SD) distance was 34.6 m (67.38). There was a reduction of mean (SD)=</w:t>
            </w:r>
            <w:r w:rsidRPr="007D3C07">
              <w:rPr>
                <w:bCs/>
                <w:i w:val="0"/>
                <w:color w:val="auto"/>
                <w:sz w:val="22"/>
                <w:szCs w:val="22"/>
              </w:rPr>
              <w:noBreakHyphen/>
              <w:t>595.2 ng/mL (2913.81) in the NT</w:t>
            </w:r>
            <w:r w:rsidRPr="007D3C07">
              <w:rPr>
                <w:bCs/>
                <w:i w:val="0"/>
                <w:color w:val="auto"/>
                <w:sz w:val="22"/>
                <w:szCs w:val="22"/>
              </w:rPr>
              <w:noBreakHyphen/>
              <w:t>pro</w:t>
            </w:r>
            <w:r w:rsidRPr="007D3C07">
              <w:rPr>
                <w:bCs/>
                <w:i w:val="0"/>
                <w:color w:val="auto"/>
                <w:sz w:val="22"/>
                <w:szCs w:val="22"/>
              </w:rPr>
              <w:noBreakHyphen/>
              <w:t>BNP levels for the group with elamipretide 40 mg by the end of Week 6. There was an increase of Mean (SD)=25.8 ng/mL (388.37) in the group with elamipretide 4 mg. There was no significant change in the hsTroponin levels observed for the subjects across all the 3 groups from baseline to Week 6. Overall an increase in KCCQ was observed for all the 3 treatment groups.  Maximum mean (SD) increase of 6.7 (12.47) was noted for group with elamipretide 40 mg; and there was mean increase of 3.8 for both the elamipretide 4 mg (SD=11.20) and placebo (SD=12.51) group.</w:t>
            </w:r>
            <w:r w:rsidRPr="007D3C07">
              <w:rPr>
                <w:bCs/>
                <w:i w:val="0"/>
                <w:color w:val="auto"/>
              </w:rPr>
              <w:t xml:space="preserve"> </w:t>
            </w:r>
            <w:r w:rsidRPr="007D3C07">
              <w:rPr>
                <w:bCs/>
                <w:i w:val="0"/>
                <w:color w:val="auto"/>
                <w:sz w:val="22"/>
                <w:szCs w:val="22"/>
              </w:rPr>
              <w:t xml:space="preserve">Overall it was observed that elamipretide 4 mg was more effective in comparison to elamipretide 40 mg. However, the results in the placebo group were comparable to elamipretide 40 mg. Decrease in LV ESV from Baseline to Week 4 was observed in all groups. Maximum decrease in LV ESV was observed for the 4 mg group (mean [SD]=4.4  mL[6.50]). An increase in EF values from baseline to Week 4 was observed for all treatment groups. The maximum increase in EF was found for the placebo group (mean [SD]=2.3% [3.69]), followed by the 4 mg group (mean [SD]=2.2% [2.43]).  A decrease in LV EDV was observed for 4 mg and placebo groups, with the maximum observed for the 4 mg group (mean [SD]= 2.8 mL [9.50]); whereas there was an increase in LV EDV observed in the 40 mg group (mean [SD]=0.5 mL </w:t>
            </w:r>
            <w:r w:rsidRPr="007D3C07">
              <w:rPr>
                <w:bCs/>
                <w:i w:val="0"/>
                <w:color w:val="auto"/>
                <w:sz w:val="22"/>
                <w:szCs w:val="22"/>
              </w:rPr>
              <w:lastRenderedPageBreak/>
              <w:t xml:space="preserve">[11.96]). Increases in LV SV were observed for all treatment groups, with maximum increase found in the 40 mg group (mean [SD]=3.7 mL [9.36]).  </w:t>
            </w:r>
          </w:p>
          <w:p w14:paraId="1FD8228B" w14:textId="77777777" w:rsidR="00D446BE" w:rsidRPr="007D3C07" w:rsidRDefault="00D446BE" w:rsidP="00F67D08">
            <w:pPr>
              <w:pStyle w:val="Comment"/>
              <w:spacing w:before="0" w:line="300" w:lineRule="exact"/>
              <w:rPr>
                <w:i w:val="0"/>
                <w:color w:val="auto"/>
                <w:sz w:val="22"/>
                <w:szCs w:val="22"/>
                <w:lang w:val="en-IN"/>
              </w:rPr>
            </w:pPr>
            <w:r w:rsidRPr="007D3C07">
              <w:rPr>
                <w:i w:val="0"/>
                <w:color w:val="auto"/>
                <w:sz w:val="22"/>
                <w:szCs w:val="22"/>
                <w:lang w:val="en-IN"/>
              </w:rPr>
              <w:t xml:space="preserve">An initial decrease in LV CO was observed at Week 1 for placebo and 4 mg group. However, by Week 4 there was an increase in CO observed for placebo (mean [SD]=0.27 L/min [0.860]) and 4 mg group (mean [SD]=0.21 L/min [1.264]).  By Week 4 no significant change in the LV myocardial mass was observed for all the 3 treatment groups. Decrease in RV ESV was observed for all the 3 treatment groups, with maximum decrease for group with elamipretide 4 mg (mean [SD]= 0.9 mL [4.21]). Increase in RV EDV was observed for group with elamipretide 4 mg (mean [SD]=0.5 mL [9.70]). There was a decrease in RV EDV noted for group with elamipretide 40 mg (mean [SD]=-1.2 mL [10.72]) and no change in the placebo group.  </w:t>
            </w:r>
          </w:p>
          <w:p w14:paraId="41B1EC16" w14:textId="77777777" w:rsidR="00D446BE" w:rsidRPr="007D3C07" w:rsidRDefault="00D446BE" w:rsidP="00F67D08">
            <w:pPr>
              <w:pStyle w:val="Comment"/>
              <w:spacing w:before="0" w:line="300" w:lineRule="exact"/>
              <w:rPr>
                <w:i w:val="0"/>
                <w:color w:val="auto"/>
                <w:sz w:val="22"/>
                <w:szCs w:val="22"/>
                <w:lang w:val="en-IN"/>
              </w:rPr>
            </w:pPr>
            <w:r w:rsidRPr="007D3C07">
              <w:rPr>
                <w:bCs/>
                <w:i w:val="0"/>
                <w:color w:val="auto"/>
                <w:sz w:val="22"/>
                <w:szCs w:val="22"/>
              </w:rPr>
              <w:t>Increase in RV EF was observed for all 3 groups with maximum increase noted for group with elamipretide 4 mg (mean [SD]=1.4% [3.05]). There was a minimal increase of mean (SD)=0.4% (2.10) observed for group with elamipretide 40 mg. Decrease in E/A ratio was observed for all 3 treatment groups by the end of Week 6.  Maximum decrease was noted for the group with elamipretide 4 mg (mea</w:t>
            </w:r>
            <w:r>
              <w:rPr>
                <w:bCs/>
                <w:i w:val="0"/>
                <w:color w:val="auto"/>
                <w:sz w:val="22"/>
                <w:szCs w:val="22"/>
              </w:rPr>
              <w:t>n [SD] change from baseline was -</w:t>
            </w:r>
            <w:r w:rsidRPr="007D3C07">
              <w:rPr>
                <w:bCs/>
                <w:i w:val="0"/>
                <w:color w:val="auto"/>
                <w:sz w:val="22"/>
                <w:szCs w:val="22"/>
              </w:rPr>
              <w:t>0.13 [0.326]). Also, a decrease in E/e’ ratio was observed for all the 3 treatment groups by the end of Week 6; it was maximu</w:t>
            </w:r>
            <w:r>
              <w:rPr>
                <w:bCs/>
                <w:i w:val="0"/>
                <w:color w:val="auto"/>
                <w:sz w:val="22"/>
                <w:szCs w:val="22"/>
              </w:rPr>
              <w:t>m for placebo group (mean [SD]=-</w:t>
            </w:r>
            <w:r w:rsidRPr="007D3C07">
              <w:rPr>
                <w:bCs/>
                <w:i w:val="0"/>
                <w:color w:val="auto"/>
                <w:sz w:val="22"/>
                <w:szCs w:val="22"/>
              </w:rPr>
              <w:t>0</w:t>
            </w:r>
            <w:r>
              <w:rPr>
                <w:bCs/>
                <w:i w:val="0"/>
                <w:color w:val="auto"/>
                <w:sz w:val="22"/>
                <w:szCs w:val="22"/>
              </w:rPr>
              <w:t>.38</w:t>
            </w:r>
            <w:r>
              <w:t> </w:t>
            </w:r>
            <w:r w:rsidRPr="007D3C07">
              <w:rPr>
                <w:bCs/>
                <w:i w:val="0"/>
                <w:color w:val="auto"/>
                <w:sz w:val="22"/>
                <w:szCs w:val="22"/>
              </w:rPr>
              <w:t>[4.136]), followed with group with elamipretide 4 mg (mean [SD]=</w:t>
            </w:r>
            <w:r w:rsidRPr="007D3C07">
              <w:rPr>
                <w:bCs/>
                <w:i w:val="0"/>
                <w:color w:val="auto"/>
                <w:sz w:val="22"/>
                <w:szCs w:val="22"/>
              </w:rPr>
              <w:noBreakHyphen/>
              <w:t>0.32 [2.311]). Decrease in LAV was observed for group with elamipretide 4 mg by the end of Week 6 (mean [SD 1.5 mL [5.98]). There was decrease in global longitudinal strain for all the 3 treatment groups, with maximum decrease in the placebo group (mean [SD]=</w:t>
            </w:r>
            <w:r>
              <w:rPr>
                <w:bCs/>
                <w:i w:val="0"/>
                <w:color w:val="auto"/>
                <w:sz w:val="22"/>
                <w:szCs w:val="22"/>
              </w:rPr>
              <w:noBreakHyphen/>
            </w:r>
            <w:r w:rsidRPr="007D3C07">
              <w:rPr>
                <w:bCs/>
                <w:i w:val="0"/>
                <w:color w:val="auto"/>
                <w:sz w:val="22"/>
                <w:szCs w:val="22"/>
              </w:rPr>
              <w:t>1.87% [2.260]).</w:t>
            </w:r>
          </w:p>
          <w:p w14:paraId="61BAEDAB" w14:textId="77777777" w:rsidR="00D446BE" w:rsidRDefault="00D446BE" w:rsidP="00F67D08">
            <w:pPr>
              <w:pStyle w:val="Comment"/>
              <w:spacing w:before="0" w:line="300" w:lineRule="exact"/>
              <w:rPr>
                <w:i w:val="0"/>
                <w:color w:val="auto"/>
                <w:sz w:val="22"/>
                <w:szCs w:val="22"/>
                <w:lang w:val="en-IN"/>
              </w:rPr>
            </w:pPr>
            <w:r>
              <w:rPr>
                <w:i w:val="0"/>
                <w:color w:val="auto"/>
                <w:sz w:val="22"/>
                <w:szCs w:val="22"/>
                <w:lang w:val="en-IN"/>
              </w:rPr>
              <w:t>Decrease in LV EDV was noted for groups treated with elamipretide 4 mg (mean [SD]=-3.2 mL [15.60]) and elamipretide 40 mg (mean [SD]=-3.7 mL [12.81]) by the end of Week 6; whereas increase in LV EDV was observed for the placebo group (mean [SD]=2.9 mL [16.08]). By the end of Week 6, there was decrease in LV ESV observed for group with elamipretide 4 mg (mean [SD]=</w:t>
            </w:r>
            <w:r>
              <w:rPr>
                <w:i w:val="0"/>
                <w:color w:val="auto"/>
                <w:sz w:val="22"/>
                <w:szCs w:val="22"/>
                <w:lang w:val="en-IN"/>
              </w:rPr>
              <w:noBreakHyphen/>
              <w:t>3.1 mL [10.02]) and elamipretide 40 mg (mean [SD]=-2.8 mL [7.53]); however there was mean (SD) increase of 0.7 mL (9.85) noted for the placebo group. Increase in EF was recorded for all the 3 treatment groups up to Week 6, with maximum increase noted for placebo group (mean [SD]=1.6 mL [5.29]), followed by elamipretide 4 mg (mean [SD]=1.2 mL [4.04]). Reduction in the LVM was noted for all the 3 treatment groups by Week 6, with maximum reduction observed for placebo group (mean [SD]=-10.7g [24.03]). There was decrease in mitral, tricuspid regurgitation, and RV fractional area change during the study. Reduction in RV SP for 4 mg group was observed by the end of Week 6.</w:t>
            </w:r>
          </w:p>
          <w:p w14:paraId="5B3CA59E" w14:textId="77777777" w:rsidR="00D446BE" w:rsidRDefault="00D446BE" w:rsidP="00F67D08">
            <w:pPr>
              <w:pStyle w:val="Comment"/>
              <w:spacing w:before="0" w:line="300" w:lineRule="exact"/>
              <w:rPr>
                <w:i w:val="0"/>
                <w:color w:val="auto"/>
                <w:sz w:val="22"/>
                <w:szCs w:val="22"/>
                <w:lang w:val="en-IN"/>
              </w:rPr>
            </w:pPr>
            <w:r>
              <w:rPr>
                <w:i w:val="0"/>
                <w:color w:val="auto"/>
                <w:sz w:val="22"/>
                <w:szCs w:val="22"/>
                <w:lang w:val="en-IN"/>
              </w:rPr>
              <w:t>Increase in the distance walked was noted in all 3 treatment groups during 6-minute Walking Test by the end of Week 4. It was maximum for the placebo group (mean [SD] distance=37.6 m [52.74]) and least for elamipretide 4 mg group (mean [SD distance=23.1 m [82.10]). For the group with elamipretide 40 mg, the mean (SD) distance was 34.6 m (67.38) m. There was a reduction of mean (SD)= 595.2 ng/mL (2913.81) in the NT-pro-BNP levels for the group with elamipretide 40 mg by the end of Week 6. There was an increase of Mean (SD)=25.8 ng/mL (388.37) in the group with elamipretide 4 mg. There was no significant change in the hsTroponin levels observed for the subjects across all 3 groups from baseline to Week 6. Overall an increase in KCCQ was observed for all 3 treatment groups.  Maximum mean (SD) increase of 6.7 (12.47) was noted for group with elamipretide 40 mg; and there was mean increase of 3.8 for both the elamipretide 4 mg (SD=11.20) and placebo (SD=12.51) group.</w:t>
            </w:r>
          </w:p>
          <w:p w14:paraId="40AA78D6" w14:textId="77777777" w:rsidR="00D446BE" w:rsidRDefault="00D446BE" w:rsidP="00F67D08">
            <w:pPr>
              <w:pStyle w:val="Synopsis"/>
              <w:spacing w:before="120" w:after="120" w:line="300" w:lineRule="exact"/>
              <w:jc w:val="left"/>
              <w:rPr>
                <w:rFonts w:cs="Times New Roman"/>
                <w:b/>
                <w:bCs/>
              </w:rPr>
            </w:pPr>
            <w:r>
              <w:rPr>
                <w:rFonts w:cs="Times New Roman"/>
                <w:b/>
                <w:bCs/>
              </w:rPr>
              <w:lastRenderedPageBreak/>
              <w:t>PHARMACOKINETICS RESULTS:</w:t>
            </w:r>
          </w:p>
          <w:p w14:paraId="66EA8CCC" w14:textId="77777777" w:rsidR="00D446BE" w:rsidRDefault="00D446BE" w:rsidP="00F67D08">
            <w:pPr>
              <w:pStyle w:val="Comment"/>
              <w:spacing w:before="0" w:line="300" w:lineRule="exact"/>
              <w:rPr>
                <w:i w:val="0"/>
                <w:color w:val="auto"/>
                <w:sz w:val="22"/>
                <w:szCs w:val="22"/>
                <w:lang w:val="en-IN"/>
              </w:rPr>
            </w:pPr>
            <w:r>
              <w:rPr>
                <w:i w:val="0"/>
                <w:color w:val="auto"/>
                <w:sz w:val="22"/>
                <w:szCs w:val="22"/>
                <w:lang w:val="en-IN"/>
              </w:rPr>
              <w:t xml:space="preserve">In each dosing group, mean post-dose concentrations of elamipretide were generally similar for each dosing group at 45 minutes (±15 minutes) on Day 1, Week 1, and Week 2 being 78.4, 79.0, and 80.6 ng/mL for the 4 mg group, and 1246.9, 1220.4, and 1282.9 ng/mL for the 40 mg group, respectively. The results suggested that steady-state levels of elamipretide had been achieved by Week 1 and there was no apparent accumulation of elamipretide in plasma. </w:t>
            </w:r>
          </w:p>
          <w:p w14:paraId="4F284CE5" w14:textId="77777777" w:rsidR="00D446BE" w:rsidRDefault="00D446BE" w:rsidP="00F67D08">
            <w:pPr>
              <w:pStyle w:val="Comment"/>
              <w:spacing w:before="0" w:line="300" w:lineRule="exact"/>
              <w:rPr>
                <w:i w:val="0"/>
                <w:color w:val="auto"/>
                <w:sz w:val="22"/>
                <w:szCs w:val="22"/>
                <w:lang w:val="en-IN"/>
              </w:rPr>
            </w:pPr>
            <w:r>
              <w:rPr>
                <w:i w:val="0"/>
                <w:color w:val="auto"/>
                <w:sz w:val="22"/>
                <w:szCs w:val="22"/>
                <w:lang w:val="en-IN"/>
              </w:rPr>
              <w:t xml:space="preserve">In each dosing group, mean post-dose concentrations of M1 were generally similar for each dosing group at 45 minutes (±15 minutes) on Day 1, Week 1, and Week 2 being 9.5, 7.7, and 8.4 ng/mL for the 4 mg group, and 146.1, 162.7, and 201.6 ng/mL for the 40 mg group, respectively. The results suggested that steady-state levels of M1 had not been achieved by Week 2, with some accumulation of M1 in plasma. </w:t>
            </w:r>
          </w:p>
          <w:p w14:paraId="581ABE6A" w14:textId="77777777" w:rsidR="00D446BE" w:rsidRDefault="00D446BE" w:rsidP="00F67D08">
            <w:pPr>
              <w:pStyle w:val="Comment"/>
              <w:spacing w:before="0" w:line="300" w:lineRule="exact"/>
              <w:rPr>
                <w:i w:val="0"/>
                <w:color w:val="auto"/>
                <w:sz w:val="22"/>
                <w:szCs w:val="22"/>
                <w:lang w:val="en-IN"/>
              </w:rPr>
            </w:pPr>
            <w:r>
              <w:rPr>
                <w:i w:val="0"/>
                <w:color w:val="auto"/>
                <w:sz w:val="22"/>
                <w:szCs w:val="22"/>
                <w:lang w:val="en-IN"/>
              </w:rPr>
              <w:t xml:space="preserve">In each dosing group, mean post-dose concentrations of M2 were generally similar for each dosing group at 45 minutes (±15 minutes) on Day 1, Week 1, and Week 2 being 5.2, 4.1, and 4.1 ng/mL for the 4 mg group, and 8.9, 58.4, and 65.0 ng/mL for the 40 mg group, respectively. These results suggested that steady-state levels of M2 had not been achieved by Week 2, with some accumulation of M2 in plasma. </w:t>
            </w:r>
          </w:p>
          <w:p w14:paraId="1507BE74" w14:textId="77777777" w:rsidR="00D446BE" w:rsidRDefault="00D446BE" w:rsidP="00F67D08">
            <w:pPr>
              <w:pStyle w:val="Comment"/>
              <w:spacing w:before="0" w:line="300" w:lineRule="exact"/>
              <w:rPr>
                <w:i w:val="0"/>
                <w:color w:val="auto"/>
                <w:sz w:val="22"/>
                <w:szCs w:val="22"/>
              </w:rPr>
            </w:pPr>
            <w:r>
              <w:rPr>
                <w:i w:val="0"/>
                <w:color w:val="auto"/>
                <w:sz w:val="22"/>
                <w:szCs w:val="22"/>
                <w:lang w:val="en-IN"/>
              </w:rPr>
              <w:t>At Week 4, concentrations of elamipretide, M1, and M2 were below limit of quantification (BLQ) for the majority of subjects and at Week 6 for all the subjects who received elamipretide 4 mg and elamipretide 40 mg.</w:t>
            </w:r>
          </w:p>
          <w:p w14:paraId="652228BA" w14:textId="77777777" w:rsidR="00D446BE" w:rsidRDefault="00D446BE" w:rsidP="00F67D08">
            <w:pPr>
              <w:pStyle w:val="Synopsis"/>
              <w:spacing w:before="120" w:after="120" w:line="300" w:lineRule="exact"/>
              <w:rPr>
                <w:rFonts w:cs="Times New Roman"/>
              </w:rPr>
            </w:pPr>
            <w:r>
              <w:rPr>
                <w:rFonts w:cs="Times New Roman"/>
                <w:b/>
                <w:bCs/>
              </w:rPr>
              <w:t>SAFETY RESULTS:</w:t>
            </w:r>
          </w:p>
          <w:p w14:paraId="6A815770" w14:textId="77777777" w:rsidR="00D446BE" w:rsidRDefault="00D446BE" w:rsidP="00F67D08">
            <w:pPr>
              <w:tabs>
                <w:tab w:val="left" w:pos="7624"/>
              </w:tabs>
              <w:spacing w:before="120" w:line="300" w:lineRule="exact"/>
              <w:rPr>
                <w:bCs/>
                <w:sz w:val="22"/>
                <w:szCs w:val="22"/>
              </w:rPr>
            </w:pPr>
            <w:r>
              <w:rPr>
                <w:bCs/>
                <w:sz w:val="22"/>
                <w:szCs w:val="22"/>
              </w:rPr>
              <w:t xml:space="preserve">Overall a total of 35 subjects (49.3%) had at least 1 treatment emergent adverse event (TEAE); 1 subject had 2 TEAEs (nausea and fatigue) that led to discontinuation of IMP (elamipretide 4 mg). All the 35 subjects reported a total of 65 TEAEs, of which 1 was an SAE. A majority of TEAEs were considered unrelated to study treatment. A total of 19 TEAEs were considered related to the IMP (6 in subjects receiving elamipretide 4 mg, 9 in subjects receiving elamipretide 40 mg, and 4 in subjects receiving placebo), and 1 TESAE (1/65) was considered unrelated to the IMP (elamipretide 40 mg). </w:t>
            </w:r>
          </w:p>
          <w:p w14:paraId="7F0444CB" w14:textId="77777777" w:rsidR="00D446BE" w:rsidRDefault="00D446BE" w:rsidP="00F67D08">
            <w:pPr>
              <w:tabs>
                <w:tab w:val="left" w:pos="7624"/>
              </w:tabs>
              <w:spacing w:before="120" w:line="300" w:lineRule="exact"/>
              <w:rPr>
                <w:bCs/>
                <w:sz w:val="22"/>
                <w:szCs w:val="22"/>
              </w:rPr>
            </w:pPr>
            <w:r>
              <w:rPr>
                <w:bCs/>
                <w:sz w:val="22"/>
                <w:szCs w:val="22"/>
              </w:rPr>
              <w:t xml:space="preserve">Overall 24 subjects (33.8%) had TEAEs that were mild and 10 subjects (14.1%) had TEAEs with moderate intensity. One subject (1.4%) from the 40 mg group had a severe TEAE. </w:t>
            </w:r>
          </w:p>
          <w:p w14:paraId="61D0092B" w14:textId="77777777" w:rsidR="00D446BE" w:rsidRDefault="00D446BE" w:rsidP="00F67D08">
            <w:pPr>
              <w:tabs>
                <w:tab w:val="left" w:pos="7624"/>
              </w:tabs>
              <w:spacing w:before="120" w:line="300" w:lineRule="exact"/>
              <w:rPr>
                <w:bCs/>
                <w:sz w:val="22"/>
                <w:szCs w:val="22"/>
              </w:rPr>
            </w:pPr>
            <w:r>
              <w:rPr>
                <w:bCs/>
                <w:sz w:val="22"/>
                <w:szCs w:val="22"/>
              </w:rPr>
              <w:t>There were no deaths in the study. The most common TEAEs overall by system organ class (SOC) were General Disorders and Administration Site Conditions (9 subjects [12.7%]) with fatigue (4 subjects [5.6%]) as the most common TEAE (by preferred term), followed by the SOC Infections and Infestations (7 subjects [9.9%]) with nasopharyngitis (4 subjects [5.6%]) as the most common TEAE (by preferred term), and the SOC Nervous System Disorders (6 subjects [8.5%]) with dizziness (3 subjects [4.2%]) as the most common TEAE (by preferred term).</w:t>
            </w:r>
          </w:p>
          <w:p w14:paraId="04FCA658" w14:textId="77777777" w:rsidR="00D446BE" w:rsidRDefault="00D446BE" w:rsidP="00F67D08">
            <w:pPr>
              <w:tabs>
                <w:tab w:val="left" w:pos="7624"/>
              </w:tabs>
              <w:spacing w:before="120" w:line="300" w:lineRule="exact"/>
              <w:rPr>
                <w:bCs/>
                <w:sz w:val="22"/>
                <w:szCs w:val="22"/>
              </w:rPr>
            </w:pPr>
            <w:r>
              <w:rPr>
                <w:bCs/>
                <w:sz w:val="22"/>
                <w:szCs w:val="22"/>
              </w:rPr>
              <w:t xml:space="preserve">Overall a greater percentage of subjects (33.8%) experienced TEAEs considered mild in intensity, the proportion of subjects experiencing mild TEAEs was 48.0% in the 40 mg group, 33.3% in the placebo group, and 18.2% in the 4 mg group. </w:t>
            </w:r>
          </w:p>
          <w:p w14:paraId="6B862AC6" w14:textId="77777777" w:rsidR="00D446BE" w:rsidRDefault="00D446BE" w:rsidP="00F67D08">
            <w:pPr>
              <w:tabs>
                <w:tab w:val="left" w:pos="7624"/>
              </w:tabs>
              <w:spacing w:before="120" w:line="300" w:lineRule="exact"/>
              <w:rPr>
                <w:bCs/>
                <w:sz w:val="22"/>
                <w:szCs w:val="22"/>
              </w:rPr>
            </w:pPr>
            <w:r>
              <w:rPr>
                <w:bCs/>
                <w:sz w:val="22"/>
                <w:szCs w:val="22"/>
              </w:rPr>
              <w:t xml:space="preserve">Subjects in the 40 mg group reported a greater number of TEAEs in comparison to the 4 mg and placebo group. For all the 71 subjects, 19 TEAEs (26.8%) were considered related to the IMP. The unrelated TEAEs were most common in the SOC of Infections and Infestations with nasopharyngitis as the most common individual TEAE (by preferred term). </w:t>
            </w:r>
          </w:p>
          <w:p w14:paraId="1523DF99" w14:textId="77777777" w:rsidR="00D446BE" w:rsidRDefault="00D446BE" w:rsidP="00F67D08">
            <w:pPr>
              <w:tabs>
                <w:tab w:val="left" w:pos="7624"/>
              </w:tabs>
              <w:spacing w:before="120" w:line="300" w:lineRule="exact"/>
              <w:rPr>
                <w:bCs/>
                <w:sz w:val="22"/>
                <w:szCs w:val="22"/>
              </w:rPr>
            </w:pPr>
            <w:r>
              <w:rPr>
                <w:bCs/>
                <w:sz w:val="22"/>
                <w:szCs w:val="22"/>
              </w:rPr>
              <w:lastRenderedPageBreak/>
              <w:t>Two TEAEs of nausea and fatigue in Subject 201007 in the elamipretide 4 mg group, led to the discontinuation of IMP. Both the events were considered probably related to the study treatment.</w:t>
            </w:r>
          </w:p>
          <w:p w14:paraId="1C45B931" w14:textId="77777777" w:rsidR="00D446BE" w:rsidRDefault="00D446BE" w:rsidP="00F67D08">
            <w:pPr>
              <w:tabs>
                <w:tab w:val="left" w:pos="7624"/>
              </w:tabs>
              <w:spacing w:before="120" w:line="300" w:lineRule="exact"/>
              <w:rPr>
                <w:bCs/>
                <w:sz w:val="22"/>
                <w:szCs w:val="22"/>
              </w:rPr>
            </w:pPr>
            <w:r>
              <w:rPr>
                <w:bCs/>
                <w:sz w:val="22"/>
                <w:szCs w:val="22"/>
              </w:rPr>
              <w:t>One SAE of vestibular disorder was reported for Subject 301008 in the 40 mg group. The event led to hospitalization and was considered an SAE with severe intensity and unrelated to the study treatment. There was no other SAEs reported.</w:t>
            </w:r>
          </w:p>
          <w:p w14:paraId="39DE40A7" w14:textId="77777777" w:rsidR="00D446BE" w:rsidRDefault="00D446BE" w:rsidP="00F67D08">
            <w:pPr>
              <w:spacing w:before="120" w:line="300" w:lineRule="exact"/>
              <w:rPr>
                <w:sz w:val="22"/>
                <w:szCs w:val="22"/>
              </w:rPr>
            </w:pPr>
            <w:bookmarkStart w:id="1" w:name="_Hlk4100618"/>
            <w:r>
              <w:rPr>
                <w:bCs/>
                <w:sz w:val="22"/>
                <w:szCs w:val="22"/>
              </w:rPr>
              <w:t>The majority of hematology, biochemistry, urinalysis, and hsTroponin results were normal at baseline, and at each subsequent visit up to Week 6.  Results considered clinically significant were uncommon and no notable trends were seen. All the TEAEs reported due to change in the hematology parameters were mild in intensity; of them high eosinophil count was considered probably related to the IMP (elamipretide 40 mg) and AE of leukocytosis was considered unrelated to the treatment (elamipretide 40 mg). The most common biochemistry abnormality at Week 6 were high blood urea nitrogen (BUN) observed for 9 subjects (39.1%) in the placebo group, followed by high creatinine level for 8 subjects in the placebo group (34.8%). A TEAE of hypokalemia with mild intensity was reported for 1 subject which was considered unrelated to the IMP (elamipretide 40 mg). Hyperkalaemia (mild) was also observed for 1 subject which was also considered unrelated to the IMP (placebo). The most common urinalysis abnormality at Week 4 were random U protein semiquant, blood in urine, and abnormal specific gravity of urine. Hematuria was reported for 1 subject with mild intensity and was considered unrelated to the study treatment (placebo). Albuminuria was reported in 1 subject with moderate intensity and considered to be possibly related to treatment (placebo) by the Investigator. Blood bilirubin increased was observed for 1 subject with mild intensity considered possibly related to the IMP (elamipretide 40 mg).  None of the subjects were withdrawn due to these TEAEs. No clinically significant changes were observed for the ECGs, vital signs, and physical examinations</w:t>
            </w:r>
            <w:r>
              <w:rPr>
                <w:sz w:val="22"/>
                <w:szCs w:val="22"/>
              </w:rPr>
              <w:t xml:space="preserve">. </w:t>
            </w:r>
          </w:p>
          <w:bookmarkEnd w:id="1"/>
          <w:p w14:paraId="1E6314D2" w14:textId="77777777" w:rsidR="00D446BE" w:rsidRDefault="00D446BE" w:rsidP="00F67D08">
            <w:pPr>
              <w:pStyle w:val="Synopsis"/>
              <w:keepNext/>
              <w:spacing w:before="120" w:after="120" w:line="300" w:lineRule="exact"/>
              <w:rPr>
                <w:rFonts w:cs="Times New Roman"/>
              </w:rPr>
            </w:pPr>
            <w:r>
              <w:rPr>
                <w:rFonts w:cs="Times New Roman"/>
                <w:b/>
                <w:bCs/>
              </w:rPr>
              <w:t>CONCLUSIONS:</w:t>
            </w:r>
          </w:p>
          <w:p w14:paraId="5A228112" w14:textId="77777777" w:rsidR="00D446BE" w:rsidRDefault="00D446BE" w:rsidP="00D446BE">
            <w:pPr>
              <w:pStyle w:val="Comment"/>
              <w:numPr>
                <w:ilvl w:val="0"/>
                <w:numId w:val="2"/>
              </w:numPr>
              <w:spacing w:before="120" w:line="300" w:lineRule="exact"/>
              <w:rPr>
                <w:i w:val="0"/>
                <w:color w:val="auto"/>
                <w:sz w:val="22"/>
                <w:szCs w:val="22"/>
              </w:rPr>
            </w:pPr>
            <w:r>
              <w:rPr>
                <w:bCs/>
                <w:i w:val="0"/>
                <w:color w:val="auto"/>
                <w:sz w:val="22"/>
                <w:szCs w:val="22"/>
              </w:rPr>
              <w:t>While a decrease from Baseline to Week 4 was observed in all groups for the primary endpoint, LV ESV, the differences between treatment groups were not statistically significant.</w:t>
            </w:r>
          </w:p>
          <w:p w14:paraId="78BE85FF" w14:textId="77777777" w:rsidR="00D446BE" w:rsidRDefault="00D446BE" w:rsidP="00D446BE">
            <w:pPr>
              <w:pStyle w:val="Comment"/>
              <w:numPr>
                <w:ilvl w:val="0"/>
                <w:numId w:val="2"/>
              </w:numPr>
              <w:spacing w:before="120" w:line="300" w:lineRule="exact"/>
              <w:rPr>
                <w:i w:val="0"/>
                <w:color w:val="auto"/>
                <w:sz w:val="22"/>
                <w:szCs w:val="22"/>
              </w:rPr>
            </w:pPr>
            <w:r>
              <w:rPr>
                <w:bCs/>
                <w:i w:val="0"/>
                <w:color w:val="auto"/>
                <w:sz w:val="22"/>
                <w:szCs w:val="22"/>
              </w:rPr>
              <w:t>There were improvements in quality of life detected in the patients that received 40 mg of elamipretide when compared to patients that received placebo (p=0.07), despite baseline differences. An improvement in the 6MWT distance was detected in the 40 mg group compared to placebo-treated patients, when adjusting for substantial baseline differences.</w:t>
            </w:r>
          </w:p>
          <w:p w14:paraId="40278E82" w14:textId="77777777" w:rsidR="00D446BE" w:rsidRDefault="00D446BE" w:rsidP="00D446BE">
            <w:pPr>
              <w:pStyle w:val="Comment"/>
              <w:numPr>
                <w:ilvl w:val="0"/>
                <w:numId w:val="2"/>
              </w:numPr>
              <w:spacing w:before="120" w:line="300" w:lineRule="exact"/>
              <w:rPr>
                <w:i w:val="0"/>
                <w:color w:val="auto"/>
                <w:sz w:val="22"/>
                <w:szCs w:val="22"/>
              </w:rPr>
            </w:pPr>
            <w:r>
              <w:rPr>
                <w:bCs/>
                <w:i w:val="0"/>
                <w:color w:val="auto"/>
                <w:sz w:val="22"/>
                <w:szCs w:val="22"/>
              </w:rPr>
              <w:t>Steady-state levels of elamipretide were achieved by Week 1 with no apparent accumulation of elamipretide in plasma. However, by Week 2, steady state levels of M1 and M2 were not achieved with some accumulation of M1 and M2 in plasma. By Week 4 concentrations of elamipretide, M1, and M2 were BLQ for majority of subjects; and for all subjects by Week 6.</w:t>
            </w:r>
          </w:p>
          <w:p w14:paraId="4892E944" w14:textId="77777777" w:rsidR="00D446BE" w:rsidRDefault="00D446BE" w:rsidP="00D446BE">
            <w:pPr>
              <w:pStyle w:val="Comment"/>
              <w:numPr>
                <w:ilvl w:val="0"/>
                <w:numId w:val="2"/>
              </w:numPr>
              <w:spacing w:before="120" w:line="300" w:lineRule="exact"/>
              <w:rPr>
                <w:sz w:val="22"/>
                <w:szCs w:val="22"/>
              </w:rPr>
            </w:pPr>
            <w:r>
              <w:rPr>
                <w:i w:val="0"/>
                <w:color w:val="auto"/>
                <w:sz w:val="22"/>
                <w:szCs w:val="22"/>
              </w:rPr>
              <w:t>There were no deaths or fatal TEAEs observed during the study. In subjects who experienced TEAEs, a greater percentage of these TEAEs were considered mild in intensity in all the 3 treatment groups. Sixteen (64.0%) subjects in the 40 mg elamipretide group reported having at least 1 TEAE, followed by 10 (41.7%) subjects in the placebo group, and then 9 (40.9%) subjects in the 4 mg elamipretide group.</w:t>
            </w:r>
          </w:p>
        </w:tc>
      </w:tr>
      <w:tr w:rsidR="00D446BE" w14:paraId="448C9611" w14:textId="77777777" w:rsidTr="00F67D08">
        <w:tblPrEx>
          <w:tblBorders>
            <w:top w:val="double" w:sz="6" w:space="0" w:color="auto"/>
            <w:left w:val="double" w:sz="6" w:space="0" w:color="auto"/>
            <w:bottom w:val="double" w:sz="6" w:space="0" w:color="auto"/>
            <w:right w:val="double" w:sz="6" w:space="0" w:color="auto"/>
            <w:insideH w:val="single" w:sz="6" w:space="0" w:color="auto"/>
          </w:tblBorders>
        </w:tblPrEx>
        <w:tc>
          <w:tcPr>
            <w:tcW w:w="5000" w:type="pct"/>
            <w:tcBorders>
              <w:top w:val="single" w:sz="6" w:space="0" w:color="auto"/>
              <w:left w:val="double" w:sz="6" w:space="0" w:color="auto"/>
              <w:bottom w:val="double" w:sz="6" w:space="0" w:color="auto"/>
              <w:right w:val="double" w:sz="6" w:space="0" w:color="auto"/>
            </w:tcBorders>
          </w:tcPr>
          <w:p w14:paraId="28CFBCD9" w14:textId="77777777" w:rsidR="00D446BE" w:rsidRDefault="00D446BE" w:rsidP="00F67D08">
            <w:pPr>
              <w:pStyle w:val="Synopsis"/>
              <w:spacing w:before="120" w:after="120" w:line="300" w:lineRule="exact"/>
              <w:jc w:val="left"/>
              <w:rPr>
                <w:rFonts w:cs="Times New Roman"/>
                <w:b/>
              </w:rPr>
            </w:pPr>
            <w:r>
              <w:rPr>
                <w:rFonts w:cs="Times New Roman"/>
                <w:b/>
              </w:rPr>
              <w:lastRenderedPageBreak/>
              <w:t>Date and Version of the Report: 16 May 2019 (Version 1.0)</w:t>
            </w:r>
          </w:p>
        </w:tc>
      </w:tr>
    </w:tbl>
    <w:p w14:paraId="6065DDB8" w14:textId="77777777" w:rsidR="00B92480" w:rsidRDefault="008452CF" w:rsidP="008452CF">
      <w:bookmarkStart w:id="2" w:name="_GoBack"/>
      <w:bookmarkEnd w:id="2"/>
    </w:p>
    <w:sectPr w:rsidR="00B924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3900"/>
    <w:multiLevelType w:val="hybridMultilevel"/>
    <w:tmpl w:val="1ECCD27A"/>
    <w:lvl w:ilvl="0" w:tplc="FF82BA18">
      <w:start w:val="1"/>
      <w:numFmt w:val="bullet"/>
      <w:lvlText w:val=""/>
      <w:lvlJc w:val="left"/>
      <w:pPr>
        <w:tabs>
          <w:tab w:val="num" w:pos="720"/>
        </w:tabs>
        <w:ind w:left="720" w:hanging="360"/>
      </w:pPr>
      <w:rPr>
        <w:rFonts w:ascii="Symbol" w:hAnsi="Symbol" w:hint="default"/>
        <w:b w:val="0"/>
        <w:i w:val="0"/>
        <w:color w:val="auto"/>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9811E9"/>
    <w:multiLevelType w:val="hybridMultilevel"/>
    <w:tmpl w:val="897017C4"/>
    <w:lvl w:ilvl="0" w:tplc="40090003">
      <w:start w:val="1"/>
      <w:numFmt w:val="bullet"/>
      <w:lvlText w:val="o"/>
      <w:lvlJc w:val="left"/>
      <w:pPr>
        <w:tabs>
          <w:tab w:val="num" w:pos="1080"/>
        </w:tabs>
        <w:ind w:left="1080" w:hanging="360"/>
      </w:pPr>
      <w:rPr>
        <w:rFonts w:ascii="Courier New" w:hAnsi="Courier New" w:cs="Courier New" w:hint="default"/>
        <w:b w:val="0"/>
        <w:i w:val="0"/>
        <w:color w:val="auto"/>
        <w:sz w:val="22"/>
        <w:szCs w:val="22"/>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9BC6DC6"/>
    <w:multiLevelType w:val="hybridMultilevel"/>
    <w:tmpl w:val="3348CE58"/>
    <w:lvl w:ilvl="0" w:tplc="40090003">
      <w:start w:val="1"/>
      <w:numFmt w:val="bullet"/>
      <w:lvlText w:val="o"/>
      <w:lvlJc w:val="left"/>
      <w:pPr>
        <w:tabs>
          <w:tab w:val="num" w:pos="1080"/>
        </w:tabs>
        <w:ind w:left="1080" w:hanging="360"/>
      </w:pPr>
      <w:rPr>
        <w:rFonts w:ascii="Courier New" w:hAnsi="Courier New" w:cs="Courier New" w:hint="default"/>
        <w:b w:val="0"/>
        <w:i w:val="0"/>
        <w:color w:val="auto"/>
        <w:sz w:val="22"/>
        <w:szCs w:val="22"/>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87C29C8"/>
    <w:multiLevelType w:val="hybridMultilevel"/>
    <w:tmpl w:val="AF5C130A"/>
    <w:lvl w:ilvl="0" w:tplc="FF82BA18">
      <w:start w:val="1"/>
      <w:numFmt w:val="bullet"/>
      <w:lvlText w:val=""/>
      <w:lvlJc w:val="left"/>
      <w:pPr>
        <w:tabs>
          <w:tab w:val="num" w:pos="720"/>
        </w:tabs>
        <w:ind w:left="720" w:hanging="360"/>
      </w:pPr>
      <w:rPr>
        <w:rFonts w:ascii="Symbol" w:hAnsi="Symbol" w:hint="default"/>
        <w:b w:val="0"/>
        <w:i w:val="0"/>
        <w:color w:val="auto"/>
        <w:sz w:val="22"/>
        <w:szCs w:val="22"/>
      </w:rPr>
    </w:lvl>
    <w:lvl w:ilvl="1" w:tplc="D744022A">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4361CD1"/>
    <w:multiLevelType w:val="hybridMultilevel"/>
    <w:tmpl w:val="7B20FA98"/>
    <w:lvl w:ilvl="0" w:tplc="40090003">
      <w:start w:val="1"/>
      <w:numFmt w:val="bullet"/>
      <w:lvlText w:val="o"/>
      <w:lvlJc w:val="left"/>
      <w:pPr>
        <w:tabs>
          <w:tab w:val="num" w:pos="1080"/>
        </w:tabs>
        <w:ind w:left="1080" w:hanging="360"/>
      </w:pPr>
      <w:rPr>
        <w:rFonts w:ascii="Courier New" w:hAnsi="Courier New" w:cs="Courier New" w:hint="default"/>
        <w:b w:val="0"/>
        <w:i w:val="0"/>
        <w:color w:val="auto"/>
        <w:sz w:val="22"/>
        <w:szCs w:val="22"/>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8423BDF"/>
    <w:multiLevelType w:val="multilevel"/>
    <w:tmpl w:val="55D2C6C2"/>
    <w:lvl w:ilvl="0">
      <w:start w:val="2"/>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1004"/>
        </w:tabs>
        <w:ind w:left="284" w:hanging="284"/>
      </w:pPr>
      <w:rPr>
        <w:rFonts w:hint="default"/>
        <w:b/>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108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799A536D"/>
    <w:multiLevelType w:val="hybridMultilevel"/>
    <w:tmpl w:val="E654C202"/>
    <w:lvl w:ilvl="0" w:tplc="9438C464">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FB7248"/>
    <w:multiLevelType w:val="multilevel"/>
    <w:tmpl w:val="0908F2C0"/>
    <w:lvl w:ilvl="0">
      <w:start w:val="1"/>
      <w:numFmt w:val="bullet"/>
      <w:lvlText w:val=""/>
      <w:lvlJc w:val="left"/>
      <w:pPr>
        <w:tabs>
          <w:tab w:val="num" w:pos="1350"/>
        </w:tabs>
        <w:ind w:left="1350" w:hanging="1080"/>
      </w:pPr>
      <w:rPr>
        <w:rFonts w:ascii="Symbol" w:hAnsi="Symbol" w:hint="default"/>
      </w:rPr>
    </w:lvl>
    <w:lvl w:ilvl="1">
      <w:start w:val="1"/>
      <w:numFmt w:val="decimal"/>
      <w:lvlText w:val="%1.%2."/>
      <w:lvlJc w:val="left"/>
      <w:pPr>
        <w:tabs>
          <w:tab w:val="num" w:pos="1170"/>
        </w:tabs>
        <w:ind w:left="1170" w:hanging="108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1080"/>
        </w:tabs>
        <w:ind w:left="1080" w:hanging="108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none"/>
      <w:lvlText w:val="9.2.2.2"/>
      <w:lvlJc w:val="left"/>
      <w:pPr>
        <w:tabs>
          <w:tab w:val="num" w:pos="4230"/>
        </w:tabs>
        <w:ind w:left="1080" w:hanging="1080"/>
      </w:pPr>
      <w:rPr>
        <w:rFonts w:hint="default"/>
        <w:i w:val="0"/>
      </w:rPr>
    </w:lvl>
    <w:lvl w:ilvl="4">
      <w:start w:val="1"/>
      <w:numFmt w:val="decimal"/>
      <w:lvlText w:val="%1.%2.%3.%5."/>
      <w:lvlJc w:val="left"/>
      <w:pPr>
        <w:tabs>
          <w:tab w:val="num" w:pos="1080"/>
        </w:tabs>
        <w:ind w:left="1080" w:hanging="108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5">
      <w:start w:val="1"/>
      <w:numFmt w:val="decimal"/>
      <w:lvlText w:val="%1.%2.%3.%5.%6."/>
      <w:lvlJc w:val="left"/>
      <w:pPr>
        <w:tabs>
          <w:tab w:val="num" w:pos="1170"/>
        </w:tabs>
        <w:ind w:left="1170" w:hanging="108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1.%2.%3.%4.%5.%6.%7."/>
      <w:lvlJc w:val="left"/>
      <w:pPr>
        <w:tabs>
          <w:tab w:val="num" w:pos="1890"/>
        </w:tabs>
        <w:ind w:left="1170" w:hanging="1080"/>
      </w:pPr>
      <w:rPr>
        <w:rFonts w:hint="default"/>
      </w:rPr>
    </w:lvl>
    <w:lvl w:ilvl="7">
      <w:start w:val="1"/>
      <w:numFmt w:val="decimal"/>
      <w:lvlText w:val="%1.%2.%3.%4.%5.%6.%7.%8."/>
      <w:lvlJc w:val="left"/>
      <w:pPr>
        <w:tabs>
          <w:tab w:val="num" w:pos="1530"/>
        </w:tabs>
        <w:ind w:left="1170" w:hanging="1080"/>
      </w:pPr>
      <w:rPr>
        <w:rFonts w:hint="default"/>
      </w:rPr>
    </w:lvl>
    <w:lvl w:ilvl="8">
      <w:start w:val="1"/>
      <w:numFmt w:val="decimal"/>
      <w:lvlText w:val="%1.%2.%3.%4.%5.%6.%7.%8.%9."/>
      <w:lvlJc w:val="left"/>
      <w:pPr>
        <w:tabs>
          <w:tab w:val="num" w:pos="2250"/>
        </w:tabs>
        <w:ind w:left="1170" w:hanging="1080"/>
      </w:pPr>
      <w:rPr>
        <w:rFonts w:hint="default"/>
      </w:rPr>
    </w:lvl>
  </w:abstractNum>
  <w:num w:numId="1">
    <w:abstractNumId w:val="5"/>
  </w:num>
  <w:num w:numId="2">
    <w:abstractNumId w:val="0"/>
  </w:num>
  <w:num w:numId="3">
    <w:abstractNumId w:val="3"/>
  </w:num>
  <w:num w:numId="4">
    <w:abstractNumId w:val="4"/>
  </w:num>
  <w:num w:numId="5">
    <w:abstractNumId w:val="2"/>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6BE"/>
    <w:rsid w:val="003962AF"/>
    <w:rsid w:val="004448E0"/>
    <w:rsid w:val="005E026B"/>
    <w:rsid w:val="005E28E6"/>
    <w:rsid w:val="006F542A"/>
    <w:rsid w:val="00807B37"/>
    <w:rsid w:val="008452CF"/>
    <w:rsid w:val="00A35A86"/>
    <w:rsid w:val="00CA33C8"/>
    <w:rsid w:val="00D44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CC933"/>
  <w15:chartTrackingRefBased/>
  <w15:docId w15:val="{EB12BBD6-D697-4474-B478-E992B695C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6BE"/>
    <w:pPr>
      <w:overflowPunct w:val="0"/>
      <w:autoSpaceDE w:val="0"/>
      <w:autoSpaceDN w:val="0"/>
      <w:adjustRightInd w:val="0"/>
      <w:spacing w:after="120" w:line="240" w:lineRule="auto"/>
      <w:jc w:val="both"/>
      <w:textAlignment w:val="baseline"/>
    </w:pPr>
    <w:rPr>
      <w:rFonts w:ascii="Times New Roman" w:eastAsia="SimSun" w:hAnsi="Times New Roman" w:cs="Times New Roman"/>
      <w:sz w:val="24"/>
      <w:szCs w:val="24"/>
      <w:lang w:val="en-US"/>
    </w:rPr>
  </w:style>
  <w:style w:type="paragraph" w:styleId="Heading1">
    <w:name w:val="heading 1"/>
    <w:basedOn w:val="Normal"/>
    <w:next w:val="Normal"/>
    <w:link w:val="Heading1Char"/>
    <w:qFormat/>
    <w:rsid w:val="00D446BE"/>
    <w:pPr>
      <w:keepNext/>
      <w:keepLines/>
      <w:pageBreakBefore/>
      <w:numPr>
        <w:numId w:val="1"/>
      </w:numPr>
      <w:tabs>
        <w:tab w:val="left" w:pos="567"/>
      </w:tabs>
      <w:spacing w:before="240"/>
      <w:jc w:val="left"/>
      <w:outlineLvl w:val="0"/>
    </w:pPr>
    <w:rPr>
      <w:b/>
      <w:bCs/>
      <w:kern w:val="28"/>
      <w:sz w:val="28"/>
      <w:szCs w:val="28"/>
    </w:rPr>
  </w:style>
  <w:style w:type="paragraph" w:styleId="Heading2">
    <w:name w:val="heading 2"/>
    <w:basedOn w:val="Heading1"/>
    <w:next w:val="Normal"/>
    <w:link w:val="Heading2Char"/>
    <w:qFormat/>
    <w:rsid w:val="00D446BE"/>
    <w:pPr>
      <w:pageBreakBefore w:val="0"/>
      <w:numPr>
        <w:ilvl w:val="1"/>
      </w:numPr>
      <w:tabs>
        <w:tab w:val="clear" w:pos="567"/>
      </w:tabs>
      <w:outlineLvl w:val="1"/>
    </w:pPr>
    <w:rPr>
      <w:bCs w:val="0"/>
      <w:iCs/>
      <w:sz w:val="24"/>
    </w:rPr>
  </w:style>
  <w:style w:type="paragraph" w:styleId="Heading3">
    <w:name w:val="heading 3"/>
    <w:basedOn w:val="Heading2"/>
    <w:next w:val="Normal"/>
    <w:link w:val="Heading3Char"/>
    <w:qFormat/>
    <w:rsid w:val="00D446BE"/>
    <w:pPr>
      <w:numPr>
        <w:ilvl w:val="2"/>
      </w:numPr>
      <w:outlineLvl w:val="2"/>
    </w:pPr>
    <w:rPr>
      <w:bCs/>
    </w:rPr>
  </w:style>
  <w:style w:type="paragraph" w:styleId="Heading4">
    <w:name w:val="heading 4"/>
    <w:basedOn w:val="Heading3"/>
    <w:next w:val="Normal"/>
    <w:link w:val="Heading4Char"/>
    <w:qFormat/>
    <w:rsid w:val="00D446BE"/>
    <w:pPr>
      <w:numPr>
        <w:ilvl w:val="3"/>
      </w:numPr>
      <w:spacing w:before="120"/>
      <w:outlineLvl w:val="3"/>
    </w:pPr>
    <w:rPr>
      <w:rFonts w:cs="Arial"/>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46BE"/>
    <w:rPr>
      <w:rFonts w:ascii="Times New Roman" w:eastAsia="SimSun" w:hAnsi="Times New Roman" w:cs="Times New Roman"/>
      <w:b/>
      <w:bCs/>
      <w:kern w:val="28"/>
      <w:sz w:val="28"/>
      <w:szCs w:val="28"/>
      <w:lang w:val="en-US"/>
    </w:rPr>
  </w:style>
  <w:style w:type="character" w:customStyle="1" w:styleId="Heading2Char">
    <w:name w:val="Heading 2 Char"/>
    <w:basedOn w:val="DefaultParagraphFont"/>
    <w:link w:val="Heading2"/>
    <w:rsid w:val="00D446BE"/>
    <w:rPr>
      <w:rFonts w:ascii="Times New Roman" w:eastAsia="SimSun" w:hAnsi="Times New Roman" w:cs="Times New Roman"/>
      <w:b/>
      <w:iCs/>
      <w:kern w:val="28"/>
      <w:sz w:val="24"/>
      <w:szCs w:val="28"/>
      <w:lang w:val="en-US"/>
    </w:rPr>
  </w:style>
  <w:style w:type="character" w:customStyle="1" w:styleId="Heading3Char">
    <w:name w:val="Heading 3 Char"/>
    <w:basedOn w:val="DefaultParagraphFont"/>
    <w:link w:val="Heading3"/>
    <w:rsid w:val="00D446BE"/>
    <w:rPr>
      <w:rFonts w:ascii="Times New Roman" w:eastAsia="SimSun" w:hAnsi="Times New Roman" w:cs="Times New Roman"/>
      <w:b/>
      <w:bCs/>
      <w:iCs/>
      <w:kern w:val="28"/>
      <w:sz w:val="24"/>
      <w:szCs w:val="28"/>
      <w:lang w:val="en-US"/>
    </w:rPr>
  </w:style>
  <w:style w:type="character" w:customStyle="1" w:styleId="Heading4Char">
    <w:name w:val="Heading 4 Char"/>
    <w:basedOn w:val="DefaultParagraphFont"/>
    <w:link w:val="Heading4"/>
    <w:rsid w:val="00D446BE"/>
    <w:rPr>
      <w:rFonts w:ascii="Times New Roman" w:eastAsia="SimSun" w:hAnsi="Times New Roman" w:cs="Arial"/>
      <w:b/>
      <w:iCs/>
      <w:kern w:val="28"/>
      <w:sz w:val="24"/>
      <w:szCs w:val="28"/>
      <w:lang w:val="en-US"/>
    </w:rPr>
  </w:style>
  <w:style w:type="paragraph" w:customStyle="1" w:styleId="Comment">
    <w:name w:val="Comment"/>
    <w:basedOn w:val="Normal"/>
    <w:link w:val="CommentChar"/>
    <w:rsid w:val="00D446BE"/>
    <w:pPr>
      <w:spacing w:before="60" w:after="60"/>
    </w:pPr>
    <w:rPr>
      <w:i/>
      <w:iCs/>
      <w:color w:val="FF0000"/>
    </w:rPr>
  </w:style>
  <w:style w:type="paragraph" w:customStyle="1" w:styleId="Synopsis">
    <w:name w:val="Synopsis"/>
    <w:basedOn w:val="Normal"/>
    <w:rsid w:val="00D446BE"/>
    <w:pPr>
      <w:spacing w:before="60" w:after="60"/>
    </w:pPr>
    <w:rPr>
      <w:rFonts w:cs="Arial"/>
      <w:sz w:val="22"/>
      <w:szCs w:val="22"/>
    </w:rPr>
  </w:style>
  <w:style w:type="character" w:customStyle="1" w:styleId="CommentChar">
    <w:name w:val="Comment Char"/>
    <w:link w:val="Comment"/>
    <w:rsid w:val="00D446BE"/>
    <w:rPr>
      <w:rFonts w:ascii="Times New Roman" w:eastAsia="SimSun" w:hAnsi="Times New Roman" w:cs="Times New Roman"/>
      <w:i/>
      <w:iCs/>
      <w:color w:val="FF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3477</Words>
  <Characters>19819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cp:revision>
  <dcterms:created xsi:type="dcterms:W3CDTF">2019-07-08T14:42:00Z</dcterms:created>
  <dcterms:modified xsi:type="dcterms:W3CDTF">2019-07-09T13:16:00Z</dcterms:modified>
</cp:coreProperties>
</file>