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3D2" w:rsidRPr="005E13D2" w:rsidRDefault="005E13D2" w:rsidP="005E13D2">
      <w:pPr>
        <w:spacing w:line="480" w:lineRule="auto"/>
        <w:rPr>
          <w:rFonts w:asciiTheme="minorBidi" w:hAnsiTheme="minorBidi" w:cstheme="minorBidi"/>
          <w:bCs/>
        </w:rPr>
      </w:pPr>
      <w:r w:rsidRPr="005E13D2">
        <w:rPr>
          <w:rFonts w:asciiTheme="minorBidi" w:hAnsiTheme="minorBidi" w:cstheme="minorBidi"/>
          <w:bCs/>
        </w:rPr>
        <w:t>To determine the effect of SGLT</w:t>
      </w:r>
      <w:r w:rsidRPr="005E13D2">
        <w:rPr>
          <w:rFonts w:asciiTheme="minorBidi" w:hAnsiTheme="minorBidi" w:cstheme="minorBidi"/>
          <w:bCs/>
          <w:vertAlign w:val="subscript"/>
        </w:rPr>
        <w:t>2</w:t>
      </w:r>
      <w:r w:rsidRPr="005E13D2">
        <w:rPr>
          <w:rFonts w:asciiTheme="minorBidi" w:hAnsiTheme="minorBidi" w:cstheme="minorBidi"/>
          <w:bCs/>
        </w:rPr>
        <w:t xml:space="preserve"> inhibitor </w:t>
      </w:r>
      <w:proofErr w:type="spellStart"/>
      <w:r w:rsidRPr="005E13D2">
        <w:rPr>
          <w:rFonts w:asciiTheme="minorBidi" w:hAnsiTheme="minorBidi" w:cstheme="minorBidi"/>
          <w:bCs/>
        </w:rPr>
        <w:t>dapagliflozin</w:t>
      </w:r>
      <w:proofErr w:type="spellEnd"/>
      <w:r w:rsidRPr="005E13D2">
        <w:rPr>
          <w:rFonts w:asciiTheme="minorBidi" w:hAnsiTheme="minorBidi" w:cstheme="minorBidi"/>
          <w:bCs/>
        </w:rPr>
        <w:t xml:space="preserve"> on glucose flux, lipolysis and ketone body concentrations during insulin withdrawal in people with type </w:t>
      </w:r>
      <w:proofErr w:type="gramStart"/>
      <w:r w:rsidRPr="005E13D2">
        <w:rPr>
          <w:rFonts w:asciiTheme="minorBidi" w:hAnsiTheme="minorBidi" w:cstheme="minorBidi"/>
          <w:bCs/>
        </w:rPr>
        <w:t>1</w:t>
      </w:r>
      <w:proofErr w:type="gramEnd"/>
      <w:r w:rsidRPr="005E13D2">
        <w:rPr>
          <w:rFonts w:asciiTheme="minorBidi" w:hAnsiTheme="minorBidi" w:cstheme="minorBidi"/>
          <w:bCs/>
        </w:rPr>
        <w:t xml:space="preserve"> diabetes. </w:t>
      </w:r>
    </w:p>
    <w:p w:rsidR="005E13D2" w:rsidRPr="005E13D2" w:rsidRDefault="005E13D2" w:rsidP="005E13D2">
      <w:pPr>
        <w:spacing w:line="480" w:lineRule="auto"/>
        <w:rPr>
          <w:rFonts w:asciiTheme="minorBidi" w:hAnsiTheme="minorBidi" w:cstheme="minorBidi"/>
          <w:bCs/>
        </w:rPr>
      </w:pPr>
      <w:bookmarkStart w:id="0" w:name="_GoBack"/>
      <w:bookmarkEnd w:id="0"/>
    </w:p>
    <w:p w:rsidR="005E13D2" w:rsidRPr="005E13D2" w:rsidRDefault="005E13D2" w:rsidP="005E13D2">
      <w:pPr>
        <w:spacing w:after="160" w:line="480" w:lineRule="auto"/>
        <w:rPr>
          <w:rFonts w:asciiTheme="minorBidi" w:hAnsiTheme="minorBidi" w:cstheme="minorBidi"/>
          <w:bCs/>
        </w:rPr>
      </w:pPr>
      <w:r w:rsidRPr="005E13D2">
        <w:rPr>
          <w:rFonts w:asciiTheme="minorBidi" w:hAnsiTheme="minorBidi" w:cstheme="minorBidi"/>
          <w:bCs/>
        </w:rPr>
        <w:t xml:space="preserve">A double-blind placebo controlled crossover study with a 4-week wash out period </w:t>
      </w:r>
      <w:proofErr w:type="gramStart"/>
      <w:r w:rsidRPr="005E13D2">
        <w:rPr>
          <w:rFonts w:asciiTheme="minorBidi" w:hAnsiTheme="minorBidi" w:cstheme="minorBidi"/>
          <w:bCs/>
        </w:rPr>
        <w:t>was performed</w:t>
      </w:r>
      <w:proofErr w:type="gramEnd"/>
      <w:r w:rsidRPr="005E13D2">
        <w:rPr>
          <w:rFonts w:asciiTheme="minorBidi" w:hAnsiTheme="minorBidi" w:cstheme="minorBidi"/>
          <w:bCs/>
        </w:rPr>
        <w:t xml:space="preserve"> in 12 people with type 1 diabetes using insulin pump therapy.  Participants received </w:t>
      </w:r>
      <w:proofErr w:type="spellStart"/>
      <w:r w:rsidRPr="005E13D2">
        <w:rPr>
          <w:rFonts w:asciiTheme="minorBidi" w:hAnsiTheme="minorBidi" w:cstheme="minorBidi"/>
          <w:bCs/>
        </w:rPr>
        <w:t>dapagliflozin</w:t>
      </w:r>
      <w:proofErr w:type="spellEnd"/>
      <w:r w:rsidRPr="005E13D2">
        <w:rPr>
          <w:rFonts w:asciiTheme="minorBidi" w:hAnsiTheme="minorBidi" w:cstheme="minorBidi"/>
          <w:bCs/>
        </w:rPr>
        <w:t xml:space="preserve"> or placebo in random order for 7 days. Stable isotopes </w:t>
      </w:r>
      <w:proofErr w:type="gramStart"/>
      <w:r w:rsidRPr="005E13D2">
        <w:rPr>
          <w:rFonts w:asciiTheme="minorBidi" w:hAnsiTheme="minorBidi" w:cstheme="minorBidi"/>
          <w:bCs/>
        </w:rPr>
        <w:t>were infused</w:t>
      </w:r>
      <w:proofErr w:type="gramEnd"/>
      <w:r w:rsidRPr="005E13D2">
        <w:rPr>
          <w:rFonts w:asciiTheme="minorBidi" w:hAnsiTheme="minorBidi" w:cstheme="minorBidi"/>
          <w:bCs/>
        </w:rPr>
        <w:t xml:space="preserve"> to measure the rate of glucose production (Ra), disappearance (Rd) and lipolysis. At isotopic steady state insulin was withdrawn</w:t>
      </w:r>
      <w:r w:rsidRPr="005E13D2">
        <w:rPr>
          <w:rFonts w:asciiTheme="minorBidi" w:hAnsiTheme="minorBidi" w:cstheme="minorBidi"/>
        </w:rPr>
        <w:t xml:space="preserve"> and the study terminated after</w:t>
      </w:r>
      <w:r w:rsidRPr="005E13D2">
        <w:rPr>
          <w:rFonts w:asciiTheme="minorBidi" w:hAnsiTheme="minorBidi" w:cstheme="minorBidi"/>
          <w:bCs/>
        </w:rPr>
        <w:t xml:space="preserve"> 600 minutes or earlier if blood glucose reached 18mmol/L, bicarbonate &lt;15mmol/L, venous pH &lt;7.35 or capillary ketones &gt;5.0 </w:t>
      </w:r>
      <w:proofErr w:type="spellStart"/>
      <w:r w:rsidRPr="005E13D2">
        <w:rPr>
          <w:rFonts w:asciiTheme="minorBidi" w:hAnsiTheme="minorBidi" w:cstheme="minorBidi"/>
          <w:bCs/>
        </w:rPr>
        <w:t>mmol</w:t>
      </w:r>
      <w:proofErr w:type="spellEnd"/>
      <w:r w:rsidRPr="005E13D2">
        <w:rPr>
          <w:rFonts w:asciiTheme="minorBidi" w:hAnsiTheme="minorBidi" w:cstheme="minorBidi"/>
          <w:bCs/>
        </w:rPr>
        <w:t xml:space="preserve">/L. </w:t>
      </w:r>
    </w:p>
    <w:p w:rsidR="005E13D2" w:rsidRPr="005E13D2" w:rsidRDefault="005E13D2" w:rsidP="005E13D2">
      <w:pPr>
        <w:widowControl w:val="0"/>
        <w:autoSpaceDE w:val="0"/>
        <w:autoSpaceDN w:val="0"/>
        <w:adjustRightInd w:val="0"/>
        <w:spacing w:after="200" w:line="480" w:lineRule="auto"/>
        <w:rPr>
          <w:rFonts w:asciiTheme="minorBidi" w:hAnsiTheme="minorBidi" w:cstheme="minorBidi"/>
          <w:bCs/>
          <w:color w:val="000000" w:themeColor="text1"/>
        </w:rPr>
      </w:pPr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 xml:space="preserve">At baseline, glucagon and glucose Ra </w:t>
      </w:r>
      <w:r w:rsidRPr="005E13D2">
        <w:rPr>
          <w:rFonts w:asciiTheme="minorBidi" w:hAnsiTheme="minorBidi" w:cstheme="minorBidi"/>
          <w:bCs/>
          <w:color w:val="000000" w:themeColor="text1"/>
        </w:rPr>
        <w:t xml:space="preserve">were significantly </w:t>
      </w:r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 xml:space="preserve">higher with </w:t>
      </w:r>
      <w:proofErr w:type="spellStart"/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>dapagliflozin</w:t>
      </w:r>
      <w:proofErr w:type="spellEnd"/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 xml:space="preserve"> than placebo. </w:t>
      </w:r>
      <w:r w:rsidRPr="005E13D2">
        <w:rPr>
          <w:rFonts w:asciiTheme="minorBidi" w:hAnsiTheme="minorBidi" w:cstheme="minorBidi"/>
          <w:bCs/>
          <w:color w:val="000000" w:themeColor="text1"/>
        </w:rPr>
        <w:t xml:space="preserve">Following insulin withdrawal, plasma glucose concentrations at the </w:t>
      </w:r>
      <w:proofErr w:type="gramStart"/>
      <w:r w:rsidRPr="005E13D2">
        <w:rPr>
          <w:rFonts w:asciiTheme="minorBidi" w:hAnsiTheme="minorBidi" w:cstheme="minorBidi"/>
          <w:bCs/>
          <w:color w:val="000000" w:themeColor="text1"/>
        </w:rPr>
        <w:t>end point</w:t>
      </w:r>
      <w:proofErr w:type="gramEnd"/>
      <w:r w:rsidRPr="005E13D2">
        <w:rPr>
          <w:rFonts w:asciiTheme="minorBidi" w:hAnsiTheme="minorBidi" w:cstheme="minorBidi"/>
          <w:bCs/>
          <w:color w:val="000000" w:themeColor="text1"/>
        </w:rPr>
        <w:t xml:space="preserve"> were </w:t>
      </w:r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 xml:space="preserve">significantly lower with </w:t>
      </w:r>
      <w:proofErr w:type="spellStart"/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>dapagliflozin</w:t>
      </w:r>
      <w:proofErr w:type="spellEnd"/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 xml:space="preserve"> than placebo and AUC</w:t>
      </w:r>
      <w:r w:rsidRPr="005E13D2">
        <w:rPr>
          <w:rFonts w:asciiTheme="minorBidi" w:eastAsia="Times New Roman" w:hAnsiTheme="minorBidi" w:cstheme="minorBidi"/>
          <w:bCs/>
          <w:color w:val="000000" w:themeColor="text1"/>
          <w:vertAlign w:val="subscript"/>
          <w:lang w:eastAsia="en-GB"/>
        </w:rPr>
        <w:t xml:space="preserve">0-180min </w:t>
      </w:r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>glucose Rd and AUC</w:t>
      </w:r>
      <w:r w:rsidRPr="005E13D2">
        <w:rPr>
          <w:rFonts w:asciiTheme="minorBidi" w:eastAsia="Times New Roman" w:hAnsiTheme="minorBidi" w:cstheme="minorBidi"/>
          <w:bCs/>
          <w:color w:val="000000" w:themeColor="text1"/>
          <w:vertAlign w:val="subscript"/>
          <w:lang w:eastAsia="en-GB"/>
        </w:rPr>
        <w:t xml:space="preserve">0-180min </w:t>
      </w:r>
      <w:r w:rsidRPr="005E13D2">
        <w:rPr>
          <w:rFonts w:asciiTheme="minorBidi" w:hAnsiTheme="minorBidi" w:cstheme="minorBidi"/>
          <w:bCs/>
        </w:rPr>
        <w:t>β-</w:t>
      </w:r>
      <w:proofErr w:type="spellStart"/>
      <w:r w:rsidRPr="005E13D2">
        <w:rPr>
          <w:rFonts w:asciiTheme="minorBidi" w:hAnsiTheme="minorBidi" w:cstheme="minorBidi"/>
          <w:bCs/>
        </w:rPr>
        <w:t>hydroxybutyrate</w:t>
      </w:r>
      <w:proofErr w:type="spellEnd"/>
      <w:r w:rsidRPr="005E13D2">
        <w:rPr>
          <w:rFonts w:asciiTheme="minorBidi" w:hAnsiTheme="minorBidi" w:cstheme="minorBidi"/>
          <w:bCs/>
        </w:rPr>
        <w:t xml:space="preserve"> (</w:t>
      </w:r>
      <w:r w:rsidRPr="005E13D2">
        <w:rPr>
          <w:rFonts w:asciiTheme="minorBidi" w:hAnsiTheme="minorBidi" w:cstheme="minorBidi"/>
          <w:bCs/>
          <w:color w:val="101010"/>
        </w:rPr>
        <w:t>BOHB</w:t>
      </w:r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 xml:space="preserve">) were significantly higher. </w:t>
      </w:r>
    </w:p>
    <w:p w:rsidR="005E13D2" w:rsidRPr="005E13D2" w:rsidRDefault="005E13D2" w:rsidP="005E13D2">
      <w:pPr>
        <w:widowControl w:val="0"/>
        <w:autoSpaceDE w:val="0"/>
        <w:autoSpaceDN w:val="0"/>
        <w:adjustRightInd w:val="0"/>
        <w:spacing w:after="200" w:line="480" w:lineRule="auto"/>
        <w:rPr>
          <w:rFonts w:asciiTheme="minorBidi" w:hAnsiTheme="minorBidi" w:cstheme="minorBidi"/>
          <w:bCs/>
          <w:color w:val="101010"/>
        </w:rPr>
      </w:pPr>
      <w:r w:rsidRPr="005E13D2">
        <w:rPr>
          <w:rFonts w:asciiTheme="minorBidi" w:hAnsiTheme="minorBidi" w:cstheme="minorBidi"/>
          <w:bCs/>
          <w:color w:val="000000" w:themeColor="text1"/>
        </w:rPr>
        <w:t>When divided by BMI&gt;27 and &lt;27kg/m</w:t>
      </w:r>
      <w:r w:rsidRPr="005E13D2">
        <w:rPr>
          <w:rFonts w:asciiTheme="minorBidi" w:hAnsiTheme="minorBidi" w:cstheme="minorBidi"/>
          <w:bCs/>
          <w:color w:val="000000" w:themeColor="text1"/>
          <w:vertAlign w:val="superscript"/>
        </w:rPr>
        <w:t>2</w:t>
      </w:r>
      <w:r w:rsidRPr="005E13D2">
        <w:rPr>
          <w:rFonts w:asciiTheme="minorBidi" w:hAnsiTheme="minorBidi" w:cstheme="minorBidi"/>
          <w:bCs/>
          <w:color w:val="000000" w:themeColor="text1"/>
        </w:rPr>
        <w:t>, basal glucose Ra and BOHB, and AUC</w:t>
      </w:r>
      <w:r w:rsidRPr="005E13D2">
        <w:rPr>
          <w:rFonts w:asciiTheme="minorBidi" w:hAnsiTheme="minorBidi" w:cstheme="minorBidi"/>
          <w:bCs/>
          <w:color w:val="000000" w:themeColor="text1"/>
          <w:vertAlign w:val="subscript"/>
        </w:rPr>
        <w:t>0-180min</w:t>
      </w:r>
      <w:r w:rsidRPr="005E13D2">
        <w:rPr>
          <w:rFonts w:asciiTheme="minorBidi" w:hAnsiTheme="minorBidi" w:cstheme="minorBidi"/>
          <w:bCs/>
          <w:color w:val="000000" w:themeColor="text1"/>
        </w:rPr>
        <w:t xml:space="preserve">glycerol Ra were significantly higher in the low BMI group with </w:t>
      </w:r>
      <w:proofErr w:type="spellStart"/>
      <w:r w:rsidRPr="005E13D2">
        <w:rPr>
          <w:rFonts w:asciiTheme="minorBidi" w:hAnsiTheme="minorBidi" w:cstheme="minorBidi"/>
          <w:bCs/>
          <w:color w:val="000000" w:themeColor="text1"/>
        </w:rPr>
        <w:t>dapaglifozin</w:t>
      </w:r>
      <w:proofErr w:type="spellEnd"/>
      <w:r w:rsidRPr="005E13D2">
        <w:rPr>
          <w:rFonts w:asciiTheme="minorBidi" w:hAnsiTheme="minorBidi" w:cstheme="minorBidi"/>
          <w:bCs/>
          <w:color w:val="000000" w:themeColor="text1"/>
        </w:rPr>
        <w:t xml:space="preserve"> versus placebo treatment.</w:t>
      </w:r>
    </w:p>
    <w:p w:rsidR="005E13D2" w:rsidRPr="005E13D2" w:rsidRDefault="005E13D2" w:rsidP="005E13D2">
      <w:pPr>
        <w:widowControl w:val="0"/>
        <w:autoSpaceDE w:val="0"/>
        <w:autoSpaceDN w:val="0"/>
        <w:adjustRightInd w:val="0"/>
        <w:spacing w:after="200" w:line="480" w:lineRule="auto"/>
        <w:rPr>
          <w:rFonts w:asciiTheme="minorBidi" w:hAnsiTheme="minorBidi" w:cstheme="minorBidi"/>
          <w:bCs/>
          <w:color w:val="000000" w:themeColor="text1"/>
          <w:u w:val="single"/>
        </w:rPr>
      </w:pPr>
      <w:r w:rsidRPr="005E13D2">
        <w:rPr>
          <w:rFonts w:asciiTheme="minorBidi" w:hAnsiTheme="minorBidi" w:cstheme="minorBidi"/>
          <w:bCs/>
          <w:color w:val="101010"/>
        </w:rPr>
        <w:t xml:space="preserve">During insulin </w:t>
      </w:r>
      <w:proofErr w:type="gramStart"/>
      <w:r w:rsidRPr="005E13D2">
        <w:rPr>
          <w:rFonts w:asciiTheme="minorBidi" w:hAnsiTheme="minorBidi" w:cstheme="minorBidi"/>
          <w:bCs/>
          <w:color w:val="101010"/>
        </w:rPr>
        <w:t>withdrawal</w:t>
      </w:r>
      <w:proofErr w:type="gramEnd"/>
      <w:r w:rsidRPr="005E13D2">
        <w:rPr>
          <w:rFonts w:asciiTheme="minorBidi" w:eastAsia="?????? Pro W3" w:hAnsiTheme="minorBidi" w:cstheme="minorBidi"/>
          <w:bCs/>
        </w:rPr>
        <w:t xml:space="preserve"> the increase in </w:t>
      </w:r>
      <w:r w:rsidRPr="005E13D2">
        <w:rPr>
          <w:rFonts w:asciiTheme="minorBidi" w:eastAsia="Times New Roman" w:hAnsiTheme="minorBidi" w:cstheme="minorBidi"/>
          <w:bCs/>
          <w:color w:val="000000" w:themeColor="text1"/>
          <w:lang w:eastAsia="en-GB"/>
        </w:rPr>
        <w:t>BOHB</w:t>
      </w:r>
      <w:r w:rsidRPr="005E13D2">
        <w:rPr>
          <w:rFonts w:asciiTheme="minorBidi" w:eastAsia="?????? Pro W3" w:hAnsiTheme="minorBidi" w:cstheme="minorBidi"/>
          <w:bCs/>
        </w:rPr>
        <w:t xml:space="preserve"> with </w:t>
      </w:r>
      <w:proofErr w:type="spellStart"/>
      <w:r w:rsidRPr="005E13D2">
        <w:rPr>
          <w:rFonts w:asciiTheme="minorBidi" w:eastAsia="?????? Pro W3" w:hAnsiTheme="minorBidi" w:cstheme="minorBidi"/>
          <w:bCs/>
        </w:rPr>
        <w:t>dapaglifozin</w:t>
      </w:r>
      <w:proofErr w:type="spellEnd"/>
      <w:r w:rsidRPr="005E13D2">
        <w:rPr>
          <w:rFonts w:asciiTheme="minorBidi" w:eastAsia="?????? Pro W3" w:hAnsiTheme="minorBidi" w:cstheme="minorBidi"/>
          <w:bCs/>
        </w:rPr>
        <w:t xml:space="preserve"> may be partially due to increased </w:t>
      </w:r>
      <w:r w:rsidRPr="005E13D2">
        <w:rPr>
          <w:rFonts w:asciiTheme="minorBidi" w:hAnsiTheme="minorBidi" w:cstheme="minorBidi"/>
          <w:bCs/>
          <w:color w:val="101010"/>
        </w:rPr>
        <w:t xml:space="preserve">lipolysis. </w:t>
      </w:r>
      <w:proofErr w:type="gramStart"/>
      <w:r w:rsidRPr="005E13D2">
        <w:rPr>
          <w:rFonts w:asciiTheme="minorBidi" w:hAnsiTheme="minorBidi" w:cstheme="minorBidi"/>
          <w:bCs/>
          <w:color w:val="101010"/>
        </w:rPr>
        <w:t>However</w:t>
      </w:r>
      <w:proofErr w:type="gramEnd"/>
      <w:r w:rsidRPr="005E13D2">
        <w:rPr>
          <w:rFonts w:asciiTheme="minorBidi" w:hAnsiTheme="minorBidi" w:cstheme="minorBidi"/>
          <w:bCs/>
          <w:color w:val="101010"/>
        </w:rPr>
        <w:t xml:space="preserve"> reduced renal excretion, reduced BOHB uptake by peripheral tissues or a </w:t>
      </w:r>
      <w:r w:rsidRPr="005E13D2">
        <w:rPr>
          <w:rFonts w:asciiTheme="minorBidi" w:eastAsia="Times New Roman" w:hAnsiTheme="minorBidi" w:cstheme="minorBidi"/>
          <w:bCs/>
          <w:color w:val="000000"/>
        </w:rPr>
        <w:t xml:space="preserve">metabolic switch to increase </w:t>
      </w:r>
      <w:proofErr w:type="spellStart"/>
      <w:r w:rsidRPr="005E13D2">
        <w:rPr>
          <w:rFonts w:asciiTheme="minorBidi" w:eastAsia="Times New Roman" w:hAnsiTheme="minorBidi" w:cstheme="minorBidi"/>
          <w:bCs/>
          <w:color w:val="000000"/>
        </w:rPr>
        <w:t>ketogenesis</w:t>
      </w:r>
      <w:proofErr w:type="spellEnd"/>
      <w:r w:rsidRPr="005E13D2">
        <w:rPr>
          <w:rFonts w:asciiTheme="minorBidi" w:eastAsia="Times New Roman" w:hAnsiTheme="minorBidi" w:cstheme="minorBidi"/>
          <w:bCs/>
          <w:color w:val="000000"/>
        </w:rPr>
        <w:t xml:space="preserve"> within the liver may also play a role. </w:t>
      </w:r>
    </w:p>
    <w:p w:rsidR="004B5BA6" w:rsidRDefault="00BB134C"/>
    <w:sectPr w:rsidR="004B5B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?????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3D2"/>
    <w:rsid w:val="005E13D2"/>
    <w:rsid w:val="007C2A11"/>
    <w:rsid w:val="00BB134C"/>
    <w:rsid w:val="00CD1492"/>
    <w:rsid w:val="00E5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33C9EF-0DBA-46F6-AA13-9C4763CD2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3D2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Surrey County Hospital NHS Foundation Trust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Fariba Shojaee</dc:creator>
  <cp:keywords/>
  <dc:description/>
  <cp:lastModifiedBy>Fariba Shojaee</cp:lastModifiedBy>
  <cp:revision>2</cp:revision>
  <dcterms:created xsi:type="dcterms:W3CDTF">2021-01-05T12:08:00Z</dcterms:created>
  <dcterms:modified xsi:type="dcterms:W3CDTF">2021-01-05T13:26:00Z</dcterms:modified>
</cp:coreProperties>
</file>