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BA4FB"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noProof/>
          <w:lang w:val="en-US" w:eastAsia="zh-CN"/>
        </w:rPr>
        <w:drawing>
          <wp:anchor distT="0" distB="0" distL="114300" distR="114300" simplePos="0" relativeHeight="251659264" behindDoc="0" locked="0" layoutInCell="1" allowOverlap="1" wp14:anchorId="6F66A94C" wp14:editId="5079B0E9">
            <wp:simplePos x="0" y="0"/>
            <wp:positionH relativeFrom="column">
              <wp:posOffset>1727688</wp:posOffset>
            </wp:positionH>
            <wp:positionV relativeFrom="paragraph">
              <wp:posOffset>244</wp:posOffset>
            </wp:positionV>
            <wp:extent cx="2878455" cy="492760"/>
            <wp:effectExtent l="0" t="0" r="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8455" cy="492760"/>
                    </a:xfrm>
                    <a:prstGeom prst="rect">
                      <a:avLst/>
                    </a:prstGeom>
                    <a:noFill/>
                    <a:ln>
                      <a:noFill/>
                    </a:ln>
                  </pic:spPr>
                </pic:pic>
              </a:graphicData>
            </a:graphic>
          </wp:anchor>
        </w:drawing>
      </w:r>
    </w:p>
    <w:p w14:paraId="773526E5" w14:textId="77777777" w:rsidR="00B05CA9" w:rsidRPr="00B05CA9" w:rsidRDefault="00B05CA9" w:rsidP="00B05CA9">
      <w:pPr>
        <w:keepNext/>
        <w:keepLines/>
        <w:spacing w:before="80" w:after="100" w:line="360" w:lineRule="auto"/>
        <w:ind w:left="992" w:hanging="992"/>
        <w:contextualSpacing/>
        <w:jc w:val="center"/>
        <w:outlineLvl w:val="0"/>
        <w:rPr>
          <w:rFonts w:ascii="Times New Roman" w:eastAsia="Times New Roman" w:hAnsi="Times New Roman" w:cs="Times New Roman"/>
          <w:b/>
          <w:bCs/>
          <w:caps/>
          <w:szCs w:val="20"/>
          <w:lang w:val="en-US"/>
        </w:rPr>
      </w:pPr>
      <w:bookmarkStart w:id="0" w:name="_Toc530404397"/>
      <w:r w:rsidRPr="00B05CA9">
        <w:rPr>
          <w:rFonts w:ascii="Times New Roman" w:eastAsia="Times New Roman" w:hAnsi="Times New Roman" w:cs="Times New Roman"/>
          <w:b/>
          <w:bCs/>
          <w:caps/>
          <w:szCs w:val="20"/>
          <w:lang w:val="en-US"/>
        </w:rPr>
        <w:t>Clinical Study Report</w:t>
      </w:r>
      <w:bookmarkEnd w:id="0"/>
    </w:p>
    <w:tbl>
      <w:tblPr>
        <w:tblW w:w="5000" w:type="pct"/>
        <w:tblLook w:val="0000" w:firstRow="0" w:lastRow="0" w:firstColumn="0" w:lastColumn="0" w:noHBand="0" w:noVBand="0"/>
      </w:tblPr>
      <w:tblGrid>
        <w:gridCol w:w="3013"/>
        <w:gridCol w:w="5829"/>
        <w:gridCol w:w="66"/>
      </w:tblGrid>
      <w:tr w:rsidR="00B05CA9" w:rsidRPr="00B05CA9" w14:paraId="3C1781A5" w14:textId="77777777" w:rsidTr="00B05CA9">
        <w:tc>
          <w:tcPr>
            <w:tcW w:w="1691" w:type="pct"/>
          </w:tcPr>
          <w:p w14:paraId="4D2206BE"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STUDY TITLE:</w:t>
            </w:r>
          </w:p>
        </w:tc>
        <w:tc>
          <w:tcPr>
            <w:tcW w:w="3309" w:type="pct"/>
            <w:gridSpan w:val="2"/>
          </w:tcPr>
          <w:p w14:paraId="2D698210" w14:textId="77777777" w:rsidR="00B05CA9" w:rsidRPr="00B05CA9" w:rsidRDefault="00B05CA9" w:rsidP="00B05CA9">
            <w:pPr>
              <w:autoSpaceDE w:val="0"/>
              <w:autoSpaceDN w:val="0"/>
              <w:adjustRightInd w:val="0"/>
              <w:spacing w:after="0" w:line="240" w:lineRule="auto"/>
              <w:ind w:left="32" w:right="-188"/>
              <w:jc w:val="both"/>
              <w:rPr>
                <w:rFonts w:ascii="Times New Roman" w:eastAsia="Times New Roman" w:hAnsi="Times New Roman" w:cs="Times New Roman"/>
                <w:color w:val="000000"/>
                <w:lang w:val="en-US" w:eastAsia="en-GB"/>
              </w:rPr>
            </w:pPr>
            <w:proofErr w:type="spellStart"/>
            <w:r w:rsidRPr="00B05CA9">
              <w:rPr>
                <w:rFonts w:ascii="Times New Roman" w:eastAsia="Times New Roman" w:hAnsi="Times New Roman" w:cs="Times New Roman"/>
                <w:color w:val="000000"/>
                <w:lang w:val="en-US" w:eastAsia="en-GB"/>
              </w:rPr>
              <w:t>Maxiclear</w:t>
            </w:r>
            <w:r w:rsidRPr="00B05CA9">
              <w:rPr>
                <w:rFonts w:ascii="Times New Roman" w:eastAsia="Times New Roman" w:hAnsi="Times New Roman" w:cs="Times New Roman"/>
                <w:color w:val="000000"/>
                <w:vertAlign w:val="superscript"/>
                <w:lang w:val="en-US" w:eastAsia="en-GB"/>
              </w:rPr>
              <w:t>TM</w:t>
            </w:r>
            <w:proofErr w:type="spellEnd"/>
            <w:r w:rsidRPr="00B05CA9">
              <w:rPr>
                <w:rFonts w:ascii="Times New Roman" w:eastAsia="Times New Roman" w:hAnsi="Times New Roman" w:cs="Times New Roman"/>
                <w:color w:val="000000"/>
                <w:lang w:val="en-US" w:eastAsia="en-GB"/>
              </w:rPr>
              <w:t xml:space="preserve"> PE 3.0/ Maxigesic</w:t>
            </w:r>
            <w:r w:rsidRPr="00B05CA9">
              <w:rPr>
                <w:rFonts w:ascii="Times New Roman" w:eastAsia="Times New Roman" w:hAnsi="Times New Roman" w:cs="Times New Roman"/>
                <w:color w:val="000000"/>
                <w:vertAlign w:val="superscript"/>
                <w:lang w:val="en-US" w:eastAsia="en-GB"/>
              </w:rPr>
              <w:t>®</w:t>
            </w:r>
            <w:r w:rsidRPr="00B05CA9">
              <w:rPr>
                <w:rFonts w:ascii="Times New Roman" w:eastAsia="Times New Roman" w:hAnsi="Times New Roman" w:cs="Times New Roman"/>
                <w:color w:val="000000"/>
                <w:lang w:val="en-US" w:eastAsia="en-GB"/>
              </w:rPr>
              <w:t xml:space="preserve"> PE 2.5 Efficacy Study: </w:t>
            </w:r>
          </w:p>
          <w:p w14:paraId="43AF6DE3"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A Phase 3, Randomized, Double-Blind, Multiple-Dose, Parallel-Group Efficacy Study of Different Doses of Phenylephrine Hydrochloride Combined with Paracetamol and/or Ibuprofen in Participants with Nasal Congestion Associated with Common Cold </w:t>
            </w:r>
          </w:p>
        </w:tc>
      </w:tr>
      <w:tr w:rsidR="00B05CA9" w:rsidRPr="00B05CA9" w14:paraId="13F4102C" w14:textId="77777777" w:rsidTr="00B05CA9">
        <w:tc>
          <w:tcPr>
            <w:tcW w:w="1691" w:type="pct"/>
          </w:tcPr>
          <w:p w14:paraId="6CD56B29"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PROTOCOL IDENTIFICATION:</w:t>
            </w:r>
          </w:p>
        </w:tc>
        <w:tc>
          <w:tcPr>
            <w:tcW w:w="3309" w:type="pct"/>
            <w:gridSpan w:val="2"/>
          </w:tcPr>
          <w:p w14:paraId="527CE407"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bookmarkStart w:id="1" w:name="_Hlk519152202"/>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Efficacy Study</w:t>
            </w:r>
          </w:p>
          <w:p w14:paraId="1C44BC2F"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AFT-MXCF-03</w:t>
            </w:r>
            <w:bookmarkEnd w:id="1"/>
          </w:p>
        </w:tc>
      </w:tr>
      <w:tr w:rsidR="00B05CA9" w:rsidRPr="00B05CA9" w14:paraId="5C0EBF7C" w14:textId="77777777" w:rsidTr="00B05CA9">
        <w:tc>
          <w:tcPr>
            <w:tcW w:w="1691" w:type="pct"/>
          </w:tcPr>
          <w:p w14:paraId="151D2B33"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NAME OF STUDY DRUG:</w:t>
            </w:r>
          </w:p>
        </w:tc>
        <w:tc>
          <w:tcPr>
            <w:tcW w:w="3309" w:type="pct"/>
            <w:gridSpan w:val="2"/>
          </w:tcPr>
          <w:p w14:paraId="1B0EF462"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(paracetamol 500 mg + phenylephrine hydrochloride 3 mg)</w:t>
            </w:r>
          </w:p>
          <w:p w14:paraId="27C21790"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(paracetamol 500 mg + ibuprofen 150 mg + phenylephrine hydrochloride 2.5 mg)</w:t>
            </w:r>
          </w:p>
        </w:tc>
      </w:tr>
      <w:tr w:rsidR="00B05CA9" w:rsidRPr="00B05CA9" w14:paraId="254E3735" w14:textId="77777777" w:rsidTr="00B05CA9">
        <w:tc>
          <w:tcPr>
            <w:tcW w:w="1691" w:type="pct"/>
          </w:tcPr>
          <w:p w14:paraId="3CD4DF86"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DEVELOPMENT PHASE:</w:t>
            </w:r>
          </w:p>
        </w:tc>
        <w:tc>
          <w:tcPr>
            <w:tcW w:w="3309" w:type="pct"/>
            <w:gridSpan w:val="2"/>
          </w:tcPr>
          <w:p w14:paraId="4D8FEB99"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Phase 3</w:t>
            </w:r>
          </w:p>
        </w:tc>
      </w:tr>
      <w:tr w:rsidR="00B05CA9" w:rsidRPr="00B05CA9" w14:paraId="3C828921" w14:textId="77777777" w:rsidTr="00B05CA9">
        <w:trPr>
          <w:trHeight w:val="397"/>
        </w:trPr>
        <w:tc>
          <w:tcPr>
            <w:tcW w:w="1691" w:type="pct"/>
          </w:tcPr>
          <w:p w14:paraId="44A8B1F0"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 xml:space="preserve">EudraCT NUMBER </w:t>
            </w:r>
          </w:p>
        </w:tc>
        <w:tc>
          <w:tcPr>
            <w:tcW w:w="3309" w:type="pct"/>
            <w:gridSpan w:val="2"/>
          </w:tcPr>
          <w:p w14:paraId="16BF1B2F" w14:textId="77777777" w:rsidR="00B05CA9" w:rsidRPr="00B05CA9" w:rsidRDefault="00B05CA9" w:rsidP="00B05CA9">
            <w:pPr>
              <w:autoSpaceDE w:val="0"/>
              <w:autoSpaceDN w:val="0"/>
              <w:adjustRightInd w:val="0"/>
              <w:spacing w:after="0" w:line="240" w:lineRule="auto"/>
              <w:contextualSpacing/>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 xml:space="preserve">2015-002385-23 </w:t>
            </w:r>
          </w:p>
        </w:tc>
      </w:tr>
      <w:tr w:rsidR="00B05CA9" w:rsidRPr="00B05CA9" w14:paraId="36A6C24F" w14:textId="77777777" w:rsidTr="00B05CA9">
        <w:tc>
          <w:tcPr>
            <w:tcW w:w="1691" w:type="pct"/>
          </w:tcPr>
          <w:p w14:paraId="76D39386"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SPONSOR:</w:t>
            </w:r>
          </w:p>
        </w:tc>
        <w:tc>
          <w:tcPr>
            <w:tcW w:w="3309" w:type="pct"/>
            <w:gridSpan w:val="2"/>
          </w:tcPr>
          <w:p w14:paraId="2DCF6208"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AFT Pharmaceuticals Limited, </w:t>
            </w:r>
          </w:p>
          <w:p w14:paraId="07F0AB8B"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Level 1, 129 </w:t>
            </w:r>
            <w:proofErr w:type="spellStart"/>
            <w:r w:rsidRPr="00B05CA9">
              <w:rPr>
                <w:rFonts w:ascii="Times New Roman" w:eastAsia="Times New Roman" w:hAnsi="Times New Roman" w:cs="Times New Roman"/>
                <w:lang w:val="en-US"/>
              </w:rPr>
              <w:t>Hurstmere</w:t>
            </w:r>
            <w:proofErr w:type="spellEnd"/>
            <w:r w:rsidRPr="00B05CA9">
              <w:rPr>
                <w:rFonts w:ascii="Times New Roman" w:eastAsia="Times New Roman" w:hAnsi="Times New Roman" w:cs="Times New Roman"/>
                <w:lang w:val="en-US"/>
              </w:rPr>
              <w:t xml:space="preserve"> Road, Takapuna, </w:t>
            </w:r>
          </w:p>
          <w:p w14:paraId="36F1B6C8"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Auckland, New Zealand </w:t>
            </w:r>
          </w:p>
          <w:p w14:paraId="71FDF4D7"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Ph: + 64 9 488 0232 Fax: + 64 9 488 0234</w:t>
            </w:r>
          </w:p>
        </w:tc>
      </w:tr>
      <w:tr w:rsidR="00B05CA9" w:rsidRPr="00B05CA9" w14:paraId="5621D67A" w14:textId="77777777" w:rsidTr="00B05CA9">
        <w:trPr>
          <w:trHeight w:val="816"/>
        </w:trPr>
        <w:tc>
          <w:tcPr>
            <w:tcW w:w="1691" w:type="pct"/>
          </w:tcPr>
          <w:p w14:paraId="3679213F"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PRINCIPAL INVESTIGATOR:</w:t>
            </w:r>
          </w:p>
        </w:tc>
        <w:tc>
          <w:tcPr>
            <w:tcW w:w="3309" w:type="pct"/>
            <w:gridSpan w:val="2"/>
          </w:tcPr>
          <w:p w14:paraId="5FFD51D7"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Dr Simon Carson, Medical Director</w:t>
            </w:r>
          </w:p>
          <w:p w14:paraId="14398AC9"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Southern Clinical Trials Group Ltd.</w:t>
            </w:r>
          </w:p>
          <w:p w14:paraId="7E8E0726"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Ph + 64 21 848751</w:t>
            </w:r>
          </w:p>
          <w:p w14:paraId="29B53D9C"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p>
          <w:p w14:paraId="29094671"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Dr </w:t>
            </w:r>
            <w:proofErr w:type="spellStart"/>
            <w:r w:rsidRPr="00B05CA9">
              <w:rPr>
                <w:rFonts w:ascii="Times New Roman" w:eastAsia="Times New Roman" w:hAnsi="Times New Roman" w:cs="Times New Roman"/>
                <w:lang w:val="en-US"/>
              </w:rPr>
              <w:t>Moutaz</w:t>
            </w:r>
            <w:proofErr w:type="spellEnd"/>
            <w:r w:rsidRPr="00B05CA9">
              <w:rPr>
                <w:rFonts w:ascii="Times New Roman" w:eastAsia="Times New Roman" w:hAnsi="Times New Roman" w:cs="Times New Roman"/>
                <w:lang w:val="en-US"/>
              </w:rPr>
              <w:t xml:space="preserve"> S M Jawad</w:t>
            </w:r>
          </w:p>
          <w:p w14:paraId="63E01C70"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Common Cold Centre &amp; Healthcare Clinical Trials,</w:t>
            </w:r>
          </w:p>
          <w:p w14:paraId="27AFE827"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Cardiff University,</w:t>
            </w:r>
          </w:p>
          <w:p w14:paraId="2269F67D"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Ph +44 292 0874099</w:t>
            </w:r>
          </w:p>
        </w:tc>
      </w:tr>
      <w:tr w:rsidR="00B05CA9" w:rsidRPr="00B05CA9" w14:paraId="78F5FD8C" w14:textId="77777777" w:rsidTr="00B05CA9">
        <w:tc>
          <w:tcPr>
            <w:tcW w:w="1691" w:type="pct"/>
          </w:tcPr>
          <w:p w14:paraId="6B2DE195"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REASEARCH SITES:</w:t>
            </w:r>
          </w:p>
        </w:tc>
        <w:tc>
          <w:tcPr>
            <w:tcW w:w="3309" w:type="pct"/>
            <w:gridSpan w:val="2"/>
          </w:tcPr>
          <w:p w14:paraId="5A33F41C"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lang w:val="en-US" w:eastAsia="en-GB"/>
              </w:rPr>
            </w:pPr>
            <w:bookmarkStart w:id="2" w:name="_Hlk519506799"/>
            <w:r w:rsidRPr="00B05CA9">
              <w:rPr>
                <w:rFonts w:ascii="Times New Roman" w:eastAsia="Times New Roman" w:hAnsi="Times New Roman" w:cs="Times New Roman"/>
                <w:color w:val="000000"/>
                <w:lang w:val="en-US" w:eastAsia="en-GB"/>
              </w:rPr>
              <w:t xml:space="preserve">Southern Clinical Trials Group Ltd. </w:t>
            </w:r>
          </w:p>
          <w:p w14:paraId="1628AE11"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 xml:space="preserve">3 Strickland St, </w:t>
            </w:r>
          </w:p>
          <w:p w14:paraId="31AA7820"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proofErr w:type="spellStart"/>
            <w:r w:rsidRPr="00B05CA9">
              <w:rPr>
                <w:rFonts w:ascii="Times New Roman" w:eastAsia="Times New Roman" w:hAnsi="Times New Roman" w:cs="Times New Roman"/>
                <w:lang w:val="en-US"/>
              </w:rPr>
              <w:t>Beckenham</w:t>
            </w:r>
            <w:proofErr w:type="spellEnd"/>
            <w:r w:rsidRPr="00B05CA9">
              <w:rPr>
                <w:rFonts w:ascii="Times New Roman" w:eastAsia="Times New Roman" w:hAnsi="Times New Roman" w:cs="Times New Roman"/>
                <w:lang w:val="en-US"/>
              </w:rPr>
              <w:t xml:space="preserve">, </w:t>
            </w:r>
          </w:p>
          <w:p w14:paraId="73CF3512"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Christchurch, </w:t>
            </w:r>
          </w:p>
          <w:p w14:paraId="6F33DE62"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New Zealand </w:t>
            </w:r>
          </w:p>
          <w:p w14:paraId="33E756B4"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Ph + 64 21 848751</w:t>
            </w:r>
          </w:p>
          <w:p w14:paraId="4CF61008"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p>
          <w:p w14:paraId="16D1D82D"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Common Cold Centre &amp; Healthcare Clinical Trials,</w:t>
            </w:r>
          </w:p>
          <w:p w14:paraId="0B5F04F3"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Cardiff School of Biosciences,</w:t>
            </w:r>
          </w:p>
          <w:p w14:paraId="574DA682"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Cardiff University,</w:t>
            </w:r>
          </w:p>
          <w:p w14:paraId="58F9A6F6"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Cardiff, CF10 3 AX</w:t>
            </w:r>
          </w:p>
          <w:p w14:paraId="7C870E1F"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Wales</w:t>
            </w:r>
          </w:p>
          <w:p w14:paraId="6435A489" w14:textId="77777777" w:rsidR="00B05CA9" w:rsidRPr="00B05CA9" w:rsidRDefault="00B05CA9" w:rsidP="00B05CA9">
            <w:pPr>
              <w:spacing w:after="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Ph +44 292 0874099</w:t>
            </w:r>
            <w:bookmarkEnd w:id="2"/>
          </w:p>
        </w:tc>
      </w:tr>
      <w:tr w:rsidR="00B05CA9" w:rsidRPr="00B05CA9" w14:paraId="780A1D23" w14:textId="77777777" w:rsidTr="00B05CA9">
        <w:trPr>
          <w:cantSplit/>
        </w:trPr>
        <w:tc>
          <w:tcPr>
            <w:tcW w:w="1691" w:type="pct"/>
          </w:tcPr>
          <w:p w14:paraId="100CE5A3"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lastRenderedPageBreak/>
              <w:t>STUDY INITIATION DATE</w:t>
            </w:r>
          </w:p>
        </w:tc>
        <w:tc>
          <w:tcPr>
            <w:tcW w:w="3309" w:type="pct"/>
            <w:gridSpan w:val="2"/>
          </w:tcPr>
          <w:p w14:paraId="59D268C4"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15/01/2016</w:t>
            </w:r>
          </w:p>
        </w:tc>
      </w:tr>
      <w:tr w:rsidR="00B05CA9" w:rsidRPr="00B05CA9" w14:paraId="340D34B9" w14:textId="77777777" w:rsidTr="00B05CA9">
        <w:trPr>
          <w:cantSplit/>
        </w:trPr>
        <w:tc>
          <w:tcPr>
            <w:tcW w:w="1691" w:type="pct"/>
          </w:tcPr>
          <w:p w14:paraId="370CC42C"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STUDY COMPLETION DATE</w:t>
            </w:r>
          </w:p>
        </w:tc>
        <w:tc>
          <w:tcPr>
            <w:tcW w:w="3309" w:type="pct"/>
            <w:gridSpan w:val="2"/>
          </w:tcPr>
          <w:p w14:paraId="7FCE9A95"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23/11/2017</w:t>
            </w:r>
          </w:p>
        </w:tc>
      </w:tr>
      <w:tr w:rsidR="00B05CA9" w:rsidRPr="00B05CA9" w14:paraId="266363C3" w14:textId="77777777" w:rsidTr="00B05CA9">
        <w:tc>
          <w:tcPr>
            <w:tcW w:w="1691" w:type="pct"/>
          </w:tcPr>
          <w:p w14:paraId="79AC7AF0"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IEC/IRB:</w:t>
            </w:r>
          </w:p>
        </w:tc>
        <w:tc>
          <w:tcPr>
            <w:tcW w:w="3309" w:type="pct"/>
            <w:gridSpan w:val="2"/>
          </w:tcPr>
          <w:p w14:paraId="68F5524E"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Wales Research Ethics Committee &amp; Health and Disability Ethics Committees</w:t>
            </w:r>
          </w:p>
        </w:tc>
      </w:tr>
      <w:tr w:rsidR="00B05CA9" w:rsidRPr="00B05CA9" w14:paraId="5AF932A7" w14:textId="77777777" w:rsidTr="00B05CA9">
        <w:tc>
          <w:tcPr>
            <w:tcW w:w="1691" w:type="pct"/>
          </w:tcPr>
          <w:p w14:paraId="4DF6F91F"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DATE:</w:t>
            </w:r>
          </w:p>
        </w:tc>
        <w:tc>
          <w:tcPr>
            <w:tcW w:w="3309" w:type="pct"/>
            <w:gridSpan w:val="2"/>
          </w:tcPr>
          <w:p w14:paraId="16BFE677" w14:textId="7C21C551"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10</w:t>
            </w:r>
            <w:r w:rsidRPr="00B05CA9">
              <w:rPr>
                <w:rFonts w:ascii="Times New Roman" w:eastAsia="Times New Roman" w:hAnsi="Times New Roman" w:cs="Times New Roman"/>
                <w:vertAlign w:val="superscript"/>
                <w:lang w:val="en-US"/>
              </w:rPr>
              <w:t>th</w:t>
            </w:r>
            <w:r>
              <w:rPr>
                <w:rFonts w:ascii="Times New Roman" w:eastAsia="Times New Roman" w:hAnsi="Times New Roman" w:cs="Times New Roman"/>
                <w:lang w:val="en-US"/>
              </w:rPr>
              <w:t xml:space="preserve"> May 2019</w:t>
            </w:r>
          </w:p>
        </w:tc>
      </w:tr>
      <w:tr w:rsidR="00B05CA9" w:rsidRPr="00B05CA9" w14:paraId="3827F0C5" w14:textId="77777777" w:rsidTr="00B05CA9">
        <w:tc>
          <w:tcPr>
            <w:tcW w:w="1691" w:type="pct"/>
          </w:tcPr>
          <w:p w14:paraId="25191F30"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AFT DOCUMENT NUMBER</w:t>
            </w:r>
          </w:p>
        </w:tc>
        <w:tc>
          <w:tcPr>
            <w:tcW w:w="3309" w:type="pct"/>
            <w:gridSpan w:val="2"/>
          </w:tcPr>
          <w:p w14:paraId="4FCE4B34"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CSR/MXCF-03</w:t>
            </w:r>
          </w:p>
        </w:tc>
      </w:tr>
      <w:tr w:rsidR="00B05CA9" w:rsidRPr="00B05CA9" w14:paraId="63A862AC" w14:textId="77777777" w:rsidTr="00B05CA9">
        <w:trPr>
          <w:gridAfter w:val="1"/>
          <w:wAfter w:w="37" w:type="pct"/>
        </w:trPr>
        <w:tc>
          <w:tcPr>
            <w:tcW w:w="4963" w:type="pct"/>
            <w:gridSpan w:val="2"/>
          </w:tcPr>
          <w:p w14:paraId="6F4C781A" w14:textId="77777777" w:rsidR="00B05CA9" w:rsidRPr="00B05CA9" w:rsidRDefault="00B05CA9" w:rsidP="00B05CA9">
            <w:pPr>
              <w:spacing w:before="80" w:line="360" w:lineRule="auto"/>
              <w:contextualSpacing/>
              <w:jc w:val="center"/>
              <w:rPr>
                <w:rFonts w:ascii="Times New Roman" w:eastAsia="Times New Roman" w:hAnsi="Times New Roman" w:cs="Times New Roman"/>
                <w:b/>
                <w:lang w:val="en-US"/>
              </w:rPr>
            </w:pPr>
            <w:r w:rsidRPr="00B05CA9">
              <w:rPr>
                <w:rFonts w:ascii="Times New Roman" w:eastAsia="Times New Roman" w:hAnsi="Times New Roman" w:cs="Times New Roman"/>
                <w:b/>
                <w:lang w:val="en-US"/>
              </w:rPr>
              <w:t>This study was performed in compliance with Good Clinical Practice (GCP)</w:t>
            </w:r>
          </w:p>
        </w:tc>
      </w:tr>
    </w:tbl>
    <w:p w14:paraId="4DDE499C"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p w14:paraId="63BAB971"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p w14:paraId="0D6900BE" w14:textId="77777777" w:rsidR="00B05CA9" w:rsidRPr="00B05CA9" w:rsidRDefault="00B05CA9" w:rsidP="00B05CA9">
      <w:pPr>
        <w:spacing w:before="80" w:line="360" w:lineRule="auto"/>
        <w:contextualSpacing/>
        <w:jc w:val="center"/>
        <w:rPr>
          <w:rFonts w:ascii="Times New Roman" w:eastAsia="Times New Roman" w:hAnsi="Times New Roman" w:cs="Times New Roman"/>
          <w:b/>
          <w:lang w:val="en-US"/>
        </w:rPr>
      </w:pPr>
      <w:r w:rsidRPr="00B05CA9">
        <w:rPr>
          <w:rFonts w:ascii="Times New Roman" w:eastAsia="Times New Roman" w:hAnsi="Times New Roman" w:cs="Times New Roman"/>
          <w:b/>
          <w:lang w:val="en-US"/>
        </w:rPr>
        <w:t>CONFIDENTIAL – PROPRIETARY INFORMATION</w:t>
      </w:r>
    </w:p>
    <w:p w14:paraId="104E2097" w14:textId="77777777" w:rsidR="00B05CA9" w:rsidRPr="00B05CA9" w:rsidRDefault="00B05CA9" w:rsidP="00B05CA9">
      <w:pPr>
        <w:keepNext/>
        <w:spacing w:before="80" w:line="240" w:lineRule="auto"/>
        <w:contextualSpacing/>
        <w:jc w:val="both"/>
        <w:rPr>
          <w:rFonts w:ascii="Times New Roman" w:eastAsia="Times New Roman" w:hAnsi="Times New Roman" w:cs="Times New Roman"/>
          <w:szCs w:val="20"/>
          <w:lang w:val="en-US"/>
        </w:rPr>
      </w:pPr>
      <w:r w:rsidRPr="00B05CA9">
        <w:rPr>
          <w:rFonts w:ascii="Times New Roman" w:eastAsia="Times New Roman" w:hAnsi="Times New Roman" w:cs="Times New Roman"/>
          <w:szCs w:val="20"/>
          <w:lang w:val="en-US"/>
        </w:rPr>
        <w:tab/>
      </w:r>
    </w:p>
    <w:p w14:paraId="2044F0BD" w14:textId="77777777" w:rsidR="00B05CA9" w:rsidRPr="00B05CA9" w:rsidRDefault="00B05CA9" w:rsidP="00B05CA9">
      <w:pPr>
        <w:keepNext/>
        <w:spacing w:before="80" w:line="240" w:lineRule="auto"/>
        <w:contextualSpacing/>
        <w:jc w:val="both"/>
        <w:rPr>
          <w:rFonts w:ascii="Times New Roman" w:eastAsia="Times New Roman" w:hAnsi="Times New Roman" w:cs="Times New Roman"/>
          <w:szCs w:val="20"/>
          <w:lang w:val="en-US"/>
        </w:rPr>
      </w:pPr>
    </w:p>
    <w:p w14:paraId="0FD438C3" w14:textId="77777777" w:rsidR="00B05CA9" w:rsidRPr="00B05CA9" w:rsidRDefault="00B05CA9" w:rsidP="00B05CA9">
      <w:pPr>
        <w:keepNext/>
        <w:keepLines/>
        <w:spacing w:before="80" w:after="100" w:line="360" w:lineRule="auto"/>
        <w:ind w:left="992" w:hanging="992"/>
        <w:contextualSpacing/>
        <w:jc w:val="center"/>
        <w:outlineLvl w:val="0"/>
        <w:rPr>
          <w:rFonts w:ascii="Times New Roman" w:eastAsia="Times New Roman" w:hAnsi="Times New Roman" w:cs="Times New Roman"/>
          <w:b/>
          <w:bCs/>
          <w:caps/>
          <w:szCs w:val="20"/>
          <w:lang w:val="en-US"/>
        </w:rPr>
      </w:pPr>
      <w:r w:rsidRPr="00B05CA9">
        <w:rPr>
          <w:rFonts w:ascii="Times New Roman" w:eastAsia="Times New Roman" w:hAnsi="Times New Roman" w:cs="Times New Roman"/>
          <w:b/>
          <w:bCs/>
          <w:caps/>
          <w:szCs w:val="20"/>
          <w:lang w:val="en-US"/>
        </w:rPr>
        <w:br w:type="page"/>
      </w:r>
      <w:bookmarkStart w:id="3" w:name="_Toc530404398"/>
      <w:r w:rsidRPr="00B05CA9">
        <w:rPr>
          <w:rFonts w:ascii="Times New Roman" w:eastAsia="Times New Roman" w:hAnsi="Times New Roman" w:cs="Times New Roman"/>
          <w:b/>
          <w:bCs/>
          <w:caps/>
          <w:szCs w:val="20"/>
          <w:lang w:val="en-US"/>
        </w:rPr>
        <w:lastRenderedPageBreak/>
        <w:t>Clinical Study Report Approval Form</w:t>
      </w:r>
      <w:bookmarkEnd w:id="3"/>
    </w:p>
    <w:tbl>
      <w:tblPr>
        <w:tblW w:w="0" w:type="auto"/>
        <w:tblInd w:w="108" w:type="dxa"/>
        <w:tblLook w:val="01E0" w:firstRow="1" w:lastRow="1" w:firstColumn="1" w:lastColumn="1" w:noHBand="0" w:noVBand="0"/>
      </w:tblPr>
      <w:tblGrid>
        <w:gridCol w:w="3047"/>
        <w:gridCol w:w="5753"/>
      </w:tblGrid>
      <w:tr w:rsidR="00B05CA9" w:rsidRPr="00B05CA9" w14:paraId="743A082F" w14:textId="77777777" w:rsidTr="00E02A42">
        <w:trPr>
          <w:trHeight w:val="1191"/>
        </w:trPr>
        <w:tc>
          <w:tcPr>
            <w:tcW w:w="3320" w:type="dxa"/>
          </w:tcPr>
          <w:p w14:paraId="5B9249DC"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STUDY DRUG:</w:t>
            </w:r>
          </w:p>
        </w:tc>
        <w:tc>
          <w:tcPr>
            <w:tcW w:w="6544" w:type="dxa"/>
          </w:tcPr>
          <w:p w14:paraId="16285F88" w14:textId="77777777" w:rsidR="00B05CA9" w:rsidRPr="00B05CA9" w:rsidRDefault="00B05CA9" w:rsidP="00B05CA9">
            <w:pPr>
              <w:autoSpaceDE w:val="0"/>
              <w:autoSpaceDN w:val="0"/>
              <w:adjustRightInd w:val="0"/>
              <w:spacing w:after="0" w:line="240" w:lineRule="auto"/>
              <w:rPr>
                <w:rFonts w:ascii="Times New Roman" w:eastAsia="Times New Roman" w:hAnsi="Times New Roman" w:cs="Times New Roman"/>
                <w:color w:val="000000"/>
                <w:lang w:val="en-US" w:eastAsia="en-GB"/>
              </w:rPr>
            </w:pPr>
            <w:proofErr w:type="spellStart"/>
            <w:r w:rsidRPr="00B05CA9">
              <w:rPr>
                <w:rFonts w:ascii="Times New Roman" w:eastAsia="Times New Roman" w:hAnsi="Times New Roman" w:cs="Times New Roman"/>
                <w:color w:val="000000"/>
                <w:lang w:val="en-US" w:eastAsia="en-GB"/>
              </w:rPr>
              <w:t>Maxiclear</w:t>
            </w:r>
            <w:r w:rsidRPr="00B05CA9">
              <w:rPr>
                <w:rFonts w:ascii="Times New Roman" w:eastAsia="Times New Roman" w:hAnsi="Times New Roman" w:cs="Times New Roman"/>
                <w:color w:val="000000"/>
                <w:vertAlign w:val="superscript"/>
                <w:lang w:val="en-US" w:eastAsia="en-GB"/>
              </w:rPr>
              <w:t>TM</w:t>
            </w:r>
            <w:proofErr w:type="spellEnd"/>
            <w:r w:rsidRPr="00B05CA9">
              <w:rPr>
                <w:rFonts w:ascii="Times New Roman" w:eastAsia="Times New Roman" w:hAnsi="Times New Roman" w:cs="Times New Roman"/>
                <w:color w:val="000000"/>
                <w:sz w:val="14"/>
                <w:szCs w:val="14"/>
                <w:lang w:val="en-US" w:eastAsia="en-GB"/>
              </w:rPr>
              <w:t xml:space="preserve"> </w:t>
            </w:r>
            <w:r w:rsidRPr="00B05CA9">
              <w:rPr>
                <w:rFonts w:ascii="Times New Roman" w:eastAsia="Times New Roman" w:hAnsi="Times New Roman" w:cs="Times New Roman"/>
                <w:color w:val="000000"/>
                <w:lang w:val="en-US" w:eastAsia="en-GB"/>
              </w:rPr>
              <w:t xml:space="preserve">PE 3.0 (paracetamol 500 mg + phenylephrine hydrochloride 3 mg) </w:t>
            </w:r>
          </w:p>
          <w:p w14:paraId="25E59962"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sz w:val="14"/>
                <w:szCs w:val="14"/>
                <w:lang w:val="en-US"/>
              </w:rPr>
              <w:t xml:space="preserve"> </w:t>
            </w:r>
            <w:r w:rsidRPr="00B05CA9">
              <w:rPr>
                <w:rFonts w:ascii="Times New Roman" w:eastAsia="Times New Roman" w:hAnsi="Times New Roman" w:cs="Times New Roman"/>
                <w:lang w:val="en-US"/>
              </w:rPr>
              <w:t xml:space="preserve">PE 2.5 (paracetamol 500 mg + ibuprofen 150 mg + phenylephrine hydrochloride 2.5 mg) </w:t>
            </w:r>
          </w:p>
        </w:tc>
      </w:tr>
      <w:tr w:rsidR="00B05CA9" w:rsidRPr="00B05CA9" w14:paraId="42560D32" w14:textId="77777777" w:rsidTr="00E02A42">
        <w:tc>
          <w:tcPr>
            <w:tcW w:w="3320" w:type="dxa"/>
          </w:tcPr>
          <w:p w14:paraId="7158ED21"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 xml:space="preserve">PROTOCOL TITLE: </w:t>
            </w:r>
          </w:p>
        </w:tc>
        <w:tc>
          <w:tcPr>
            <w:tcW w:w="6544" w:type="dxa"/>
          </w:tcPr>
          <w:p w14:paraId="7B8E0724" w14:textId="77777777" w:rsidR="00B05CA9" w:rsidRPr="00B05CA9" w:rsidRDefault="00B05CA9" w:rsidP="00B05CA9">
            <w:pPr>
              <w:autoSpaceDE w:val="0"/>
              <w:autoSpaceDN w:val="0"/>
              <w:adjustRightInd w:val="0"/>
              <w:spacing w:after="0" w:line="240" w:lineRule="auto"/>
              <w:rPr>
                <w:rFonts w:ascii="Times New Roman" w:eastAsia="Times New Roman" w:hAnsi="Times New Roman" w:cs="Times New Roman"/>
                <w:color w:val="000000"/>
                <w:lang w:val="en-US" w:eastAsia="en-GB"/>
              </w:rPr>
            </w:pPr>
            <w:proofErr w:type="spellStart"/>
            <w:r w:rsidRPr="00B05CA9">
              <w:rPr>
                <w:rFonts w:ascii="Times New Roman" w:eastAsia="Times New Roman" w:hAnsi="Times New Roman" w:cs="Times New Roman"/>
                <w:color w:val="000000"/>
                <w:lang w:val="en-US" w:eastAsia="en-GB"/>
              </w:rPr>
              <w:t>Maxiclear</w:t>
            </w:r>
            <w:r w:rsidRPr="00B05CA9">
              <w:rPr>
                <w:rFonts w:ascii="Times New Roman" w:eastAsia="Times New Roman" w:hAnsi="Times New Roman" w:cs="Times New Roman"/>
                <w:color w:val="000000"/>
                <w:szCs w:val="14"/>
                <w:vertAlign w:val="superscript"/>
                <w:lang w:val="en-US" w:eastAsia="en-GB"/>
              </w:rPr>
              <w:t>TM</w:t>
            </w:r>
            <w:proofErr w:type="spellEnd"/>
            <w:r w:rsidRPr="00B05CA9">
              <w:rPr>
                <w:rFonts w:ascii="Times New Roman" w:eastAsia="Times New Roman" w:hAnsi="Times New Roman" w:cs="Times New Roman"/>
                <w:color w:val="000000"/>
                <w:szCs w:val="14"/>
                <w:vertAlign w:val="superscript"/>
                <w:lang w:val="en-US" w:eastAsia="en-GB"/>
              </w:rPr>
              <w:t xml:space="preserve"> </w:t>
            </w:r>
            <w:r w:rsidRPr="00B05CA9">
              <w:rPr>
                <w:rFonts w:ascii="Times New Roman" w:eastAsia="Times New Roman" w:hAnsi="Times New Roman" w:cs="Times New Roman"/>
                <w:color w:val="000000"/>
                <w:lang w:val="en-US" w:eastAsia="en-GB"/>
              </w:rPr>
              <w:t>PE 3.0/ Maxigesic</w:t>
            </w:r>
            <w:r w:rsidRPr="00B05CA9">
              <w:rPr>
                <w:rFonts w:ascii="Times New Roman" w:eastAsia="Times New Roman" w:hAnsi="Times New Roman" w:cs="Times New Roman"/>
                <w:color w:val="000000"/>
                <w:szCs w:val="14"/>
                <w:vertAlign w:val="superscript"/>
                <w:lang w:val="en-US" w:eastAsia="en-GB"/>
              </w:rPr>
              <w:t xml:space="preserve">® </w:t>
            </w:r>
            <w:r w:rsidRPr="00B05CA9">
              <w:rPr>
                <w:rFonts w:ascii="Times New Roman" w:eastAsia="Times New Roman" w:hAnsi="Times New Roman" w:cs="Times New Roman"/>
                <w:color w:val="000000"/>
                <w:lang w:val="en-US" w:eastAsia="en-GB"/>
              </w:rPr>
              <w:t xml:space="preserve">PE 2.5 Efficacy Study: </w:t>
            </w:r>
          </w:p>
          <w:p w14:paraId="12B4EF89" w14:textId="77777777" w:rsidR="00B05CA9" w:rsidRPr="00B05CA9" w:rsidRDefault="00B05CA9" w:rsidP="00B05CA9">
            <w:pPr>
              <w:spacing w:before="80" w:line="360" w:lineRule="auto"/>
              <w:contextualSpacing/>
              <w:jc w:val="both"/>
              <w:rPr>
                <w:rFonts w:ascii="Times New Roman" w:eastAsia="Times New Roman" w:hAnsi="Times New Roman" w:cs="Times New Roman"/>
                <w:bCs/>
                <w:color w:val="000000"/>
                <w:lang w:val="en-US"/>
              </w:rPr>
            </w:pPr>
            <w:r w:rsidRPr="00B05CA9">
              <w:rPr>
                <w:rFonts w:ascii="Times New Roman" w:eastAsia="Times New Roman" w:hAnsi="Times New Roman" w:cs="Times New Roman"/>
                <w:lang w:val="en-US"/>
              </w:rPr>
              <w:t xml:space="preserve">A Phase 3, Randomized, Double-Blind, Multiple-Dose, Parallel-Group Efficacy Study of Different Doses of Phenylephrine Hydrochloride Combined with Paracetamol and/or Ibuprofen in Participants with Nasal Congestion Associated with Common Cold </w:t>
            </w:r>
          </w:p>
        </w:tc>
      </w:tr>
      <w:tr w:rsidR="00B05CA9" w:rsidRPr="00B05CA9" w14:paraId="60BD5811" w14:textId="77777777" w:rsidTr="00E02A42">
        <w:tc>
          <w:tcPr>
            <w:tcW w:w="3320" w:type="dxa"/>
          </w:tcPr>
          <w:p w14:paraId="7A451A5E"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PROTOCOL NUMBER:</w:t>
            </w:r>
          </w:p>
        </w:tc>
        <w:tc>
          <w:tcPr>
            <w:tcW w:w="6544" w:type="dxa"/>
          </w:tcPr>
          <w:p w14:paraId="481174DF" w14:textId="77777777" w:rsidR="00B05CA9" w:rsidRPr="00B05CA9" w:rsidRDefault="00B05CA9" w:rsidP="00B05CA9">
            <w:pPr>
              <w:autoSpaceDE w:val="0"/>
              <w:autoSpaceDN w:val="0"/>
              <w:adjustRightInd w:val="0"/>
              <w:spacing w:after="0" w:line="240" w:lineRule="auto"/>
              <w:rPr>
                <w:rFonts w:ascii="Times New Roman" w:eastAsia="Times New Roman" w:hAnsi="Times New Roman" w:cs="Times New Roman"/>
                <w:color w:val="000000"/>
                <w:sz w:val="24"/>
                <w:lang w:val="en-US" w:eastAsia="en-GB"/>
              </w:rPr>
            </w:pPr>
            <w:r w:rsidRPr="00B05CA9">
              <w:rPr>
                <w:rFonts w:ascii="Times New Roman" w:eastAsia="Times New Roman" w:hAnsi="Times New Roman" w:cs="Times New Roman"/>
                <w:color w:val="000000"/>
                <w:lang w:val="en-US" w:eastAsia="en-GB"/>
              </w:rPr>
              <w:t xml:space="preserve">AFT-MXCF-03 </w:t>
            </w:r>
          </w:p>
        </w:tc>
      </w:tr>
      <w:tr w:rsidR="00B05CA9" w:rsidRPr="00B05CA9" w14:paraId="74B26A6F" w14:textId="77777777" w:rsidTr="00E02A42">
        <w:tc>
          <w:tcPr>
            <w:tcW w:w="3320" w:type="dxa"/>
          </w:tcPr>
          <w:p w14:paraId="5AE861D6"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DATE OF REPORT:</w:t>
            </w:r>
          </w:p>
        </w:tc>
        <w:tc>
          <w:tcPr>
            <w:tcW w:w="6544" w:type="dxa"/>
          </w:tcPr>
          <w:p w14:paraId="1FFE2A88" w14:textId="3F5404C5"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10</w:t>
            </w:r>
            <w:r w:rsidRPr="00B05CA9">
              <w:rPr>
                <w:rFonts w:ascii="Times New Roman" w:eastAsia="Times New Roman" w:hAnsi="Times New Roman" w:cs="Times New Roman"/>
                <w:vertAlign w:val="superscript"/>
                <w:lang w:val="en-US"/>
              </w:rPr>
              <w:t>th</w:t>
            </w:r>
            <w:r>
              <w:rPr>
                <w:rFonts w:ascii="Times New Roman" w:eastAsia="Times New Roman" w:hAnsi="Times New Roman" w:cs="Times New Roman"/>
                <w:lang w:val="en-US"/>
              </w:rPr>
              <w:t xml:space="preserve"> May 2019</w:t>
            </w:r>
          </w:p>
        </w:tc>
      </w:tr>
      <w:tr w:rsidR="00B05CA9" w:rsidRPr="00B05CA9" w14:paraId="02A022E3" w14:textId="77777777" w:rsidTr="00E02A42">
        <w:tc>
          <w:tcPr>
            <w:tcW w:w="3320" w:type="dxa"/>
          </w:tcPr>
          <w:p w14:paraId="7BAA2C04" w14:textId="77777777" w:rsidR="00B05CA9" w:rsidRPr="00B05CA9" w:rsidRDefault="00B05CA9" w:rsidP="00B05CA9">
            <w:pPr>
              <w:spacing w:before="40" w:after="40" w:line="360" w:lineRule="auto"/>
              <w:ind w:left="57"/>
              <w:contextualSpacing/>
              <w:jc w:val="both"/>
              <w:rPr>
                <w:rFonts w:ascii="Times New Roman" w:eastAsia="Calibri" w:hAnsi="Times New Roman" w:cs="Times New Roman"/>
                <w:b/>
                <w:lang w:val="en-US"/>
              </w:rPr>
            </w:pPr>
            <w:r w:rsidRPr="00B05CA9">
              <w:rPr>
                <w:rFonts w:ascii="Times New Roman" w:eastAsia="Calibri" w:hAnsi="Times New Roman" w:cs="Times New Roman"/>
                <w:b/>
                <w:lang w:val="en-US"/>
              </w:rPr>
              <w:t xml:space="preserve">AFT DOCUMENT NUMBER: </w:t>
            </w:r>
          </w:p>
        </w:tc>
        <w:tc>
          <w:tcPr>
            <w:tcW w:w="6544" w:type="dxa"/>
          </w:tcPr>
          <w:p w14:paraId="4A6793DB"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CSR/MXCF-03</w:t>
            </w:r>
          </w:p>
        </w:tc>
      </w:tr>
    </w:tbl>
    <w:p w14:paraId="54670846"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p w14:paraId="7DFA214F" w14:textId="128588BC" w:rsidR="00B05CA9" w:rsidRPr="00B05CA9" w:rsidRDefault="00B05CA9" w:rsidP="00B05CA9">
      <w:pPr>
        <w:keepNext/>
        <w:keepLines/>
        <w:spacing w:before="80" w:after="100" w:line="360" w:lineRule="auto"/>
        <w:ind w:left="992" w:hanging="992"/>
        <w:contextualSpacing/>
        <w:jc w:val="both"/>
        <w:outlineLvl w:val="0"/>
        <w:rPr>
          <w:rFonts w:ascii="Times New Roman" w:eastAsia="Times New Roman" w:hAnsi="Times New Roman" w:cs="Times New Roman"/>
          <w:b/>
          <w:bCs/>
          <w:caps/>
          <w:szCs w:val="20"/>
          <w:u w:val="single"/>
          <w:lang w:val="en-US"/>
        </w:rPr>
      </w:pPr>
      <w:r w:rsidRPr="00B05CA9">
        <w:rPr>
          <w:rFonts w:ascii="Times New Roman" w:eastAsia="Times New Roman" w:hAnsi="Times New Roman" w:cs="Times New Roman"/>
          <w:b/>
          <w:bCs/>
          <w:caps/>
          <w:szCs w:val="20"/>
          <w:u w:val="single"/>
          <w:lang w:val="en-US"/>
        </w:rPr>
        <w:br w:type="page"/>
      </w:r>
    </w:p>
    <w:tbl>
      <w:tblPr>
        <w:tblW w:w="8808"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4536"/>
        <w:gridCol w:w="399"/>
        <w:gridCol w:w="2160"/>
        <w:gridCol w:w="1713"/>
      </w:tblGrid>
      <w:tr w:rsidR="00B05CA9" w:rsidRPr="00B05CA9" w14:paraId="26B2027B" w14:textId="77777777" w:rsidTr="00B05CA9">
        <w:trPr>
          <w:cantSplit/>
          <w:tblHeader/>
        </w:trPr>
        <w:tc>
          <w:tcPr>
            <w:tcW w:w="4536" w:type="dxa"/>
          </w:tcPr>
          <w:p w14:paraId="7FDCC357"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lang w:val="en-US"/>
              </w:rPr>
              <w:lastRenderedPageBreak/>
              <w:t>Name of Sponsor:</w:t>
            </w:r>
            <w:r w:rsidRPr="00B05CA9">
              <w:rPr>
                <w:rFonts w:ascii="Times New Roman" w:eastAsia="Times New Roman" w:hAnsi="Times New Roman" w:cs="Times New Roman"/>
                <w:lang w:val="en-US"/>
              </w:rPr>
              <w:t xml:space="preserve"> AFT Pharmaceuticals Ltd.</w:t>
            </w:r>
          </w:p>
        </w:tc>
        <w:tc>
          <w:tcPr>
            <w:tcW w:w="2559" w:type="dxa"/>
            <w:gridSpan w:val="2"/>
            <w:vMerge w:val="restart"/>
          </w:tcPr>
          <w:p w14:paraId="533ED352" w14:textId="77777777" w:rsidR="00B05CA9" w:rsidRPr="00B05CA9" w:rsidRDefault="00B05CA9" w:rsidP="00B05CA9">
            <w:pPr>
              <w:spacing w:before="8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Individual Study Table Referring to Part of the Dossier: </w:t>
            </w:r>
          </w:p>
          <w:p w14:paraId="2C3DCE3A"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p w14:paraId="5A1D4DF4"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Module: </w:t>
            </w:r>
          </w:p>
        </w:tc>
        <w:tc>
          <w:tcPr>
            <w:tcW w:w="1713" w:type="dxa"/>
            <w:vMerge w:val="restart"/>
          </w:tcPr>
          <w:p w14:paraId="31445D09"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(For National Authority Use only)</w:t>
            </w:r>
          </w:p>
        </w:tc>
      </w:tr>
      <w:tr w:rsidR="00B05CA9" w:rsidRPr="00B05CA9" w14:paraId="38F9E7EC" w14:textId="77777777" w:rsidTr="00B05CA9">
        <w:trPr>
          <w:cantSplit/>
          <w:tblHeader/>
        </w:trPr>
        <w:tc>
          <w:tcPr>
            <w:tcW w:w="4536" w:type="dxa"/>
          </w:tcPr>
          <w:p w14:paraId="1615E4DB"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bCs/>
                <w:lang w:val="en-US"/>
              </w:rPr>
              <w:t>Name of Finished Product:</w:t>
            </w:r>
            <w:r w:rsidRPr="00B05CA9">
              <w:rPr>
                <w:rFonts w:ascii="Times New Roman" w:eastAsia="Times New Roman" w:hAnsi="Times New Roman" w:cs="Times New Roman"/>
                <w:lang w:val="en-US"/>
              </w:rPr>
              <w:t xml:space="preserve">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szCs w:val="14"/>
                <w:vertAlign w:val="superscript"/>
                <w:lang w:val="en-US"/>
              </w:rPr>
              <w:t>TM</w:t>
            </w:r>
            <w:proofErr w:type="spellEnd"/>
            <w:r w:rsidRPr="00B05CA9">
              <w:rPr>
                <w:rFonts w:ascii="Times New Roman" w:eastAsia="Times New Roman" w:hAnsi="Times New Roman" w:cs="Times New Roman"/>
                <w:szCs w:val="14"/>
                <w:vertAlign w:val="superscript"/>
                <w:lang w:val="en-US"/>
              </w:rPr>
              <w:t xml:space="preserve"> </w:t>
            </w:r>
            <w:r w:rsidRPr="00B05CA9">
              <w:rPr>
                <w:rFonts w:ascii="Times New Roman" w:eastAsia="Times New Roman" w:hAnsi="Times New Roman" w:cs="Times New Roman"/>
                <w:lang w:val="en-US"/>
              </w:rPr>
              <w:t>PE 3.0/ Maxigesic</w:t>
            </w:r>
            <w:r w:rsidRPr="00B05CA9">
              <w:rPr>
                <w:rFonts w:ascii="Times New Roman" w:eastAsia="Times New Roman" w:hAnsi="Times New Roman" w:cs="Times New Roman"/>
                <w:szCs w:val="14"/>
                <w:vertAlign w:val="superscript"/>
                <w:lang w:val="en-US"/>
              </w:rPr>
              <w:t xml:space="preserve">® </w:t>
            </w:r>
            <w:r w:rsidRPr="00B05CA9">
              <w:rPr>
                <w:rFonts w:ascii="Times New Roman" w:eastAsia="Times New Roman" w:hAnsi="Times New Roman" w:cs="Times New Roman"/>
                <w:lang w:val="en-US"/>
              </w:rPr>
              <w:t>PE 2.5</w:t>
            </w:r>
          </w:p>
        </w:tc>
        <w:tc>
          <w:tcPr>
            <w:tcW w:w="2559" w:type="dxa"/>
            <w:gridSpan w:val="2"/>
            <w:vMerge/>
          </w:tcPr>
          <w:p w14:paraId="60F95390"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tc>
        <w:tc>
          <w:tcPr>
            <w:tcW w:w="1713" w:type="dxa"/>
            <w:vMerge/>
          </w:tcPr>
          <w:p w14:paraId="5807A962"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tc>
      </w:tr>
      <w:tr w:rsidR="00B05CA9" w:rsidRPr="00B05CA9" w14:paraId="669ED3D7" w14:textId="77777777" w:rsidTr="00B05CA9">
        <w:trPr>
          <w:cantSplit/>
          <w:tblHeader/>
        </w:trPr>
        <w:tc>
          <w:tcPr>
            <w:tcW w:w="4536" w:type="dxa"/>
            <w:tcBorders>
              <w:bottom w:val="double" w:sz="4" w:space="0" w:color="auto"/>
            </w:tcBorders>
          </w:tcPr>
          <w:p w14:paraId="664321F9" w14:textId="77777777" w:rsidR="00B05CA9" w:rsidRPr="00B05CA9" w:rsidRDefault="00B05CA9" w:rsidP="00B05CA9">
            <w:pPr>
              <w:spacing w:before="80" w:line="24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 xml:space="preserve">Name of Active Ingredient: </w:t>
            </w:r>
          </w:p>
          <w:p w14:paraId="387B341C" w14:textId="77777777" w:rsidR="00B05CA9" w:rsidRPr="00B05CA9" w:rsidRDefault="00B05CA9" w:rsidP="00B05CA9">
            <w:pPr>
              <w:spacing w:before="8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Paracetamol 500 mg + phenylephrine hydrochloride 3 mg </w:t>
            </w:r>
          </w:p>
          <w:p w14:paraId="698AEA2A" w14:textId="77777777" w:rsidR="00B05CA9" w:rsidRPr="00B05CA9" w:rsidRDefault="00B05CA9" w:rsidP="00B05CA9">
            <w:pPr>
              <w:spacing w:before="8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Paracetamol 500 mg + ibuprofen 150 mg + phenylephrine hydrochloride 2.5 mg </w:t>
            </w:r>
          </w:p>
        </w:tc>
        <w:tc>
          <w:tcPr>
            <w:tcW w:w="2559" w:type="dxa"/>
            <w:gridSpan w:val="2"/>
            <w:vMerge/>
            <w:tcBorders>
              <w:bottom w:val="double" w:sz="4" w:space="0" w:color="auto"/>
            </w:tcBorders>
          </w:tcPr>
          <w:p w14:paraId="11463EDA"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tc>
        <w:tc>
          <w:tcPr>
            <w:tcW w:w="1713" w:type="dxa"/>
            <w:vMerge/>
            <w:tcBorders>
              <w:bottom w:val="double" w:sz="4" w:space="0" w:color="auto"/>
            </w:tcBorders>
          </w:tcPr>
          <w:p w14:paraId="4EE5F2C2"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tc>
      </w:tr>
      <w:tr w:rsidR="00B05CA9" w:rsidRPr="00B05CA9" w14:paraId="72A35C7D" w14:textId="77777777" w:rsidTr="00B05CA9">
        <w:trPr>
          <w:cantSplit/>
        </w:trPr>
        <w:tc>
          <w:tcPr>
            <w:tcW w:w="8808" w:type="dxa"/>
            <w:gridSpan w:val="4"/>
          </w:tcPr>
          <w:p w14:paraId="7631D75D" w14:textId="77777777" w:rsidR="00B05CA9" w:rsidRPr="00B05CA9" w:rsidRDefault="00B05CA9" w:rsidP="00B05CA9">
            <w:pPr>
              <w:autoSpaceDE w:val="0"/>
              <w:autoSpaceDN w:val="0"/>
              <w:adjustRightInd w:val="0"/>
              <w:spacing w:after="0" w:line="240" w:lineRule="auto"/>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b/>
                <w:bCs/>
                <w:color w:val="000000"/>
                <w:lang w:val="en-US" w:eastAsia="en-GB"/>
              </w:rPr>
              <w:t>Title of Study:</w:t>
            </w:r>
          </w:p>
          <w:p w14:paraId="711FF914" w14:textId="77777777" w:rsidR="00B05CA9" w:rsidRPr="00B05CA9" w:rsidRDefault="00B05CA9" w:rsidP="00B05CA9">
            <w:pPr>
              <w:spacing w:before="80" w:line="360" w:lineRule="auto"/>
              <w:contextualSpacing/>
              <w:jc w:val="both"/>
              <w:rPr>
                <w:rFonts w:ascii="Times New Roman" w:eastAsia="Times New Roman" w:hAnsi="Times New Roman" w:cs="Times New Roman"/>
                <w:bCs/>
                <w:lang w:val="en-US"/>
              </w:rPr>
            </w:pP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szCs w:val="14"/>
                <w:vertAlign w:val="superscript"/>
                <w:lang w:val="en-US"/>
              </w:rPr>
              <w:t>TM</w:t>
            </w:r>
            <w:proofErr w:type="spellEnd"/>
            <w:r w:rsidRPr="00B05CA9">
              <w:rPr>
                <w:rFonts w:ascii="Times New Roman" w:eastAsia="Times New Roman" w:hAnsi="Times New Roman" w:cs="Times New Roman"/>
                <w:szCs w:val="14"/>
                <w:vertAlign w:val="superscript"/>
                <w:lang w:val="en-US"/>
              </w:rPr>
              <w:t xml:space="preserve"> </w:t>
            </w:r>
            <w:r w:rsidRPr="00B05CA9">
              <w:rPr>
                <w:rFonts w:ascii="Times New Roman" w:eastAsia="Times New Roman" w:hAnsi="Times New Roman" w:cs="Times New Roman"/>
                <w:lang w:val="en-US"/>
              </w:rPr>
              <w:t>PE 3.0/ Maxigesic</w:t>
            </w:r>
            <w:r w:rsidRPr="00B05CA9">
              <w:rPr>
                <w:rFonts w:ascii="Times New Roman" w:eastAsia="Times New Roman" w:hAnsi="Times New Roman" w:cs="Times New Roman"/>
                <w:szCs w:val="14"/>
                <w:vertAlign w:val="superscript"/>
                <w:lang w:val="en-US"/>
              </w:rPr>
              <w:t xml:space="preserve">® </w:t>
            </w:r>
            <w:r w:rsidRPr="00B05CA9">
              <w:rPr>
                <w:rFonts w:ascii="Times New Roman" w:eastAsia="Times New Roman" w:hAnsi="Times New Roman" w:cs="Times New Roman"/>
                <w:lang w:val="en-US"/>
              </w:rPr>
              <w:t>PE 2.5 Efficacy Study: A Phase 3, Randomized, Double-Blind, Multiple-Dose, Parallel-Group Efficacy Study of Different Doses of Phenylephrine Hydrochloride Combined with Paracetamol and/or Ibuprofen in Participants with Nasal Congestion Associated with Common Cold</w:t>
            </w:r>
          </w:p>
        </w:tc>
      </w:tr>
      <w:tr w:rsidR="00B05CA9" w:rsidRPr="00B05CA9" w14:paraId="6AAE1A06" w14:textId="77777777" w:rsidTr="00B05CA9">
        <w:trPr>
          <w:cantSplit/>
        </w:trPr>
        <w:tc>
          <w:tcPr>
            <w:tcW w:w="8808" w:type="dxa"/>
            <w:gridSpan w:val="4"/>
          </w:tcPr>
          <w:p w14:paraId="00201ABB"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lang w:val="en-US"/>
              </w:rPr>
              <w:t>Principal Investigator:</w:t>
            </w:r>
            <w:r w:rsidRPr="00B05CA9">
              <w:rPr>
                <w:rFonts w:ascii="Times New Roman" w:eastAsia="Times New Roman" w:hAnsi="Times New Roman" w:cs="Times New Roman"/>
                <w:lang w:val="en-US"/>
              </w:rPr>
              <w:t xml:space="preserve"> Dr Simon Carson</w:t>
            </w:r>
          </w:p>
        </w:tc>
      </w:tr>
      <w:tr w:rsidR="00B05CA9" w:rsidRPr="00B05CA9" w14:paraId="3A54F94A" w14:textId="77777777" w:rsidTr="00B05CA9">
        <w:trPr>
          <w:cantSplit/>
        </w:trPr>
        <w:tc>
          <w:tcPr>
            <w:tcW w:w="8808" w:type="dxa"/>
            <w:gridSpan w:val="4"/>
          </w:tcPr>
          <w:p w14:paraId="34294AD3"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b/>
                <w:bCs/>
                <w:color w:val="000000"/>
                <w:lang w:val="en-US" w:eastAsia="en-GB"/>
              </w:rPr>
              <w:t>Study Centers:</w:t>
            </w:r>
            <w:r w:rsidRPr="00B05CA9">
              <w:rPr>
                <w:rFonts w:ascii="Times New Roman" w:eastAsia="Times New Roman" w:hAnsi="Times New Roman" w:cs="Times New Roman"/>
                <w:color w:val="000000"/>
                <w:lang w:val="en-US" w:eastAsia="en-GB"/>
              </w:rPr>
              <w:t xml:space="preserve">  </w:t>
            </w:r>
          </w:p>
          <w:p w14:paraId="2F283F12"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 xml:space="preserve">Southern Clinical Trials Group Ltd. </w:t>
            </w:r>
          </w:p>
          <w:p w14:paraId="360854C8"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 xml:space="preserve">3 Strickland St, </w:t>
            </w:r>
            <w:proofErr w:type="spellStart"/>
            <w:r w:rsidRPr="00B05CA9">
              <w:rPr>
                <w:rFonts w:ascii="Times New Roman" w:eastAsia="Times New Roman" w:hAnsi="Times New Roman" w:cs="Times New Roman"/>
                <w:color w:val="000000"/>
                <w:lang w:val="en-US" w:eastAsia="en-GB"/>
              </w:rPr>
              <w:t>Beckenham</w:t>
            </w:r>
            <w:proofErr w:type="spellEnd"/>
            <w:r w:rsidRPr="00B05CA9">
              <w:rPr>
                <w:rFonts w:ascii="Times New Roman" w:eastAsia="Times New Roman" w:hAnsi="Times New Roman" w:cs="Times New Roman"/>
                <w:color w:val="000000"/>
                <w:lang w:val="en-US" w:eastAsia="en-GB"/>
              </w:rPr>
              <w:t xml:space="preserve">, </w:t>
            </w:r>
          </w:p>
          <w:p w14:paraId="78A93BD1"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 xml:space="preserve">Christchurch, </w:t>
            </w:r>
          </w:p>
          <w:p w14:paraId="0F68C5DA"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 xml:space="preserve">New Zealand </w:t>
            </w:r>
          </w:p>
          <w:p w14:paraId="417AF8AA"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Ph + 64 21 848751</w:t>
            </w:r>
          </w:p>
          <w:p w14:paraId="25A25BA4" w14:textId="77777777" w:rsidR="00B05CA9" w:rsidRPr="00B05CA9" w:rsidRDefault="00B05CA9" w:rsidP="00B05CA9">
            <w:pPr>
              <w:autoSpaceDE w:val="0"/>
              <w:autoSpaceDN w:val="0"/>
              <w:adjustRightInd w:val="0"/>
              <w:spacing w:after="0" w:line="240" w:lineRule="auto"/>
              <w:contextualSpacing/>
              <w:jc w:val="both"/>
              <w:rPr>
                <w:rFonts w:ascii="Times New Roman" w:eastAsia="Times New Roman" w:hAnsi="Times New Roman" w:cs="Times New Roman"/>
                <w:color w:val="000000"/>
                <w:szCs w:val="24"/>
                <w:lang w:val="en-US" w:eastAsia="en-NZ"/>
              </w:rPr>
            </w:pPr>
          </w:p>
          <w:p w14:paraId="60A259CC" w14:textId="77777777" w:rsidR="00B05CA9" w:rsidRPr="00B05CA9" w:rsidRDefault="00B05CA9" w:rsidP="00B05CA9">
            <w:pPr>
              <w:spacing w:before="8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Common Cold Centre &amp; Healthcare Clinical Trials,</w:t>
            </w:r>
          </w:p>
          <w:p w14:paraId="4F5BE24A" w14:textId="77777777" w:rsidR="00B05CA9" w:rsidRPr="00B05CA9" w:rsidRDefault="00B05CA9" w:rsidP="00B05CA9">
            <w:pPr>
              <w:spacing w:before="8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Cardiff School of Biosciences, Cardiff University,</w:t>
            </w:r>
          </w:p>
          <w:p w14:paraId="13052267" w14:textId="77777777" w:rsidR="00B05CA9" w:rsidRPr="00B05CA9" w:rsidRDefault="00B05CA9" w:rsidP="00B05CA9">
            <w:pPr>
              <w:spacing w:before="80" w:line="240" w:lineRule="auto"/>
              <w:contextualSpacing/>
              <w:jc w:val="both"/>
              <w:rPr>
                <w:rFonts w:ascii="Times New Roman" w:eastAsia="Times New Roman" w:hAnsi="Times New Roman" w:cs="Times New Roman"/>
                <w:lang w:val="en-US" w:eastAsia="en-NZ"/>
              </w:rPr>
            </w:pPr>
            <w:r w:rsidRPr="00B05CA9">
              <w:rPr>
                <w:rFonts w:ascii="Times New Roman" w:eastAsia="Times New Roman" w:hAnsi="Times New Roman" w:cs="Times New Roman"/>
                <w:lang w:val="en-US" w:eastAsia="en-NZ"/>
              </w:rPr>
              <w:t>Cardiff, CF10 3 AX</w:t>
            </w:r>
          </w:p>
          <w:p w14:paraId="47058403" w14:textId="77777777" w:rsidR="00B05CA9" w:rsidRPr="00B05CA9" w:rsidRDefault="00B05CA9" w:rsidP="00B05CA9">
            <w:pPr>
              <w:spacing w:before="8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Wales</w:t>
            </w:r>
          </w:p>
          <w:p w14:paraId="39A64294" w14:textId="77777777" w:rsidR="00B05CA9" w:rsidRPr="00B05CA9" w:rsidRDefault="00B05CA9" w:rsidP="00B05CA9">
            <w:pPr>
              <w:spacing w:before="80" w:line="24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eastAsia="en-NZ"/>
              </w:rPr>
              <w:t>Ph +44 292 0874099</w:t>
            </w:r>
          </w:p>
        </w:tc>
      </w:tr>
      <w:tr w:rsidR="00B05CA9" w:rsidRPr="00B05CA9" w14:paraId="4DDF54B5" w14:textId="77777777" w:rsidTr="00B05CA9">
        <w:trPr>
          <w:cantSplit/>
        </w:trPr>
        <w:tc>
          <w:tcPr>
            <w:tcW w:w="8808" w:type="dxa"/>
            <w:gridSpan w:val="4"/>
          </w:tcPr>
          <w:p w14:paraId="68EC5755"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bCs/>
                <w:lang w:val="en-US"/>
              </w:rPr>
              <w:t>Publication</w:t>
            </w:r>
            <w:r w:rsidRPr="00B05CA9">
              <w:rPr>
                <w:rFonts w:ascii="Times New Roman" w:eastAsia="Times New Roman" w:hAnsi="Times New Roman" w:cs="Times New Roman"/>
                <w:lang w:val="en-US"/>
              </w:rPr>
              <w:t>: Not yet submitted for publication</w:t>
            </w:r>
          </w:p>
        </w:tc>
      </w:tr>
      <w:tr w:rsidR="00B05CA9" w:rsidRPr="00B05CA9" w14:paraId="593F42E2" w14:textId="77777777" w:rsidTr="00B05CA9">
        <w:trPr>
          <w:cantSplit/>
          <w:trHeight w:val="432"/>
        </w:trPr>
        <w:tc>
          <w:tcPr>
            <w:tcW w:w="4935" w:type="dxa"/>
            <w:gridSpan w:val="2"/>
            <w:shd w:val="clear" w:color="auto" w:fill="auto"/>
          </w:tcPr>
          <w:p w14:paraId="0BC19520"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lang w:val="en-US"/>
              </w:rPr>
              <w:t>Study Period:</w:t>
            </w:r>
            <w:r w:rsidRPr="00B05CA9">
              <w:rPr>
                <w:rFonts w:ascii="Times New Roman" w:eastAsia="Times New Roman" w:hAnsi="Times New Roman" w:cs="Times New Roman"/>
                <w:lang w:val="en-US"/>
              </w:rPr>
              <w:t xml:space="preserve"> 01/2016 – 11/2017</w:t>
            </w:r>
          </w:p>
        </w:tc>
        <w:tc>
          <w:tcPr>
            <w:tcW w:w="3873" w:type="dxa"/>
            <w:gridSpan w:val="2"/>
          </w:tcPr>
          <w:p w14:paraId="1C829949"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lang w:val="en-US"/>
              </w:rPr>
              <w:t>Phase of Development:</w:t>
            </w:r>
            <w:r w:rsidRPr="00B05CA9">
              <w:rPr>
                <w:rFonts w:ascii="Times New Roman" w:eastAsia="Times New Roman" w:hAnsi="Times New Roman" w:cs="Times New Roman"/>
                <w:lang w:val="en-US"/>
              </w:rPr>
              <w:t xml:space="preserve"> Phase 3</w:t>
            </w:r>
          </w:p>
        </w:tc>
      </w:tr>
      <w:tr w:rsidR="00B05CA9" w:rsidRPr="00B05CA9" w14:paraId="2A14C67E" w14:textId="77777777" w:rsidTr="00B05CA9">
        <w:trPr>
          <w:cantSplit/>
        </w:trPr>
        <w:tc>
          <w:tcPr>
            <w:tcW w:w="8808" w:type="dxa"/>
            <w:gridSpan w:val="4"/>
          </w:tcPr>
          <w:p w14:paraId="6AF5CF3C"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 xml:space="preserve">Objectives:  </w:t>
            </w:r>
          </w:p>
          <w:p w14:paraId="731C29A7"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Cs/>
                <w:i/>
                <w:u w:val="single"/>
                <w:lang w:val="en-US"/>
              </w:rPr>
              <w:t>Efficacy Objective</w:t>
            </w:r>
            <w:r w:rsidRPr="00B05CA9">
              <w:rPr>
                <w:rFonts w:ascii="Times New Roman" w:eastAsia="Times New Roman" w:hAnsi="Times New Roman" w:cs="Times New Roman"/>
                <w:i/>
                <w:u w:val="single"/>
                <w:lang w:val="en-US"/>
              </w:rPr>
              <w:t>:</w:t>
            </w:r>
            <w:r w:rsidRPr="00B05CA9">
              <w:rPr>
                <w:rFonts w:ascii="Times New Roman" w:eastAsia="Times New Roman" w:hAnsi="Times New Roman" w:cs="Times New Roman"/>
                <w:i/>
                <w:lang w:val="en-US"/>
              </w:rPr>
              <w:t xml:space="preserve"> </w:t>
            </w:r>
            <w:r w:rsidRPr="00B05CA9">
              <w:rPr>
                <w:rFonts w:ascii="Times New Roman" w:eastAsia="Times New Roman" w:hAnsi="Times New Roman" w:cs="Times New Roman"/>
                <w:lang w:val="en-US"/>
              </w:rPr>
              <w:t xml:space="preserve">To evaluate and compare the nasal decongestion efficacy of two fixed dose combination products; </w:t>
            </w:r>
            <w:proofErr w:type="spellStart"/>
            <w:r w:rsidRPr="00B05CA9">
              <w:rPr>
                <w:rFonts w:ascii="Times New Roman" w:eastAsia="Times New Roman" w:hAnsi="Times New Roman" w:cs="Times New Roman"/>
                <w:lang w:val="en-US"/>
              </w:rPr>
              <w:t>Maxiclear</w:t>
            </w:r>
            <w:proofErr w:type="spellEnd"/>
            <w:r w:rsidRPr="00B05CA9">
              <w:rPr>
                <w:rFonts w:ascii="Times New Roman" w:eastAsia="Times New Roman" w:hAnsi="Times New Roman" w:cs="Times New Roman"/>
                <w:lang w:val="en-US"/>
              </w:rPr>
              <w:t>™ PE 3.0 (500 mg paracetamol and 3 mg phenylephrine hydrochloride),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sz w:val="15"/>
                <w:szCs w:val="13"/>
                <w:lang w:val="en-US"/>
              </w:rPr>
              <w:t xml:space="preserve"> </w:t>
            </w:r>
            <w:r w:rsidRPr="00B05CA9">
              <w:rPr>
                <w:rFonts w:ascii="Times New Roman" w:eastAsia="Times New Roman" w:hAnsi="Times New Roman" w:cs="Times New Roman"/>
                <w:lang w:val="en-US"/>
              </w:rPr>
              <w:t>PE 2.5 (paracetamol 500 mg, ibuprofen 150 mg and phenylephrine hydrochloride 2.5 mg), with phenylephrine hydrochloride 12 mg monotherapy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Blocked Nose) and placebo. </w:t>
            </w:r>
          </w:p>
          <w:p w14:paraId="1A76EB6C" w14:textId="77777777" w:rsidR="00B05CA9" w:rsidRPr="00B05CA9" w:rsidRDefault="00B05CA9" w:rsidP="00B05CA9">
            <w:pPr>
              <w:spacing w:before="80" w:line="360" w:lineRule="auto"/>
              <w:contextualSpacing/>
              <w:jc w:val="both"/>
              <w:rPr>
                <w:rFonts w:ascii="Times New Roman" w:eastAsia="Times New Roman" w:hAnsi="Times New Roman" w:cs="Times New Roman"/>
                <w:bCs/>
                <w:i/>
                <w:u w:val="single"/>
                <w:lang w:val="en-US"/>
              </w:rPr>
            </w:pPr>
          </w:p>
          <w:p w14:paraId="5F325C88" w14:textId="77777777" w:rsidR="00B05CA9" w:rsidRPr="00B05CA9" w:rsidRDefault="00B05CA9" w:rsidP="00B05CA9">
            <w:pPr>
              <w:spacing w:before="80" w:line="360" w:lineRule="auto"/>
              <w:contextualSpacing/>
              <w:jc w:val="both"/>
              <w:rPr>
                <w:rFonts w:ascii="Times New Roman" w:eastAsia="Times New Roman" w:hAnsi="Times New Roman" w:cs="Times New Roman"/>
                <w:b/>
                <w:bCs/>
                <w:lang w:val="en-US"/>
              </w:rPr>
            </w:pPr>
            <w:r w:rsidRPr="00B05CA9">
              <w:rPr>
                <w:rFonts w:ascii="Times New Roman" w:eastAsia="Times New Roman" w:hAnsi="Times New Roman" w:cs="Times New Roman"/>
                <w:bCs/>
                <w:i/>
                <w:u w:val="single"/>
                <w:lang w:val="en-US"/>
              </w:rPr>
              <w:t>Safety Objective:</w:t>
            </w:r>
            <w:r w:rsidRPr="00B05CA9">
              <w:rPr>
                <w:rFonts w:ascii="Times New Roman" w:eastAsia="Times New Roman" w:hAnsi="Times New Roman" w:cs="Times New Roman"/>
                <w:b/>
                <w:bCs/>
                <w:lang w:val="en-US"/>
              </w:rPr>
              <w:t xml:space="preserve"> </w:t>
            </w:r>
            <w:r w:rsidRPr="00B05CA9">
              <w:rPr>
                <w:rFonts w:ascii="Times New Roman" w:eastAsia="Times New Roman" w:hAnsi="Times New Roman" w:cs="Times New Roman"/>
                <w:lang w:val="en-US"/>
              </w:rPr>
              <w:t xml:space="preserve">To determine and compare the safety and tolerability of all treatment groups. </w:t>
            </w:r>
          </w:p>
        </w:tc>
      </w:tr>
      <w:tr w:rsidR="00B05CA9" w:rsidRPr="00B05CA9" w14:paraId="77795C88" w14:textId="77777777" w:rsidTr="00B05CA9">
        <w:trPr>
          <w:cantSplit/>
        </w:trPr>
        <w:tc>
          <w:tcPr>
            <w:tcW w:w="8808" w:type="dxa"/>
            <w:gridSpan w:val="4"/>
          </w:tcPr>
          <w:p w14:paraId="7A0F97A0"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lastRenderedPageBreak/>
              <w:t>Methodology:</w:t>
            </w:r>
          </w:p>
          <w:p w14:paraId="4338DCBF"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This was a phase 3, randomized, double-blind, multiple-dose, parallel-group, placebo-controlled study evaluating the efficacy and safety of different doses of phenylephrine hydrochloride administered either as a combination with paracetamol (</w:t>
            </w:r>
            <w:proofErr w:type="spellStart"/>
            <w:r w:rsidRPr="00B05CA9">
              <w:rPr>
                <w:rFonts w:ascii="Times New Roman" w:eastAsia="Times New Roman" w:hAnsi="Times New Roman" w:cs="Times New Roman"/>
                <w:lang w:val="en-US"/>
              </w:rPr>
              <w:t>Maxiclear</w:t>
            </w:r>
            <w:proofErr w:type="spellEnd"/>
            <w:r w:rsidRPr="00B05CA9">
              <w:rPr>
                <w:rFonts w:ascii="Times New Roman" w:eastAsia="Times New Roman" w:hAnsi="Times New Roman" w:cs="Times New Roman"/>
                <w:lang w:val="en-US"/>
              </w:rPr>
              <w:t>™ PE 3.0) or in combination with paracetamol and ibuprofen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or alone, as 1 capsule of 12 mg phenylephrine hydrochloride in participants with nasal congestion associated with common cold.</w:t>
            </w:r>
          </w:p>
        </w:tc>
      </w:tr>
      <w:tr w:rsidR="00B05CA9" w:rsidRPr="00B05CA9" w14:paraId="186D2C4E" w14:textId="77777777" w:rsidTr="00B05CA9">
        <w:trPr>
          <w:cantSplit/>
        </w:trPr>
        <w:tc>
          <w:tcPr>
            <w:tcW w:w="8808" w:type="dxa"/>
            <w:gridSpan w:val="4"/>
          </w:tcPr>
          <w:p w14:paraId="05DFC2BF" w14:textId="77777777" w:rsidR="00B05CA9" w:rsidRPr="00B05CA9" w:rsidRDefault="00B05CA9" w:rsidP="00B05CA9">
            <w:pPr>
              <w:autoSpaceDE w:val="0"/>
              <w:autoSpaceDN w:val="0"/>
              <w:adjustRightInd w:val="0"/>
              <w:spacing w:after="0" w:line="240" w:lineRule="auto"/>
              <w:jc w:val="both"/>
              <w:rPr>
                <w:rFonts w:ascii="Times New Roman" w:eastAsia="Times New Roman" w:hAnsi="Times New Roman" w:cs="Times New Roman"/>
                <w:szCs w:val="24"/>
                <w:lang w:val="en-US" w:eastAsia="en-GB"/>
              </w:rPr>
            </w:pPr>
          </w:p>
          <w:p w14:paraId="743EDE3E" w14:textId="77777777" w:rsidR="00B05CA9" w:rsidRPr="00B05CA9" w:rsidRDefault="00B05CA9" w:rsidP="00B05CA9">
            <w:pPr>
              <w:autoSpaceDE w:val="0"/>
              <w:autoSpaceDN w:val="0"/>
              <w:adjustRightInd w:val="0"/>
              <w:spacing w:after="0" w:line="360" w:lineRule="auto"/>
              <w:jc w:val="both"/>
              <w:rPr>
                <w:rFonts w:ascii="Times New Roman" w:eastAsia="Times New Roman" w:hAnsi="Times New Roman" w:cs="Times New Roman"/>
                <w:szCs w:val="24"/>
                <w:lang w:val="en-US" w:eastAsia="en-GB"/>
              </w:rPr>
            </w:pPr>
            <w:r w:rsidRPr="00B05CA9">
              <w:rPr>
                <w:rFonts w:ascii="Times New Roman" w:eastAsia="Times New Roman" w:hAnsi="Times New Roman" w:cs="Times New Roman"/>
                <w:szCs w:val="24"/>
                <w:lang w:val="en-US" w:eastAsia="en-GB"/>
              </w:rPr>
              <w:t>The study groups were:</w:t>
            </w:r>
          </w:p>
          <w:p w14:paraId="2AE0EDF4" w14:textId="77777777" w:rsidR="00B05CA9" w:rsidRPr="00B05CA9" w:rsidRDefault="00B05CA9" w:rsidP="00B05CA9">
            <w:pPr>
              <w:numPr>
                <w:ilvl w:val="0"/>
                <w:numId w:val="1"/>
              </w:numPr>
              <w:autoSpaceDE w:val="0"/>
              <w:autoSpaceDN w:val="0"/>
              <w:adjustRightInd w:val="0"/>
              <w:spacing w:before="80" w:after="0" w:line="360" w:lineRule="auto"/>
              <w:contextualSpacing/>
              <w:jc w:val="both"/>
              <w:rPr>
                <w:rFonts w:ascii="Times New Roman" w:eastAsia="Times New Roman" w:hAnsi="Times New Roman" w:cs="Times New Roman"/>
                <w:color w:val="000000"/>
                <w:lang w:val="en-US" w:eastAsia="en-GB"/>
              </w:rPr>
            </w:pPr>
            <w:proofErr w:type="spellStart"/>
            <w:r w:rsidRPr="00B05CA9">
              <w:rPr>
                <w:rFonts w:ascii="Times New Roman" w:eastAsia="Times New Roman" w:hAnsi="Times New Roman" w:cs="Times New Roman"/>
                <w:color w:val="000000"/>
                <w:lang w:val="en-US" w:eastAsia="en-GB"/>
              </w:rPr>
              <w:t>Maxiclear</w:t>
            </w:r>
            <w:proofErr w:type="spellEnd"/>
            <w:r w:rsidRPr="00B05CA9">
              <w:rPr>
                <w:rFonts w:ascii="Times New Roman" w:eastAsia="Times New Roman" w:hAnsi="Times New Roman" w:cs="Times New Roman"/>
                <w:color w:val="000000"/>
                <w:lang w:val="en-US" w:eastAsia="en-GB"/>
              </w:rPr>
              <w:t xml:space="preserve">™ PE 3.0 - 2 tablets (paracetamol 1000 mg + phenylephrine hydrochloride 6 mg /dose) + Placebo 1 capsule </w:t>
            </w:r>
          </w:p>
          <w:p w14:paraId="1215862E" w14:textId="77777777" w:rsidR="00B05CA9" w:rsidRPr="00B05CA9" w:rsidRDefault="00B05CA9" w:rsidP="00B05CA9">
            <w:pPr>
              <w:numPr>
                <w:ilvl w:val="0"/>
                <w:numId w:val="1"/>
              </w:numPr>
              <w:autoSpaceDE w:val="0"/>
              <w:autoSpaceDN w:val="0"/>
              <w:adjustRightInd w:val="0"/>
              <w:spacing w:before="80" w:after="0" w:line="36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Maxigesic</w:t>
            </w:r>
            <w:r w:rsidRPr="00B05CA9">
              <w:rPr>
                <w:rFonts w:ascii="Times New Roman" w:eastAsia="Times New Roman" w:hAnsi="Times New Roman" w:cs="Times New Roman"/>
                <w:color w:val="000000"/>
                <w:vertAlign w:val="superscript"/>
                <w:lang w:val="en-US" w:eastAsia="en-GB"/>
              </w:rPr>
              <w:t>®</w:t>
            </w:r>
            <w:r w:rsidRPr="00B05CA9">
              <w:rPr>
                <w:rFonts w:ascii="Times New Roman" w:eastAsia="Times New Roman" w:hAnsi="Times New Roman" w:cs="Times New Roman"/>
                <w:color w:val="000000"/>
                <w:lang w:val="en-US" w:eastAsia="en-GB"/>
              </w:rPr>
              <w:t xml:space="preserve"> PE 2.5 - 2 tablets (paracetamol 1000 mg + ibuprofen 300 mg + phenylephrine hydrochloride 5 mg /dose) + Placebo 1 capsule  </w:t>
            </w:r>
          </w:p>
          <w:p w14:paraId="5EC952B3" w14:textId="77777777" w:rsidR="00B05CA9" w:rsidRPr="00B05CA9" w:rsidRDefault="00B05CA9" w:rsidP="00B05CA9">
            <w:pPr>
              <w:numPr>
                <w:ilvl w:val="0"/>
                <w:numId w:val="1"/>
              </w:numPr>
              <w:autoSpaceDE w:val="0"/>
              <w:autoSpaceDN w:val="0"/>
              <w:adjustRightInd w:val="0"/>
              <w:spacing w:before="80" w:after="0" w:line="36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Sudafed</w:t>
            </w:r>
            <w:r w:rsidRPr="00B05CA9">
              <w:rPr>
                <w:rFonts w:ascii="Times New Roman" w:eastAsia="Times New Roman" w:hAnsi="Times New Roman" w:cs="Times New Roman"/>
                <w:color w:val="000000"/>
                <w:vertAlign w:val="superscript"/>
                <w:lang w:val="en-US" w:eastAsia="en-GB"/>
              </w:rPr>
              <w:t>®</w:t>
            </w:r>
            <w:r w:rsidRPr="00B05CA9">
              <w:rPr>
                <w:rFonts w:ascii="Times New Roman" w:eastAsia="Times New Roman" w:hAnsi="Times New Roman" w:cs="Times New Roman"/>
                <w:color w:val="000000"/>
                <w:lang w:val="en-US" w:eastAsia="en-GB"/>
              </w:rPr>
              <w:t xml:space="preserve"> Blocked Nose Capsules – 1 capsule (phenylephrine hydrochloride 12 mg /dose) + Placebo 2 tablets </w:t>
            </w:r>
          </w:p>
          <w:p w14:paraId="6C767B82" w14:textId="77777777" w:rsidR="00B05CA9" w:rsidRPr="00B05CA9" w:rsidRDefault="00B05CA9" w:rsidP="00B05CA9">
            <w:pPr>
              <w:numPr>
                <w:ilvl w:val="0"/>
                <w:numId w:val="1"/>
              </w:numPr>
              <w:autoSpaceDE w:val="0"/>
              <w:autoSpaceDN w:val="0"/>
              <w:adjustRightInd w:val="0"/>
              <w:spacing w:before="80" w:after="0" w:line="360" w:lineRule="auto"/>
              <w:contextualSpacing/>
              <w:jc w:val="both"/>
              <w:rPr>
                <w:rFonts w:ascii="Times New Roman" w:eastAsia="Times New Roman" w:hAnsi="Times New Roman" w:cs="Times New Roman"/>
                <w:color w:val="000000"/>
                <w:sz w:val="24"/>
                <w:szCs w:val="24"/>
                <w:lang w:val="en-US" w:eastAsia="en-GB"/>
              </w:rPr>
            </w:pPr>
            <w:r w:rsidRPr="00B05CA9">
              <w:rPr>
                <w:rFonts w:ascii="Times New Roman" w:eastAsia="Times New Roman" w:hAnsi="Times New Roman" w:cs="Times New Roman"/>
                <w:color w:val="000000"/>
                <w:lang w:val="en-US" w:eastAsia="en-GB"/>
              </w:rPr>
              <w:t xml:space="preserve">Placebo – 2 tablets + 1 </w:t>
            </w:r>
            <w:proofErr w:type="gramStart"/>
            <w:r w:rsidRPr="00B05CA9">
              <w:rPr>
                <w:rFonts w:ascii="Times New Roman" w:eastAsia="Times New Roman" w:hAnsi="Times New Roman" w:cs="Times New Roman"/>
                <w:color w:val="000000"/>
                <w:lang w:val="en-US" w:eastAsia="en-GB"/>
              </w:rPr>
              <w:t>capsule</w:t>
            </w:r>
            <w:proofErr w:type="gramEnd"/>
            <w:r w:rsidRPr="00B05CA9">
              <w:rPr>
                <w:rFonts w:ascii="Times New Roman" w:eastAsia="Times New Roman" w:hAnsi="Times New Roman" w:cs="Times New Roman"/>
                <w:color w:val="000000"/>
                <w:lang w:val="en-US" w:eastAsia="en-GB"/>
              </w:rPr>
              <w:t xml:space="preserve"> </w:t>
            </w:r>
          </w:p>
        </w:tc>
      </w:tr>
      <w:tr w:rsidR="00B05CA9" w:rsidRPr="00B05CA9" w14:paraId="77FB3CB9" w14:textId="77777777" w:rsidTr="00B05CA9">
        <w:trPr>
          <w:cantSplit/>
          <w:trHeight w:val="603"/>
        </w:trPr>
        <w:tc>
          <w:tcPr>
            <w:tcW w:w="8808" w:type="dxa"/>
            <w:gridSpan w:val="4"/>
          </w:tcPr>
          <w:p w14:paraId="2F496C67"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lang w:val="en-US"/>
              </w:rPr>
              <w:t>Number of Participants</w:t>
            </w:r>
            <w:r w:rsidRPr="00B05CA9">
              <w:rPr>
                <w:rFonts w:ascii="Times New Roman" w:eastAsia="Times New Roman" w:hAnsi="Times New Roman" w:cs="Times New Roman"/>
                <w:lang w:val="en-US"/>
              </w:rPr>
              <w:t xml:space="preserve">: </w:t>
            </w:r>
          </w:p>
          <w:p w14:paraId="0C92D4D2" w14:textId="7BFD3D52" w:rsidR="0078220F" w:rsidRPr="00B05CA9" w:rsidRDefault="00B05CA9" w:rsidP="0078220F">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A total of 277 subjects were randomly assigned in a ratio of 3:3:3:2 to the specific treatment groups (76 in the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szCs w:val="14"/>
                <w:vertAlign w:val="superscript"/>
                <w:lang w:val="en-US"/>
              </w:rPr>
              <w:t>TM</w:t>
            </w:r>
            <w:proofErr w:type="spellEnd"/>
            <w:r w:rsidRPr="00B05CA9">
              <w:rPr>
                <w:rFonts w:ascii="Times New Roman" w:eastAsia="Times New Roman" w:hAnsi="Times New Roman" w:cs="Times New Roman"/>
                <w:szCs w:val="14"/>
                <w:vertAlign w:val="superscript"/>
                <w:lang w:val="en-US"/>
              </w:rPr>
              <w:t xml:space="preserve"> </w:t>
            </w:r>
            <w:r w:rsidRPr="00B05CA9">
              <w:rPr>
                <w:rFonts w:ascii="Times New Roman" w:eastAsia="Times New Roman" w:hAnsi="Times New Roman" w:cs="Times New Roman"/>
                <w:lang w:val="en-US"/>
              </w:rPr>
              <w:t>PE 3.0 group; 76 in the Maxigesic</w:t>
            </w:r>
            <w:r w:rsidRPr="00B05CA9">
              <w:rPr>
                <w:rFonts w:ascii="Times New Roman" w:eastAsia="Times New Roman" w:hAnsi="Times New Roman" w:cs="Times New Roman"/>
                <w:szCs w:val="14"/>
                <w:vertAlign w:val="superscript"/>
                <w:lang w:val="en-US"/>
              </w:rPr>
              <w:t xml:space="preserve">® </w:t>
            </w:r>
            <w:r w:rsidRPr="00B05CA9">
              <w:rPr>
                <w:rFonts w:ascii="Times New Roman" w:eastAsia="Times New Roman" w:hAnsi="Times New Roman" w:cs="Times New Roman"/>
                <w:lang w:val="en-US"/>
              </w:rPr>
              <w:t>PE 2.5 group; 75 in the Sudafed</w:t>
            </w:r>
            <w:r w:rsidRPr="00B05CA9">
              <w:rPr>
                <w:rFonts w:ascii="Times New Roman" w:eastAsia="Times New Roman" w:hAnsi="Times New Roman" w:cs="Times New Roman"/>
                <w:sz w:val="20"/>
                <w:szCs w:val="14"/>
                <w:vertAlign w:val="superscript"/>
                <w:lang w:val="en-US"/>
              </w:rPr>
              <w:t>®</w:t>
            </w:r>
            <w:r w:rsidRPr="00B05CA9">
              <w:rPr>
                <w:rFonts w:ascii="Times New Roman" w:eastAsia="Times New Roman" w:hAnsi="Times New Roman" w:cs="Times New Roman"/>
                <w:lang w:val="en-US"/>
              </w:rPr>
              <w:t xml:space="preserve"> group and 50 in the placebo group) and included in the intent-to-treat (ITT) population.</w:t>
            </w:r>
          </w:p>
        </w:tc>
      </w:tr>
      <w:tr w:rsidR="00B05CA9" w:rsidRPr="00B05CA9" w14:paraId="34875D74" w14:textId="77777777" w:rsidTr="00B05CA9">
        <w:trPr>
          <w:cantSplit/>
        </w:trPr>
        <w:tc>
          <w:tcPr>
            <w:tcW w:w="8808" w:type="dxa"/>
            <w:gridSpan w:val="4"/>
          </w:tcPr>
          <w:p w14:paraId="7C558D80"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 xml:space="preserve">Diagnosis and Main Criteria for Inclusion:  </w:t>
            </w:r>
          </w:p>
          <w:p w14:paraId="04815A09" w14:textId="77777777" w:rsid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A subject was eligible for entry into the study if they presented cold symptoms which began within 96 hours of the study entry and had a baseline Nasal Airflow Resistance (NAR) ≥ 0.25 Pa/cm</w:t>
            </w:r>
            <w:r w:rsidRPr="00B05CA9">
              <w:rPr>
                <w:rFonts w:ascii="Times New Roman" w:eastAsia="Times New Roman" w:hAnsi="Times New Roman" w:cs="Times New Roman"/>
                <w:vertAlign w:val="superscript"/>
                <w:lang w:val="en-US"/>
              </w:rPr>
              <w:t>3</w:t>
            </w:r>
            <w:r w:rsidRPr="00B05CA9">
              <w:rPr>
                <w:rFonts w:ascii="Times New Roman" w:eastAsia="Times New Roman" w:hAnsi="Times New Roman" w:cs="Times New Roman"/>
                <w:lang w:val="en-US"/>
              </w:rPr>
              <w:t>/sec.</w:t>
            </w:r>
          </w:p>
          <w:p w14:paraId="792250EC" w14:textId="57106417" w:rsidR="0078220F" w:rsidRPr="00B05CA9" w:rsidRDefault="0078220F" w:rsidP="0078220F">
            <w:pPr>
              <w:rPr>
                <w:rFonts w:ascii="Times New Roman" w:eastAsia="Times New Roman" w:hAnsi="Times New Roman" w:cs="Times New Roman"/>
                <w:lang w:val="en-US"/>
              </w:rPr>
            </w:pPr>
            <w:bookmarkStart w:id="4" w:name="_GoBack"/>
            <w:bookmarkEnd w:id="4"/>
          </w:p>
        </w:tc>
      </w:tr>
      <w:tr w:rsidR="00B05CA9" w:rsidRPr="00B05CA9" w14:paraId="1631E8EE" w14:textId="77777777" w:rsidTr="00B05CA9">
        <w:trPr>
          <w:cantSplit/>
        </w:trPr>
        <w:tc>
          <w:tcPr>
            <w:tcW w:w="8808" w:type="dxa"/>
            <w:gridSpan w:val="4"/>
          </w:tcPr>
          <w:p w14:paraId="4818FE63"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lang w:val="en-US"/>
              </w:rPr>
              <w:lastRenderedPageBreak/>
              <w:t>Test Product(s), Dose and Mode of Administration</w:t>
            </w:r>
            <w:r w:rsidRPr="00B05CA9">
              <w:rPr>
                <w:rFonts w:ascii="Times New Roman" w:eastAsia="Times New Roman" w:hAnsi="Times New Roman" w:cs="Times New Roman"/>
                <w:lang w:val="en-US"/>
              </w:rPr>
              <w:t>:</w:t>
            </w:r>
          </w:p>
          <w:p w14:paraId="01E3EE3D"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All study drugs were administered orally. Subjects were dosed with a single dose of study medication. Subjects received five further doses of medication at discharge from the study site, one evening dose of study medication for Day 1 and four doses for Day 2 to be self-administered every four hours. Subjects recorded the date and time of the subsequent five doses in the patient diary during the home phase of the study.</w:t>
            </w:r>
          </w:p>
          <w:p w14:paraId="20375E92"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Batch details of test product are presented in </w:t>
            </w:r>
            <w:r w:rsidRPr="00B05CA9">
              <w:rPr>
                <w:rFonts w:ascii="Times New Roman" w:eastAsia="Times New Roman" w:hAnsi="Times New Roman" w:cs="Times New Roman"/>
                <w:lang w:val="en-US"/>
              </w:rPr>
              <w:fldChar w:fldCharType="begin"/>
            </w:r>
            <w:r w:rsidRPr="00B05CA9">
              <w:rPr>
                <w:rFonts w:ascii="Times New Roman" w:eastAsia="Times New Roman" w:hAnsi="Times New Roman" w:cs="Times New Roman"/>
                <w:lang w:val="en-US"/>
              </w:rPr>
              <w:instrText xml:space="preserve"> REF _Ref521049756 \h </w:instrText>
            </w:r>
            <w:r w:rsidRPr="00B05CA9">
              <w:rPr>
                <w:rFonts w:ascii="Times New Roman" w:eastAsia="Times New Roman" w:hAnsi="Times New Roman" w:cs="Times New Roman"/>
                <w:lang w:val="en-US"/>
              </w:rPr>
            </w:r>
            <w:r w:rsidRPr="00B05CA9">
              <w:rPr>
                <w:rFonts w:ascii="Times New Roman" w:eastAsia="Times New Roman" w:hAnsi="Times New Roman" w:cs="Times New Roman"/>
                <w:lang w:val="en-US"/>
              </w:rPr>
              <w:fldChar w:fldCharType="separate"/>
            </w:r>
            <w:r w:rsidRPr="00B05CA9">
              <w:rPr>
                <w:rFonts w:ascii="Times New Roman" w:eastAsia="Times New Roman" w:hAnsi="Times New Roman" w:cs="Times New Roman"/>
                <w:lang w:val="en-US"/>
              </w:rPr>
              <w:t xml:space="preserve">Table </w:t>
            </w:r>
            <w:r w:rsidRPr="00B05CA9">
              <w:rPr>
                <w:rFonts w:ascii="Times New Roman" w:eastAsia="Times New Roman" w:hAnsi="Times New Roman" w:cs="Times New Roman"/>
                <w:noProof/>
                <w:lang w:val="en-US"/>
              </w:rPr>
              <w:t>1</w:t>
            </w:r>
            <w:r w:rsidRPr="00B05CA9">
              <w:rPr>
                <w:rFonts w:ascii="Times New Roman" w:eastAsia="Times New Roman" w:hAnsi="Times New Roman" w:cs="Times New Roman"/>
                <w:lang w:val="en-US"/>
              </w:rPr>
              <w:fldChar w:fldCharType="end"/>
            </w:r>
            <w:r w:rsidRPr="00B05CA9">
              <w:rPr>
                <w:rFonts w:ascii="Times New Roman" w:eastAsia="Times New Roman" w:hAnsi="Times New Roman" w:cs="Times New Roman"/>
                <w:lang w:val="en-US"/>
              </w:rPr>
              <w:t>.</w:t>
            </w:r>
          </w:p>
          <w:p w14:paraId="0733DAAA" w14:textId="77777777" w:rsidR="00B05CA9" w:rsidRPr="00B05CA9" w:rsidRDefault="00B05CA9" w:rsidP="00B05CA9">
            <w:pPr>
              <w:keepNext/>
              <w:spacing w:before="80" w:after="120" w:line="360" w:lineRule="auto"/>
              <w:contextualSpacing/>
              <w:jc w:val="both"/>
              <w:rPr>
                <w:rFonts w:ascii="Times New Roman" w:eastAsia="Times New Roman" w:hAnsi="Times New Roman" w:cs="Times New Roman"/>
                <w:b/>
                <w:bCs/>
                <w:szCs w:val="20"/>
                <w:lang w:val="en-US"/>
              </w:rPr>
            </w:pPr>
            <w:bookmarkStart w:id="5" w:name="_Ref521049756"/>
            <w:bookmarkStart w:id="6" w:name="_Toc530404482"/>
            <w:r w:rsidRPr="00B05CA9">
              <w:rPr>
                <w:rFonts w:ascii="Times New Roman" w:eastAsia="Times New Roman" w:hAnsi="Times New Roman" w:cs="Times New Roman"/>
                <w:b/>
                <w:bCs/>
                <w:szCs w:val="20"/>
                <w:lang w:val="en-US"/>
              </w:rPr>
              <w:t xml:space="preserve">Table </w:t>
            </w:r>
            <w:r w:rsidRPr="00B05CA9">
              <w:rPr>
                <w:rFonts w:ascii="Times New Roman" w:eastAsia="Times New Roman" w:hAnsi="Times New Roman" w:cs="Times New Roman"/>
                <w:b/>
                <w:bCs/>
                <w:noProof/>
                <w:szCs w:val="20"/>
                <w:lang w:val="en-US"/>
              </w:rPr>
              <w:fldChar w:fldCharType="begin"/>
            </w:r>
            <w:r w:rsidRPr="00B05CA9">
              <w:rPr>
                <w:rFonts w:ascii="Times New Roman" w:eastAsia="Times New Roman" w:hAnsi="Times New Roman" w:cs="Times New Roman"/>
                <w:b/>
                <w:bCs/>
                <w:noProof/>
                <w:szCs w:val="20"/>
                <w:lang w:val="en-US"/>
              </w:rPr>
              <w:instrText xml:space="preserve"> SEQ Table \* ARABIC </w:instrText>
            </w:r>
            <w:r w:rsidRPr="00B05CA9">
              <w:rPr>
                <w:rFonts w:ascii="Times New Roman" w:eastAsia="Times New Roman" w:hAnsi="Times New Roman" w:cs="Times New Roman"/>
                <w:b/>
                <w:bCs/>
                <w:noProof/>
                <w:szCs w:val="20"/>
                <w:lang w:val="en-US"/>
              </w:rPr>
              <w:fldChar w:fldCharType="separate"/>
            </w:r>
            <w:r w:rsidRPr="00B05CA9">
              <w:rPr>
                <w:rFonts w:ascii="Times New Roman" w:eastAsia="Times New Roman" w:hAnsi="Times New Roman" w:cs="Times New Roman"/>
                <w:b/>
                <w:bCs/>
                <w:noProof/>
                <w:szCs w:val="20"/>
                <w:lang w:val="en-US"/>
              </w:rPr>
              <w:t>1</w:t>
            </w:r>
            <w:r w:rsidRPr="00B05CA9">
              <w:rPr>
                <w:rFonts w:ascii="Times New Roman" w:eastAsia="Times New Roman" w:hAnsi="Times New Roman" w:cs="Times New Roman"/>
                <w:b/>
                <w:bCs/>
                <w:noProof/>
                <w:szCs w:val="20"/>
                <w:lang w:val="en-US"/>
              </w:rPr>
              <w:fldChar w:fldCharType="end"/>
            </w:r>
            <w:bookmarkEnd w:id="5"/>
            <w:r w:rsidRPr="00B05CA9">
              <w:rPr>
                <w:rFonts w:ascii="Times New Roman" w:eastAsia="Times New Roman" w:hAnsi="Times New Roman" w:cs="Times New Roman"/>
                <w:b/>
                <w:bCs/>
                <w:szCs w:val="20"/>
                <w:lang w:val="en-US"/>
              </w:rPr>
              <w:t>: Batch details of test products</w:t>
            </w:r>
            <w:bookmarkEnd w:id="6"/>
          </w:p>
          <w:tbl>
            <w:tblPr>
              <w:tblStyle w:val="TableGrid"/>
              <w:tblW w:w="0" w:type="auto"/>
              <w:tblInd w:w="720" w:type="dxa"/>
              <w:tblLook w:val="04A0" w:firstRow="1" w:lastRow="0" w:firstColumn="1" w:lastColumn="0" w:noHBand="0" w:noVBand="1"/>
            </w:tblPr>
            <w:tblGrid>
              <w:gridCol w:w="2674"/>
              <w:gridCol w:w="2668"/>
              <w:gridCol w:w="2520"/>
            </w:tblGrid>
            <w:tr w:rsidR="00B05CA9" w:rsidRPr="00B05CA9" w14:paraId="542AA7E2" w14:textId="77777777" w:rsidTr="00E02A42">
              <w:trPr>
                <w:trHeight w:val="446"/>
              </w:trPr>
              <w:tc>
                <w:tcPr>
                  <w:tcW w:w="3065" w:type="dxa"/>
                </w:tcPr>
                <w:p w14:paraId="6B586B25" w14:textId="77777777" w:rsidR="00B05CA9" w:rsidRPr="00B05CA9" w:rsidRDefault="00B05CA9" w:rsidP="00B05CA9">
                  <w:pPr>
                    <w:autoSpaceDE w:val="0"/>
                    <w:autoSpaceDN w:val="0"/>
                    <w:adjustRightInd w:val="0"/>
                    <w:jc w:val="both"/>
                    <w:rPr>
                      <w:b/>
                      <w:color w:val="000000"/>
                      <w:lang w:val="en-US" w:eastAsia="en-GB"/>
                    </w:rPr>
                  </w:pPr>
                  <w:r w:rsidRPr="00B05CA9">
                    <w:rPr>
                      <w:b/>
                      <w:color w:val="000000"/>
                      <w:lang w:val="en-US" w:eastAsia="en-GB"/>
                    </w:rPr>
                    <w:t>Test Product</w:t>
                  </w:r>
                </w:p>
              </w:tc>
              <w:tc>
                <w:tcPr>
                  <w:tcW w:w="3071" w:type="dxa"/>
                </w:tcPr>
                <w:p w14:paraId="3A135DE8" w14:textId="77777777" w:rsidR="00B05CA9" w:rsidRPr="00B05CA9" w:rsidRDefault="00B05CA9" w:rsidP="00B05CA9">
                  <w:pPr>
                    <w:autoSpaceDE w:val="0"/>
                    <w:autoSpaceDN w:val="0"/>
                    <w:adjustRightInd w:val="0"/>
                    <w:jc w:val="both"/>
                    <w:rPr>
                      <w:b/>
                      <w:color w:val="000000"/>
                      <w:lang w:val="en-US" w:eastAsia="en-GB"/>
                    </w:rPr>
                  </w:pPr>
                  <w:r w:rsidRPr="00B05CA9">
                    <w:rPr>
                      <w:b/>
                      <w:color w:val="000000"/>
                      <w:lang w:val="en-US" w:eastAsia="en-GB"/>
                    </w:rPr>
                    <w:t>Batch Number</w:t>
                  </w:r>
                </w:p>
              </w:tc>
              <w:tc>
                <w:tcPr>
                  <w:tcW w:w="3033" w:type="dxa"/>
                </w:tcPr>
                <w:p w14:paraId="140663AD" w14:textId="77777777" w:rsidR="00B05CA9" w:rsidRPr="00B05CA9" w:rsidRDefault="00B05CA9" w:rsidP="00B05CA9">
                  <w:pPr>
                    <w:autoSpaceDE w:val="0"/>
                    <w:autoSpaceDN w:val="0"/>
                    <w:adjustRightInd w:val="0"/>
                    <w:jc w:val="both"/>
                    <w:rPr>
                      <w:b/>
                      <w:color w:val="000000"/>
                      <w:lang w:val="en-US" w:eastAsia="en-GB"/>
                    </w:rPr>
                  </w:pPr>
                  <w:r w:rsidRPr="00B05CA9">
                    <w:rPr>
                      <w:b/>
                      <w:color w:val="000000"/>
                      <w:lang w:val="en-US" w:eastAsia="en-GB"/>
                    </w:rPr>
                    <w:t>Re-test Date</w:t>
                  </w:r>
                </w:p>
              </w:tc>
            </w:tr>
            <w:tr w:rsidR="00B05CA9" w:rsidRPr="00B05CA9" w14:paraId="0EB62B03" w14:textId="77777777" w:rsidTr="00E02A42">
              <w:trPr>
                <w:trHeight w:val="427"/>
              </w:trPr>
              <w:tc>
                <w:tcPr>
                  <w:tcW w:w="3065" w:type="dxa"/>
                </w:tcPr>
                <w:p w14:paraId="0377603F" w14:textId="77777777" w:rsidR="00B05CA9" w:rsidRPr="00B05CA9" w:rsidRDefault="00B05CA9" w:rsidP="00B05CA9">
                  <w:pPr>
                    <w:autoSpaceDE w:val="0"/>
                    <w:autoSpaceDN w:val="0"/>
                    <w:adjustRightInd w:val="0"/>
                    <w:jc w:val="both"/>
                    <w:rPr>
                      <w:color w:val="000000"/>
                      <w:lang w:val="en-US" w:eastAsia="en-GB"/>
                    </w:rPr>
                  </w:pPr>
                  <w:proofErr w:type="spellStart"/>
                  <w:r w:rsidRPr="00B05CA9">
                    <w:rPr>
                      <w:color w:val="000000"/>
                      <w:lang w:val="en-US" w:eastAsia="en-GB"/>
                    </w:rPr>
                    <w:t>Maxiclear</w:t>
                  </w:r>
                  <w:proofErr w:type="spellEnd"/>
                  <w:r w:rsidRPr="00B05CA9">
                    <w:rPr>
                      <w:color w:val="000000"/>
                      <w:lang w:val="en-US" w:eastAsia="en-GB"/>
                    </w:rPr>
                    <w:t>™ PE 3.0</w:t>
                  </w:r>
                </w:p>
              </w:tc>
              <w:tc>
                <w:tcPr>
                  <w:tcW w:w="3071" w:type="dxa"/>
                </w:tcPr>
                <w:p w14:paraId="15B40DE2"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15093B1</w:t>
                  </w:r>
                </w:p>
              </w:tc>
              <w:tc>
                <w:tcPr>
                  <w:tcW w:w="3033" w:type="dxa"/>
                </w:tcPr>
                <w:p w14:paraId="37854509"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05-2018</w:t>
                  </w:r>
                </w:p>
              </w:tc>
            </w:tr>
            <w:tr w:rsidR="00B05CA9" w:rsidRPr="00B05CA9" w14:paraId="7D9518AF" w14:textId="77777777" w:rsidTr="00E02A42">
              <w:trPr>
                <w:trHeight w:val="446"/>
              </w:trPr>
              <w:tc>
                <w:tcPr>
                  <w:tcW w:w="3065" w:type="dxa"/>
                </w:tcPr>
                <w:p w14:paraId="7D9CC32A"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Maxigesic</w:t>
                  </w:r>
                  <w:r w:rsidRPr="00B05CA9">
                    <w:rPr>
                      <w:color w:val="000000"/>
                      <w:vertAlign w:val="superscript"/>
                      <w:lang w:val="en-US" w:eastAsia="en-GB"/>
                    </w:rPr>
                    <w:t>®</w:t>
                  </w:r>
                  <w:r w:rsidRPr="00B05CA9">
                    <w:rPr>
                      <w:color w:val="000000"/>
                      <w:lang w:val="en-US" w:eastAsia="en-GB"/>
                    </w:rPr>
                    <w:t xml:space="preserve"> PE 2.5</w:t>
                  </w:r>
                </w:p>
              </w:tc>
              <w:tc>
                <w:tcPr>
                  <w:tcW w:w="3071" w:type="dxa"/>
                </w:tcPr>
                <w:p w14:paraId="01F8217D"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AEG5001A</w:t>
                  </w:r>
                </w:p>
              </w:tc>
              <w:tc>
                <w:tcPr>
                  <w:tcW w:w="3033" w:type="dxa"/>
                </w:tcPr>
                <w:p w14:paraId="27297C5F"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06-2018</w:t>
                  </w:r>
                </w:p>
              </w:tc>
            </w:tr>
            <w:tr w:rsidR="00B05CA9" w:rsidRPr="00B05CA9" w14:paraId="2D9F37D3" w14:textId="77777777" w:rsidTr="00E02A42">
              <w:trPr>
                <w:trHeight w:val="446"/>
              </w:trPr>
              <w:tc>
                <w:tcPr>
                  <w:tcW w:w="3065" w:type="dxa"/>
                </w:tcPr>
                <w:p w14:paraId="5BE0F00D"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Sudafed</w:t>
                  </w:r>
                  <w:r w:rsidRPr="00B05CA9">
                    <w:rPr>
                      <w:color w:val="000000"/>
                      <w:szCs w:val="14"/>
                      <w:vertAlign w:val="superscript"/>
                      <w:lang w:val="en-US" w:eastAsia="en-GB"/>
                    </w:rPr>
                    <w:t>®</w:t>
                  </w:r>
                  <w:r w:rsidRPr="00B05CA9">
                    <w:rPr>
                      <w:color w:val="000000"/>
                      <w:lang w:val="en-US" w:eastAsia="en-GB"/>
                    </w:rPr>
                    <w:t xml:space="preserve"> Blocked Nose Capsules</w:t>
                  </w:r>
                </w:p>
              </w:tc>
              <w:tc>
                <w:tcPr>
                  <w:tcW w:w="3071" w:type="dxa"/>
                </w:tcPr>
                <w:p w14:paraId="5F6613F0"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4LV0071</w:t>
                  </w:r>
                </w:p>
              </w:tc>
              <w:tc>
                <w:tcPr>
                  <w:tcW w:w="3033" w:type="dxa"/>
                </w:tcPr>
                <w:p w14:paraId="6A17C9A2"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11-2017</w:t>
                  </w:r>
                </w:p>
              </w:tc>
            </w:tr>
            <w:tr w:rsidR="00B05CA9" w:rsidRPr="00B05CA9" w14:paraId="5217E2A6" w14:textId="77777777" w:rsidTr="00E02A42">
              <w:trPr>
                <w:trHeight w:val="446"/>
              </w:trPr>
              <w:tc>
                <w:tcPr>
                  <w:tcW w:w="3065" w:type="dxa"/>
                </w:tcPr>
                <w:p w14:paraId="502D69AD"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Placebo for PE (12 mg)</w:t>
                  </w:r>
                </w:p>
              </w:tc>
              <w:tc>
                <w:tcPr>
                  <w:tcW w:w="3071" w:type="dxa"/>
                </w:tcPr>
                <w:p w14:paraId="793BEB62"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15092B1</w:t>
                  </w:r>
                </w:p>
              </w:tc>
              <w:tc>
                <w:tcPr>
                  <w:tcW w:w="3033" w:type="dxa"/>
                </w:tcPr>
                <w:p w14:paraId="0AC21121"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12-2017</w:t>
                  </w:r>
                </w:p>
              </w:tc>
            </w:tr>
            <w:tr w:rsidR="00B05CA9" w:rsidRPr="00B05CA9" w14:paraId="058D9A6E" w14:textId="77777777" w:rsidTr="00E02A42">
              <w:trPr>
                <w:trHeight w:val="446"/>
              </w:trPr>
              <w:tc>
                <w:tcPr>
                  <w:tcW w:w="3065" w:type="dxa"/>
                </w:tcPr>
                <w:p w14:paraId="795ED4F7"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Placebo for paracetamol (500 mg) and PE (3 mg)</w:t>
                  </w:r>
                </w:p>
              </w:tc>
              <w:tc>
                <w:tcPr>
                  <w:tcW w:w="3071" w:type="dxa"/>
                </w:tcPr>
                <w:p w14:paraId="461CFFB1"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15091H1</w:t>
                  </w:r>
                </w:p>
              </w:tc>
              <w:tc>
                <w:tcPr>
                  <w:tcW w:w="3033" w:type="dxa"/>
                </w:tcPr>
                <w:p w14:paraId="6189FBCC" w14:textId="77777777" w:rsidR="00B05CA9" w:rsidRPr="00B05CA9" w:rsidRDefault="00B05CA9" w:rsidP="00B05CA9">
                  <w:pPr>
                    <w:autoSpaceDE w:val="0"/>
                    <w:autoSpaceDN w:val="0"/>
                    <w:adjustRightInd w:val="0"/>
                    <w:jc w:val="both"/>
                    <w:rPr>
                      <w:color w:val="000000"/>
                      <w:lang w:val="en-US" w:eastAsia="en-GB"/>
                    </w:rPr>
                  </w:pPr>
                  <w:r w:rsidRPr="00B05CA9">
                    <w:rPr>
                      <w:color w:val="000000"/>
                      <w:lang w:val="en-US" w:eastAsia="en-GB"/>
                    </w:rPr>
                    <w:t>12-2017</w:t>
                  </w:r>
                </w:p>
              </w:tc>
            </w:tr>
          </w:tbl>
          <w:p w14:paraId="246A0EDB"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p>
          <w:p w14:paraId="13C8B76F"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Two placebos were incorporated using a double dummy technique. White placebo tablets matching the appearance of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and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were used to blind these study drugs, whereas yellow placebo capsules blinded the Sudafed</w:t>
            </w:r>
            <w:r w:rsidRPr="00B05CA9">
              <w:rPr>
                <w:rFonts w:ascii="Times New Roman" w:eastAsia="Times New Roman" w:hAnsi="Times New Roman" w:cs="Times New Roman"/>
                <w:sz w:val="20"/>
                <w:szCs w:val="14"/>
                <w:vertAlign w:val="superscript"/>
                <w:lang w:val="en-US"/>
              </w:rPr>
              <w:t>®</w:t>
            </w:r>
            <w:r w:rsidRPr="00B05CA9">
              <w:rPr>
                <w:rFonts w:ascii="Times New Roman" w:eastAsia="Times New Roman" w:hAnsi="Times New Roman" w:cs="Times New Roman"/>
                <w:lang w:val="en-US"/>
              </w:rPr>
              <w:t xml:space="preserve"> Blocked Nose study drug. The quantity of study medication provided to the study sites is presented in </w:t>
            </w:r>
            <w:r w:rsidRPr="00B05CA9">
              <w:rPr>
                <w:rFonts w:ascii="Times New Roman" w:eastAsia="Times New Roman" w:hAnsi="Times New Roman" w:cs="Times New Roman"/>
                <w:lang w:val="en-US"/>
              </w:rPr>
              <w:fldChar w:fldCharType="begin"/>
            </w:r>
            <w:r w:rsidRPr="00B05CA9">
              <w:rPr>
                <w:rFonts w:ascii="Times New Roman" w:eastAsia="Times New Roman" w:hAnsi="Times New Roman" w:cs="Times New Roman"/>
                <w:lang w:val="en-US"/>
              </w:rPr>
              <w:instrText xml:space="preserve"> REF _Ref506287059 \h </w:instrText>
            </w:r>
            <w:r w:rsidRPr="00B05CA9">
              <w:rPr>
                <w:rFonts w:ascii="Times New Roman" w:eastAsia="Times New Roman" w:hAnsi="Times New Roman" w:cs="Times New Roman"/>
                <w:lang w:val="en-US"/>
              </w:rPr>
            </w:r>
            <w:r w:rsidRPr="00B05CA9">
              <w:rPr>
                <w:rFonts w:ascii="Times New Roman" w:eastAsia="Times New Roman" w:hAnsi="Times New Roman" w:cs="Times New Roman"/>
                <w:lang w:val="en-US"/>
              </w:rPr>
              <w:fldChar w:fldCharType="separate"/>
            </w:r>
            <w:r w:rsidRPr="00B05CA9">
              <w:rPr>
                <w:rFonts w:ascii="Times New Roman" w:eastAsia="Times New Roman" w:hAnsi="Times New Roman" w:cs="Times New Roman"/>
                <w:lang w:val="en-US"/>
              </w:rPr>
              <w:t xml:space="preserve">Table </w:t>
            </w:r>
            <w:r w:rsidRPr="00B05CA9">
              <w:rPr>
                <w:rFonts w:ascii="Times New Roman" w:eastAsia="Times New Roman" w:hAnsi="Times New Roman" w:cs="Times New Roman"/>
                <w:noProof/>
                <w:lang w:val="en-US"/>
              </w:rPr>
              <w:t>6</w:t>
            </w:r>
            <w:r w:rsidRPr="00B05CA9">
              <w:rPr>
                <w:rFonts w:ascii="Times New Roman" w:eastAsia="Times New Roman" w:hAnsi="Times New Roman" w:cs="Times New Roman"/>
                <w:lang w:val="en-US"/>
              </w:rPr>
              <w:fldChar w:fldCharType="end"/>
            </w:r>
            <w:r w:rsidRPr="00B05CA9">
              <w:rPr>
                <w:rFonts w:ascii="Times New Roman" w:eastAsia="Times New Roman" w:hAnsi="Times New Roman" w:cs="Times New Roman"/>
                <w:lang w:val="en-US"/>
              </w:rPr>
              <w:t xml:space="preserve"> of this clinical study report.</w:t>
            </w:r>
          </w:p>
        </w:tc>
      </w:tr>
      <w:tr w:rsidR="00B05CA9" w:rsidRPr="00B05CA9" w14:paraId="0B3A58E6" w14:textId="77777777" w:rsidTr="00B05CA9">
        <w:trPr>
          <w:cantSplit/>
        </w:trPr>
        <w:tc>
          <w:tcPr>
            <w:tcW w:w="8808" w:type="dxa"/>
            <w:gridSpan w:val="4"/>
          </w:tcPr>
          <w:p w14:paraId="13C1B081"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Duration of Treatment:</w:t>
            </w:r>
          </w:p>
          <w:p w14:paraId="089D07A1"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estimated duration of the study for each subject was 3-7 days. This included screening and treatment on day 1, a 1-day self-treatment period, and a post treatment follow-up visit to the study center within 7 days of beginning the study.</w:t>
            </w:r>
          </w:p>
        </w:tc>
      </w:tr>
      <w:tr w:rsidR="00B05CA9" w:rsidRPr="00B05CA9" w14:paraId="7AAA1866" w14:textId="77777777" w:rsidTr="00B05CA9">
        <w:trPr>
          <w:cantSplit/>
        </w:trPr>
        <w:tc>
          <w:tcPr>
            <w:tcW w:w="8808" w:type="dxa"/>
            <w:gridSpan w:val="4"/>
          </w:tcPr>
          <w:p w14:paraId="587125E0" w14:textId="77777777" w:rsidR="00B05CA9" w:rsidRPr="00B05CA9" w:rsidRDefault="00B05CA9" w:rsidP="00B05CA9">
            <w:pPr>
              <w:spacing w:before="80" w:line="24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Reference Therapy, Dose and Mode of Administration:</w:t>
            </w:r>
          </w:p>
          <w:p w14:paraId="07C6F6AB" w14:textId="77777777" w:rsidR="00B05CA9" w:rsidRPr="00B05CA9" w:rsidRDefault="00B05CA9" w:rsidP="00B05CA9">
            <w:pPr>
              <w:numPr>
                <w:ilvl w:val="0"/>
                <w:numId w:val="4"/>
              </w:numPr>
              <w:autoSpaceDE w:val="0"/>
              <w:autoSpaceDN w:val="0"/>
              <w:adjustRightInd w:val="0"/>
              <w:spacing w:before="80" w:after="0" w:line="240" w:lineRule="auto"/>
              <w:contextualSpacing/>
              <w:jc w:val="both"/>
              <w:rPr>
                <w:rFonts w:ascii="Times New Roman" w:eastAsia="Times New Roman" w:hAnsi="Times New Roman" w:cs="Times New Roman"/>
                <w:color w:val="000000"/>
                <w:lang w:val="en-US" w:eastAsia="en-GB"/>
              </w:rPr>
            </w:pPr>
            <w:r w:rsidRPr="00B05CA9">
              <w:rPr>
                <w:rFonts w:ascii="Times New Roman" w:eastAsia="Times New Roman" w:hAnsi="Times New Roman" w:cs="Times New Roman"/>
                <w:color w:val="000000"/>
                <w:lang w:val="en-US" w:eastAsia="en-GB"/>
              </w:rPr>
              <w:t>Sudafed</w:t>
            </w:r>
            <w:r w:rsidRPr="00B05CA9">
              <w:rPr>
                <w:rFonts w:ascii="Times New Roman" w:eastAsia="Times New Roman" w:hAnsi="Times New Roman" w:cs="Times New Roman"/>
                <w:color w:val="000000"/>
                <w:sz w:val="20"/>
                <w:szCs w:val="14"/>
                <w:vertAlign w:val="superscript"/>
                <w:lang w:val="en-US" w:eastAsia="en-GB"/>
              </w:rPr>
              <w:t>®</w:t>
            </w:r>
            <w:r w:rsidRPr="00B05CA9">
              <w:rPr>
                <w:rFonts w:ascii="Times New Roman" w:eastAsia="Times New Roman" w:hAnsi="Times New Roman" w:cs="Times New Roman"/>
                <w:color w:val="000000"/>
                <w:lang w:val="en-US" w:eastAsia="en-GB"/>
              </w:rPr>
              <w:t xml:space="preserve"> Blocked Nose Capsules – 12 mg Phenylephrine hydrochloride -1 capsule </w:t>
            </w:r>
          </w:p>
          <w:p w14:paraId="76F1ADFF" w14:textId="77777777" w:rsidR="00B05CA9" w:rsidRPr="00B05CA9" w:rsidRDefault="00B05CA9" w:rsidP="00B05CA9">
            <w:pPr>
              <w:numPr>
                <w:ilvl w:val="0"/>
                <w:numId w:val="4"/>
              </w:numPr>
              <w:spacing w:before="80" w:line="240" w:lineRule="auto"/>
              <w:contextualSpacing/>
              <w:jc w:val="both"/>
              <w:rPr>
                <w:rFonts w:ascii="Times New Roman" w:eastAsia="Times New Roman" w:hAnsi="Times New Roman" w:cs="Times New Roman"/>
                <w:szCs w:val="20"/>
                <w:lang w:val="en-US"/>
              </w:rPr>
            </w:pPr>
            <w:r w:rsidRPr="00B05CA9">
              <w:rPr>
                <w:rFonts w:ascii="Times New Roman" w:eastAsia="Times New Roman" w:hAnsi="Times New Roman" w:cs="Times New Roman"/>
                <w:szCs w:val="20"/>
                <w:lang w:val="en-US"/>
              </w:rPr>
              <w:t xml:space="preserve">Placebo Tablets: matching white tablets to enable blinding of </w:t>
            </w:r>
            <w:proofErr w:type="spellStart"/>
            <w:r w:rsidRPr="00B05CA9">
              <w:rPr>
                <w:rFonts w:ascii="Times New Roman" w:eastAsia="Times New Roman" w:hAnsi="Times New Roman" w:cs="Times New Roman"/>
                <w:szCs w:val="20"/>
                <w:lang w:val="en-US"/>
              </w:rPr>
              <w:t>Maxiclear</w:t>
            </w:r>
            <w:proofErr w:type="spellEnd"/>
            <w:r w:rsidRPr="00B05CA9">
              <w:rPr>
                <w:rFonts w:ascii="Times New Roman" w:eastAsia="Times New Roman" w:hAnsi="Times New Roman" w:cs="Times New Roman"/>
                <w:szCs w:val="20"/>
                <w:lang w:val="en-US"/>
              </w:rPr>
              <w:t>™ PE 3.0 and Maxigesic</w:t>
            </w:r>
            <w:r w:rsidRPr="00B05CA9">
              <w:rPr>
                <w:rFonts w:ascii="Times New Roman" w:eastAsia="Times New Roman" w:hAnsi="Times New Roman" w:cs="Times New Roman"/>
                <w:sz w:val="20"/>
                <w:szCs w:val="14"/>
                <w:vertAlign w:val="superscript"/>
                <w:lang w:val="en-US"/>
              </w:rPr>
              <w:t>®</w:t>
            </w:r>
            <w:r w:rsidRPr="00B05CA9">
              <w:rPr>
                <w:rFonts w:ascii="Times New Roman" w:eastAsia="Times New Roman" w:hAnsi="Times New Roman" w:cs="Times New Roman"/>
                <w:szCs w:val="20"/>
                <w:lang w:val="en-US"/>
              </w:rPr>
              <w:t xml:space="preserve"> PE 2.5 (same excipients without API) </w:t>
            </w:r>
          </w:p>
          <w:p w14:paraId="30AD1276" w14:textId="77777777" w:rsidR="00B05CA9" w:rsidRPr="00B05CA9" w:rsidRDefault="00B05CA9" w:rsidP="00B05CA9">
            <w:pPr>
              <w:numPr>
                <w:ilvl w:val="0"/>
                <w:numId w:val="4"/>
              </w:numPr>
              <w:spacing w:before="80" w:line="240" w:lineRule="auto"/>
              <w:contextualSpacing/>
              <w:jc w:val="both"/>
              <w:rPr>
                <w:rFonts w:ascii="Times New Roman" w:eastAsia="Times New Roman" w:hAnsi="Times New Roman" w:cs="Times New Roman"/>
                <w:b/>
                <w:bCs/>
                <w:szCs w:val="20"/>
                <w:lang w:val="en-US"/>
              </w:rPr>
            </w:pPr>
            <w:r w:rsidRPr="00B05CA9">
              <w:rPr>
                <w:rFonts w:ascii="Times New Roman" w:eastAsia="Times New Roman" w:hAnsi="Times New Roman" w:cs="Times New Roman"/>
                <w:szCs w:val="20"/>
                <w:lang w:val="en-US"/>
              </w:rPr>
              <w:t>Placebo Capsules: matching yellow capsules to enable blinding of the Sudafed</w:t>
            </w:r>
            <w:r w:rsidRPr="00B05CA9">
              <w:rPr>
                <w:rFonts w:ascii="Times New Roman" w:eastAsia="Times New Roman" w:hAnsi="Times New Roman" w:cs="Times New Roman"/>
                <w:sz w:val="20"/>
                <w:szCs w:val="14"/>
                <w:vertAlign w:val="superscript"/>
                <w:lang w:val="en-US"/>
              </w:rPr>
              <w:t>®</w:t>
            </w:r>
            <w:r w:rsidRPr="00B05CA9">
              <w:rPr>
                <w:rFonts w:ascii="Times New Roman" w:eastAsia="Times New Roman" w:hAnsi="Times New Roman" w:cs="Times New Roman"/>
                <w:szCs w:val="20"/>
                <w:lang w:val="en-US"/>
              </w:rPr>
              <w:t xml:space="preserve"> capsules </w:t>
            </w:r>
          </w:p>
        </w:tc>
      </w:tr>
      <w:tr w:rsidR="00B05CA9" w:rsidRPr="00B05CA9" w14:paraId="7E738085" w14:textId="77777777" w:rsidTr="00B05CA9">
        <w:trPr>
          <w:cantSplit/>
        </w:trPr>
        <w:tc>
          <w:tcPr>
            <w:tcW w:w="8808" w:type="dxa"/>
            <w:gridSpan w:val="4"/>
          </w:tcPr>
          <w:p w14:paraId="6A76F198" w14:textId="77777777" w:rsidR="00B05CA9" w:rsidRPr="00B05CA9" w:rsidRDefault="00B05CA9" w:rsidP="00B05CA9">
            <w:pPr>
              <w:spacing w:before="80" w:line="24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lastRenderedPageBreak/>
              <w:t xml:space="preserve">Criteria for Evaluation: </w:t>
            </w:r>
          </w:p>
          <w:p w14:paraId="701F4DD3" w14:textId="77777777" w:rsidR="00B05CA9" w:rsidRPr="00B05CA9" w:rsidRDefault="00B05CA9" w:rsidP="00B05CA9">
            <w:pPr>
              <w:widowControl w:val="0"/>
              <w:spacing w:after="0" w:line="240" w:lineRule="auto"/>
              <w:rPr>
                <w:rFonts w:ascii="Times New Roman" w:eastAsia="Times New Roman" w:hAnsi="Times New Roman" w:cs="Times New Roman"/>
                <w:i/>
                <w:u w:val="single"/>
                <w:lang w:val="en-US"/>
              </w:rPr>
            </w:pPr>
            <w:r w:rsidRPr="00B05CA9">
              <w:rPr>
                <w:rFonts w:ascii="Times New Roman" w:eastAsia="Times New Roman" w:hAnsi="Times New Roman" w:cs="Times New Roman"/>
                <w:i/>
                <w:u w:val="single"/>
                <w:lang w:val="en-US"/>
              </w:rPr>
              <w:t>Primary Efficacy Assessment:</w:t>
            </w:r>
          </w:p>
          <w:p w14:paraId="7BF99049"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primary efficacy endpoint was the area under the Nasal Airflow Conductance (NAC) curve from 0-4 hours after the first dose of study medication on Day 1 (AUC NAC</w:t>
            </w:r>
            <w:r w:rsidRPr="00B05CA9">
              <w:rPr>
                <w:rFonts w:ascii="Times New Roman" w:eastAsia="Times New Roman" w:hAnsi="Times New Roman" w:cs="Times New Roman"/>
                <w:vertAlign w:val="subscript"/>
                <w:lang w:val="en-US"/>
              </w:rPr>
              <w:t>0-4</w:t>
            </w:r>
            <w:r w:rsidRPr="00B05CA9">
              <w:rPr>
                <w:rFonts w:ascii="Times New Roman" w:eastAsia="Times New Roman" w:hAnsi="Times New Roman" w:cs="Times New Roman"/>
                <w:lang w:val="en-US"/>
              </w:rPr>
              <w:t>). Measurements of nasal airflow resistance (NAR) were used to calculate the nasal airflow conductance (NAC). Nasal airflow conductance is used as a measure of nasal obstruction as it is possible to collect data for patients with total nasal obstruction (zero conductance) whereas resistance would provide a value of infinity which could not be used in statistical analysis.</w:t>
            </w:r>
          </w:p>
          <w:p w14:paraId="30212B72" w14:textId="77777777" w:rsidR="00B05CA9" w:rsidRPr="00B05CA9" w:rsidRDefault="00B05CA9" w:rsidP="00B05CA9">
            <w:pPr>
              <w:widowControl w:val="0"/>
              <w:spacing w:after="0" w:line="240" w:lineRule="auto"/>
              <w:rPr>
                <w:rFonts w:ascii="Times New Roman" w:eastAsia="Times New Roman" w:hAnsi="Times New Roman" w:cs="Times New Roman"/>
                <w:i/>
                <w:highlight w:val="yellow"/>
                <w:u w:val="single"/>
                <w:lang w:val="en-US"/>
              </w:rPr>
            </w:pPr>
            <w:r w:rsidRPr="00B05CA9">
              <w:rPr>
                <w:rFonts w:ascii="Times New Roman" w:eastAsia="Times New Roman" w:hAnsi="Times New Roman" w:cs="Times New Roman"/>
                <w:i/>
                <w:u w:val="single"/>
                <w:lang w:val="en-US"/>
              </w:rPr>
              <w:t>Secondary Efficacy Assessments:</w:t>
            </w:r>
          </w:p>
          <w:p w14:paraId="038C6FB0" w14:textId="77777777" w:rsidR="00B05CA9" w:rsidRPr="00B05CA9" w:rsidRDefault="00B05CA9" w:rsidP="00B05CA9">
            <w:pPr>
              <w:numPr>
                <w:ilvl w:val="0"/>
                <w:numId w:val="2"/>
              </w:numPr>
              <w:spacing w:before="80" w:line="276" w:lineRule="auto"/>
              <w:contextualSpacing/>
              <w:jc w:val="both"/>
              <w:rPr>
                <w:rFonts w:ascii="Times New Roman" w:eastAsia="Times New Roman" w:hAnsi="Times New Roman" w:cs="Times New Roman"/>
                <w:szCs w:val="20"/>
                <w:lang w:val="en-US"/>
              </w:rPr>
            </w:pPr>
            <w:r w:rsidRPr="00B05CA9">
              <w:rPr>
                <w:rFonts w:ascii="Times New Roman" w:eastAsia="Times New Roman" w:hAnsi="Times New Roman" w:cs="Times New Roman"/>
                <w:szCs w:val="20"/>
                <w:lang w:val="en-US"/>
              </w:rPr>
              <w:t>Development of subjective relief of nasal congestion over the first 60 minutes after dosing measured by the area under the curve of VAS score on a 100 mm scale (0= nose completely clear and 100= nose completely blocked) every 10 minutes on Day 1 (AUC VAS</w:t>
            </w:r>
            <w:r w:rsidRPr="00B05CA9">
              <w:rPr>
                <w:rFonts w:ascii="Times New Roman" w:eastAsia="Times New Roman" w:hAnsi="Times New Roman" w:cs="Times New Roman"/>
                <w:szCs w:val="20"/>
                <w:vertAlign w:val="subscript"/>
                <w:lang w:val="en-US"/>
              </w:rPr>
              <w:t>0-1</w:t>
            </w:r>
            <w:r w:rsidRPr="00B05CA9">
              <w:rPr>
                <w:rFonts w:ascii="Times New Roman" w:eastAsia="Times New Roman" w:hAnsi="Times New Roman" w:cs="Times New Roman"/>
                <w:szCs w:val="20"/>
                <w:lang w:val="en-US"/>
              </w:rPr>
              <w:t>)</w:t>
            </w:r>
          </w:p>
          <w:p w14:paraId="3DA55A0D" w14:textId="77777777" w:rsidR="00B05CA9" w:rsidRPr="00B05CA9" w:rsidRDefault="00B05CA9" w:rsidP="00B05CA9">
            <w:pPr>
              <w:numPr>
                <w:ilvl w:val="0"/>
                <w:numId w:val="2"/>
              </w:numPr>
              <w:spacing w:before="80" w:line="276" w:lineRule="auto"/>
              <w:contextualSpacing/>
              <w:jc w:val="both"/>
              <w:rPr>
                <w:rFonts w:ascii="Times New Roman" w:eastAsia="Times New Roman" w:hAnsi="Times New Roman" w:cs="Times New Roman"/>
                <w:szCs w:val="20"/>
                <w:lang w:val="en-US"/>
              </w:rPr>
            </w:pPr>
            <w:r w:rsidRPr="00B05CA9">
              <w:rPr>
                <w:rFonts w:ascii="Times New Roman" w:eastAsia="Times New Roman" w:hAnsi="Times New Roman" w:cs="Times New Roman"/>
                <w:szCs w:val="20"/>
                <w:lang w:val="en-US"/>
              </w:rPr>
              <w:t>Peak subjective relief of nasal congestion measured by peak difference from baseline (mm) within the first 60 minutes after the first dose of study medication</w:t>
            </w:r>
          </w:p>
          <w:p w14:paraId="0B7C7786" w14:textId="77777777" w:rsidR="00B05CA9" w:rsidRPr="00B05CA9" w:rsidRDefault="00B05CA9" w:rsidP="00B05CA9">
            <w:pPr>
              <w:numPr>
                <w:ilvl w:val="0"/>
                <w:numId w:val="2"/>
              </w:numPr>
              <w:spacing w:before="80" w:line="276" w:lineRule="auto"/>
              <w:contextualSpacing/>
              <w:jc w:val="both"/>
              <w:rPr>
                <w:rFonts w:ascii="Times New Roman" w:eastAsia="Times New Roman" w:hAnsi="Times New Roman" w:cs="Times New Roman"/>
                <w:szCs w:val="20"/>
                <w:lang w:val="en-US"/>
              </w:rPr>
            </w:pPr>
            <w:r w:rsidRPr="00B05CA9">
              <w:rPr>
                <w:rFonts w:ascii="Times New Roman" w:eastAsia="Times New Roman" w:hAnsi="Times New Roman" w:cs="Times New Roman"/>
                <w:szCs w:val="20"/>
                <w:lang w:val="en-US"/>
              </w:rPr>
              <w:t>Time (minutes) to peak subjective relief of nasal congestion within the first 60 minutes after the first dose of study medication</w:t>
            </w:r>
          </w:p>
          <w:p w14:paraId="4101F824" w14:textId="77777777" w:rsidR="00B05CA9" w:rsidRPr="00B05CA9" w:rsidRDefault="00B05CA9" w:rsidP="00B05CA9">
            <w:pPr>
              <w:widowControl w:val="0"/>
              <w:spacing w:after="0" w:line="240" w:lineRule="auto"/>
              <w:rPr>
                <w:rFonts w:ascii="Times New Roman" w:eastAsia="Times New Roman" w:hAnsi="Times New Roman" w:cs="Times New Roman"/>
                <w:i/>
                <w:u w:val="single"/>
                <w:lang w:val="en-US"/>
              </w:rPr>
            </w:pPr>
            <w:r w:rsidRPr="00B05CA9">
              <w:rPr>
                <w:rFonts w:ascii="Times New Roman" w:eastAsia="Times New Roman" w:hAnsi="Times New Roman" w:cs="Times New Roman"/>
                <w:i/>
                <w:u w:val="single"/>
                <w:lang w:val="en-US"/>
              </w:rPr>
              <w:t>Exploratory Assessments:</w:t>
            </w:r>
          </w:p>
          <w:p w14:paraId="03995A38"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exploratory endpoints are outlined below:</w:t>
            </w:r>
          </w:p>
          <w:p w14:paraId="2D26C15B" w14:textId="77777777" w:rsidR="00B05CA9" w:rsidRPr="00B05CA9" w:rsidRDefault="00B05CA9" w:rsidP="00B05CA9">
            <w:pPr>
              <w:numPr>
                <w:ilvl w:val="0"/>
                <w:numId w:val="3"/>
              </w:numPr>
              <w:spacing w:before="80" w:line="240" w:lineRule="auto"/>
              <w:contextualSpacing/>
              <w:jc w:val="both"/>
              <w:rPr>
                <w:rFonts w:ascii="Times New Roman" w:eastAsia="Times New Roman" w:hAnsi="Times New Roman" w:cs="Times New Roman"/>
                <w:szCs w:val="20"/>
                <w:lang w:val="en-US"/>
              </w:rPr>
            </w:pPr>
            <w:r w:rsidRPr="00B05CA9">
              <w:rPr>
                <w:rFonts w:ascii="Times New Roman" w:eastAsia="Times New Roman" w:hAnsi="Times New Roman" w:cs="Times New Roman"/>
                <w:szCs w:val="20"/>
                <w:lang w:val="en-US"/>
              </w:rPr>
              <w:t>AUC NAC</w:t>
            </w:r>
            <w:r w:rsidRPr="00B05CA9">
              <w:rPr>
                <w:rFonts w:ascii="Times New Roman" w:eastAsia="Times New Roman" w:hAnsi="Times New Roman" w:cs="Times New Roman"/>
                <w:szCs w:val="20"/>
                <w:vertAlign w:val="subscript"/>
                <w:lang w:val="en-US"/>
              </w:rPr>
              <w:t>0-1</w:t>
            </w:r>
            <w:r w:rsidRPr="00B05CA9">
              <w:rPr>
                <w:rFonts w:ascii="Times New Roman" w:eastAsia="Times New Roman" w:hAnsi="Times New Roman" w:cs="Times New Roman"/>
                <w:szCs w:val="20"/>
                <w:lang w:val="en-US"/>
              </w:rPr>
              <w:t>, AUC NAC</w:t>
            </w:r>
            <w:r w:rsidRPr="00B05CA9">
              <w:rPr>
                <w:rFonts w:ascii="Times New Roman" w:eastAsia="Times New Roman" w:hAnsi="Times New Roman" w:cs="Times New Roman"/>
                <w:szCs w:val="20"/>
                <w:vertAlign w:val="subscript"/>
                <w:lang w:val="en-US"/>
              </w:rPr>
              <w:t>0-2</w:t>
            </w:r>
            <w:r w:rsidRPr="00B05CA9">
              <w:rPr>
                <w:rFonts w:ascii="Times New Roman" w:eastAsia="Times New Roman" w:hAnsi="Times New Roman" w:cs="Times New Roman"/>
                <w:szCs w:val="20"/>
                <w:lang w:val="en-US"/>
              </w:rPr>
              <w:t>, AUC NAC</w:t>
            </w:r>
            <w:r w:rsidRPr="00B05CA9">
              <w:rPr>
                <w:rFonts w:ascii="Times New Roman" w:eastAsia="Times New Roman" w:hAnsi="Times New Roman" w:cs="Times New Roman"/>
                <w:szCs w:val="20"/>
                <w:vertAlign w:val="subscript"/>
                <w:lang w:val="en-US"/>
              </w:rPr>
              <w:t>0-3</w:t>
            </w:r>
            <w:r w:rsidRPr="00B05CA9">
              <w:rPr>
                <w:rFonts w:ascii="Times New Roman" w:eastAsia="Times New Roman" w:hAnsi="Times New Roman" w:cs="Times New Roman"/>
                <w:szCs w:val="20"/>
                <w:lang w:val="en-US"/>
              </w:rPr>
              <w:t xml:space="preserve"> on Day 1</w:t>
            </w:r>
          </w:p>
          <w:p w14:paraId="42D47D93" w14:textId="77777777" w:rsidR="00B05CA9" w:rsidRPr="00B05CA9" w:rsidRDefault="00B05CA9" w:rsidP="00B05CA9">
            <w:pPr>
              <w:numPr>
                <w:ilvl w:val="0"/>
                <w:numId w:val="3"/>
              </w:numPr>
              <w:spacing w:before="80" w:line="240" w:lineRule="auto"/>
              <w:contextualSpacing/>
              <w:jc w:val="both"/>
              <w:rPr>
                <w:rFonts w:ascii="Times New Roman" w:eastAsia="Times New Roman" w:hAnsi="Times New Roman" w:cs="Times New Roman"/>
                <w:szCs w:val="20"/>
                <w:lang w:val="en-US"/>
              </w:rPr>
            </w:pPr>
            <w:r w:rsidRPr="00B05CA9">
              <w:rPr>
                <w:rFonts w:ascii="Times New Roman" w:eastAsia="Times New Roman" w:hAnsi="Times New Roman" w:cs="Times New Roman"/>
                <w:szCs w:val="20"/>
                <w:lang w:val="en-US"/>
              </w:rPr>
              <w:t>AUC VAS</w:t>
            </w:r>
            <w:r w:rsidRPr="00B05CA9">
              <w:rPr>
                <w:rFonts w:ascii="Times New Roman" w:eastAsia="Times New Roman" w:hAnsi="Times New Roman" w:cs="Times New Roman"/>
                <w:szCs w:val="20"/>
                <w:vertAlign w:val="subscript"/>
                <w:lang w:val="en-US"/>
              </w:rPr>
              <w:t>0-2</w:t>
            </w:r>
            <w:r w:rsidRPr="00B05CA9">
              <w:rPr>
                <w:rFonts w:ascii="Times New Roman" w:eastAsia="Times New Roman" w:hAnsi="Times New Roman" w:cs="Times New Roman"/>
                <w:szCs w:val="20"/>
                <w:lang w:val="en-US"/>
              </w:rPr>
              <w:t>, AUC VAS</w:t>
            </w:r>
            <w:r w:rsidRPr="00B05CA9">
              <w:rPr>
                <w:rFonts w:ascii="Times New Roman" w:eastAsia="Times New Roman" w:hAnsi="Times New Roman" w:cs="Times New Roman"/>
                <w:szCs w:val="20"/>
                <w:vertAlign w:val="subscript"/>
                <w:lang w:val="en-US"/>
              </w:rPr>
              <w:t>0-3</w:t>
            </w:r>
            <w:r w:rsidRPr="00B05CA9">
              <w:rPr>
                <w:rFonts w:ascii="Times New Roman" w:eastAsia="Times New Roman" w:hAnsi="Times New Roman" w:cs="Times New Roman"/>
                <w:szCs w:val="20"/>
                <w:lang w:val="en-US"/>
              </w:rPr>
              <w:t>, AUC VAS</w:t>
            </w:r>
            <w:r w:rsidRPr="00B05CA9">
              <w:rPr>
                <w:rFonts w:ascii="Times New Roman" w:eastAsia="Times New Roman" w:hAnsi="Times New Roman" w:cs="Times New Roman"/>
                <w:szCs w:val="20"/>
                <w:vertAlign w:val="subscript"/>
                <w:lang w:val="en-US"/>
              </w:rPr>
              <w:t>0-4</w:t>
            </w:r>
            <w:r w:rsidRPr="00B05CA9">
              <w:rPr>
                <w:rFonts w:ascii="Times New Roman" w:eastAsia="Times New Roman" w:hAnsi="Times New Roman" w:cs="Times New Roman"/>
                <w:szCs w:val="20"/>
                <w:lang w:val="en-US"/>
              </w:rPr>
              <w:t xml:space="preserve"> on Day 1</w:t>
            </w:r>
          </w:p>
          <w:p w14:paraId="6CE24F1C" w14:textId="77777777" w:rsidR="00B05CA9" w:rsidRPr="00B05CA9" w:rsidRDefault="00B05CA9" w:rsidP="00B05CA9">
            <w:pPr>
              <w:widowControl w:val="0"/>
              <w:spacing w:after="0" w:line="240" w:lineRule="auto"/>
              <w:rPr>
                <w:rFonts w:ascii="Times New Roman" w:eastAsia="Times New Roman" w:hAnsi="Times New Roman" w:cs="Times New Roman"/>
                <w:i/>
                <w:u w:val="single"/>
                <w:lang w:val="en-US"/>
              </w:rPr>
            </w:pPr>
            <w:r w:rsidRPr="00B05CA9">
              <w:rPr>
                <w:rFonts w:ascii="Times New Roman" w:eastAsia="Times New Roman" w:hAnsi="Times New Roman" w:cs="Times New Roman"/>
                <w:i/>
                <w:u w:val="single"/>
                <w:lang w:val="en-US"/>
              </w:rPr>
              <w:t>Safety Assessments:</w:t>
            </w:r>
          </w:p>
          <w:p w14:paraId="4101D5CA"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safety endpoints comprised the evaluation of the incidence of treatment-emergent adverse events (AEs) over Days 1 and 2 of the study period and changes from baseline in blood pressure and heart rate during the first 4 hours after the first dose of study drug on Day 1.</w:t>
            </w:r>
          </w:p>
        </w:tc>
      </w:tr>
      <w:tr w:rsidR="00B05CA9" w:rsidRPr="00B05CA9" w14:paraId="3491A4F7" w14:textId="77777777" w:rsidTr="00B05CA9">
        <w:trPr>
          <w:cantSplit/>
        </w:trPr>
        <w:tc>
          <w:tcPr>
            <w:tcW w:w="8808" w:type="dxa"/>
            <w:gridSpan w:val="4"/>
          </w:tcPr>
          <w:p w14:paraId="30165BDD"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lastRenderedPageBreak/>
              <w:t>Statistical Methods:</w:t>
            </w:r>
          </w:p>
          <w:p w14:paraId="64CEF657" w14:textId="77777777" w:rsidR="00B05CA9" w:rsidRPr="00B05CA9" w:rsidRDefault="00B05CA9" w:rsidP="00B05CA9">
            <w:pPr>
              <w:autoSpaceDE w:val="0"/>
              <w:autoSpaceDN w:val="0"/>
              <w:adjustRightInd w:val="0"/>
              <w:spacing w:after="0" w:line="240" w:lineRule="auto"/>
              <w:jc w:val="both"/>
              <w:rPr>
                <w:rFonts w:ascii="Times New Roman" w:eastAsia="Times New Roman" w:hAnsi="Times New Roman" w:cs="Times New Roman"/>
                <w:i/>
                <w:color w:val="000000"/>
                <w:u w:val="single"/>
                <w:lang w:val="en-US" w:eastAsia="en-GB"/>
              </w:rPr>
            </w:pPr>
            <w:r w:rsidRPr="00B05CA9">
              <w:rPr>
                <w:rFonts w:ascii="Times New Roman" w:eastAsia="Times New Roman" w:hAnsi="Times New Roman" w:cs="Times New Roman"/>
                <w:bCs/>
                <w:i/>
                <w:color w:val="000000"/>
                <w:u w:val="single"/>
                <w:lang w:val="en-US" w:eastAsia="en-GB"/>
              </w:rPr>
              <w:t xml:space="preserve">Analysis Populations </w:t>
            </w:r>
          </w:p>
          <w:p w14:paraId="72CD4543"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The analysis populations included the following: </w:t>
            </w:r>
          </w:p>
          <w:p w14:paraId="47E71D7D"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 The intent-to-treat (ITT) population consisted of all 277 subjects who received at least one dose of the study drug. The ITT population is the primary population for the efficacy analysis. </w:t>
            </w:r>
          </w:p>
          <w:p w14:paraId="086331E2"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The safety population included all subjects who were treated with the study drug with grouping determined by actual treatment taken. The safety population is the population for all safety assessments. The incidence of adverse events was compared between the different treatment groups using descriptive statistics.</w:t>
            </w:r>
          </w:p>
          <w:p w14:paraId="607D6D09" w14:textId="77777777" w:rsidR="00B05CA9" w:rsidRPr="00B05CA9" w:rsidRDefault="00B05CA9" w:rsidP="00B05CA9">
            <w:pPr>
              <w:autoSpaceDE w:val="0"/>
              <w:autoSpaceDN w:val="0"/>
              <w:adjustRightInd w:val="0"/>
              <w:spacing w:after="0" w:line="240" w:lineRule="auto"/>
              <w:jc w:val="both"/>
              <w:rPr>
                <w:rFonts w:ascii="Times New Roman" w:eastAsia="Times New Roman" w:hAnsi="Times New Roman" w:cs="Times New Roman"/>
                <w:i/>
                <w:color w:val="000000"/>
                <w:u w:val="single"/>
                <w:lang w:val="en-US" w:eastAsia="en-GB"/>
              </w:rPr>
            </w:pPr>
            <w:r w:rsidRPr="00B05CA9">
              <w:rPr>
                <w:rFonts w:ascii="Times New Roman" w:eastAsia="Times New Roman" w:hAnsi="Times New Roman" w:cs="Times New Roman"/>
                <w:bCs/>
                <w:i/>
                <w:color w:val="000000"/>
                <w:u w:val="single"/>
                <w:lang w:val="en-US" w:eastAsia="en-GB"/>
              </w:rPr>
              <w:t xml:space="preserve">Subject Characteristics </w:t>
            </w:r>
          </w:p>
          <w:p w14:paraId="46CCEC7A"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Demographic and baseline characteristics (including age, gender, race, weight, height, BMI, medical history, current medication and baseline NAR) were summarized for each treatment group and for the overall population by descriptive statistics. No formal statistical analyses of these was performed. </w:t>
            </w:r>
          </w:p>
          <w:p w14:paraId="3E98E7FA" w14:textId="77777777" w:rsidR="00B05CA9" w:rsidRPr="00B05CA9" w:rsidRDefault="00B05CA9" w:rsidP="00B05CA9">
            <w:pPr>
              <w:autoSpaceDE w:val="0"/>
              <w:autoSpaceDN w:val="0"/>
              <w:adjustRightInd w:val="0"/>
              <w:spacing w:after="0" w:line="240" w:lineRule="auto"/>
              <w:jc w:val="both"/>
              <w:rPr>
                <w:rFonts w:ascii="Times New Roman" w:eastAsia="Times New Roman" w:hAnsi="Times New Roman" w:cs="Times New Roman"/>
                <w:i/>
                <w:color w:val="000000"/>
                <w:u w:val="single"/>
                <w:lang w:val="en-US" w:eastAsia="en-GB"/>
              </w:rPr>
            </w:pPr>
            <w:r w:rsidRPr="00B05CA9">
              <w:rPr>
                <w:rFonts w:ascii="Times New Roman" w:eastAsia="Times New Roman" w:hAnsi="Times New Roman" w:cs="Times New Roman"/>
                <w:bCs/>
                <w:i/>
                <w:color w:val="000000"/>
                <w:u w:val="single"/>
                <w:lang w:val="en-US" w:eastAsia="en-GB"/>
              </w:rPr>
              <w:t xml:space="preserve">Efficacy Assessment Analyses </w:t>
            </w:r>
          </w:p>
          <w:p w14:paraId="0B082BA1"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Measurements of nasal airflow resistance (NAR) were used to calculate the nasal airflow conductance (NAC). Nasal airflow conductance is used as a measure of nasal obstruction as it is possible to collect data for patients with total nasal obstruction (zero conductance) whereas resistance would provide a value of infinity which could not be used in statistical analysis. The primary efficacy variable is the area under the nasal airflow conductance curve between 0 and 4 hours post dose (AUC NAC</w:t>
            </w:r>
            <w:r w:rsidRPr="00B05CA9">
              <w:rPr>
                <w:rFonts w:ascii="Times New Roman" w:eastAsia="Times New Roman" w:hAnsi="Times New Roman" w:cs="Times New Roman"/>
                <w:vertAlign w:val="subscript"/>
                <w:lang w:val="en-US"/>
              </w:rPr>
              <w:t>0-4</w:t>
            </w:r>
            <w:r w:rsidRPr="00B05CA9">
              <w:rPr>
                <w:rFonts w:ascii="Times New Roman" w:eastAsia="Times New Roman" w:hAnsi="Times New Roman" w:cs="Times New Roman"/>
                <w:lang w:val="en-US"/>
              </w:rPr>
              <w:t xml:space="preserve">). All AUCs were calculated by the trapezoidal method. </w:t>
            </w:r>
          </w:p>
          <w:p w14:paraId="537E6FBE"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For the primary and subjective relief secondary efficacy variables (AUC VAS</w:t>
            </w:r>
            <w:r w:rsidRPr="00B05CA9">
              <w:rPr>
                <w:rFonts w:ascii="Times New Roman" w:eastAsia="Times New Roman" w:hAnsi="Times New Roman" w:cs="Times New Roman"/>
                <w:vertAlign w:val="subscript"/>
                <w:lang w:val="en-US"/>
              </w:rPr>
              <w:t>0-1</w:t>
            </w:r>
            <w:r w:rsidRPr="00B05CA9">
              <w:rPr>
                <w:rFonts w:ascii="Times New Roman" w:eastAsia="Times New Roman" w:hAnsi="Times New Roman" w:cs="Times New Roman"/>
                <w:lang w:val="en-US"/>
              </w:rPr>
              <w:t xml:space="preserve">, Peak relief and Time to peak relief), between-treatment differences were tested by means of one-way analysis of covariance (ANCOVA) model with treatment as a factor and the corresponding baseline value as a covariate. A missing NAR value at 3 hours was imputed by linear interpolation and a missing 4-hour value was imputed by carrying forward the value from the preceding time point. The time to peak relief was summarized by treatment group using Kaplan-Meier curves and compared between treatment groups using log-rank tests. </w:t>
            </w:r>
          </w:p>
        </w:tc>
      </w:tr>
      <w:tr w:rsidR="00B05CA9" w:rsidRPr="00B05CA9" w14:paraId="4EEF5DC5" w14:textId="77777777" w:rsidTr="00B05CA9">
        <w:trPr>
          <w:cantSplit/>
          <w:trHeight w:val="6769"/>
        </w:trPr>
        <w:tc>
          <w:tcPr>
            <w:tcW w:w="8808" w:type="dxa"/>
            <w:gridSpan w:val="4"/>
          </w:tcPr>
          <w:p w14:paraId="52726282"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lastRenderedPageBreak/>
              <w:t xml:space="preserve">Statistical Methods (continued): </w:t>
            </w:r>
          </w:p>
          <w:p w14:paraId="0939F9B6"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The objective of the study was to test whether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and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provide effective nasal decongestive relief which is comparable with that achieved with Phenylephrine 12 mg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Blocked Nose). To address this objective both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and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were compared with the placebo group and with phenylephrine 12 mg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Blocked Nose). The two pairwise comparisons with placebo were tested using a two-tailed p-value &lt;0.05. </w:t>
            </w:r>
          </w:p>
          <w:p w14:paraId="102D5E7D"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pair-wise non-inferiority comparisons with phenylephrine 12 mg (Sudafed® Blocked Nose) used a one-sided 95% non-inferiority limit of a 15% difference in the NAC (AUC NAC</w:t>
            </w:r>
            <w:r w:rsidRPr="00B05CA9">
              <w:rPr>
                <w:rFonts w:ascii="Times New Roman" w:eastAsia="Times New Roman" w:hAnsi="Times New Roman" w:cs="Times New Roman"/>
                <w:vertAlign w:val="subscript"/>
                <w:lang w:val="en-US"/>
              </w:rPr>
              <w:t>0-4</w:t>
            </w:r>
            <w:r w:rsidRPr="00B05CA9">
              <w:rPr>
                <w:rFonts w:ascii="Times New Roman" w:eastAsia="Times New Roman" w:hAnsi="Times New Roman" w:cs="Times New Roman"/>
                <w:lang w:val="en-US"/>
              </w:rPr>
              <w:t xml:space="preserve">). For either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or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to be declared non-inferior the one-tailed upper 95% limit of the difference (Phenylephrine 12 mg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Blocked Nose) minus comparator; with larger values indicating greater efficacy) in the NAC (AUC NAC</w:t>
            </w:r>
            <w:r w:rsidRPr="00B05CA9">
              <w:rPr>
                <w:rFonts w:ascii="Times New Roman" w:eastAsia="Times New Roman" w:hAnsi="Times New Roman" w:cs="Times New Roman"/>
                <w:vertAlign w:val="subscript"/>
                <w:lang w:val="en-US"/>
              </w:rPr>
              <w:t>0-4</w:t>
            </w:r>
            <w:r w:rsidRPr="00B05CA9">
              <w:rPr>
                <w:rFonts w:ascii="Times New Roman" w:eastAsia="Times New Roman" w:hAnsi="Times New Roman" w:cs="Times New Roman"/>
                <w:lang w:val="en-US"/>
              </w:rPr>
              <w:t>) must be less than 15% of the mean AUC NAC</w:t>
            </w:r>
            <w:r w:rsidRPr="00B05CA9">
              <w:rPr>
                <w:rFonts w:ascii="Times New Roman" w:eastAsia="Times New Roman" w:hAnsi="Times New Roman" w:cs="Times New Roman"/>
                <w:vertAlign w:val="subscript"/>
                <w:lang w:val="en-US"/>
              </w:rPr>
              <w:t>0-4</w:t>
            </w:r>
            <w:r w:rsidRPr="00B05CA9">
              <w:rPr>
                <w:rFonts w:ascii="Times New Roman" w:eastAsia="Times New Roman" w:hAnsi="Times New Roman" w:cs="Times New Roman"/>
                <w:lang w:val="en-US"/>
              </w:rPr>
              <w:t xml:space="preserve"> of Sudafed</w:t>
            </w:r>
            <w:r w:rsidRPr="00B05CA9">
              <w:rPr>
                <w:rFonts w:ascii="Times New Roman" w:eastAsia="Times New Roman" w:hAnsi="Times New Roman" w:cs="Times New Roman"/>
                <w:sz w:val="20"/>
                <w:szCs w:val="14"/>
                <w:vertAlign w:val="superscript"/>
                <w:lang w:val="en-US"/>
              </w:rPr>
              <w:t>®</w:t>
            </w:r>
            <w:r w:rsidRPr="00B05CA9">
              <w:rPr>
                <w:rFonts w:ascii="Times New Roman" w:eastAsia="Times New Roman" w:hAnsi="Times New Roman" w:cs="Times New Roman"/>
                <w:lang w:val="en-US"/>
              </w:rPr>
              <w:t xml:space="preserve"> PE.</w:t>
            </w:r>
          </w:p>
          <w:p w14:paraId="378E8AB2" w14:textId="77777777" w:rsidR="00B05CA9" w:rsidRPr="00B05CA9" w:rsidRDefault="00B05CA9" w:rsidP="00B05CA9">
            <w:pPr>
              <w:autoSpaceDE w:val="0"/>
              <w:autoSpaceDN w:val="0"/>
              <w:adjustRightInd w:val="0"/>
              <w:spacing w:after="0" w:line="240" w:lineRule="auto"/>
              <w:jc w:val="both"/>
              <w:rPr>
                <w:rFonts w:ascii="Times New Roman" w:eastAsia="Times New Roman" w:hAnsi="Times New Roman" w:cs="Times New Roman"/>
                <w:i/>
                <w:color w:val="000000"/>
                <w:u w:val="single"/>
                <w:lang w:val="en-US" w:eastAsia="en-GB"/>
              </w:rPr>
            </w:pPr>
            <w:r w:rsidRPr="00B05CA9">
              <w:rPr>
                <w:rFonts w:ascii="Times New Roman" w:eastAsia="Times New Roman" w:hAnsi="Times New Roman" w:cs="Times New Roman"/>
                <w:bCs/>
                <w:i/>
                <w:color w:val="000000"/>
                <w:u w:val="single"/>
                <w:lang w:val="en-US" w:eastAsia="en-GB"/>
              </w:rPr>
              <w:t xml:space="preserve">Exploratory Efficacy Assessment Analyses </w:t>
            </w:r>
          </w:p>
          <w:p w14:paraId="726BABB9"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exploratory endpoints were compared between randomized groups using an ANCOVA model with treatment as a factor and the corresponding baseline value as a covariate.</w:t>
            </w:r>
          </w:p>
          <w:p w14:paraId="27A7C8FA" w14:textId="77777777" w:rsidR="00B05CA9" w:rsidRPr="00B05CA9" w:rsidRDefault="00B05CA9" w:rsidP="00B05CA9">
            <w:pPr>
              <w:autoSpaceDE w:val="0"/>
              <w:autoSpaceDN w:val="0"/>
              <w:adjustRightInd w:val="0"/>
              <w:spacing w:after="0" w:line="240" w:lineRule="auto"/>
              <w:jc w:val="both"/>
              <w:rPr>
                <w:rFonts w:ascii="Times New Roman" w:eastAsia="Times New Roman" w:hAnsi="Times New Roman" w:cs="Times New Roman"/>
                <w:i/>
                <w:color w:val="000000"/>
                <w:u w:val="single"/>
                <w:lang w:val="en-US" w:eastAsia="en-GB"/>
              </w:rPr>
            </w:pPr>
            <w:r w:rsidRPr="00B05CA9">
              <w:rPr>
                <w:rFonts w:ascii="Times New Roman" w:eastAsia="Times New Roman" w:hAnsi="Times New Roman" w:cs="Times New Roman"/>
                <w:bCs/>
                <w:i/>
                <w:color w:val="000000"/>
                <w:u w:val="single"/>
                <w:lang w:val="en-US" w:eastAsia="en-GB"/>
              </w:rPr>
              <w:t xml:space="preserve">Safety Analyses </w:t>
            </w:r>
          </w:p>
          <w:p w14:paraId="6AD5E088"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Data listings were provided for protocol-specified safety data. The Medical Dictionary for Regulatory Activities (MedDRA) (Version 20.0) was used to classify all AEs with respect to system organ class and preferred term. Adverse event summaries included only treatment-emergent adverse events (TEAEs), which were summarized for each treatment group. A TEAE is defined as an AE which starts or gets worse during the treatment period (ICH E9). </w:t>
            </w:r>
          </w:p>
          <w:p w14:paraId="2A13A6B6"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For vital sign measurements, descriptive statistics were provided at each scheduled time point for each treatment group. Changes from baseline of vital signs was calculated for each subject, and descriptive statistics was provided on changes in vital signs from baseline for each treatment group at each scheduled time point after baseline.</w:t>
            </w:r>
            <w:r w:rsidRPr="00B05CA9">
              <w:rPr>
                <w:rFonts w:ascii="Times New Roman" w:eastAsia="Times New Roman" w:hAnsi="Times New Roman" w:cs="Times New Roman"/>
                <w:sz w:val="20"/>
                <w:lang w:val="en-US"/>
              </w:rPr>
              <w:t xml:space="preserve"> </w:t>
            </w:r>
          </w:p>
        </w:tc>
      </w:tr>
      <w:tr w:rsidR="00B05CA9" w:rsidRPr="00B05CA9" w14:paraId="4CC12638" w14:textId="77777777" w:rsidTr="00B05CA9">
        <w:trPr>
          <w:cantSplit/>
          <w:trHeight w:val="9009"/>
        </w:trPr>
        <w:tc>
          <w:tcPr>
            <w:tcW w:w="8808" w:type="dxa"/>
            <w:gridSpan w:val="4"/>
          </w:tcPr>
          <w:p w14:paraId="4FED3D9C"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lang w:val="en-US"/>
              </w:rPr>
              <w:lastRenderedPageBreak/>
              <w:br w:type="page"/>
            </w:r>
            <w:r w:rsidRPr="00B05CA9">
              <w:rPr>
                <w:rFonts w:ascii="Times New Roman" w:eastAsia="Times New Roman" w:hAnsi="Times New Roman" w:cs="Times New Roman"/>
                <w:lang w:val="en-US"/>
              </w:rPr>
              <w:br w:type="page"/>
            </w:r>
            <w:r w:rsidRPr="00B05CA9">
              <w:rPr>
                <w:rFonts w:ascii="Times New Roman" w:eastAsia="Times New Roman" w:hAnsi="Times New Roman" w:cs="Times New Roman"/>
                <w:lang w:val="en-US"/>
              </w:rPr>
              <w:br w:type="page"/>
            </w:r>
            <w:r w:rsidRPr="00B05CA9">
              <w:rPr>
                <w:rFonts w:ascii="Times New Roman" w:eastAsia="Times New Roman" w:hAnsi="Times New Roman" w:cs="Times New Roman"/>
                <w:b/>
                <w:lang w:val="en-US"/>
              </w:rPr>
              <w:t>SUMMARY – CONCLUSIONS</w:t>
            </w:r>
          </w:p>
          <w:p w14:paraId="5B616ADA" w14:textId="77777777" w:rsidR="00B05CA9" w:rsidRPr="00B05CA9" w:rsidRDefault="00B05CA9" w:rsidP="00B05CA9">
            <w:pPr>
              <w:spacing w:before="80" w:line="360" w:lineRule="auto"/>
              <w:contextualSpacing/>
              <w:jc w:val="both"/>
              <w:rPr>
                <w:rFonts w:ascii="Times New Roman" w:eastAsia="Times New Roman" w:hAnsi="Times New Roman" w:cs="Times New Roman"/>
                <w:b/>
                <w:color w:val="000000"/>
                <w:lang w:val="en-US"/>
              </w:rPr>
            </w:pPr>
            <w:r w:rsidRPr="00B05CA9">
              <w:rPr>
                <w:rFonts w:ascii="Times New Roman" w:eastAsia="Times New Roman" w:hAnsi="Times New Roman" w:cs="Times New Roman"/>
                <w:b/>
                <w:lang w:val="en-US"/>
              </w:rPr>
              <w:t>Primary Endpoint</w:t>
            </w:r>
          </w:p>
          <w:p w14:paraId="434D1D96"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All 277 randomized subjects (ITT population) had their NAC measurements recorded 0-4 hours following the first dose of study medication.</w:t>
            </w:r>
          </w:p>
          <w:p w14:paraId="0074EF05"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Measurements of AUC NAC</w:t>
            </w:r>
            <w:r w:rsidRPr="00B05CA9">
              <w:rPr>
                <w:rFonts w:ascii="Times New Roman" w:eastAsia="Times New Roman" w:hAnsi="Times New Roman" w:cs="Times New Roman"/>
                <w:vertAlign w:val="subscript"/>
                <w:lang w:val="en-US"/>
              </w:rPr>
              <w:t>0-4</w:t>
            </w:r>
            <w:r w:rsidRPr="00B05CA9">
              <w:rPr>
                <w:rFonts w:ascii="Times New Roman" w:eastAsia="Times New Roman" w:hAnsi="Times New Roman" w:cs="Times New Roman"/>
                <w:lang w:val="en-US"/>
              </w:rPr>
              <w:t xml:space="preserve"> showed no statistically significant differences (p&gt;0.05) between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(901±274),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(905±275), Sudafed</w:t>
            </w:r>
            <w:r w:rsidRPr="00B05CA9">
              <w:rPr>
                <w:rFonts w:ascii="Times New Roman" w:eastAsia="Times New Roman" w:hAnsi="Times New Roman" w:cs="Times New Roman"/>
                <w:vertAlign w:val="superscript"/>
                <w:lang w:val="en-US"/>
              </w:rPr>
              <w:t xml:space="preserve">® </w:t>
            </w:r>
            <w:r w:rsidRPr="00B05CA9">
              <w:rPr>
                <w:rFonts w:ascii="Times New Roman" w:eastAsia="Times New Roman" w:hAnsi="Times New Roman" w:cs="Times New Roman"/>
                <w:lang w:val="en-US"/>
              </w:rPr>
              <w:t xml:space="preserve">(922±274), and placebo (872±232). Pairwise comparisons between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and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against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displayed non-inferiority, with the comparator means each &lt;15% of the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mean.</w:t>
            </w:r>
          </w:p>
          <w:p w14:paraId="21023908"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Secondary Endpoints</w:t>
            </w:r>
          </w:p>
          <w:p w14:paraId="6D52B3CF"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Area under the curve of subjective nasal congestion (AUC VAS</w:t>
            </w:r>
            <w:r w:rsidRPr="00B05CA9">
              <w:rPr>
                <w:rFonts w:ascii="Times New Roman" w:eastAsia="Times New Roman" w:hAnsi="Times New Roman" w:cs="Times New Roman"/>
                <w:b/>
                <w:vertAlign w:val="subscript"/>
                <w:lang w:val="en-US"/>
              </w:rPr>
              <w:t>0-1</w:t>
            </w:r>
            <w:r w:rsidRPr="00B05CA9">
              <w:rPr>
                <w:rFonts w:ascii="Times New Roman" w:eastAsia="Times New Roman" w:hAnsi="Times New Roman" w:cs="Times New Roman"/>
                <w:b/>
                <w:lang w:val="en-US"/>
              </w:rPr>
              <w:t>)</w:t>
            </w:r>
          </w:p>
          <w:p w14:paraId="18C8F19E" w14:textId="77777777" w:rsidR="00B05CA9" w:rsidRPr="00B05CA9" w:rsidRDefault="00B05CA9" w:rsidP="00B05CA9">
            <w:pPr>
              <w:spacing w:before="80" w:line="360" w:lineRule="auto"/>
              <w:ind w:left="51"/>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area under the curve of subjective nasal congestion was measured on the VAS (0 = no congestion, 100 = complete congestion) over the first hour after first dosing (AUC VAS</w:t>
            </w:r>
            <w:r w:rsidRPr="00B05CA9">
              <w:rPr>
                <w:rFonts w:ascii="Times New Roman" w:eastAsia="Times New Roman" w:hAnsi="Times New Roman" w:cs="Times New Roman"/>
                <w:vertAlign w:val="subscript"/>
                <w:lang w:val="en-US"/>
              </w:rPr>
              <w:t>0-1</w:t>
            </w:r>
            <w:r w:rsidRPr="00B05CA9">
              <w:rPr>
                <w:rFonts w:ascii="Times New Roman" w:eastAsia="Times New Roman" w:hAnsi="Times New Roman" w:cs="Times New Roman"/>
                <w:lang w:val="en-US"/>
              </w:rPr>
              <w:t>). Subjects provided VAS score measurements every 10 minutes for the first 60 minutes following the first dose of study medication. AUC VAS</w:t>
            </w:r>
            <w:r w:rsidRPr="00B05CA9">
              <w:rPr>
                <w:rFonts w:ascii="Times New Roman" w:eastAsia="Times New Roman" w:hAnsi="Times New Roman" w:cs="Times New Roman"/>
                <w:vertAlign w:val="subscript"/>
                <w:lang w:val="en-US"/>
              </w:rPr>
              <w:t>0-1</w:t>
            </w:r>
            <w:r w:rsidRPr="00B05CA9">
              <w:rPr>
                <w:rFonts w:ascii="Times New Roman" w:eastAsia="Times New Roman" w:hAnsi="Times New Roman" w:cs="Times New Roman"/>
                <w:lang w:val="en-US"/>
              </w:rPr>
              <w:t xml:space="preserve"> scores had no statistically significant difference (p&gt;0.05) between treatment, Sudafed</w:t>
            </w:r>
            <w:r w:rsidRPr="00B05CA9">
              <w:rPr>
                <w:rFonts w:ascii="Times New Roman" w:eastAsia="Times New Roman" w:hAnsi="Times New Roman" w:cs="Times New Roman"/>
                <w:sz w:val="20"/>
                <w:szCs w:val="14"/>
                <w:vertAlign w:val="superscript"/>
                <w:lang w:val="en-US"/>
              </w:rPr>
              <w:t>®</w:t>
            </w:r>
            <w:r w:rsidRPr="00B05CA9">
              <w:rPr>
                <w:rFonts w:ascii="Times New Roman" w:eastAsia="Times New Roman" w:hAnsi="Times New Roman" w:cs="Times New Roman"/>
                <w:lang w:val="en-US"/>
              </w:rPr>
              <w:t xml:space="preserve"> and placebo groups during the first hour following treatment.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(42±18),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(44±16), Sudafed</w:t>
            </w:r>
            <w:r w:rsidRPr="00B05CA9">
              <w:rPr>
                <w:rFonts w:ascii="Times New Roman" w:eastAsia="Times New Roman" w:hAnsi="Times New Roman" w:cs="Times New Roman"/>
                <w:sz w:val="20"/>
                <w:szCs w:val="14"/>
                <w:vertAlign w:val="superscript"/>
                <w:lang w:val="en-US"/>
              </w:rPr>
              <w:t xml:space="preserve">® </w:t>
            </w:r>
            <w:r w:rsidRPr="00B05CA9">
              <w:rPr>
                <w:rFonts w:ascii="Times New Roman" w:eastAsia="Times New Roman" w:hAnsi="Times New Roman" w:cs="Times New Roman"/>
                <w:lang w:val="en-US"/>
              </w:rPr>
              <w:t xml:space="preserve">(48±19), and placebo (44±19). Pairwise comparisons between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and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against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displayed non-inferiority, with the comparator means each &lt;15% of the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mean.</w:t>
            </w:r>
          </w:p>
          <w:p w14:paraId="6FE9FB5C"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Peak subjective relief of nasal congestion</w:t>
            </w:r>
          </w:p>
          <w:p w14:paraId="7E5CE4C4"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peak subjective relief of nasal congestion, measured as peak difference in VAS score from baseline (mm) within the first 60 minutes of the first dose of study medication was measured. The maximum difference in VAS from baseline was calculated. The study drugs had no statistically significant difference (p&gt;0.05) from Sudafed</w:t>
            </w:r>
            <w:r w:rsidRPr="00B05CA9">
              <w:rPr>
                <w:rFonts w:ascii="Times New Roman" w:eastAsia="Times New Roman" w:hAnsi="Times New Roman" w:cs="Times New Roman"/>
                <w:sz w:val="20"/>
                <w:szCs w:val="14"/>
                <w:vertAlign w:val="superscript"/>
                <w:lang w:val="en-US"/>
              </w:rPr>
              <w:t xml:space="preserve">® </w:t>
            </w:r>
            <w:r w:rsidRPr="00B05CA9">
              <w:rPr>
                <w:rFonts w:ascii="Times New Roman" w:eastAsia="Times New Roman" w:hAnsi="Times New Roman" w:cs="Times New Roman"/>
                <w:sz w:val="20"/>
                <w:szCs w:val="14"/>
                <w:lang w:val="en-US"/>
              </w:rPr>
              <w:t xml:space="preserve">or </w:t>
            </w:r>
            <w:r w:rsidRPr="00B05CA9">
              <w:rPr>
                <w:rFonts w:ascii="Times New Roman" w:eastAsia="Times New Roman" w:hAnsi="Times New Roman" w:cs="Times New Roman"/>
                <w:lang w:val="en-US"/>
              </w:rPr>
              <w:t xml:space="preserve">placebo in the peak relief of subjective nasal congestion during the first 60 minutes following the initial dose of study medication.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(15±10),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(16±12), Sudafed</w:t>
            </w:r>
            <w:r w:rsidRPr="00B05CA9">
              <w:rPr>
                <w:rFonts w:ascii="Times New Roman" w:eastAsia="Times New Roman" w:hAnsi="Times New Roman" w:cs="Times New Roman"/>
                <w:sz w:val="20"/>
                <w:szCs w:val="14"/>
                <w:vertAlign w:val="superscript"/>
                <w:lang w:val="en-US"/>
              </w:rPr>
              <w:t xml:space="preserve">® </w:t>
            </w:r>
            <w:r w:rsidRPr="00B05CA9">
              <w:rPr>
                <w:rFonts w:ascii="Times New Roman" w:eastAsia="Times New Roman" w:hAnsi="Times New Roman" w:cs="Times New Roman"/>
                <w:lang w:val="en-US"/>
              </w:rPr>
              <w:t xml:space="preserve">(15±10), and placebo (14±10). Pairwise comparisons between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and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against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displayed non-inferiority, with the comparator means each &lt;15% of the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mean.</w:t>
            </w:r>
          </w:p>
        </w:tc>
      </w:tr>
      <w:tr w:rsidR="00B05CA9" w:rsidRPr="00B05CA9" w14:paraId="49FBBF5A" w14:textId="77777777" w:rsidTr="00B05CA9">
        <w:trPr>
          <w:cantSplit/>
          <w:trHeight w:val="9009"/>
        </w:trPr>
        <w:tc>
          <w:tcPr>
            <w:tcW w:w="8808" w:type="dxa"/>
            <w:gridSpan w:val="4"/>
          </w:tcPr>
          <w:p w14:paraId="28E4054B" w14:textId="77777777" w:rsidR="00B05CA9" w:rsidRPr="00B05CA9" w:rsidRDefault="00B05CA9" w:rsidP="00B05CA9">
            <w:pPr>
              <w:keepNext/>
              <w:keepLines/>
              <w:spacing w:before="50" w:after="50" w:line="240" w:lineRule="exact"/>
              <w:contextualSpacing/>
              <w:jc w:val="both"/>
              <w:rPr>
                <w:rFonts w:ascii="Times New Roman" w:eastAsia="Times New Roman" w:hAnsi="Times New Roman" w:cs="Times New Roman"/>
                <w:b/>
                <w:sz w:val="20"/>
                <w:szCs w:val="20"/>
                <w:lang w:val="en-US"/>
              </w:rPr>
            </w:pPr>
            <w:r w:rsidRPr="00B05CA9">
              <w:rPr>
                <w:rFonts w:ascii="Times New Roman" w:eastAsia="Times New Roman" w:hAnsi="Times New Roman" w:cs="Times New Roman"/>
                <w:b/>
                <w:sz w:val="20"/>
                <w:szCs w:val="20"/>
                <w:lang w:val="en-US"/>
              </w:rPr>
              <w:lastRenderedPageBreak/>
              <w:t>SUMMARY – CONCLUSIONS (continued):</w:t>
            </w:r>
          </w:p>
          <w:p w14:paraId="4EABC4A5" w14:textId="77777777" w:rsidR="00B05CA9" w:rsidRPr="00B05CA9" w:rsidRDefault="00B05CA9" w:rsidP="00B05CA9">
            <w:pPr>
              <w:keepNext/>
              <w:keepLines/>
              <w:spacing w:before="50" w:after="50" w:line="240" w:lineRule="exact"/>
              <w:contextualSpacing/>
              <w:jc w:val="both"/>
              <w:rPr>
                <w:rFonts w:ascii="Times New Roman" w:eastAsia="Times New Roman" w:hAnsi="Times New Roman" w:cs="Times New Roman"/>
                <w:b/>
                <w:sz w:val="20"/>
                <w:szCs w:val="20"/>
                <w:lang w:val="en-US"/>
              </w:rPr>
            </w:pPr>
          </w:p>
          <w:p w14:paraId="2EA3C2D6"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Time to peak subjective relief of nasal congestion</w:t>
            </w:r>
          </w:p>
          <w:p w14:paraId="5B765DDD"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The time to peak subjective relief of nasal congestion within the first 60 minutes of the first dose of study medication was measured. There was no statistically significant difference (p&gt;0.05) between treatment groups and placebo in the time to peak relief of subjective nasal congestion during the first 60 minutes following the initial dose of study medication.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(0.8±0.2),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(0.8±0.2), Sudafed</w:t>
            </w:r>
            <w:r w:rsidRPr="00B05CA9">
              <w:rPr>
                <w:rFonts w:ascii="Times New Roman" w:eastAsia="Times New Roman" w:hAnsi="Times New Roman" w:cs="Times New Roman"/>
                <w:sz w:val="20"/>
                <w:szCs w:val="14"/>
                <w:vertAlign w:val="superscript"/>
                <w:lang w:val="en-US"/>
              </w:rPr>
              <w:t xml:space="preserve">® </w:t>
            </w:r>
            <w:r w:rsidRPr="00B05CA9">
              <w:rPr>
                <w:rFonts w:ascii="Times New Roman" w:eastAsia="Times New Roman" w:hAnsi="Times New Roman" w:cs="Times New Roman"/>
                <w:lang w:val="en-US"/>
              </w:rPr>
              <w:t>(0.8±0.3), and placebo (0.7±0.3).</w:t>
            </w:r>
          </w:p>
          <w:p w14:paraId="66FBC41F"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Exploratory Endpoints</w:t>
            </w:r>
          </w:p>
          <w:p w14:paraId="639FB51F"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exploratory efficacy endpoints examined for nasal airflow conductance were the area under the curve between the first treatment dose and either 1, 2, or 3 hours post-dose (AUC NAC</w:t>
            </w:r>
            <w:r w:rsidRPr="00B05CA9">
              <w:rPr>
                <w:rFonts w:ascii="Times New Roman" w:eastAsia="Times New Roman" w:hAnsi="Times New Roman" w:cs="Times New Roman"/>
                <w:vertAlign w:val="subscript"/>
                <w:lang w:val="en-US"/>
              </w:rPr>
              <w:t>0-1</w:t>
            </w:r>
            <w:r w:rsidRPr="00B05CA9">
              <w:rPr>
                <w:rFonts w:ascii="Times New Roman" w:eastAsia="Times New Roman" w:hAnsi="Times New Roman" w:cs="Times New Roman"/>
                <w:lang w:val="en-US"/>
              </w:rPr>
              <w:t>, AUC NAC</w:t>
            </w:r>
            <w:r w:rsidRPr="00B05CA9">
              <w:rPr>
                <w:rFonts w:ascii="Times New Roman" w:eastAsia="Times New Roman" w:hAnsi="Times New Roman" w:cs="Times New Roman"/>
                <w:vertAlign w:val="subscript"/>
                <w:lang w:val="en-US"/>
              </w:rPr>
              <w:t>0-2</w:t>
            </w:r>
            <w:r w:rsidRPr="00B05CA9">
              <w:rPr>
                <w:rFonts w:ascii="Times New Roman" w:eastAsia="Times New Roman" w:hAnsi="Times New Roman" w:cs="Times New Roman"/>
                <w:lang w:val="en-US"/>
              </w:rPr>
              <w:t>,</w:t>
            </w:r>
            <w:r w:rsidRPr="00B05CA9">
              <w:rPr>
                <w:rFonts w:ascii="Times New Roman" w:eastAsia="Times New Roman" w:hAnsi="Times New Roman" w:cs="Times New Roman"/>
                <w:vertAlign w:val="subscript"/>
                <w:lang w:val="en-US"/>
              </w:rPr>
              <w:t xml:space="preserve"> </w:t>
            </w:r>
            <w:r w:rsidRPr="00B05CA9">
              <w:rPr>
                <w:rFonts w:ascii="Times New Roman" w:eastAsia="Times New Roman" w:hAnsi="Times New Roman" w:cs="Times New Roman"/>
                <w:lang w:val="en-US"/>
              </w:rPr>
              <w:t>and AUC NAC</w:t>
            </w:r>
            <w:r w:rsidRPr="00B05CA9">
              <w:rPr>
                <w:rFonts w:ascii="Times New Roman" w:eastAsia="Times New Roman" w:hAnsi="Times New Roman" w:cs="Times New Roman"/>
                <w:vertAlign w:val="subscript"/>
                <w:lang w:val="en-US"/>
              </w:rPr>
              <w:t>0-3</w:t>
            </w:r>
            <w:r w:rsidRPr="00B05CA9">
              <w:rPr>
                <w:rFonts w:ascii="Times New Roman" w:eastAsia="Times New Roman" w:hAnsi="Times New Roman" w:cs="Times New Roman"/>
                <w:lang w:val="en-US"/>
              </w:rPr>
              <w:t>). Measurements of AUC NAC</w:t>
            </w:r>
            <w:r w:rsidRPr="00B05CA9">
              <w:rPr>
                <w:rFonts w:ascii="Times New Roman" w:eastAsia="Times New Roman" w:hAnsi="Times New Roman" w:cs="Times New Roman"/>
                <w:vertAlign w:val="subscript"/>
                <w:lang w:val="en-US"/>
              </w:rPr>
              <w:t>0-1</w:t>
            </w:r>
            <w:r w:rsidRPr="00B05CA9">
              <w:rPr>
                <w:rFonts w:ascii="Times New Roman" w:eastAsia="Times New Roman" w:hAnsi="Times New Roman" w:cs="Times New Roman"/>
                <w:lang w:val="en-US"/>
              </w:rPr>
              <w:t>, AUC NAC</w:t>
            </w:r>
            <w:r w:rsidRPr="00B05CA9">
              <w:rPr>
                <w:rFonts w:ascii="Times New Roman" w:eastAsia="Times New Roman" w:hAnsi="Times New Roman" w:cs="Times New Roman"/>
                <w:vertAlign w:val="subscript"/>
                <w:lang w:val="en-US"/>
              </w:rPr>
              <w:t>0-2</w:t>
            </w:r>
            <w:r w:rsidRPr="00B05CA9">
              <w:rPr>
                <w:rFonts w:ascii="Times New Roman" w:eastAsia="Times New Roman" w:hAnsi="Times New Roman" w:cs="Times New Roman"/>
                <w:lang w:val="en-US"/>
              </w:rPr>
              <w:t>,</w:t>
            </w:r>
            <w:r w:rsidRPr="00B05CA9">
              <w:rPr>
                <w:rFonts w:ascii="Times New Roman" w:eastAsia="Times New Roman" w:hAnsi="Times New Roman" w:cs="Times New Roman"/>
                <w:vertAlign w:val="subscript"/>
                <w:lang w:val="en-US"/>
              </w:rPr>
              <w:t xml:space="preserve"> </w:t>
            </w:r>
            <w:r w:rsidRPr="00B05CA9">
              <w:rPr>
                <w:rFonts w:ascii="Times New Roman" w:eastAsia="Times New Roman" w:hAnsi="Times New Roman" w:cs="Times New Roman"/>
                <w:lang w:val="en-US"/>
              </w:rPr>
              <w:t>and AUC NAC</w:t>
            </w:r>
            <w:r w:rsidRPr="00B05CA9">
              <w:rPr>
                <w:rFonts w:ascii="Times New Roman" w:eastAsia="Times New Roman" w:hAnsi="Times New Roman" w:cs="Times New Roman"/>
                <w:vertAlign w:val="subscript"/>
                <w:lang w:val="en-US"/>
              </w:rPr>
              <w:t>0-3</w:t>
            </w:r>
            <w:r w:rsidRPr="00B05CA9">
              <w:rPr>
                <w:rFonts w:ascii="Times New Roman" w:eastAsia="Times New Roman" w:hAnsi="Times New Roman" w:cs="Times New Roman"/>
                <w:lang w:val="en-US"/>
              </w:rPr>
              <w:t xml:space="preserve"> showed no statistically significant differences between treatment groups, Sudafed</w:t>
            </w:r>
            <w:r w:rsidRPr="00B05CA9">
              <w:rPr>
                <w:rFonts w:ascii="Times New Roman" w:eastAsia="Times New Roman" w:hAnsi="Times New Roman" w:cs="Times New Roman"/>
                <w:sz w:val="20"/>
                <w:szCs w:val="14"/>
                <w:vertAlign w:val="superscript"/>
                <w:lang w:val="en-US"/>
              </w:rPr>
              <w:t>®</w:t>
            </w:r>
            <w:r w:rsidRPr="00B05CA9">
              <w:rPr>
                <w:rFonts w:ascii="Times New Roman" w:eastAsia="Times New Roman" w:hAnsi="Times New Roman" w:cs="Times New Roman"/>
                <w:lang w:val="en-US"/>
              </w:rPr>
              <w:t xml:space="preserve">, and placebo (p&gt;0.05). </w:t>
            </w:r>
          </w:p>
          <w:p w14:paraId="00F45AA1"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The exploratory efficacy endpoints examined for subjective congestion were the area under the curve between the first treatment dose and either 1, 2, or 3 hours post-dose (AUC VAS</w:t>
            </w:r>
            <w:r w:rsidRPr="00B05CA9">
              <w:rPr>
                <w:rFonts w:ascii="Times New Roman" w:eastAsia="Times New Roman" w:hAnsi="Times New Roman" w:cs="Times New Roman"/>
                <w:vertAlign w:val="subscript"/>
                <w:lang w:val="en-US"/>
              </w:rPr>
              <w:t>0-2</w:t>
            </w:r>
            <w:r w:rsidRPr="00B05CA9">
              <w:rPr>
                <w:rFonts w:ascii="Times New Roman" w:eastAsia="Times New Roman" w:hAnsi="Times New Roman" w:cs="Times New Roman"/>
                <w:lang w:val="en-US"/>
              </w:rPr>
              <w:t>, AUC VAS</w:t>
            </w:r>
            <w:r w:rsidRPr="00B05CA9">
              <w:rPr>
                <w:rFonts w:ascii="Times New Roman" w:eastAsia="Times New Roman" w:hAnsi="Times New Roman" w:cs="Times New Roman"/>
                <w:vertAlign w:val="subscript"/>
                <w:lang w:val="en-US"/>
              </w:rPr>
              <w:t>0-3</w:t>
            </w:r>
            <w:r w:rsidRPr="00B05CA9">
              <w:rPr>
                <w:rFonts w:ascii="Times New Roman" w:eastAsia="Times New Roman" w:hAnsi="Times New Roman" w:cs="Times New Roman"/>
                <w:lang w:val="en-US"/>
              </w:rPr>
              <w:t>,</w:t>
            </w:r>
            <w:r w:rsidRPr="00B05CA9">
              <w:rPr>
                <w:rFonts w:ascii="Times New Roman" w:eastAsia="Times New Roman" w:hAnsi="Times New Roman" w:cs="Times New Roman"/>
                <w:vertAlign w:val="subscript"/>
                <w:lang w:val="en-US"/>
              </w:rPr>
              <w:t xml:space="preserve"> </w:t>
            </w:r>
            <w:r w:rsidRPr="00B05CA9">
              <w:rPr>
                <w:rFonts w:ascii="Times New Roman" w:eastAsia="Times New Roman" w:hAnsi="Times New Roman" w:cs="Times New Roman"/>
                <w:lang w:val="en-US"/>
              </w:rPr>
              <w:t>and AUC VAS</w:t>
            </w:r>
            <w:r w:rsidRPr="00B05CA9">
              <w:rPr>
                <w:rFonts w:ascii="Times New Roman" w:eastAsia="Times New Roman" w:hAnsi="Times New Roman" w:cs="Times New Roman"/>
                <w:vertAlign w:val="subscript"/>
                <w:lang w:val="en-US"/>
              </w:rPr>
              <w:t>0-4</w:t>
            </w:r>
            <w:r w:rsidRPr="00B05CA9">
              <w:rPr>
                <w:rFonts w:ascii="Times New Roman" w:eastAsia="Times New Roman" w:hAnsi="Times New Roman" w:cs="Times New Roman"/>
                <w:lang w:val="en-US"/>
              </w:rPr>
              <w:t>). Measurements of AUC VAS</w:t>
            </w:r>
            <w:r w:rsidRPr="00B05CA9">
              <w:rPr>
                <w:rFonts w:ascii="Times New Roman" w:eastAsia="Times New Roman" w:hAnsi="Times New Roman" w:cs="Times New Roman"/>
                <w:vertAlign w:val="subscript"/>
                <w:lang w:val="en-US"/>
              </w:rPr>
              <w:t>0-2</w:t>
            </w:r>
            <w:r w:rsidRPr="00B05CA9">
              <w:rPr>
                <w:rFonts w:ascii="Times New Roman" w:eastAsia="Times New Roman" w:hAnsi="Times New Roman" w:cs="Times New Roman"/>
                <w:lang w:val="en-US"/>
              </w:rPr>
              <w:t>, AUC VAS</w:t>
            </w:r>
            <w:r w:rsidRPr="00B05CA9">
              <w:rPr>
                <w:rFonts w:ascii="Times New Roman" w:eastAsia="Times New Roman" w:hAnsi="Times New Roman" w:cs="Times New Roman"/>
                <w:vertAlign w:val="subscript"/>
                <w:lang w:val="en-US"/>
              </w:rPr>
              <w:t>0-3</w:t>
            </w:r>
            <w:r w:rsidRPr="00B05CA9">
              <w:rPr>
                <w:rFonts w:ascii="Times New Roman" w:eastAsia="Times New Roman" w:hAnsi="Times New Roman" w:cs="Times New Roman"/>
                <w:lang w:val="en-US"/>
              </w:rPr>
              <w:t>,</w:t>
            </w:r>
            <w:r w:rsidRPr="00B05CA9">
              <w:rPr>
                <w:rFonts w:ascii="Times New Roman" w:eastAsia="Times New Roman" w:hAnsi="Times New Roman" w:cs="Times New Roman"/>
                <w:vertAlign w:val="subscript"/>
                <w:lang w:val="en-US"/>
              </w:rPr>
              <w:t xml:space="preserve"> </w:t>
            </w:r>
            <w:r w:rsidRPr="00B05CA9">
              <w:rPr>
                <w:rFonts w:ascii="Times New Roman" w:eastAsia="Times New Roman" w:hAnsi="Times New Roman" w:cs="Times New Roman"/>
                <w:lang w:val="en-US"/>
              </w:rPr>
              <w:t>and AUC VAS</w:t>
            </w:r>
            <w:r w:rsidRPr="00B05CA9">
              <w:rPr>
                <w:rFonts w:ascii="Times New Roman" w:eastAsia="Times New Roman" w:hAnsi="Times New Roman" w:cs="Times New Roman"/>
                <w:vertAlign w:val="subscript"/>
                <w:lang w:val="en-US"/>
              </w:rPr>
              <w:t>0-4</w:t>
            </w:r>
            <w:r w:rsidRPr="00B05CA9">
              <w:rPr>
                <w:rFonts w:ascii="Times New Roman" w:eastAsia="Times New Roman" w:hAnsi="Times New Roman" w:cs="Times New Roman"/>
                <w:lang w:val="en-US"/>
              </w:rPr>
              <w:t xml:space="preserve"> showed no statistically significant differences between treatment groups, Sudafed</w:t>
            </w:r>
            <w:r w:rsidRPr="00B05CA9">
              <w:rPr>
                <w:rFonts w:ascii="Times New Roman" w:eastAsia="Times New Roman" w:hAnsi="Times New Roman" w:cs="Times New Roman"/>
                <w:sz w:val="20"/>
                <w:szCs w:val="14"/>
                <w:vertAlign w:val="superscript"/>
                <w:lang w:val="en-US"/>
              </w:rPr>
              <w:t>®</w:t>
            </w:r>
            <w:r w:rsidRPr="00B05CA9">
              <w:rPr>
                <w:rFonts w:ascii="Times New Roman" w:eastAsia="Times New Roman" w:hAnsi="Times New Roman" w:cs="Times New Roman"/>
                <w:lang w:val="en-US"/>
              </w:rPr>
              <w:t xml:space="preserve">, and placebo (p&gt;0.05). </w:t>
            </w:r>
          </w:p>
          <w:p w14:paraId="39458956" w14:textId="77777777" w:rsidR="00B05CA9" w:rsidRPr="00B05CA9" w:rsidRDefault="00B05CA9" w:rsidP="00B05CA9">
            <w:pPr>
              <w:spacing w:before="80" w:line="360" w:lineRule="auto"/>
              <w:contextualSpacing/>
              <w:jc w:val="both"/>
              <w:rPr>
                <w:rFonts w:ascii="Times New Roman" w:eastAsia="Times New Roman" w:hAnsi="Times New Roman" w:cs="Times New Roman"/>
                <w:b/>
                <w:lang w:val="en-US"/>
              </w:rPr>
            </w:pPr>
            <w:r w:rsidRPr="00B05CA9">
              <w:rPr>
                <w:rFonts w:ascii="Times New Roman" w:eastAsia="Times New Roman" w:hAnsi="Times New Roman" w:cs="Times New Roman"/>
                <w:b/>
                <w:lang w:val="en-US"/>
              </w:rPr>
              <w:t>Safety Results</w:t>
            </w:r>
          </w:p>
          <w:p w14:paraId="3BB28096"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 xml:space="preserve">Observations on the safety of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and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in this study are consistent with observations from previous analgesic studies with oral solid combinations of paracetamol and ibuprofen (paracetamol 500 mg + ibuprofen 150 mg/tablet) (AFT-MX-1, AFT-MX-3 and AFT-MX-6E). </w:t>
            </w:r>
            <w:r w:rsidRPr="00B05CA9">
              <w:rPr>
                <w:rFonts w:ascii="Times New Roman" w:eastAsia="Times New Roman" w:hAnsi="Times New Roman" w:cs="Times New Roman"/>
                <w:sz w:val="23"/>
                <w:szCs w:val="23"/>
                <w:lang w:val="en-US"/>
              </w:rPr>
              <w:t xml:space="preserve">Gastrointestinal disorders were most common, being reported by 9 patients (3.3%) across the </w:t>
            </w:r>
            <w:proofErr w:type="spellStart"/>
            <w:r w:rsidRPr="00B05CA9">
              <w:rPr>
                <w:rFonts w:ascii="Times New Roman" w:eastAsia="Times New Roman" w:hAnsi="Times New Roman" w:cs="Times New Roman"/>
                <w:lang w:val="en-US"/>
              </w:rPr>
              <w:t>Maxiclear</w:t>
            </w:r>
            <w:r w:rsidRPr="00B05CA9">
              <w:rPr>
                <w:rFonts w:ascii="Times New Roman" w:eastAsia="Times New Roman" w:hAnsi="Times New Roman" w:cs="Times New Roman"/>
                <w:vertAlign w:val="superscript"/>
                <w:lang w:val="en-US"/>
              </w:rPr>
              <w:t>TM</w:t>
            </w:r>
            <w:proofErr w:type="spellEnd"/>
            <w:r w:rsidRPr="00B05CA9">
              <w:rPr>
                <w:rFonts w:ascii="Times New Roman" w:eastAsia="Times New Roman" w:hAnsi="Times New Roman" w:cs="Times New Roman"/>
                <w:lang w:val="en-US"/>
              </w:rPr>
              <w:t xml:space="preserve"> PE 3.0, 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w:t>
            </w:r>
            <w:r w:rsidRPr="00B05CA9">
              <w:rPr>
                <w:rFonts w:ascii="Times New Roman" w:eastAsia="Times New Roman" w:hAnsi="Times New Roman" w:cs="Times New Roman"/>
                <w:sz w:val="23"/>
                <w:szCs w:val="23"/>
                <w:lang w:val="en-US"/>
              </w:rPr>
              <w:t xml:space="preserve">and placebo groups and accounting for 32.3% of all treatment-emergent adverse events. Four nervous system disorders were reported by four patients (1.4%) across the </w:t>
            </w:r>
            <w:r w:rsidRPr="00B05CA9">
              <w:rPr>
                <w:rFonts w:ascii="Times New Roman" w:eastAsia="Times New Roman" w:hAnsi="Times New Roman" w:cs="Times New Roman"/>
                <w:lang w:val="en-US"/>
              </w:rPr>
              <w:t>Maxigesic</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PE 2.5, placebo and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groups </w:t>
            </w:r>
            <w:r w:rsidRPr="00B05CA9">
              <w:rPr>
                <w:rFonts w:ascii="Times New Roman" w:eastAsia="Times New Roman" w:hAnsi="Times New Roman" w:cs="Times New Roman"/>
                <w:sz w:val="23"/>
                <w:szCs w:val="23"/>
                <w:lang w:val="en-US"/>
              </w:rPr>
              <w:t>and accounted for 13% of all treatment-emergent adverse events.</w:t>
            </w:r>
            <w:r w:rsidRPr="00B05CA9">
              <w:rPr>
                <w:rFonts w:ascii="Times New Roman" w:eastAsia="Times New Roman" w:hAnsi="Times New Roman" w:cs="Times New Roman"/>
                <w:lang w:val="en-US"/>
              </w:rPr>
              <w:t xml:space="preserve"> </w:t>
            </w:r>
            <w:r w:rsidRPr="00B05CA9">
              <w:rPr>
                <w:rFonts w:ascii="Times New Roman" w:eastAsia="Times New Roman" w:hAnsi="Times New Roman" w:cs="Times New Roman"/>
                <w:sz w:val="23"/>
                <w:szCs w:val="23"/>
                <w:lang w:val="en-US"/>
              </w:rPr>
              <w:t>Subgroup analyses were not performed due to the low incidence of AEs in all groups.</w:t>
            </w:r>
          </w:p>
        </w:tc>
      </w:tr>
      <w:tr w:rsidR="00B05CA9" w:rsidRPr="00B05CA9" w14:paraId="025AC5E6" w14:textId="77777777" w:rsidTr="00B05CA9">
        <w:trPr>
          <w:cantSplit/>
          <w:trHeight w:val="2464"/>
        </w:trPr>
        <w:tc>
          <w:tcPr>
            <w:tcW w:w="8808" w:type="dxa"/>
            <w:gridSpan w:val="4"/>
          </w:tcPr>
          <w:p w14:paraId="59E8B6C3" w14:textId="77777777" w:rsidR="00B05CA9" w:rsidRPr="00B05CA9" w:rsidRDefault="00B05CA9" w:rsidP="00B05CA9">
            <w:pPr>
              <w:keepNext/>
              <w:keepLines/>
              <w:spacing w:before="50" w:after="50" w:line="240" w:lineRule="exact"/>
              <w:ind w:right="730"/>
              <w:contextualSpacing/>
              <w:jc w:val="both"/>
              <w:rPr>
                <w:rFonts w:ascii="Times New Roman" w:eastAsia="Times New Roman" w:hAnsi="Times New Roman" w:cs="Times New Roman"/>
                <w:b/>
                <w:sz w:val="20"/>
                <w:szCs w:val="20"/>
                <w:lang w:val="en-US"/>
              </w:rPr>
            </w:pPr>
            <w:r w:rsidRPr="00B05CA9">
              <w:rPr>
                <w:rFonts w:ascii="Times New Roman" w:eastAsia="Times New Roman" w:hAnsi="Times New Roman" w:cs="Times New Roman"/>
                <w:b/>
                <w:sz w:val="20"/>
                <w:szCs w:val="20"/>
                <w:lang w:val="en-US"/>
              </w:rPr>
              <w:lastRenderedPageBreak/>
              <w:t>SUMMARY – CONCLUSIONS (continued):</w:t>
            </w:r>
          </w:p>
          <w:p w14:paraId="4FB8333A" w14:textId="77777777" w:rsidR="00B05CA9" w:rsidRPr="00B05CA9" w:rsidRDefault="00B05CA9" w:rsidP="00B05CA9">
            <w:pPr>
              <w:keepNext/>
              <w:keepLines/>
              <w:spacing w:before="50" w:after="50" w:line="240" w:lineRule="exact"/>
              <w:contextualSpacing/>
              <w:jc w:val="both"/>
              <w:rPr>
                <w:rFonts w:ascii="Times New Roman" w:eastAsia="Times New Roman" w:hAnsi="Times New Roman" w:cs="Times New Roman"/>
                <w:sz w:val="20"/>
                <w:szCs w:val="20"/>
                <w:lang w:val="en-US"/>
              </w:rPr>
            </w:pPr>
          </w:p>
          <w:p w14:paraId="6892107C"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b/>
                <w:lang w:val="en-US"/>
              </w:rPr>
              <w:t>CONCLUSION:</w:t>
            </w:r>
            <w:r w:rsidRPr="00B05CA9">
              <w:rPr>
                <w:rFonts w:ascii="Times New Roman" w:eastAsia="Times New Roman" w:hAnsi="Times New Roman" w:cs="Times New Roman"/>
                <w:lang w:val="en-US"/>
              </w:rPr>
              <w:t xml:space="preserve"> </w:t>
            </w:r>
          </w:p>
          <w:p w14:paraId="468F4BC6" w14:textId="77777777" w:rsidR="00B05CA9" w:rsidRPr="00B05CA9" w:rsidRDefault="00B05CA9" w:rsidP="00B05CA9">
            <w:pPr>
              <w:spacing w:before="80" w:line="360" w:lineRule="auto"/>
              <w:contextualSpacing/>
              <w:jc w:val="both"/>
              <w:rPr>
                <w:rFonts w:ascii="Times New Roman" w:eastAsia="Times New Roman" w:hAnsi="Times New Roman" w:cs="Times New Roman"/>
                <w:lang w:val="en-US"/>
              </w:rPr>
            </w:pPr>
            <w:r w:rsidRPr="00B05CA9">
              <w:rPr>
                <w:rFonts w:ascii="Times New Roman" w:eastAsia="Times New Roman" w:hAnsi="Times New Roman" w:cs="Times New Roman"/>
                <w:lang w:val="en-US"/>
              </w:rPr>
              <w:t>Phenylephrine (5 or 6 mg), when combined with paracetamol alone or in combination with ibuprofen at their OTC doses, as a fixed dose combination product, provides nasal congestion relief comparable to the maximum recommended dose of Sudafed</w:t>
            </w:r>
            <w:r w:rsidRPr="00B05CA9">
              <w:rPr>
                <w:rFonts w:ascii="Times New Roman" w:eastAsia="Times New Roman" w:hAnsi="Times New Roman" w:cs="Times New Roman"/>
                <w:vertAlign w:val="superscript"/>
                <w:lang w:val="en-US"/>
              </w:rPr>
              <w:t>®</w:t>
            </w:r>
            <w:r w:rsidRPr="00B05CA9">
              <w:rPr>
                <w:rFonts w:ascii="Times New Roman" w:eastAsia="Times New Roman" w:hAnsi="Times New Roman" w:cs="Times New Roman"/>
                <w:lang w:val="en-US"/>
              </w:rPr>
              <w:t xml:space="preserve"> (phenylephrine HCl 12 mg q4h) and placebo, without a compromise in tolerability. Adverse events were low in all groups (≤12%) and no serious adverse events were reported.</w:t>
            </w:r>
          </w:p>
        </w:tc>
      </w:tr>
    </w:tbl>
    <w:p w14:paraId="001FF4CD" w14:textId="77777777" w:rsidR="00D66ED4" w:rsidRDefault="00D66ED4"/>
    <w:sectPr w:rsidR="00D66ED4" w:rsidSect="00B05CA9">
      <w:headerReference w:type="default" r:id="rId8"/>
      <w:footerReference w:type="default" r:id="rId9"/>
      <w:pgSz w:w="11906" w:h="16838"/>
      <w:pgMar w:top="1440" w:right="1558"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7E548" w14:textId="77777777" w:rsidR="00B05CA9" w:rsidRDefault="00B05CA9" w:rsidP="00B05CA9">
      <w:pPr>
        <w:spacing w:after="0" w:line="240" w:lineRule="auto"/>
      </w:pPr>
      <w:r>
        <w:separator/>
      </w:r>
    </w:p>
  </w:endnote>
  <w:endnote w:type="continuationSeparator" w:id="0">
    <w:p w14:paraId="60740934" w14:textId="77777777" w:rsidR="00B05CA9" w:rsidRDefault="00B05CA9" w:rsidP="00B0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F493A" w14:textId="77777777" w:rsidR="0078220F" w:rsidRPr="0078220F" w:rsidRDefault="0078220F" w:rsidP="0078220F">
    <w:pPr>
      <w:spacing w:before="80" w:line="360" w:lineRule="auto"/>
      <w:contextualSpacing/>
      <w:jc w:val="both"/>
      <w:rPr>
        <w:rFonts w:ascii="Times New Roman" w:eastAsia="Times New Roman" w:hAnsi="Times New Roman" w:cs="Times New Roman"/>
        <w:lang w:val="en-NZ"/>
      </w:rPr>
    </w:pPr>
    <w:proofErr w:type="spellStart"/>
    <w:r w:rsidRPr="0078220F">
      <w:rPr>
        <w:rFonts w:ascii="Times New Roman" w:eastAsia="Times New Roman" w:hAnsi="Times New Roman" w:cs="Times New Roman"/>
        <w:lang w:val="en-NZ"/>
      </w:rPr>
      <w:t>Maxiclear</w:t>
    </w:r>
    <w:r w:rsidRPr="0078220F">
      <w:rPr>
        <w:rFonts w:ascii="Times New Roman" w:eastAsia="Times New Roman" w:hAnsi="Times New Roman" w:cs="Times New Roman"/>
        <w:vertAlign w:val="superscript"/>
        <w:lang w:val="en-NZ"/>
      </w:rPr>
      <w:t>TM</w:t>
    </w:r>
    <w:proofErr w:type="spellEnd"/>
    <w:r w:rsidRPr="0078220F">
      <w:rPr>
        <w:rFonts w:ascii="Times New Roman" w:eastAsia="Times New Roman" w:hAnsi="Times New Roman" w:cs="Times New Roman"/>
        <w:lang w:val="en-NZ"/>
      </w:rPr>
      <w:t xml:space="preserve"> PE 3.0/ Maxigesic</w:t>
    </w:r>
    <w:r w:rsidRPr="0078220F">
      <w:rPr>
        <w:rFonts w:ascii="Times New Roman" w:eastAsia="Times New Roman" w:hAnsi="Times New Roman" w:cs="Times New Roman"/>
        <w:vertAlign w:val="superscript"/>
        <w:lang w:val="en-NZ"/>
      </w:rPr>
      <w:t>®</w:t>
    </w:r>
    <w:r w:rsidRPr="0078220F">
      <w:rPr>
        <w:rFonts w:ascii="Times New Roman" w:eastAsia="Times New Roman" w:hAnsi="Times New Roman" w:cs="Times New Roman"/>
        <w:lang w:val="en-NZ"/>
      </w:rPr>
      <w:t xml:space="preserve"> PE 2.5 Efficacy Study (AFT-MXCF-03) </w:t>
    </w:r>
  </w:p>
  <w:p w14:paraId="526B5905" w14:textId="683013A3" w:rsidR="0078220F" w:rsidRPr="0078220F" w:rsidRDefault="0078220F" w:rsidP="0078220F">
    <w:pPr>
      <w:tabs>
        <w:tab w:val="center" w:pos="4320"/>
        <w:tab w:val="right" w:pos="8640"/>
        <w:tab w:val="right" w:pos="12960"/>
      </w:tabs>
      <w:spacing w:before="80" w:line="280" w:lineRule="exact"/>
      <w:contextualSpacing/>
      <w:jc w:val="both"/>
      <w:rPr>
        <w:rFonts w:ascii="Times New Roman" w:eastAsia="Times New Roman" w:hAnsi="Times New Roman" w:cs="Times New Roman"/>
        <w:bCs/>
        <w:lang w:val="en-NZ"/>
      </w:rPr>
    </w:pPr>
    <w:r w:rsidRPr="0078220F">
      <w:rPr>
        <w:rFonts w:ascii="Times New Roman" w:eastAsia="Times New Roman" w:hAnsi="Times New Roman" w:cs="Times New Roman"/>
        <w:bCs/>
        <w:sz w:val="20"/>
        <w:szCs w:val="20"/>
        <w:lang w:val="en-NZ"/>
      </w:rPr>
      <w:t>Clinical Study Report</w:t>
    </w:r>
    <w:r w:rsidRPr="0078220F">
      <w:rPr>
        <w:rFonts w:ascii="Times New Roman" w:eastAsia="Times New Roman" w:hAnsi="Times New Roman" w:cs="Times New Roman"/>
        <w:bCs/>
        <w:lang w:val="en-NZ"/>
      </w:rPr>
      <w:t xml:space="preserve"> </w:t>
    </w:r>
    <w:r w:rsidRPr="0078220F">
      <w:rPr>
        <w:rFonts w:ascii="Times New Roman" w:eastAsia="Times New Roman" w:hAnsi="Times New Roman" w:cs="Times New Roman"/>
        <w:bCs/>
        <w:lang w:val="en-NZ"/>
      </w:rPr>
      <w:tab/>
      <w:t>Document Date: 10</w:t>
    </w:r>
    <w:r w:rsidRPr="0078220F">
      <w:rPr>
        <w:rFonts w:ascii="Times New Roman" w:eastAsia="Times New Roman" w:hAnsi="Times New Roman" w:cs="Times New Roman"/>
        <w:bCs/>
        <w:vertAlign w:val="superscript"/>
        <w:lang w:val="en-NZ"/>
      </w:rPr>
      <w:t>th</w:t>
    </w:r>
    <w:r w:rsidRPr="0078220F">
      <w:rPr>
        <w:rFonts w:ascii="Times New Roman" w:eastAsia="Times New Roman" w:hAnsi="Times New Roman" w:cs="Times New Roman"/>
        <w:bCs/>
        <w:lang w:val="en-NZ"/>
      </w:rPr>
      <w:t xml:space="preserve"> of May 2019</w:t>
    </w:r>
    <w:r w:rsidRPr="0078220F">
      <w:rPr>
        <w:rFonts w:ascii="Times New Roman" w:eastAsia="Times New Roman" w:hAnsi="Times New Roman" w:cs="Times New Roman"/>
        <w:bCs/>
        <w:lang w:val="en-NZ"/>
      </w:rPr>
      <w:tab/>
      <w:t xml:space="preserve">Page </w:t>
    </w:r>
    <w:r w:rsidRPr="0078220F">
      <w:rPr>
        <w:rFonts w:ascii="Times New Roman" w:eastAsia="Times New Roman" w:hAnsi="Times New Roman" w:cs="Times New Roman"/>
        <w:bCs/>
        <w:sz w:val="20"/>
        <w:szCs w:val="20"/>
        <w:lang w:val="en-NZ"/>
      </w:rPr>
      <w:fldChar w:fldCharType="begin"/>
    </w:r>
    <w:r w:rsidRPr="0078220F">
      <w:rPr>
        <w:rFonts w:ascii="Times New Roman" w:eastAsia="Times New Roman" w:hAnsi="Times New Roman" w:cs="Times New Roman"/>
        <w:bCs/>
        <w:sz w:val="20"/>
        <w:szCs w:val="20"/>
        <w:lang w:val="en-NZ"/>
      </w:rPr>
      <w:instrText xml:space="preserve"> PAGE </w:instrText>
    </w:r>
    <w:r w:rsidRPr="0078220F">
      <w:rPr>
        <w:rFonts w:ascii="Times New Roman" w:eastAsia="Times New Roman" w:hAnsi="Times New Roman" w:cs="Times New Roman"/>
        <w:bCs/>
        <w:sz w:val="20"/>
        <w:szCs w:val="20"/>
        <w:lang w:val="en-NZ"/>
      </w:rPr>
      <w:fldChar w:fldCharType="separate"/>
    </w:r>
    <w:r w:rsidRPr="0078220F">
      <w:rPr>
        <w:rFonts w:ascii="Times New Roman" w:eastAsia="Times New Roman" w:hAnsi="Times New Roman" w:cs="Times New Roman"/>
        <w:bCs/>
        <w:sz w:val="20"/>
        <w:szCs w:val="20"/>
        <w:lang w:val="en-NZ"/>
      </w:rPr>
      <w:t>1</w:t>
    </w:r>
    <w:r w:rsidRPr="0078220F">
      <w:rPr>
        <w:rFonts w:ascii="Times New Roman" w:eastAsia="Times New Roman" w:hAnsi="Times New Roman" w:cs="Times New Roman"/>
        <w:bCs/>
        <w:sz w:val="20"/>
        <w:szCs w:val="20"/>
        <w:lang w:val="en-NZ"/>
      </w:rPr>
      <w:fldChar w:fldCharType="end"/>
    </w:r>
    <w:r w:rsidRPr="0078220F">
      <w:rPr>
        <w:rFonts w:ascii="Times New Roman" w:eastAsia="Times New Roman" w:hAnsi="Times New Roman" w:cs="Times New Roman"/>
        <w:bCs/>
        <w:sz w:val="20"/>
        <w:szCs w:val="20"/>
        <w:lang w:val="en-NZ"/>
      </w:rPr>
      <w:t xml:space="preserve"> of </w:t>
    </w:r>
    <w:r w:rsidRPr="0078220F">
      <w:rPr>
        <w:rFonts w:ascii="Times New Roman" w:eastAsia="Times New Roman" w:hAnsi="Times New Roman" w:cs="Times New Roman"/>
        <w:bCs/>
        <w:sz w:val="20"/>
        <w:szCs w:val="20"/>
        <w:lang w:val="en-NZ"/>
      </w:rPr>
      <w:fldChar w:fldCharType="begin"/>
    </w:r>
    <w:r w:rsidRPr="0078220F">
      <w:rPr>
        <w:rFonts w:ascii="Times New Roman" w:eastAsia="Times New Roman" w:hAnsi="Times New Roman" w:cs="Times New Roman"/>
        <w:bCs/>
        <w:sz w:val="20"/>
        <w:szCs w:val="20"/>
        <w:lang w:val="en-NZ"/>
      </w:rPr>
      <w:instrText xml:space="preserve"> NUMPAGES </w:instrText>
    </w:r>
    <w:r w:rsidRPr="0078220F">
      <w:rPr>
        <w:rFonts w:ascii="Times New Roman" w:eastAsia="Times New Roman" w:hAnsi="Times New Roman" w:cs="Times New Roman"/>
        <w:bCs/>
        <w:sz w:val="20"/>
        <w:szCs w:val="20"/>
        <w:lang w:val="en-NZ"/>
      </w:rPr>
      <w:fldChar w:fldCharType="separate"/>
    </w:r>
    <w:r w:rsidRPr="0078220F">
      <w:rPr>
        <w:rFonts w:ascii="Times New Roman" w:eastAsia="Times New Roman" w:hAnsi="Times New Roman" w:cs="Times New Roman"/>
        <w:bCs/>
        <w:sz w:val="20"/>
        <w:szCs w:val="20"/>
        <w:lang w:val="en-NZ"/>
      </w:rPr>
      <w:t>83</w:t>
    </w:r>
    <w:r w:rsidRPr="0078220F">
      <w:rPr>
        <w:rFonts w:ascii="Times New Roman" w:eastAsia="Times New Roman" w:hAnsi="Times New Roman" w:cs="Times New Roman"/>
        <w:bCs/>
        <w:sz w:val="20"/>
        <w:szCs w:val="20"/>
        <w:lang w:val="en-NZ"/>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C2ADA" w14:textId="77777777" w:rsidR="00B05CA9" w:rsidRDefault="00B05CA9" w:rsidP="00B05CA9">
      <w:pPr>
        <w:spacing w:after="0" w:line="240" w:lineRule="auto"/>
      </w:pPr>
      <w:r>
        <w:separator/>
      </w:r>
    </w:p>
  </w:footnote>
  <w:footnote w:type="continuationSeparator" w:id="0">
    <w:p w14:paraId="66CF9400" w14:textId="77777777" w:rsidR="00B05CA9" w:rsidRDefault="00B05CA9" w:rsidP="00B05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C62C2" w14:textId="77777777" w:rsidR="00B05CA9" w:rsidRDefault="00B05CA9" w:rsidP="00B05CA9">
    <w:pPr>
      <w:tabs>
        <w:tab w:val="right" w:pos="8640"/>
      </w:tabs>
      <w:spacing w:before="80" w:line="360" w:lineRule="auto"/>
      <w:contextualSpacing/>
      <w:jc w:val="both"/>
      <w:rPr>
        <w:rFonts w:ascii="Times New Roman" w:eastAsia="Times New Roman" w:hAnsi="Times New Roman" w:cs="Times New Roman"/>
        <w:b/>
        <w:iCs/>
        <w:lang w:val="en-NZ"/>
      </w:rPr>
    </w:pPr>
    <w:r w:rsidRPr="00B05CA9">
      <w:rPr>
        <w:rFonts w:ascii="Times New Roman" w:eastAsia="Times New Roman" w:hAnsi="Times New Roman" w:cs="Times New Roman"/>
        <w:b/>
        <w:iCs/>
        <w:lang w:val="en-NZ"/>
      </w:rPr>
      <w:t xml:space="preserve">AFT Document Number: CSR/MXCF-03 </w:t>
    </w:r>
    <w:r w:rsidRPr="00B05CA9">
      <w:rPr>
        <w:rFonts w:ascii="Times New Roman" w:eastAsia="Times New Roman" w:hAnsi="Times New Roman" w:cs="Times New Roman"/>
        <w:b/>
        <w:iCs/>
        <w:lang w:val="en-NZ"/>
      </w:rPr>
      <w:tab/>
      <w:t>Confidential Information</w:t>
    </w:r>
  </w:p>
  <w:p w14:paraId="4B5BAED5" w14:textId="421C6C1D" w:rsidR="00B05CA9" w:rsidRPr="00B05CA9" w:rsidRDefault="00B05CA9" w:rsidP="00B05CA9">
    <w:pPr>
      <w:tabs>
        <w:tab w:val="right" w:pos="8640"/>
      </w:tabs>
      <w:spacing w:before="80" w:line="360" w:lineRule="auto"/>
      <w:contextualSpacing/>
      <w:jc w:val="both"/>
      <w:rPr>
        <w:rFonts w:ascii="Times New Roman" w:eastAsia="Times New Roman" w:hAnsi="Times New Roman" w:cs="Times New Roman"/>
        <w:b/>
        <w:iCs/>
        <w:lang w:val="en-NZ"/>
      </w:rPr>
    </w:pPr>
    <w:r w:rsidRPr="00B05CA9">
      <w:rPr>
        <w:rFonts w:ascii="Times New Roman" w:eastAsia="Times New Roman" w:hAnsi="Times New Roman" w:cs="Times New Roman"/>
        <w:b/>
        <w:iCs/>
        <w:lang w:val="en-NZ"/>
      </w:rPr>
      <w:t xml:space="preserve"> </w:t>
    </w:r>
    <w:r w:rsidRPr="00B05CA9">
      <w:rPr>
        <w:rFonts w:ascii="Times New Roman" w:eastAsia="Times New Roman" w:hAnsi="Times New Roman" w:cs="Times New Roman"/>
        <w:b/>
        <w:iCs/>
        <w:noProof/>
        <w:lang w:val="en-NZ" w:eastAsia="zh-CN"/>
      </w:rPr>
      <w:drawing>
        <wp:inline distT="0" distB="0" distL="0" distR="0" wp14:anchorId="4D4C1A30" wp14:editId="7B957B2D">
          <wp:extent cx="1322070" cy="217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070" cy="217805"/>
                  </a:xfrm>
                  <a:prstGeom prst="rect">
                    <a:avLst/>
                  </a:prstGeom>
                  <a:noFill/>
                  <a:ln>
                    <a:noFill/>
                  </a:ln>
                </pic:spPr>
              </pic:pic>
            </a:graphicData>
          </a:graphic>
        </wp:inline>
      </w:drawing>
    </w:r>
  </w:p>
  <w:p w14:paraId="174F08DC" w14:textId="77777777" w:rsidR="00B05CA9" w:rsidRDefault="00B05C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92E38"/>
    <w:multiLevelType w:val="hybridMultilevel"/>
    <w:tmpl w:val="600C3E5A"/>
    <w:lvl w:ilvl="0" w:tplc="304AF960">
      <w:numFmt w:val="bullet"/>
      <w:lvlText w:val="•"/>
      <w:lvlJc w:val="left"/>
      <w:pPr>
        <w:ind w:left="411" w:hanging="360"/>
      </w:pPr>
      <w:rPr>
        <w:rFonts w:ascii="Times New Roman" w:eastAsia="Times New Roman" w:hAnsi="Times New Roman" w:cs="Times New Roman" w:hint="default"/>
      </w:rPr>
    </w:lvl>
    <w:lvl w:ilvl="1" w:tplc="14090003" w:tentative="1">
      <w:start w:val="1"/>
      <w:numFmt w:val="bullet"/>
      <w:lvlText w:val="o"/>
      <w:lvlJc w:val="left"/>
      <w:pPr>
        <w:ind w:left="1131" w:hanging="360"/>
      </w:pPr>
      <w:rPr>
        <w:rFonts w:ascii="Courier New" w:hAnsi="Courier New" w:cs="Courier New" w:hint="default"/>
      </w:rPr>
    </w:lvl>
    <w:lvl w:ilvl="2" w:tplc="14090005" w:tentative="1">
      <w:start w:val="1"/>
      <w:numFmt w:val="bullet"/>
      <w:lvlText w:val=""/>
      <w:lvlJc w:val="left"/>
      <w:pPr>
        <w:ind w:left="1851" w:hanging="360"/>
      </w:pPr>
      <w:rPr>
        <w:rFonts w:ascii="Wingdings" w:hAnsi="Wingdings" w:hint="default"/>
      </w:rPr>
    </w:lvl>
    <w:lvl w:ilvl="3" w:tplc="14090001" w:tentative="1">
      <w:start w:val="1"/>
      <w:numFmt w:val="bullet"/>
      <w:lvlText w:val=""/>
      <w:lvlJc w:val="left"/>
      <w:pPr>
        <w:ind w:left="2571" w:hanging="360"/>
      </w:pPr>
      <w:rPr>
        <w:rFonts w:ascii="Symbol" w:hAnsi="Symbol" w:hint="default"/>
      </w:rPr>
    </w:lvl>
    <w:lvl w:ilvl="4" w:tplc="14090003" w:tentative="1">
      <w:start w:val="1"/>
      <w:numFmt w:val="bullet"/>
      <w:lvlText w:val="o"/>
      <w:lvlJc w:val="left"/>
      <w:pPr>
        <w:ind w:left="3291" w:hanging="360"/>
      </w:pPr>
      <w:rPr>
        <w:rFonts w:ascii="Courier New" w:hAnsi="Courier New" w:cs="Courier New" w:hint="default"/>
      </w:rPr>
    </w:lvl>
    <w:lvl w:ilvl="5" w:tplc="14090005" w:tentative="1">
      <w:start w:val="1"/>
      <w:numFmt w:val="bullet"/>
      <w:lvlText w:val=""/>
      <w:lvlJc w:val="left"/>
      <w:pPr>
        <w:ind w:left="4011" w:hanging="360"/>
      </w:pPr>
      <w:rPr>
        <w:rFonts w:ascii="Wingdings" w:hAnsi="Wingdings" w:hint="default"/>
      </w:rPr>
    </w:lvl>
    <w:lvl w:ilvl="6" w:tplc="14090001" w:tentative="1">
      <w:start w:val="1"/>
      <w:numFmt w:val="bullet"/>
      <w:lvlText w:val=""/>
      <w:lvlJc w:val="left"/>
      <w:pPr>
        <w:ind w:left="4731" w:hanging="360"/>
      </w:pPr>
      <w:rPr>
        <w:rFonts w:ascii="Symbol" w:hAnsi="Symbol" w:hint="default"/>
      </w:rPr>
    </w:lvl>
    <w:lvl w:ilvl="7" w:tplc="14090003" w:tentative="1">
      <w:start w:val="1"/>
      <w:numFmt w:val="bullet"/>
      <w:lvlText w:val="o"/>
      <w:lvlJc w:val="left"/>
      <w:pPr>
        <w:ind w:left="5451" w:hanging="360"/>
      </w:pPr>
      <w:rPr>
        <w:rFonts w:ascii="Courier New" w:hAnsi="Courier New" w:cs="Courier New" w:hint="default"/>
      </w:rPr>
    </w:lvl>
    <w:lvl w:ilvl="8" w:tplc="14090005" w:tentative="1">
      <w:start w:val="1"/>
      <w:numFmt w:val="bullet"/>
      <w:lvlText w:val=""/>
      <w:lvlJc w:val="left"/>
      <w:pPr>
        <w:ind w:left="6171" w:hanging="360"/>
      </w:pPr>
      <w:rPr>
        <w:rFonts w:ascii="Wingdings" w:hAnsi="Wingdings" w:hint="default"/>
      </w:rPr>
    </w:lvl>
  </w:abstractNum>
  <w:abstractNum w:abstractNumId="1" w15:restartNumberingAfterBreak="0">
    <w:nsid w:val="21A327BE"/>
    <w:multiLevelType w:val="hybridMultilevel"/>
    <w:tmpl w:val="B518D2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6C443E91"/>
    <w:multiLevelType w:val="hybridMultilevel"/>
    <w:tmpl w:val="3702A740"/>
    <w:lvl w:ilvl="0" w:tplc="14090001">
      <w:start w:val="1"/>
      <w:numFmt w:val="bullet"/>
      <w:lvlText w:val=""/>
      <w:lvlJc w:val="left"/>
      <w:pPr>
        <w:ind w:left="720" w:hanging="360"/>
      </w:pPr>
      <w:rPr>
        <w:rFonts w:ascii="Symbol" w:hAnsi="Symbol" w:hint="default"/>
      </w:rPr>
    </w:lvl>
    <w:lvl w:ilvl="1" w:tplc="B8A083B6">
      <w:numFmt w:val="bullet"/>
      <w:lvlText w:val="•"/>
      <w:lvlJc w:val="left"/>
      <w:pPr>
        <w:ind w:left="1440" w:hanging="360"/>
      </w:pPr>
      <w:rPr>
        <w:rFonts w:ascii="Times New Roman" w:eastAsia="Times New Roman" w:hAnsi="Times New Roman" w:cs="Times New Roman"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6D6C25B4"/>
    <w:multiLevelType w:val="hybridMultilevel"/>
    <w:tmpl w:val="5736453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CA9"/>
    <w:rsid w:val="0078220F"/>
    <w:rsid w:val="00B05CA9"/>
    <w:rsid w:val="00C53893"/>
    <w:rsid w:val="00D66ED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6BFD6"/>
  <w15:chartTrackingRefBased/>
  <w15:docId w15:val="{057157BE-EF2D-4F16-A0C7-202A801F2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CA9"/>
    <w:rPr>
      <w:lang w:val="en-GB"/>
    </w:rPr>
  </w:style>
  <w:style w:type="paragraph" w:styleId="Footer">
    <w:name w:val="footer"/>
    <w:basedOn w:val="Normal"/>
    <w:link w:val="FooterChar"/>
    <w:uiPriority w:val="99"/>
    <w:unhideWhenUsed/>
    <w:rsid w:val="00B05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CA9"/>
    <w:rPr>
      <w:lang w:val="en-GB"/>
    </w:rPr>
  </w:style>
  <w:style w:type="table" w:styleId="TableGrid">
    <w:name w:val="Table Grid"/>
    <w:basedOn w:val="TableNormal"/>
    <w:uiPriority w:val="39"/>
    <w:rsid w:val="00B05CA9"/>
    <w:pPr>
      <w:widowControl w:val="0"/>
      <w:spacing w:after="0" w:line="240" w:lineRule="atLeast"/>
    </w:pPr>
    <w:rPr>
      <w:rFonts w:ascii="Times New Roman" w:eastAsia="Times New Roman" w:hAnsi="Times New Roman" w:cs="Times New Roman"/>
      <w:sz w:val="20"/>
      <w:szCs w:val="20"/>
      <w:lang w:eastAsia="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2648</Words>
  <Characters>15097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nznbook127</dc:creator>
  <cp:keywords/>
  <dc:description/>
  <cp:lastModifiedBy>nznbook127</cp:lastModifiedBy>
  <cp:revision>1</cp:revision>
  <dcterms:created xsi:type="dcterms:W3CDTF">2019-06-10T00:15:00Z</dcterms:created>
  <dcterms:modified xsi:type="dcterms:W3CDTF">2019-06-10T00:28:00Z</dcterms:modified>
</cp:coreProperties>
</file>