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  <w:r>
        <w:rPr>
          <w:rFonts w:ascii="Cambria-Bold" w:hAnsi="Cambria-Bold" w:cs="Cambria-Bold"/>
          <w:b/>
          <w:bCs/>
          <w:sz w:val="24"/>
          <w:szCs w:val="24"/>
        </w:rPr>
        <w:t>Outcomes</w:t>
      </w:r>
      <w:bookmarkStart w:id="0" w:name="_GoBack"/>
      <w:bookmarkEnd w:id="0"/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One of the</w:t>
      </w:r>
      <w:r>
        <w:rPr>
          <w:rFonts w:ascii="Cambria" w:hAnsi="Cambria" w:cs="Cambria"/>
          <w:sz w:val="24"/>
          <w:szCs w:val="24"/>
        </w:rPr>
        <w:t xml:space="preserve"> co-primary end-points were of safety and efficacy, adjudged respectively on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the</w:t>
      </w:r>
      <w:proofErr w:type="gramEnd"/>
      <w:r>
        <w:rPr>
          <w:rFonts w:ascii="Cambria" w:hAnsi="Cambria" w:cs="Cambria"/>
          <w:sz w:val="24"/>
          <w:szCs w:val="24"/>
        </w:rPr>
        <w:t xml:space="preserve"> occurrence of adverse events and serious adverse events as classified by use of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the</w:t>
      </w:r>
      <w:proofErr w:type="gramEnd"/>
      <w:r>
        <w:rPr>
          <w:rFonts w:ascii="Cambria" w:hAnsi="Cambria" w:cs="Cambria"/>
          <w:sz w:val="24"/>
          <w:szCs w:val="24"/>
        </w:rPr>
        <w:t xml:space="preserve"> Medical Dictio</w:t>
      </w:r>
      <w:r>
        <w:rPr>
          <w:rFonts w:ascii="Cambria" w:hAnsi="Cambria" w:cs="Cambria"/>
          <w:sz w:val="24"/>
          <w:szCs w:val="24"/>
        </w:rPr>
        <w:t>nary for Regulatory Activities.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  <w:r>
        <w:rPr>
          <w:rFonts w:ascii="Cambria-Bold" w:hAnsi="Cambria-Bold" w:cs="Cambria-Bold"/>
          <w:b/>
          <w:bCs/>
          <w:sz w:val="24"/>
          <w:szCs w:val="24"/>
        </w:rPr>
        <w:t>Results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Twenty-nine patients (M/F 10/19; mean age 54.9 (SD11.4) were recruited in total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between</w:t>
      </w:r>
      <w:proofErr w:type="gramEnd"/>
      <w:r>
        <w:rPr>
          <w:rFonts w:ascii="Cambria" w:hAnsi="Cambria" w:cs="Cambria"/>
          <w:sz w:val="24"/>
          <w:szCs w:val="24"/>
        </w:rPr>
        <w:t xml:space="preserve"> January 2016 to April 2017. Fifteen patients had idiopathic PAH, ten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connective</w:t>
      </w:r>
      <w:proofErr w:type="gramEnd"/>
      <w:r>
        <w:rPr>
          <w:rFonts w:ascii="Cambria" w:hAnsi="Cambria" w:cs="Cambria"/>
          <w:sz w:val="24"/>
          <w:szCs w:val="24"/>
        </w:rPr>
        <w:t xml:space="preserve"> tissue disease associated PAH (CTD-PAH), and four heritable/ BMPR2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associated</w:t>
      </w:r>
      <w:proofErr w:type="gramEnd"/>
      <w:r>
        <w:rPr>
          <w:rFonts w:ascii="Cambria" w:hAnsi="Cambria" w:cs="Cambria"/>
          <w:sz w:val="24"/>
          <w:szCs w:val="24"/>
        </w:rPr>
        <w:t xml:space="preserve"> PAH (figure 1). Six patients were withdrawn prior to drug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administration</w:t>
      </w:r>
      <w:proofErr w:type="gramEnd"/>
      <w:r>
        <w:rPr>
          <w:rFonts w:ascii="Cambria" w:hAnsi="Cambria" w:cs="Cambria"/>
          <w:sz w:val="24"/>
          <w:szCs w:val="24"/>
        </w:rPr>
        <w:t>; one chest infection, one exacerbation of co-morbid disease, four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at</w:t>
      </w:r>
      <w:proofErr w:type="gramEnd"/>
      <w:r>
        <w:rPr>
          <w:rFonts w:ascii="Cambria" w:hAnsi="Cambria" w:cs="Cambria"/>
          <w:sz w:val="24"/>
          <w:szCs w:val="24"/>
        </w:rPr>
        <w:t xml:space="preserve"> baseline RHC. Twenty-thr</w:t>
      </w:r>
      <w:r>
        <w:rPr>
          <w:rFonts w:ascii="Cambria" w:hAnsi="Cambria" w:cs="Cambria"/>
          <w:sz w:val="24"/>
          <w:szCs w:val="24"/>
        </w:rPr>
        <w:t>ee patients received study drug.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  <w:r>
        <w:rPr>
          <w:rFonts w:ascii="Cambria-Bold" w:hAnsi="Cambria-Bold" w:cs="Cambria-Bold"/>
          <w:b/>
          <w:bCs/>
          <w:sz w:val="24"/>
          <w:szCs w:val="24"/>
        </w:rPr>
        <w:t>Figure 1 Consort diagram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  <w:r>
        <w:rPr>
          <w:rFonts w:ascii="Cambria-Bold" w:hAnsi="Cambria-Bold" w:cs="Cambria-Bold"/>
          <w:b/>
          <w:bCs/>
          <w:noProof/>
          <w:sz w:val="24"/>
          <w:szCs w:val="24"/>
          <w:lang w:eastAsia="en-GB"/>
        </w:rPr>
        <w:drawing>
          <wp:inline distT="0" distB="0" distL="0" distR="0">
            <wp:extent cx="5731510" cy="381901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Drug was discontinued in 4 patients due to serious adverse events. These were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spellStart"/>
      <w:proofErr w:type="gramStart"/>
      <w:r>
        <w:rPr>
          <w:rFonts w:ascii="Cambria" w:hAnsi="Cambria" w:cs="Cambria"/>
          <w:sz w:val="24"/>
          <w:szCs w:val="24"/>
        </w:rPr>
        <w:t>urosepsis</w:t>
      </w:r>
      <w:proofErr w:type="spellEnd"/>
      <w:proofErr w:type="gramEnd"/>
      <w:r>
        <w:rPr>
          <w:rFonts w:ascii="Cambria" w:hAnsi="Cambria" w:cs="Cambria"/>
          <w:sz w:val="24"/>
          <w:szCs w:val="24"/>
        </w:rPr>
        <w:t>, chest pain, peripheral arterial emb</w:t>
      </w:r>
      <w:r>
        <w:rPr>
          <w:rFonts w:ascii="Cambria" w:hAnsi="Cambria" w:cs="Cambria"/>
          <w:sz w:val="24"/>
          <w:szCs w:val="24"/>
        </w:rPr>
        <w:t>olus and one suspected clinical deterioration</w:t>
      </w:r>
      <w:r>
        <w:rPr>
          <w:rFonts w:ascii="Cambria" w:hAnsi="Cambria" w:cs="Cambria"/>
          <w:sz w:val="24"/>
          <w:szCs w:val="24"/>
        </w:rPr>
        <w:t xml:space="preserve"> that was subsequently adjudged on independent blinded review not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proofErr w:type="gramStart"/>
      <w:r>
        <w:rPr>
          <w:rFonts w:ascii="Cambria" w:hAnsi="Cambria" w:cs="Cambria"/>
          <w:sz w:val="24"/>
          <w:szCs w:val="24"/>
        </w:rPr>
        <w:t>to</w:t>
      </w:r>
      <w:proofErr w:type="gramEnd"/>
      <w:r>
        <w:rPr>
          <w:rFonts w:ascii="Cambria" w:hAnsi="Cambria" w:cs="Cambria"/>
          <w:sz w:val="24"/>
          <w:szCs w:val="24"/>
        </w:rPr>
        <w:t xml:space="preserve"> fulfil criteria</w:t>
      </w:r>
      <w:r>
        <w:rPr>
          <w:rFonts w:ascii="Cambria" w:hAnsi="Cambria" w:cs="Cambria"/>
          <w:sz w:val="24"/>
          <w:szCs w:val="24"/>
        </w:rPr>
        <w:t xml:space="preserve"> for clinical worsening</w:t>
      </w:r>
      <w:r>
        <w:rPr>
          <w:rFonts w:ascii="Cambria" w:hAnsi="Cambria" w:cs="Cambria"/>
          <w:sz w:val="24"/>
          <w:szCs w:val="24"/>
        </w:rPr>
        <w:t>.</w:t>
      </w:r>
      <w:r>
        <w:rPr>
          <w:rFonts w:ascii="Cambria" w:hAnsi="Cambria" w:cs="Cambria"/>
          <w:sz w:val="24"/>
          <w:szCs w:val="24"/>
        </w:rPr>
        <w:t xml:space="preserve"> There were two </w:t>
      </w:r>
      <w:r>
        <w:rPr>
          <w:rFonts w:ascii="Cambria" w:hAnsi="Cambria" w:cs="Cambria"/>
          <w:sz w:val="24"/>
          <w:szCs w:val="24"/>
        </w:rPr>
        <w:t>suspected unexpected serious adverse reaction</w:t>
      </w:r>
      <w:r>
        <w:rPr>
          <w:rFonts w:ascii="Cambria" w:hAnsi="Cambria" w:cs="Cambria"/>
          <w:sz w:val="24"/>
          <w:szCs w:val="24"/>
        </w:rPr>
        <w:t>s (SUSARs</w:t>
      </w:r>
      <w:proofErr w:type="gramStart"/>
      <w:r>
        <w:rPr>
          <w:rFonts w:ascii="Cambria" w:hAnsi="Cambria" w:cs="Cambria"/>
          <w:sz w:val="24"/>
          <w:szCs w:val="24"/>
        </w:rPr>
        <w:t>)-</w:t>
      </w:r>
      <w:proofErr w:type="gramEnd"/>
      <w:r>
        <w:rPr>
          <w:rFonts w:ascii="Cambria" w:hAnsi="Cambria" w:cs="Cambria"/>
          <w:sz w:val="24"/>
          <w:szCs w:val="24"/>
        </w:rPr>
        <w:t xml:space="preserve"> Vomiting</w:t>
      </w:r>
      <w:r>
        <w:rPr>
          <w:rFonts w:ascii="Cambria" w:hAnsi="Cambria" w:cs="Cambria"/>
          <w:sz w:val="24"/>
          <w:szCs w:val="24"/>
        </w:rPr>
        <w:t>, Diarrhoea and Abdominal Pain</w:t>
      </w:r>
      <w:r>
        <w:rPr>
          <w:rFonts w:ascii="Cambria" w:hAnsi="Cambria" w:cs="Cambria"/>
          <w:sz w:val="24"/>
          <w:szCs w:val="24"/>
        </w:rPr>
        <w:t xml:space="preserve"> occurred in one patient an</w:t>
      </w:r>
      <w:r>
        <w:rPr>
          <w:rFonts w:ascii="Cambria" w:hAnsi="Cambria" w:cs="Cambria"/>
          <w:sz w:val="24"/>
          <w:szCs w:val="24"/>
        </w:rPr>
        <w:t>d another patient experienced Worsening of their Pulmonary Arterial Hypertension.</w:t>
      </w:r>
      <w:r>
        <w:rPr>
          <w:rFonts w:ascii="Cambria" w:hAnsi="Cambria" w:cs="Cambria"/>
          <w:sz w:val="24"/>
          <w:szCs w:val="24"/>
        </w:rPr>
        <w:t xml:space="preserve"> There were no deaths</w:t>
      </w:r>
      <w:r>
        <w:rPr>
          <w:rFonts w:ascii="Cambria" w:hAnsi="Cambria" w:cs="Cambria"/>
          <w:sz w:val="24"/>
          <w:szCs w:val="24"/>
        </w:rPr>
        <w:t xml:space="preserve"> during this trial</w:t>
      </w:r>
      <w:r>
        <w:rPr>
          <w:rFonts w:ascii="Cambria" w:hAnsi="Cambria" w:cs="Cambria"/>
          <w:sz w:val="24"/>
          <w:szCs w:val="24"/>
        </w:rPr>
        <w:t>. The most common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Adverse</w:t>
      </w:r>
      <w:r>
        <w:rPr>
          <w:rFonts w:ascii="Cambria" w:hAnsi="Cambria" w:cs="Cambria"/>
          <w:sz w:val="24"/>
          <w:szCs w:val="24"/>
        </w:rPr>
        <w:t xml:space="preserve"> event was </w:t>
      </w:r>
      <w:proofErr w:type="spellStart"/>
      <w:r>
        <w:rPr>
          <w:rFonts w:ascii="Cambria" w:hAnsi="Cambria" w:cs="Cambria"/>
          <w:sz w:val="24"/>
          <w:szCs w:val="24"/>
        </w:rPr>
        <w:t>nasopharyngitis</w:t>
      </w:r>
      <w:proofErr w:type="spellEnd"/>
      <w:r>
        <w:rPr>
          <w:rFonts w:ascii="Cambria" w:hAnsi="Cambria" w:cs="Cambria"/>
          <w:sz w:val="24"/>
          <w:szCs w:val="24"/>
        </w:rPr>
        <w:t xml:space="preserve"> (figure 2). Adverse events were graded mild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(80.0%), moderate (16.6%) and severe (3.4%).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  <w:r>
        <w:rPr>
          <w:rFonts w:ascii="Cambria-Bold" w:hAnsi="Cambria-Bold" w:cs="Cambria-Bold"/>
          <w:b/>
          <w:bCs/>
          <w:sz w:val="24"/>
          <w:szCs w:val="24"/>
        </w:rPr>
        <w:t>Figure 2 Adverse events</w:t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sz w:val="24"/>
          <w:szCs w:val="24"/>
        </w:rPr>
      </w:pPr>
      <w:r>
        <w:rPr>
          <w:rFonts w:ascii="Cambria-Bold" w:hAnsi="Cambria-Bold" w:cs="Cambria-Bold"/>
          <w:b/>
          <w:bCs/>
          <w:noProof/>
          <w:sz w:val="24"/>
          <w:szCs w:val="24"/>
          <w:lang w:eastAsia="en-GB"/>
        </w:rPr>
        <w:drawing>
          <wp:inline distT="0" distB="0" distL="0" distR="0">
            <wp:extent cx="5731510" cy="335443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5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856" w:rsidRDefault="00327856" w:rsidP="00327856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</w:p>
    <w:p w:rsidR="008D61A7" w:rsidRDefault="008D61A7" w:rsidP="00327856"/>
    <w:sectPr w:rsidR="008D61A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F88" w:rsidRDefault="003C6F88" w:rsidP="003C6F88">
      <w:pPr>
        <w:spacing w:after="0" w:line="240" w:lineRule="auto"/>
      </w:pPr>
      <w:r>
        <w:separator/>
      </w:r>
    </w:p>
  </w:endnote>
  <w:endnote w:type="continuationSeparator" w:id="0">
    <w:p w:rsidR="003C6F88" w:rsidRDefault="003C6F88" w:rsidP="003C6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F88" w:rsidRDefault="003C6F88" w:rsidP="003C6F88">
      <w:pPr>
        <w:spacing w:after="0" w:line="240" w:lineRule="auto"/>
      </w:pPr>
      <w:r>
        <w:separator/>
      </w:r>
    </w:p>
  </w:footnote>
  <w:footnote w:type="continuationSeparator" w:id="0">
    <w:p w:rsidR="003C6F88" w:rsidRDefault="003C6F88" w:rsidP="003C6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88" w:rsidRDefault="003C6F88">
    <w:pPr>
      <w:pStyle w:val="Header"/>
    </w:pPr>
    <w:r>
      <w:rPr>
        <w:rFonts w:ascii="Calibri" w:hAnsi="Calibri" w:cs="Calibri"/>
        <w:color w:val="999999"/>
        <w:sz w:val="21"/>
        <w:szCs w:val="21"/>
        <w:shd w:val="clear" w:color="auto" w:fill="FFFFFF"/>
      </w:rPr>
      <w:t>Safety as defined by the incidence and severity of adverse events</w:t>
    </w:r>
  </w:p>
  <w:p w:rsidR="003C6F88" w:rsidRDefault="003C6F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856"/>
    <w:rsid w:val="00327856"/>
    <w:rsid w:val="003C6F88"/>
    <w:rsid w:val="008D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7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85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6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F88"/>
  </w:style>
  <w:style w:type="paragraph" w:styleId="Footer">
    <w:name w:val="footer"/>
    <w:basedOn w:val="Normal"/>
    <w:link w:val="FooterChar"/>
    <w:uiPriority w:val="99"/>
    <w:unhideWhenUsed/>
    <w:rsid w:val="003C6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F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7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85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6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F88"/>
  </w:style>
  <w:style w:type="paragraph" w:styleId="Footer">
    <w:name w:val="footer"/>
    <w:basedOn w:val="Normal"/>
    <w:link w:val="FooterChar"/>
    <w:uiPriority w:val="99"/>
    <w:unhideWhenUsed/>
    <w:rsid w:val="003C6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Papworth Hospital NHS Foundation Trust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Knightbridge</dc:creator>
  <cp:lastModifiedBy>Emily Knightbridge</cp:lastModifiedBy>
  <cp:revision>1</cp:revision>
  <dcterms:created xsi:type="dcterms:W3CDTF">2019-03-25T10:59:00Z</dcterms:created>
  <dcterms:modified xsi:type="dcterms:W3CDTF">2019-03-25T11:16:00Z</dcterms:modified>
</cp:coreProperties>
</file>