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355F53">
        <w:rPr>
          <w:rFonts w:ascii="Arial" w:hAnsi="Arial" w:cs="Arial"/>
          <w:b/>
          <w:bCs/>
          <w:sz w:val="24"/>
          <w:szCs w:val="24"/>
        </w:rPr>
        <w:t>Outcomes</w:t>
      </w: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55F53">
        <w:rPr>
          <w:rFonts w:ascii="Arial" w:hAnsi="Arial" w:cs="Arial"/>
          <w:sz w:val="24"/>
          <w:szCs w:val="24"/>
        </w:rPr>
        <w:t>The co-primary end-points were of safety and efficacy, adjudged respectively on</w:t>
      </w: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355F53">
        <w:rPr>
          <w:rFonts w:ascii="Arial" w:hAnsi="Arial" w:cs="Arial"/>
          <w:sz w:val="24"/>
          <w:szCs w:val="24"/>
        </w:rPr>
        <w:t>the</w:t>
      </w:r>
      <w:proofErr w:type="gramEnd"/>
      <w:r w:rsidRPr="00355F53">
        <w:rPr>
          <w:rFonts w:ascii="Arial" w:hAnsi="Arial" w:cs="Arial"/>
          <w:sz w:val="24"/>
          <w:szCs w:val="24"/>
        </w:rPr>
        <w:t xml:space="preserve"> occurrence of adverse events and serious adverse events as classified by use of</w:t>
      </w: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355F53">
        <w:rPr>
          <w:rFonts w:ascii="Arial" w:hAnsi="Arial" w:cs="Arial"/>
          <w:sz w:val="24"/>
          <w:szCs w:val="24"/>
        </w:rPr>
        <w:t>the</w:t>
      </w:r>
      <w:proofErr w:type="gramEnd"/>
      <w:r w:rsidRPr="00355F53">
        <w:rPr>
          <w:rFonts w:ascii="Arial" w:hAnsi="Arial" w:cs="Arial"/>
          <w:sz w:val="24"/>
          <w:szCs w:val="24"/>
        </w:rPr>
        <w:t xml:space="preserve"> Medical Dictionary for Regulatory Activities, and pulmonary vascular</w:t>
      </w: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355F53">
        <w:rPr>
          <w:rFonts w:ascii="Arial" w:hAnsi="Arial" w:cs="Arial"/>
          <w:sz w:val="24"/>
          <w:szCs w:val="24"/>
        </w:rPr>
        <w:t>resistance</w:t>
      </w:r>
      <w:proofErr w:type="gramEnd"/>
      <w:r w:rsidRPr="00355F53">
        <w:rPr>
          <w:rFonts w:ascii="Arial" w:hAnsi="Arial" w:cs="Arial"/>
          <w:sz w:val="24"/>
          <w:szCs w:val="24"/>
        </w:rPr>
        <w:t xml:space="preserve"> (PVR) delta as measured by invasive haemodynamic assessment via</w:t>
      </w: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355F53">
        <w:rPr>
          <w:rFonts w:ascii="Arial" w:hAnsi="Arial" w:cs="Arial"/>
          <w:sz w:val="24"/>
          <w:szCs w:val="24"/>
        </w:rPr>
        <w:t>fluid-filled</w:t>
      </w:r>
      <w:proofErr w:type="gramEnd"/>
      <w:r w:rsidRPr="00355F53">
        <w:rPr>
          <w:rFonts w:ascii="Arial" w:hAnsi="Arial" w:cs="Arial"/>
          <w:sz w:val="24"/>
          <w:szCs w:val="24"/>
        </w:rPr>
        <w:t xml:space="preserve"> right heart catheter using cardiac output measured by </w:t>
      </w:r>
      <w:proofErr w:type="spellStart"/>
      <w:r w:rsidRPr="00355F53">
        <w:rPr>
          <w:rFonts w:ascii="Arial" w:hAnsi="Arial" w:cs="Arial"/>
          <w:sz w:val="24"/>
          <w:szCs w:val="24"/>
        </w:rPr>
        <w:t>thermodilution</w:t>
      </w:r>
      <w:proofErr w:type="spellEnd"/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355F53">
        <w:rPr>
          <w:rFonts w:ascii="Arial" w:hAnsi="Arial" w:cs="Arial"/>
          <w:sz w:val="24"/>
          <w:szCs w:val="24"/>
        </w:rPr>
        <w:t>technique</w:t>
      </w:r>
      <w:proofErr w:type="gramEnd"/>
      <w:r w:rsidRPr="00355F53">
        <w:rPr>
          <w:rFonts w:ascii="Arial" w:hAnsi="Arial" w:cs="Arial"/>
          <w:sz w:val="24"/>
          <w:szCs w:val="24"/>
        </w:rPr>
        <w:t>.</w:t>
      </w: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355F53">
        <w:rPr>
          <w:rFonts w:ascii="Arial" w:hAnsi="Arial" w:cs="Arial"/>
          <w:b/>
          <w:bCs/>
          <w:sz w:val="24"/>
          <w:szCs w:val="24"/>
        </w:rPr>
        <w:t>Statistical analysis</w:t>
      </w: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55F53">
        <w:rPr>
          <w:rFonts w:ascii="Arial" w:hAnsi="Arial" w:cs="Arial"/>
          <w:sz w:val="24"/>
          <w:szCs w:val="24"/>
        </w:rPr>
        <w:t>The sample size (n) was decided to detect a 30% reduction in PVR after 6 months</w:t>
      </w: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355F53">
        <w:rPr>
          <w:rFonts w:ascii="Arial" w:hAnsi="Arial" w:cs="Arial"/>
          <w:sz w:val="24"/>
          <w:szCs w:val="24"/>
        </w:rPr>
        <w:t>of</w:t>
      </w:r>
      <w:proofErr w:type="gramEnd"/>
      <w:r w:rsidRPr="00355F53">
        <w:rPr>
          <w:rFonts w:ascii="Arial" w:hAnsi="Arial" w:cs="Arial"/>
          <w:sz w:val="24"/>
          <w:szCs w:val="24"/>
        </w:rPr>
        <w:t xml:space="preserve"> treatment with 90% power and 5% statistical significance was n=17,</w:t>
      </w: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355F53">
        <w:rPr>
          <w:rFonts w:ascii="Arial" w:hAnsi="Arial" w:cs="Arial"/>
          <w:sz w:val="24"/>
          <w:szCs w:val="24"/>
        </w:rPr>
        <w:t>accounting</w:t>
      </w:r>
      <w:proofErr w:type="gramEnd"/>
      <w:r w:rsidRPr="00355F53">
        <w:rPr>
          <w:rFonts w:ascii="Arial" w:hAnsi="Arial" w:cs="Arial"/>
          <w:sz w:val="24"/>
          <w:szCs w:val="24"/>
        </w:rPr>
        <w:t xml:space="preserve"> for a conservative drop-out rate, the minimum target for recruitment</w:t>
      </w: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355F53">
        <w:rPr>
          <w:rFonts w:ascii="Arial" w:hAnsi="Arial" w:cs="Arial"/>
          <w:sz w:val="24"/>
          <w:szCs w:val="24"/>
        </w:rPr>
        <w:t>was</w:t>
      </w:r>
      <w:proofErr w:type="gramEnd"/>
      <w:r w:rsidRPr="00355F53">
        <w:rPr>
          <w:rFonts w:ascii="Arial" w:hAnsi="Arial" w:cs="Arial"/>
          <w:sz w:val="24"/>
          <w:szCs w:val="24"/>
        </w:rPr>
        <w:t xml:space="preserve"> n=21</w:t>
      </w:r>
      <w:r w:rsidRPr="00355F53">
        <w:rPr>
          <w:rFonts w:ascii="Arial" w:hAnsi="Arial" w:cs="Arial"/>
          <w:sz w:val="24"/>
          <w:szCs w:val="24"/>
        </w:rPr>
        <w:t>. The main analysis reported here are specified on the</w:t>
      </w: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355F53">
        <w:rPr>
          <w:rFonts w:ascii="Arial" w:hAnsi="Arial" w:cs="Arial"/>
          <w:sz w:val="24"/>
          <w:szCs w:val="24"/>
        </w:rPr>
        <w:t>modified</w:t>
      </w:r>
      <w:proofErr w:type="gramEnd"/>
      <w:r w:rsidRPr="00355F53">
        <w:rPr>
          <w:rFonts w:ascii="Arial" w:hAnsi="Arial" w:cs="Arial"/>
          <w:sz w:val="24"/>
          <w:szCs w:val="24"/>
        </w:rPr>
        <w:t xml:space="preserve"> intention to treat (</w:t>
      </w:r>
      <w:proofErr w:type="spellStart"/>
      <w:r w:rsidRPr="00355F53">
        <w:rPr>
          <w:rFonts w:ascii="Arial" w:hAnsi="Arial" w:cs="Arial"/>
          <w:sz w:val="24"/>
          <w:szCs w:val="24"/>
        </w:rPr>
        <w:t>mITT</w:t>
      </w:r>
      <w:proofErr w:type="spellEnd"/>
      <w:r w:rsidRPr="00355F53">
        <w:rPr>
          <w:rFonts w:ascii="Arial" w:hAnsi="Arial" w:cs="Arial"/>
          <w:sz w:val="24"/>
          <w:szCs w:val="24"/>
        </w:rPr>
        <w:t>) set. This is defined as the set of patients who</w:t>
      </w: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355F53">
        <w:rPr>
          <w:rFonts w:ascii="Arial" w:hAnsi="Arial" w:cs="Arial"/>
          <w:sz w:val="24"/>
          <w:szCs w:val="24"/>
        </w:rPr>
        <w:t>have</w:t>
      </w:r>
      <w:proofErr w:type="gramEnd"/>
      <w:r w:rsidRPr="00355F53">
        <w:rPr>
          <w:rFonts w:ascii="Arial" w:hAnsi="Arial" w:cs="Arial"/>
          <w:sz w:val="24"/>
          <w:szCs w:val="24"/>
        </w:rPr>
        <w:t xml:space="preserve"> had at least one dose of Tocilizumab and at least one post-baseline result. An</w:t>
      </w: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355F53">
        <w:rPr>
          <w:rFonts w:ascii="Arial" w:hAnsi="Arial" w:cs="Arial"/>
          <w:sz w:val="24"/>
          <w:szCs w:val="24"/>
        </w:rPr>
        <w:t>additional</w:t>
      </w:r>
      <w:proofErr w:type="gramEnd"/>
      <w:r w:rsidRPr="00355F53">
        <w:rPr>
          <w:rFonts w:ascii="Arial" w:hAnsi="Arial" w:cs="Arial"/>
          <w:sz w:val="24"/>
          <w:szCs w:val="24"/>
        </w:rPr>
        <w:t xml:space="preserve"> ITT analysis as a sensitivity analysis, i.e. to assess the existence of</w:t>
      </w: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355F53">
        <w:rPr>
          <w:rFonts w:ascii="Arial" w:hAnsi="Arial" w:cs="Arial"/>
          <w:sz w:val="24"/>
          <w:szCs w:val="24"/>
        </w:rPr>
        <w:t>potential</w:t>
      </w:r>
      <w:proofErr w:type="gramEnd"/>
      <w:r w:rsidRPr="00355F53">
        <w:rPr>
          <w:rFonts w:ascii="Arial" w:hAnsi="Arial" w:cs="Arial"/>
          <w:sz w:val="24"/>
          <w:szCs w:val="24"/>
        </w:rPr>
        <w:t xml:space="preserve"> bias did not differ from the </w:t>
      </w:r>
      <w:proofErr w:type="spellStart"/>
      <w:r w:rsidRPr="00355F53">
        <w:rPr>
          <w:rFonts w:ascii="Arial" w:hAnsi="Arial" w:cs="Arial"/>
          <w:sz w:val="24"/>
          <w:szCs w:val="24"/>
        </w:rPr>
        <w:t>mITT</w:t>
      </w:r>
      <w:proofErr w:type="spellEnd"/>
      <w:r w:rsidRPr="00355F53">
        <w:rPr>
          <w:rFonts w:ascii="Arial" w:hAnsi="Arial" w:cs="Arial"/>
          <w:sz w:val="24"/>
          <w:szCs w:val="24"/>
        </w:rPr>
        <w:t>. Estimates of treatment response rate</w:t>
      </w: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355F53">
        <w:rPr>
          <w:rFonts w:ascii="Arial" w:hAnsi="Arial" w:cs="Arial"/>
          <w:sz w:val="24"/>
          <w:szCs w:val="24"/>
        </w:rPr>
        <w:t>and</w:t>
      </w:r>
      <w:proofErr w:type="gramEnd"/>
      <w:r w:rsidRPr="00355F53">
        <w:rPr>
          <w:rFonts w:ascii="Arial" w:hAnsi="Arial" w:cs="Arial"/>
          <w:sz w:val="24"/>
          <w:szCs w:val="24"/>
        </w:rPr>
        <w:t xml:space="preserve"> associated confidence intervals (or credible intervals and posterior</w:t>
      </w: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355F53">
        <w:rPr>
          <w:rFonts w:ascii="Arial" w:hAnsi="Arial" w:cs="Arial"/>
          <w:sz w:val="24"/>
          <w:szCs w:val="24"/>
        </w:rPr>
        <w:t>probabilities</w:t>
      </w:r>
      <w:proofErr w:type="gramEnd"/>
      <w:r w:rsidRPr="00355F53">
        <w:rPr>
          <w:rFonts w:ascii="Arial" w:hAnsi="Arial" w:cs="Arial"/>
          <w:sz w:val="24"/>
          <w:szCs w:val="24"/>
        </w:rPr>
        <w:t>) are reported. The exception to this is the Wilcoxon signed rank test</w:t>
      </w: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355F53">
        <w:rPr>
          <w:rFonts w:ascii="Arial" w:hAnsi="Arial" w:cs="Arial"/>
          <w:sz w:val="24"/>
          <w:szCs w:val="24"/>
        </w:rPr>
        <w:t>which</w:t>
      </w:r>
      <w:proofErr w:type="gramEnd"/>
      <w:r w:rsidRPr="00355F53">
        <w:rPr>
          <w:rFonts w:ascii="Arial" w:hAnsi="Arial" w:cs="Arial"/>
          <w:sz w:val="24"/>
          <w:szCs w:val="24"/>
        </w:rPr>
        <w:t xml:space="preserve"> is carried</w:t>
      </w:r>
      <w:r w:rsidRPr="00355F53">
        <w:rPr>
          <w:rFonts w:ascii="Arial" w:hAnsi="Arial" w:cs="Arial"/>
          <w:sz w:val="24"/>
          <w:szCs w:val="24"/>
        </w:rPr>
        <w:t xml:space="preserve"> out on the PVR fold change</w:t>
      </w:r>
      <w:r w:rsidRPr="00355F53">
        <w:rPr>
          <w:rFonts w:ascii="Arial" w:hAnsi="Arial" w:cs="Arial"/>
          <w:sz w:val="24"/>
          <w:szCs w:val="24"/>
        </w:rPr>
        <w:t>.</w:t>
      </w: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55F53">
        <w:rPr>
          <w:rFonts w:ascii="Arial" w:hAnsi="Arial" w:cs="Arial"/>
          <w:sz w:val="24"/>
          <w:szCs w:val="24"/>
        </w:rPr>
        <w:t>An additional Bayesian analysis, considered to be more informative of the</w:t>
      </w: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355F53">
        <w:rPr>
          <w:rFonts w:ascii="Arial" w:hAnsi="Arial" w:cs="Arial"/>
          <w:sz w:val="24"/>
          <w:szCs w:val="24"/>
        </w:rPr>
        <w:t>treatment</w:t>
      </w:r>
      <w:proofErr w:type="gramEnd"/>
      <w:r w:rsidRPr="00355F53">
        <w:rPr>
          <w:rFonts w:ascii="Arial" w:hAnsi="Arial" w:cs="Arial"/>
          <w:sz w:val="24"/>
          <w:szCs w:val="24"/>
        </w:rPr>
        <w:t xml:space="preserve"> response of Tocilizumab on PVR was </w:t>
      </w:r>
      <w:proofErr w:type="spellStart"/>
      <w:r w:rsidRPr="00355F53">
        <w:rPr>
          <w:rFonts w:ascii="Arial" w:hAnsi="Arial" w:cs="Arial"/>
          <w:sz w:val="24"/>
          <w:szCs w:val="24"/>
        </w:rPr>
        <w:t>prespecified</w:t>
      </w:r>
      <w:proofErr w:type="spellEnd"/>
      <w:r w:rsidRPr="00355F53">
        <w:rPr>
          <w:rFonts w:ascii="Arial" w:hAnsi="Arial" w:cs="Arial"/>
          <w:sz w:val="24"/>
          <w:szCs w:val="24"/>
        </w:rPr>
        <w:t xml:space="preserve"> using an expert</w:t>
      </w: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355F53">
        <w:rPr>
          <w:rFonts w:ascii="Arial" w:hAnsi="Arial" w:cs="Arial"/>
          <w:sz w:val="24"/>
          <w:szCs w:val="24"/>
        </w:rPr>
        <w:t>elicited</w:t>
      </w:r>
      <w:proofErr w:type="gramEnd"/>
      <w:r w:rsidRPr="00355F53">
        <w:rPr>
          <w:rFonts w:ascii="Arial" w:hAnsi="Arial" w:cs="Arial"/>
          <w:sz w:val="24"/>
          <w:szCs w:val="24"/>
        </w:rPr>
        <w:t xml:space="preserve"> prior. Any predictor effect on secondary outcomes are reported with</w:t>
      </w: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355F53">
        <w:rPr>
          <w:rFonts w:ascii="Arial" w:hAnsi="Arial" w:cs="Arial"/>
          <w:sz w:val="24"/>
          <w:szCs w:val="24"/>
        </w:rPr>
        <w:t>confidence</w:t>
      </w:r>
      <w:proofErr w:type="gramEnd"/>
      <w:r w:rsidRPr="00355F53">
        <w:rPr>
          <w:rFonts w:ascii="Arial" w:hAnsi="Arial" w:cs="Arial"/>
          <w:sz w:val="24"/>
          <w:szCs w:val="24"/>
        </w:rPr>
        <w:t xml:space="preserve"> intervals. All analysis reported here were performed using R (version</w:t>
      </w: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355F53">
        <w:rPr>
          <w:rFonts w:ascii="Arial" w:hAnsi="Arial" w:cs="Arial"/>
          <w:sz w:val="24"/>
          <w:szCs w:val="24"/>
        </w:rPr>
        <w:t>3.3.3).</w:t>
      </w:r>
      <w:proofErr w:type="gramEnd"/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355F53">
        <w:rPr>
          <w:rFonts w:ascii="Arial" w:hAnsi="Arial" w:cs="Arial"/>
          <w:b/>
          <w:bCs/>
          <w:sz w:val="24"/>
          <w:szCs w:val="24"/>
        </w:rPr>
        <w:t>Results</w:t>
      </w: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55F53">
        <w:rPr>
          <w:rFonts w:ascii="Arial" w:hAnsi="Arial" w:cs="Arial"/>
          <w:sz w:val="24"/>
          <w:szCs w:val="24"/>
        </w:rPr>
        <w:t>Twenty-nine patients (M/F 10/19; mean age 54.9 (SD11.4) were recruited in total</w:t>
      </w: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355F53">
        <w:rPr>
          <w:rFonts w:ascii="Arial" w:hAnsi="Arial" w:cs="Arial"/>
          <w:sz w:val="24"/>
          <w:szCs w:val="24"/>
        </w:rPr>
        <w:t>between</w:t>
      </w:r>
      <w:proofErr w:type="gramEnd"/>
      <w:r w:rsidRPr="00355F53">
        <w:rPr>
          <w:rFonts w:ascii="Arial" w:hAnsi="Arial" w:cs="Arial"/>
          <w:sz w:val="24"/>
          <w:szCs w:val="24"/>
        </w:rPr>
        <w:t xml:space="preserve"> January 2016 to April 2017. Fifteen patients had idiopathic PAH, ten</w:t>
      </w: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355F53">
        <w:rPr>
          <w:rFonts w:ascii="Arial" w:hAnsi="Arial" w:cs="Arial"/>
          <w:sz w:val="24"/>
          <w:szCs w:val="24"/>
        </w:rPr>
        <w:t>connective</w:t>
      </w:r>
      <w:proofErr w:type="gramEnd"/>
      <w:r w:rsidRPr="00355F53">
        <w:rPr>
          <w:rFonts w:ascii="Arial" w:hAnsi="Arial" w:cs="Arial"/>
          <w:sz w:val="24"/>
          <w:szCs w:val="24"/>
        </w:rPr>
        <w:t xml:space="preserve"> tissue disease associated PAH (CTD-PAH), and four heritable/ BMPR2</w:t>
      </w: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355F53">
        <w:rPr>
          <w:rFonts w:ascii="Arial" w:hAnsi="Arial" w:cs="Arial"/>
          <w:sz w:val="24"/>
          <w:szCs w:val="24"/>
        </w:rPr>
        <w:lastRenderedPageBreak/>
        <w:t>associated</w:t>
      </w:r>
      <w:proofErr w:type="gramEnd"/>
      <w:r w:rsidRPr="00355F53">
        <w:rPr>
          <w:rFonts w:ascii="Arial" w:hAnsi="Arial" w:cs="Arial"/>
          <w:sz w:val="24"/>
          <w:szCs w:val="24"/>
        </w:rPr>
        <w:t xml:space="preserve"> PAH (figure 1). Six patients were withdrawn prior to drug</w:t>
      </w: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355F53">
        <w:rPr>
          <w:rFonts w:ascii="Arial" w:hAnsi="Arial" w:cs="Arial"/>
          <w:sz w:val="24"/>
          <w:szCs w:val="24"/>
        </w:rPr>
        <w:t>administration</w:t>
      </w:r>
      <w:proofErr w:type="gramEnd"/>
      <w:r w:rsidRPr="00355F53">
        <w:rPr>
          <w:rFonts w:ascii="Arial" w:hAnsi="Arial" w:cs="Arial"/>
          <w:sz w:val="24"/>
          <w:szCs w:val="24"/>
        </w:rPr>
        <w:t>; one chest infection, one exacerbation of co-morbid disease, four</w:t>
      </w: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355F53">
        <w:rPr>
          <w:rFonts w:ascii="Arial" w:hAnsi="Arial" w:cs="Arial"/>
          <w:sz w:val="24"/>
          <w:szCs w:val="24"/>
        </w:rPr>
        <w:t>at</w:t>
      </w:r>
      <w:proofErr w:type="gramEnd"/>
      <w:r w:rsidRPr="00355F53">
        <w:rPr>
          <w:rFonts w:ascii="Arial" w:hAnsi="Arial" w:cs="Arial"/>
          <w:sz w:val="24"/>
          <w:szCs w:val="24"/>
        </w:rPr>
        <w:t xml:space="preserve"> baseline RHC. Twenty-three patients received study drug.</w:t>
      </w: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355F53">
        <w:rPr>
          <w:rFonts w:ascii="Arial" w:hAnsi="Arial" w:cs="Arial"/>
          <w:b/>
          <w:bCs/>
          <w:sz w:val="24"/>
          <w:szCs w:val="24"/>
        </w:rPr>
        <w:t>Figure 1 Consort diagram</w:t>
      </w: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355F53">
        <w:rPr>
          <w:rFonts w:ascii="Arial" w:hAnsi="Arial" w:cs="Arial"/>
          <w:b/>
          <w:bCs/>
          <w:noProof/>
          <w:sz w:val="24"/>
          <w:szCs w:val="24"/>
          <w:lang w:eastAsia="en-GB"/>
        </w:rPr>
        <w:drawing>
          <wp:inline distT="0" distB="0" distL="0" distR="0" wp14:anchorId="2EC03771" wp14:editId="1F1BA878">
            <wp:extent cx="5731510" cy="3819014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19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4"/>
          <w:szCs w:val="24"/>
        </w:rPr>
      </w:pPr>
      <w:r w:rsidRPr="00355F53">
        <w:rPr>
          <w:rFonts w:ascii="Arial" w:hAnsi="Arial" w:cs="Arial"/>
          <w:sz w:val="24"/>
          <w:szCs w:val="24"/>
        </w:rPr>
        <w:t>There was no significant difference in delta PVR at 6 months (figure 3A</w:t>
      </w:r>
      <w:proofErr w:type="gramStart"/>
      <w:r w:rsidRPr="00355F53">
        <w:rPr>
          <w:rFonts w:ascii="Arial" w:hAnsi="Arial" w:cs="Arial"/>
          <w:sz w:val="24"/>
          <w:szCs w:val="24"/>
        </w:rPr>
        <w:t>,B</w:t>
      </w:r>
      <w:proofErr w:type="gramEnd"/>
      <w:r w:rsidRPr="00355F53">
        <w:rPr>
          <w:rFonts w:ascii="Arial" w:hAnsi="Arial" w:cs="Arial"/>
          <w:sz w:val="24"/>
          <w:szCs w:val="24"/>
        </w:rPr>
        <w:t xml:space="preserve">). In </w:t>
      </w:r>
      <w:proofErr w:type="spellStart"/>
      <w:r w:rsidRPr="00355F53">
        <w:rPr>
          <w:rFonts w:ascii="Arial" w:hAnsi="Arial" w:cs="Arial"/>
          <w:i/>
          <w:iCs/>
          <w:sz w:val="24"/>
          <w:szCs w:val="24"/>
        </w:rPr>
        <w:t>apriori</w:t>
      </w:r>
      <w:proofErr w:type="spellEnd"/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355F53">
        <w:rPr>
          <w:rFonts w:ascii="Arial" w:hAnsi="Arial" w:cs="Arial"/>
          <w:sz w:val="24"/>
          <w:szCs w:val="24"/>
        </w:rPr>
        <w:t>analyses</w:t>
      </w:r>
      <w:proofErr w:type="gramEnd"/>
      <w:r w:rsidRPr="00355F53">
        <w:rPr>
          <w:rFonts w:ascii="Arial" w:hAnsi="Arial" w:cs="Arial"/>
          <w:sz w:val="24"/>
          <w:szCs w:val="24"/>
        </w:rPr>
        <w:t xml:space="preserve"> of PVR stratified by aetiology, 4 of the 6 CTD-PAH patients</w:t>
      </w: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355F53">
        <w:rPr>
          <w:rFonts w:ascii="Arial" w:hAnsi="Arial" w:cs="Arial"/>
          <w:sz w:val="24"/>
          <w:szCs w:val="24"/>
        </w:rPr>
        <w:t>receiving</w:t>
      </w:r>
      <w:proofErr w:type="gramEnd"/>
      <w:r w:rsidRPr="00355F53">
        <w:rPr>
          <w:rFonts w:ascii="Arial" w:hAnsi="Arial" w:cs="Arial"/>
          <w:sz w:val="24"/>
          <w:szCs w:val="24"/>
        </w:rPr>
        <w:t xml:space="preserve"> study drug with an EOS RHC had a greater than 15% reduction in PVR</w:t>
      </w: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355F53">
        <w:rPr>
          <w:rFonts w:ascii="Arial" w:hAnsi="Arial" w:cs="Arial"/>
          <w:sz w:val="24"/>
          <w:szCs w:val="24"/>
        </w:rPr>
        <w:lastRenderedPageBreak/>
        <w:t>vs</w:t>
      </w:r>
      <w:proofErr w:type="spellEnd"/>
      <w:proofErr w:type="gramEnd"/>
      <w:r w:rsidRPr="00355F53">
        <w:rPr>
          <w:rFonts w:ascii="Arial" w:hAnsi="Arial" w:cs="Arial"/>
          <w:sz w:val="24"/>
          <w:szCs w:val="24"/>
        </w:rPr>
        <w:t xml:space="preserve"> 3 of 13 F/IPAH (figure 3C).</w:t>
      </w: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355F53">
        <w:rPr>
          <w:rFonts w:ascii="Arial" w:hAnsi="Arial" w:cs="Arial"/>
          <w:b/>
          <w:bCs/>
          <w:sz w:val="24"/>
          <w:szCs w:val="24"/>
        </w:rPr>
        <w:t xml:space="preserve">Figure 3 Co-primary endpoint- </w:t>
      </w:r>
      <w:proofErr w:type="gramStart"/>
      <w:r w:rsidRPr="00355F53">
        <w:rPr>
          <w:rFonts w:ascii="Arial" w:hAnsi="Arial" w:cs="Arial"/>
          <w:b/>
          <w:bCs/>
          <w:sz w:val="24"/>
          <w:szCs w:val="24"/>
        </w:rPr>
        <w:t>change</w:t>
      </w:r>
      <w:proofErr w:type="gramEnd"/>
      <w:r w:rsidRPr="00355F53">
        <w:rPr>
          <w:rFonts w:ascii="Arial" w:hAnsi="Arial" w:cs="Arial"/>
          <w:b/>
          <w:bCs/>
          <w:sz w:val="24"/>
          <w:szCs w:val="24"/>
        </w:rPr>
        <w:t xml:space="preserve"> in PVR</w:t>
      </w: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355F53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031AC2D6" wp14:editId="34B14AE8">
            <wp:extent cx="6867525" cy="467226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70777" cy="4674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55F53">
        <w:rPr>
          <w:rFonts w:ascii="Arial" w:hAnsi="Arial" w:cs="Arial"/>
          <w:sz w:val="24"/>
          <w:szCs w:val="24"/>
        </w:rPr>
        <w:lastRenderedPageBreak/>
        <w:t xml:space="preserve">A Bayesian analysis led to the same conclusions as the </w:t>
      </w:r>
      <w:proofErr w:type="spellStart"/>
      <w:r w:rsidRPr="00355F53">
        <w:rPr>
          <w:rFonts w:ascii="Arial" w:hAnsi="Arial" w:cs="Arial"/>
          <w:sz w:val="24"/>
          <w:szCs w:val="24"/>
        </w:rPr>
        <w:t>frequentist</w:t>
      </w:r>
      <w:proofErr w:type="spellEnd"/>
      <w:r w:rsidRPr="00355F53">
        <w:rPr>
          <w:rFonts w:ascii="Arial" w:hAnsi="Arial" w:cs="Arial"/>
          <w:sz w:val="24"/>
          <w:szCs w:val="24"/>
        </w:rPr>
        <w:t xml:space="preserve"> analysis (figure</w:t>
      </w: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55F53">
        <w:rPr>
          <w:rFonts w:ascii="Arial" w:hAnsi="Arial" w:cs="Arial"/>
          <w:sz w:val="24"/>
          <w:szCs w:val="24"/>
        </w:rPr>
        <w:t xml:space="preserve">3d). </w:t>
      </w:r>
      <w:proofErr w:type="gramStart"/>
      <w:r w:rsidRPr="00355F53">
        <w:rPr>
          <w:rFonts w:ascii="Arial" w:hAnsi="Arial" w:cs="Arial"/>
          <w:sz w:val="24"/>
          <w:szCs w:val="24"/>
        </w:rPr>
        <w:t>The</w:t>
      </w:r>
      <w:proofErr w:type="gramEnd"/>
      <w:r w:rsidRPr="00355F53">
        <w:rPr>
          <w:rFonts w:ascii="Arial" w:hAnsi="Arial" w:cs="Arial"/>
          <w:sz w:val="24"/>
          <w:szCs w:val="24"/>
        </w:rPr>
        <w:t xml:space="preserve"> expert elicited prior was combined with the observed data to produce a</w:t>
      </w: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355F53">
        <w:rPr>
          <w:rFonts w:ascii="Arial" w:hAnsi="Arial" w:cs="Arial"/>
          <w:sz w:val="24"/>
          <w:szCs w:val="24"/>
        </w:rPr>
        <w:t>posterior</w:t>
      </w:r>
      <w:proofErr w:type="gramEnd"/>
      <w:r w:rsidRPr="00355F53">
        <w:rPr>
          <w:rFonts w:ascii="Arial" w:hAnsi="Arial" w:cs="Arial"/>
          <w:sz w:val="24"/>
          <w:szCs w:val="24"/>
        </w:rPr>
        <w:t xml:space="preserve"> density for the probability of the study drug achieving a PVR fold-change</w:t>
      </w:r>
    </w:p>
    <w:p w:rsidR="00276F73" w:rsidRPr="00355F53" w:rsidRDefault="00276F73" w:rsidP="00276F7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gramStart"/>
      <w:r w:rsidRPr="00355F53">
        <w:rPr>
          <w:rFonts w:ascii="Arial" w:hAnsi="Arial" w:cs="Arial"/>
          <w:sz w:val="24"/>
          <w:szCs w:val="24"/>
        </w:rPr>
        <w:t>of</w:t>
      </w:r>
      <w:proofErr w:type="gramEnd"/>
      <w:r w:rsidRPr="00355F53">
        <w:rPr>
          <w:rFonts w:ascii="Arial" w:hAnsi="Arial" w:cs="Arial"/>
          <w:sz w:val="24"/>
          <w:szCs w:val="24"/>
        </w:rPr>
        <w:t xml:space="preserve"> at least -30%. </w:t>
      </w:r>
      <w:proofErr w:type="gramStart"/>
      <w:r w:rsidRPr="00355F53">
        <w:rPr>
          <w:rFonts w:ascii="Arial" w:hAnsi="Arial" w:cs="Arial"/>
          <w:sz w:val="24"/>
          <w:szCs w:val="24"/>
        </w:rPr>
        <w:t>(Figure 3D).</w:t>
      </w:r>
      <w:proofErr w:type="gramEnd"/>
      <w:r w:rsidRPr="00355F53">
        <w:rPr>
          <w:rFonts w:ascii="Arial" w:hAnsi="Arial" w:cs="Arial"/>
          <w:sz w:val="24"/>
          <w:szCs w:val="24"/>
        </w:rPr>
        <w:t xml:space="preserve"> The posterior probability of the study drug being</w:t>
      </w:r>
    </w:p>
    <w:p w:rsidR="001E1B6D" w:rsidRPr="00355F53" w:rsidRDefault="00276F73" w:rsidP="00276F73">
      <w:pPr>
        <w:rPr>
          <w:rFonts w:ascii="Arial" w:hAnsi="Arial" w:cs="Arial"/>
          <w:sz w:val="24"/>
          <w:szCs w:val="24"/>
        </w:rPr>
      </w:pPr>
      <w:proofErr w:type="gramStart"/>
      <w:r w:rsidRPr="00355F53">
        <w:rPr>
          <w:rFonts w:ascii="Arial" w:hAnsi="Arial" w:cs="Arial"/>
          <w:sz w:val="24"/>
          <w:szCs w:val="24"/>
        </w:rPr>
        <w:t>successful</w:t>
      </w:r>
      <w:proofErr w:type="gramEnd"/>
      <w:r w:rsidRPr="00355F53">
        <w:rPr>
          <w:rFonts w:ascii="Arial" w:hAnsi="Arial" w:cs="Arial"/>
          <w:sz w:val="24"/>
          <w:szCs w:val="24"/>
        </w:rPr>
        <w:t xml:space="preserve"> in the above sense with at least a 30% chance was less than 1%.</w:t>
      </w:r>
      <w:bookmarkStart w:id="0" w:name="_GoBack"/>
      <w:bookmarkEnd w:id="0"/>
    </w:p>
    <w:sectPr w:rsidR="001E1B6D" w:rsidRPr="00355F53" w:rsidSect="00276F73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6F73" w:rsidRDefault="00276F73" w:rsidP="00276F73">
      <w:pPr>
        <w:spacing w:after="0" w:line="240" w:lineRule="auto"/>
      </w:pPr>
      <w:r>
        <w:separator/>
      </w:r>
    </w:p>
  </w:endnote>
  <w:endnote w:type="continuationSeparator" w:id="0">
    <w:p w:rsidR="00276F73" w:rsidRDefault="00276F73" w:rsidP="00276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6F73" w:rsidRDefault="00276F73" w:rsidP="00276F73">
      <w:pPr>
        <w:spacing w:after="0" w:line="240" w:lineRule="auto"/>
      </w:pPr>
      <w:r>
        <w:separator/>
      </w:r>
    </w:p>
  </w:footnote>
  <w:footnote w:type="continuationSeparator" w:id="0">
    <w:p w:rsidR="00276F73" w:rsidRDefault="00276F73" w:rsidP="00276F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F73" w:rsidRDefault="00276F73">
    <w:pPr>
      <w:pStyle w:val="Header"/>
    </w:pPr>
    <w:r w:rsidRPr="00276F73">
      <w:t>Pulmonary vascular resistance measured using invasive haemodynamic assessment by right heart catheter</w:t>
    </w:r>
  </w:p>
  <w:p w:rsidR="00276F73" w:rsidRDefault="00276F7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F73"/>
    <w:rsid w:val="001E1B6D"/>
    <w:rsid w:val="00276F73"/>
    <w:rsid w:val="00355F53"/>
    <w:rsid w:val="00805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6F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6F73"/>
  </w:style>
  <w:style w:type="paragraph" w:styleId="Footer">
    <w:name w:val="footer"/>
    <w:basedOn w:val="Normal"/>
    <w:link w:val="FooterChar"/>
    <w:uiPriority w:val="99"/>
    <w:unhideWhenUsed/>
    <w:rsid w:val="00276F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6F73"/>
  </w:style>
  <w:style w:type="paragraph" w:styleId="BalloonText">
    <w:name w:val="Balloon Text"/>
    <w:basedOn w:val="Normal"/>
    <w:link w:val="BalloonTextChar"/>
    <w:uiPriority w:val="99"/>
    <w:semiHidden/>
    <w:unhideWhenUsed/>
    <w:rsid w:val="00276F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F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6F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6F73"/>
  </w:style>
  <w:style w:type="paragraph" w:styleId="Footer">
    <w:name w:val="footer"/>
    <w:basedOn w:val="Normal"/>
    <w:link w:val="FooterChar"/>
    <w:uiPriority w:val="99"/>
    <w:unhideWhenUsed/>
    <w:rsid w:val="00276F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6F73"/>
  </w:style>
  <w:style w:type="paragraph" w:styleId="BalloonText">
    <w:name w:val="Balloon Text"/>
    <w:basedOn w:val="Normal"/>
    <w:link w:val="BalloonTextChar"/>
    <w:uiPriority w:val="99"/>
    <w:semiHidden/>
    <w:unhideWhenUsed/>
    <w:rsid w:val="00276F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F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415</Words>
  <Characters>2366</Characters>
  <Application>Microsoft Office Word</Application>
  <DocSecurity>0</DocSecurity>
  <Lines>19</Lines>
  <Paragraphs>5</Paragraphs>
  <ScaleCrop>false</ScaleCrop>
  <Company>Papworth Hospital NHS Foundation Trust</Company>
  <LinksUpToDate>false</LinksUpToDate>
  <CharactersWithSpaces>2776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Knightbridge</dc:creator>
  <cp:lastModifiedBy>Emily Knightbridge</cp:lastModifiedBy>
  <cp:revision>4</cp:revision>
  <dcterms:created xsi:type="dcterms:W3CDTF">2019-03-25T11:22:00Z</dcterms:created>
  <dcterms:modified xsi:type="dcterms:W3CDTF">2019-03-25T11:34:00Z</dcterms:modified>
</cp:coreProperties>
</file>