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5DC92C" w14:textId="5FBBE981" w:rsidR="00B51F6D" w:rsidRDefault="007D20E4" w:rsidP="00EE5C5A">
      <w:pPr>
        <w:pStyle w:val="C-BodyText"/>
        <w:jc w:val="center"/>
        <w:rPr>
          <w:b/>
          <w:bCs/>
          <w:sz w:val="36"/>
          <w:szCs w:val="36"/>
        </w:rPr>
      </w:pPr>
      <w:r>
        <w:rPr>
          <w:b/>
          <w:bCs/>
          <w:sz w:val="36"/>
          <w:szCs w:val="36"/>
        </w:rPr>
        <w:t>SRA737</w:t>
      </w:r>
      <w:r w:rsidR="00C83917">
        <w:rPr>
          <w:b/>
          <w:bCs/>
          <w:sz w:val="36"/>
          <w:szCs w:val="36"/>
        </w:rPr>
        <w:noBreakHyphen/>
      </w:r>
      <w:r>
        <w:rPr>
          <w:b/>
          <w:bCs/>
          <w:sz w:val="36"/>
          <w:szCs w:val="36"/>
        </w:rPr>
        <w:t xml:space="preserve">01 </w:t>
      </w:r>
      <w:r w:rsidR="00BF55D0" w:rsidRPr="00EF7D77">
        <w:rPr>
          <w:b/>
          <w:bCs/>
          <w:sz w:val="36"/>
          <w:szCs w:val="36"/>
        </w:rPr>
        <w:t>CLINICAL STUDY REPORT</w:t>
      </w:r>
      <w:r w:rsidR="006106D0">
        <w:rPr>
          <w:b/>
          <w:bCs/>
          <w:sz w:val="36"/>
          <w:szCs w:val="36"/>
        </w:rPr>
        <w:t xml:space="preserve"> SYNOPSIS</w:t>
      </w:r>
    </w:p>
    <w:p w14:paraId="64BC74FA" w14:textId="77777777" w:rsidR="007D20E4" w:rsidRPr="00EF7D77" w:rsidRDefault="007D20E4" w:rsidP="00EE5C5A">
      <w:pPr>
        <w:pStyle w:val="C-BodyText"/>
        <w:jc w:val="center"/>
        <w:rPr>
          <w:b/>
          <w:bCs/>
          <w:sz w:val="36"/>
          <w:szCs w:val="36"/>
        </w:rPr>
      </w:pPr>
    </w:p>
    <w:tbl>
      <w:tblPr>
        <w:tblStyle w:val="TableGrid"/>
        <w:tblW w:w="5000" w:type="pct"/>
        <w:tblInd w:w="108" w:type="dxa"/>
        <w:tblLayout w:type="fixed"/>
        <w:tblLook w:val="04A0" w:firstRow="1" w:lastRow="0" w:firstColumn="1" w:lastColumn="0" w:noHBand="0" w:noVBand="1"/>
      </w:tblPr>
      <w:tblGrid>
        <w:gridCol w:w="2692"/>
        <w:gridCol w:w="6658"/>
      </w:tblGrid>
      <w:tr w:rsidR="001E0B25" w:rsidRPr="00EF7D77" w14:paraId="730854B9" w14:textId="77777777" w:rsidTr="00C0453A">
        <w:trPr>
          <w:trHeight w:val="327"/>
        </w:trPr>
        <w:tc>
          <w:tcPr>
            <w:tcW w:w="2692" w:type="dxa"/>
          </w:tcPr>
          <w:p w14:paraId="56A211D3" w14:textId="22FD487B" w:rsidR="001E0B25" w:rsidRPr="007D20E4" w:rsidRDefault="00BC157D" w:rsidP="00DD134D">
            <w:pPr>
              <w:pStyle w:val="C-TableHeader"/>
              <w:rPr>
                <w:sz w:val="24"/>
                <w:szCs w:val="24"/>
              </w:rPr>
            </w:pPr>
            <w:r w:rsidRPr="007D20E4">
              <w:rPr>
                <w:sz w:val="24"/>
                <w:szCs w:val="24"/>
              </w:rPr>
              <w:t>Study Title:</w:t>
            </w:r>
          </w:p>
        </w:tc>
        <w:tc>
          <w:tcPr>
            <w:tcW w:w="6658" w:type="dxa"/>
          </w:tcPr>
          <w:p w14:paraId="2292C124" w14:textId="67C09C6A" w:rsidR="001E0B25" w:rsidRPr="00EF7D77" w:rsidRDefault="001D23A3" w:rsidP="00DC5A15">
            <w:pPr>
              <w:spacing w:before="60" w:after="60"/>
              <w:rPr>
                <w:szCs w:val="24"/>
              </w:rPr>
            </w:pPr>
            <w:r w:rsidRPr="00EF7D77">
              <w:rPr>
                <w:szCs w:val="24"/>
              </w:rPr>
              <w:t>A Phase 1/</w:t>
            </w:r>
            <w:r w:rsidR="005762AB" w:rsidRPr="00EF7D77">
              <w:rPr>
                <w:szCs w:val="24"/>
              </w:rPr>
              <w:t>2</w:t>
            </w:r>
            <w:r w:rsidR="005762AB">
              <w:rPr>
                <w:szCs w:val="24"/>
              </w:rPr>
              <w:t> </w:t>
            </w:r>
            <w:r w:rsidRPr="00EF7D77">
              <w:rPr>
                <w:szCs w:val="24"/>
              </w:rPr>
              <w:t>Trial of SRA737 (a Chk1 inhibitor) Administered Orally in Subjects with Advanced Cancer</w:t>
            </w:r>
          </w:p>
        </w:tc>
      </w:tr>
      <w:tr w:rsidR="00DC5036" w:rsidRPr="00EF7D77" w14:paraId="078B2A7D" w14:textId="77777777" w:rsidTr="00C0453A">
        <w:trPr>
          <w:trHeight w:val="409"/>
        </w:trPr>
        <w:tc>
          <w:tcPr>
            <w:tcW w:w="2692" w:type="dxa"/>
          </w:tcPr>
          <w:p w14:paraId="5BD7B322" w14:textId="77777777" w:rsidR="00DC5036" w:rsidRPr="007D20E4" w:rsidRDefault="00DC5036" w:rsidP="00DD134D">
            <w:pPr>
              <w:pStyle w:val="C-TableHeader"/>
              <w:rPr>
                <w:sz w:val="24"/>
                <w:szCs w:val="24"/>
              </w:rPr>
            </w:pPr>
            <w:r w:rsidRPr="007D20E4">
              <w:rPr>
                <w:sz w:val="24"/>
                <w:szCs w:val="24"/>
              </w:rPr>
              <w:t>Study Number:</w:t>
            </w:r>
          </w:p>
        </w:tc>
        <w:tc>
          <w:tcPr>
            <w:tcW w:w="6658" w:type="dxa"/>
          </w:tcPr>
          <w:p w14:paraId="7D00174F" w14:textId="22D8D30A" w:rsidR="00DC5036" w:rsidRPr="00EF7D77" w:rsidRDefault="00C73D23" w:rsidP="0092473C">
            <w:pPr>
              <w:pStyle w:val="Text"/>
              <w:spacing w:before="60" w:after="60" w:line="240" w:lineRule="auto"/>
            </w:pPr>
            <w:r w:rsidRPr="00EF7D77">
              <w:t>SRA737</w:t>
            </w:r>
            <w:r w:rsidR="00C83917">
              <w:noBreakHyphen/>
            </w:r>
            <w:r w:rsidRPr="00EF7D77">
              <w:t>01</w:t>
            </w:r>
          </w:p>
        </w:tc>
      </w:tr>
      <w:tr w:rsidR="00DC5036" w:rsidRPr="00EF7D77" w14:paraId="2774253E" w14:textId="77777777" w:rsidTr="00C0453A">
        <w:trPr>
          <w:trHeight w:val="409"/>
        </w:trPr>
        <w:tc>
          <w:tcPr>
            <w:tcW w:w="2692" w:type="dxa"/>
          </w:tcPr>
          <w:p w14:paraId="4146B1ED" w14:textId="77777777" w:rsidR="00DC5036" w:rsidRPr="007D20E4" w:rsidRDefault="00DC5036" w:rsidP="00DD134D">
            <w:pPr>
              <w:pStyle w:val="C-TableHeader"/>
              <w:rPr>
                <w:sz w:val="24"/>
                <w:szCs w:val="24"/>
              </w:rPr>
            </w:pPr>
            <w:r w:rsidRPr="007D20E4">
              <w:rPr>
                <w:sz w:val="24"/>
                <w:szCs w:val="24"/>
              </w:rPr>
              <w:t>Study Phase:</w:t>
            </w:r>
          </w:p>
        </w:tc>
        <w:tc>
          <w:tcPr>
            <w:tcW w:w="6658" w:type="dxa"/>
          </w:tcPr>
          <w:p w14:paraId="50249BA7" w14:textId="43D2F5F9" w:rsidR="00DC5036" w:rsidRPr="00EF7D77" w:rsidRDefault="00656088" w:rsidP="0092473C">
            <w:pPr>
              <w:pStyle w:val="Text"/>
              <w:spacing w:before="60" w:after="60" w:line="240" w:lineRule="auto"/>
            </w:pPr>
            <w:r>
              <w:t>Phase 1/2</w:t>
            </w:r>
          </w:p>
        </w:tc>
      </w:tr>
      <w:tr w:rsidR="008F52DC" w:rsidRPr="00EF7D77" w14:paraId="299701B5" w14:textId="77777777" w:rsidTr="00C0453A">
        <w:trPr>
          <w:trHeight w:val="409"/>
        </w:trPr>
        <w:tc>
          <w:tcPr>
            <w:tcW w:w="2692" w:type="dxa"/>
          </w:tcPr>
          <w:p w14:paraId="2BF8C507" w14:textId="41617F2F" w:rsidR="008F52DC" w:rsidRPr="007D20E4" w:rsidRDefault="008F52DC" w:rsidP="00DD134D">
            <w:pPr>
              <w:pStyle w:val="C-TableHeader"/>
              <w:rPr>
                <w:sz w:val="24"/>
                <w:szCs w:val="24"/>
              </w:rPr>
            </w:pPr>
            <w:r>
              <w:rPr>
                <w:sz w:val="24"/>
                <w:szCs w:val="24"/>
              </w:rPr>
              <w:t>Compound:</w:t>
            </w:r>
          </w:p>
        </w:tc>
        <w:tc>
          <w:tcPr>
            <w:tcW w:w="6658" w:type="dxa"/>
          </w:tcPr>
          <w:p w14:paraId="01AB743D" w14:textId="0FF1CF40" w:rsidR="008F52DC" w:rsidRPr="00EF7D77" w:rsidRDefault="008F52DC" w:rsidP="0092473C">
            <w:pPr>
              <w:pStyle w:val="Text"/>
              <w:spacing w:before="60" w:after="60" w:line="240" w:lineRule="auto"/>
            </w:pPr>
            <w:r w:rsidRPr="00EF7D77">
              <w:t>SRA737</w:t>
            </w:r>
          </w:p>
        </w:tc>
      </w:tr>
      <w:tr w:rsidR="001E0B25" w:rsidRPr="00EF7D77" w14:paraId="35C98390" w14:textId="77777777" w:rsidTr="00C0453A">
        <w:trPr>
          <w:trHeight w:val="385"/>
        </w:trPr>
        <w:tc>
          <w:tcPr>
            <w:tcW w:w="2692" w:type="dxa"/>
          </w:tcPr>
          <w:p w14:paraId="38CAF7CF" w14:textId="6663CCE4" w:rsidR="001E0B25" w:rsidRPr="007D20E4" w:rsidRDefault="00BC157D" w:rsidP="00DD134D">
            <w:pPr>
              <w:pStyle w:val="C-TableHeader"/>
              <w:rPr>
                <w:sz w:val="24"/>
                <w:szCs w:val="24"/>
              </w:rPr>
            </w:pPr>
            <w:r w:rsidRPr="007D20E4">
              <w:rPr>
                <w:sz w:val="24"/>
                <w:szCs w:val="24"/>
              </w:rPr>
              <w:t>Indication:</w:t>
            </w:r>
          </w:p>
        </w:tc>
        <w:tc>
          <w:tcPr>
            <w:tcW w:w="6658" w:type="dxa"/>
          </w:tcPr>
          <w:p w14:paraId="5D9199E3" w14:textId="551DF9FF" w:rsidR="00500B08" w:rsidRPr="00EF7D77" w:rsidRDefault="00C0453A" w:rsidP="0064594A">
            <w:pPr>
              <w:spacing w:before="60" w:after="60"/>
            </w:pPr>
            <w:r w:rsidRPr="00821481">
              <w:t>Solid tumors</w:t>
            </w:r>
          </w:p>
        </w:tc>
      </w:tr>
      <w:tr w:rsidR="001E0B25" w:rsidRPr="00EF7D77" w14:paraId="422B6820" w14:textId="77777777" w:rsidTr="00C0453A">
        <w:trPr>
          <w:trHeight w:val="409"/>
        </w:trPr>
        <w:tc>
          <w:tcPr>
            <w:tcW w:w="2692" w:type="dxa"/>
          </w:tcPr>
          <w:p w14:paraId="0EC90CF3" w14:textId="6219D45B" w:rsidR="001E0B25" w:rsidRPr="007D20E4" w:rsidRDefault="00BC157D" w:rsidP="00DD134D">
            <w:pPr>
              <w:pStyle w:val="C-TableHeader"/>
              <w:rPr>
                <w:sz w:val="24"/>
                <w:szCs w:val="24"/>
              </w:rPr>
            </w:pPr>
            <w:r w:rsidRPr="007D20E4">
              <w:rPr>
                <w:sz w:val="24"/>
                <w:szCs w:val="24"/>
              </w:rPr>
              <w:t>Brief Description:</w:t>
            </w:r>
          </w:p>
        </w:tc>
        <w:tc>
          <w:tcPr>
            <w:tcW w:w="6658" w:type="dxa"/>
          </w:tcPr>
          <w:p w14:paraId="52026D64" w14:textId="39E92E8B" w:rsidR="0050135A" w:rsidRPr="00EF7D77" w:rsidRDefault="00440CAD" w:rsidP="00440CAD">
            <w:pPr>
              <w:pStyle w:val="Text"/>
              <w:spacing w:before="60" w:after="60" w:line="240" w:lineRule="auto"/>
            </w:pPr>
            <w:r w:rsidRPr="00EF7D77">
              <w:t>Multicenter, first</w:t>
            </w:r>
            <w:r w:rsidR="00C83917">
              <w:noBreakHyphen/>
            </w:r>
            <w:r w:rsidRPr="00EF7D77">
              <w:t>in</w:t>
            </w:r>
            <w:r w:rsidR="00C83917">
              <w:noBreakHyphen/>
            </w:r>
            <w:r w:rsidRPr="00EF7D77">
              <w:t>human, Phase 1/2, open</w:t>
            </w:r>
            <w:r w:rsidR="00C83917">
              <w:noBreakHyphen/>
            </w:r>
            <w:r w:rsidRPr="00EF7D77">
              <w:t>label, dose</w:t>
            </w:r>
            <w:r w:rsidR="00C83917">
              <w:noBreakHyphen/>
            </w:r>
            <w:r w:rsidRPr="00EF7D77">
              <w:t>escalation trial of SRA737</w:t>
            </w:r>
            <w:r w:rsidR="00C83917">
              <w:noBreakHyphen/>
            </w:r>
            <w:r w:rsidRPr="00EF7D77">
              <w:t>01 monotherapy in subjects with advanced solid tumors or non</w:t>
            </w:r>
            <w:r w:rsidR="00C83917">
              <w:noBreakHyphen/>
            </w:r>
            <w:r w:rsidRPr="00EF7D77">
              <w:t>Hodgkin lymphoma, with expansion to 6</w:t>
            </w:r>
            <w:r w:rsidR="00A3140C" w:rsidRPr="00EF7D77">
              <w:t> </w:t>
            </w:r>
            <w:r w:rsidRPr="00EF7D77">
              <w:t>indication</w:t>
            </w:r>
            <w:r w:rsidR="00C83917">
              <w:noBreakHyphen/>
            </w:r>
            <w:r w:rsidRPr="00EF7D77">
              <w:t xml:space="preserve">specific </w:t>
            </w:r>
            <w:r w:rsidR="00C31F60" w:rsidRPr="00EF7D77">
              <w:t>expansion cohorts</w:t>
            </w:r>
          </w:p>
        </w:tc>
      </w:tr>
      <w:tr w:rsidR="001E0B25" w:rsidRPr="00EF7D77" w14:paraId="7E4B8C60" w14:textId="77777777" w:rsidTr="00C0453A">
        <w:trPr>
          <w:trHeight w:val="385"/>
        </w:trPr>
        <w:tc>
          <w:tcPr>
            <w:tcW w:w="2692" w:type="dxa"/>
          </w:tcPr>
          <w:p w14:paraId="16466274" w14:textId="004D0292" w:rsidR="001E0B25" w:rsidRPr="007D20E4" w:rsidRDefault="00BC157D" w:rsidP="00DD134D">
            <w:pPr>
              <w:pStyle w:val="C-TableHeader"/>
              <w:rPr>
                <w:sz w:val="24"/>
                <w:szCs w:val="24"/>
              </w:rPr>
            </w:pPr>
            <w:r w:rsidRPr="007D20E4">
              <w:rPr>
                <w:sz w:val="24"/>
                <w:szCs w:val="24"/>
              </w:rPr>
              <w:t>Study Sponsor:</w:t>
            </w:r>
          </w:p>
        </w:tc>
        <w:tc>
          <w:tcPr>
            <w:tcW w:w="6658" w:type="dxa"/>
          </w:tcPr>
          <w:p w14:paraId="49BDABB6" w14:textId="77777777" w:rsidR="00A3140C" w:rsidRPr="00EF7D77" w:rsidRDefault="00C73D23" w:rsidP="00A3140C">
            <w:pPr>
              <w:pStyle w:val="C-BodyText"/>
            </w:pPr>
            <w:r w:rsidRPr="00EF7D77">
              <w:t>Sierra Oncology, Inc.</w:t>
            </w:r>
          </w:p>
          <w:p w14:paraId="253BB2EA" w14:textId="6184A53A" w:rsidR="00A3140C" w:rsidRPr="00EF7D77" w:rsidRDefault="00A3140C" w:rsidP="00A3140C">
            <w:pPr>
              <w:pStyle w:val="C-BodyText"/>
            </w:pPr>
            <w:r w:rsidRPr="00821481">
              <w:t>46701 Commerce Center Drive</w:t>
            </w:r>
            <w:r w:rsidRPr="00821481">
              <w:br/>
              <w:t>Plymouth, MI</w:t>
            </w:r>
            <w:r w:rsidR="001408AE">
              <w:t xml:space="preserve"> </w:t>
            </w:r>
            <w:r w:rsidRPr="00821481">
              <w:t>48170</w:t>
            </w:r>
            <w:r w:rsidRPr="00821481">
              <w:br/>
              <w:t>Tel: 734</w:t>
            </w:r>
            <w:r w:rsidR="00C83917">
              <w:noBreakHyphen/>
            </w:r>
            <w:r w:rsidRPr="00821481">
              <w:t>233</w:t>
            </w:r>
            <w:r w:rsidR="00C83917">
              <w:noBreakHyphen/>
            </w:r>
            <w:r w:rsidRPr="00821481">
              <w:t>3966</w:t>
            </w:r>
          </w:p>
        </w:tc>
      </w:tr>
      <w:tr w:rsidR="001E0B25" w:rsidRPr="00EF7D77" w14:paraId="098445D7" w14:textId="77777777" w:rsidTr="00C0453A">
        <w:trPr>
          <w:trHeight w:val="409"/>
        </w:trPr>
        <w:tc>
          <w:tcPr>
            <w:tcW w:w="2692" w:type="dxa"/>
          </w:tcPr>
          <w:p w14:paraId="5D0D48CD" w14:textId="570EE4D1" w:rsidR="001E0B25" w:rsidRPr="007D20E4" w:rsidRDefault="00BC157D" w:rsidP="00DD134D">
            <w:pPr>
              <w:pStyle w:val="C-TableHeader"/>
              <w:rPr>
                <w:sz w:val="24"/>
                <w:szCs w:val="24"/>
              </w:rPr>
            </w:pPr>
            <w:r w:rsidRPr="007D20E4">
              <w:rPr>
                <w:sz w:val="24"/>
                <w:szCs w:val="24"/>
              </w:rPr>
              <w:t>Study Initiation Date:</w:t>
            </w:r>
          </w:p>
        </w:tc>
        <w:tc>
          <w:tcPr>
            <w:tcW w:w="6658" w:type="dxa"/>
          </w:tcPr>
          <w:p w14:paraId="61AEC9E5" w14:textId="49679335" w:rsidR="00C0453A" w:rsidRPr="00EF7D77" w:rsidRDefault="00C0453A" w:rsidP="00C0453A">
            <w:pPr>
              <w:pStyle w:val="C-BodyText"/>
            </w:pPr>
            <w:r w:rsidRPr="00EF7D77">
              <w:t>18</w:t>
            </w:r>
            <w:r w:rsidR="00440CAD" w:rsidRPr="00EF7D77">
              <w:t> </w:t>
            </w:r>
            <w:r w:rsidRPr="00EF7D77">
              <w:t>Jul</w:t>
            </w:r>
            <w:r w:rsidR="00DA117E" w:rsidRPr="00EF7D77">
              <w:t>y</w:t>
            </w:r>
            <w:r w:rsidR="00440CAD" w:rsidRPr="00EF7D77">
              <w:t> </w:t>
            </w:r>
            <w:r w:rsidRPr="00EF7D77">
              <w:t>2016 (first dose of SRA737)</w:t>
            </w:r>
          </w:p>
        </w:tc>
      </w:tr>
      <w:tr w:rsidR="00727112" w:rsidRPr="00EF7D77" w14:paraId="69FBE5F3" w14:textId="77777777" w:rsidTr="00C0453A">
        <w:trPr>
          <w:trHeight w:val="409"/>
        </w:trPr>
        <w:tc>
          <w:tcPr>
            <w:tcW w:w="2692" w:type="dxa"/>
          </w:tcPr>
          <w:p w14:paraId="3D80B170" w14:textId="06341D3F" w:rsidR="00727112" w:rsidRPr="007D20E4" w:rsidRDefault="00727112" w:rsidP="00727112">
            <w:pPr>
              <w:pStyle w:val="C-TableHeader"/>
              <w:rPr>
                <w:sz w:val="24"/>
                <w:szCs w:val="24"/>
              </w:rPr>
            </w:pPr>
            <w:r w:rsidRPr="007D20E4">
              <w:rPr>
                <w:sz w:val="24"/>
                <w:szCs w:val="24"/>
              </w:rPr>
              <w:t>Study Completion Date:</w:t>
            </w:r>
          </w:p>
        </w:tc>
        <w:tc>
          <w:tcPr>
            <w:tcW w:w="6658" w:type="dxa"/>
          </w:tcPr>
          <w:p w14:paraId="3619A2BC" w14:textId="77777777" w:rsidR="00727112" w:rsidRPr="00EF7D77" w:rsidRDefault="00727112" w:rsidP="00727112">
            <w:pPr>
              <w:pStyle w:val="C-BodyText"/>
            </w:pPr>
            <w:r w:rsidRPr="00EF7D77">
              <w:t>28 October 2019 (last subject visit)</w:t>
            </w:r>
          </w:p>
          <w:p w14:paraId="372A39E5" w14:textId="0EACEACD" w:rsidR="00727112" w:rsidRPr="00EF7D77" w:rsidRDefault="00727112" w:rsidP="00727112">
            <w:pPr>
              <w:pStyle w:val="C-BodyText"/>
            </w:pPr>
            <w:r w:rsidRPr="00EF7D77">
              <w:t>The analyses presented in this report are based on a database lock date of</w:t>
            </w:r>
            <w:r w:rsidRPr="00EF7D77">
              <w:rPr>
                <w:color w:val="0070C0"/>
              </w:rPr>
              <w:t xml:space="preserve"> </w:t>
            </w:r>
            <w:r w:rsidR="08DD80CB" w:rsidRPr="00821481">
              <w:t>19</w:t>
            </w:r>
            <w:r w:rsidR="008402A8" w:rsidRPr="00EF7D77">
              <w:t> December </w:t>
            </w:r>
            <w:r w:rsidR="08DD80CB" w:rsidRPr="00821481">
              <w:t>2019</w:t>
            </w:r>
          </w:p>
        </w:tc>
      </w:tr>
      <w:tr w:rsidR="001E0B25" w:rsidRPr="00EF7D77" w14:paraId="225B9DCC" w14:textId="77777777" w:rsidTr="00C0453A">
        <w:trPr>
          <w:trHeight w:val="409"/>
        </w:trPr>
        <w:tc>
          <w:tcPr>
            <w:tcW w:w="2692" w:type="dxa"/>
          </w:tcPr>
          <w:p w14:paraId="49133EC6" w14:textId="733171ED" w:rsidR="001E0B25" w:rsidRPr="007D20E4" w:rsidRDefault="00C967CA" w:rsidP="00DD134D">
            <w:pPr>
              <w:pStyle w:val="C-TableHeader"/>
              <w:rPr>
                <w:sz w:val="24"/>
                <w:szCs w:val="24"/>
              </w:rPr>
            </w:pPr>
            <w:r w:rsidRPr="007D20E4">
              <w:rPr>
                <w:sz w:val="24"/>
                <w:szCs w:val="24"/>
              </w:rPr>
              <w:t>Regulatory Agency Identifier Number</w:t>
            </w:r>
            <w:r w:rsidR="00715025" w:rsidRPr="007D20E4">
              <w:rPr>
                <w:sz w:val="24"/>
                <w:szCs w:val="24"/>
              </w:rPr>
              <w:t>:</w:t>
            </w:r>
          </w:p>
        </w:tc>
        <w:tc>
          <w:tcPr>
            <w:tcW w:w="6658" w:type="dxa"/>
          </w:tcPr>
          <w:p w14:paraId="3CFC54BA" w14:textId="46F0B1FB" w:rsidR="00E00CF2" w:rsidRPr="00EF7D77" w:rsidRDefault="00E00CF2" w:rsidP="00E00CF2">
            <w:pPr>
              <w:pStyle w:val="C-BodyText"/>
            </w:pPr>
            <w:r w:rsidRPr="00EF7D77">
              <w:t>EudraCT Number:</w:t>
            </w:r>
            <w:r w:rsidR="001408AE">
              <w:t xml:space="preserve"> </w:t>
            </w:r>
            <w:r w:rsidRPr="00EF7D77">
              <w:t>201500448686</w:t>
            </w:r>
          </w:p>
          <w:p w14:paraId="025C19EF" w14:textId="184440DF" w:rsidR="00E00CF2" w:rsidRPr="00EF7D77" w:rsidRDefault="007F097A" w:rsidP="00E00CF2">
            <w:pPr>
              <w:pStyle w:val="C-BodyText"/>
            </w:pPr>
            <w:r w:rsidRPr="00EF7D77">
              <w:t>NCT Number:</w:t>
            </w:r>
            <w:r w:rsidR="004C4F99" w:rsidRPr="00EF7D77">
              <w:t xml:space="preserve"> NCT</w:t>
            </w:r>
            <w:r w:rsidR="006471A4" w:rsidRPr="00EF7D77">
              <w:t>02797964</w:t>
            </w:r>
          </w:p>
        </w:tc>
      </w:tr>
      <w:tr w:rsidR="00206818" w:rsidRPr="00EF7D77" w14:paraId="5CF3B25D" w14:textId="77777777" w:rsidTr="00335EB4">
        <w:trPr>
          <w:trHeight w:val="409"/>
        </w:trPr>
        <w:tc>
          <w:tcPr>
            <w:tcW w:w="2692" w:type="dxa"/>
          </w:tcPr>
          <w:p w14:paraId="7FCEFF1A" w14:textId="77777777" w:rsidR="00206818" w:rsidRPr="007D20E4" w:rsidRDefault="00206818" w:rsidP="00335EB4">
            <w:pPr>
              <w:pStyle w:val="C-TableHeader"/>
              <w:rPr>
                <w:sz w:val="24"/>
                <w:szCs w:val="24"/>
              </w:rPr>
            </w:pPr>
            <w:r w:rsidRPr="007D20E4">
              <w:rPr>
                <w:sz w:val="24"/>
                <w:szCs w:val="24"/>
              </w:rPr>
              <w:t>Report Date:</w:t>
            </w:r>
          </w:p>
        </w:tc>
        <w:tc>
          <w:tcPr>
            <w:tcW w:w="6658" w:type="dxa"/>
          </w:tcPr>
          <w:p w14:paraId="431D7A90" w14:textId="77777777" w:rsidR="00206818" w:rsidRPr="00EF7D77" w:rsidRDefault="00206818" w:rsidP="00335EB4">
            <w:pPr>
              <w:pStyle w:val="C-InstructionText"/>
              <w:rPr>
                <w:vanish w:val="0"/>
              </w:rPr>
            </w:pPr>
            <w:r w:rsidRPr="002752A9">
              <w:rPr>
                <w:vanish w:val="0"/>
                <w:color w:val="auto"/>
                <w:szCs w:val="20"/>
              </w:rPr>
              <w:t>Final CSR</w:t>
            </w:r>
            <w:r w:rsidRPr="002752A9">
              <w:rPr>
                <w:vanish w:val="0"/>
                <w:color w:val="auto"/>
                <w:szCs w:val="20"/>
              </w:rPr>
              <w:tab/>
              <w:t>17 Aug 2021</w:t>
            </w:r>
          </w:p>
        </w:tc>
      </w:tr>
      <w:tr w:rsidR="000E2846" w:rsidRPr="00EF7D77" w14:paraId="49186693" w14:textId="77777777" w:rsidTr="00C0453A">
        <w:trPr>
          <w:trHeight w:val="409"/>
        </w:trPr>
        <w:tc>
          <w:tcPr>
            <w:tcW w:w="9350" w:type="dxa"/>
            <w:gridSpan w:val="2"/>
          </w:tcPr>
          <w:p w14:paraId="2D3E4637" w14:textId="222F6FF3" w:rsidR="000E2846" w:rsidRPr="007D20E4" w:rsidRDefault="00EE384D" w:rsidP="001731D3">
            <w:pPr>
              <w:pStyle w:val="C-BodyText"/>
              <w:rPr>
                <w:i/>
                <w:iCs/>
                <w:szCs w:val="24"/>
              </w:rPr>
            </w:pPr>
            <w:r w:rsidRPr="007D20E4">
              <w:rPr>
                <w:szCs w:val="24"/>
              </w:rPr>
              <w:t>This study was conducted in accordance with the ethical principles of Good Clinical Practice, according to the ICH Harmonized Tripartite Guideline, including the archiving of essential documents.</w:t>
            </w:r>
          </w:p>
        </w:tc>
      </w:tr>
    </w:tbl>
    <w:p w14:paraId="06F4FEF1" w14:textId="7FE50AF6" w:rsidR="00623B11" w:rsidRPr="00EF7D77" w:rsidRDefault="00623B11" w:rsidP="00F20D93">
      <w:pPr>
        <w:pStyle w:val="C-BodyText"/>
      </w:pPr>
    </w:p>
    <w:p w14:paraId="156AA5C2" w14:textId="359BE159" w:rsidR="00D86901" w:rsidRPr="00EF7D77" w:rsidRDefault="00D86901" w:rsidP="00DD134D">
      <w:pPr>
        <w:pStyle w:val="C-Heading1non-numbered"/>
        <w:rPr>
          <w:szCs w:val="28"/>
        </w:rPr>
      </w:pPr>
      <w:bookmarkStart w:id="0" w:name="_Toc78576065"/>
      <w:r w:rsidRPr="0095640C">
        <w:lastRenderedPageBreak/>
        <w:t>S</w:t>
      </w:r>
      <w:r w:rsidR="00DB64B1" w:rsidRPr="0095640C">
        <w:t>ynopsis</w:t>
      </w:r>
      <w:r w:rsidR="002010FA" w:rsidRPr="00EF7D77">
        <w:tab/>
      </w:r>
      <w:r w:rsidR="002010FA" w:rsidRPr="00EF7D77">
        <w:rPr>
          <w:color w:val="FFFFFF" w:themeColor="background1"/>
        </w:rPr>
        <w:t>.</w:t>
      </w:r>
      <w:bookmarkEnd w:id="0"/>
    </w:p>
    <w:p w14:paraId="6078F578" w14:textId="6E1843A4" w:rsidR="00874827" w:rsidRPr="00EF7D77" w:rsidRDefault="00D924B0" w:rsidP="006D60AC">
      <w:pPr>
        <w:pStyle w:val="C-BodyText"/>
      </w:pPr>
      <w:r w:rsidRPr="00EF7D77">
        <w:rPr>
          <w:rFonts w:eastAsiaTheme="minorHAnsi"/>
          <w:b/>
          <w:bCs/>
        </w:rPr>
        <w:t>N</w:t>
      </w:r>
      <w:r w:rsidR="009A06C6" w:rsidRPr="00EF7D77">
        <w:rPr>
          <w:rFonts w:eastAsiaTheme="minorHAnsi"/>
          <w:b/>
          <w:bCs/>
        </w:rPr>
        <w:t>umber of Study Center(s) and Countries</w:t>
      </w:r>
      <w:r w:rsidRPr="00EF7D77">
        <w:rPr>
          <w:rFonts w:eastAsiaTheme="minorHAnsi"/>
          <w:b/>
          <w:bCs/>
        </w:rPr>
        <w:t>:</w:t>
      </w:r>
      <w:r w:rsidR="004801E0" w:rsidRPr="00EF7D77">
        <w:rPr>
          <w:rFonts w:eastAsiaTheme="minorHAnsi"/>
          <w:b/>
          <w:bCs/>
        </w:rPr>
        <w:t xml:space="preserve"> </w:t>
      </w:r>
      <w:r w:rsidR="00617018" w:rsidRPr="00EF7D77">
        <w:t xml:space="preserve">This study was conducted at </w:t>
      </w:r>
      <w:r w:rsidR="001C1DAC" w:rsidRPr="00EF7D77">
        <w:t>1</w:t>
      </w:r>
      <w:r w:rsidR="005762AB" w:rsidRPr="00EF7D77">
        <w:t>5</w:t>
      </w:r>
      <w:r w:rsidR="005762AB">
        <w:t> </w:t>
      </w:r>
      <w:r w:rsidR="00617018" w:rsidRPr="00EF7D77">
        <w:t>centers</w:t>
      </w:r>
      <w:r w:rsidR="00874827" w:rsidRPr="00EF7D77">
        <w:t xml:space="preserve"> in the UK, 13 of which</w:t>
      </w:r>
      <w:r w:rsidR="00617018" w:rsidRPr="00EF7D77">
        <w:t xml:space="preserve"> </w:t>
      </w:r>
      <w:r w:rsidR="001C1DAC" w:rsidRPr="00EF7D77">
        <w:t>enrolled</w:t>
      </w:r>
      <w:r w:rsidR="00617018" w:rsidRPr="00EF7D77">
        <w:t xml:space="preserve"> </w:t>
      </w:r>
      <w:r w:rsidR="007B771C" w:rsidRPr="00EF7D77">
        <w:t>subject</w:t>
      </w:r>
      <w:r w:rsidR="00617018" w:rsidRPr="00EF7D77">
        <w:t>s in</w:t>
      </w:r>
      <w:r w:rsidR="001C1DAC" w:rsidRPr="00EF7D77">
        <w:t xml:space="preserve"> the </w:t>
      </w:r>
      <w:r w:rsidR="00874827" w:rsidRPr="00EF7D77">
        <w:t>study.</w:t>
      </w:r>
    </w:p>
    <w:p w14:paraId="3EDB92BA" w14:textId="33E7ED67" w:rsidR="00062574" w:rsidRPr="00EF7D77" w:rsidRDefault="00DF5E75" w:rsidP="006D60AC">
      <w:pPr>
        <w:pStyle w:val="C-BodyText"/>
        <w:rPr>
          <w:rFonts w:eastAsiaTheme="minorHAnsi"/>
        </w:rPr>
      </w:pPr>
      <w:r w:rsidRPr="00EF7D77">
        <w:rPr>
          <w:rFonts w:eastAsiaTheme="minorHAnsi"/>
          <w:b/>
          <w:bCs/>
        </w:rPr>
        <w:t>P</w:t>
      </w:r>
      <w:r w:rsidR="009A06C6" w:rsidRPr="00EF7D77">
        <w:rPr>
          <w:rFonts w:eastAsiaTheme="minorHAnsi"/>
          <w:b/>
          <w:bCs/>
        </w:rPr>
        <w:t>ublications</w:t>
      </w:r>
      <w:r w:rsidR="00D924B0" w:rsidRPr="00EF7D77">
        <w:rPr>
          <w:rFonts w:eastAsiaTheme="minorHAnsi"/>
          <w:b/>
          <w:bCs/>
        </w:rPr>
        <w:t xml:space="preserve">: </w:t>
      </w:r>
    </w:p>
    <w:p w14:paraId="09383858" w14:textId="10F02405" w:rsidR="005812E1" w:rsidRPr="00EF7D77" w:rsidRDefault="00DB6213" w:rsidP="005812E1">
      <w:pPr>
        <w:pStyle w:val="C-BodyText"/>
      </w:pPr>
      <w:r w:rsidRPr="00EF7D77">
        <w:t>ER</w:t>
      </w:r>
      <w:r w:rsidR="005812E1" w:rsidRPr="00EF7D77">
        <w:t xml:space="preserve"> Plummer, </w:t>
      </w:r>
      <w:r w:rsidRPr="00EF7D77">
        <w:t>RS</w:t>
      </w:r>
      <w:r w:rsidR="005812E1" w:rsidRPr="00EF7D77">
        <w:t xml:space="preserve"> Kristeleit, </w:t>
      </w:r>
      <w:r w:rsidRPr="00EF7D77">
        <w:t>E</w:t>
      </w:r>
      <w:r w:rsidR="005812E1" w:rsidRPr="00EF7D77">
        <w:t xml:space="preserve"> Cojocaru, et al. A first</w:t>
      </w:r>
      <w:r w:rsidR="00C83917">
        <w:noBreakHyphen/>
      </w:r>
      <w:r w:rsidR="005812E1" w:rsidRPr="00EF7D77">
        <w:t>in</w:t>
      </w:r>
      <w:r w:rsidR="00C83917">
        <w:noBreakHyphen/>
      </w:r>
      <w:r w:rsidR="005812E1" w:rsidRPr="00EF7D77">
        <w:t>human phase I/II trial of SRA737 (a Chk1 Inhibitor) in subjects with advanced cancer. American Society of Clinical Oncology. 2019; Abstract 3094.</w:t>
      </w:r>
    </w:p>
    <w:p w14:paraId="157EDECD" w14:textId="3D454FE8" w:rsidR="00D0414C" w:rsidRDefault="008A5A0E" w:rsidP="00D0414C">
      <w:pPr>
        <w:pStyle w:val="C-BodyText"/>
      </w:pPr>
      <w:r w:rsidRPr="00EF7D77">
        <w:rPr>
          <w:rFonts w:eastAsiaTheme="minorHAnsi"/>
          <w:b/>
          <w:bCs/>
        </w:rPr>
        <w:t>Rationale</w:t>
      </w:r>
      <w:r w:rsidRPr="00EF7D77">
        <w:rPr>
          <w:b/>
          <w:bCs/>
        </w:rPr>
        <w:t>:</w:t>
      </w:r>
      <w:r w:rsidR="00D72CBE" w:rsidRPr="00EF7D77">
        <w:t xml:space="preserve"> </w:t>
      </w:r>
      <w:r w:rsidR="00D0414C">
        <w:t xml:space="preserve">SRA737 is a highly selective, orally bioavailable small molecule inhibitor of Chk1, a central regulator of the DNA damage response (DDR) network. In cancer cells, replication stress induced by oncogenes (eg, MYC and RAS oncogenes) combined with loss of function in tumor suppressors (eg, TP53) results in persistent DNA damage and genomic instability, a trigger of the DDR network. Targeted inhibition of the remaining components of the DDR network such as Chk1 by SRA737 may have utility in a range of tumor indications particularly in tumors with high rates of replication stress and genomic instability. </w:t>
      </w:r>
    </w:p>
    <w:p w14:paraId="28828B80" w14:textId="3D4F3E89" w:rsidR="008A5A0E" w:rsidRPr="00EF7D77" w:rsidRDefault="00D0414C" w:rsidP="00D0414C">
      <w:pPr>
        <w:pStyle w:val="C-BodyText"/>
      </w:pPr>
      <w:r>
        <w:t>A body of experimental data supports the exploration of SRA737 as a single agent particularly in a molecularly</w:t>
      </w:r>
      <w:r w:rsidR="00D81B5D">
        <w:t>-</w:t>
      </w:r>
      <w:r>
        <w:t xml:space="preserve">defined population. This first in human dose escalation study has been designed to define the recommended Phase 2 dose (RP2D) for SRA737, while also evaluating which patients are most likely to benefit from treatment. Specific </w:t>
      </w:r>
      <w:r w:rsidR="00003568">
        <w:t xml:space="preserve">Cohort </w:t>
      </w:r>
      <w:r>
        <w:t xml:space="preserve">Expansion </w:t>
      </w:r>
      <w:r w:rsidR="00003568">
        <w:t xml:space="preserve">Phase </w:t>
      </w:r>
      <w:r>
        <w:t>indications have been selected with prospectively</w:t>
      </w:r>
      <w:r w:rsidR="00D81B5D">
        <w:t>-</w:t>
      </w:r>
      <w:r>
        <w:t>selected genetically</w:t>
      </w:r>
      <w:r w:rsidR="00D81B5D">
        <w:t>-</w:t>
      </w:r>
      <w:r>
        <w:t xml:space="preserve">defined subjects in tumor types that are known to have a high prevalence of genomic aberrations hypothesized to sensitize the tumor to Chk1 inhibition. Prospective selection of patients most likely to derive benefit from SRA737 will provide data to support the selection of specific indications and inform refinement of patient selection strategies in further clinical development. The indications for the </w:t>
      </w:r>
      <w:r w:rsidR="00D269B0">
        <w:t xml:space="preserve">expansion cohorts </w:t>
      </w:r>
      <w:r>
        <w:t>have been selected both on the scientific hypothesis of greater likelihood for benefit, as well as the high unmet medical need in these populations where alternative therapies are required.</w:t>
      </w:r>
    </w:p>
    <w:p w14:paraId="4326DF76" w14:textId="77777777" w:rsidR="00F7274C" w:rsidRDefault="00F7274C">
      <w:pPr>
        <w:spacing w:after="160" w:line="259" w:lineRule="auto"/>
        <w:rPr>
          <w:rFonts w:cs="Times New Roman"/>
          <w:b/>
          <w:bCs/>
        </w:rPr>
      </w:pPr>
      <w:bookmarkStart w:id="1" w:name="_Hlk523233897"/>
      <w:r>
        <w:rPr>
          <w:b/>
          <w:bCs/>
        </w:rPr>
        <w:br w:type="page"/>
      </w:r>
    </w:p>
    <w:p w14:paraId="64A3FB15" w14:textId="0700EDDB" w:rsidR="00352C9A" w:rsidRPr="009A6231" w:rsidRDefault="00363FB8" w:rsidP="007C2FCE">
      <w:pPr>
        <w:pStyle w:val="C-BodyText"/>
      </w:pPr>
      <w:r w:rsidRPr="00EF7D77">
        <w:rPr>
          <w:b/>
          <w:bCs/>
        </w:rPr>
        <w:lastRenderedPageBreak/>
        <w:t>Objectives, Endpoints, </w:t>
      </w:r>
      <w:proofErr w:type="spellStart"/>
      <w:r w:rsidRPr="00EF7D77">
        <w:rPr>
          <w:b/>
          <w:bCs/>
        </w:rPr>
        <w:t>Estimands</w:t>
      </w:r>
      <w:proofErr w:type="spellEnd"/>
      <w:r w:rsidRPr="00EF7D77">
        <w:rPr>
          <w:b/>
          <w:bCs/>
        </w:rPr>
        <w:t>, and Statistical Methods</w:t>
      </w:r>
      <w:r w:rsidR="00D72CBE" w:rsidRPr="00EF7D77">
        <w:rPr>
          <w:b/>
          <w:bCs/>
        </w:rPr>
        <w:t>:</w:t>
      </w:r>
      <w:r w:rsidR="00D72CBE" w:rsidRPr="00EF7D77">
        <w:t xml:space="preserve"> </w:t>
      </w:r>
      <w:r w:rsidR="00352C9A" w:rsidRPr="009A6231">
        <w:t xml:space="preserve">Study SRA737-01 study objectives and endpoints are described in the table below. </w:t>
      </w:r>
      <w:r w:rsidR="0065451F">
        <w:br/>
      </w:r>
      <w:r w:rsidR="00352C9A" w:rsidRPr="009A6231">
        <w:t xml:space="preserve"> </w:t>
      </w:r>
    </w:p>
    <w:tbl>
      <w:tblPr>
        <w:tblStyle w:val="C-Table"/>
        <w:tblpPr w:leftFromText="180" w:rightFromText="180" w:vertAnchor="text" w:horzAnchor="margin" w:tblpY="152"/>
        <w:tblW w:w="0" w:type="auto"/>
        <w:tblLook w:val="04A0" w:firstRow="1" w:lastRow="0" w:firstColumn="1" w:lastColumn="0" w:noHBand="0" w:noVBand="1"/>
      </w:tblPr>
      <w:tblGrid>
        <w:gridCol w:w="4009"/>
        <w:gridCol w:w="4873"/>
      </w:tblGrid>
      <w:tr w:rsidR="00352C9A" w:rsidRPr="009A6231" w14:paraId="3749606E" w14:textId="77777777" w:rsidTr="00585C7E">
        <w:trPr>
          <w:cantSplit w:val="0"/>
        </w:trPr>
        <w:tc>
          <w:tcPr>
            <w:tcW w:w="4009" w:type="dxa"/>
          </w:tcPr>
          <w:p w14:paraId="01E44660" w14:textId="77777777" w:rsidR="00352C9A" w:rsidRPr="009A6231" w:rsidRDefault="00352C9A" w:rsidP="00585C7E">
            <w:pPr>
              <w:pStyle w:val="C-TableHeader"/>
            </w:pPr>
            <w:r w:rsidRPr="009A6231">
              <w:t>Primary Objectives</w:t>
            </w:r>
            <w:r w:rsidRPr="009A6231">
              <w:br/>
            </w:r>
          </w:p>
        </w:tc>
        <w:tc>
          <w:tcPr>
            <w:tcW w:w="4873" w:type="dxa"/>
          </w:tcPr>
          <w:p w14:paraId="2D6C857A" w14:textId="77777777" w:rsidR="00352C9A" w:rsidRPr="009A6231" w:rsidRDefault="00352C9A" w:rsidP="00585C7E">
            <w:pPr>
              <w:pStyle w:val="C-TableHeader"/>
              <w:rPr>
                <w:rFonts w:eastAsia="Times"/>
              </w:rPr>
            </w:pPr>
            <w:r w:rsidRPr="009A6231">
              <w:rPr>
                <w:rFonts w:eastAsia="Times"/>
              </w:rPr>
              <w:t>Endpoints</w:t>
            </w:r>
          </w:p>
        </w:tc>
      </w:tr>
      <w:tr w:rsidR="00352C9A" w:rsidRPr="009A6231" w14:paraId="294A2D25" w14:textId="77777777" w:rsidTr="00585C7E">
        <w:trPr>
          <w:cantSplit w:val="0"/>
          <w:trHeight w:val="20"/>
        </w:trPr>
        <w:tc>
          <w:tcPr>
            <w:tcW w:w="4009" w:type="dxa"/>
          </w:tcPr>
          <w:p w14:paraId="150534E7" w14:textId="77777777" w:rsidR="00352C9A" w:rsidRPr="009A6231" w:rsidRDefault="00352C9A" w:rsidP="00585C7E">
            <w:pPr>
              <w:pStyle w:val="C-TableText"/>
            </w:pPr>
            <w:r w:rsidRPr="009A6231">
              <w:t>To establish the safety profile of SRA737</w:t>
            </w:r>
          </w:p>
        </w:tc>
        <w:tc>
          <w:tcPr>
            <w:tcW w:w="4873" w:type="dxa"/>
          </w:tcPr>
          <w:p w14:paraId="03CB4CB3" w14:textId="77777777" w:rsidR="00352C9A" w:rsidRPr="009A6231" w:rsidRDefault="00352C9A" w:rsidP="00585C7E">
            <w:pPr>
              <w:pStyle w:val="C-TableText"/>
            </w:pPr>
            <w:r w:rsidRPr="009A6231">
              <w:t>Safety parameters (referencing National Cancer Institute – Common Terminology Criteria for Adverse Events [NCI</w:t>
            </w:r>
            <w:r w:rsidRPr="009A6231">
              <w:noBreakHyphen/>
              <w:t xml:space="preserve">CTCAE] v4.03) including: incidence, seriousness, severity and causality of each adverse event (AE) to SRA737, timing of AE onset, AE duration, and AEs leading to interruption, modification, or discontinuation of study treatment, and primary reason for discontinuation of study treatment if other than disease progression (PD), laboratory (eg, clinical chemistry, hematology, urinalysis) and vital sign data </w:t>
            </w:r>
          </w:p>
        </w:tc>
      </w:tr>
      <w:tr w:rsidR="00352C9A" w:rsidRPr="009A6231" w14:paraId="603C2CE9" w14:textId="77777777" w:rsidTr="00585C7E">
        <w:trPr>
          <w:cantSplit w:val="0"/>
          <w:trHeight w:val="20"/>
        </w:trPr>
        <w:tc>
          <w:tcPr>
            <w:tcW w:w="4009" w:type="dxa"/>
          </w:tcPr>
          <w:p w14:paraId="1DB2AE2C" w14:textId="77777777" w:rsidR="00352C9A" w:rsidRPr="009A6231" w:rsidRDefault="00352C9A" w:rsidP="00585C7E">
            <w:pPr>
              <w:pStyle w:val="C-TableText"/>
            </w:pPr>
            <w:r w:rsidRPr="009A6231">
              <w:t>To determine the maximum tolerated dose (MTD) with 1 or more schedules of administration of SRA737</w:t>
            </w:r>
          </w:p>
        </w:tc>
        <w:tc>
          <w:tcPr>
            <w:tcW w:w="4873" w:type="dxa"/>
          </w:tcPr>
          <w:p w14:paraId="6AD09DA2" w14:textId="77777777" w:rsidR="00352C9A" w:rsidRPr="009A6231" w:rsidRDefault="00352C9A" w:rsidP="00585C7E">
            <w:pPr>
              <w:pStyle w:val="C-TableText"/>
            </w:pPr>
            <w:r w:rsidRPr="009A6231">
              <w:t>The highest dose at which ≤ 33% of subjects have a dose</w:t>
            </w:r>
            <w:r w:rsidRPr="009A6231">
              <w:noBreakHyphen/>
              <w:t>limiting toxicity (DLT) in a cohort of up to 6 subjects</w:t>
            </w:r>
          </w:p>
        </w:tc>
      </w:tr>
      <w:tr w:rsidR="00352C9A" w:rsidRPr="009A6231" w:rsidDel="00844A98" w14:paraId="307B1C37" w14:textId="77777777" w:rsidTr="00585C7E">
        <w:trPr>
          <w:cantSplit w:val="0"/>
          <w:trHeight w:val="20"/>
        </w:trPr>
        <w:tc>
          <w:tcPr>
            <w:tcW w:w="4009" w:type="dxa"/>
          </w:tcPr>
          <w:p w14:paraId="7F93D78F" w14:textId="77777777" w:rsidR="00352C9A" w:rsidRPr="009A6231" w:rsidRDefault="00352C9A" w:rsidP="00585C7E">
            <w:pPr>
              <w:pStyle w:val="C-TableText"/>
            </w:pPr>
            <w:r w:rsidRPr="009A6231">
              <w:t xml:space="preserve">To propose a recommended Phase 2 dose and schedule of SRA737 </w:t>
            </w:r>
          </w:p>
          <w:p w14:paraId="65C17EE2" w14:textId="77777777" w:rsidR="00352C9A" w:rsidRPr="009A6231" w:rsidRDefault="00352C9A" w:rsidP="00585C7E">
            <w:pPr>
              <w:pStyle w:val="C-TableText"/>
            </w:pPr>
          </w:p>
        </w:tc>
        <w:tc>
          <w:tcPr>
            <w:tcW w:w="4873" w:type="dxa"/>
          </w:tcPr>
          <w:p w14:paraId="4B2DA0B5" w14:textId="77777777" w:rsidR="00352C9A" w:rsidRPr="009A6231" w:rsidDel="00844A98" w:rsidRDefault="00352C9A" w:rsidP="00585C7E">
            <w:pPr>
              <w:pStyle w:val="C-TableText"/>
            </w:pPr>
            <w:r w:rsidRPr="009A6231">
              <w:t>A safe and well tolerated dose and schedule that provides high exposure, based on all available pharmacokinetics (PK), pharmacodynamics (</w:t>
            </w:r>
            <w:proofErr w:type="spellStart"/>
            <w:r w:rsidRPr="009A6231">
              <w:t>PDn</w:t>
            </w:r>
            <w:proofErr w:type="spellEnd"/>
            <w:r w:rsidRPr="009A6231">
              <w:t>), and safety parameter data from all cycles of therapy</w:t>
            </w:r>
            <w:r w:rsidRPr="009A6231" w:rsidDel="002E1CFE">
              <w:t xml:space="preserve"> </w:t>
            </w:r>
          </w:p>
        </w:tc>
      </w:tr>
      <w:tr w:rsidR="00352C9A" w:rsidRPr="009A6231" w14:paraId="44674B71" w14:textId="77777777" w:rsidTr="00585C7E">
        <w:trPr>
          <w:cantSplit w:val="0"/>
          <w:trHeight w:val="20"/>
        </w:trPr>
        <w:tc>
          <w:tcPr>
            <w:tcW w:w="4009" w:type="dxa"/>
          </w:tcPr>
          <w:p w14:paraId="7DF6495C" w14:textId="72B2E848" w:rsidR="00352C9A" w:rsidRPr="009A6231" w:rsidRDefault="00352C9A" w:rsidP="00585C7E">
            <w:pPr>
              <w:pStyle w:val="C-TableText"/>
            </w:pPr>
            <w:r w:rsidRPr="009A6231">
              <w:t>To evaluate the preliminary efficacy of SRA737 including efficacy in prospectively</w:t>
            </w:r>
            <w:r w:rsidRPr="009A6231">
              <w:noBreakHyphen/>
              <w:t>selected genetically</w:t>
            </w:r>
            <w:r w:rsidRPr="009A6231">
              <w:noBreakHyphen/>
              <w:t>defined subjects enrolled into indication</w:t>
            </w:r>
            <w:r w:rsidRPr="009A6231">
              <w:noBreakHyphen/>
              <w:t xml:space="preserve">specific </w:t>
            </w:r>
            <w:r w:rsidR="00637E16" w:rsidRPr="009A6231">
              <w:t>expansion cohort</w:t>
            </w:r>
            <w:r w:rsidRPr="009A6231">
              <w:t>s</w:t>
            </w:r>
          </w:p>
        </w:tc>
        <w:tc>
          <w:tcPr>
            <w:tcW w:w="4873" w:type="dxa"/>
          </w:tcPr>
          <w:p w14:paraId="6C695763" w14:textId="77777777" w:rsidR="00352C9A" w:rsidRPr="009A6231" w:rsidRDefault="00352C9A" w:rsidP="00585C7E">
            <w:pPr>
              <w:pStyle w:val="C-TableText"/>
            </w:pPr>
            <w:r w:rsidRPr="009A6231">
              <w:t xml:space="preserve">Objective response rate (ORR) </w:t>
            </w:r>
          </w:p>
          <w:p w14:paraId="204A72AB" w14:textId="77777777" w:rsidR="00352C9A" w:rsidRPr="009A6231" w:rsidRDefault="00352C9A" w:rsidP="00585C7E">
            <w:pPr>
              <w:pStyle w:val="C-TableText"/>
            </w:pPr>
            <w:r w:rsidRPr="009A6231">
              <w:t>Disease control rate (DCR)</w:t>
            </w:r>
          </w:p>
          <w:p w14:paraId="631DCDC8" w14:textId="77777777" w:rsidR="00352C9A" w:rsidRPr="009A6231" w:rsidRDefault="00352C9A" w:rsidP="00585C7E">
            <w:pPr>
              <w:pStyle w:val="C-TableText"/>
            </w:pPr>
            <w:r w:rsidRPr="009A6231">
              <w:t xml:space="preserve">Time to response (TTR) </w:t>
            </w:r>
          </w:p>
          <w:p w14:paraId="096C4C53" w14:textId="77777777" w:rsidR="00352C9A" w:rsidRPr="009A6231" w:rsidRDefault="00352C9A" w:rsidP="00585C7E">
            <w:pPr>
              <w:pStyle w:val="C-TableText"/>
            </w:pPr>
            <w:r w:rsidRPr="009A6231">
              <w:t xml:space="preserve">Duration of response (DOR) </w:t>
            </w:r>
          </w:p>
          <w:p w14:paraId="1AB8B763" w14:textId="77777777" w:rsidR="00352C9A" w:rsidRPr="009A6231" w:rsidRDefault="00352C9A" w:rsidP="00585C7E">
            <w:pPr>
              <w:pStyle w:val="C-TableText"/>
            </w:pPr>
            <w:r w:rsidRPr="009A6231">
              <w:t>Progression</w:t>
            </w:r>
            <w:r w:rsidRPr="009A6231">
              <w:noBreakHyphen/>
              <w:t>free survival (PFS)</w:t>
            </w:r>
          </w:p>
          <w:p w14:paraId="3B602363" w14:textId="77777777" w:rsidR="00352C9A" w:rsidRPr="009A6231" w:rsidRDefault="00352C9A" w:rsidP="00585C7E">
            <w:pPr>
              <w:pStyle w:val="C-TableText"/>
            </w:pPr>
            <w:r w:rsidRPr="009A6231">
              <w:t>Time to progression (TTP)</w:t>
            </w:r>
          </w:p>
          <w:p w14:paraId="723A5F4F" w14:textId="77777777" w:rsidR="00352C9A" w:rsidRPr="009A6231" w:rsidRDefault="00352C9A" w:rsidP="00585C7E">
            <w:pPr>
              <w:pStyle w:val="C-TableText"/>
            </w:pPr>
            <w:r w:rsidRPr="009A6231">
              <w:t>Overall survival (OS)</w:t>
            </w:r>
          </w:p>
        </w:tc>
      </w:tr>
      <w:tr w:rsidR="00352C9A" w:rsidRPr="009A6231" w14:paraId="61BA9E95" w14:textId="77777777" w:rsidTr="00585C7E">
        <w:trPr>
          <w:cantSplit w:val="0"/>
          <w:trHeight w:val="20"/>
        </w:trPr>
        <w:tc>
          <w:tcPr>
            <w:tcW w:w="4009" w:type="dxa"/>
            <w:tcBorders>
              <w:right w:val="nil"/>
            </w:tcBorders>
          </w:tcPr>
          <w:p w14:paraId="281CCA5D" w14:textId="77777777" w:rsidR="00352C9A" w:rsidRPr="009A6231" w:rsidRDefault="00352C9A" w:rsidP="00352C9A">
            <w:pPr>
              <w:pStyle w:val="C-TableText"/>
            </w:pPr>
          </w:p>
        </w:tc>
        <w:tc>
          <w:tcPr>
            <w:tcW w:w="4873" w:type="dxa"/>
            <w:tcBorders>
              <w:left w:val="nil"/>
            </w:tcBorders>
          </w:tcPr>
          <w:p w14:paraId="738C2028" w14:textId="77777777" w:rsidR="00352C9A" w:rsidRPr="009A6231" w:rsidRDefault="00352C9A" w:rsidP="00352C9A">
            <w:pPr>
              <w:pStyle w:val="C-TableText"/>
            </w:pPr>
          </w:p>
        </w:tc>
      </w:tr>
      <w:tr w:rsidR="00352C9A" w:rsidRPr="009A6231" w14:paraId="37D7D1C3" w14:textId="77777777" w:rsidTr="00352C9A">
        <w:trPr>
          <w:cantSplit w:val="0"/>
          <w:trHeight w:val="20"/>
        </w:trPr>
        <w:tc>
          <w:tcPr>
            <w:tcW w:w="4009" w:type="dxa"/>
            <w:tcBorders>
              <w:bottom w:val="single" w:sz="6" w:space="0" w:color="auto"/>
            </w:tcBorders>
          </w:tcPr>
          <w:p w14:paraId="49C5FDB3" w14:textId="77777777" w:rsidR="00352C9A" w:rsidRPr="009A6231" w:rsidRDefault="00352C9A" w:rsidP="00585C7E">
            <w:pPr>
              <w:pStyle w:val="C-TableHeader"/>
            </w:pPr>
            <w:r w:rsidRPr="009A6231">
              <w:t>Secondary Objectives</w:t>
            </w:r>
            <w:r w:rsidRPr="009A6231">
              <w:br/>
            </w:r>
          </w:p>
        </w:tc>
        <w:tc>
          <w:tcPr>
            <w:tcW w:w="4873" w:type="dxa"/>
            <w:tcBorders>
              <w:bottom w:val="single" w:sz="6" w:space="0" w:color="auto"/>
            </w:tcBorders>
          </w:tcPr>
          <w:p w14:paraId="4BA29917" w14:textId="77777777" w:rsidR="00352C9A" w:rsidRPr="009A6231" w:rsidRDefault="00352C9A" w:rsidP="00585C7E">
            <w:pPr>
              <w:pStyle w:val="C-TableHeader"/>
            </w:pPr>
            <w:r w:rsidRPr="009A6231">
              <w:t>Endpoints</w:t>
            </w:r>
          </w:p>
        </w:tc>
      </w:tr>
      <w:tr w:rsidR="00352C9A" w:rsidRPr="009A6231" w14:paraId="622127E1" w14:textId="77777777" w:rsidTr="00585C7E">
        <w:trPr>
          <w:cantSplit w:val="0"/>
          <w:trHeight w:val="20"/>
        </w:trPr>
        <w:tc>
          <w:tcPr>
            <w:tcW w:w="4009" w:type="dxa"/>
          </w:tcPr>
          <w:p w14:paraId="6D96E779" w14:textId="77777777" w:rsidR="00352C9A" w:rsidRPr="009A6231" w:rsidRDefault="00352C9A" w:rsidP="00585C7E">
            <w:pPr>
              <w:pStyle w:val="C-TableText"/>
            </w:pPr>
            <w:r w:rsidRPr="009A6231">
              <w:t>To characterize the pharmacokinetic profile of SRA737</w:t>
            </w:r>
          </w:p>
        </w:tc>
        <w:tc>
          <w:tcPr>
            <w:tcW w:w="4873" w:type="dxa"/>
          </w:tcPr>
          <w:p w14:paraId="513B11A8" w14:textId="77777777" w:rsidR="00352C9A" w:rsidRPr="009A6231" w:rsidRDefault="00352C9A" w:rsidP="00585C7E">
            <w:pPr>
              <w:pStyle w:val="C-TableText"/>
            </w:pPr>
            <w:r w:rsidRPr="009A6231">
              <w:t>Plasma concentration</w:t>
            </w:r>
            <w:r w:rsidRPr="009A6231">
              <w:noBreakHyphen/>
              <w:t>time profile based on PK parameters including, but not limited to: AUC</w:t>
            </w:r>
            <w:r w:rsidRPr="009A6231">
              <w:rPr>
                <w:vertAlign w:val="subscript"/>
              </w:rPr>
              <w:t>inf</w:t>
            </w:r>
            <w:r w:rsidRPr="009A6231">
              <w:t>, AUC</w:t>
            </w:r>
            <w:r w:rsidRPr="009A6231">
              <w:rPr>
                <w:vertAlign w:val="subscript"/>
              </w:rPr>
              <w:t>tau</w:t>
            </w:r>
            <w:r w:rsidRPr="009A6231">
              <w:t xml:space="preserve">, </w:t>
            </w:r>
            <w:proofErr w:type="spellStart"/>
            <w:r w:rsidRPr="009A6231">
              <w:t>C</w:t>
            </w:r>
            <w:r w:rsidRPr="009A6231">
              <w:rPr>
                <w:vertAlign w:val="subscript"/>
              </w:rPr>
              <w:t>max</w:t>
            </w:r>
            <w:proofErr w:type="spellEnd"/>
            <w:r w:rsidRPr="009A6231">
              <w:t xml:space="preserve">, </w:t>
            </w:r>
            <w:proofErr w:type="spellStart"/>
            <w:r w:rsidRPr="009A6231">
              <w:t>C</w:t>
            </w:r>
            <w:r w:rsidRPr="009A6231">
              <w:rPr>
                <w:vertAlign w:val="subscript"/>
              </w:rPr>
              <w:t>min</w:t>
            </w:r>
            <w:proofErr w:type="spellEnd"/>
            <w:r w:rsidRPr="009A6231">
              <w:t xml:space="preserve">, </w:t>
            </w:r>
            <w:proofErr w:type="spellStart"/>
            <w:r w:rsidRPr="009A6231">
              <w:t>t</w:t>
            </w:r>
            <w:r w:rsidRPr="009A6231">
              <w:rPr>
                <w:vertAlign w:val="subscript"/>
              </w:rPr>
              <w:t>max</w:t>
            </w:r>
            <w:proofErr w:type="spellEnd"/>
            <w:r w:rsidRPr="009A6231">
              <w:t>, and t</w:t>
            </w:r>
            <w:r w:rsidRPr="009A6231">
              <w:rPr>
                <w:vertAlign w:val="subscript"/>
              </w:rPr>
              <w:t>1/2</w:t>
            </w:r>
          </w:p>
        </w:tc>
      </w:tr>
      <w:tr w:rsidR="00352C9A" w:rsidRPr="009A6231" w14:paraId="56745683" w14:textId="77777777" w:rsidTr="00585C7E">
        <w:trPr>
          <w:cantSplit w:val="0"/>
          <w:trHeight w:val="20"/>
        </w:trPr>
        <w:tc>
          <w:tcPr>
            <w:tcW w:w="4009" w:type="dxa"/>
          </w:tcPr>
          <w:p w14:paraId="2D03D861" w14:textId="77777777" w:rsidR="00352C9A" w:rsidRPr="009A6231" w:rsidRDefault="00352C9A" w:rsidP="00585C7E">
            <w:pPr>
              <w:pStyle w:val="C-TableText"/>
            </w:pPr>
            <w:r w:rsidRPr="009A6231">
              <w:t>To assess the relationship between response and the presence of selected genetic alterations detected in tumor tissue and/or circulating tumor deoxyribonucleic acid (</w:t>
            </w:r>
            <w:proofErr w:type="spellStart"/>
            <w:r w:rsidRPr="009A6231">
              <w:t>ctDNA</w:t>
            </w:r>
            <w:proofErr w:type="spellEnd"/>
            <w:r w:rsidRPr="009A6231">
              <w:t>)</w:t>
            </w:r>
          </w:p>
        </w:tc>
        <w:tc>
          <w:tcPr>
            <w:tcW w:w="4873" w:type="dxa"/>
          </w:tcPr>
          <w:p w14:paraId="0790BB76" w14:textId="77777777" w:rsidR="00352C9A" w:rsidRPr="009A6231" w:rsidRDefault="00352C9A" w:rsidP="00585C7E">
            <w:pPr>
              <w:pStyle w:val="C-TableText"/>
            </w:pPr>
            <w:r w:rsidRPr="009A6231">
              <w:t xml:space="preserve">ORR and gene alterations in tumor tissue or </w:t>
            </w:r>
            <w:proofErr w:type="spellStart"/>
            <w:r w:rsidRPr="009A6231">
              <w:t>ctDNA</w:t>
            </w:r>
            <w:proofErr w:type="spellEnd"/>
            <w:r w:rsidRPr="009A6231">
              <w:t xml:space="preserve"> at baseline as measured by next</w:t>
            </w:r>
            <w:r w:rsidRPr="009A6231">
              <w:noBreakHyphen/>
              <w:t xml:space="preserve">generation sequencing (NGS) </w:t>
            </w:r>
          </w:p>
        </w:tc>
      </w:tr>
    </w:tbl>
    <w:p w14:paraId="4EE6CADA" w14:textId="77777777" w:rsidR="0065451F" w:rsidRDefault="0065451F">
      <w:r>
        <w:rPr>
          <w:b/>
        </w:rPr>
        <w:br w:type="page"/>
      </w:r>
    </w:p>
    <w:tbl>
      <w:tblPr>
        <w:tblStyle w:val="C-Table"/>
        <w:tblpPr w:leftFromText="180" w:rightFromText="180" w:vertAnchor="text" w:horzAnchor="margin" w:tblpY="152"/>
        <w:tblW w:w="0" w:type="auto"/>
        <w:tblLook w:val="04A0" w:firstRow="1" w:lastRow="0" w:firstColumn="1" w:lastColumn="0" w:noHBand="0" w:noVBand="1"/>
      </w:tblPr>
      <w:tblGrid>
        <w:gridCol w:w="4009"/>
        <w:gridCol w:w="4873"/>
      </w:tblGrid>
      <w:tr w:rsidR="00352C9A" w:rsidRPr="009A6231" w14:paraId="7519304F" w14:textId="77777777" w:rsidTr="00585C7E">
        <w:trPr>
          <w:cantSplit w:val="0"/>
          <w:trHeight w:val="20"/>
        </w:trPr>
        <w:tc>
          <w:tcPr>
            <w:tcW w:w="4009" w:type="dxa"/>
          </w:tcPr>
          <w:p w14:paraId="4827C5B8" w14:textId="0A0A7994" w:rsidR="00352C9A" w:rsidRPr="009A6231" w:rsidRDefault="00352C9A" w:rsidP="00585C7E">
            <w:pPr>
              <w:pStyle w:val="C-TableHeader"/>
            </w:pPr>
            <w:r w:rsidRPr="009A6231">
              <w:lastRenderedPageBreak/>
              <w:t>Exploratory Objectives</w:t>
            </w:r>
            <w:r w:rsidRPr="009A6231">
              <w:br/>
            </w:r>
          </w:p>
        </w:tc>
        <w:tc>
          <w:tcPr>
            <w:tcW w:w="4873" w:type="dxa"/>
          </w:tcPr>
          <w:p w14:paraId="38D8ED6D" w14:textId="77777777" w:rsidR="00352C9A" w:rsidRPr="009A6231" w:rsidRDefault="00352C9A" w:rsidP="00585C7E">
            <w:pPr>
              <w:pStyle w:val="C-TableHeader"/>
            </w:pPr>
            <w:r w:rsidRPr="009A6231">
              <w:t>Endpoints</w:t>
            </w:r>
          </w:p>
        </w:tc>
      </w:tr>
      <w:tr w:rsidR="00352C9A" w:rsidRPr="009A6231" w14:paraId="2E964480" w14:textId="77777777" w:rsidTr="00585C7E">
        <w:trPr>
          <w:cantSplit w:val="0"/>
          <w:trHeight w:val="20"/>
        </w:trPr>
        <w:tc>
          <w:tcPr>
            <w:tcW w:w="4009" w:type="dxa"/>
          </w:tcPr>
          <w:p w14:paraId="625F2C00" w14:textId="77777777" w:rsidR="00352C9A" w:rsidRPr="009A6231" w:rsidRDefault="00352C9A" w:rsidP="00585C7E">
            <w:pPr>
              <w:pStyle w:val="C-TableText"/>
            </w:pPr>
            <w:r w:rsidRPr="009A6231">
              <w:t>To investigate the pharmacodynamics of SRA737 in tumor tissue</w:t>
            </w:r>
          </w:p>
        </w:tc>
        <w:tc>
          <w:tcPr>
            <w:tcW w:w="4873" w:type="dxa"/>
          </w:tcPr>
          <w:p w14:paraId="7827EC04" w14:textId="77777777" w:rsidR="00352C9A" w:rsidRPr="009A6231" w:rsidRDefault="00352C9A" w:rsidP="00585C7E">
            <w:pPr>
              <w:pStyle w:val="C-TableText"/>
            </w:pPr>
            <w:r w:rsidRPr="009A6231">
              <w:t>Proof of target engagement and changes in mechanism of action biomarkers between baseline and on treatment with SRA737, including, but not limited to: pSer296 Chk1, pS317 Chk1 and total Chk1</w:t>
            </w:r>
          </w:p>
        </w:tc>
      </w:tr>
      <w:tr w:rsidR="00352C9A" w:rsidRPr="009A6231" w14:paraId="073ECDD7" w14:textId="77777777" w:rsidTr="00585C7E">
        <w:trPr>
          <w:cantSplit w:val="0"/>
          <w:trHeight w:val="20"/>
        </w:trPr>
        <w:tc>
          <w:tcPr>
            <w:tcW w:w="4009" w:type="dxa"/>
          </w:tcPr>
          <w:p w14:paraId="55CE9D78" w14:textId="77777777" w:rsidR="00352C9A" w:rsidRPr="009A6231" w:rsidRDefault="00352C9A" w:rsidP="00585C7E">
            <w:pPr>
              <w:pStyle w:val="C-TableText"/>
            </w:pPr>
            <w:r w:rsidRPr="009A6231">
              <w:t xml:space="preserve">To investigate the pharmacodynamics of SRA737 in surrogate tissues such as blood or peripheral blood mononuclear cell (PBMCs) </w:t>
            </w:r>
          </w:p>
          <w:p w14:paraId="727BDC8F" w14:textId="77777777" w:rsidR="00352C9A" w:rsidRPr="009A6231" w:rsidRDefault="00352C9A" w:rsidP="00585C7E">
            <w:pPr>
              <w:pStyle w:val="C-TableText"/>
            </w:pPr>
          </w:p>
        </w:tc>
        <w:tc>
          <w:tcPr>
            <w:tcW w:w="4873" w:type="dxa"/>
          </w:tcPr>
          <w:p w14:paraId="14C93D3B" w14:textId="77777777" w:rsidR="00352C9A" w:rsidRPr="009A6231" w:rsidRDefault="00352C9A" w:rsidP="00585C7E">
            <w:pPr>
              <w:pStyle w:val="C-TableText"/>
            </w:pPr>
            <w:r w:rsidRPr="009A6231">
              <w:t>Proof of target engagement and changes in mechanism of action biomarkers between baseline and on treatment with SRA737, including but not limited to: pS317 Chk1, pS345 Chk1, total Chk1, gammaH2AX and RAD51</w:t>
            </w:r>
          </w:p>
        </w:tc>
      </w:tr>
      <w:tr w:rsidR="00352C9A" w:rsidRPr="009A6231" w14:paraId="03EB0499" w14:textId="77777777" w:rsidTr="00585C7E">
        <w:trPr>
          <w:cantSplit w:val="0"/>
          <w:trHeight w:val="20"/>
        </w:trPr>
        <w:tc>
          <w:tcPr>
            <w:tcW w:w="4009" w:type="dxa"/>
          </w:tcPr>
          <w:p w14:paraId="0F6B5693" w14:textId="77777777" w:rsidR="00352C9A" w:rsidRPr="009A6231" w:rsidRDefault="00352C9A" w:rsidP="00585C7E">
            <w:pPr>
              <w:pStyle w:val="C-TableText"/>
            </w:pPr>
            <w:r w:rsidRPr="009A6231">
              <w:t xml:space="preserve">To explore possible clinical predictors of </w:t>
            </w:r>
            <w:r w:rsidRPr="009A6231">
              <w:rPr>
                <w:rFonts w:eastAsia="Arial"/>
              </w:rPr>
              <w:t>outcomes</w:t>
            </w:r>
          </w:p>
          <w:p w14:paraId="23E4F1FD" w14:textId="77777777" w:rsidR="00352C9A" w:rsidRPr="009A6231" w:rsidRDefault="00352C9A" w:rsidP="00585C7E">
            <w:pPr>
              <w:pStyle w:val="C-TableText"/>
            </w:pPr>
          </w:p>
        </w:tc>
        <w:tc>
          <w:tcPr>
            <w:tcW w:w="4873" w:type="dxa"/>
          </w:tcPr>
          <w:p w14:paraId="21242D4F" w14:textId="77777777" w:rsidR="00352C9A" w:rsidRPr="009A6231" w:rsidRDefault="00352C9A" w:rsidP="00585C7E">
            <w:pPr>
              <w:pStyle w:val="C-TableText"/>
            </w:pPr>
            <w:r w:rsidRPr="009A6231">
              <w:rPr>
                <w:rFonts w:eastAsia="Arial"/>
              </w:rPr>
              <w:t xml:space="preserve">Characteristics such as performance status, prior </w:t>
            </w:r>
            <w:r w:rsidRPr="009A6231" w:rsidDel="00D467E5">
              <w:rPr>
                <w:rFonts w:eastAsia="Arial"/>
              </w:rPr>
              <w:t>therapy</w:t>
            </w:r>
            <w:r w:rsidRPr="009A6231">
              <w:rPr>
                <w:rFonts w:eastAsia="Arial"/>
              </w:rPr>
              <w:t xml:space="preserve">, indication and other known or potential prognostic or predictive factors </w:t>
            </w:r>
          </w:p>
        </w:tc>
      </w:tr>
      <w:tr w:rsidR="00352C9A" w:rsidRPr="009A6231" w14:paraId="04498DEB" w14:textId="77777777" w:rsidTr="00585C7E">
        <w:trPr>
          <w:cantSplit w:val="0"/>
          <w:trHeight w:val="20"/>
        </w:trPr>
        <w:tc>
          <w:tcPr>
            <w:tcW w:w="4009" w:type="dxa"/>
          </w:tcPr>
          <w:p w14:paraId="6A1C0D57" w14:textId="77777777" w:rsidR="00352C9A" w:rsidRPr="009A6231" w:rsidRDefault="00352C9A" w:rsidP="00585C7E">
            <w:pPr>
              <w:pStyle w:val="C-TableText"/>
            </w:pPr>
            <w:r w:rsidRPr="009A6231">
              <w:t>To explore the relationship between exposure (PK) and QT/QTc, other electrocardiogram (ECG) parameters and cardiovascular safety findings</w:t>
            </w:r>
          </w:p>
        </w:tc>
        <w:tc>
          <w:tcPr>
            <w:tcW w:w="4873" w:type="dxa"/>
          </w:tcPr>
          <w:p w14:paraId="51389F71" w14:textId="77777777" w:rsidR="00352C9A" w:rsidRPr="009A6231" w:rsidRDefault="00352C9A" w:rsidP="00585C7E">
            <w:pPr>
              <w:pStyle w:val="C-TableText"/>
            </w:pPr>
            <w:r w:rsidRPr="009A6231">
              <w:t>Association of QT, QTc, blood pressure (BP), heart rate (HR), other ECG intervals with time</w:t>
            </w:r>
            <w:r w:rsidRPr="009A6231">
              <w:noBreakHyphen/>
              <w:t>matched PK concentrations. Profile of QTc over the dosing interval</w:t>
            </w:r>
          </w:p>
        </w:tc>
      </w:tr>
    </w:tbl>
    <w:p w14:paraId="14D61803" w14:textId="77777777" w:rsidR="00352C9A" w:rsidRPr="009A6231" w:rsidRDefault="00352C9A" w:rsidP="00352C9A">
      <w:pPr>
        <w:pStyle w:val="C-BodyText"/>
      </w:pPr>
    </w:p>
    <w:p w14:paraId="7463E1EF" w14:textId="77777777" w:rsidR="00352C9A" w:rsidRPr="00361F8F" w:rsidRDefault="00352C9A" w:rsidP="00352C9A">
      <w:pPr>
        <w:pStyle w:val="C-BodyText"/>
      </w:pPr>
      <w:r w:rsidRPr="00693CB5">
        <w:rPr>
          <w:b/>
          <w:bCs/>
        </w:rPr>
        <w:t>Statistical Methods</w:t>
      </w:r>
      <w:r w:rsidRPr="00361F8F">
        <w:t xml:space="preserve">:  </w:t>
      </w:r>
    </w:p>
    <w:p w14:paraId="36DF8C87" w14:textId="55BD90CD" w:rsidR="00352C9A" w:rsidRDefault="00352C9A" w:rsidP="00352C9A">
      <w:pPr>
        <w:pStyle w:val="C-BodyText"/>
      </w:pPr>
      <w:r w:rsidRPr="009A6231">
        <w:rPr>
          <w:u w:val="single"/>
        </w:rPr>
        <w:t>Sample Size</w:t>
      </w:r>
      <w:r w:rsidRPr="009A6231">
        <w:t>:  The study was planned to enroll up to 170 subjects in total including an estimated 30 to 50</w:t>
      </w:r>
      <w:r w:rsidR="00855254">
        <w:t> </w:t>
      </w:r>
      <w:r w:rsidRPr="009A6231">
        <w:t xml:space="preserve">subjects during the Dose Escalation </w:t>
      </w:r>
      <w:r w:rsidR="00D57551" w:rsidRPr="009A6231">
        <w:t>P</w:t>
      </w:r>
      <w:r w:rsidRPr="009A6231">
        <w:t xml:space="preserve">hase and 6 indication-specific </w:t>
      </w:r>
      <w:r w:rsidR="000A7814" w:rsidRPr="009A6231">
        <w:t>expansion cohort</w:t>
      </w:r>
      <w:r w:rsidRPr="009A6231">
        <w:t>s consisting of approximately 20 prospectively</w:t>
      </w:r>
      <w:r w:rsidR="00D81B5D">
        <w:t>-</w:t>
      </w:r>
      <w:r w:rsidRPr="009A6231">
        <w:t>selected genetically</w:t>
      </w:r>
      <w:r w:rsidR="00D81B5D">
        <w:t>-</w:t>
      </w:r>
      <w:r w:rsidRPr="009A6231">
        <w:t xml:space="preserve">defined subjects. The sample size for the Dose Escalation </w:t>
      </w:r>
      <w:r w:rsidR="00D57551" w:rsidRPr="009A6231">
        <w:t>P</w:t>
      </w:r>
      <w:r w:rsidRPr="009A6231">
        <w:t>hase was based on assumptions of the likely MTD based on allometric scaling and was dependent on the number of dose levels required to establish the MTD and RP2D. A planned sample size of 20</w:t>
      </w:r>
      <w:r w:rsidR="00855254">
        <w:t> </w:t>
      </w:r>
      <w:r w:rsidRPr="009A6231">
        <w:t>subjects enrolled in each indication</w:t>
      </w:r>
      <w:r w:rsidR="00855254">
        <w:noBreakHyphen/>
      </w:r>
      <w:r w:rsidRPr="009A6231">
        <w:t>specific Expansion Cohort would permit confirmation that the 95% confidence interval around an observed ORR in each cohort was ± 16%.</w:t>
      </w:r>
    </w:p>
    <w:p w14:paraId="391EF6E1" w14:textId="77777777" w:rsidR="00352C9A" w:rsidRPr="009A6231" w:rsidRDefault="00352C9A" w:rsidP="00352C9A">
      <w:pPr>
        <w:pStyle w:val="C-BodyText"/>
      </w:pPr>
    </w:p>
    <w:p w14:paraId="73F1D56D" w14:textId="77777777" w:rsidR="00352C9A" w:rsidRPr="009A6231" w:rsidRDefault="00352C9A" w:rsidP="00352C9A">
      <w:pPr>
        <w:pStyle w:val="C-BodyText"/>
      </w:pPr>
      <w:r w:rsidRPr="009A6231">
        <w:rPr>
          <w:u w:val="single"/>
        </w:rPr>
        <w:t>Analysis Populations</w:t>
      </w:r>
      <w:r w:rsidRPr="009A6231">
        <w:t>:  The Safety Evaluable Populations includes all enrolled subjects who received at least 1 dose of SRA737. The Response Evaluable Population (REP) and alternative Response Evaluable Population (</w:t>
      </w:r>
      <w:proofErr w:type="spellStart"/>
      <w:r w:rsidRPr="009A6231">
        <w:t>aREP</w:t>
      </w:r>
      <w:proofErr w:type="spellEnd"/>
      <w:r w:rsidRPr="009A6231">
        <w:t xml:space="preserve">) </w:t>
      </w:r>
      <w:r w:rsidRPr="001C41D6">
        <w:t>include</w:t>
      </w:r>
      <w:r w:rsidRPr="009A6231">
        <w:t>s all enrolled subjects who satisfy all of the following conditions:</w:t>
      </w:r>
    </w:p>
    <w:p w14:paraId="1F959F93" w14:textId="241ED554" w:rsidR="00352C9A" w:rsidRPr="009A6231" w:rsidRDefault="00352C9A" w:rsidP="00352C9A">
      <w:pPr>
        <w:pStyle w:val="C-NumberedList"/>
      </w:pPr>
      <w:r w:rsidRPr="001C41D6">
        <w:t>Have measurable disease and assessment at baseline (for inclusion in</w:t>
      </w:r>
      <w:r w:rsidR="00CD23C1">
        <w:t xml:space="preserve"> Cohort</w:t>
      </w:r>
      <w:r w:rsidRPr="001C41D6">
        <w:t xml:space="preserve"> Expansion </w:t>
      </w:r>
      <w:r w:rsidR="003E33D7">
        <w:t>Phase</w:t>
      </w:r>
      <w:r w:rsidRPr="001C41D6">
        <w:t xml:space="preserve">, subjects also need to meet the </w:t>
      </w:r>
      <w:r w:rsidRPr="009A6231">
        <w:t>appropriate protocol criteria for genetically</w:t>
      </w:r>
      <w:r w:rsidR="00D81B5D">
        <w:t>-</w:t>
      </w:r>
      <w:r w:rsidRPr="009A6231">
        <w:t>defined tumor)</w:t>
      </w:r>
    </w:p>
    <w:p w14:paraId="4A17904F" w14:textId="77777777" w:rsidR="00352C9A" w:rsidRPr="001C41D6" w:rsidRDefault="00352C9A" w:rsidP="00352C9A">
      <w:pPr>
        <w:pStyle w:val="C-NumberedList"/>
      </w:pPr>
      <w:r w:rsidRPr="009A6231">
        <w:t>Meet criteria (a) or alternative criteria (b) based on the dosing information</w:t>
      </w:r>
      <w:r w:rsidRPr="001C41D6">
        <w:t>:</w:t>
      </w:r>
    </w:p>
    <w:p w14:paraId="0508129A" w14:textId="77777777" w:rsidR="00352C9A" w:rsidRPr="009A6231" w:rsidRDefault="00352C9A" w:rsidP="00352C9A">
      <w:pPr>
        <w:pStyle w:val="C-AlphabeticList"/>
      </w:pPr>
      <w:r w:rsidRPr="009A6231">
        <w:t>Received at least 75% of 1 cycle of study medication, OR</w:t>
      </w:r>
    </w:p>
    <w:p w14:paraId="21BE40A4" w14:textId="77777777" w:rsidR="00352C9A" w:rsidRPr="009A6231" w:rsidRDefault="00352C9A" w:rsidP="00352C9A">
      <w:pPr>
        <w:pStyle w:val="C-AlphabeticList"/>
      </w:pPr>
      <w:r w:rsidRPr="009A6231">
        <w:t xml:space="preserve">Alternative definition used for some exploratory efficacy analyses: Received at least 75% of Cycle 1 study medication at ≥ 300 mg QD or continued on study after 2 cycles of treatment at any dose level. </w:t>
      </w:r>
    </w:p>
    <w:p w14:paraId="1AC28AE1" w14:textId="77777777" w:rsidR="00352C9A" w:rsidRPr="009A6231" w:rsidRDefault="00352C9A" w:rsidP="00352C9A">
      <w:pPr>
        <w:pStyle w:val="C-NumberedList"/>
      </w:pPr>
      <w:r w:rsidRPr="001C41D6">
        <w:t>Have at least one post baseline disease assessment OR discontinued treatment due to AE or disease progression or</w:t>
      </w:r>
      <w:r w:rsidRPr="009A6231">
        <w:t xml:space="preserve"> death</w:t>
      </w:r>
    </w:p>
    <w:p w14:paraId="34568F2A" w14:textId="77777777" w:rsidR="00352C9A" w:rsidRDefault="00352C9A" w:rsidP="00352C9A">
      <w:pPr>
        <w:pStyle w:val="C-BodyText"/>
      </w:pPr>
      <w:r w:rsidRPr="009A6231">
        <w:lastRenderedPageBreak/>
        <w:t xml:space="preserve">The PK Evaluable, PK/Corrected QT Interval Evaluable, and </w:t>
      </w:r>
      <w:proofErr w:type="spellStart"/>
      <w:r w:rsidRPr="009A6231">
        <w:t>PDn</w:t>
      </w:r>
      <w:proofErr w:type="spellEnd"/>
      <w:r w:rsidRPr="009A6231">
        <w:t xml:space="preserve"> Evaluable Populations included all enrolled subjects who received at least 1 dose of SRA737 and for whom adequate data were available. </w:t>
      </w:r>
    </w:p>
    <w:p w14:paraId="77BF0549" w14:textId="77777777" w:rsidR="00352C9A" w:rsidRPr="009A6231" w:rsidRDefault="00352C9A" w:rsidP="00352C9A">
      <w:pPr>
        <w:pStyle w:val="C-BodyText"/>
      </w:pPr>
    </w:p>
    <w:p w14:paraId="763AC936" w14:textId="35F8709A" w:rsidR="00352C9A" w:rsidRPr="009A6231" w:rsidRDefault="00352C9A" w:rsidP="00352C9A">
      <w:pPr>
        <w:pStyle w:val="C-BodyText"/>
      </w:pPr>
      <w:r w:rsidRPr="009A6231">
        <w:rPr>
          <w:u w:val="single"/>
        </w:rPr>
        <w:t>Efficacy Analysis</w:t>
      </w:r>
      <w:r w:rsidRPr="009A6231">
        <w:t>:  The analysis of all efficacy endpoints was performed on the REP</w:t>
      </w:r>
      <w:r w:rsidR="00F51F9A">
        <w:t>. I</w:t>
      </w:r>
      <w:r w:rsidRPr="009A6231">
        <w:t xml:space="preserve">n addition, subjects meeting the criteria for the </w:t>
      </w:r>
      <w:proofErr w:type="spellStart"/>
      <w:r w:rsidRPr="009A6231">
        <w:t>aREP</w:t>
      </w:r>
      <w:proofErr w:type="spellEnd"/>
      <w:r w:rsidRPr="009A6231">
        <w:t xml:space="preserve"> were identified</w:t>
      </w:r>
      <w:r w:rsidR="00F51F9A">
        <w:t xml:space="preserve"> </w:t>
      </w:r>
      <w:r w:rsidR="009207CC">
        <w:t xml:space="preserve">and </w:t>
      </w:r>
      <w:r w:rsidR="00294AE4">
        <w:t>used for alternative</w:t>
      </w:r>
      <w:r w:rsidR="009207CC">
        <w:t xml:space="preserve"> analysis of efficacy where noted</w:t>
      </w:r>
      <w:r w:rsidRPr="009A6231">
        <w:t xml:space="preserve">. </w:t>
      </w:r>
      <w:r w:rsidRPr="001C41D6">
        <w:t>Efficacy endpoints were based on t</w:t>
      </w:r>
      <w:r w:rsidRPr="009A6231">
        <w:t xml:space="preserve">he investigator’s determination of Overall Response at each disease assessment time point. Response was assessed by the investigator </w:t>
      </w:r>
      <w:r w:rsidRPr="001C41D6">
        <w:t xml:space="preserve">using the </w:t>
      </w:r>
      <w:r w:rsidRPr="009E35C3">
        <w:t>Response Evaluation Criteria in Solid Tumors</w:t>
      </w:r>
      <w:r>
        <w:t xml:space="preserve"> version 1.1</w:t>
      </w:r>
      <w:r w:rsidRPr="009E35C3">
        <w:t xml:space="preserve"> (</w:t>
      </w:r>
      <w:r w:rsidRPr="001C41D6">
        <w:t>RECIST</w:t>
      </w:r>
      <w:r w:rsidRPr="009A6231">
        <w:t> v1.1</w:t>
      </w:r>
      <w:r>
        <w:t>)</w:t>
      </w:r>
      <w:r w:rsidRPr="009A6231">
        <w:t xml:space="preserve"> criteria</w:t>
      </w:r>
      <w:r w:rsidR="00DC6102" w:rsidRPr="00DC6102">
        <w:t xml:space="preserve"> (Eisenhauer, 2009). Partial or complete responses were to be confirmed by repeat tumor imaging assessments not less than 4 weeks from the date the response was first documented. Response was to be assessed for subjects with </w:t>
      </w:r>
      <w:proofErr w:type="spellStart"/>
      <w:proofErr w:type="gramStart"/>
      <w:r w:rsidR="00DC6102" w:rsidRPr="00DC6102">
        <w:t>non Hodgkin</w:t>
      </w:r>
      <w:proofErr w:type="spellEnd"/>
      <w:proofErr w:type="gramEnd"/>
      <w:r w:rsidR="00DC6102" w:rsidRPr="00DC6102">
        <w:t xml:space="preserve"> lymphoma (NHL) using the revised International Working Group (IWG) criteria (</w:t>
      </w:r>
      <w:proofErr w:type="spellStart"/>
      <w:r w:rsidR="00DC6102" w:rsidRPr="00DC6102">
        <w:t>Cheson</w:t>
      </w:r>
      <w:proofErr w:type="spellEnd"/>
      <w:r w:rsidR="00DC6102" w:rsidRPr="00DC6102">
        <w:t>, 2007), and for subjects with metastatic castration resistant prostate cancer (</w:t>
      </w:r>
      <w:proofErr w:type="spellStart"/>
      <w:r w:rsidR="00DC6102" w:rsidRPr="00DC6102">
        <w:t>mCRPC</w:t>
      </w:r>
      <w:proofErr w:type="spellEnd"/>
      <w:r w:rsidR="00DC6102" w:rsidRPr="00DC6102">
        <w:t>), a composite response endpoint defined as any one of the following (</w:t>
      </w:r>
      <w:proofErr w:type="spellStart"/>
      <w:r w:rsidR="00DC6102" w:rsidRPr="00DC6102">
        <w:t>Scher</w:t>
      </w:r>
      <w:proofErr w:type="spellEnd"/>
      <w:r w:rsidR="00DC6102" w:rsidRPr="00DC6102">
        <w:t>, 2016): A) Best</w:t>
      </w:r>
      <w:r w:rsidRPr="009A6231">
        <w:t xml:space="preserve"> response based on RECIST v1.1; B) prostate-specific antigen (PSA) decrease of ≥ 50%; or C) circulating tumor cell (CTC) count conversion.</w:t>
      </w:r>
    </w:p>
    <w:p w14:paraId="48461B05" w14:textId="62E7CC42" w:rsidR="00352C9A" w:rsidRDefault="00352C9A" w:rsidP="00352C9A">
      <w:pPr>
        <w:pStyle w:val="C-BodyText"/>
      </w:pPr>
      <w:r w:rsidRPr="009A6231">
        <w:t>The best overall response was summarized for the following endpoints with count and percentage: CR (complete response); PR (partial response); SD (stable disease); PD (progressive disease); NE (not evaluable). Descriptive analyses were prepared of the distribution of ORR, DCR, TTR, DOR, PFS, and TTP. Duration of stable disease was defined as time from Cycle</w:t>
      </w:r>
      <w:r w:rsidR="00855254">
        <w:t> </w:t>
      </w:r>
      <w:r w:rsidRPr="009A6231">
        <w:t>1 Day</w:t>
      </w:r>
      <w:r w:rsidR="00855254">
        <w:t> </w:t>
      </w:r>
      <w:r w:rsidRPr="009A6231">
        <w:t xml:space="preserve">1 to the date of disease progression or death, for subjects with any CR, PR, or SD prior to the first PD or subjects who did not experience PD. Change in target tumor size was based on each time point of imaging assessment, at which the sum of the longest diameter of each target lesions was derived. The change and percentage change in tumor size from baseline to the post baseline nadir was summarized. A waterfall plot of best percent change from baseline (from baseline to nadir) by tumor type cohorts was created. </w:t>
      </w:r>
      <w:r w:rsidRPr="001C41D6">
        <w:t>Overall survival (OS) was defined as time from Cycle</w:t>
      </w:r>
      <w:r w:rsidR="00855254">
        <w:t> </w:t>
      </w:r>
      <w:r w:rsidRPr="001C41D6">
        <w:t>1 Day</w:t>
      </w:r>
      <w:r w:rsidR="00855254">
        <w:t> </w:t>
      </w:r>
      <w:r w:rsidRPr="001C41D6">
        <w:t>1 to the date of death (or date last known to be alive). OS was analyzed using the K</w:t>
      </w:r>
      <w:r w:rsidRPr="009A6231">
        <w:t>aplan–Meier method.</w:t>
      </w:r>
    </w:p>
    <w:p w14:paraId="44877924" w14:textId="77777777" w:rsidR="00352C9A" w:rsidRPr="009A6231" w:rsidRDefault="00352C9A" w:rsidP="00352C9A">
      <w:pPr>
        <w:pStyle w:val="C-BodyText"/>
      </w:pPr>
    </w:p>
    <w:p w14:paraId="1C3F2A41" w14:textId="52998D32" w:rsidR="00352C9A" w:rsidRPr="009A6231" w:rsidRDefault="00352C9A" w:rsidP="00352C9A">
      <w:pPr>
        <w:pStyle w:val="C-BodyText"/>
      </w:pPr>
      <w:r w:rsidRPr="009A6231">
        <w:rPr>
          <w:u w:val="single"/>
        </w:rPr>
        <w:t>Safety Analysis</w:t>
      </w:r>
      <w:r w:rsidRPr="009A6231">
        <w:t xml:space="preserve">: Safety variables were summarized by descriptive statistics. The MTD for each schedule tested, if reached, and the RP2D and schedule were described. </w:t>
      </w:r>
      <w:r w:rsidRPr="001C41D6">
        <w:t>Treatment</w:t>
      </w:r>
      <w:r w:rsidR="00760CB4">
        <w:t>-</w:t>
      </w:r>
      <w:r w:rsidRPr="001C41D6">
        <w:t xml:space="preserve">emergent AEs were reported for each dose level and coded using </w:t>
      </w:r>
      <w:r w:rsidRPr="009A6231">
        <w:t xml:space="preserve">MedDRA version 19.1, presented as tables of incidence of AEs by body system and by worst severity grade observed. </w:t>
      </w:r>
      <w:r w:rsidRPr="001C41D6">
        <w:t>Treatment</w:t>
      </w:r>
      <w:r w:rsidRPr="009A6231">
        <w:noBreakHyphen/>
        <w:t xml:space="preserve">related AEs were defined as AEs for which the investigator classified the relationship to SRA737 as “highly probable”, “probable”, or “possible, whereas those marked “unlikely” or “not related” were considered unrelated to SRA737. </w:t>
      </w:r>
    </w:p>
    <w:p w14:paraId="3E44C0BA" w14:textId="77777777" w:rsidR="00352C9A" w:rsidRPr="001C41D6" w:rsidRDefault="00352C9A" w:rsidP="00352C9A">
      <w:pPr>
        <w:pStyle w:val="C-BodyText"/>
      </w:pPr>
      <w:r w:rsidRPr="009A6231">
        <w:t>Laboratory variables were described using the NCI CTCAE v4.03. All continuous laboratory parameters in biochemistry and hematology were summarized descriptively by actual value at each scheduled visit and the corresponding changes from baseline. The maximum post baseline and minimum post baseline (including both scheduled and unscheduled results) was also provided.</w:t>
      </w:r>
      <w:r w:rsidRPr="001C41D6">
        <w:t xml:space="preserve"> Shift tables from baseline to visit were provided for h</w:t>
      </w:r>
      <w:r w:rsidRPr="009A6231">
        <w:t>ematology and chemistry parameters to display low, normal, high, and missing values by treatment group in a 3</w:t>
      </w:r>
      <w:r w:rsidRPr="009A6231">
        <w:noBreakHyphen/>
        <w:t>by</w:t>
      </w:r>
      <w:r w:rsidRPr="009A6231">
        <w:noBreakHyphen/>
        <w:t xml:space="preserve">3 </w:t>
      </w:r>
      <w:r w:rsidRPr="009A6231">
        <w:lastRenderedPageBreak/>
        <w:t>contingency table. The serum tumor markers carcinoembryonic antigen (CEA), PSA, and cancer antigen 125 (CA</w:t>
      </w:r>
      <w:r w:rsidRPr="009A6231">
        <w:noBreakHyphen/>
        <w:t>125) were summarized descriptively by actual value at each analysis visit and change from baseline at each post baseline visit. Other tumor markers (eg, cancer antigen 19-9 [CA19</w:t>
      </w:r>
      <w:r w:rsidRPr="009A6231">
        <w:noBreakHyphen/>
        <w:t>9], alpha fetoprotein [AFP]) are listed only.</w:t>
      </w:r>
    </w:p>
    <w:p w14:paraId="6EA2737D" w14:textId="77777777" w:rsidR="00352C9A" w:rsidRDefault="00352C9A" w:rsidP="00352C9A">
      <w:pPr>
        <w:pStyle w:val="C-BodyText"/>
      </w:pPr>
      <w:r w:rsidRPr="009A6231">
        <w:t xml:space="preserve">Local ECG parameters and vital signs were presented using actual values and change from baseline. The central ECG data were included in the central ECG report. Echocardiogram data were listed by subject. </w:t>
      </w:r>
    </w:p>
    <w:p w14:paraId="69356D08" w14:textId="77777777" w:rsidR="00352C9A" w:rsidRPr="009A6231" w:rsidRDefault="00352C9A" w:rsidP="00352C9A">
      <w:pPr>
        <w:pStyle w:val="C-BodyText"/>
      </w:pPr>
    </w:p>
    <w:p w14:paraId="41A4B807" w14:textId="77777777" w:rsidR="00352C9A" w:rsidRPr="009A6231" w:rsidRDefault="00352C9A" w:rsidP="00352C9A">
      <w:pPr>
        <w:pStyle w:val="C-BodyText"/>
      </w:pPr>
      <w:r w:rsidRPr="009A6231">
        <w:rPr>
          <w:u w:val="single"/>
        </w:rPr>
        <w:t>Pharmacokinetics Analysis</w:t>
      </w:r>
      <w:r w:rsidRPr="009A6231">
        <w:t xml:space="preserve">:  Plasma concentrations of SRA737 were determined using a validated bioanalytical method and </w:t>
      </w:r>
      <w:r w:rsidRPr="001C41D6">
        <w:t xml:space="preserve">summarized using descriptive statistics. Pharmacokinetic parameters including but not limited to </w:t>
      </w:r>
      <w:proofErr w:type="spellStart"/>
      <w:r w:rsidRPr="001C41D6">
        <w:t>C</w:t>
      </w:r>
      <w:r w:rsidRPr="009A6231">
        <w:rPr>
          <w:vertAlign w:val="subscript"/>
        </w:rPr>
        <w:t>min</w:t>
      </w:r>
      <w:proofErr w:type="spellEnd"/>
      <w:r w:rsidRPr="009A6231">
        <w:t xml:space="preserve">, </w:t>
      </w:r>
      <w:proofErr w:type="spellStart"/>
      <w:r w:rsidRPr="009A6231">
        <w:t>C</w:t>
      </w:r>
      <w:r w:rsidRPr="009A6231">
        <w:rPr>
          <w:vertAlign w:val="subscript"/>
        </w:rPr>
        <w:t>max</w:t>
      </w:r>
      <w:proofErr w:type="spellEnd"/>
      <w:r w:rsidRPr="009A6231">
        <w:t xml:space="preserve">, </w:t>
      </w:r>
      <w:proofErr w:type="spellStart"/>
      <w:r w:rsidRPr="009A6231">
        <w:t>t</w:t>
      </w:r>
      <w:r w:rsidRPr="009A6231">
        <w:rPr>
          <w:vertAlign w:val="subscript"/>
        </w:rPr>
        <w:t>max</w:t>
      </w:r>
      <w:proofErr w:type="spellEnd"/>
      <w:r w:rsidRPr="009A6231">
        <w:t>, AUC, t</w:t>
      </w:r>
      <w:r w:rsidRPr="009A6231">
        <w:rPr>
          <w:vertAlign w:val="subscript"/>
        </w:rPr>
        <w:t>½</w:t>
      </w:r>
      <w:r w:rsidRPr="009A6231">
        <w:t>, total body clearance, and apparent volume of distribution were determined using non</w:t>
      </w:r>
      <w:r w:rsidRPr="009A6231">
        <w:noBreakHyphen/>
        <w:t xml:space="preserve">compartmental methods. </w:t>
      </w:r>
    </w:p>
    <w:p w14:paraId="6734C280" w14:textId="77777777" w:rsidR="00352C9A" w:rsidRPr="009A6231" w:rsidRDefault="00352C9A" w:rsidP="00352C9A">
      <w:pPr>
        <w:pStyle w:val="C-BodyText"/>
      </w:pPr>
      <w:r w:rsidRPr="009A6231">
        <w:t>Time</w:t>
      </w:r>
      <w:r w:rsidRPr="009A6231">
        <w:noBreakHyphen/>
        <w:t xml:space="preserve">matched ECG measurements and PK samples were collected after a single dose of SRA737 on Day </w:t>
      </w:r>
      <w:r w:rsidRPr="009A6231">
        <w:noBreakHyphen/>
        <w:t xml:space="preserve">7 to Day </w:t>
      </w:r>
      <w:r w:rsidRPr="009A6231">
        <w:noBreakHyphen/>
        <w:t>4 and during Cycle 1. A concentration</w:t>
      </w:r>
      <w:r w:rsidRPr="009A6231">
        <w:noBreakHyphen/>
        <w:t xml:space="preserve">effect model was used to evaluate the relationship between plasma concentrations and the mean change from baseline in </w:t>
      </w:r>
      <w:proofErr w:type="spellStart"/>
      <w:r w:rsidRPr="009A6231">
        <w:t>QTcF</w:t>
      </w:r>
      <w:proofErr w:type="spellEnd"/>
      <w:r w:rsidRPr="009A6231">
        <w:t xml:space="preserve"> for all subjects in the PK/QTc study.</w:t>
      </w:r>
    </w:p>
    <w:p w14:paraId="6B9117D9" w14:textId="77777777" w:rsidR="00352C9A" w:rsidRPr="00EF7D77" w:rsidRDefault="00352C9A" w:rsidP="00F20D93">
      <w:pPr>
        <w:pStyle w:val="C-BodyText"/>
      </w:pPr>
    </w:p>
    <w:bookmarkEnd w:id="1"/>
    <w:p w14:paraId="16B17E80" w14:textId="4091302C" w:rsidR="002E23EE" w:rsidRDefault="00BA51BA" w:rsidP="002E23EE">
      <w:pPr>
        <w:pStyle w:val="C-BodyText"/>
      </w:pPr>
      <w:r w:rsidRPr="00EF7D77">
        <w:rPr>
          <w:b/>
          <w:bCs/>
        </w:rPr>
        <w:t xml:space="preserve">Methodology: </w:t>
      </w:r>
      <w:r w:rsidR="002E23EE">
        <w:t>This was a multicenter, first in human, Phase 1/2, open label, dose escalation trial. The study was initially conducted in subjects with advanced solid tumors or NHL. Subsequently, the study was amended to include the 6 indication</w:t>
      </w:r>
      <w:r w:rsidR="003E33D7">
        <w:t>-</w:t>
      </w:r>
      <w:r w:rsidR="002E23EE">
        <w:t xml:space="preserve">specific </w:t>
      </w:r>
      <w:r w:rsidR="003E33D7">
        <w:t>expansion cohort</w:t>
      </w:r>
      <w:r w:rsidR="002E23EE">
        <w:t>s described below.</w:t>
      </w:r>
    </w:p>
    <w:p w14:paraId="324EBC82" w14:textId="77777777" w:rsidR="002E23EE" w:rsidRDefault="002E23EE" w:rsidP="002E23EE">
      <w:pPr>
        <w:pStyle w:val="C-BodyText"/>
      </w:pPr>
      <w:r>
        <w:t>The trial consisted of 2 stages:</w:t>
      </w:r>
    </w:p>
    <w:p w14:paraId="11A2900F" w14:textId="77777777" w:rsidR="002E23EE" w:rsidRPr="006F1858" w:rsidRDefault="002E23EE" w:rsidP="002E23EE">
      <w:pPr>
        <w:pStyle w:val="C-BodyText"/>
        <w:rPr>
          <w:u w:val="single"/>
        </w:rPr>
      </w:pPr>
      <w:r w:rsidRPr="006F1858">
        <w:rPr>
          <w:u w:val="single"/>
        </w:rPr>
        <w:t xml:space="preserve">Stage 1: Dose Escalation Phase </w:t>
      </w:r>
    </w:p>
    <w:p w14:paraId="247D5835" w14:textId="6E95CE95" w:rsidR="002E23EE" w:rsidRDefault="002E23EE" w:rsidP="00065E97">
      <w:pPr>
        <w:pStyle w:val="C-BodyTextIndent"/>
      </w:pPr>
      <w:r>
        <w:t>Between 30 and 50</w:t>
      </w:r>
      <w:r w:rsidR="003F0021">
        <w:t> </w:t>
      </w:r>
      <w:r>
        <w:t xml:space="preserve">subjects with solid tumors or NHL were planned to be enrolled in the Dose Escalation Phase of the study. </w:t>
      </w:r>
    </w:p>
    <w:p w14:paraId="77ADAB0A" w14:textId="1CF1E306" w:rsidR="002E23EE" w:rsidRDefault="002E23EE" w:rsidP="00065E97">
      <w:pPr>
        <w:pStyle w:val="C-BodyTextIndent"/>
      </w:pPr>
      <w:r>
        <w:t>Utilizing an accelerated titration design, single-subject cohorts received escalating doses of SRA737, starting in Cohort 1 with 20 mg/day administered orally on a continuous daily dosing schedule in 28</w:t>
      </w:r>
      <w:r w:rsidR="003F0021">
        <w:noBreakHyphen/>
        <w:t>d</w:t>
      </w:r>
      <w:r>
        <w:t>ay cycles. If an SRA73</w:t>
      </w:r>
      <w:r w:rsidR="00CE4482">
        <w:t>7</w:t>
      </w:r>
      <w:r w:rsidR="003F0021">
        <w:noBreakHyphen/>
      </w:r>
      <w:r>
        <w:t xml:space="preserve"> related Grade</w:t>
      </w:r>
      <w:r w:rsidR="003F0021">
        <w:t> </w:t>
      </w:r>
      <w:r>
        <w:t xml:space="preserve">2 toxicity was observed in a </w:t>
      </w:r>
      <w:r w:rsidR="00B45003">
        <w:t>dose level</w:t>
      </w:r>
      <w:r>
        <w:t xml:space="preserve"> </w:t>
      </w:r>
      <w:r w:rsidR="00542643">
        <w:t xml:space="preserve">cohort </w:t>
      </w:r>
      <w:r>
        <w:t>during Cycle</w:t>
      </w:r>
      <w:r w:rsidR="003F0021">
        <w:t> </w:t>
      </w:r>
      <w:r>
        <w:t>1, that cohort was to be expanded to 3</w:t>
      </w:r>
      <w:r w:rsidR="003F0021">
        <w:t> </w:t>
      </w:r>
      <w:r>
        <w:t>to 6</w:t>
      </w:r>
      <w:r w:rsidR="003F0021">
        <w:t> </w:t>
      </w:r>
      <w:r>
        <w:t>subjects, and subsequent dose level cohorts would follow a rollin</w:t>
      </w:r>
      <w:r w:rsidR="00AE083E">
        <w:t>g </w:t>
      </w:r>
      <w:r>
        <w:t xml:space="preserve">6 design. The dose was escalated in subsequent cohorts until the MTD was identified, unless determined otherwise by the sponsor in consultation with the chief investigator, for example, if an alternative schedule was to be pursued instead. </w:t>
      </w:r>
    </w:p>
    <w:p w14:paraId="5C878AE7" w14:textId="53AA7311" w:rsidR="002E23EE" w:rsidRDefault="002E23EE" w:rsidP="00065E97">
      <w:pPr>
        <w:pStyle w:val="C-BodyTextIndent"/>
      </w:pPr>
      <w:r>
        <w:t xml:space="preserve">The dose-limiting toxicity (DLT) window was defined from the first Day </w:t>
      </w:r>
      <w:r w:rsidR="00AE083E">
        <w:noBreakHyphen/>
      </w:r>
      <w:r>
        <w:t xml:space="preserve">7 to Day </w:t>
      </w:r>
      <w:r w:rsidR="00AE083E">
        <w:noBreakHyphen/>
      </w:r>
      <w:r>
        <w:t>4 dose until the end of Cycle</w:t>
      </w:r>
      <w:r w:rsidR="00AE083E">
        <w:t> </w:t>
      </w:r>
      <w:r>
        <w:t>1 (up to 35</w:t>
      </w:r>
      <w:r w:rsidR="003F0021">
        <w:t> </w:t>
      </w:r>
      <w:r>
        <w:t xml:space="preserve">days). A DLT was defined as any highly probably or probably treatment-related event that met protocol-specified DLT criteria, including any drug-related toxicity that led to an inability to receive 75% of the planned dose in the first cycle. </w:t>
      </w:r>
    </w:p>
    <w:p w14:paraId="56E8ABE3" w14:textId="77777777" w:rsidR="002E23EE" w:rsidRDefault="002E23EE" w:rsidP="002E23EE">
      <w:pPr>
        <w:pStyle w:val="C-BodyText"/>
      </w:pPr>
    </w:p>
    <w:p w14:paraId="371719DA" w14:textId="77777777" w:rsidR="002E23EE" w:rsidRPr="006F1858" w:rsidRDefault="002E23EE" w:rsidP="0065451F">
      <w:pPr>
        <w:pStyle w:val="C-BodyText"/>
        <w:keepNext/>
        <w:rPr>
          <w:u w:val="single"/>
        </w:rPr>
      </w:pPr>
      <w:r w:rsidRPr="006F1858">
        <w:rPr>
          <w:u w:val="single"/>
        </w:rPr>
        <w:lastRenderedPageBreak/>
        <w:t xml:space="preserve">Stage 2: Cohort Expansion Phase </w:t>
      </w:r>
    </w:p>
    <w:p w14:paraId="0C4799BD" w14:textId="184CD579" w:rsidR="002E23EE" w:rsidRDefault="002E23EE" w:rsidP="00F40EF5">
      <w:pPr>
        <w:pStyle w:val="C-BodyTextIndent"/>
      </w:pPr>
      <w:r>
        <w:t>Approximately 120</w:t>
      </w:r>
      <w:r w:rsidR="003F0021">
        <w:t> </w:t>
      </w:r>
      <w:r>
        <w:t xml:space="preserve">subjects were planned to be enrolled into the Cohort Expansion Phase to facilitate a preliminary exploration of the efficacy of SRA737. </w:t>
      </w:r>
    </w:p>
    <w:p w14:paraId="31E19D76" w14:textId="124A9724" w:rsidR="002E23EE" w:rsidRDefault="002E23EE" w:rsidP="00F40EF5">
      <w:pPr>
        <w:pStyle w:val="C-BodyTextIndent"/>
      </w:pPr>
      <w:r>
        <w:t>Subjects were enrolled in 6</w:t>
      </w:r>
      <w:r w:rsidR="003F0021">
        <w:t> </w:t>
      </w:r>
      <w:r>
        <w:t>indication</w:t>
      </w:r>
      <w:r w:rsidR="003F0021">
        <w:noBreakHyphen/>
      </w:r>
      <w:r>
        <w:t xml:space="preserve">specific </w:t>
      </w:r>
      <w:r w:rsidR="003E33D7">
        <w:t>expansion cohort</w:t>
      </w:r>
      <w:r>
        <w:t>s of approximately 20</w:t>
      </w:r>
      <w:r w:rsidR="003F0021">
        <w:t> </w:t>
      </w:r>
      <w:r>
        <w:t>prospectively</w:t>
      </w:r>
      <w:r w:rsidR="00D81B5D">
        <w:t>-</w:t>
      </w:r>
      <w:r>
        <w:t>selected genetically</w:t>
      </w:r>
      <w:r w:rsidR="00D81B5D">
        <w:t>-</w:t>
      </w:r>
      <w:r>
        <w:t xml:space="preserve">defined subjects each: </w:t>
      </w:r>
    </w:p>
    <w:p w14:paraId="37627B61" w14:textId="7BF63435" w:rsidR="002E23EE" w:rsidRDefault="002E23EE" w:rsidP="00F40EF5">
      <w:pPr>
        <w:pStyle w:val="C-Bullet"/>
      </w:pPr>
      <w:r>
        <w:t xml:space="preserve">Previously treated metastatic colorectal cancer (CRC) </w:t>
      </w:r>
    </w:p>
    <w:p w14:paraId="582404F7" w14:textId="6F97D940" w:rsidR="002E23EE" w:rsidRDefault="002E23EE" w:rsidP="00F40EF5">
      <w:pPr>
        <w:pStyle w:val="C-Bullet"/>
      </w:pPr>
      <w:r>
        <w:t xml:space="preserve">High grade serous ovarian cancer (HGSOC); further designated as </w:t>
      </w:r>
    </w:p>
    <w:p w14:paraId="78DF5191" w14:textId="6DB289E2" w:rsidR="002E23EE" w:rsidRDefault="002E23EE" w:rsidP="00F40EF5">
      <w:pPr>
        <w:pStyle w:val="C-BulletIndented"/>
      </w:pPr>
      <w:r>
        <w:t>those without CCNE1 gene amplification</w:t>
      </w:r>
    </w:p>
    <w:p w14:paraId="2A491FB6" w14:textId="13638754" w:rsidR="002E23EE" w:rsidRDefault="002E23EE" w:rsidP="00F40EF5">
      <w:pPr>
        <w:pStyle w:val="C-BulletIndented"/>
      </w:pPr>
      <w:r>
        <w:t>those with CCNE1 gene amplification (or alternative genetic alteration with similar functional effect)</w:t>
      </w:r>
    </w:p>
    <w:p w14:paraId="525262A8" w14:textId="25133764" w:rsidR="002E23EE" w:rsidRDefault="002E23EE" w:rsidP="00F40EF5">
      <w:pPr>
        <w:pStyle w:val="C-Bullet"/>
      </w:pPr>
      <w:r>
        <w:t>Metastatic castration resistant prostate cancer (</w:t>
      </w:r>
      <w:proofErr w:type="spellStart"/>
      <w:r>
        <w:t>mCRPC</w:t>
      </w:r>
      <w:proofErr w:type="spellEnd"/>
      <w:r>
        <w:t>)</w:t>
      </w:r>
    </w:p>
    <w:p w14:paraId="3D9FA332" w14:textId="66BCDD4C" w:rsidR="002E23EE" w:rsidRDefault="002E23EE" w:rsidP="00F40EF5">
      <w:pPr>
        <w:pStyle w:val="C-Bullet"/>
      </w:pPr>
      <w:r>
        <w:t xml:space="preserve">Advanced </w:t>
      </w:r>
      <w:proofErr w:type="spellStart"/>
      <w:r>
        <w:t>non small</w:t>
      </w:r>
      <w:proofErr w:type="spellEnd"/>
      <w:r>
        <w:t xml:space="preserve"> cell lung cancer (NSCLC)</w:t>
      </w:r>
    </w:p>
    <w:p w14:paraId="304478AD" w14:textId="0A94A29F" w:rsidR="002E23EE" w:rsidRDefault="002E23EE" w:rsidP="00F40EF5">
      <w:pPr>
        <w:pStyle w:val="C-Bullet"/>
      </w:pPr>
      <w:r>
        <w:t xml:space="preserve">Head and neck squamous cell carcinoma (HNSCC) or squamous cell carcinoma of the anus (SCCA) </w:t>
      </w:r>
    </w:p>
    <w:p w14:paraId="4DD65193" w14:textId="77777777" w:rsidR="002E23EE" w:rsidRDefault="002E23EE" w:rsidP="00F40EF5">
      <w:pPr>
        <w:pStyle w:val="C-BodyTextIndent"/>
      </w:pPr>
    </w:p>
    <w:p w14:paraId="32044E3E" w14:textId="77777777" w:rsidR="002E23EE" w:rsidRDefault="002E23EE" w:rsidP="00F40EF5">
      <w:pPr>
        <w:pStyle w:val="C-BodyTextIndent"/>
      </w:pPr>
      <w:r>
        <w:t xml:space="preserve">Tissue (archival or fresh) and blood were collected for prospective genetic analyses to determine eligibility or for retrospective analysis. </w:t>
      </w:r>
    </w:p>
    <w:p w14:paraId="6A3A7231" w14:textId="19017FF8" w:rsidR="002E23EE" w:rsidRDefault="002E23EE" w:rsidP="00F40EF5">
      <w:pPr>
        <w:pStyle w:val="C-BodyTextIndent"/>
      </w:pPr>
      <w:r>
        <w:t xml:space="preserve">Enrollment to the Dose Escalation </w:t>
      </w:r>
      <w:r w:rsidR="00A77B2D">
        <w:t xml:space="preserve">Phase </w:t>
      </w:r>
      <w:r>
        <w:t xml:space="preserve">and </w:t>
      </w:r>
      <w:r w:rsidR="00A77B2D">
        <w:t xml:space="preserve">Cohort </w:t>
      </w:r>
      <w:r>
        <w:t xml:space="preserve">Expansion </w:t>
      </w:r>
      <w:r w:rsidR="00A77B2D">
        <w:t xml:space="preserve">Phase </w:t>
      </w:r>
      <w:r>
        <w:t>was allowed to occur in parallel once adequate exposure was observed at a lower dose level. A subject that qualified for the Cohort Expansion Phase was to be enrolled into a</w:t>
      </w:r>
      <w:r w:rsidR="003C74DE">
        <w:t xml:space="preserve"> dose level cohort in the </w:t>
      </w:r>
      <w:r>
        <w:t xml:space="preserve"> </w:t>
      </w:r>
      <w:r w:rsidR="008858D4">
        <w:t xml:space="preserve">Dose </w:t>
      </w:r>
      <w:r>
        <w:t xml:space="preserve">Escalation </w:t>
      </w:r>
      <w:r w:rsidR="003C74DE">
        <w:t xml:space="preserve">Phase </w:t>
      </w:r>
      <w:r>
        <w:t xml:space="preserve">whenever possible, and would be considered to have enrolled in both phases simultaneously. </w:t>
      </w:r>
    </w:p>
    <w:p w14:paraId="5F3BC18D" w14:textId="77777777" w:rsidR="002E23EE" w:rsidRDefault="002E23EE" w:rsidP="00F40EF5">
      <w:pPr>
        <w:pStyle w:val="C-BodyTextIndent"/>
      </w:pPr>
      <w:r>
        <w:t xml:space="preserve">Intra-subject dose escalation was allowed for study subjects when a higher dose level had been determined to be safe in a cohort of Dose Escalation subjects. </w:t>
      </w:r>
    </w:p>
    <w:p w14:paraId="127D32D0" w14:textId="77777777" w:rsidR="002E23EE" w:rsidRDefault="002E23EE" w:rsidP="002E23EE">
      <w:pPr>
        <w:pStyle w:val="C-BodyText"/>
      </w:pPr>
    </w:p>
    <w:p w14:paraId="68132150" w14:textId="123C6117" w:rsidR="002E23EE" w:rsidRDefault="002E23EE" w:rsidP="0065451F">
      <w:pPr>
        <w:pStyle w:val="C-BodyText"/>
        <w:keepNext/>
      </w:pPr>
      <w:r w:rsidRPr="006F1858">
        <w:rPr>
          <w:u w:val="single"/>
        </w:rPr>
        <w:t>Overview of Treatment and Assessments</w:t>
      </w:r>
      <w:r w:rsidRPr="006F1858">
        <w:t>:</w:t>
      </w:r>
      <w:r>
        <w:t xml:space="preserve"> SRA737 was administered orally, once daily for each 28</w:t>
      </w:r>
      <w:r w:rsidR="003F0021">
        <w:noBreakHyphen/>
      </w:r>
      <w:r>
        <w:t xml:space="preserve">day cycle. An alternate twice daily (BID) dosing schedule was also explored. Subjects could continue treatment with SRA737 until disease progression or discontinuation for other protocol specified reasons. </w:t>
      </w:r>
    </w:p>
    <w:p w14:paraId="40F1EC67" w14:textId="77777777" w:rsidR="002E23EE" w:rsidRDefault="002E23EE" w:rsidP="0065451F">
      <w:pPr>
        <w:pStyle w:val="C-BodyText"/>
        <w:keepNext/>
      </w:pPr>
      <w:r>
        <w:t>There were 5 distinct phases in the schedule of events for each subject:</w:t>
      </w:r>
    </w:p>
    <w:p w14:paraId="1C070C4E" w14:textId="61A0E5DA" w:rsidR="002E23EE" w:rsidRDefault="002E23EE" w:rsidP="0065451F">
      <w:pPr>
        <w:pStyle w:val="C-Bullet"/>
        <w:keepNext/>
      </w:pPr>
      <w:r>
        <w:t>Screening evaluations (after signing informed consent, and prior to first dose)</w:t>
      </w:r>
    </w:p>
    <w:p w14:paraId="556FBA7E" w14:textId="311B9F1D" w:rsidR="002E23EE" w:rsidRDefault="002E23EE" w:rsidP="0065451F">
      <w:pPr>
        <w:pStyle w:val="C-Bullet"/>
        <w:keepNext/>
      </w:pPr>
      <w:r>
        <w:t xml:space="preserve">First dose of SRA737 for intensive PK (single day, Day </w:t>
      </w:r>
      <w:r w:rsidR="003F0021">
        <w:noBreakHyphen/>
      </w:r>
      <w:r>
        <w:t xml:space="preserve">7 to Day </w:t>
      </w:r>
      <w:r w:rsidR="003F0021">
        <w:noBreakHyphen/>
      </w:r>
      <w:r>
        <w:t>4 [ie, 4</w:t>
      </w:r>
      <w:r w:rsidR="003F0021">
        <w:t> </w:t>
      </w:r>
      <w:r>
        <w:t>to 7</w:t>
      </w:r>
      <w:r w:rsidR="003F0021">
        <w:t> </w:t>
      </w:r>
      <w:r>
        <w:t>days prior to Cycle</w:t>
      </w:r>
      <w:r w:rsidR="003F0021">
        <w:t> </w:t>
      </w:r>
      <w:r>
        <w:t>1 Day</w:t>
      </w:r>
      <w:r w:rsidR="003F0021">
        <w:t> </w:t>
      </w:r>
      <w:r>
        <w:t>1)</w:t>
      </w:r>
    </w:p>
    <w:p w14:paraId="3A52496B" w14:textId="386857C2" w:rsidR="002E23EE" w:rsidRDefault="002E23EE" w:rsidP="0065451F">
      <w:pPr>
        <w:pStyle w:val="C-Bullet"/>
        <w:keepNext/>
      </w:pPr>
      <w:r>
        <w:t>Treatment phase (28</w:t>
      </w:r>
      <w:r w:rsidR="003F0021">
        <w:noBreakHyphen/>
      </w:r>
      <w:r>
        <w:t>day cycles of daily SRA737)</w:t>
      </w:r>
    </w:p>
    <w:p w14:paraId="01D758F4" w14:textId="63D06A6E" w:rsidR="002E23EE" w:rsidRDefault="002E23EE" w:rsidP="0065451F">
      <w:pPr>
        <w:pStyle w:val="C-Bullet"/>
        <w:keepNext/>
      </w:pPr>
      <w:r>
        <w:t>Safety follow</w:t>
      </w:r>
      <w:r w:rsidR="00314A98">
        <w:t>-</w:t>
      </w:r>
      <w:r>
        <w:t>up (30</w:t>
      </w:r>
      <w:r w:rsidR="003F0021">
        <w:t> </w:t>
      </w:r>
      <w:r>
        <w:t>days after last dose of SRA737)</w:t>
      </w:r>
    </w:p>
    <w:p w14:paraId="3D7C3C44" w14:textId="671984CC" w:rsidR="002E23EE" w:rsidRDefault="002E23EE" w:rsidP="003B687F">
      <w:pPr>
        <w:pStyle w:val="C-Bullet"/>
      </w:pPr>
      <w:r>
        <w:t>Long</w:t>
      </w:r>
      <w:r w:rsidR="00314A98">
        <w:t>-</w:t>
      </w:r>
      <w:r>
        <w:t>term follow</w:t>
      </w:r>
      <w:r w:rsidR="00314A98">
        <w:t>-</w:t>
      </w:r>
      <w:r>
        <w:t>up (every 16</w:t>
      </w:r>
      <w:r w:rsidR="003F0021">
        <w:t> </w:t>
      </w:r>
      <w:r>
        <w:t>weeks)</w:t>
      </w:r>
    </w:p>
    <w:p w14:paraId="6220DC50" w14:textId="7F6C44A3" w:rsidR="002E23EE" w:rsidRDefault="002E23EE" w:rsidP="002E23EE">
      <w:pPr>
        <w:pStyle w:val="C-BodyText"/>
      </w:pPr>
      <w:r>
        <w:lastRenderedPageBreak/>
        <w:t>A Safety Follow</w:t>
      </w:r>
      <w:r w:rsidR="003B687F">
        <w:t>-</w:t>
      </w:r>
      <w:r>
        <w:t xml:space="preserve">up </w:t>
      </w:r>
      <w:r w:rsidR="00314A98">
        <w:t xml:space="preserve">(SFU) </w:t>
      </w:r>
      <w:r>
        <w:t>visit was conducted 30 days after the last dose of SRA737 or prior to the initiation of a new anticancer treatment, whichever came first. Long</w:t>
      </w:r>
      <w:r w:rsidR="003B687F">
        <w:noBreakHyphen/>
      </w:r>
      <w:r>
        <w:t>term Follow</w:t>
      </w:r>
      <w:r w:rsidR="003B687F">
        <w:noBreakHyphen/>
      </w:r>
      <w:r>
        <w:t xml:space="preserve">up </w:t>
      </w:r>
      <w:r w:rsidR="000B71A2">
        <w:t xml:space="preserve">(LTFU) </w:t>
      </w:r>
      <w:r>
        <w:t>visits were conducted every 16</w:t>
      </w:r>
      <w:r w:rsidR="003B687F">
        <w:t> </w:t>
      </w:r>
      <w:r>
        <w:t xml:space="preserve">weeks for subjects who had not progressed and had not initiated new anticancer therapy. </w:t>
      </w:r>
    </w:p>
    <w:p w14:paraId="21B0D137" w14:textId="77777777" w:rsidR="002E23EE" w:rsidRDefault="002E23EE" w:rsidP="002E23EE">
      <w:pPr>
        <w:pStyle w:val="C-BodyText"/>
      </w:pPr>
      <w:r>
        <w:t>Safety assessments included adverse events, concomitant medications, laboratory assessments (hematology, biochemistry, troponin I or T, and urinalysis), physical examinations, World Health Organization (WHO) performance status, vital signs, echocardiograms, and electrocardiograms.</w:t>
      </w:r>
    </w:p>
    <w:p w14:paraId="1756F0E4" w14:textId="034AB515" w:rsidR="002E23EE" w:rsidRDefault="002E23EE" w:rsidP="002E23EE">
      <w:pPr>
        <w:pStyle w:val="C-BodyText"/>
      </w:pPr>
      <w:r>
        <w:t>Disease assessments were conducted throughout the study to evaluate preliminary efficacy of SRA737. Assessments included radiological tumor assessments every 8 weeks and clinical evaluation, serum tumor markers (if applicable) and CTCs (for mCRPC subjects only) every 4</w:t>
      </w:r>
      <w:r w:rsidR="00E132AE">
        <w:t> </w:t>
      </w:r>
      <w:r>
        <w:t>weeks. Response was assessed using RECIST</w:t>
      </w:r>
      <w:r w:rsidR="00E132AE">
        <w:t> </w:t>
      </w:r>
      <w:r>
        <w:t>1.1; or for subjects with NHL, the revised IWG criteria; or for subjects with mCRPC, a composite response rate defined as any one of RECIST v1.1, PSA decrease of ≥</w:t>
      </w:r>
      <w:r w:rsidR="00E132AE">
        <w:t> </w:t>
      </w:r>
      <w:r>
        <w:t>50%; or CTC count conversion.</w:t>
      </w:r>
    </w:p>
    <w:p w14:paraId="7D64205C" w14:textId="4DC9349F" w:rsidR="002E23EE" w:rsidRDefault="002E23EE" w:rsidP="002E23EE">
      <w:pPr>
        <w:pStyle w:val="C-BodyText"/>
      </w:pPr>
      <w:r>
        <w:t xml:space="preserve">Evaluation of PK and ECG monitoring for QTc assessments were performed, beginning with sampling before and after a single dose of SRA737 given on one day between Day </w:t>
      </w:r>
      <w:r w:rsidR="003F0021">
        <w:noBreakHyphen/>
      </w:r>
      <w:r>
        <w:t xml:space="preserve">7 and Day </w:t>
      </w:r>
      <w:r w:rsidR="003F0021">
        <w:noBreakHyphen/>
      </w:r>
      <w:r>
        <w:t>4. Tissue (archival or fresh) and blood were collected for retrospective biomarker analyses and other exploratory evaluations (eg, tumor profiling, mutational burden).</w:t>
      </w:r>
    </w:p>
    <w:p w14:paraId="6689B948" w14:textId="053A58D8" w:rsidR="00BA51BA" w:rsidRPr="00EF7D77" w:rsidRDefault="00BA51BA" w:rsidP="006D60AC">
      <w:pPr>
        <w:pStyle w:val="C-BodyText"/>
      </w:pPr>
    </w:p>
    <w:p w14:paraId="679C0871" w14:textId="6F944CBA" w:rsidR="00BA51BA" w:rsidRDefault="00BA51BA" w:rsidP="006D60AC">
      <w:pPr>
        <w:pStyle w:val="C-BodyText"/>
      </w:pPr>
      <w:r w:rsidRPr="00EF7D77">
        <w:rPr>
          <w:b/>
          <w:bCs/>
        </w:rPr>
        <w:t xml:space="preserve">Number of </w:t>
      </w:r>
      <w:r w:rsidR="007B771C" w:rsidRPr="00EF7D77">
        <w:rPr>
          <w:b/>
          <w:bCs/>
        </w:rPr>
        <w:t>Subject</w:t>
      </w:r>
      <w:r w:rsidRPr="00EF7D77">
        <w:rPr>
          <w:b/>
          <w:bCs/>
        </w:rPr>
        <w:t xml:space="preserve">s (planned and analyzed): </w:t>
      </w:r>
      <w:r w:rsidR="000D15A8" w:rsidRPr="004A6F3A">
        <w:t>Up to 17</w:t>
      </w:r>
      <w:r w:rsidR="005762AB" w:rsidRPr="004A6F3A">
        <w:t>0</w:t>
      </w:r>
      <w:r w:rsidR="005762AB">
        <w:t> </w:t>
      </w:r>
      <w:r w:rsidR="000D15A8" w:rsidRPr="004A6F3A">
        <w:t xml:space="preserve">subjects planned </w:t>
      </w:r>
      <w:r w:rsidR="008C170D" w:rsidRPr="004A6F3A">
        <w:t>(3</w:t>
      </w:r>
      <w:r w:rsidR="005762AB" w:rsidRPr="004A6F3A">
        <w:t>0</w:t>
      </w:r>
      <w:r w:rsidR="005762AB">
        <w:t> </w:t>
      </w:r>
      <w:r w:rsidR="008C170D" w:rsidRPr="004A6F3A">
        <w:t>to 5</w:t>
      </w:r>
      <w:r w:rsidR="005762AB" w:rsidRPr="004A6F3A">
        <w:t>0</w:t>
      </w:r>
      <w:r w:rsidR="005762AB">
        <w:t> </w:t>
      </w:r>
      <w:r w:rsidR="008C170D" w:rsidRPr="004A6F3A">
        <w:t xml:space="preserve">subjects for Dose Escalation Phase </w:t>
      </w:r>
      <w:r w:rsidR="000D15A8">
        <w:t>and</w:t>
      </w:r>
      <w:r w:rsidR="008C170D" w:rsidRPr="004A6F3A">
        <w:t xml:space="preserve"> 12</w:t>
      </w:r>
      <w:r w:rsidR="005762AB" w:rsidRPr="004A6F3A">
        <w:t>0</w:t>
      </w:r>
      <w:r w:rsidR="005762AB">
        <w:t> </w:t>
      </w:r>
      <w:r w:rsidR="008C170D" w:rsidRPr="004A6F3A">
        <w:t>subjects for Cohort Expansion Phase).</w:t>
      </w:r>
      <w:r w:rsidR="000D15A8">
        <w:t xml:space="preserve"> Total of 10</w:t>
      </w:r>
      <w:r w:rsidR="005762AB">
        <w:t>7 </w:t>
      </w:r>
      <w:r w:rsidR="000D15A8">
        <w:t>treated and analyzed</w:t>
      </w:r>
      <w:r w:rsidR="00DC02EC">
        <w:t xml:space="preserve">. </w:t>
      </w:r>
    </w:p>
    <w:p w14:paraId="27506260" w14:textId="77777777" w:rsidR="00042285" w:rsidRPr="00EF7D77" w:rsidRDefault="00042285" w:rsidP="006D60AC">
      <w:pPr>
        <w:pStyle w:val="C-BodyText"/>
      </w:pPr>
    </w:p>
    <w:p w14:paraId="76D16357" w14:textId="7D383B1D" w:rsidR="00E853DC" w:rsidRDefault="00BA51BA" w:rsidP="00E853DC">
      <w:pPr>
        <w:pStyle w:val="C-BodyText"/>
      </w:pPr>
      <w:r w:rsidRPr="00EF7D77">
        <w:rPr>
          <w:b/>
          <w:bCs/>
        </w:rPr>
        <w:t xml:space="preserve">Diagnosis and Main Criteria for Inclusion and Exclusion: </w:t>
      </w:r>
      <w:r w:rsidR="00E853DC">
        <w:t xml:space="preserve">Subjects enrolled in this study had </w:t>
      </w:r>
      <w:r w:rsidR="00E853DC" w:rsidRPr="00EF7D77">
        <w:t>advanced cancer meeting the criteria below for the Dose Escalation Phase and/or Cohort Expansion Phase of the study. All subjects were to have a life expectancy of at least 12</w:t>
      </w:r>
      <w:r w:rsidR="00E853DC">
        <w:t> </w:t>
      </w:r>
      <w:r w:rsidR="00E853DC" w:rsidRPr="00EF7D77">
        <w:t xml:space="preserve">weeks and WHO performance status of 0 to 1. </w:t>
      </w:r>
    </w:p>
    <w:p w14:paraId="7140D047" w14:textId="77777777" w:rsidR="00A60C6E" w:rsidRPr="00EF7D77" w:rsidRDefault="00A60C6E" w:rsidP="00E853DC">
      <w:pPr>
        <w:pStyle w:val="C-BodyText"/>
      </w:pPr>
    </w:p>
    <w:p w14:paraId="59DD0095" w14:textId="77777777" w:rsidR="00E853DC" w:rsidRPr="00E853DC" w:rsidRDefault="00E853DC" w:rsidP="0065451F">
      <w:pPr>
        <w:pStyle w:val="C-BodyText"/>
        <w:keepNext/>
        <w:rPr>
          <w:u w:val="single"/>
        </w:rPr>
      </w:pPr>
      <w:r w:rsidRPr="00E853DC">
        <w:rPr>
          <w:u w:val="single"/>
        </w:rPr>
        <w:t>Dose Escalation Phase:</w:t>
      </w:r>
    </w:p>
    <w:p w14:paraId="0E6C3743" w14:textId="77777777" w:rsidR="00E853DC" w:rsidRPr="00EF7D77" w:rsidRDefault="00E853DC" w:rsidP="00E133C2">
      <w:pPr>
        <w:pStyle w:val="C-Bullet"/>
      </w:pPr>
      <w:r w:rsidRPr="00EF7D77">
        <w:t xml:space="preserve">Any locally advanced or metastatic, histologically or cytologically proven solid tumor or NHL, that had relapsed after or progressing despite conventional treatment for which no conventional therapy was considered appropriate by the investigator or had been declined by the subject. </w:t>
      </w:r>
    </w:p>
    <w:p w14:paraId="6890C4BA" w14:textId="77777777" w:rsidR="00E853DC" w:rsidRPr="00E853DC" w:rsidRDefault="00E853DC" w:rsidP="0065451F">
      <w:pPr>
        <w:pStyle w:val="C-BodyText"/>
        <w:keepNext/>
        <w:rPr>
          <w:u w:val="single"/>
        </w:rPr>
      </w:pPr>
      <w:r w:rsidRPr="00E853DC">
        <w:rPr>
          <w:u w:val="single"/>
        </w:rPr>
        <w:t>Cohort Expansion Phase:</w:t>
      </w:r>
    </w:p>
    <w:p w14:paraId="14D8070A" w14:textId="77777777" w:rsidR="00E853DC" w:rsidRPr="00EF7D77" w:rsidRDefault="00E853DC" w:rsidP="00A14621">
      <w:pPr>
        <w:pStyle w:val="C-Bullet"/>
        <w:keepLines/>
      </w:pPr>
      <w:r w:rsidRPr="00EF7D77">
        <w:t>Locally advanced or metastatic, histologically or cytologically proven malignancy of the types specified in Inclusion Criteria 10 [summarized below], for which no other conventional therapy was considered appropriate by the investigator or had been declined by the subject.</w:t>
      </w:r>
    </w:p>
    <w:p w14:paraId="3E92BA96" w14:textId="77777777" w:rsidR="00E853DC" w:rsidRPr="00EF7D77" w:rsidRDefault="00E853DC" w:rsidP="00A14621">
      <w:pPr>
        <w:pStyle w:val="C-Bullet"/>
        <w:keepLines/>
      </w:pPr>
      <w:r w:rsidRPr="00EF7D77">
        <w:t>Measurable disease per RECIST v1.1 or, for mCRPC, evaluable disease per RECIST v1.1, increasing PSA, or CTC count of 5 or more cells per 7.5ml of blood.</w:t>
      </w:r>
    </w:p>
    <w:p w14:paraId="1E0CEFED" w14:textId="77777777" w:rsidR="00E853DC" w:rsidRPr="00EF7D77" w:rsidRDefault="00E853DC" w:rsidP="00A14621">
      <w:pPr>
        <w:pStyle w:val="C-Bullet"/>
        <w:keepLines/>
      </w:pPr>
      <w:r w:rsidRPr="00EF7D77">
        <w:lastRenderedPageBreak/>
        <w:t xml:space="preserve">Tumor tissue or </w:t>
      </w:r>
      <w:r>
        <w:t>circulating tumor DNA (</w:t>
      </w:r>
      <w:r w:rsidRPr="00EF7D77">
        <w:t>ctDNA</w:t>
      </w:r>
      <w:r>
        <w:t>)</w:t>
      </w:r>
      <w:r w:rsidRPr="00EF7D77">
        <w:t xml:space="preserve"> evidence that their tumor harbored a combination of mutations which were expected to confer sensitivity to Chk1 inhibition. Eligibility was determined by the Sponsor's review of genetic abnormalities detected in genes in the categories described in in the protocol. </w:t>
      </w:r>
    </w:p>
    <w:p w14:paraId="715D0BFF" w14:textId="77777777" w:rsidR="00E853DC" w:rsidRPr="00EF7D77" w:rsidRDefault="00E853DC" w:rsidP="00E853DC">
      <w:pPr>
        <w:pStyle w:val="C-Bullet"/>
        <w:keepNext/>
      </w:pPr>
      <w:r w:rsidRPr="00EF7D77">
        <w:t>Subjects must have met one of the following criteria (a</w:t>
      </w:r>
      <w:r>
        <w:noBreakHyphen/>
      </w:r>
      <w:r w:rsidRPr="00EF7D77">
        <w:t>e):</w:t>
      </w:r>
    </w:p>
    <w:p w14:paraId="19A2189F" w14:textId="77777777" w:rsidR="00E853DC" w:rsidRPr="00E853DC" w:rsidRDefault="00E853DC" w:rsidP="00E853DC">
      <w:pPr>
        <w:pStyle w:val="C-BodyText"/>
        <w:keepNext/>
        <w:ind w:left="1440" w:hanging="360"/>
        <w:rPr>
          <w:u w:val="single"/>
        </w:rPr>
      </w:pPr>
      <w:r w:rsidRPr="00E853DC">
        <w:rPr>
          <w:u w:val="single"/>
        </w:rPr>
        <w:t>a.</w:t>
      </w:r>
      <w:r w:rsidRPr="00E853DC">
        <w:rPr>
          <w:u w:val="single"/>
        </w:rPr>
        <w:tab/>
        <w:t>Metastatic CRC, defined by the following:</w:t>
      </w:r>
    </w:p>
    <w:p w14:paraId="7A973D49" w14:textId="77777777" w:rsidR="00E853DC" w:rsidRPr="00EF7D77" w:rsidRDefault="00E853DC" w:rsidP="00E133C2">
      <w:pPr>
        <w:pStyle w:val="C-BulletIndented"/>
      </w:pPr>
      <w:r w:rsidRPr="00EF7D77">
        <w:t xml:space="preserve">Histologically and/or cytologically confirmed CRC, and </w:t>
      </w:r>
    </w:p>
    <w:p w14:paraId="17171C33" w14:textId="77777777" w:rsidR="00E853DC" w:rsidRPr="00EF7D77" w:rsidRDefault="00E853DC" w:rsidP="00E133C2">
      <w:pPr>
        <w:pStyle w:val="C-BulletIndented"/>
      </w:pPr>
      <w:r w:rsidRPr="00EF7D77">
        <w:t>Must have received at least 1</w:t>
      </w:r>
      <w:r>
        <w:t> </w:t>
      </w:r>
      <w:r w:rsidRPr="00EF7D77">
        <w:t>prior regimen for advanced/metastatic disease</w:t>
      </w:r>
    </w:p>
    <w:p w14:paraId="6CA17B9C" w14:textId="77777777" w:rsidR="00E853DC" w:rsidRPr="00E853DC" w:rsidRDefault="00E853DC" w:rsidP="00E853DC">
      <w:pPr>
        <w:pStyle w:val="C-BodyText"/>
        <w:keepNext/>
        <w:ind w:left="1440" w:hanging="360"/>
        <w:rPr>
          <w:u w:val="single"/>
        </w:rPr>
      </w:pPr>
      <w:r w:rsidRPr="00E853DC">
        <w:rPr>
          <w:u w:val="single"/>
        </w:rPr>
        <w:t>b.</w:t>
      </w:r>
      <w:r w:rsidRPr="00E853DC">
        <w:rPr>
          <w:u w:val="single"/>
        </w:rPr>
        <w:tab/>
        <w:t>HGSOC, defined by the following:</w:t>
      </w:r>
    </w:p>
    <w:p w14:paraId="0A0FFA86" w14:textId="77777777" w:rsidR="00E853DC" w:rsidRPr="00EF7D77" w:rsidRDefault="00E853DC" w:rsidP="004A5CB8">
      <w:pPr>
        <w:pStyle w:val="C-BulletIndented"/>
      </w:pPr>
      <w:r w:rsidRPr="00EF7D77">
        <w:t>Histologically confirmed high</w:t>
      </w:r>
      <w:r>
        <w:noBreakHyphen/>
      </w:r>
      <w:r w:rsidRPr="00EF7D77">
        <w:t xml:space="preserve">grade serous ovarian, fallopian tube or primary peritoneal cancer, and </w:t>
      </w:r>
    </w:p>
    <w:p w14:paraId="220A9B0F" w14:textId="77777777" w:rsidR="00E853DC" w:rsidRPr="00EF7D77" w:rsidRDefault="00E853DC" w:rsidP="004A5CB8">
      <w:pPr>
        <w:pStyle w:val="C-BulletIndented"/>
      </w:pPr>
      <w:r w:rsidRPr="00EF7D77">
        <w:t>Recurrent platinum</w:t>
      </w:r>
      <w:r>
        <w:noBreakHyphen/>
      </w:r>
      <w:r w:rsidRPr="00EF7D77">
        <w:t>intolerant subjects, or those with platinum</w:t>
      </w:r>
      <w:r>
        <w:noBreakHyphen/>
      </w:r>
      <w:r w:rsidRPr="00EF7D77">
        <w:t>resistant disease, defined as radiological evidence of disease progression within 6</w:t>
      </w:r>
      <w:r>
        <w:t> </w:t>
      </w:r>
      <w:r w:rsidRPr="00EF7D77">
        <w:t>months of the last receipt of platinum</w:t>
      </w:r>
      <w:r>
        <w:noBreakHyphen/>
      </w:r>
      <w:r w:rsidRPr="00EF7D77">
        <w:t xml:space="preserve">based chemotherapy. Patients with platinum refractory disease per European Society for Medical Oncology (ESMO) guidelines </w:t>
      </w:r>
      <w:r>
        <w:t xml:space="preserve">(Ledermann 2013) </w:t>
      </w:r>
      <w:r w:rsidRPr="00EF7D77">
        <w:t xml:space="preserve">were not eligible. </w:t>
      </w:r>
    </w:p>
    <w:p w14:paraId="0BEB40A8" w14:textId="77777777" w:rsidR="00E853DC" w:rsidRPr="00E853DC" w:rsidRDefault="00E853DC" w:rsidP="00E853DC">
      <w:pPr>
        <w:pStyle w:val="C-BodyText"/>
        <w:keepNext/>
        <w:ind w:left="1440" w:hanging="360"/>
        <w:rPr>
          <w:u w:val="single"/>
        </w:rPr>
      </w:pPr>
      <w:r w:rsidRPr="00E853DC">
        <w:rPr>
          <w:u w:val="single"/>
        </w:rPr>
        <w:t>c.</w:t>
      </w:r>
      <w:r w:rsidRPr="00E853DC">
        <w:rPr>
          <w:u w:val="single"/>
        </w:rPr>
        <w:tab/>
        <w:t>Advanced NSCLC, defined by the following:</w:t>
      </w:r>
    </w:p>
    <w:p w14:paraId="5B1C14F7" w14:textId="77777777" w:rsidR="00E853DC" w:rsidRPr="00EF7D77" w:rsidRDefault="00E853DC" w:rsidP="004A5CB8">
      <w:pPr>
        <w:pStyle w:val="C-BulletIndented"/>
      </w:pPr>
      <w:r w:rsidRPr="00E853DC">
        <w:t>Locally advanced and recurrent or metastatic, histologically confirmed</w:t>
      </w:r>
      <w:r w:rsidRPr="00EF7D77">
        <w:t xml:space="preserve"> NSCLC, and</w:t>
      </w:r>
    </w:p>
    <w:p w14:paraId="5F5D40D0" w14:textId="77777777" w:rsidR="00E853DC" w:rsidRPr="00EF7D77" w:rsidRDefault="00E853DC" w:rsidP="00E853DC">
      <w:pPr>
        <w:pStyle w:val="C-Bullet"/>
      </w:pPr>
      <w:r w:rsidRPr="00EF7D77">
        <w:t>Must have received at least 1</w:t>
      </w:r>
      <w:r>
        <w:t> </w:t>
      </w:r>
      <w:r w:rsidRPr="00EF7D77">
        <w:t>prior regimen for advanced/metastatic disease</w:t>
      </w:r>
    </w:p>
    <w:p w14:paraId="178C59C9" w14:textId="77777777" w:rsidR="00E853DC" w:rsidRPr="00E853DC" w:rsidRDefault="00E853DC" w:rsidP="00E853DC">
      <w:pPr>
        <w:pStyle w:val="C-BodyText"/>
        <w:keepNext/>
        <w:ind w:left="1440" w:hanging="360"/>
        <w:rPr>
          <w:u w:val="single"/>
        </w:rPr>
      </w:pPr>
      <w:r w:rsidRPr="00E853DC">
        <w:rPr>
          <w:u w:val="single"/>
        </w:rPr>
        <w:t>d.</w:t>
      </w:r>
      <w:r w:rsidRPr="00E853DC">
        <w:rPr>
          <w:u w:val="single"/>
        </w:rPr>
        <w:tab/>
        <w:t>mCRPC, defined by the following:</w:t>
      </w:r>
    </w:p>
    <w:p w14:paraId="7E5D2EE9" w14:textId="77777777" w:rsidR="00E853DC" w:rsidRPr="00EF7D77" w:rsidRDefault="00E853DC" w:rsidP="004A5CB8">
      <w:pPr>
        <w:pStyle w:val="C-BulletIndented"/>
      </w:pPr>
      <w:r w:rsidRPr="00E853DC">
        <w:t>Histologically or cytologically confirmed adenocarcinoma of the prostate that</w:t>
      </w:r>
      <w:r w:rsidRPr="00EF7D77">
        <w:t xml:space="preserve"> has progressed after androgen deprivation therapy </w:t>
      </w:r>
    </w:p>
    <w:p w14:paraId="57DD9801" w14:textId="77777777" w:rsidR="00E853DC" w:rsidRPr="00E853DC" w:rsidRDefault="00E853DC" w:rsidP="00E853DC">
      <w:pPr>
        <w:pStyle w:val="C-BodyText"/>
        <w:keepNext/>
        <w:ind w:left="1440" w:hanging="360"/>
        <w:rPr>
          <w:u w:val="single"/>
        </w:rPr>
      </w:pPr>
      <w:r w:rsidRPr="00E853DC">
        <w:rPr>
          <w:u w:val="single"/>
        </w:rPr>
        <w:t>e.</w:t>
      </w:r>
      <w:r w:rsidRPr="00E853DC">
        <w:rPr>
          <w:u w:val="single"/>
        </w:rPr>
        <w:tab/>
        <w:t>HNSCC or SCCA, defined by the following:</w:t>
      </w:r>
    </w:p>
    <w:p w14:paraId="6B1D45D6" w14:textId="77777777" w:rsidR="00E853DC" w:rsidRPr="00EF7D77" w:rsidRDefault="00E853DC" w:rsidP="006462E5">
      <w:pPr>
        <w:pStyle w:val="C-BulletIndented"/>
      </w:pPr>
      <w:r w:rsidRPr="00EF7D77">
        <w:t>Histologically confirmed HNSCC from any primary site, or SCCA:</w:t>
      </w:r>
    </w:p>
    <w:p w14:paraId="5D0D1D06" w14:textId="77777777" w:rsidR="00E853DC" w:rsidRPr="00EF7D77" w:rsidRDefault="00E853DC" w:rsidP="00917761">
      <w:pPr>
        <w:pStyle w:val="C-BulletIndented"/>
        <w:numPr>
          <w:ilvl w:val="3"/>
          <w:numId w:val="26"/>
        </w:numPr>
        <w:ind w:left="1620"/>
      </w:pPr>
      <w:r w:rsidRPr="00EF7D77">
        <w:t>For HNSCC: locally advanced disease (ie, persistent or progressive disease following curative</w:t>
      </w:r>
      <w:r>
        <w:noBreakHyphen/>
      </w:r>
      <w:r w:rsidRPr="00EF7D77">
        <w:t>intent radiation, and not a candidate for surgical salvage due to incurability or morbidity), or metastatic disease</w:t>
      </w:r>
    </w:p>
    <w:p w14:paraId="5B1F59CD" w14:textId="77777777" w:rsidR="00E853DC" w:rsidRPr="00EF7D77" w:rsidRDefault="00E853DC" w:rsidP="00917761">
      <w:pPr>
        <w:pStyle w:val="C-BulletIndented"/>
        <w:numPr>
          <w:ilvl w:val="3"/>
          <w:numId w:val="26"/>
        </w:numPr>
        <w:ind w:left="1620"/>
      </w:pPr>
      <w:r w:rsidRPr="00EF7D77">
        <w:t>For SCCA: locally advanced disease or metastatic disease for which no curative intent therapy was available</w:t>
      </w:r>
    </w:p>
    <w:p w14:paraId="5CC4F985" w14:textId="764AFE38" w:rsidR="00E853DC" w:rsidRPr="00EF7D77" w:rsidRDefault="00E853DC" w:rsidP="00917761">
      <w:pPr>
        <w:pStyle w:val="C-BulletIndented"/>
        <w:numPr>
          <w:ilvl w:val="2"/>
          <w:numId w:val="21"/>
        </w:numPr>
      </w:pPr>
      <w:r w:rsidRPr="00EF7D77">
        <w:t>Must have received at least 1</w:t>
      </w:r>
      <w:r>
        <w:t> </w:t>
      </w:r>
      <w:r w:rsidRPr="00EF7D77">
        <w:t>prior regimen for advanced/metastatic disease</w:t>
      </w:r>
      <w:r w:rsidR="006606A7">
        <w:br/>
      </w:r>
    </w:p>
    <w:p w14:paraId="0BA53A50" w14:textId="77777777" w:rsidR="00E853DC" w:rsidRPr="00BB28CE" w:rsidRDefault="00E853DC" w:rsidP="00E853DC">
      <w:pPr>
        <w:pStyle w:val="C-BodyText"/>
      </w:pPr>
      <w:r w:rsidRPr="00EF7D77">
        <w:t xml:space="preserve">Detailed inclusion and exclusion criteria are provided </w:t>
      </w:r>
      <w:r w:rsidRPr="00BB28CE">
        <w:t xml:space="preserve">in </w:t>
      </w:r>
      <w:r w:rsidRPr="00693CB5">
        <w:t>the protocol</w:t>
      </w:r>
      <w:r w:rsidRPr="00BB28CE">
        <w:t>.</w:t>
      </w:r>
    </w:p>
    <w:p w14:paraId="3DFC5094" w14:textId="5CBABE1E" w:rsidR="00BA51BA" w:rsidRPr="00EF7D77" w:rsidRDefault="00BA51BA" w:rsidP="006D60AC">
      <w:pPr>
        <w:pStyle w:val="C-BodyText"/>
      </w:pPr>
    </w:p>
    <w:p w14:paraId="5F5306E3" w14:textId="6334112B" w:rsidR="00BA51BA" w:rsidRDefault="00BA51BA" w:rsidP="00A14621">
      <w:pPr>
        <w:pStyle w:val="C-BodyText"/>
        <w:keepLines/>
      </w:pPr>
      <w:r w:rsidRPr="00EF7D77">
        <w:rPr>
          <w:b/>
          <w:bCs/>
        </w:rPr>
        <w:lastRenderedPageBreak/>
        <w:t>Study Interventions, Dose, Mode of Administration, and Batch Number(s):</w:t>
      </w:r>
      <w:r w:rsidR="00A8695B" w:rsidRPr="00EF7D77">
        <w:t xml:space="preserve"> </w:t>
      </w:r>
      <w:r w:rsidR="00401960" w:rsidRPr="00401960">
        <w:t xml:space="preserve">SRA737 was supplied in capsules containing 20, 25, 50, or 100 mg of drug. The starting dosage in the Dose Escalation Phase was 20 mg administered orally, daily in 28 day cycles. Doses were escalated in subsequent cohorts as described in the Clinical Study Report (CSR). Drug batches included 20 different drug lots, as listed in CSR Section 3.4.1.2. </w:t>
      </w:r>
    </w:p>
    <w:p w14:paraId="5F838D24" w14:textId="77777777" w:rsidR="00532732" w:rsidRPr="00EF7D77" w:rsidRDefault="00532732" w:rsidP="00A14621">
      <w:pPr>
        <w:pStyle w:val="C-BodyText"/>
        <w:keepLines/>
      </w:pPr>
    </w:p>
    <w:p w14:paraId="10233AA4" w14:textId="57A3283F" w:rsidR="00BA51BA" w:rsidRDefault="00BA51BA" w:rsidP="006D60AC">
      <w:pPr>
        <w:pStyle w:val="C-BodyText"/>
      </w:pPr>
      <w:r w:rsidRPr="00EF7D77">
        <w:rPr>
          <w:b/>
          <w:bCs/>
        </w:rPr>
        <w:t>Duration of Study Intervention:</w:t>
      </w:r>
      <w:r w:rsidR="00A8695B" w:rsidRPr="00EF7D77">
        <w:t xml:space="preserve"> </w:t>
      </w:r>
      <w:r w:rsidR="000D15A8" w:rsidRPr="000D15A8">
        <w:t>Subjects could continue treatment with SRA737 until disease progression or discontinuation for other reasons</w:t>
      </w:r>
      <w:r w:rsidR="00532732">
        <w:t xml:space="preserve"> specified in the protocol</w:t>
      </w:r>
      <w:r w:rsidR="000D15A8" w:rsidRPr="000D15A8">
        <w:t>.</w:t>
      </w:r>
    </w:p>
    <w:p w14:paraId="75F16958" w14:textId="77777777" w:rsidR="00532732" w:rsidRPr="00EF7D77" w:rsidRDefault="00532732" w:rsidP="006D60AC">
      <w:pPr>
        <w:pStyle w:val="C-BodyText"/>
      </w:pPr>
    </w:p>
    <w:p w14:paraId="73E6D5F0" w14:textId="77777777" w:rsidR="00F61FE7" w:rsidRDefault="00B93836" w:rsidP="00494356">
      <w:pPr>
        <w:pStyle w:val="C-BodyText"/>
        <w:keepNext/>
        <w:keepLines/>
      </w:pPr>
      <w:r w:rsidRPr="00263D68">
        <w:rPr>
          <w:b/>
          <w:bCs/>
          <w:u w:val="single"/>
        </w:rPr>
        <w:t>S</w:t>
      </w:r>
      <w:r w:rsidR="004F1D64" w:rsidRPr="00263D68">
        <w:rPr>
          <w:b/>
          <w:bCs/>
          <w:u w:val="single"/>
        </w:rPr>
        <w:t>ummary of Results and Conclusions</w:t>
      </w:r>
      <w:r w:rsidRPr="00EF7D77">
        <w:rPr>
          <w:b/>
          <w:bCs/>
        </w:rPr>
        <w:t>:</w:t>
      </w:r>
      <w:r w:rsidRPr="004A6F3A">
        <w:t xml:space="preserve"> </w:t>
      </w:r>
    </w:p>
    <w:p w14:paraId="526BFD94" w14:textId="439DDBDD" w:rsidR="00997210" w:rsidRPr="00F92C84" w:rsidRDefault="00B93836" w:rsidP="00F92C84">
      <w:pPr>
        <w:pStyle w:val="C-BodyText"/>
      </w:pPr>
      <w:r w:rsidRPr="004055FD">
        <w:rPr>
          <w:b/>
          <w:bCs/>
        </w:rPr>
        <w:t>Demograph</w:t>
      </w:r>
      <w:r w:rsidR="00B47A82" w:rsidRPr="004055FD">
        <w:rPr>
          <w:b/>
          <w:bCs/>
        </w:rPr>
        <w:t>ic</w:t>
      </w:r>
      <w:r w:rsidRPr="004055FD">
        <w:rPr>
          <w:b/>
          <w:bCs/>
        </w:rPr>
        <w:t xml:space="preserve"> and </w:t>
      </w:r>
      <w:r w:rsidR="00B47A82" w:rsidRPr="004055FD">
        <w:rPr>
          <w:b/>
          <w:bCs/>
        </w:rPr>
        <w:t xml:space="preserve">Other </w:t>
      </w:r>
      <w:r w:rsidRPr="004055FD">
        <w:rPr>
          <w:b/>
          <w:bCs/>
        </w:rPr>
        <w:t>Baseline Characteristics:</w:t>
      </w:r>
      <w:r w:rsidRPr="00F92C84">
        <w:rPr>
          <w:b/>
          <w:bCs/>
        </w:rPr>
        <w:t xml:space="preserve"> </w:t>
      </w:r>
      <w:r w:rsidR="00997210" w:rsidRPr="00F92C84">
        <w:t xml:space="preserve">The Dose Escalation </w:t>
      </w:r>
      <w:r w:rsidR="003933F3" w:rsidRPr="00F92C84">
        <w:t>P</w:t>
      </w:r>
      <w:r w:rsidR="00997210" w:rsidRPr="00F92C84">
        <w:t>hase included a total of 18 subjects in 9 different dosage cohorts:  20 mg QD, 40 mg QD, 80 mg QD, 160 mg QD, 300 mg QD, 600 mg QD, 1000 mg QD, 500 mg</w:t>
      </w:r>
      <w:r w:rsidR="00542EE1" w:rsidRPr="00F92C84">
        <w:t> </w:t>
      </w:r>
      <w:r w:rsidR="00997210" w:rsidRPr="00F92C84">
        <w:t>BID, and 1300</w:t>
      </w:r>
      <w:r w:rsidR="00542EE1" w:rsidRPr="00F92C84">
        <w:t> </w:t>
      </w:r>
      <w:r w:rsidR="00997210" w:rsidRPr="00F92C84">
        <w:t>mg</w:t>
      </w:r>
      <w:r w:rsidR="00542EE1" w:rsidRPr="00F92C84">
        <w:t> </w:t>
      </w:r>
      <w:r w:rsidR="00997210" w:rsidRPr="00F92C84">
        <w:t>QD</w:t>
      </w:r>
      <w:r w:rsidR="00FC6B75" w:rsidRPr="00F92C84">
        <w:t xml:space="preserve">. </w:t>
      </w:r>
      <w:r w:rsidR="00997210" w:rsidRPr="00F92C84">
        <w:t xml:space="preserve">The Cohort Expansion </w:t>
      </w:r>
      <w:r w:rsidR="00277B9C" w:rsidRPr="00F92C84">
        <w:t>P</w:t>
      </w:r>
      <w:r w:rsidR="00997210" w:rsidRPr="00F92C84">
        <w:t>hase was comprised of 94</w:t>
      </w:r>
      <w:r w:rsidR="00542EE1" w:rsidRPr="00F92C84">
        <w:t> </w:t>
      </w:r>
      <w:r w:rsidR="00997210" w:rsidRPr="00F92C84">
        <w:t>subjects, including 5</w:t>
      </w:r>
      <w:r w:rsidR="00542EE1" w:rsidRPr="00F92C84">
        <w:t> </w:t>
      </w:r>
      <w:r w:rsidR="00997210" w:rsidRPr="00F92C84">
        <w:t xml:space="preserve">subjects who concurrently participated in the Dose Escalation </w:t>
      </w:r>
      <w:r w:rsidR="00A02CAD">
        <w:t xml:space="preserve">Phase </w:t>
      </w:r>
      <w:r w:rsidR="00997210" w:rsidRPr="00F92C84">
        <w:t xml:space="preserve">and Cohort Expansion </w:t>
      </w:r>
      <w:r w:rsidR="00A02CAD" w:rsidRPr="00F92C84">
        <w:t>P</w:t>
      </w:r>
      <w:r w:rsidR="00997210" w:rsidRPr="00F92C84">
        <w:t xml:space="preserve">hase. </w:t>
      </w:r>
    </w:p>
    <w:p w14:paraId="0A26D973" w14:textId="5162092F" w:rsidR="001C4335" w:rsidRPr="00F92C84" w:rsidRDefault="00997210" w:rsidP="00997210">
      <w:pPr>
        <w:pStyle w:val="C-BodyText"/>
      </w:pPr>
      <w:r w:rsidRPr="00F92C84">
        <w:t>Subjects in the study were equally divided between &lt;</w:t>
      </w:r>
      <w:r w:rsidR="00542EE1" w:rsidRPr="00F92C84">
        <w:t> </w:t>
      </w:r>
      <w:r w:rsidRPr="00F92C84">
        <w:t>65 and ≥</w:t>
      </w:r>
      <w:r w:rsidR="00542EE1" w:rsidRPr="00F92C84">
        <w:t> </w:t>
      </w:r>
      <w:r w:rsidRPr="00F92C84">
        <w:t>65</w:t>
      </w:r>
      <w:r w:rsidR="00542EE1" w:rsidRPr="00F92C84">
        <w:t> </w:t>
      </w:r>
      <w:r w:rsidRPr="00F92C84">
        <w:t>years of age (52.5% and 47.7%) and between male and female (43.0% and 57.0%); 92.5% of subjects were white. Median time between the initial cancer diagnosis and screening for this study was 42.6</w:t>
      </w:r>
      <w:r w:rsidR="00542EE1" w:rsidRPr="00F92C84">
        <w:t> </w:t>
      </w:r>
      <w:r w:rsidRPr="00F92C84">
        <w:t>months, with a range of 26.1 to 59.9</w:t>
      </w:r>
      <w:r w:rsidR="00542EE1" w:rsidRPr="00F92C84">
        <w:t> </w:t>
      </w:r>
      <w:r w:rsidRPr="00F92C84">
        <w:t>months across the various indications. Most subjects were at Stage</w:t>
      </w:r>
      <w:r w:rsidR="00542EE1" w:rsidRPr="00F92C84">
        <w:t> </w:t>
      </w:r>
      <w:r w:rsidRPr="00F92C84">
        <w:t>III (20.6%) or Stage</w:t>
      </w:r>
      <w:r w:rsidR="00542EE1" w:rsidRPr="00F92C84">
        <w:t> </w:t>
      </w:r>
      <w:r w:rsidRPr="00F92C84">
        <w:t>IV (67.3%) at Screening. All subjects had received prior anticancer therapy.</w:t>
      </w:r>
    </w:p>
    <w:p w14:paraId="39072A83" w14:textId="77777777" w:rsidR="002A45AE" w:rsidRPr="00997210" w:rsidRDefault="002A45AE" w:rsidP="00997210">
      <w:pPr>
        <w:pStyle w:val="C-BodyText"/>
      </w:pPr>
    </w:p>
    <w:p w14:paraId="55787BDC" w14:textId="2B69AD50" w:rsidR="00A26170" w:rsidRDefault="00A26170" w:rsidP="006D60AC">
      <w:pPr>
        <w:pStyle w:val="C-BodyText"/>
      </w:pPr>
      <w:r w:rsidRPr="004055FD">
        <w:rPr>
          <w:b/>
          <w:bCs/>
        </w:rPr>
        <w:t>Exposure:</w:t>
      </w:r>
      <w:r w:rsidR="002D5636" w:rsidRPr="00AF50E9">
        <w:t xml:space="preserve">  </w:t>
      </w:r>
      <w:r w:rsidR="00AF50E9" w:rsidRPr="00AF50E9">
        <w:t>The median duration of treatment was 8.0</w:t>
      </w:r>
      <w:r w:rsidR="00AF50E9">
        <w:t> </w:t>
      </w:r>
      <w:r w:rsidR="00AF50E9" w:rsidRPr="00AF50E9">
        <w:t>weeks, and was the same for dose groups ≤</w:t>
      </w:r>
      <w:r w:rsidR="00AF50E9">
        <w:t> </w:t>
      </w:r>
      <w:r w:rsidR="00AF50E9" w:rsidRPr="00AF50E9">
        <w:t>800</w:t>
      </w:r>
      <w:r w:rsidR="00AF50E9">
        <w:t> </w:t>
      </w:r>
      <w:r w:rsidR="00AF50E9" w:rsidRPr="00AF50E9">
        <w:t>mg and dose groups &gt;</w:t>
      </w:r>
      <w:r w:rsidR="00AF50E9">
        <w:t> </w:t>
      </w:r>
      <w:r w:rsidR="00AF50E9" w:rsidRPr="00AF50E9">
        <w:t>800</w:t>
      </w:r>
      <w:r w:rsidR="00AF50E9">
        <w:t> </w:t>
      </w:r>
      <w:r w:rsidR="00AF50E9" w:rsidRPr="00AF50E9">
        <w:t>mg. A majority of subjects (57.0%) received at least 8</w:t>
      </w:r>
      <w:r w:rsidR="00AF50E9">
        <w:t> </w:t>
      </w:r>
      <w:r w:rsidR="00AF50E9" w:rsidRPr="00AF50E9">
        <w:t>weeks of study treatment. The maximum length of treatment was 56</w:t>
      </w:r>
      <w:r w:rsidR="00AF50E9">
        <w:t> </w:t>
      </w:r>
      <w:r w:rsidR="00AF50E9" w:rsidRPr="00AF50E9">
        <w:t>weeks.</w:t>
      </w:r>
    </w:p>
    <w:p w14:paraId="102AA0FE" w14:textId="77777777" w:rsidR="004055FD" w:rsidRPr="00C055E3" w:rsidRDefault="004055FD" w:rsidP="006D60AC">
      <w:pPr>
        <w:pStyle w:val="C-BodyText"/>
        <w:rPr>
          <w:u w:val="single"/>
        </w:rPr>
      </w:pPr>
    </w:p>
    <w:p w14:paraId="379AB603" w14:textId="6A72B8FE" w:rsidR="004978E0" w:rsidRPr="004978E0" w:rsidRDefault="00B93836" w:rsidP="004978E0">
      <w:pPr>
        <w:pStyle w:val="C-BodyText"/>
      </w:pPr>
      <w:r w:rsidRPr="004055FD">
        <w:rPr>
          <w:b/>
          <w:bCs/>
        </w:rPr>
        <w:t>Efficacy Results:</w:t>
      </w:r>
      <w:r w:rsidR="004978E0">
        <w:t xml:space="preserve">  </w:t>
      </w:r>
      <w:r w:rsidR="003F249E" w:rsidRPr="003F249E">
        <w:t xml:space="preserve">No subject achieved </w:t>
      </w:r>
      <w:r w:rsidR="009B709D">
        <w:t>a CR or PR</w:t>
      </w:r>
      <w:r w:rsidR="003F249E" w:rsidRPr="003F249E">
        <w:t xml:space="preserve"> during the study. Disease control </w:t>
      </w:r>
      <w:r w:rsidR="004978E0" w:rsidRPr="004978E0">
        <w:t xml:space="preserve">on SRA737 monotherapy in this study included SD per RECIST response criteria and/or reductions in target tumor diameter less than the threshold for a PR or CR. </w:t>
      </w:r>
      <w:r w:rsidR="009B709D">
        <w:t>G</w:t>
      </w:r>
      <w:r w:rsidR="004978E0" w:rsidRPr="004978E0">
        <w:t xml:space="preserve">iven that subjects in this study had advanced cancers and typically had received 4 or more prior lines of therapy, the observations of prolonged SD and some reductions in target tumors </w:t>
      </w:r>
      <w:r w:rsidR="00BE0294">
        <w:t>suggest that</w:t>
      </w:r>
      <w:r w:rsidR="004978E0" w:rsidRPr="004978E0">
        <w:t xml:space="preserve"> SRA737 monotherapy </w:t>
      </w:r>
      <w:r w:rsidR="00BE0294">
        <w:t xml:space="preserve">may </w:t>
      </w:r>
      <w:r w:rsidR="004978E0" w:rsidRPr="004978E0">
        <w:t xml:space="preserve">possess antitumor activity. </w:t>
      </w:r>
    </w:p>
    <w:p w14:paraId="6C5F4559" w14:textId="4E6EFC53" w:rsidR="001C4335" w:rsidRDefault="004978E0" w:rsidP="004978E0">
      <w:pPr>
        <w:pStyle w:val="C-BodyText"/>
      </w:pPr>
      <w:r w:rsidRPr="004978E0">
        <w:t xml:space="preserve">The lack of RECIST responses precluded analysis of associations between genetic profile and tumor sensitivity in this study. A preliminary survey of genetic alterations in the subjects who achieved tumor size reduction or SD for 4 or more cycles support several potential genetic biomarkers to be explored in future clinical studies. </w:t>
      </w:r>
    </w:p>
    <w:p w14:paraId="12D2E402" w14:textId="77777777" w:rsidR="004055FD" w:rsidRPr="004978E0" w:rsidRDefault="004055FD" w:rsidP="004978E0">
      <w:pPr>
        <w:pStyle w:val="C-BodyText"/>
      </w:pPr>
    </w:p>
    <w:p w14:paraId="76A196FA" w14:textId="6F0A0931" w:rsidR="00F8283C" w:rsidRDefault="00726532" w:rsidP="000B4EE8">
      <w:pPr>
        <w:pStyle w:val="C-BodyText"/>
        <w:keepLines/>
      </w:pPr>
      <w:r w:rsidRPr="004055FD">
        <w:rPr>
          <w:b/>
          <w:bCs/>
        </w:rPr>
        <w:lastRenderedPageBreak/>
        <w:t>Safety Results:</w:t>
      </w:r>
      <w:r w:rsidRPr="004A6F3A">
        <w:t xml:space="preserve"> </w:t>
      </w:r>
      <w:r w:rsidR="00F8283C">
        <w:t>SRA737 monotherapy was generally well tolerated in this study. Mild to moderate nausea and vomiting were the most frequently reported treatment</w:t>
      </w:r>
      <w:r w:rsidR="00760CB4">
        <w:t>-</w:t>
      </w:r>
      <w:r w:rsidR="00F8283C">
        <w:t>emergent AEs (TEAEs), but the great majority of these gastrointestinal (GI) disorders were clinically manageable, allowing SRA737 treatment to be maintained. The MTD in this study was 1000</w:t>
      </w:r>
      <w:r w:rsidR="004055FD">
        <w:t> </w:t>
      </w:r>
      <w:r w:rsidR="00F8283C">
        <w:t>mg</w:t>
      </w:r>
      <w:r w:rsidR="004055FD">
        <w:t> </w:t>
      </w:r>
      <w:r w:rsidR="00F8283C">
        <w:t>QD, and the RP2D was 800 mg QD.</w:t>
      </w:r>
    </w:p>
    <w:p w14:paraId="3029DF4B" w14:textId="789B9EFC" w:rsidR="00F8283C" w:rsidRDefault="00F8283C" w:rsidP="00F8283C">
      <w:pPr>
        <w:pStyle w:val="C-BodyText"/>
      </w:pPr>
      <w:r>
        <w:t xml:space="preserve">In the Dose Escalation </w:t>
      </w:r>
      <w:r w:rsidR="003933F3">
        <w:t>P</w:t>
      </w:r>
      <w:r>
        <w:t>hase, a total of 18 subjects were enrolled into 8 daily dose levels (20 mg QD to 1300 mg QD) in 9 different dosage groups (including 1000</w:t>
      </w:r>
      <w:r w:rsidR="004055FD">
        <w:t> mg </w:t>
      </w:r>
      <w:r>
        <w:t>QD and 500</w:t>
      </w:r>
      <w:r w:rsidR="004055FD">
        <w:t> mg </w:t>
      </w:r>
      <w:r>
        <w:t>BID). Dose limiting toxicities (DLTs) were experienced by 1</w:t>
      </w:r>
      <w:r w:rsidR="004055FD">
        <w:t> </w:t>
      </w:r>
      <w:r>
        <w:t>subject in the 500</w:t>
      </w:r>
      <w:r w:rsidR="004055FD">
        <w:t> mg </w:t>
      </w:r>
      <w:r>
        <w:t>BID dose group (Grade</w:t>
      </w:r>
      <w:r w:rsidR="004055FD">
        <w:t> </w:t>
      </w:r>
      <w:r>
        <w:t>3 thrombocytopenia) and by all 3</w:t>
      </w:r>
      <w:r w:rsidR="004055FD">
        <w:t> </w:t>
      </w:r>
      <w:r>
        <w:t>subjects in the 1300</w:t>
      </w:r>
      <w:r w:rsidR="004055FD">
        <w:t> mg </w:t>
      </w:r>
      <w:r>
        <w:t>QD dose group (two subjects with GI events of nausea, vomiting, and/or diarrhea, and one subject with neutropenia). A daily dose of 1000</w:t>
      </w:r>
      <w:r w:rsidR="004055FD">
        <w:t> </w:t>
      </w:r>
      <w:r>
        <w:t>mg, given as 1000</w:t>
      </w:r>
      <w:r w:rsidR="004055FD">
        <w:t> mg </w:t>
      </w:r>
      <w:r>
        <w:t>QD or 500</w:t>
      </w:r>
      <w:r w:rsidR="004055FD">
        <w:t> mg </w:t>
      </w:r>
      <w:r>
        <w:t>BID, was tolerated by 4</w:t>
      </w:r>
      <w:r w:rsidR="004055FD">
        <w:t> </w:t>
      </w:r>
      <w:r>
        <w:t>of the 5</w:t>
      </w:r>
      <w:r w:rsidR="004055FD">
        <w:t> </w:t>
      </w:r>
      <w:r>
        <w:t>subjects who were evaluable for DLT at that dose level, and thus 1000</w:t>
      </w:r>
      <w:r w:rsidR="004055FD">
        <w:t> mg </w:t>
      </w:r>
      <w:r>
        <w:t xml:space="preserve">QD was determined as the MTD for SRA737. </w:t>
      </w:r>
    </w:p>
    <w:p w14:paraId="51681E6E" w14:textId="423E1902" w:rsidR="00F8283C" w:rsidRDefault="00F8283C" w:rsidP="00F8283C">
      <w:pPr>
        <w:pStyle w:val="C-BodyText"/>
      </w:pPr>
      <w:r>
        <w:t>Treatment</w:t>
      </w:r>
      <w:r w:rsidR="00760CB4">
        <w:t>-</w:t>
      </w:r>
      <w:r>
        <w:t>emergent adverse events (TEAEs) were reported by virtually all subjects (99.1%) who received at least one dose of SRA737 (total N</w:t>
      </w:r>
      <w:r w:rsidR="004055FD">
        <w:t> </w:t>
      </w:r>
      <w:r>
        <w:t>=</w:t>
      </w:r>
      <w:r w:rsidR="004055FD">
        <w:t> </w:t>
      </w:r>
      <w:r>
        <w:t>107), with 98</w:t>
      </w:r>
      <w:r w:rsidR="004055FD">
        <w:t> </w:t>
      </w:r>
      <w:r>
        <w:t>subjects (91.6%) reporting treatment</w:t>
      </w:r>
      <w:r w:rsidR="006045D6">
        <w:t>-</w:t>
      </w:r>
      <w:r>
        <w:t>related TEAEs (see summary table below). The higher and lower dose groups had similar rates of TEAE reporting overall, with slightly higher TEAE reporting in the &gt;</w:t>
      </w:r>
      <w:r w:rsidR="004055FD">
        <w:t> </w:t>
      </w:r>
      <w:r>
        <w:t>800</w:t>
      </w:r>
      <w:r w:rsidR="004055FD">
        <w:t xml:space="preserve"> mg </w:t>
      </w:r>
      <w:r>
        <w:t>group compared with the ≤</w:t>
      </w:r>
      <w:r w:rsidR="004055FD">
        <w:t> </w:t>
      </w:r>
      <w:r>
        <w:t xml:space="preserve"> 800</w:t>
      </w:r>
      <w:r w:rsidR="004055FD">
        <w:t xml:space="preserve"> mg </w:t>
      </w:r>
      <w:r>
        <w:t>group in treatment</w:t>
      </w:r>
      <w:r w:rsidR="006045D6">
        <w:t>-</w:t>
      </w:r>
      <w:r>
        <w:t>related TEAEs, TEAEs of Grade</w:t>
      </w:r>
      <w:r w:rsidR="004055FD">
        <w:t> </w:t>
      </w:r>
      <w:r>
        <w:t>3 or higher, treatment</w:t>
      </w:r>
      <w:r w:rsidR="00760CB4">
        <w:t>-</w:t>
      </w:r>
      <w:r>
        <w:t>emergent SAEs, and TEAEs leading to discontinuation of study treatment. Treatment</w:t>
      </w:r>
      <w:r w:rsidR="004055FD">
        <w:noBreakHyphen/>
      </w:r>
      <w:r>
        <w:t>related TEAEs led to withdrawal of study treatment in a total of 16</w:t>
      </w:r>
      <w:r w:rsidR="004055FD">
        <w:t> </w:t>
      </w:r>
      <w:r>
        <w:t>subjects (15.0% of Safety Evaluable Population), with slightly more subjects reporting such events in the &gt;</w:t>
      </w:r>
      <w:r w:rsidR="004055FD">
        <w:t> </w:t>
      </w:r>
      <w:r>
        <w:t>800</w:t>
      </w:r>
      <w:r w:rsidR="004055FD">
        <w:t xml:space="preserve"> mg </w:t>
      </w:r>
      <w:r>
        <w:t>group (18.4%) compared with the ≤</w:t>
      </w:r>
      <w:r w:rsidR="004055FD">
        <w:t> </w:t>
      </w:r>
      <w:r>
        <w:t>800</w:t>
      </w:r>
      <w:r w:rsidR="004055FD">
        <w:t xml:space="preserve"> mg </w:t>
      </w:r>
      <w:r>
        <w:t>group (12.1%).</w:t>
      </w:r>
    </w:p>
    <w:p w14:paraId="4D316EAE" w14:textId="77777777" w:rsidR="00FE4991" w:rsidRDefault="00FE4991" w:rsidP="00FE4991">
      <w:pPr>
        <w:pStyle w:val="C-BodyText"/>
      </w:pPr>
    </w:p>
    <w:p w14:paraId="7C6FEBAA" w14:textId="77777777" w:rsidR="00FE4991" w:rsidRPr="00EF7D77" w:rsidRDefault="00FE4991" w:rsidP="00FE4991">
      <w:pPr>
        <w:pStyle w:val="Caption"/>
      </w:pPr>
      <w:r w:rsidRPr="00EF7D77">
        <w:t>SRA737</w:t>
      </w:r>
      <w:r>
        <w:noBreakHyphen/>
      </w:r>
      <w:r w:rsidRPr="00EF7D77">
        <w:t>01 Overall Summary of Subjects with Treatment</w:t>
      </w:r>
      <w:r>
        <w:noBreakHyphen/>
      </w:r>
      <w:r w:rsidRPr="00EF7D77">
        <w:t>Emergent Adverse Events by Dose Group ≤ 800</w:t>
      </w:r>
      <w:r>
        <w:t> mg</w:t>
      </w:r>
      <w:r w:rsidRPr="00EF7D77">
        <w:t xml:space="preserve"> versus &gt; 800</w:t>
      </w:r>
      <w:r>
        <w:t> mg</w:t>
      </w:r>
    </w:p>
    <w:tbl>
      <w:tblPr>
        <w:tblStyle w:val="C-Table"/>
        <w:tblW w:w="9551" w:type="dxa"/>
        <w:tblLayout w:type="fixed"/>
        <w:tblLook w:val="04A0" w:firstRow="1" w:lastRow="0" w:firstColumn="1" w:lastColumn="0" w:noHBand="0" w:noVBand="1"/>
      </w:tblPr>
      <w:tblGrid>
        <w:gridCol w:w="5204"/>
        <w:gridCol w:w="1449"/>
        <w:gridCol w:w="1449"/>
        <w:gridCol w:w="1449"/>
      </w:tblGrid>
      <w:tr w:rsidR="00FE4991" w:rsidRPr="00EF7D77" w14:paraId="53077C60" w14:textId="77777777" w:rsidTr="00585C7E">
        <w:trPr>
          <w:tblHeader/>
        </w:trPr>
        <w:tc>
          <w:tcPr>
            <w:tcW w:w="5204" w:type="dxa"/>
            <w:tcBorders>
              <w:bottom w:val="nil"/>
            </w:tcBorders>
          </w:tcPr>
          <w:p w14:paraId="6CB0CC85" w14:textId="77777777" w:rsidR="00FE4991" w:rsidRPr="00EF7D77" w:rsidRDefault="00FE4991" w:rsidP="00585C7E">
            <w:pPr>
              <w:pStyle w:val="C-TableHeader"/>
              <w:jc w:val="center"/>
              <w:rPr>
                <w:color w:val="000000"/>
                <w:sz w:val="18"/>
              </w:rPr>
            </w:pPr>
          </w:p>
        </w:tc>
        <w:tc>
          <w:tcPr>
            <w:tcW w:w="1449" w:type="dxa"/>
          </w:tcPr>
          <w:p w14:paraId="55A2FC95" w14:textId="61EF27D9" w:rsidR="00FE4991" w:rsidRPr="00EF7D77" w:rsidRDefault="003B5477" w:rsidP="00585C7E">
            <w:pPr>
              <w:pStyle w:val="C-TableHeader"/>
              <w:jc w:val="center"/>
              <w:rPr>
                <w:color w:val="000000"/>
                <w:sz w:val="18"/>
              </w:rPr>
            </w:pPr>
            <w:r>
              <w:rPr>
                <w:color w:val="000000"/>
                <w:sz w:val="18"/>
              </w:rPr>
              <w:t>≤</w:t>
            </w:r>
            <w:r w:rsidR="00F24134">
              <w:rPr>
                <w:color w:val="000000"/>
                <w:sz w:val="18"/>
              </w:rPr>
              <w:t xml:space="preserve"> </w:t>
            </w:r>
            <w:r w:rsidR="00FE4991" w:rsidRPr="00EF7D77">
              <w:rPr>
                <w:color w:val="000000"/>
                <w:sz w:val="18"/>
              </w:rPr>
              <w:t>800mg</w:t>
            </w:r>
            <w:r w:rsidR="00FE4991" w:rsidRPr="00EF7D77">
              <w:rPr>
                <w:color w:val="000000"/>
                <w:sz w:val="18"/>
              </w:rPr>
              <w:br/>
              <w:t>(N = 58)</w:t>
            </w:r>
          </w:p>
        </w:tc>
        <w:tc>
          <w:tcPr>
            <w:tcW w:w="1449" w:type="dxa"/>
          </w:tcPr>
          <w:p w14:paraId="68C0BA1E" w14:textId="29FE2769" w:rsidR="00FE4991" w:rsidRPr="00EF7D77" w:rsidRDefault="00FE4991" w:rsidP="00585C7E">
            <w:pPr>
              <w:pStyle w:val="C-TableHeader"/>
              <w:jc w:val="center"/>
              <w:rPr>
                <w:color w:val="000000"/>
                <w:sz w:val="18"/>
              </w:rPr>
            </w:pPr>
            <w:r w:rsidRPr="00EF7D77">
              <w:rPr>
                <w:color w:val="000000"/>
                <w:sz w:val="18"/>
              </w:rPr>
              <w:t>&gt;</w:t>
            </w:r>
            <w:r w:rsidR="00F24134">
              <w:rPr>
                <w:color w:val="000000"/>
                <w:sz w:val="18"/>
              </w:rPr>
              <w:t xml:space="preserve"> </w:t>
            </w:r>
            <w:r w:rsidRPr="00EF7D77">
              <w:rPr>
                <w:color w:val="000000"/>
                <w:sz w:val="18"/>
              </w:rPr>
              <w:t>800mg</w:t>
            </w:r>
            <w:r w:rsidRPr="00EF7D77">
              <w:rPr>
                <w:color w:val="000000"/>
                <w:sz w:val="18"/>
              </w:rPr>
              <w:br/>
              <w:t>(N = 49)</w:t>
            </w:r>
          </w:p>
        </w:tc>
        <w:tc>
          <w:tcPr>
            <w:tcW w:w="1449" w:type="dxa"/>
          </w:tcPr>
          <w:p w14:paraId="44B0F082" w14:textId="77777777" w:rsidR="00FE4991" w:rsidRPr="00EF7D77" w:rsidRDefault="00FE4991" w:rsidP="00585C7E">
            <w:pPr>
              <w:pStyle w:val="C-TableHeader"/>
              <w:jc w:val="center"/>
              <w:rPr>
                <w:color w:val="000000"/>
                <w:sz w:val="18"/>
              </w:rPr>
            </w:pPr>
            <w:r w:rsidRPr="00EF7D77">
              <w:rPr>
                <w:color w:val="000000"/>
                <w:sz w:val="18"/>
              </w:rPr>
              <w:t>Overall</w:t>
            </w:r>
            <w:r w:rsidRPr="00EF7D77">
              <w:rPr>
                <w:color w:val="000000"/>
                <w:sz w:val="18"/>
              </w:rPr>
              <w:br/>
              <w:t>(N = 107)</w:t>
            </w:r>
          </w:p>
        </w:tc>
      </w:tr>
      <w:tr w:rsidR="00FE4991" w:rsidRPr="00EF7D77" w14:paraId="35425099" w14:textId="77777777" w:rsidTr="00585C7E">
        <w:trPr>
          <w:tblHeader/>
        </w:trPr>
        <w:tc>
          <w:tcPr>
            <w:tcW w:w="5204" w:type="dxa"/>
            <w:tcBorders>
              <w:top w:val="nil"/>
            </w:tcBorders>
          </w:tcPr>
          <w:p w14:paraId="613B3DD9" w14:textId="77777777" w:rsidR="00FE4991" w:rsidRPr="00EF7D77" w:rsidRDefault="00FE4991" w:rsidP="00585C7E">
            <w:pPr>
              <w:pStyle w:val="C-TableHeader"/>
              <w:jc w:val="center"/>
              <w:rPr>
                <w:color w:val="000000"/>
                <w:sz w:val="18"/>
              </w:rPr>
            </w:pPr>
          </w:p>
        </w:tc>
        <w:tc>
          <w:tcPr>
            <w:tcW w:w="1449" w:type="dxa"/>
          </w:tcPr>
          <w:p w14:paraId="38C098E8" w14:textId="77777777" w:rsidR="00FE4991" w:rsidRPr="00EF7D77" w:rsidRDefault="00FE4991" w:rsidP="00585C7E">
            <w:pPr>
              <w:pStyle w:val="C-TableHeader"/>
              <w:jc w:val="center"/>
              <w:rPr>
                <w:color w:val="000000"/>
                <w:sz w:val="18"/>
              </w:rPr>
            </w:pPr>
            <w:r w:rsidRPr="00EF7D77">
              <w:rPr>
                <w:color w:val="000000"/>
                <w:sz w:val="18"/>
              </w:rPr>
              <w:t>n (%)</w:t>
            </w:r>
          </w:p>
        </w:tc>
        <w:tc>
          <w:tcPr>
            <w:tcW w:w="1449" w:type="dxa"/>
          </w:tcPr>
          <w:p w14:paraId="4FB6C569" w14:textId="77777777" w:rsidR="00FE4991" w:rsidRPr="00EF7D77" w:rsidRDefault="00FE4991" w:rsidP="00585C7E">
            <w:pPr>
              <w:pStyle w:val="C-TableHeader"/>
              <w:jc w:val="center"/>
              <w:rPr>
                <w:color w:val="000000"/>
                <w:sz w:val="18"/>
              </w:rPr>
            </w:pPr>
            <w:r w:rsidRPr="00EF7D77">
              <w:rPr>
                <w:color w:val="000000"/>
                <w:sz w:val="18"/>
              </w:rPr>
              <w:t>n (%)</w:t>
            </w:r>
          </w:p>
        </w:tc>
        <w:tc>
          <w:tcPr>
            <w:tcW w:w="1449" w:type="dxa"/>
          </w:tcPr>
          <w:p w14:paraId="31C031C6" w14:textId="77777777" w:rsidR="00FE4991" w:rsidRPr="00EF7D77" w:rsidRDefault="00FE4991" w:rsidP="00585C7E">
            <w:pPr>
              <w:pStyle w:val="C-TableHeader"/>
              <w:jc w:val="center"/>
              <w:rPr>
                <w:color w:val="000000"/>
                <w:sz w:val="18"/>
              </w:rPr>
            </w:pPr>
            <w:r w:rsidRPr="00EF7D77">
              <w:rPr>
                <w:color w:val="000000"/>
                <w:sz w:val="18"/>
              </w:rPr>
              <w:t>n (%)</w:t>
            </w:r>
          </w:p>
        </w:tc>
      </w:tr>
      <w:tr w:rsidR="00FE4991" w:rsidRPr="00EF7D77" w14:paraId="73DBAD18" w14:textId="77777777" w:rsidTr="00585C7E">
        <w:tc>
          <w:tcPr>
            <w:tcW w:w="5204" w:type="dxa"/>
          </w:tcPr>
          <w:p w14:paraId="4C1AC4FD" w14:textId="77777777" w:rsidR="00FE4991" w:rsidRPr="00EF7D77" w:rsidRDefault="00FE4991" w:rsidP="00585C7E">
            <w:pPr>
              <w:pStyle w:val="C-TableText"/>
              <w:keepNext/>
              <w:rPr>
                <w:color w:val="000000"/>
                <w:sz w:val="18"/>
              </w:rPr>
            </w:pPr>
            <w:r w:rsidRPr="00EF7D77">
              <w:rPr>
                <w:color w:val="000000"/>
                <w:sz w:val="18"/>
              </w:rPr>
              <w:t>Any Treatment</w:t>
            </w:r>
            <w:r>
              <w:rPr>
                <w:color w:val="000000"/>
                <w:sz w:val="18"/>
              </w:rPr>
              <w:noBreakHyphen/>
            </w:r>
            <w:r w:rsidRPr="00EF7D77">
              <w:rPr>
                <w:color w:val="000000"/>
                <w:sz w:val="18"/>
              </w:rPr>
              <w:t>Emergent Adverse Event (TEAE)</w:t>
            </w:r>
            <w:r>
              <w:rPr>
                <w:color w:val="000000"/>
                <w:sz w:val="18"/>
              </w:rPr>
              <w:t xml:space="preserve"> </w:t>
            </w:r>
          </w:p>
        </w:tc>
        <w:tc>
          <w:tcPr>
            <w:tcW w:w="1449" w:type="dxa"/>
          </w:tcPr>
          <w:p w14:paraId="3A03FBB9" w14:textId="77777777" w:rsidR="00FE4991" w:rsidRPr="00EF7D77" w:rsidRDefault="00FE4991" w:rsidP="00585C7E">
            <w:pPr>
              <w:pStyle w:val="C-TableText"/>
              <w:keepNext/>
              <w:jc w:val="center"/>
              <w:rPr>
                <w:color w:val="000000"/>
                <w:sz w:val="18"/>
              </w:rPr>
            </w:pPr>
            <w:r w:rsidRPr="00EF7D77">
              <w:rPr>
                <w:color w:val="000000"/>
                <w:sz w:val="18"/>
              </w:rPr>
              <w:t>58 (100)</w:t>
            </w:r>
          </w:p>
        </w:tc>
        <w:tc>
          <w:tcPr>
            <w:tcW w:w="1449" w:type="dxa"/>
          </w:tcPr>
          <w:p w14:paraId="45DCAB91" w14:textId="77777777" w:rsidR="00FE4991" w:rsidRPr="00EF7D77" w:rsidRDefault="00FE4991" w:rsidP="00585C7E">
            <w:pPr>
              <w:pStyle w:val="C-TableText"/>
              <w:keepNext/>
              <w:jc w:val="center"/>
              <w:rPr>
                <w:color w:val="000000"/>
                <w:sz w:val="18"/>
              </w:rPr>
            </w:pPr>
            <w:r w:rsidRPr="00EF7D77">
              <w:rPr>
                <w:color w:val="000000"/>
                <w:sz w:val="18"/>
              </w:rPr>
              <w:t>48 (98.0)</w:t>
            </w:r>
          </w:p>
        </w:tc>
        <w:tc>
          <w:tcPr>
            <w:tcW w:w="1449" w:type="dxa"/>
          </w:tcPr>
          <w:p w14:paraId="3DAEBED4" w14:textId="77777777" w:rsidR="00FE4991" w:rsidRPr="00EF7D77" w:rsidRDefault="00FE4991" w:rsidP="00585C7E">
            <w:pPr>
              <w:pStyle w:val="C-TableText"/>
              <w:keepNext/>
              <w:jc w:val="center"/>
              <w:rPr>
                <w:color w:val="000000"/>
                <w:sz w:val="18"/>
              </w:rPr>
            </w:pPr>
            <w:r w:rsidRPr="00EF7D77">
              <w:rPr>
                <w:color w:val="000000"/>
                <w:sz w:val="18"/>
              </w:rPr>
              <w:t>106 (99.1)</w:t>
            </w:r>
          </w:p>
        </w:tc>
      </w:tr>
      <w:tr w:rsidR="00FE4991" w:rsidRPr="00EF7D77" w14:paraId="308F2776" w14:textId="77777777" w:rsidTr="00585C7E">
        <w:tc>
          <w:tcPr>
            <w:tcW w:w="5204" w:type="dxa"/>
          </w:tcPr>
          <w:p w14:paraId="4D8C6901" w14:textId="77777777" w:rsidR="00FE4991" w:rsidRPr="00EF7D77" w:rsidRDefault="00FE4991" w:rsidP="00585C7E">
            <w:pPr>
              <w:pStyle w:val="C-TableText"/>
              <w:keepNext/>
              <w:rPr>
                <w:color w:val="000000"/>
                <w:sz w:val="18"/>
              </w:rPr>
            </w:pPr>
            <w:r w:rsidRPr="00EF7D77">
              <w:rPr>
                <w:color w:val="000000"/>
                <w:sz w:val="18"/>
              </w:rPr>
              <w:t>Any Treatment</w:t>
            </w:r>
            <w:r>
              <w:rPr>
                <w:color w:val="000000"/>
                <w:sz w:val="18"/>
              </w:rPr>
              <w:noBreakHyphen/>
            </w:r>
            <w:r w:rsidRPr="00EF7D77">
              <w:rPr>
                <w:color w:val="000000"/>
                <w:sz w:val="18"/>
              </w:rPr>
              <w:t xml:space="preserve">Related TEAE </w:t>
            </w:r>
          </w:p>
        </w:tc>
        <w:tc>
          <w:tcPr>
            <w:tcW w:w="1449" w:type="dxa"/>
          </w:tcPr>
          <w:p w14:paraId="1EA52BCC" w14:textId="77777777" w:rsidR="00FE4991" w:rsidRPr="00EF7D77" w:rsidRDefault="00FE4991" w:rsidP="00585C7E">
            <w:pPr>
              <w:pStyle w:val="C-TableText"/>
              <w:keepNext/>
              <w:jc w:val="center"/>
              <w:rPr>
                <w:color w:val="000000"/>
                <w:sz w:val="18"/>
              </w:rPr>
            </w:pPr>
            <w:r w:rsidRPr="00EF7D77">
              <w:rPr>
                <w:color w:val="000000"/>
                <w:sz w:val="18"/>
              </w:rPr>
              <w:t>51 (87.9)</w:t>
            </w:r>
          </w:p>
        </w:tc>
        <w:tc>
          <w:tcPr>
            <w:tcW w:w="1449" w:type="dxa"/>
          </w:tcPr>
          <w:p w14:paraId="418E022F" w14:textId="77777777" w:rsidR="00FE4991" w:rsidRPr="00EF7D77" w:rsidRDefault="00FE4991" w:rsidP="00585C7E">
            <w:pPr>
              <w:pStyle w:val="C-TableText"/>
              <w:keepNext/>
              <w:jc w:val="center"/>
              <w:rPr>
                <w:color w:val="000000"/>
                <w:sz w:val="18"/>
              </w:rPr>
            </w:pPr>
            <w:r w:rsidRPr="00EF7D77">
              <w:rPr>
                <w:color w:val="000000"/>
                <w:sz w:val="18"/>
              </w:rPr>
              <w:t>47 (95.9)</w:t>
            </w:r>
          </w:p>
        </w:tc>
        <w:tc>
          <w:tcPr>
            <w:tcW w:w="1449" w:type="dxa"/>
          </w:tcPr>
          <w:p w14:paraId="7FF68D14" w14:textId="77777777" w:rsidR="00FE4991" w:rsidRPr="00EF7D77" w:rsidRDefault="00FE4991" w:rsidP="00585C7E">
            <w:pPr>
              <w:pStyle w:val="C-TableText"/>
              <w:keepNext/>
              <w:jc w:val="center"/>
              <w:rPr>
                <w:color w:val="000000"/>
                <w:sz w:val="18"/>
              </w:rPr>
            </w:pPr>
            <w:r w:rsidRPr="00EF7D77">
              <w:rPr>
                <w:color w:val="000000"/>
                <w:sz w:val="18"/>
              </w:rPr>
              <w:t>98 (91.6)</w:t>
            </w:r>
          </w:p>
        </w:tc>
      </w:tr>
      <w:tr w:rsidR="00FE4991" w:rsidRPr="00EF7D77" w14:paraId="02DADC46" w14:textId="77777777" w:rsidTr="00585C7E">
        <w:tc>
          <w:tcPr>
            <w:tcW w:w="5204" w:type="dxa"/>
          </w:tcPr>
          <w:p w14:paraId="7EE9A29E" w14:textId="43F29F7C" w:rsidR="00FE4991" w:rsidRPr="00EF7D77" w:rsidRDefault="00FE4991" w:rsidP="00585C7E">
            <w:pPr>
              <w:pStyle w:val="C-TableText"/>
              <w:keepNext/>
              <w:rPr>
                <w:color w:val="000000"/>
                <w:sz w:val="18"/>
              </w:rPr>
            </w:pPr>
            <w:r w:rsidRPr="00EF7D77">
              <w:rPr>
                <w:color w:val="000000"/>
                <w:sz w:val="18"/>
              </w:rPr>
              <w:t xml:space="preserve">Any Grade </w:t>
            </w:r>
            <w:r w:rsidR="000F697F">
              <w:rPr>
                <w:color w:val="000000"/>
                <w:sz w:val="18"/>
              </w:rPr>
              <w:t>≥ 3</w:t>
            </w:r>
            <w:r w:rsidRPr="00EF7D77">
              <w:rPr>
                <w:color w:val="000000"/>
                <w:sz w:val="18"/>
              </w:rPr>
              <w:t xml:space="preserve"> TEAE</w:t>
            </w:r>
          </w:p>
        </w:tc>
        <w:tc>
          <w:tcPr>
            <w:tcW w:w="1449" w:type="dxa"/>
          </w:tcPr>
          <w:p w14:paraId="641095E9" w14:textId="77777777" w:rsidR="00FE4991" w:rsidRPr="00EF7D77" w:rsidRDefault="00FE4991" w:rsidP="00585C7E">
            <w:pPr>
              <w:pStyle w:val="C-TableText"/>
              <w:keepNext/>
              <w:jc w:val="center"/>
              <w:rPr>
                <w:color w:val="000000"/>
                <w:sz w:val="18"/>
              </w:rPr>
            </w:pPr>
            <w:r w:rsidRPr="00EF7D77">
              <w:rPr>
                <w:color w:val="000000"/>
                <w:sz w:val="18"/>
              </w:rPr>
              <w:t>32 (55.2)</w:t>
            </w:r>
          </w:p>
        </w:tc>
        <w:tc>
          <w:tcPr>
            <w:tcW w:w="1449" w:type="dxa"/>
          </w:tcPr>
          <w:p w14:paraId="6B53F810" w14:textId="77777777" w:rsidR="00FE4991" w:rsidRPr="00EF7D77" w:rsidRDefault="00FE4991" w:rsidP="00585C7E">
            <w:pPr>
              <w:pStyle w:val="C-TableText"/>
              <w:keepNext/>
              <w:jc w:val="center"/>
              <w:rPr>
                <w:color w:val="000000"/>
                <w:sz w:val="18"/>
              </w:rPr>
            </w:pPr>
            <w:r w:rsidRPr="00EF7D77">
              <w:rPr>
                <w:color w:val="000000"/>
                <w:sz w:val="18"/>
              </w:rPr>
              <w:t>38 (77.6)</w:t>
            </w:r>
          </w:p>
        </w:tc>
        <w:tc>
          <w:tcPr>
            <w:tcW w:w="1449" w:type="dxa"/>
          </w:tcPr>
          <w:p w14:paraId="0F6077A6" w14:textId="77777777" w:rsidR="00FE4991" w:rsidRPr="00EF7D77" w:rsidRDefault="00FE4991" w:rsidP="00585C7E">
            <w:pPr>
              <w:pStyle w:val="C-TableText"/>
              <w:keepNext/>
              <w:jc w:val="center"/>
              <w:rPr>
                <w:color w:val="000000"/>
                <w:sz w:val="18"/>
              </w:rPr>
            </w:pPr>
            <w:r w:rsidRPr="00EF7D77">
              <w:rPr>
                <w:color w:val="000000"/>
                <w:sz w:val="18"/>
              </w:rPr>
              <w:t>70 (65.4)</w:t>
            </w:r>
          </w:p>
        </w:tc>
      </w:tr>
      <w:tr w:rsidR="00FE4991" w:rsidRPr="00EF7D77" w14:paraId="2C104BE8" w14:textId="77777777" w:rsidTr="00585C7E">
        <w:tc>
          <w:tcPr>
            <w:tcW w:w="5204" w:type="dxa"/>
          </w:tcPr>
          <w:p w14:paraId="2141090D" w14:textId="395CA84F" w:rsidR="00FE4991" w:rsidRPr="00EF7D77" w:rsidRDefault="00FE4991" w:rsidP="00585C7E">
            <w:pPr>
              <w:pStyle w:val="C-TableText"/>
              <w:keepNext/>
              <w:rPr>
                <w:color w:val="000000"/>
                <w:sz w:val="18"/>
                <w:szCs w:val="18"/>
              </w:rPr>
            </w:pPr>
            <w:r w:rsidRPr="00EF7D77">
              <w:rPr>
                <w:color w:val="000000" w:themeColor="text1"/>
                <w:sz w:val="18"/>
                <w:szCs w:val="18"/>
              </w:rPr>
              <w:t xml:space="preserve">Any Grade </w:t>
            </w:r>
            <w:r w:rsidR="000F697F">
              <w:rPr>
                <w:color w:val="000000" w:themeColor="text1"/>
                <w:sz w:val="18"/>
                <w:szCs w:val="18"/>
              </w:rPr>
              <w:t>≥ 3</w:t>
            </w:r>
            <w:r w:rsidRPr="00EF7D77">
              <w:rPr>
                <w:color w:val="000000" w:themeColor="text1"/>
                <w:sz w:val="18"/>
                <w:szCs w:val="18"/>
              </w:rPr>
              <w:t xml:space="preserve"> Treatment</w:t>
            </w:r>
            <w:r>
              <w:rPr>
                <w:color w:val="000000" w:themeColor="text1"/>
                <w:sz w:val="18"/>
                <w:szCs w:val="18"/>
              </w:rPr>
              <w:noBreakHyphen/>
            </w:r>
            <w:r w:rsidRPr="00EF7D77">
              <w:rPr>
                <w:color w:val="000000" w:themeColor="text1"/>
                <w:sz w:val="18"/>
                <w:szCs w:val="18"/>
              </w:rPr>
              <w:t>Related TEAE</w:t>
            </w:r>
          </w:p>
        </w:tc>
        <w:tc>
          <w:tcPr>
            <w:tcW w:w="1449" w:type="dxa"/>
          </w:tcPr>
          <w:p w14:paraId="5705043A" w14:textId="77777777" w:rsidR="00FE4991" w:rsidRPr="00EF7D77" w:rsidRDefault="00FE4991" w:rsidP="00585C7E">
            <w:pPr>
              <w:pStyle w:val="C-TableText"/>
              <w:keepNext/>
              <w:jc w:val="center"/>
              <w:rPr>
                <w:color w:val="000000"/>
                <w:sz w:val="18"/>
              </w:rPr>
            </w:pPr>
            <w:r w:rsidRPr="00EF7D77">
              <w:rPr>
                <w:color w:val="000000"/>
                <w:sz w:val="18"/>
              </w:rPr>
              <w:t>14 (24.1)</w:t>
            </w:r>
          </w:p>
        </w:tc>
        <w:tc>
          <w:tcPr>
            <w:tcW w:w="1449" w:type="dxa"/>
          </w:tcPr>
          <w:p w14:paraId="76800101" w14:textId="77777777" w:rsidR="00FE4991" w:rsidRPr="00EF7D77" w:rsidRDefault="00FE4991" w:rsidP="00585C7E">
            <w:pPr>
              <w:pStyle w:val="C-TableText"/>
              <w:keepNext/>
              <w:jc w:val="center"/>
              <w:rPr>
                <w:color w:val="000000"/>
                <w:sz w:val="18"/>
              </w:rPr>
            </w:pPr>
            <w:r w:rsidRPr="00EF7D77">
              <w:rPr>
                <w:color w:val="000000"/>
                <w:sz w:val="18"/>
              </w:rPr>
              <w:t>19 (38.8)</w:t>
            </w:r>
          </w:p>
        </w:tc>
        <w:tc>
          <w:tcPr>
            <w:tcW w:w="1449" w:type="dxa"/>
          </w:tcPr>
          <w:p w14:paraId="27B37EB2" w14:textId="77777777" w:rsidR="00FE4991" w:rsidRPr="00EF7D77" w:rsidRDefault="00FE4991" w:rsidP="00585C7E">
            <w:pPr>
              <w:pStyle w:val="C-TableText"/>
              <w:keepNext/>
              <w:jc w:val="center"/>
              <w:rPr>
                <w:color w:val="000000"/>
                <w:sz w:val="18"/>
              </w:rPr>
            </w:pPr>
            <w:r w:rsidRPr="00EF7D77">
              <w:rPr>
                <w:color w:val="000000"/>
                <w:sz w:val="18"/>
              </w:rPr>
              <w:t>33 (30.8)</w:t>
            </w:r>
          </w:p>
        </w:tc>
      </w:tr>
      <w:tr w:rsidR="00FE4991" w:rsidRPr="00EF7D77" w14:paraId="1E1D6D42" w14:textId="77777777" w:rsidTr="00585C7E">
        <w:tc>
          <w:tcPr>
            <w:tcW w:w="5204" w:type="dxa"/>
          </w:tcPr>
          <w:p w14:paraId="083CC393" w14:textId="77777777" w:rsidR="00FE4991" w:rsidRPr="00EF7D77" w:rsidRDefault="00FE4991" w:rsidP="00585C7E">
            <w:pPr>
              <w:pStyle w:val="C-TableText"/>
              <w:keepNext/>
              <w:rPr>
                <w:color w:val="000000"/>
                <w:sz w:val="18"/>
              </w:rPr>
            </w:pPr>
            <w:r w:rsidRPr="00EF7D77">
              <w:rPr>
                <w:color w:val="000000"/>
                <w:sz w:val="18"/>
              </w:rPr>
              <w:t>Any Serious TEAE</w:t>
            </w:r>
            <w:r>
              <w:rPr>
                <w:color w:val="000000"/>
                <w:sz w:val="18"/>
              </w:rPr>
              <w:t xml:space="preserve"> </w:t>
            </w:r>
          </w:p>
        </w:tc>
        <w:tc>
          <w:tcPr>
            <w:tcW w:w="1449" w:type="dxa"/>
          </w:tcPr>
          <w:p w14:paraId="1E278C09" w14:textId="77777777" w:rsidR="00FE4991" w:rsidRPr="00EF7D77" w:rsidRDefault="00FE4991" w:rsidP="00585C7E">
            <w:pPr>
              <w:pStyle w:val="C-TableText"/>
              <w:keepNext/>
              <w:jc w:val="center"/>
              <w:rPr>
                <w:color w:val="000000"/>
                <w:sz w:val="18"/>
              </w:rPr>
            </w:pPr>
            <w:r w:rsidRPr="00EF7D77">
              <w:rPr>
                <w:color w:val="000000"/>
                <w:sz w:val="18"/>
              </w:rPr>
              <w:t>24 (41.4)</w:t>
            </w:r>
          </w:p>
        </w:tc>
        <w:tc>
          <w:tcPr>
            <w:tcW w:w="1449" w:type="dxa"/>
          </w:tcPr>
          <w:p w14:paraId="6E34007F" w14:textId="77777777" w:rsidR="00FE4991" w:rsidRPr="00EF7D77" w:rsidRDefault="00FE4991" w:rsidP="00585C7E">
            <w:pPr>
              <w:pStyle w:val="C-TableText"/>
              <w:keepNext/>
              <w:jc w:val="center"/>
              <w:rPr>
                <w:color w:val="000000"/>
                <w:sz w:val="18"/>
              </w:rPr>
            </w:pPr>
            <w:r w:rsidRPr="00EF7D77">
              <w:rPr>
                <w:color w:val="000000"/>
                <w:sz w:val="18"/>
              </w:rPr>
              <w:t>24 (49.0)</w:t>
            </w:r>
          </w:p>
        </w:tc>
        <w:tc>
          <w:tcPr>
            <w:tcW w:w="1449" w:type="dxa"/>
          </w:tcPr>
          <w:p w14:paraId="5C03F010" w14:textId="77777777" w:rsidR="00FE4991" w:rsidRPr="00EF7D77" w:rsidRDefault="00FE4991" w:rsidP="00585C7E">
            <w:pPr>
              <w:pStyle w:val="C-TableText"/>
              <w:keepNext/>
              <w:jc w:val="center"/>
              <w:rPr>
                <w:color w:val="000000"/>
                <w:sz w:val="18"/>
              </w:rPr>
            </w:pPr>
            <w:r w:rsidRPr="00EF7D77">
              <w:rPr>
                <w:color w:val="000000"/>
                <w:sz w:val="18"/>
              </w:rPr>
              <w:t>48 (44.9)</w:t>
            </w:r>
          </w:p>
        </w:tc>
      </w:tr>
      <w:tr w:rsidR="00FE4991" w:rsidRPr="00EF7D77" w14:paraId="1A54999B" w14:textId="77777777" w:rsidTr="00585C7E">
        <w:tc>
          <w:tcPr>
            <w:tcW w:w="5204" w:type="dxa"/>
          </w:tcPr>
          <w:p w14:paraId="69F52F7A" w14:textId="77777777" w:rsidR="00FE4991" w:rsidRPr="00EF7D77" w:rsidRDefault="00FE4991" w:rsidP="00585C7E">
            <w:pPr>
              <w:pStyle w:val="C-TableText"/>
              <w:keepNext/>
              <w:rPr>
                <w:color w:val="000000"/>
                <w:sz w:val="18"/>
              </w:rPr>
            </w:pPr>
            <w:r w:rsidRPr="00EF7D77">
              <w:rPr>
                <w:color w:val="000000"/>
                <w:sz w:val="18"/>
              </w:rPr>
              <w:t>Any Serious Treatment</w:t>
            </w:r>
            <w:r>
              <w:rPr>
                <w:color w:val="000000"/>
                <w:sz w:val="18"/>
              </w:rPr>
              <w:noBreakHyphen/>
            </w:r>
            <w:r w:rsidRPr="00EF7D77">
              <w:rPr>
                <w:color w:val="000000"/>
                <w:sz w:val="18"/>
              </w:rPr>
              <w:t>Related TEAE</w:t>
            </w:r>
            <w:r>
              <w:rPr>
                <w:color w:val="000000"/>
                <w:sz w:val="18"/>
              </w:rPr>
              <w:t xml:space="preserve"> </w:t>
            </w:r>
          </w:p>
        </w:tc>
        <w:tc>
          <w:tcPr>
            <w:tcW w:w="1449" w:type="dxa"/>
          </w:tcPr>
          <w:p w14:paraId="7E2B457D" w14:textId="77777777" w:rsidR="00FE4991" w:rsidRPr="00EF7D77" w:rsidRDefault="00FE4991" w:rsidP="00585C7E">
            <w:pPr>
              <w:pStyle w:val="C-TableText"/>
              <w:keepNext/>
              <w:jc w:val="center"/>
              <w:rPr>
                <w:color w:val="000000"/>
                <w:sz w:val="18"/>
              </w:rPr>
            </w:pPr>
            <w:r w:rsidRPr="00EF7D77">
              <w:rPr>
                <w:color w:val="000000"/>
                <w:sz w:val="18"/>
              </w:rPr>
              <w:t xml:space="preserve">5 </w:t>
            </w:r>
            <w:r>
              <w:rPr>
                <w:color w:val="000000"/>
                <w:sz w:val="18"/>
              </w:rPr>
              <w:t>(</w:t>
            </w:r>
            <w:r w:rsidRPr="00EF7D77">
              <w:rPr>
                <w:color w:val="000000"/>
                <w:sz w:val="18"/>
              </w:rPr>
              <w:t>8.6)</w:t>
            </w:r>
          </w:p>
        </w:tc>
        <w:tc>
          <w:tcPr>
            <w:tcW w:w="1449" w:type="dxa"/>
          </w:tcPr>
          <w:p w14:paraId="5D15DB5F" w14:textId="77777777" w:rsidR="00FE4991" w:rsidRPr="00EF7D77" w:rsidRDefault="00FE4991" w:rsidP="00585C7E">
            <w:pPr>
              <w:pStyle w:val="C-TableText"/>
              <w:keepNext/>
              <w:jc w:val="center"/>
              <w:rPr>
                <w:color w:val="000000"/>
                <w:sz w:val="18"/>
              </w:rPr>
            </w:pPr>
            <w:r w:rsidRPr="00EF7D77">
              <w:rPr>
                <w:color w:val="000000"/>
                <w:sz w:val="18"/>
              </w:rPr>
              <w:t>8 (16.3)</w:t>
            </w:r>
          </w:p>
        </w:tc>
        <w:tc>
          <w:tcPr>
            <w:tcW w:w="1449" w:type="dxa"/>
          </w:tcPr>
          <w:p w14:paraId="2A8DBB3B" w14:textId="77777777" w:rsidR="00FE4991" w:rsidRPr="00EF7D77" w:rsidRDefault="00FE4991" w:rsidP="00585C7E">
            <w:pPr>
              <w:pStyle w:val="C-TableText"/>
              <w:keepNext/>
              <w:jc w:val="center"/>
              <w:rPr>
                <w:color w:val="000000"/>
                <w:sz w:val="18"/>
              </w:rPr>
            </w:pPr>
            <w:r w:rsidRPr="00EF7D77">
              <w:rPr>
                <w:color w:val="000000"/>
                <w:sz w:val="18"/>
              </w:rPr>
              <w:t>13 (12.1)</w:t>
            </w:r>
          </w:p>
        </w:tc>
      </w:tr>
      <w:tr w:rsidR="00FE4991" w:rsidRPr="00EF7D77" w14:paraId="6D6E7B22" w14:textId="77777777" w:rsidTr="00585C7E">
        <w:tc>
          <w:tcPr>
            <w:tcW w:w="5204" w:type="dxa"/>
          </w:tcPr>
          <w:p w14:paraId="3A959A9D" w14:textId="77777777" w:rsidR="00FE4991" w:rsidRPr="00EF7D77" w:rsidRDefault="00FE4991" w:rsidP="00585C7E">
            <w:pPr>
              <w:pStyle w:val="C-TableText"/>
              <w:keepNext/>
              <w:rPr>
                <w:color w:val="000000"/>
                <w:sz w:val="18"/>
              </w:rPr>
            </w:pPr>
            <w:r w:rsidRPr="00EF7D77">
              <w:rPr>
                <w:color w:val="000000"/>
                <w:sz w:val="18"/>
              </w:rPr>
              <w:t>Any Serious AE Occurred Prior to First Dose</w:t>
            </w:r>
            <w:r>
              <w:rPr>
                <w:color w:val="000000"/>
                <w:sz w:val="18"/>
              </w:rPr>
              <w:t xml:space="preserve"> </w:t>
            </w:r>
          </w:p>
        </w:tc>
        <w:tc>
          <w:tcPr>
            <w:tcW w:w="1449" w:type="dxa"/>
          </w:tcPr>
          <w:p w14:paraId="18594192" w14:textId="77777777" w:rsidR="00FE4991" w:rsidRPr="00EF7D77" w:rsidRDefault="00FE4991" w:rsidP="00585C7E">
            <w:pPr>
              <w:pStyle w:val="C-TableText"/>
              <w:keepNext/>
              <w:jc w:val="center"/>
              <w:rPr>
                <w:color w:val="000000"/>
                <w:sz w:val="18"/>
              </w:rPr>
            </w:pPr>
            <w:r w:rsidRPr="00EF7D77">
              <w:rPr>
                <w:color w:val="000000"/>
                <w:sz w:val="18"/>
              </w:rPr>
              <w:t xml:space="preserve">1 </w:t>
            </w:r>
            <w:r>
              <w:rPr>
                <w:color w:val="000000"/>
                <w:sz w:val="18"/>
              </w:rPr>
              <w:t>(</w:t>
            </w:r>
            <w:r w:rsidRPr="00EF7D77">
              <w:rPr>
                <w:color w:val="000000"/>
                <w:sz w:val="18"/>
              </w:rPr>
              <w:t>1.7)</w:t>
            </w:r>
          </w:p>
        </w:tc>
        <w:tc>
          <w:tcPr>
            <w:tcW w:w="1449" w:type="dxa"/>
          </w:tcPr>
          <w:p w14:paraId="33352AEC" w14:textId="77777777" w:rsidR="00FE4991" w:rsidRPr="00EF7D77" w:rsidRDefault="00FE4991" w:rsidP="00585C7E">
            <w:pPr>
              <w:pStyle w:val="C-TableText"/>
              <w:keepNext/>
              <w:jc w:val="center"/>
              <w:rPr>
                <w:color w:val="000000"/>
                <w:sz w:val="18"/>
              </w:rPr>
            </w:pPr>
            <w:r w:rsidRPr="00EF7D77">
              <w:rPr>
                <w:color w:val="000000"/>
                <w:sz w:val="18"/>
              </w:rPr>
              <w:t xml:space="preserve">2 </w:t>
            </w:r>
            <w:r>
              <w:rPr>
                <w:color w:val="000000"/>
                <w:sz w:val="18"/>
              </w:rPr>
              <w:t>(</w:t>
            </w:r>
            <w:r w:rsidRPr="00EF7D77">
              <w:rPr>
                <w:color w:val="000000"/>
                <w:sz w:val="18"/>
              </w:rPr>
              <w:t>4.1)</w:t>
            </w:r>
          </w:p>
        </w:tc>
        <w:tc>
          <w:tcPr>
            <w:tcW w:w="1449" w:type="dxa"/>
          </w:tcPr>
          <w:p w14:paraId="19BC7202" w14:textId="77777777" w:rsidR="00FE4991" w:rsidRPr="00EF7D77" w:rsidRDefault="00FE4991" w:rsidP="00585C7E">
            <w:pPr>
              <w:pStyle w:val="C-TableText"/>
              <w:keepNext/>
              <w:jc w:val="center"/>
              <w:rPr>
                <w:color w:val="000000"/>
                <w:sz w:val="18"/>
              </w:rPr>
            </w:pPr>
            <w:r w:rsidRPr="00EF7D77">
              <w:rPr>
                <w:color w:val="000000"/>
                <w:sz w:val="18"/>
              </w:rPr>
              <w:t xml:space="preserve">3 </w:t>
            </w:r>
            <w:r>
              <w:rPr>
                <w:color w:val="000000"/>
                <w:sz w:val="18"/>
              </w:rPr>
              <w:t>(</w:t>
            </w:r>
            <w:r w:rsidRPr="00EF7D77">
              <w:rPr>
                <w:color w:val="000000"/>
                <w:sz w:val="18"/>
              </w:rPr>
              <w:t>2.8)</w:t>
            </w:r>
          </w:p>
        </w:tc>
      </w:tr>
      <w:tr w:rsidR="00FE4991" w:rsidRPr="00EF7D77" w14:paraId="10318801" w14:textId="77777777" w:rsidTr="00585C7E">
        <w:tc>
          <w:tcPr>
            <w:tcW w:w="5204" w:type="dxa"/>
          </w:tcPr>
          <w:p w14:paraId="4276C156" w14:textId="77777777" w:rsidR="00FE4991" w:rsidRPr="00EF7D77" w:rsidRDefault="00FE4991" w:rsidP="00585C7E">
            <w:pPr>
              <w:pStyle w:val="C-TableText"/>
              <w:keepNext/>
              <w:rPr>
                <w:color w:val="000000"/>
                <w:sz w:val="18"/>
              </w:rPr>
            </w:pPr>
            <w:r w:rsidRPr="00EF7D77">
              <w:rPr>
                <w:color w:val="000000"/>
                <w:sz w:val="18"/>
              </w:rPr>
              <w:t>Any TEAE Leading to Treatment Withdrawn</w:t>
            </w:r>
          </w:p>
        </w:tc>
        <w:tc>
          <w:tcPr>
            <w:tcW w:w="1449" w:type="dxa"/>
          </w:tcPr>
          <w:p w14:paraId="60E3CEFD" w14:textId="77777777" w:rsidR="00FE4991" w:rsidRPr="00EF7D77" w:rsidRDefault="00FE4991" w:rsidP="00585C7E">
            <w:pPr>
              <w:pStyle w:val="C-TableText"/>
              <w:keepNext/>
              <w:jc w:val="center"/>
              <w:rPr>
                <w:color w:val="000000"/>
                <w:sz w:val="18"/>
              </w:rPr>
            </w:pPr>
            <w:r w:rsidRPr="00EF7D77">
              <w:rPr>
                <w:color w:val="000000"/>
                <w:sz w:val="18"/>
              </w:rPr>
              <w:t>15 (25.9)</w:t>
            </w:r>
          </w:p>
        </w:tc>
        <w:tc>
          <w:tcPr>
            <w:tcW w:w="1449" w:type="dxa"/>
          </w:tcPr>
          <w:p w14:paraId="1E88BC71" w14:textId="77777777" w:rsidR="00FE4991" w:rsidRPr="00EF7D77" w:rsidRDefault="00FE4991" w:rsidP="00585C7E">
            <w:pPr>
              <w:pStyle w:val="C-TableText"/>
              <w:keepNext/>
              <w:jc w:val="center"/>
              <w:rPr>
                <w:color w:val="000000"/>
                <w:sz w:val="18"/>
              </w:rPr>
            </w:pPr>
            <w:r w:rsidRPr="00EF7D77">
              <w:rPr>
                <w:color w:val="000000"/>
                <w:sz w:val="18"/>
              </w:rPr>
              <w:t>19 (38.8)</w:t>
            </w:r>
          </w:p>
        </w:tc>
        <w:tc>
          <w:tcPr>
            <w:tcW w:w="1449" w:type="dxa"/>
          </w:tcPr>
          <w:p w14:paraId="7EB2108A" w14:textId="77777777" w:rsidR="00FE4991" w:rsidRPr="00EF7D77" w:rsidRDefault="00FE4991" w:rsidP="00585C7E">
            <w:pPr>
              <w:pStyle w:val="C-TableText"/>
              <w:keepNext/>
              <w:jc w:val="center"/>
              <w:rPr>
                <w:color w:val="000000"/>
                <w:sz w:val="18"/>
              </w:rPr>
            </w:pPr>
            <w:r w:rsidRPr="00EF7D77">
              <w:rPr>
                <w:color w:val="000000"/>
                <w:sz w:val="18"/>
              </w:rPr>
              <w:t>34 (31.8)</w:t>
            </w:r>
          </w:p>
        </w:tc>
      </w:tr>
      <w:tr w:rsidR="00FE4991" w:rsidRPr="00EF7D77" w14:paraId="63F0C98D" w14:textId="77777777" w:rsidTr="00585C7E">
        <w:tc>
          <w:tcPr>
            <w:tcW w:w="5204" w:type="dxa"/>
          </w:tcPr>
          <w:p w14:paraId="573B4A3B" w14:textId="77777777" w:rsidR="00FE4991" w:rsidRPr="00EF7D77" w:rsidRDefault="00FE4991" w:rsidP="00585C7E">
            <w:pPr>
              <w:pStyle w:val="C-TableText"/>
              <w:keepNext/>
              <w:rPr>
                <w:color w:val="000000"/>
                <w:sz w:val="18"/>
              </w:rPr>
            </w:pPr>
            <w:r w:rsidRPr="00EF7D77">
              <w:rPr>
                <w:color w:val="000000"/>
                <w:sz w:val="18"/>
              </w:rPr>
              <w:t>Any Treatment</w:t>
            </w:r>
            <w:r>
              <w:rPr>
                <w:color w:val="000000"/>
                <w:sz w:val="18"/>
              </w:rPr>
              <w:noBreakHyphen/>
            </w:r>
            <w:r w:rsidRPr="00EF7D77">
              <w:rPr>
                <w:color w:val="000000"/>
                <w:sz w:val="18"/>
              </w:rPr>
              <w:t>Related TEAE Leading to Treatment Withdrawn</w:t>
            </w:r>
          </w:p>
        </w:tc>
        <w:tc>
          <w:tcPr>
            <w:tcW w:w="1449" w:type="dxa"/>
          </w:tcPr>
          <w:p w14:paraId="189B984C" w14:textId="77777777" w:rsidR="00FE4991" w:rsidRPr="00EF7D77" w:rsidRDefault="00FE4991" w:rsidP="00585C7E">
            <w:pPr>
              <w:pStyle w:val="C-TableText"/>
              <w:keepNext/>
              <w:jc w:val="center"/>
              <w:rPr>
                <w:color w:val="000000"/>
                <w:sz w:val="18"/>
              </w:rPr>
            </w:pPr>
            <w:r w:rsidRPr="00EF7D77">
              <w:rPr>
                <w:color w:val="000000"/>
                <w:sz w:val="18"/>
              </w:rPr>
              <w:t>7 (12.1)</w:t>
            </w:r>
          </w:p>
        </w:tc>
        <w:tc>
          <w:tcPr>
            <w:tcW w:w="1449" w:type="dxa"/>
          </w:tcPr>
          <w:p w14:paraId="242E4D70" w14:textId="77777777" w:rsidR="00FE4991" w:rsidRPr="00EF7D77" w:rsidRDefault="00FE4991" w:rsidP="00585C7E">
            <w:pPr>
              <w:pStyle w:val="C-TableText"/>
              <w:keepNext/>
              <w:jc w:val="center"/>
              <w:rPr>
                <w:color w:val="000000"/>
                <w:sz w:val="18"/>
              </w:rPr>
            </w:pPr>
            <w:r w:rsidRPr="00EF7D77">
              <w:rPr>
                <w:color w:val="000000"/>
                <w:sz w:val="18"/>
              </w:rPr>
              <w:t>9 (18.4)</w:t>
            </w:r>
          </w:p>
        </w:tc>
        <w:tc>
          <w:tcPr>
            <w:tcW w:w="1449" w:type="dxa"/>
          </w:tcPr>
          <w:p w14:paraId="1F5D9383" w14:textId="77777777" w:rsidR="00FE4991" w:rsidRPr="00EF7D77" w:rsidRDefault="00FE4991" w:rsidP="00585C7E">
            <w:pPr>
              <w:pStyle w:val="C-TableText"/>
              <w:keepNext/>
              <w:jc w:val="center"/>
              <w:rPr>
                <w:color w:val="000000"/>
                <w:sz w:val="18"/>
              </w:rPr>
            </w:pPr>
            <w:r w:rsidRPr="00EF7D77">
              <w:rPr>
                <w:color w:val="000000"/>
                <w:sz w:val="18"/>
              </w:rPr>
              <w:t>16 (15.0)</w:t>
            </w:r>
          </w:p>
        </w:tc>
      </w:tr>
    </w:tbl>
    <w:p w14:paraId="27711292" w14:textId="77777777" w:rsidR="00FE4991" w:rsidRPr="000A47C3" w:rsidRDefault="00FE4991" w:rsidP="00FE4991">
      <w:pPr>
        <w:pStyle w:val="C-TableFootnote"/>
      </w:pPr>
      <w:r w:rsidRPr="000A47C3">
        <w:t xml:space="preserve">Source: </w:t>
      </w:r>
      <w:r w:rsidRPr="00693CB5">
        <w:t>Table 14.3.2.1.1</w:t>
      </w:r>
    </w:p>
    <w:p w14:paraId="37E2378B" w14:textId="77777777" w:rsidR="00FE4991" w:rsidRPr="00EF7D77" w:rsidRDefault="00FE4991" w:rsidP="00FE4991">
      <w:pPr>
        <w:pStyle w:val="C-TableFootnote"/>
      </w:pPr>
      <w:r w:rsidRPr="00EF7D77">
        <w:t>AE = adverse event; TEAE = treatment</w:t>
      </w:r>
      <w:r>
        <w:noBreakHyphen/>
      </w:r>
      <w:r w:rsidRPr="00EF7D77">
        <w:t>emergent adverse event</w:t>
      </w:r>
    </w:p>
    <w:p w14:paraId="7C79946D" w14:textId="77777777" w:rsidR="00FE4991" w:rsidRDefault="00FE4991" w:rsidP="00FE4991">
      <w:pPr>
        <w:pStyle w:val="C-BodyText"/>
      </w:pPr>
    </w:p>
    <w:p w14:paraId="5F401DFF" w14:textId="0447AEC3" w:rsidR="00FE4991" w:rsidRPr="00EF7D77" w:rsidRDefault="00FE4991" w:rsidP="00FE4991">
      <w:pPr>
        <w:pStyle w:val="C-BodyText"/>
      </w:pPr>
      <w:r>
        <w:lastRenderedPageBreak/>
        <w:t>Treatment</w:t>
      </w:r>
      <w:r>
        <w:noBreakHyphen/>
        <w:t xml:space="preserve">emergent </w:t>
      </w:r>
      <w:r w:rsidRPr="00EF7D77">
        <w:t xml:space="preserve">SAEs were reported by 48 subjects (44.9%), 13 of whom (12.1%) had </w:t>
      </w:r>
      <w:r>
        <w:t>treatment</w:t>
      </w:r>
      <w:r>
        <w:noBreakHyphen/>
        <w:t xml:space="preserve">emergent </w:t>
      </w:r>
      <w:r w:rsidRPr="00EF7D77">
        <w:t xml:space="preserve">SAEs related to SRA737 treatment. A total of </w:t>
      </w:r>
      <w:r w:rsidR="00227A06">
        <w:t>10 fatal SAEs</w:t>
      </w:r>
      <w:r w:rsidRPr="00EF7D77">
        <w:t xml:space="preserve"> were reported during the study, none of which were attributed to study treatment. </w:t>
      </w:r>
    </w:p>
    <w:p w14:paraId="507CA4CF" w14:textId="4E3E5665" w:rsidR="006A65B4" w:rsidRPr="00EF7D77" w:rsidRDefault="006A65B4" w:rsidP="006A65B4">
      <w:pPr>
        <w:pStyle w:val="C-BodyText"/>
      </w:pPr>
      <w:r w:rsidRPr="00EF7D77">
        <w:t xml:space="preserve">Disorders of the </w:t>
      </w:r>
      <w:r>
        <w:t>GI</w:t>
      </w:r>
      <w:r w:rsidRPr="00EF7D77">
        <w:t xml:space="preserve"> tract were the most frequently reported TEAEs in the study. Diarrhea, nausea, and vomiting were reported by 69.2%, 67.3%, and 52.3% of subjects, respectively, and most cases were considered related to study. Nearly all of these </w:t>
      </w:r>
      <w:r>
        <w:t>GI events</w:t>
      </w:r>
      <w:r w:rsidRPr="00EF7D77">
        <w:t xml:space="preserve"> were mild to moderate in severity; Grade</w:t>
      </w:r>
      <w:r w:rsidR="00227A06">
        <w:t> </w:t>
      </w:r>
      <w:r w:rsidRPr="00EF7D77">
        <w:t xml:space="preserve">3 or higher severity </w:t>
      </w:r>
      <w:r>
        <w:t xml:space="preserve">GI disorders </w:t>
      </w:r>
      <w:r w:rsidRPr="00EF7D77">
        <w:t>w</w:t>
      </w:r>
      <w:r>
        <w:t>ere</w:t>
      </w:r>
      <w:r w:rsidRPr="00EF7D77">
        <w:t xml:space="preserve"> reported by only 2</w:t>
      </w:r>
      <w:r>
        <w:t> </w:t>
      </w:r>
      <w:r w:rsidRPr="00EF7D77">
        <w:t>subjects (1.9%) for diarrhea, 3 subjects for nausea (2.8%), and 1</w:t>
      </w:r>
      <w:r>
        <w:t> </w:t>
      </w:r>
      <w:r w:rsidRPr="00EF7D77">
        <w:t xml:space="preserve">subject for vomiting (0.9%). Aside from disease progression, </w:t>
      </w:r>
      <w:r>
        <w:t>GI</w:t>
      </w:r>
      <w:r w:rsidRPr="00EF7D77">
        <w:t xml:space="preserve"> TEAEs of nausea and vomiting were the most common reasons for withdrawal of treatment, each reported by 3 subjects (2.8%). However, this relatively low rate of treatment discontinuation due to GI TEAEs </w:t>
      </w:r>
      <w:r>
        <w:t>suggests that these disorders do not significantly affect the tolerability</w:t>
      </w:r>
      <w:r w:rsidRPr="00EF7D77">
        <w:t xml:space="preserve"> of SRA737.</w:t>
      </w:r>
    </w:p>
    <w:p w14:paraId="77E0CA2C" w14:textId="41F87D6A" w:rsidR="00797D13" w:rsidRDefault="006A65B4" w:rsidP="006D60AC">
      <w:pPr>
        <w:pStyle w:val="C-BodyText"/>
      </w:pPr>
      <w:r w:rsidRPr="00EF7D77">
        <w:t>Three serious cardiac events of ischemic heart disease/myocardial infarction and cardiomyopathy were observed in the study. In protocol</w:t>
      </w:r>
      <w:r>
        <w:noBreakHyphen/>
      </w:r>
      <w:r w:rsidRPr="00EF7D77">
        <w:t xml:space="preserve">scheduled echocardiograms, no additional cases were seen of </w:t>
      </w:r>
      <w:r w:rsidRPr="00821481">
        <w:t xml:space="preserve">significant decline of ejection fraction (ie, absolute drop of </w:t>
      </w:r>
      <w:r w:rsidRPr="00EF7D77">
        <w:t xml:space="preserve">&gt; 10% </w:t>
      </w:r>
      <w:r w:rsidRPr="00821481">
        <w:t>from baseline),</w:t>
      </w:r>
      <w:r>
        <w:t xml:space="preserve"> </w:t>
      </w:r>
      <w:r w:rsidRPr="00EF7D77">
        <w:t xml:space="preserve">nor were </w:t>
      </w:r>
      <w:r w:rsidRPr="00821481">
        <w:t xml:space="preserve">additional </w:t>
      </w:r>
      <w:r w:rsidRPr="00EF7D77">
        <w:t>clinically significant increases in troponin observed with SRA737 treatment.</w:t>
      </w:r>
      <w:r w:rsidRPr="00821481">
        <w:t xml:space="preserve"> </w:t>
      </w:r>
      <w:r w:rsidRPr="00EF7D77">
        <w:t>These cases do not show clear evidence of a SRA737</w:t>
      </w:r>
      <w:r>
        <w:noBreakHyphen/>
      </w:r>
      <w:r w:rsidRPr="00EF7D77">
        <w:t xml:space="preserve">related cardiac effect. The cases are likely confounded by </w:t>
      </w:r>
      <w:r>
        <w:t xml:space="preserve">age, </w:t>
      </w:r>
      <w:r w:rsidRPr="00EF7D77">
        <w:t xml:space="preserve">underlying cardiac risk factors (in MI cases) or progressive </w:t>
      </w:r>
      <w:r>
        <w:t xml:space="preserve">metastatic </w:t>
      </w:r>
      <w:r w:rsidRPr="00EF7D77">
        <w:t>disease.</w:t>
      </w:r>
      <w:r w:rsidR="0069180B">
        <w:t xml:space="preserve"> </w:t>
      </w:r>
    </w:p>
    <w:p w14:paraId="5F6BFC7E" w14:textId="4A85081F" w:rsidR="00B6660A" w:rsidRPr="00D2429F" w:rsidRDefault="00797D13" w:rsidP="00D2429F">
      <w:pPr>
        <w:pStyle w:val="C-BodyText"/>
      </w:pPr>
      <w:r w:rsidRPr="00D2429F">
        <w:t>QT prolongation was reported as an AE by 8 subjects, including 2 SAEs of asymptomatic Grade</w:t>
      </w:r>
      <w:r w:rsidR="00F30DF7" w:rsidRPr="00D2429F">
        <w:t> </w:t>
      </w:r>
      <w:r w:rsidRPr="00D2429F">
        <w:t>3 QTc prolongation (one event was confounded by pre-existing hypomagnesemia). These 8 AEs were based on locally read ECGs; centrally-read ECGs revealed no QTc intervals of &gt;</w:t>
      </w:r>
      <w:r w:rsidR="00F30DF7" w:rsidRPr="00D2429F">
        <w:t> </w:t>
      </w:r>
      <w:r w:rsidRPr="00D2429F">
        <w:t>500</w:t>
      </w:r>
      <w:r w:rsidR="00F30DF7" w:rsidRPr="00D2429F">
        <w:t> </w:t>
      </w:r>
      <w:r w:rsidRPr="00D2429F">
        <w:t xml:space="preserve">ms and no changes from baseline of &gt; 60 ms in study subjects. In addition, no subjects had treatment-emergent U waves. </w:t>
      </w:r>
      <w:r w:rsidR="00E40BAD" w:rsidRPr="00D2429F">
        <w:rPr>
          <w:rStyle w:val="normaltextrun"/>
        </w:rPr>
        <w:t>SRA737 at the studied doses had no clinically relevant effects on heart rate, PR</w:t>
      </w:r>
      <w:r w:rsidR="00710421" w:rsidRPr="00D2429F">
        <w:rPr>
          <w:rStyle w:val="normaltextrun"/>
        </w:rPr>
        <w:t xml:space="preserve"> interval</w:t>
      </w:r>
      <w:r w:rsidR="00176EF6" w:rsidRPr="00D2429F">
        <w:rPr>
          <w:rStyle w:val="normaltextrun"/>
        </w:rPr>
        <w:t>,</w:t>
      </w:r>
      <w:r w:rsidR="00E40BAD" w:rsidRPr="00D2429F">
        <w:rPr>
          <w:rStyle w:val="normaltextrun"/>
        </w:rPr>
        <w:t xml:space="preserve"> and QRS duration.</w:t>
      </w:r>
    </w:p>
    <w:p w14:paraId="4C7885DD" w14:textId="77777777" w:rsidR="0069180B" w:rsidRPr="00EF7D77" w:rsidRDefault="0069180B" w:rsidP="006D60AC">
      <w:pPr>
        <w:pStyle w:val="C-BodyText"/>
      </w:pPr>
    </w:p>
    <w:p w14:paraId="4072527E" w14:textId="77777777" w:rsidR="009108EB" w:rsidRPr="00CB36AE" w:rsidRDefault="00B93836" w:rsidP="009108EB">
      <w:pPr>
        <w:pStyle w:val="C-BodyText"/>
      </w:pPr>
      <w:r w:rsidRPr="00EF7D77">
        <w:rPr>
          <w:b/>
          <w:bCs/>
        </w:rPr>
        <w:t>Pha</w:t>
      </w:r>
      <w:r w:rsidRPr="00F95A64">
        <w:rPr>
          <w:b/>
          <w:bCs/>
        </w:rPr>
        <w:t>rmacokinetic Results:</w:t>
      </w:r>
      <w:r w:rsidR="00A8695B" w:rsidRPr="00F95A64">
        <w:t xml:space="preserve"> </w:t>
      </w:r>
      <w:r w:rsidR="000B3F73" w:rsidRPr="00F95A64">
        <w:t xml:space="preserve"> </w:t>
      </w:r>
      <w:r w:rsidR="009108EB" w:rsidRPr="00F95A64">
        <w:t>Following single dose oral administration of SRA737 (Day </w:t>
      </w:r>
      <w:r w:rsidR="009108EB" w:rsidRPr="00F95A64">
        <w:noBreakHyphen/>
        <w:t>7 to Day </w:t>
      </w:r>
      <w:r w:rsidR="009108EB" w:rsidRPr="00F95A64">
        <w:noBreakHyphen/>
        <w:t>4), t</w:t>
      </w:r>
      <w:r w:rsidR="009108EB" w:rsidRPr="00F95A64">
        <w:rPr>
          <w:vertAlign w:val="subscript"/>
        </w:rPr>
        <w:t>max</w:t>
      </w:r>
      <w:r w:rsidR="009108EB" w:rsidRPr="00F95A64">
        <w:t xml:space="preserve"> </w:t>
      </w:r>
      <w:r w:rsidR="009108EB" w:rsidRPr="00CB36AE">
        <w:t>generally occurred at 2 or 4 hours, but ranged between 0.5 and 8 hours. When estimable, the individual apparent t</w:t>
      </w:r>
      <w:r w:rsidR="009108EB" w:rsidRPr="00CB36AE">
        <w:rPr>
          <w:vertAlign w:val="subscript"/>
        </w:rPr>
        <w:t>½</w:t>
      </w:r>
      <w:r w:rsidR="009108EB" w:rsidRPr="00CB36AE">
        <w:t xml:space="preserve"> ranged from 6.99 to 18.0 hours, individual CL/F ranged from 15.1 to 16.1 L/hour, and individual Vd/F ranged from 180 to 2940 L. Systemic exposure (C</w:t>
      </w:r>
      <w:r w:rsidR="009108EB" w:rsidRPr="00CB36AE">
        <w:rPr>
          <w:vertAlign w:val="subscript"/>
        </w:rPr>
        <w:t>max</w:t>
      </w:r>
      <w:r w:rsidR="009108EB" w:rsidRPr="00CB36AE">
        <w:t>, AUC</w:t>
      </w:r>
      <w:r w:rsidR="009108EB" w:rsidRPr="00CB36AE">
        <w:rPr>
          <w:vertAlign w:val="subscript"/>
        </w:rPr>
        <w:t>0</w:t>
      </w:r>
      <w:r w:rsidR="009108EB" w:rsidRPr="00CB36AE">
        <w:rPr>
          <w:vertAlign w:val="subscript"/>
        </w:rPr>
        <w:noBreakHyphen/>
        <w:t>24</w:t>
      </w:r>
      <w:r w:rsidR="009108EB" w:rsidRPr="00CB36AE">
        <w:t xml:space="preserve">) tended to be comparable between 800 mg and 1000 mg dose levels, while it increased between the 1000 mg and 1300 mg dose levels in a greater than dose proportional manner. </w:t>
      </w:r>
    </w:p>
    <w:p w14:paraId="7CD3926C" w14:textId="77777777" w:rsidR="009108EB" w:rsidRPr="00CB36AE" w:rsidRDefault="009108EB" w:rsidP="009108EB">
      <w:pPr>
        <w:pStyle w:val="C-BodyText"/>
      </w:pPr>
      <w:r w:rsidRPr="00CB36AE">
        <w:t>After repeated doses, t</w:t>
      </w:r>
      <w:r w:rsidRPr="00CB36AE">
        <w:rPr>
          <w:vertAlign w:val="subscript"/>
        </w:rPr>
        <w:t>max</w:t>
      </w:r>
      <w:r w:rsidRPr="00CB36AE">
        <w:t xml:space="preserve"> generally occurred at 2 or 4 hours, but ranged between 1 and 6 hours. When estimable, individual t</w:t>
      </w:r>
      <w:r w:rsidRPr="00CB36AE">
        <w:rPr>
          <w:vertAlign w:val="subscript"/>
        </w:rPr>
        <w:t>½</w:t>
      </w:r>
      <w:r w:rsidRPr="00CB36AE">
        <w:t xml:space="preserve"> ranged from 6.23 to 10.4 hours, individual CL/F ranged from 18.4 to 119 L/hour, and individual Vd/F ranged from 215 to 1590 L. Systemic exposure (C</w:t>
      </w:r>
      <w:r w:rsidRPr="00CB36AE">
        <w:rPr>
          <w:vertAlign w:val="subscript"/>
        </w:rPr>
        <w:t>max</w:t>
      </w:r>
      <w:r w:rsidRPr="00CB36AE">
        <w:t>, AUC) tended to be comparable between 600 mg and 1000 mg dose levels.</w:t>
      </w:r>
    </w:p>
    <w:p w14:paraId="5BA53397" w14:textId="77777777" w:rsidR="009108EB" w:rsidRPr="00CB36AE" w:rsidRDefault="009108EB" w:rsidP="009108EB">
      <w:pPr>
        <w:pStyle w:val="C-BodyText"/>
      </w:pPr>
      <w:r w:rsidRPr="00CB36AE">
        <w:t>Upon repeated dosing at 800 mg and 1000 mg, systemic exposure generally remained similar regardless of specific sampling days (C1D22, C1D8, C2D8, C2D15, or C2D22) compared to the first single dosing, with individual accumulation ratio (R</w:t>
      </w:r>
      <w:r w:rsidRPr="00CB36AE">
        <w:rPr>
          <w:vertAlign w:val="subscript"/>
        </w:rPr>
        <w:t>AUC</w:t>
      </w:r>
      <w:r w:rsidRPr="00CB36AE">
        <w:t>) values ranging from 0.611 to 2.11.</w:t>
      </w:r>
    </w:p>
    <w:p w14:paraId="6BB91985" w14:textId="0F2A70B3" w:rsidR="009108EB" w:rsidRDefault="009108EB" w:rsidP="000B4EE8">
      <w:pPr>
        <w:pStyle w:val="C-BodyText"/>
        <w:keepLines/>
      </w:pPr>
      <w:r w:rsidRPr="00CB36AE">
        <w:lastRenderedPageBreak/>
        <w:t>In the concentration</w:t>
      </w:r>
      <w:r w:rsidRPr="00CB36AE">
        <w:noBreakHyphen/>
        <w:t xml:space="preserve">QTc analysis, </w:t>
      </w:r>
      <w:r w:rsidR="00CD13DB" w:rsidRPr="00CD13DB">
        <w:t>QTcF LS mean change from baseline (ΔQTcF) was similar across all dose groups and indicated that SRA737 has an effect on QTcF. The largest LS mean ΔQTcF in the 800 and 1000 mg dose groups was observed at 2 hours post dose on Cycle 1 Day 22, corresponding to the t</w:t>
      </w:r>
      <w:r w:rsidR="00CD13DB" w:rsidRPr="00154428">
        <w:rPr>
          <w:vertAlign w:val="subscript"/>
        </w:rPr>
        <w:t>max</w:t>
      </w:r>
      <w:r w:rsidR="00CD13DB" w:rsidRPr="00CD13DB">
        <w:t xml:space="preserve"> of SRA737, and reached 16.8 ms (90% CI: 11.53 to 22.13) and 19.6 ms (90% CI: 14.41 to 24.75) for 800 mg and 1000 mg groups, respectively.</w:t>
      </w:r>
      <w:r w:rsidR="00BF26CF">
        <w:t xml:space="preserve"> A</w:t>
      </w:r>
      <w:r w:rsidR="00BF26CF" w:rsidRPr="00CB36AE">
        <w:t xml:space="preserve"> linear model with an intercept was fitted. The estimated slope of SRA737 plasma concentration was shallow and statistically significant: 0.0096 ms/ng/mL (90% CI: 0.00839 to 0.01077) with an intercept of </w:t>
      </w:r>
      <w:r w:rsidR="00BF26CF" w:rsidRPr="00CB36AE">
        <w:noBreakHyphen/>
        <w:t xml:space="preserve">0.61 ms. The predicted </w:t>
      </w:r>
      <w:r w:rsidR="00BF26CF" w:rsidRPr="00CB36AE">
        <w:rPr>
          <w:rFonts w:ascii="Symbol" w:eastAsia="Symbol" w:hAnsi="Symbol" w:cs="Symbol"/>
        </w:rPr>
        <w:t>D</w:t>
      </w:r>
      <w:r w:rsidR="00BF26CF" w:rsidRPr="00CB36AE">
        <w:t>QTcF effect at the geometric mean C</w:t>
      </w:r>
      <w:r w:rsidR="00BF26CF" w:rsidRPr="00CB36AE">
        <w:rPr>
          <w:vertAlign w:val="subscript"/>
        </w:rPr>
        <w:t>max</w:t>
      </w:r>
      <w:r w:rsidR="00BF26CF" w:rsidRPr="00CB36AE">
        <w:t xml:space="preserve"> in the 1000 mg dose group (1453.6 ng/mL) was 13.32 ms (90% CI: 11.10 to 15.53).</w:t>
      </w:r>
      <w:r w:rsidR="00BF26CF">
        <w:t xml:space="preserve"> </w:t>
      </w:r>
      <w:r w:rsidRPr="00CB36AE">
        <w:t>Based on this concentration</w:t>
      </w:r>
      <w:r w:rsidRPr="00CB36AE">
        <w:noBreakHyphen/>
        <w:t>QTc analysis, an effect on ΔQTcF exceeding 10 ms and 20 ms can be excluded up to SRA737 plasma concentrations of ~900 ng/mL and ~1900 ng/mL, respectively.</w:t>
      </w:r>
      <w:r w:rsidRPr="00EF7D77">
        <w:t xml:space="preserve"> </w:t>
      </w:r>
    </w:p>
    <w:p w14:paraId="481F2041" w14:textId="3714F236" w:rsidR="00B93836" w:rsidRPr="00EF7D77" w:rsidRDefault="00B93836" w:rsidP="006D60AC">
      <w:pPr>
        <w:pStyle w:val="C-BodyText"/>
      </w:pPr>
    </w:p>
    <w:p w14:paraId="40A9B566" w14:textId="641EE7C7" w:rsidR="001C4335" w:rsidRDefault="00B93836" w:rsidP="00494356">
      <w:pPr>
        <w:pStyle w:val="C-BodyText"/>
        <w:keepNext/>
        <w:keepLines/>
      </w:pPr>
      <w:r w:rsidRPr="00EF7D77">
        <w:rPr>
          <w:b/>
          <w:bCs/>
        </w:rPr>
        <w:t xml:space="preserve">Conclusions: </w:t>
      </w:r>
      <w:r w:rsidR="0081373C">
        <w:rPr>
          <w:b/>
          <w:bCs/>
        </w:rPr>
        <w:t xml:space="preserve"> </w:t>
      </w:r>
    </w:p>
    <w:p w14:paraId="6C7B418B" w14:textId="2A636B0C" w:rsidR="0081373C" w:rsidRDefault="0081373C" w:rsidP="00494356">
      <w:pPr>
        <w:pStyle w:val="C-Bullet"/>
        <w:keepNext/>
        <w:keepLines/>
      </w:pPr>
      <w:r>
        <w:t>SRA737 monotherapy was well tolerated at doses up to the maximum tolerated dose of 1000</w:t>
      </w:r>
      <w:r w:rsidR="00017D37">
        <w:t> </w:t>
      </w:r>
      <w:r>
        <w:t>mg</w:t>
      </w:r>
      <w:r w:rsidR="00017D37">
        <w:t> </w:t>
      </w:r>
      <w:r>
        <w:t>QD.</w:t>
      </w:r>
    </w:p>
    <w:p w14:paraId="4F8E6A34" w14:textId="30DFCFB4" w:rsidR="0081373C" w:rsidRDefault="0081373C" w:rsidP="00494356">
      <w:pPr>
        <w:pStyle w:val="C-Bullet"/>
        <w:keepNext/>
        <w:keepLines/>
      </w:pPr>
      <w:r>
        <w:t>Gastrointestinal disorders (nausea, vomiting, diarrhea) were reported by over 50% of subjects, but were mostly mild to moderate and did not require treatment discontinuation.</w:t>
      </w:r>
    </w:p>
    <w:p w14:paraId="258D3EB5" w14:textId="285F35DC" w:rsidR="0081373C" w:rsidRPr="00D2429F" w:rsidRDefault="00B91CB7" w:rsidP="00D2429F">
      <w:pPr>
        <w:pStyle w:val="C-Bullet"/>
      </w:pPr>
      <w:r w:rsidRPr="00D2429F">
        <w:rPr>
          <w:rStyle w:val="normaltextrun"/>
        </w:rPr>
        <w:t>SRA737 at the studied doses had no clinically relevant effects on heart rate,</w:t>
      </w:r>
      <w:r w:rsidR="00F1144C" w:rsidRPr="00D2429F">
        <w:rPr>
          <w:rStyle w:val="normaltextrun"/>
        </w:rPr>
        <w:t xml:space="preserve"> </w:t>
      </w:r>
      <w:r w:rsidRPr="00D2429F">
        <w:rPr>
          <w:rStyle w:val="normaltextrun"/>
        </w:rPr>
        <w:t>PR</w:t>
      </w:r>
      <w:r w:rsidR="00710421" w:rsidRPr="00D2429F">
        <w:rPr>
          <w:rStyle w:val="normaltextrun"/>
        </w:rPr>
        <w:t xml:space="preserve"> interval</w:t>
      </w:r>
      <w:r w:rsidR="00176EF6" w:rsidRPr="00D2429F">
        <w:rPr>
          <w:rStyle w:val="normaltextrun"/>
        </w:rPr>
        <w:t>,</w:t>
      </w:r>
      <w:r w:rsidRPr="00D2429F">
        <w:rPr>
          <w:rStyle w:val="normaltextrun"/>
        </w:rPr>
        <w:t xml:space="preserve"> and QRS duration</w:t>
      </w:r>
      <w:r w:rsidR="00FC6B75" w:rsidRPr="00D2429F">
        <w:rPr>
          <w:rStyle w:val="normaltextrun"/>
        </w:rPr>
        <w:t xml:space="preserve">. </w:t>
      </w:r>
      <w:r w:rsidR="00903174" w:rsidRPr="00D2429F">
        <w:t>Based on a concentration-QTc analysis</w:t>
      </w:r>
      <w:r w:rsidR="00734E77" w:rsidRPr="00D2429F">
        <w:t>,</w:t>
      </w:r>
      <w:r w:rsidR="00903174" w:rsidRPr="00D2429F">
        <w:t xml:space="preserve"> </w:t>
      </w:r>
      <w:r w:rsidR="00734E77" w:rsidRPr="00D2429F">
        <w:t>a</w:t>
      </w:r>
      <w:r w:rsidR="00467EF9" w:rsidRPr="00D2429F">
        <w:t xml:space="preserve">n effect on ΔQTcF exceeding 10 ms and 20 ms can be excluded </w:t>
      </w:r>
      <w:r w:rsidR="00734E77" w:rsidRPr="00D2429F">
        <w:t>for</w:t>
      </w:r>
      <w:r w:rsidR="00467EF9" w:rsidRPr="00D2429F">
        <w:t xml:space="preserve"> SRA737 plasma concentrations </w:t>
      </w:r>
      <w:r w:rsidR="00734E77" w:rsidRPr="00D2429F">
        <w:t>up to</w:t>
      </w:r>
      <w:r w:rsidR="00467EF9" w:rsidRPr="00D2429F">
        <w:t xml:space="preserve"> ~900 ng/mL and ~1900 ng/mL, respectively.</w:t>
      </w:r>
    </w:p>
    <w:p w14:paraId="598F8022" w14:textId="2EBA6B24" w:rsidR="001B7DF9" w:rsidRDefault="00A3414B" w:rsidP="00494356">
      <w:pPr>
        <w:pStyle w:val="C-Bullet"/>
        <w:keepNext/>
        <w:keepLines/>
      </w:pPr>
      <w:r w:rsidRPr="00A3414B">
        <w:t>Although two serious adverse events of asymptomatic Grade 3 QTc prolongation (one event confounded by pre-existing hypomagnesemia) were reported based on locally read ECGs, centrally-read ECGs revealed no QTc intervals of &gt; 500 ms and no changes from baseline of &gt; 60 ms in these 2 subjects or in any other study subjects. Furthermore, there were no subjects with treatment-emergent U waves</w:t>
      </w:r>
    </w:p>
    <w:p w14:paraId="36AB7C39" w14:textId="0A1A1847" w:rsidR="0081373C" w:rsidRDefault="0081373C" w:rsidP="0081373C">
      <w:pPr>
        <w:pStyle w:val="C-Bullet"/>
      </w:pPr>
      <w:r>
        <w:t>Serious cardiovascular events were reported at higher doses in 3</w:t>
      </w:r>
      <w:r w:rsidR="00017D37">
        <w:t> </w:t>
      </w:r>
      <w:r>
        <w:t xml:space="preserve">subjects but were confounded by underlying disease. Echocardiograms and serum troponin levels did not show a cardiac effect in other subjects. </w:t>
      </w:r>
    </w:p>
    <w:p w14:paraId="6BC961B5" w14:textId="29D05E48" w:rsidR="0081373C" w:rsidRDefault="0081373C" w:rsidP="0081373C">
      <w:pPr>
        <w:pStyle w:val="C-Bullet"/>
      </w:pPr>
      <w:r>
        <w:t>A total daily dose of 1000 mg was determined to be the MTD for SRA737 monotherapy and 800 mg QD was chosen as the RP2D based on the predicted pharmacologically active dose and appearance of improved GI tolerability at 800 mg QD.</w:t>
      </w:r>
    </w:p>
    <w:p w14:paraId="27B65624" w14:textId="5E6D200E" w:rsidR="0081373C" w:rsidRDefault="0081373C" w:rsidP="0081373C">
      <w:pPr>
        <w:pStyle w:val="C-Bullet"/>
      </w:pPr>
      <w:r>
        <w:t>Modest efficacy was observed with SRA737 monotherapy in this first in human study; observations of reduction or no increase in sum of target tumor diameters and/or prolonged SD are supportive of antitumor activity of SRA737 monotherapy.</w:t>
      </w:r>
    </w:p>
    <w:p w14:paraId="19136072" w14:textId="5204AF5E" w:rsidR="0081373C" w:rsidRDefault="0081373C" w:rsidP="0081373C">
      <w:pPr>
        <w:pStyle w:val="C-Bullet"/>
      </w:pPr>
      <w:r>
        <w:t>A preliminary survey of genetic alterations in the subjects who achieved tumor size reduction or prolonged SD supports several potential genetic biomarkers to be explored in future clinical studies.</w:t>
      </w:r>
    </w:p>
    <w:p w14:paraId="1767C631" w14:textId="6313C92A" w:rsidR="0081373C" w:rsidRDefault="0081373C" w:rsidP="0081373C">
      <w:pPr>
        <w:pStyle w:val="C-Bullet"/>
      </w:pPr>
      <w:r>
        <w:lastRenderedPageBreak/>
        <w:t>Based on the nonclinical and clinical data currently available, the balance between potential efficacy/benefits and the safety risks for SRA737 remains favorable and supports further clinical development of the compound.</w:t>
      </w:r>
    </w:p>
    <w:p w14:paraId="40F0F56D" w14:textId="77043335" w:rsidR="006106D0" w:rsidRDefault="006106D0" w:rsidP="006106D0">
      <w:pPr>
        <w:pStyle w:val="C-Bullet"/>
        <w:numPr>
          <w:ilvl w:val="0"/>
          <w:numId w:val="0"/>
        </w:numPr>
        <w:ind w:left="1080" w:hanging="360"/>
      </w:pPr>
    </w:p>
    <w:p w14:paraId="239E92D8" w14:textId="77777777" w:rsidR="006106D0" w:rsidRDefault="006106D0" w:rsidP="006106D0">
      <w:pPr>
        <w:pStyle w:val="C-BodyText"/>
        <w:keepNext/>
        <w:keepLines/>
      </w:pPr>
      <w:r w:rsidRPr="00EF7D77">
        <w:rPr>
          <w:b/>
          <w:bCs/>
        </w:rPr>
        <w:t xml:space="preserve">Conclusions: </w:t>
      </w:r>
      <w:r>
        <w:rPr>
          <w:b/>
          <w:bCs/>
        </w:rPr>
        <w:t xml:space="preserve"> </w:t>
      </w:r>
    </w:p>
    <w:p w14:paraId="246326E5" w14:textId="77777777" w:rsidR="006106D0" w:rsidRPr="00EF7D77" w:rsidRDefault="006106D0" w:rsidP="006106D0">
      <w:pPr>
        <w:pStyle w:val="C-BodyText"/>
        <w:rPr>
          <w:rFonts w:eastAsia="Calibri"/>
          <w:noProof/>
        </w:rPr>
      </w:pPr>
      <w:bookmarkStart w:id="2" w:name="Eisenhauer_2009"/>
      <w:r w:rsidRPr="00EF7D77">
        <w:rPr>
          <w:rFonts w:eastAsia="Calibri"/>
          <w:noProof/>
        </w:rPr>
        <w:t>E</w:t>
      </w:r>
      <w:bookmarkStart w:id="3" w:name="_REFX_679A6DBBA2D040DAB7626ECCDFD41D54"/>
      <w:r w:rsidRPr="00EF7D77">
        <w:rPr>
          <w:rFonts w:eastAsia="Calibri"/>
          <w:noProof/>
        </w:rPr>
        <w:t>isenhauer EA, Therasse P, Bogaerts J, et al. New response evaluation criteria in solid tumours: revised RECIST guideline (version 1.1). Eur J Cancer. 2009;45(2):228–47.</w:t>
      </w:r>
      <w:bookmarkEnd w:id="3"/>
    </w:p>
    <w:bookmarkEnd w:id="2"/>
    <w:p w14:paraId="4A92C05A" w14:textId="77777777" w:rsidR="006106D0" w:rsidRPr="00EF7D77" w:rsidRDefault="006106D0" w:rsidP="006106D0">
      <w:pPr>
        <w:pStyle w:val="C-BodyText"/>
        <w:rPr>
          <w:rFonts w:eastAsia="Calibri"/>
          <w:noProof/>
        </w:rPr>
      </w:pPr>
      <w:r w:rsidRPr="00EF7D77">
        <w:rPr>
          <w:rFonts w:eastAsia="Calibri"/>
          <w:noProof/>
        </w:rPr>
        <w:t>C</w:t>
      </w:r>
      <w:bookmarkStart w:id="4" w:name="_REFX_0681E2A30A46450EBBC09C647EB7FABD"/>
      <w:r w:rsidRPr="00EF7D77">
        <w:rPr>
          <w:rFonts w:eastAsia="Calibri"/>
          <w:noProof/>
        </w:rPr>
        <w:t>heson BD, Pfistner B, Juweid ME, et al. Revised response criteria for malignant lymphoma. J Clin Oncol. 2007;25(5):579–86.</w:t>
      </w:r>
      <w:bookmarkEnd w:id="4"/>
    </w:p>
    <w:p w14:paraId="58D45067" w14:textId="77777777" w:rsidR="006106D0" w:rsidRPr="00EF7D77" w:rsidRDefault="006106D0" w:rsidP="006106D0">
      <w:pPr>
        <w:pStyle w:val="C-BodyText"/>
        <w:rPr>
          <w:rFonts w:eastAsia="Calibri"/>
          <w:noProof/>
        </w:rPr>
      </w:pPr>
      <w:bookmarkStart w:id="5" w:name="Scher_2016"/>
      <w:r w:rsidRPr="00EF7D77">
        <w:rPr>
          <w:rFonts w:eastAsia="Calibri"/>
          <w:noProof/>
        </w:rPr>
        <w:t>S</w:t>
      </w:r>
      <w:bookmarkStart w:id="6" w:name="_REFX_21133CACC2344BC9ACB99A43A69BC0B9"/>
      <w:r w:rsidRPr="00EF7D77">
        <w:rPr>
          <w:rFonts w:eastAsia="Calibri"/>
          <w:noProof/>
        </w:rPr>
        <w:t>cher HI, Morris MJ, Stadler WM, et al. Trial design and objectives for castration</w:t>
      </w:r>
      <w:r>
        <w:rPr>
          <w:rFonts w:eastAsia="Calibri"/>
          <w:noProof/>
        </w:rPr>
        <w:noBreakHyphen/>
      </w:r>
      <w:r w:rsidRPr="00EF7D77">
        <w:rPr>
          <w:rFonts w:eastAsia="Calibri"/>
          <w:noProof/>
        </w:rPr>
        <w:t>resistant prostate cancer: updated recommendations from the prostate cancer clinical trials working group 3. J Clin Oncol. 2016;34(12):1402–18.</w:t>
      </w:r>
      <w:bookmarkEnd w:id="6"/>
    </w:p>
    <w:bookmarkEnd w:id="5"/>
    <w:p w14:paraId="772D6592" w14:textId="77777777" w:rsidR="006106D0" w:rsidRDefault="006106D0" w:rsidP="006106D0">
      <w:pPr>
        <w:pStyle w:val="C-Bullet"/>
        <w:numPr>
          <w:ilvl w:val="0"/>
          <w:numId w:val="0"/>
        </w:numPr>
        <w:ind w:left="1080" w:hanging="360"/>
      </w:pPr>
    </w:p>
    <w:sectPr w:rsidR="006106D0" w:rsidSect="006106D0">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4DC8E9" w14:textId="77777777" w:rsidR="002D560F" w:rsidRDefault="002D560F" w:rsidP="004D286F">
      <w:r>
        <w:separator/>
      </w:r>
    </w:p>
  </w:endnote>
  <w:endnote w:type="continuationSeparator" w:id="0">
    <w:p w14:paraId="7E8B6266" w14:textId="77777777" w:rsidR="002D560F" w:rsidRDefault="002D560F" w:rsidP="004D286F">
      <w:r>
        <w:continuationSeparator/>
      </w:r>
    </w:p>
  </w:endnote>
  <w:endnote w:type="continuationNotice" w:id="1">
    <w:p w14:paraId="09C07859" w14:textId="77777777" w:rsidR="002D560F" w:rsidRDefault="002D56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ordia New">
    <w:panose1 w:val="020B0304020202020204"/>
    <w:charset w:val="DE"/>
    <w:family w:val="swiss"/>
    <w:pitch w:val="variable"/>
    <w:sig w:usb0="81000003" w:usb1="00000000" w:usb2="00000000" w:usb3="00000000" w:csb0="00010001" w:csb1="00000000"/>
  </w:font>
  <w:font w:name="Gotham Bold">
    <w:altName w:val="Calibri"/>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95FA2" w14:textId="77777777" w:rsidR="00206818" w:rsidRDefault="002068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1B6EE" w14:textId="77777777" w:rsidR="00324C95" w:rsidRDefault="00324C95" w:rsidP="00E43A68">
    <w:pPr>
      <w:pStyle w:val="C-Footer"/>
      <w:tabs>
        <w:tab w:val="center" w:pos="4680"/>
        <w:tab w:val="right" w:pos="9360"/>
      </w:tabs>
    </w:pPr>
    <w:r>
      <w:tab/>
    </w:r>
    <w:r>
      <w:fldChar w:fldCharType="begin"/>
    </w:r>
    <w:r>
      <w:instrText xml:space="preserve"> PAGE  \* Arabic  \* MERGEFORMAT </w:instrText>
    </w:r>
    <w:r>
      <w:fldChar w:fldCharType="separate"/>
    </w:r>
    <w:r>
      <w:t>65</w:t>
    </w:r>
    <w:r>
      <w:fldChar w:fldCharType="end"/>
    </w: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226B4" w14:textId="77777777" w:rsidR="00206818" w:rsidRDefault="002068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9486B6" w14:textId="77777777" w:rsidR="002D560F" w:rsidRDefault="002D560F" w:rsidP="004D286F">
      <w:r>
        <w:separator/>
      </w:r>
    </w:p>
  </w:footnote>
  <w:footnote w:type="continuationSeparator" w:id="0">
    <w:p w14:paraId="76C525E2" w14:textId="77777777" w:rsidR="002D560F" w:rsidRDefault="002D560F" w:rsidP="004D286F">
      <w:r>
        <w:continuationSeparator/>
      </w:r>
    </w:p>
  </w:footnote>
  <w:footnote w:type="continuationNotice" w:id="1">
    <w:p w14:paraId="588FF0AF" w14:textId="77777777" w:rsidR="002D560F" w:rsidRDefault="002D560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913A5" w14:textId="77777777" w:rsidR="00206818" w:rsidRDefault="002068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44B47" w14:textId="21789FB2" w:rsidR="00324C95" w:rsidRDefault="00324C95" w:rsidP="009100BB">
    <w:pPr>
      <w:tabs>
        <w:tab w:val="center" w:pos="6660"/>
        <w:tab w:val="right" w:pos="13230"/>
      </w:tabs>
    </w:pPr>
    <w:r>
      <w:t>Clinical Study Report</w:t>
    </w:r>
    <w:r w:rsidR="00206818">
      <w:t xml:space="preserve"> Synopsis</w:t>
    </w:r>
    <w:r>
      <w:tab/>
    </w:r>
    <w:r>
      <w:tab/>
      <w:t>SRA737</w:t>
    </w:r>
    <w:r>
      <w:noBreakHyphen/>
      <w:t>01</w:t>
    </w:r>
  </w:p>
  <w:p w14:paraId="10E8CB8C" w14:textId="77777777" w:rsidR="00324C95" w:rsidRDefault="00324C9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15A28" w14:textId="77777777" w:rsidR="00206818" w:rsidRDefault="002068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70BB0"/>
    <w:multiLevelType w:val="singleLevel"/>
    <w:tmpl w:val="A404CCB0"/>
    <w:name w:val="dtNM List Alpha 3"/>
    <w:lvl w:ilvl="0">
      <w:start w:val="1"/>
      <w:numFmt w:val="lowerLetter"/>
      <w:lvlRestart w:val="0"/>
      <w:lvlText w:val="%1."/>
      <w:lvlJc w:val="left"/>
      <w:pPr>
        <w:tabs>
          <w:tab w:val="num" w:pos="1080"/>
        </w:tabs>
        <w:ind w:left="1080" w:hanging="360"/>
      </w:pPr>
      <w:rPr>
        <w:caps w:val="0"/>
        <w:u w:val="none"/>
      </w:rPr>
    </w:lvl>
  </w:abstractNum>
  <w:abstractNum w:abstractNumId="1" w15:restartNumberingAfterBreak="0">
    <w:nsid w:val="01D45AA7"/>
    <w:multiLevelType w:val="hybridMultilevel"/>
    <w:tmpl w:val="A9BE7986"/>
    <w:name w:val="C-Number List Template"/>
    <w:lvl w:ilvl="0" w:tplc="17D0CD0E">
      <w:start w:val="1"/>
      <w:numFmt w:val="decimal"/>
      <w:lvlText w:val="%1."/>
      <w:lvlJc w:val="left"/>
      <w:pPr>
        <w:tabs>
          <w:tab w:val="num" w:pos="720"/>
        </w:tabs>
        <w:ind w:left="720" w:hanging="360"/>
      </w:pPr>
      <w:rPr>
        <w:rFonts w:hint="default"/>
        <w:b w:val="0"/>
        <w:i w:val="0"/>
        <w:caps w:val="0"/>
        <w:strike w:val="0"/>
        <w:dstrike w:val="0"/>
        <w:outline w:val="0"/>
        <w:shadow w:val="0"/>
        <w:emboss w:val="0"/>
        <w:imprint w:val="0"/>
        <w:vanish w:val="0"/>
        <w:color w:val="auto"/>
        <w:sz w:val="24"/>
        <w:u w:val="none"/>
        <w:vertAlign w:val="baseline"/>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83B721A"/>
    <w:multiLevelType w:val="singleLevel"/>
    <w:tmpl w:val="29F2817E"/>
    <w:name w:val="TableNoteNumeric"/>
    <w:lvl w:ilvl="0">
      <w:start w:val="1"/>
      <w:numFmt w:val="decimal"/>
      <w:suff w:val="nothing"/>
      <w:lvlText w:val="%1"/>
      <w:lvlJc w:val="left"/>
      <w:pPr>
        <w:tabs>
          <w:tab w:val="num" w:pos="720"/>
        </w:tabs>
        <w:ind w:left="720" w:hanging="360"/>
      </w:pPr>
    </w:lvl>
  </w:abstractNum>
  <w:abstractNum w:abstractNumId="3" w15:restartNumberingAfterBreak="0">
    <w:nsid w:val="0AB458E3"/>
    <w:multiLevelType w:val="hybridMultilevel"/>
    <w:tmpl w:val="24F4177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BD3D4B"/>
    <w:multiLevelType w:val="hybridMultilevel"/>
    <w:tmpl w:val="AAC004AE"/>
    <w:lvl w:ilvl="0" w:tplc="064002EA">
      <w:start w:val="1"/>
      <w:numFmt w:val="upperLetter"/>
      <w:pStyle w:val="C-Alphabetic"/>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4E4DA5"/>
    <w:multiLevelType w:val="hybridMultilevel"/>
    <w:tmpl w:val="2184087E"/>
    <w:numStyleLink w:val="CPTB"/>
  </w:abstractNum>
  <w:abstractNum w:abstractNumId="6" w15:restartNumberingAfterBreak="0">
    <w:nsid w:val="13915908"/>
    <w:multiLevelType w:val="hybridMultilevel"/>
    <w:tmpl w:val="8F7626A6"/>
    <w:lvl w:ilvl="0" w:tplc="C2688F4A">
      <w:start w:val="1"/>
      <w:numFmt w:val="decimal"/>
      <w:pStyle w:val="CPTListNumber"/>
      <w:lvlText w:val="%1."/>
      <w:lvlJc w:val="left"/>
      <w:pPr>
        <w:ind w:left="720" w:hanging="360"/>
      </w:pPr>
      <w:rPr>
        <w:rFonts w:hint="default"/>
      </w:rPr>
    </w:lvl>
    <w:lvl w:ilvl="1" w:tplc="AF9098EE">
      <w:start w:val="1"/>
      <w:numFmt w:val="lowerLetter"/>
      <w:lvlText w:val="%2."/>
      <w:lvlJc w:val="left"/>
      <w:pPr>
        <w:ind w:left="1080" w:hanging="360"/>
      </w:pPr>
      <w:rPr>
        <w:rFonts w:hint="default"/>
      </w:rPr>
    </w:lvl>
    <w:lvl w:ilvl="2" w:tplc="5A7466E0">
      <w:start w:val="1"/>
      <w:numFmt w:val="lowerRoman"/>
      <w:lvlText w:val="%3."/>
      <w:lvlJc w:val="left"/>
      <w:pPr>
        <w:ind w:left="1440" w:hanging="360"/>
      </w:pPr>
      <w:rPr>
        <w:rFonts w:hint="default"/>
      </w:rPr>
    </w:lvl>
    <w:lvl w:ilvl="3" w:tplc="1C6007BA">
      <w:start w:val="1"/>
      <w:numFmt w:val="decimal"/>
      <w:lvlText w:val="%4)"/>
      <w:lvlJc w:val="left"/>
      <w:pPr>
        <w:ind w:left="1800" w:hanging="360"/>
      </w:pPr>
      <w:rPr>
        <w:rFonts w:hint="default"/>
      </w:rPr>
    </w:lvl>
    <w:lvl w:ilvl="4" w:tplc="C37AB936">
      <w:start w:val="1"/>
      <w:numFmt w:val="none"/>
      <w:lvlText w:val=""/>
      <w:lvlJc w:val="left"/>
      <w:pPr>
        <w:ind w:left="2160" w:hanging="360"/>
      </w:pPr>
      <w:rPr>
        <w:rFonts w:hint="default"/>
      </w:rPr>
    </w:lvl>
    <w:lvl w:ilvl="5" w:tplc="FA4CFE34">
      <w:start w:val="1"/>
      <w:numFmt w:val="none"/>
      <w:lvlText w:val=""/>
      <w:lvlJc w:val="left"/>
      <w:pPr>
        <w:ind w:left="2520" w:hanging="360"/>
      </w:pPr>
      <w:rPr>
        <w:rFonts w:hint="default"/>
      </w:rPr>
    </w:lvl>
    <w:lvl w:ilvl="6" w:tplc="B8C4A9EC">
      <w:start w:val="1"/>
      <w:numFmt w:val="none"/>
      <w:lvlText w:val=""/>
      <w:lvlJc w:val="left"/>
      <w:pPr>
        <w:ind w:left="2880" w:hanging="360"/>
      </w:pPr>
      <w:rPr>
        <w:rFonts w:hint="default"/>
      </w:rPr>
    </w:lvl>
    <w:lvl w:ilvl="7" w:tplc="7204A41E">
      <w:start w:val="1"/>
      <w:numFmt w:val="none"/>
      <w:lvlText w:val=""/>
      <w:lvlJc w:val="left"/>
      <w:pPr>
        <w:ind w:left="3240" w:hanging="360"/>
      </w:pPr>
      <w:rPr>
        <w:rFonts w:hint="default"/>
      </w:rPr>
    </w:lvl>
    <w:lvl w:ilvl="8" w:tplc="B67E750E">
      <w:start w:val="1"/>
      <w:numFmt w:val="none"/>
      <w:lvlText w:val=""/>
      <w:lvlJc w:val="left"/>
      <w:pPr>
        <w:ind w:left="3600" w:hanging="360"/>
      </w:pPr>
      <w:rPr>
        <w:rFonts w:hint="default"/>
      </w:rPr>
    </w:lvl>
  </w:abstractNum>
  <w:abstractNum w:abstractNumId="7" w15:restartNumberingAfterBreak="0">
    <w:nsid w:val="14181C02"/>
    <w:multiLevelType w:val="singleLevel"/>
    <w:tmpl w:val="B4EC40C4"/>
    <w:name w:val="TableNoteAlpha"/>
    <w:lvl w:ilvl="0">
      <w:start w:val="1"/>
      <w:numFmt w:val="lowerLetter"/>
      <w:suff w:val="nothing"/>
      <w:lvlText w:val="%1"/>
      <w:lvlJc w:val="left"/>
      <w:pPr>
        <w:tabs>
          <w:tab w:val="num" w:pos="720"/>
        </w:tabs>
        <w:ind w:left="720" w:hanging="360"/>
      </w:pPr>
    </w:lvl>
  </w:abstractNum>
  <w:abstractNum w:abstractNumId="8" w15:restartNumberingAfterBreak="0">
    <w:nsid w:val="222C2328"/>
    <w:multiLevelType w:val="multilevel"/>
    <w:tmpl w:val="0409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9" w15:restartNumberingAfterBreak="0">
    <w:nsid w:val="2497758C"/>
    <w:multiLevelType w:val="hybridMultilevel"/>
    <w:tmpl w:val="016AAAE6"/>
    <w:lvl w:ilvl="0" w:tplc="D93EBD12">
      <w:start w:val="1"/>
      <w:numFmt w:val="decimal"/>
      <w:pStyle w:val="C-AppendixNumbered"/>
      <w:lvlText w:val="Appendix %1."/>
      <w:lvlJc w:val="left"/>
      <w:pPr>
        <w:ind w:left="135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15:restartNumberingAfterBreak="0">
    <w:nsid w:val="263C7592"/>
    <w:multiLevelType w:val="hybridMultilevel"/>
    <w:tmpl w:val="5A1C4E5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DC4295"/>
    <w:multiLevelType w:val="hybridMultilevel"/>
    <w:tmpl w:val="192E8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F0505F6"/>
    <w:multiLevelType w:val="hybridMultilevel"/>
    <w:tmpl w:val="9A58AE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D235D6"/>
    <w:multiLevelType w:val="hybridMultilevel"/>
    <w:tmpl w:val="3B26854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7641A9"/>
    <w:multiLevelType w:val="multilevel"/>
    <w:tmpl w:val="268040E8"/>
    <w:lvl w:ilvl="0">
      <w:start w:val="1"/>
      <w:numFmt w:val="decimal"/>
      <w:pStyle w:val="C-Heading1"/>
      <w:lvlText w:val="%1."/>
      <w:lvlJc w:val="left"/>
      <w:pPr>
        <w:tabs>
          <w:tab w:val="num" w:pos="1080"/>
        </w:tabs>
        <w:ind w:left="1080" w:hanging="1080"/>
      </w:pPr>
      <w:rPr>
        <w:rFonts w:hint="default"/>
      </w:rPr>
    </w:lvl>
    <w:lvl w:ilvl="1">
      <w:start w:val="1"/>
      <w:numFmt w:val="decimal"/>
      <w:pStyle w:val="C-Heading2"/>
      <w:lvlText w:val="%1.%2."/>
      <w:lvlJc w:val="left"/>
      <w:pPr>
        <w:tabs>
          <w:tab w:val="num" w:pos="1080"/>
        </w:tabs>
        <w:ind w:left="1080" w:hanging="1080"/>
      </w:pPr>
      <w:rPr>
        <w:rFonts w:hint="default"/>
      </w:rPr>
    </w:lvl>
    <w:lvl w:ilvl="2">
      <w:start w:val="1"/>
      <w:numFmt w:val="decimal"/>
      <w:pStyle w:val="C-Heading3"/>
      <w:lvlText w:val="%1.%2.%3."/>
      <w:lvlJc w:val="left"/>
      <w:pPr>
        <w:tabs>
          <w:tab w:val="num" w:pos="1080"/>
        </w:tabs>
        <w:ind w:left="1080" w:hanging="1080"/>
      </w:pPr>
      <w:rPr>
        <w:rFonts w:hint="default"/>
      </w:rPr>
    </w:lvl>
    <w:lvl w:ilvl="3">
      <w:start w:val="1"/>
      <w:numFmt w:val="decimal"/>
      <w:pStyle w:val="C-Heading4"/>
      <w:lvlText w:val="%1.%2.%3.%4."/>
      <w:lvlJc w:val="left"/>
      <w:pPr>
        <w:tabs>
          <w:tab w:val="num" w:pos="1080"/>
        </w:tabs>
        <w:ind w:left="1080" w:hanging="1080"/>
      </w:pPr>
      <w:rPr>
        <w:rFonts w:hint="default"/>
      </w:rPr>
    </w:lvl>
    <w:lvl w:ilvl="4">
      <w:start w:val="1"/>
      <w:numFmt w:val="decimal"/>
      <w:pStyle w:val="C-Heading5"/>
      <w:lvlText w:val="%1.%2.%3.%4.%5."/>
      <w:lvlJc w:val="left"/>
      <w:pPr>
        <w:tabs>
          <w:tab w:val="num" w:pos="1080"/>
        </w:tabs>
        <w:ind w:left="1080" w:hanging="1080"/>
      </w:pPr>
      <w:rPr>
        <w:rFonts w:hint="default"/>
      </w:rPr>
    </w:lvl>
    <w:lvl w:ilvl="5">
      <w:start w:val="1"/>
      <w:numFmt w:val="decimal"/>
      <w:pStyle w:val="C-Heading6"/>
      <w:lvlText w:val="%1.%2.%3.%4.%5.%6."/>
      <w:lvlJc w:val="left"/>
      <w:pPr>
        <w:tabs>
          <w:tab w:val="num" w:pos="1080"/>
        </w:tabs>
        <w:ind w:left="1080" w:hanging="1080"/>
      </w:pPr>
      <w:rPr>
        <w:rFonts w:hint="default"/>
      </w:rPr>
    </w:lvl>
    <w:lvl w:ilvl="6">
      <w:start w:val="1"/>
      <w:numFmt w:val="decimal"/>
      <w:lvlText w:val="%1.%2.%3.%4.%5.%6.%7."/>
      <w:lvlJc w:val="left"/>
      <w:pPr>
        <w:tabs>
          <w:tab w:val="num" w:pos="1800"/>
        </w:tabs>
        <w:ind w:left="1080" w:hanging="1080"/>
      </w:pPr>
      <w:rPr>
        <w:rFonts w:hint="default"/>
      </w:rPr>
    </w:lvl>
    <w:lvl w:ilvl="7">
      <w:start w:val="1"/>
      <w:numFmt w:val="decimal"/>
      <w:lvlText w:val="%1.%2.%3.%4.%5.%6.%7.%8."/>
      <w:lvlJc w:val="left"/>
      <w:pPr>
        <w:tabs>
          <w:tab w:val="num" w:pos="1440"/>
        </w:tabs>
        <w:ind w:left="1080" w:hanging="1080"/>
      </w:pPr>
      <w:rPr>
        <w:rFonts w:hint="default"/>
      </w:rPr>
    </w:lvl>
    <w:lvl w:ilvl="8">
      <w:start w:val="1"/>
      <w:numFmt w:val="decimal"/>
      <w:lvlText w:val="%1.%2.%3.%4.%5.%6.%7.%8.%9."/>
      <w:lvlJc w:val="left"/>
      <w:pPr>
        <w:tabs>
          <w:tab w:val="num" w:pos="2160"/>
        </w:tabs>
        <w:ind w:left="1080" w:hanging="1080"/>
      </w:pPr>
      <w:rPr>
        <w:rFonts w:hint="default"/>
      </w:rPr>
    </w:lvl>
  </w:abstractNum>
  <w:abstractNum w:abstractNumId="15" w15:restartNumberingAfterBreak="0">
    <w:nsid w:val="40A37A97"/>
    <w:multiLevelType w:val="hybridMultilevel"/>
    <w:tmpl w:val="77B6E4AE"/>
    <w:lvl w:ilvl="0" w:tplc="42784AB4">
      <w:start w:val="1"/>
      <w:numFmt w:val="bullet"/>
      <w:pStyle w:val="C-PLR-BulletIndented"/>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1D37F6B"/>
    <w:multiLevelType w:val="hybridMultilevel"/>
    <w:tmpl w:val="2AD21F84"/>
    <w:lvl w:ilvl="0" w:tplc="2D441176">
      <w:start w:val="1"/>
      <w:numFmt w:val="bullet"/>
      <w:pStyle w:val="TableText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2B557A9"/>
    <w:multiLevelType w:val="hybridMultilevel"/>
    <w:tmpl w:val="2184087E"/>
    <w:styleLink w:val="CPTB"/>
    <w:lvl w:ilvl="0" w:tplc="115C4C4C">
      <w:start w:val="1"/>
      <w:numFmt w:val="bullet"/>
      <w:pStyle w:val="CPTListBullet"/>
      <w:lvlText w:val=""/>
      <w:lvlJc w:val="left"/>
      <w:pPr>
        <w:ind w:left="720" w:hanging="360"/>
      </w:pPr>
      <w:rPr>
        <w:rFonts w:ascii="Symbol" w:hAnsi="Symbol" w:hint="default"/>
      </w:rPr>
    </w:lvl>
    <w:lvl w:ilvl="1" w:tplc="4DB0E18A">
      <w:start w:val="1"/>
      <w:numFmt w:val="bullet"/>
      <w:lvlText w:val="o"/>
      <w:lvlJc w:val="left"/>
      <w:pPr>
        <w:ind w:left="1080" w:hanging="360"/>
      </w:pPr>
      <w:rPr>
        <w:rFonts w:ascii="Courier New" w:hAnsi="Courier New" w:hint="default"/>
      </w:rPr>
    </w:lvl>
    <w:lvl w:ilvl="2" w:tplc="0EBA797A">
      <w:start w:val="1"/>
      <w:numFmt w:val="bullet"/>
      <w:lvlText w:val=""/>
      <w:lvlJc w:val="left"/>
      <w:pPr>
        <w:ind w:left="1440" w:hanging="360"/>
      </w:pPr>
      <w:rPr>
        <w:rFonts w:ascii="Wingdings" w:hAnsi="Wingdings" w:hint="default"/>
      </w:rPr>
    </w:lvl>
    <w:lvl w:ilvl="3" w:tplc="9CBA3476">
      <w:start w:val="1"/>
      <w:numFmt w:val="bullet"/>
      <w:lvlText w:val=""/>
      <w:lvlJc w:val="left"/>
      <w:pPr>
        <w:ind w:left="1800" w:hanging="360"/>
      </w:pPr>
      <w:rPr>
        <w:rFonts w:ascii="Wingdings" w:hAnsi="Wingdings" w:hint="default"/>
      </w:rPr>
    </w:lvl>
    <w:lvl w:ilvl="4" w:tplc="E1622A10">
      <w:start w:val="1"/>
      <w:numFmt w:val="bullet"/>
      <w:lvlText w:val=""/>
      <w:lvlJc w:val="left"/>
      <w:pPr>
        <w:ind w:left="2160" w:hanging="360"/>
      </w:pPr>
      <w:rPr>
        <w:rFonts w:ascii="Symbol" w:hAnsi="Symbol" w:hint="default"/>
      </w:rPr>
    </w:lvl>
    <w:lvl w:ilvl="5" w:tplc="EDD46D20">
      <w:start w:val="1"/>
      <w:numFmt w:val="bullet"/>
      <w:lvlText w:val=""/>
      <w:lvlJc w:val="left"/>
      <w:pPr>
        <w:ind w:left="2520" w:hanging="360"/>
      </w:pPr>
      <w:rPr>
        <w:rFonts w:ascii="Wingdings" w:hAnsi="Wingdings" w:hint="default"/>
      </w:rPr>
    </w:lvl>
    <w:lvl w:ilvl="6" w:tplc="D4E04B42">
      <w:start w:val="1"/>
      <w:numFmt w:val="bullet"/>
      <w:lvlText w:val=""/>
      <w:lvlJc w:val="left"/>
      <w:pPr>
        <w:ind w:left="2880" w:hanging="360"/>
      </w:pPr>
      <w:rPr>
        <w:rFonts w:ascii="Wingdings" w:hAnsi="Wingdings" w:hint="default"/>
      </w:rPr>
    </w:lvl>
    <w:lvl w:ilvl="7" w:tplc="8B56F688">
      <w:start w:val="1"/>
      <w:numFmt w:val="bullet"/>
      <w:lvlText w:val=""/>
      <w:lvlJc w:val="left"/>
      <w:pPr>
        <w:ind w:left="3240" w:hanging="360"/>
      </w:pPr>
      <w:rPr>
        <w:rFonts w:ascii="Symbol" w:hAnsi="Symbol" w:hint="default"/>
      </w:rPr>
    </w:lvl>
    <w:lvl w:ilvl="8" w:tplc="6226A3FE">
      <w:start w:val="1"/>
      <w:numFmt w:val="bullet"/>
      <w:lvlText w:val=""/>
      <w:lvlJc w:val="left"/>
      <w:pPr>
        <w:ind w:left="3600" w:hanging="360"/>
      </w:pPr>
      <w:rPr>
        <w:rFonts w:ascii="Symbol" w:hAnsi="Symbol" w:hint="default"/>
      </w:rPr>
    </w:lvl>
  </w:abstractNum>
  <w:abstractNum w:abstractNumId="18" w15:restartNumberingAfterBreak="0">
    <w:nsid w:val="49C54B39"/>
    <w:multiLevelType w:val="multilevel"/>
    <w:tmpl w:val="F2F66A26"/>
    <w:lvl w:ilvl="0">
      <w:start w:val="1"/>
      <w:numFmt w:val="decimal"/>
      <w:pStyle w:val="C-NumberedList"/>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u w:val="none"/>
        <w:vertAlign w:val="baseline"/>
      </w:rPr>
    </w:lvl>
    <w:lvl w:ilvl="1">
      <w:start w:val="1"/>
      <w:numFmt w:val="lowerLetter"/>
      <w:pStyle w:val="C-AlphabeticList"/>
      <w:lvlText w:val="%2."/>
      <w:lvlJc w:val="left"/>
      <w:pPr>
        <w:tabs>
          <w:tab w:val="num" w:pos="1080"/>
        </w:tabs>
        <w:ind w:left="1080" w:hanging="360"/>
      </w:pPr>
      <w:rPr>
        <w:rFonts w:hint="default"/>
      </w:rPr>
    </w:lvl>
    <w:lvl w:ilvl="2">
      <w:start w:val="1"/>
      <w:numFmt w:val="lowerLetter"/>
      <w:lvlText w:val="%3."/>
      <w:lvlJc w:val="left"/>
      <w:pPr>
        <w:tabs>
          <w:tab w:val="num" w:pos="1080"/>
        </w:tabs>
        <w:ind w:left="1080" w:hanging="360"/>
      </w:pPr>
      <w:rPr>
        <w:rFonts w:hint="default"/>
      </w:rPr>
    </w:lvl>
    <w:lvl w:ilvl="3">
      <w:start w:val="1"/>
      <w:numFmt w:val="lowerLetter"/>
      <w:lvlText w:val="%4."/>
      <w:lvlJc w:val="left"/>
      <w:pPr>
        <w:tabs>
          <w:tab w:val="num" w:pos="1080"/>
        </w:tabs>
        <w:ind w:left="1080" w:hanging="360"/>
      </w:pPr>
      <w:rPr>
        <w:rFonts w:hint="default"/>
      </w:rPr>
    </w:lvl>
    <w:lvl w:ilvl="4">
      <w:start w:val="1"/>
      <w:numFmt w:val="lowerLetter"/>
      <w:lvlText w:val="%5."/>
      <w:lvlJc w:val="left"/>
      <w:pPr>
        <w:tabs>
          <w:tab w:val="num" w:pos="1080"/>
        </w:tabs>
        <w:ind w:left="1080" w:hanging="360"/>
      </w:pPr>
      <w:rPr>
        <w:rFonts w:hint="default"/>
      </w:rPr>
    </w:lvl>
    <w:lvl w:ilvl="5">
      <w:start w:val="1"/>
      <w:numFmt w:val="lowerLetter"/>
      <w:lvlText w:val="%6."/>
      <w:lvlJc w:val="left"/>
      <w:pPr>
        <w:tabs>
          <w:tab w:val="num" w:pos="1080"/>
        </w:tabs>
        <w:ind w:left="1080" w:hanging="360"/>
      </w:pPr>
      <w:rPr>
        <w:rFonts w:hint="default"/>
      </w:rPr>
    </w:lvl>
    <w:lvl w:ilvl="6">
      <w:start w:val="1"/>
      <w:numFmt w:val="lowerLetter"/>
      <w:lvlText w:val="%7."/>
      <w:lvlJc w:val="left"/>
      <w:pPr>
        <w:tabs>
          <w:tab w:val="num" w:pos="1080"/>
        </w:tabs>
        <w:ind w:left="1080" w:hanging="360"/>
      </w:pPr>
      <w:rPr>
        <w:rFonts w:hint="default"/>
      </w:rPr>
    </w:lvl>
    <w:lvl w:ilvl="7">
      <w:start w:val="1"/>
      <w:numFmt w:val="lowerLetter"/>
      <w:lvlText w:val="%8."/>
      <w:lvlJc w:val="left"/>
      <w:pPr>
        <w:tabs>
          <w:tab w:val="num" w:pos="1080"/>
        </w:tabs>
        <w:ind w:left="1080" w:hanging="360"/>
      </w:pPr>
      <w:rPr>
        <w:rFonts w:hint="default"/>
      </w:rPr>
    </w:lvl>
    <w:lvl w:ilvl="8">
      <w:start w:val="1"/>
      <w:numFmt w:val="lowerLetter"/>
      <w:lvlText w:val="%9."/>
      <w:lvlJc w:val="left"/>
      <w:pPr>
        <w:tabs>
          <w:tab w:val="num" w:pos="1080"/>
        </w:tabs>
        <w:ind w:left="1080" w:hanging="360"/>
      </w:pPr>
      <w:rPr>
        <w:rFonts w:hint="default"/>
      </w:rPr>
    </w:lvl>
  </w:abstractNum>
  <w:abstractNum w:abstractNumId="19" w15:restartNumberingAfterBreak="0">
    <w:nsid w:val="50D0080E"/>
    <w:multiLevelType w:val="multilevel"/>
    <w:tmpl w:val="F2F66A26"/>
    <w:styleLink w:val="SPNumberedTabs"/>
    <w:lvl w:ilvl="0">
      <w:start w:val="1"/>
      <w:numFmt w:val="decimal"/>
      <w:lvlText w:val="%1."/>
      <w:lvlJc w:val="left"/>
      <w:pPr>
        <w:tabs>
          <w:tab w:val="num" w:pos="720"/>
        </w:tabs>
        <w:ind w:left="720" w:hanging="360"/>
      </w:pPr>
      <w:rPr>
        <w:rFonts w:ascii="Times New Roman" w:hAnsi="Times New Roman" w:hint="default"/>
        <w:b w:val="0"/>
        <w:i w:val="0"/>
        <w:caps w:val="0"/>
        <w:strike w:val="0"/>
        <w:dstrike w:val="0"/>
        <w:outline w:val="0"/>
        <w:shadow w:val="0"/>
        <w:emboss w:val="0"/>
        <w:imprint w:val="0"/>
        <w:vanish w:val="0"/>
        <w:color w:val="auto"/>
        <w:sz w:val="24"/>
        <w:u w:val="none"/>
        <w:vertAlign w:val="baseline"/>
      </w:rPr>
    </w:lvl>
    <w:lvl w:ilvl="1">
      <w:start w:val="1"/>
      <w:numFmt w:val="lowerLetter"/>
      <w:lvlText w:val="%2."/>
      <w:lvlJc w:val="left"/>
      <w:pPr>
        <w:tabs>
          <w:tab w:val="num" w:pos="1080"/>
        </w:tabs>
        <w:ind w:left="1080" w:hanging="360"/>
      </w:pPr>
      <w:rPr>
        <w:rFonts w:hint="default"/>
      </w:rPr>
    </w:lvl>
    <w:lvl w:ilvl="2">
      <w:start w:val="1"/>
      <w:numFmt w:val="lowerLetter"/>
      <w:lvlText w:val="%3."/>
      <w:lvlJc w:val="left"/>
      <w:pPr>
        <w:tabs>
          <w:tab w:val="num" w:pos="1080"/>
        </w:tabs>
        <w:ind w:left="1080" w:hanging="360"/>
      </w:pPr>
      <w:rPr>
        <w:rFonts w:hint="default"/>
      </w:rPr>
    </w:lvl>
    <w:lvl w:ilvl="3">
      <w:start w:val="1"/>
      <w:numFmt w:val="lowerLetter"/>
      <w:lvlText w:val="%4."/>
      <w:lvlJc w:val="left"/>
      <w:pPr>
        <w:tabs>
          <w:tab w:val="num" w:pos="1080"/>
        </w:tabs>
        <w:ind w:left="1080" w:hanging="360"/>
      </w:pPr>
      <w:rPr>
        <w:rFonts w:hint="default"/>
      </w:rPr>
    </w:lvl>
    <w:lvl w:ilvl="4">
      <w:start w:val="1"/>
      <w:numFmt w:val="lowerLetter"/>
      <w:lvlText w:val="%5."/>
      <w:lvlJc w:val="left"/>
      <w:pPr>
        <w:tabs>
          <w:tab w:val="num" w:pos="1080"/>
        </w:tabs>
        <w:ind w:left="1080" w:hanging="360"/>
      </w:pPr>
      <w:rPr>
        <w:rFonts w:hint="default"/>
      </w:rPr>
    </w:lvl>
    <w:lvl w:ilvl="5">
      <w:start w:val="1"/>
      <w:numFmt w:val="lowerLetter"/>
      <w:lvlText w:val="%6."/>
      <w:lvlJc w:val="left"/>
      <w:pPr>
        <w:tabs>
          <w:tab w:val="num" w:pos="1080"/>
        </w:tabs>
        <w:ind w:left="1080" w:hanging="360"/>
      </w:pPr>
      <w:rPr>
        <w:rFonts w:hint="default"/>
      </w:rPr>
    </w:lvl>
    <w:lvl w:ilvl="6">
      <w:start w:val="1"/>
      <w:numFmt w:val="lowerLetter"/>
      <w:lvlText w:val="%7."/>
      <w:lvlJc w:val="left"/>
      <w:pPr>
        <w:tabs>
          <w:tab w:val="num" w:pos="1080"/>
        </w:tabs>
        <w:ind w:left="1080" w:hanging="360"/>
      </w:pPr>
      <w:rPr>
        <w:rFonts w:hint="default"/>
      </w:rPr>
    </w:lvl>
    <w:lvl w:ilvl="7">
      <w:start w:val="1"/>
      <w:numFmt w:val="lowerLetter"/>
      <w:lvlText w:val="%8."/>
      <w:lvlJc w:val="left"/>
      <w:pPr>
        <w:tabs>
          <w:tab w:val="num" w:pos="1080"/>
        </w:tabs>
        <w:ind w:left="1080" w:hanging="360"/>
      </w:pPr>
      <w:rPr>
        <w:rFonts w:hint="default"/>
      </w:rPr>
    </w:lvl>
    <w:lvl w:ilvl="8">
      <w:start w:val="1"/>
      <w:numFmt w:val="lowerLetter"/>
      <w:lvlText w:val="%9."/>
      <w:lvlJc w:val="left"/>
      <w:pPr>
        <w:tabs>
          <w:tab w:val="num" w:pos="1080"/>
        </w:tabs>
        <w:ind w:left="1080" w:hanging="360"/>
      </w:pPr>
      <w:rPr>
        <w:rFonts w:hint="default"/>
      </w:rPr>
    </w:lvl>
  </w:abstractNum>
  <w:abstractNum w:abstractNumId="20" w15:restartNumberingAfterBreak="0">
    <w:nsid w:val="51572BE2"/>
    <w:multiLevelType w:val="hybridMultilevel"/>
    <w:tmpl w:val="93B4FE36"/>
    <w:lvl w:ilvl="0" w:tplc="0409000B">
      <w:start w:val="148"/>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CD67E6"/>
    <w:multiLevelType w:val="multilevel"/>
    <w:tmpl w:val="0FC8E5A8"/>
    <w:lvl w:ilvl="0">
      <w:start w:val="1"/>
      <w:numFmt w:val="decimal"/>
      <w:pStyle w:val="C-PLR-Heading1"/>
      <w:lvlText w:val="%1."/>
      <w:lvlJc w:val="left"/>
      <w:pPr>
        <w:tabs>
          <w:tab w:val="num" w:pos="1080"/>
        </w:tabs>
        <w:ind w:left="1080" w:hanging="1080"/>
      </w:pPr>
      <w:rPr>
        <w:rFonts w:hint="default"/>
      </w:rPr>
    </w:lvl>
    <w:lvl w:ilvl="1">
      <w:start w:val="1"/>
      <w:numFmt w:val="decimal"/>
      <w:pStyle w:val="C-PLR-Heading2"/>
      <w:lvlText w:val="%1.%2."/>
      <w:lvlJc w:val="left"/>
      <w:pPr>
        <w:tabs>
          <w:tab w:val="num" w:pos="1080"/>
        </w:tabs>
        <w:ind w:left="1080" w:hanging="1080"/>
      </w:pPr>
      <w:rPr>
        <w:rFonts w:hint="default"/>
      </w:rPr>
    </w:lvl>
    <w:lvl w:ilvl="2">
      <w:start w:val="1"/>
      <w:numFmt w:val="decimal"/>
      <w:pStyle w:val="C-PLR-Heading3"/>
      <w:lvlText w:val="%1.%2.%3."/>
      <w:lvlJc w:val="left"/>
      <w:pPr>
        <w:tabs>
          <w:tab w:val="num" w:pos="1080"/>
        </w:tabs>
        <w:ind w:left="1080" w:hanging="1080"/>
      </w:pPr>
      <w:rPr>
        <w:rFonts w:hint="default"/>
      </w:rPr>
    </w:lvl>
    <w:lvl w:ilvl="3">
      <w:start w:val="1"/>
      <w:numFmt w:val="decimal"/>
      <w:pStyle w:val="C-PLR-Heading4"/>
      <w:lvlText w:val="%1.%2.%3.%4."/>
      <w:lvlJc w:val="left"/>
      <w:pPr>
        <w:tabs>
          <w:tab w:val="num" w:pos="1080"/>
        </w:tabs>
        <w:ind w:left="1080" w:hanging="1080"/>
      </w:pPr>
      <w:rPr>
        <w:rFonts w:hint="default"/>
      </w:rPr>
    </w:lvl>
    <w:lvl w:ilvl="4">
      <w:start w:val="1"/>
      <w:numFmt w:val="decimal"/>
      <w:pStyle w:val="C-PLR-Heading5"/>
      <w:lvlText w:val="%1.%2.%3.%4.%5."/>
      <w:lvlJc w:val="left"/>
      <w:pPr>
        <w:tabs>
          <w:tab w:val="num" w:pos="1080"/>
        </w:tabs>
        <w:ind w:left="1080" w:hanging="1080"/>
      </w:pPr>
      <w:rPr>
        <w:rFonts w:hint="default"/>
      </w:rPr>
    </w:lvl>
    <w:lvl w:ilvl="5">
      <w:start w:val="1"/>
      <w:numFmt w:val="decimal"/>
      <w:pStyle w:val="C-PLR-Heading6"/>
      <w:lvlText w:val="%1.%2.%3.%4.%5.%6."/>
      <w:lvlJc w:val="left"/>
      <w:pPr>
        <w:tabs>
          <w:tab w:val="num" w:pos="1080"/>
        </w:tabs>
        <w:ind w:left="1080" w:hanging="1080"/>
      </w:pPr>
      <w:rPr>
        <w:rFonts w:hint="default"/>
      </w:rPr>
    </w:lvl>
    <w:lvl w:ilvl="6">
      <w:start w:val="1"/>
      <w:numFmt w:val="decimal"/>
      <w:lvlText w:val="%1.%2.%3.%4.%5.%6.%7."/>
      <w:lvlJc w:val="left"/>
      <w:pPr>
        <w:tabs>
          <w:tab w:val="num" w:pos="1800"/>
        </w:tabs>
        <w:ind w:left="1080" w:hanging="1080"/>
      </w:pPr>
      <w:rPr>
        <w:rFonts w:hint="default"/>
      </w:rPr>
    </w:lvl>
    <w:lvl w:ilvl="7">
      <w:start w:val="1"/>
      <w:numFmt w:val="decimal"/>
      <w:lvlText w:val="%1.%2.%3.%4.%5.%6.%7.%8."/>
      <w:lvlJc w:val="left"/>
      <w:pPr>
        <w:tabs>
          <w:tab w:val="num" w:pos="1440"/>
        </w:tabs>
        <w:ind w:left="1080" w:hanging="1080"/>
      </w:pPr>
      <w:rPr>
        <w:rFonts w:hint="default"/>
      </w:rPr>
    </w:lvl>
    <w:lvl w:ilvl="8">
      <w:start w:val="1"/>
      <w:numFmt w:val="decimal"/>
      <w:lvlText w:val="%1.%2.%3.%4.%5.%6.%7.%8.%9."/>
      <w:lvlJc w:val="left"/>
      <w:pPr>
        <w:tabs>
          <w:tab w:val="num" w:pos="2160"/>
        </w:tabs>
        <w:ind w:left="1080" w:hanging="1080"/>
      </w:pPr>
      <w:rPr>
        <w:rFonts w:hint="default"/>
      </w:rPr>
    </w:lvl>
  </w:abstractNum>
  <w:abstractNum w:abstractNumId="22" w15:restartNumberingAfterBreak="0">
    <w:nsid w:val="539D6478"/>
    <w:multiLevelType w:val="multilevel"/>
    <w:tmpl w:val="88DCF0C0"/>
    <w:styleLink w:val="SPBulletTabs"/>
    <w:lvl w:ilvl="0">
      <w:start w:val="1"/>
      <w:numFmt w:val="bullet"/>
      <w:lvlText w:val=""/>
      <w:lvlJc w:val="left"/>
      <w:pPr>
        <w:tabs>
          <w:tab w:val="num" w:pos="1080"/>
        </w:tabs>
        <w:ind w:left="720" w:firstLine="0"/>
      </w:pPr>
      <w:rPr>
        <w:rFonts w:ascii="Symbol" w:hAnsi="Symbol" w:hint="default"/>
        <w:sz w:val="24"/>
      </w:rPr>
    </w:lvl>
    <w:lvl w:ilvl="1">
      <w:start w:val="1"/>
      <w:numFmt w:val="bullet"/>
      <w:lvlText w:val=""/>
      <w:lvlJc w:val="left"/>
      <w:pPr>
        <w:tabs>
          <w:tab w:val="num" w:pos="1440"/>
        </w:tabs>
        <w:ind w:left="1080" w:firstLine="0"/>
      </w:pPr>
      <w:rPr>
        <w:rFonts w:ascii="Symbol" w:hAnsi="Symbol" w:hint="default"/>
      </w:rPr>
    </w:lvl>
    <w:lvl w:ilvl="2">
      <w:start w:val="1"/>
      <w:numFmt w:val="bullet"/>
      <w:lvlText w:val=""/>
      <w:lvlJc w:val="left"/>
      <w:pPr>
        <w:ind w:left="1080" w:firstLine="0"/>
      </w:pPr>
      <w:rPr>
        <w:rFonts w:ascii="Symbol" w:hAnsi="Symbol" w:hint="default"/>
      </w:rPr>
    </w:lvl>
    <w:lvl w:ilvl="3">
      <w:start w:val="1"/>
      <w:numFmt w:val="bullet"/>
      <w:lvlText w:val=""/>
      <w:lvlJc w:val="left"/>
      <w:pPr>
        <w:ind w:left="1080" w:firstLine="0"/>
      </w:pPr>
      <w:rPr>
        <w:rFonts w:ascii="Symbol" w:hAnsi="Symbol" w:hint="default"/>
      </w:rPr>
    </w:lvl>
    <w:lvl w:ilvl="4">
      <w:start w:val="1"/>
      <w:numFmt w:val="bullet"/>
      <w:lvlText w:val=""/>
      <w:lvlJc w:val="left"/>
      <w:pPr>
        <w:ind w:left="1080" w:firstLine="0"/>
      </w:pPr>
      <w:rPr>
        <w:rFonts w:ascii="Symbol" w:hAnsi="Symbol" w:hint="default"/>
      </w:rPr>
    </w:lvl>
    <w:lvl w:ilvl="5">
      <w:start w:val="1"/>
      <w:numFmt w:val="bullet"/>
      <w:lvlText w:val=""/>
      <w:lvlJc w:val="left"/>
      <w:pPr>
        <w:ind w:left="1080" w:firstLine="0"/>
      </w:pPr>
      <w:rPr>
        <w:rFonts w:ascii="Symbol" w:hAnsi="Symbol" w:hint="default"/>
      </w:rPr>
    </w:lvl>
    <w:lvl w:ilvl="6">
      <w:start w:val="1"/>
      <w:numFmt w:val="bullet"/>
      <w:lvlText w:val=""/>
      <w:lvlJc w:val="left"/>
      <w:pPr>
        <w:ind w:left="1080" w:firstLine="0"/>
      </w:pPr>
      <w:rPr>
        <w:rFonts w:ascii="Symbol" w:hAnsi="Symbol" w:hint="default"/>
      </w:rPr>
    </w:lvl>
    <w:lvl w:ilvl="7">
      <w:start w:val="1"/>
      <w:numFmt w:val="bullet"/>
      <w:lvlText w:val=""/>
      <w:lvlJc w:val="left"/>
      <w:pPr>
        <w:ind w:left="1080" w:firstLine="0"/>
      </w:pPr>
      <w:rPr>
        <w:rFonts w:ascii="Symbol" w:hAnsi="Symbol" w:hint="default"/>
      </w:rPr>
    </w:lvl>
    <w:lvl w:ilvl="8">
      <w:start w:val="1"/>
      <w:numFmt w:val="bullet"/>
      <w:lvlText w:val=""/>
      <w:lvlJc w:val="left"/>
      <w:pPr>
        <w:ind w:left="1080" w:firstLine="0"/>
      </w:pPr>
      <w:rPr>
        <w:rFonts w:ascii="Symbol" w:hAnsi="Symbol" w:hint="default"/>
      </w:rPr>
    </w:lvl>
  </w:abstractNum>
  <w:abstractNum w:abstractNumId="23" w15:restartNumberingAfterBreak="0">
    <w:nsid w:val="595C584B"/>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61A36F2D"/>
    <w:multiLevelType w:val="hybridMultilevel"/>
    <w:tmpl w:val="9EDE12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4BA0305"/>
    <w:multiLevelType w:val="multilevel"/>
    <w:tmpl w:val="0082FB4E"/>
    <w:lvl w:ilvl="0">
      <w:start w:val="1"/>
      <w:numFmt w:val="bullet"/>
      <w:lvlText w:val=""/>
      <w:lvlJc w:val="left"/>
      <w:pPr>
        <w:tabs>
          <w:tab w:val="num" w:pos="1080"/>
        </w:tabs>
        <w:ind w:left="1080" w:hanging="360"/>
      </w:pPr>
      <w:rPr>
        <w:rFonts w:ascii="Symbol" w:hAnsi="Symbol" w:hint="default"/>
        <w:sz w:val="24"/>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ind w:left="1080" w:firstLine="0"/>
      </w:pPr>
      <w:rPr>
        <w:rFonts w:ascii="Symbol" w:hAnsi="Symbol" w:hint="default"/>
      </w:rPr>
    </w:lvl>
    <w:lvl w:ilvl="3">
      <w:start w:val="1"/>
      <w:numFmt w:val="bullet"/>
      <w:lvlText w:val="•"/>
      <w:lvlJc w:val="left"/>
      <w:pPr>
        <w:ind w:left="1080" w:firstLine="0"/>
      </w:pPr>
      <w:rPr>
        <w:rFonts w:ascii="Arial" w:hAnsi="Arial" w:hint="default"/>
      </w:rPr>
    </w:lvl>
    <w:lvl w:ilvl="4">
      <w:start w:val="1"/>
      <w:numFmt w:val="bullet"/>
      <w:lvlText w:val=""/>
      <w:lvlJc w:val="left"/>
      <w:pPr>
        <w:ind w:left="1080" w:firstLine="0"/>
      </w:pPr>
      <w:rPr>
        <w:rFonts w:ascii="Symbol" w:hAnsi="Symbol" w:hint="default"/>
      </w:rPr>
    </w:lvl>
    <w:lvl w:ilvl="5">
      <w:start w:val="1"/>
      <w:numFmt w:val="bullet"/>
      <w:lvlText w:val=""/>
      <w:lvlJc w:val="left"/>
      <w:pPr>
        <w:ind w:left="1080" w:firstLine="0"/>
      </w:pPr>
      <w:rPr>
        <w:rFonts w:ascii="Symbol" w:hAnsi="Symbol" w:hint="default"/>
      </w:rPr>
    </w:lvl>
    <w:lvl w:ilvl="6">
      <w:start w:val="1"/>
      <w:numFmt w:val="bullet"/>
      <w:lvlText w:val=""/>
      <w:lvlJc w:val="left"/>
      <w:pPr>
        <w:ind w:left="1080" w:firstLine="0"/>
      </w:pPr>
      <w:rPr>
        <w:rFonts w:ascii="Symbol" w:hAnsi="Symbol" w:hint="default"/>
      </w:rPr>
    </w:lvl>
    <w:lvl w:ilvl="7">
      <w:start w:val="1"/>
      <w:numFmt w:val="bullet"/>
      <w:lvlText w:val=""/>
      <w:lvlJc w:val="left"/>
      <w:pPr>
        <w:ind w:left="1080" w:firstLine="0"/>
      </w:pPr>
      <w:rPr>
        <w:rFonts w:ascii="Symbol" w:hAnsi="Symbol" w:hint="default"/>
      </w:rPr>
    </w:lvl>
    <w:lvl w:ilvl="8">
      <w:start w:val="1"/>
      <w:numFmt w:val="bullet"/>
      <w:lvlText w:val=""/>
      <w:lvlJc w:val="left"/>
      <w:pPr>
        <w:ind w:left="1080" w:firstLine="0"/>
      </w:pPr>
      <w:rPr>
        <w:rFonts w:ascii="Symbol" w:hAnsi="Symbol" w:hint="default"/>
      </w:rPr>
    </w:lvl>
  </w:abstractNum>
  <w:abstractNum w:abstractNumId="26" w15:restartNumberingAfterBreak="0">
    <w:nsid w:val="69B877FF"/>
    <w:multiLevelType w:val="multilevel"/>
    <w:tmpl w:val="BE42665A"/>
    <w:lvl w:ilvl="0">
      <w:start w:val="1"/>
      <w:numFmt w:val="bullet"/>
      <w:pStyle w:val="C-Bullet"/>
      <w:lvlText w:val=""/>
      <w:lvlJc w:val="left"/>
      <w:pPr>
        <w:tabs>
          <w:tab w:val="num" w:pos="1080"/>
        </w:tabs>
        <w:ind w:left="1080" w:hanging="360"/>
      </w:pPr>
      <w:rPr>
        <w:rFonts w:ascii="Symbol" w:hAnsi="Symbol" w:hint="default"/>
        <w:sz w:val="24"/>
      </w:rPr>
    </w:lvl>
    <w:lvl w:ilvl="1">
      <w:start w:val="1"/>
      <w:numFmt w:val="bullet"/>
      <w:pStyle w:val="C-BulletIndented"/>
      <w:lvlText w:val=""/>
      <w:lvlJc w:val="left"/>
      <w:pPr>
        <w:tabs>
          <w:tab w:val="num" w:pos="1440"/>
        </w:tabs>
        <w:ind w:left="1440" w:hanging="360"/>
      </w:pPr>
      <w:rPr>
        <w:rFonts w:ascii="Symbol" w:hAnsi="Symbol" w:hint="default"/>
      </w:rPr>
    </w:lvl>
    <w:lvl w:ilvl="2">
      <w:start w:val="1"/>
      <w:numFmt w:val="bullet"/>
      <w:lvlText w:val=""/>
      <w:lvlJc w:val="left"/>
      <w:pPr>
        <w:ind w:left="1080" w:firstLine="0"/>
      </w:pPr>
      <w:rPr>
        <w:rFonts w:ascii="Symbol" w:hAnsi="Symbol" w:hint="default"/>
      </w:rPr>
    </w:lvl>
    <w:lvl w:ilvl="3">
      <w:start w:val="1"/>
      <w:numFmt w:val="bullet"/>
      <w:lvlText w:val=""/>
      <w:lvlJc w:val="left"/>
      <w:pPr>
        <w:ind w:left="1080" w:firstLine="0"/>
      </w:pPr>
      <w:rPr>
        <w:rFonts w:ascii="Symbol" w:hAnsi="Symbol" w:hint="default"/>
      </w:rPr>
    </w:lvl>
    <w:lvl w:ilvl="4">
      <w:start w:val="1"/>
      <w:numFmt w:val="bullet"/>
      <w:lvlText w:val=""/>
      <w:lvlJc w:val="left"/>
      <w:pPr>
        <w:ind w:left="1080" w:firstLine="0"/>
      </w:pPr>
      <w:rPr>
        <w:rFonts w:ascii="Symbol" w:hAnsi="Symbol" w:hint="default"/>
      </w:rPr>
    </w:lvl>
    <w:lvl w:ilvl="5">
      <w:start w:val="1"/>
      <w:numFmt w:val="bullet"/>
      <w:lvlText w:val=""/>
      <w:lvlJc w:val="left"/>
      <w:pPr>
        <w:ind w:left="1080" w:firstLine="0"/>
      </w:pPr>
      <w:rPr>
        <w:rFonts w:ascii="Symbol" w:hAnsi="Symbol" w:hint="default"/>
      </w:rPr>
    </w:lvl>
    <w:lvl w:ilvl="6">
      <w:start w:val="1"/>
      <w:numFmt w:val="bullet"/>
      <w:lvlText w:val=""/>
      <w:lvlJc w:val="left"/>
      <w:pPr>
        <w:ind w:left="1080" w:firstLine="0"/>
      </w:pPr>
      <w:rPr>
        <w:rFonts w:ascii="Symbol" w:hAnsi="Symbol" w:hint="default"/>
      </w:rPr>
    </w:lvl>
    <w:lvl w:ilvl="7">
      <w:start w:val="1"/>
      <w:numFmt w:val="bullet"/>
      <w:lvlText w:val=""/>
      <w:lvlJc w:val="left"/>
      <w:pPr>
        <w:ind w:left="1080" w:firstLine="0"/>
      </w:pPr>
      <w:rPr>
        <w:rFonts w:ascii="Symbol" w:hAnsi="Symbol" w:hint="default"/>
      </w:rPr>
    </w:lvl>
    <w:lvl w:ilvl="8">
      <w:start w:val="1"/>
      <w:numFmt w:val="bullet"/>
      <w:lvlText w:val=""/>
      <w:lvlJc w:val="left"/>
      <w:pPr>
        <w:ind w:left="1080" w:firstLine="0"/>
      </w:pPr>
      <w:rPr>
        <w:rFonts w:ascii="Symbol" w:hAnsi="Symbol" w:hint="default"/>
      </w:rPr>
    </w:lvl>
  </w:abstractNum>
  <w:abstractNum w:abstractNumId="27" w15:restartNumberingAfterBreak="0">
    <w:nsid w:val="69E42151"/>
    <w:multiLevelType w:val="hybridMultilevel"/>
    <w:tmpl w:val="935CB0C6"/>
    <w:lvl w:ilvl="0" w:tplc="62D29A18">
      <w:start w:val="1"/>
      <w:numFmt w:val="bullet"/>
      <w:pStyle w:val="C-PLR-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B7420F3"/>
    <w:multiLevelType w:val="hybridMultilevel"/>
    <w:tmpl w:val="9B4C4EB4"/>
    <w:lvl w:ilvl="0" w:tplc="DC02EC18">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BDB75DA"/>
    <w:multiLevelType w:val="hybridMultilevel"/>
    <w:tmpl w:val="15023650"/>
    <w:lvl w:ilvl="0" w:tplc="8856ED3E">
      <w:start w:val="1"/>
      <w:numFmt w:val="decimal"/>
      <w:pStyle w:val="C-PLR-NumberedList"/>
      <w:lvlText w:val="%1."/>
      <w:lvlJc w:val="left"/>
      <w:pPr>
        <w:tabs>
          <w:tab w:val="num" w:pos="720"/>
        </w:tabs>
        <w:ind w:left="720" w:hanging="360"/>
      </w:pPr>
      <w:rPr>
        <w:rFonts w:hint="default"/>
        <w:sz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11035A3"/>
    <w:multiLevelType w:val="multilevel"/>
    <w:tmpl w:val="51DE486A"/>
    <w:lvl w:ilvl="0">
      <w:start w:val="1"/>
      <w:numFmt w:val="upperLetter"/>
      <w:pStyle w:val="C-Appendix"/>
      <w:lvlText w:val="Appendix %1."/>
      <w:lvlJc w:val="left"/>
      <w:pPr>
        <w:tabs>
          <w:tab w:val="num" w:pos="1987"/>
        </w:tabs>
        <w:ind w:left="1987" w:hanging="1987"/>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1" w15:restartNumberingAfterBreak="0">
    <w:nsid w:val="71675694"/>
    <w:multiLevelType w:val="hybridMultilevel"/>
    <w:tmpl w:val="0409001D"/>
    <w:styleLink w:val="1ai"/>
    <w:lvl w:ilvl="0" w:tplc="AB46192C">
      <w:start w:val="1"/>
      <w:numFmt w:val="decimal"/>
      <w:lvlText w:val="%1)"/>
      <w:lvlJc w:val="left"/>
      <w:pPr>
        <w:ind w:left="360" w:hanging="360"/>
      </w:pPr>
    </w:lvl>
    <w:lvl w:ilvl="1" w:tplc="374EF60A">
      <w:start w:val="1"/>
      <w:numFmt w:val="lowerLetter"/>
      <w:lvlText w:val="%2)"/>
      <w:lvlJc w:val="left"/>
      <w:pPr>
        <w:ind w:left="720" w:hanging="360"/>
      </w:pPr>
    </w:lvl>
    <w:lvl w:ilvl="2" w:tplc="8A3E0250">
      <w:start w:val="1"/>
      <w:numFmt w:val="lowerRoman"/>
      <w:lvlText w:val="%3)"/>
      <w:lvlJc w:val="left"/>
      <w:pPr>
        <w:ind w:left="1080" w:hanging="360"/>
      </w:pPr>
    </w:lvl>
    <w:lvl w:ilvl="3" w:tplc="FD72BB38">
      <w:start w:val="1"/>
      <w:numFmt w:val="decimal"/>
      <w:lvlText w:val="(%4)"/>
      <w:lvlJc w:val="left"/>
      <w:pPr>
        <w:ind w:left="1440" w:hanging="360"/>
      </w:pPr>
    </w:lvl>
    <w:lvl w:ilvl="4" w:tplc="C1B49B9C">
      <w:start w:val="1"/>
      <w:numFmt w:val="lowerLetter"/>
      <w:lvlText w:val="(%5)"/>
      <w:lvlJc w:val="left"/>
      <w:pPr>
        <w:ind w:left="1800" w:hanging="360"/>
      </w:pPr>
    </w:lvl>
    <w:lvl w:ilvl="5" w:tplc="544C71DC">
      <w:start w:val="1"/>
      <w:numFmt w:val="lowerRoman"/>
      <w:lvlText w:val="(%6)"/>
      <w:lvlJc w:val="left"/>
      <w:pPr>
        <w:ind w:left="2160" w:hanging="360"/>
      </w:pPr>
    </w:lvl>
    <w:lvl w:ilvl="6" w:tplc="9FD43314">
      <w:start w:val="1"/>
      <w:numFmt w:val="decimal"/>
      <w:lvlText w:val="%7."/>
      <w:lvlJc w:val="left"/>
      <w:pPr>
        <w:ind w:left="2520" w:hanging="360"/>
      </w:pPr>
    </w:lvl>
    <w:lvl w:ilvl="7" w:tplc="DFF8DAF2">
      <w:start w:val="1"/>
      <w:numFmt w:val="lowerLetter"/>
      <w:lvlText w:val="%8."/>
      <w:lvlJc w:val="left"/>
      <w:pPr>
        <w:ind w:left="2880" w:hanging="360"/>
      </w:pPr>
    </w:lvl>
    <w:lvl w:ilvl="8" w:tplc="1062E964">
      <w:start w:val="1"/>
      <w:numFmt w:val="lowerRoman"/>
      <w:lvlText w:val="%9."/>
      <w:lvlJc w:val="left"/>
      <w:pPr>
        <w:ind w:left="3240" w:hanging="360"/>
      </w:pPr>
    </w:lvl>
  </w:abstractNum>
  <w:abstractNum w:abstractNumId="32" w15:restartNumberingAfterBreak="0">
    <w:nsid w:val="75F75C57"/>
    <w:multiLevelType w:val="hybridMultilevel"/>
    <w:tmpl w:val="AC246424"/>
    <w:lvl w:ilvl="0" w:tplc="C5001C28">
      <w:start w:val="1"/>
      <w:numFmt w:val="lowerLetter"/>
      <w:pStyle w:val="C-PLR-AlphabeticList"/>
      <w:lvlText w:val="%1."/>
      <w:lvlJc w:val="left"/>
      <w:pPr>
        <w:tabs>
          <w:tab w:val="num" w:pos="1080"/>
        </w:tabs>
        <w:ind w:left="1080" w:hanging="360"/>
      </w:pPr>
      <w:rPr>
        <w:rFonts w:hint="default"/>
        <w:sz w:val="16"/>
      </w:rPr>
    </w:lvl>
    <w:lvl w:ilvl="1" w:tplc="04090019"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18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18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180"/>
      </w:pPr>
      <w:rPr>
        <w:rFonts w:ascii="Wingdings" w:hAnsi="Wingdings" w:hint="default"/>
      </w:rPr>
    </w:lvl>
  </w:abstractNum>
  <w:abstractNum w:abstractNumId="33" w15:restartNumberingAfterBreak="0">
    <w:nsid w:val="7BE26B4F"/>
    <w:multiLevelType w:val="hybridMultilevel"/>
    <w:tmpl w:val="BE16DD1C"/>
    <w:lvl w:ilvl="0" w:tplc="18E672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C86707D"/>
    <w:multiLevelType w:val="hybridMultilevel"/>
    <w:tmpl w:val="6464E4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D6C59A9"/>
    <w:multiLevelType w:val="multilevel"/>
    <w:tmpl w:val="A00A08F0"/>
    <w:lvl w:ilvl="0">
      <w:start w:val="1"/>
      <w:numFmt w:val="bullet"/>
      <w:pStyle w:val="ListBulletLevel1"/>
      <w:lvlText w:val=""/>
      <w:lvlJc w:val="left"/>
      <w:pPr>
        <w:tabs>
          <w:tab w:val="num" w:pos="720"/>
        </w:tabs>
        <w:ind w:left="720" w:hanging="357"/>
      </w:pPr>
      <w:rPr>
        <w:rFonts w:ascii="Symbol" w:hAnsi="Symbol" w:hint="default"/>
        <w:sz w:val="24"/>
      </w:rPr>
    </w:lvl>
    <w:lvl w:ilvl="1">
      <w:start w:val="1"/>
      <w:numFmt w:val="bullet"/>
      <w:lvlText w:val=""/>
      <w:lvlJc w:val="left"/>
      <w:pPr>
        <w:tabs>
          <w:tab w:val="num" w:pos="1083"/>
        </w:tabs>
        <w:ind w:left="1083" w:hanging="363"/>
      </w:pPr>
      <w:rPr>
        <w:rFonts w:ascii="Symbol" w:hAnsi="Symbol" w:hint="default"/>
        <w:sz w:val="21"/>
      </w:rPr>
    </w:lvl>
    <w:lvl w:ilvl="2">
      <w:start w:val="1"/>
      <w:numFmt w:val="bullet"/>
      <w:lvlText w:val=""/>
      <w:lvlJc w:val="left"/>
      <w:pPr>
        <w:tabs>
          <w:tab w:val="num" w:pos="1440"/>
        </w:tabs>
        <w:ind w:left="1440" w:hanging="357"/>
      </w:pPr>
      <w:rPr>
        <w:rFonts w:ascii="Symbol" w:hAnsi="Symbol" w:hint="default"/>
        <w:sz w:val="21"/>
      </w:rPr>
    </w:lvl>
    <w:lvl w:ilvl="3">
      <w:start w:val="1"/>
      <w:numFmt w:val="bullet"/>
      <w:lvlText w:val=""/>
      <w:lvlJc w:val="left"/>
      <w:pPr>
        <w:tabs>
          <w:tab w:val="num" w:pos="1803"/>
        </w:tabs>
        <w:ind w:left="1803" w:hanging="363"/>
      </w:pPr>
      <w:rPr>
        <w:rFonts w:ascii="Symbol" w:hAnsi="Symbol" w:hint="default"/>
      </w:rPr>
    </w:lvl>
    <w:lvl w:ilvl="4">
      <w:start w:val="1"/>
      <w:numFmt w:val="bullet"/>
      <w:lvlText w:val=""/>
      <w:lvlJc w:val="left"/>
      <w:pPr>
        <w:tabs>
          <w:tab w:val="num" w:pos="2160"/>
        </w:tabs>
        <w:ind w:left="2160" w:hanging="357"/>
      </w:pPr>
      <w:rPr>
        <w:rFonts w:ascii="Symbol" w:hAnsi="Symbol" w:hint="default"/>
      </w:rPr>
    </w:lvl>
    <w:lvl w:ilvl="5">
      <w:start w:val="1"/>
      <w:numFmt w:val="bullet"/>
      <w:lvlText w:val=""/>
      <w:lvlJc w:val="left"/>
      <w:pPr>
        <w:tabs>
          <w:tab w:val="num" w:pos="2523"/>
        </w:tabs>
        <w:ind w:left="2523" w:hanging="363"/>
      </w:pPr>
      <w:rPr>
        <w:rFonts w:ascii="Symbol" w:hAnsi="Symbol" w:hint="default"/>
      </w:rPr>
    </w:lvl>
    <w:lvl w:ilvl="6">
      <w:start w:val="1"/>
      <w:numFmt w:val="bullet"/>
      <w:lvlText w:val=""/>
      <w:lvlJc w:val="left"/>
      <w:pPr>
        <w:tabs>
          <w:tab w:val="num" w:pos="2880"/>
        </w:tabs>
        <w:ind w:left="2880" w:hanging="357"/>
      </w:pPr>
      <w:rPr>
        <w:rFonts w:ascii="Symbol" w:hAnsi="Symbol" w:hint="default"/>
      </w:rPr>
    </w:lvl>
    <w:lvl w:ilvl="7">
      <w:start w:val="1"/>
      <w:numFmt w:val="bullet"/>
      <w:lvlText w:val=""/>
      <w:lvlJc w:val="left"/>
      <w:pPr>
        <w:tabs>
          <w:tab w:val="num" w:pos="3243"/>
        </w:tabs>
        <w:ind w:left="3243" w:hanging="363"/>
      </w:pPr>
      <w:rPr>
        <w:rFonts w:ascii="Symbol" w:hAnsi="Symbol" w:hint="default"/>
      </w:rPr>
    </w:lvl>
    <w:lvl w:ilvl="8">
      <w:start w:val="1"/>
      <w:numFmt w:val="bullet"/>
      <w:lvlText w:val=""/>
      <w:lvlJc w:val="left"/>
      <w:pPr>
        <w:tabs>
          <w:tab w:val="num" w:pos="3600"/>
        </w:tabs>
        <w:ind w:left="3600" w:hanging="357"/>
      </w:pPr>
      <w:rPr>
        <w:rFonts w:ascii="Symbol" w:hAnsi="Symbol" w:hint="default"/>
      </w:rPr>
    </w:lvl>
  </w:abstractNum>
  <w:abstractNum w:abstractNumId="36" w15:restartNumberingAfterBreak="0">
    <w:nsid w:val="7E04418D"/>
    <w:multiLevelType w:val="hybridMultilevel"/>
    <w:tmpl w:val="24F4177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E0E32C9"/>
    <w:multiLevelType w:val="hybridMultilevel"/>
    <w:tmpl w:val="BE16DD1C"/>
    <w:lvl w:ilvl="0" w:tplc="18E672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5"/>
  </w:num>
  <w:num w:numId="2">
    <w:abstractNumId w:val="23"/>
  </w:num>
  <w:num w:numId="3">
    <w:abstractNumId w:val="31"/>
  </w:num>
  <w:num w:numId="4">
    <w:abstractNumId w:val="8"/>
  </w:num>
  <w:num w:numId="5">
    <w:abstractNumId w:val="17"/>
  </w:num>
  <w:num w:numId="6">
    <w:abstractNumId w:val="5"/>
  </w:num>
  <w:num w:numId="7">
    <w:abstractNumId w:val="6"/>
    <w:lvlOverride w:ilvl="0">
      <w:lvl w:ilvl="0" w:tplc="C2688F4A">
        <w:start w:val="1"/>
        <w:numFmt w:val="decimal"/>
        <w:pStyle w:val="CPTListNumber"/>
        <w:lvlText w:val="%1."/>
        <w:lvlJc w:val="left"/>
        <w:pPr>
          <w:ind w:left="720" w:hanging="360"/>
        </w:pPr>
        <w:rPr>
          <w:rFonts w:hint="default"/>
        </w:rPr>
      </w:lvl>
    </w:lvlOverride>
    <w:lvlOverride w:ilvl="1">
      <w:lvl w:ilvl="1" w:tplc="AF9098EE">
        <w:start w:val="1"/>
        <w:numFmt w:val="lowerLetter"/>
        <w:lvlText w:val="%2."/>
        <w:lvlJc w:val="left"/>
        <w:pPr>
          <w:ind w:left="1080" w:hanging="360"/>
        </w:pPr>
        <w:rPr>
          <w:rFonts w:hint="default"/>
        </w:rPr>
      </w:lvl>
    </w:lvlOverride>
    <w:lvlOverride w:ilvl="2">
      <w:lvl w:ilvl="2" w:tplc="5A7466E0">
        <w:start w:val="1"/>
        <w:numFmt w:val="lowerRoman"/>
        <w:lvlText w:val="%3."/>
        <w:lvlJc w:val="left"/>
        <w:pPr>
          <w:ind w:left="1440" w:hanging="360"/>
        </w:pPr>
        <w:rPr>
          <w:rFonts w:hint="default"/>
        </w:rPr>
      </w:lvl>
    </w:lvlOverride>
    <w:lvlOverride w:ilvl="3">
      <w:lvl w:ilvl="3" w:tplc="1C6007BA">
        <w:start w:val="1"/>
        <w:numFmt w:val="decimal"/>
        <w:lvlText w:val="%4)"/>
        <w:lvlJc w:val="left"/>
        <w:pPr>
          <w:ind w:left="1800" w:hanging="360"/>
        </w:pPr>
        <w:rPr>
          <w:rFonts w:hint="default"/>
        </w:rPr>
      </w:lvl>
    </w:lvlOverride>
    <w:lvlOverride w:ilvl="4">
      <w:lvl w:ilvl="4" w:tplc="C37AB936">
        <w:start w:val="1"/>
        <w:numFmt w:val="none"/>
        <w:lvlText w:val=""/>
        <w:lvlJc w:val="left"/>
        <w:pPr>
          <w:ind w:left="2160" w:hanging="360"/>
        </w:pPr>
        <w:rPr>
          <w:rFonts w:hint="default"/>
        </w:rPr>
      </w:lvl>
    </w:lvlOverride>
    <w:lvlOverride w:ilvl="5">
      <w:lvl w:ilvl="5" w:tplc="FA4CFE34">
        <w:start w:val="1"/>
        <w:numFmt w:val="none"/>
        <w:lvlText w:val=""/>
        <w:lvlJc w:val="left"/>
        <w:pPr>
          <w:ind w:left="2520" w:hanging="360"/>
        </w:pPr>
        <w:rPr>
          <w:rFonts w:hint="default"/>
        </w:rPr>
      </w:lvl>
    </w:lvlOverride>
    <w:lvlOverride w:ilvl="6">
      <w:lvl w:ilvl="6" w:tplc="B8C4A9EC">
        <w:start w:val="1"/>
        <w:numFmt w:val="none"/>
        <w:lvlText w:val=""/>
        <w:lvlJc w:val="left"/>
        <w:pPr>
          <w:ind w:left="2880" w:hanging="360"/>
        </w:pPr>
        <w:rPr>
          <w:rFonts w:hint="default"/>
        </w:rPr>
      </w:lvl>
    </w:lvlOverride>
    <w:lvlOverride w:ilvl="7">
      <w:lvl w:ilvl="7" w:tplc="7204A41E">
        <w:start w:val="1"/>
        <w:numFmt w:val="none"/>
        <w:lvlText w:val=""/>
        <w:lvlJc w:val="left"/>
        <w:pPr>
          <w:ind w:left="3240" w:hanging="360"/>
        </w:pPr>
        <w:rPr>
          <w:rFonts w:hint="default"/>
        </w:rPr>
      </w:lvl>
    </w:lvlOverride>
    <w:lvlOverride w:ilvl="8">
      <w:lvl w:ilvl="8" w:tplc="B67E750E">
        <w:start w:val="1"/>
        <w:numFmt w:val="none"/>
        <w:lvlText w:val=""/>
        <w:lvlJc w:val="left"/>
        <w:pPr>
          <w:ind w:left="3600" w:hanging="360"/>
        </w:pPr>
        <w:rPr>
          <w:rFonts w:hint="default"/>
        </w:rPr>
      </w:lvl>
    </w:lvlOverride>
  </w:num>
  <w:num w:numId="8">
    <w:abstractNumId w:val="14"/>
  </w:num>
  <w:num w:numId="9">
    <w:abstractNumId w:val="30"/>
  </w:num>
  <w:num w:numId="10">
    <w:abstractNumId w:val="27"/>
  </w:num>
  <w:num w:numId="11">
    <w:abstractNumId w:val="15"/>
  </w:num>
  <w:num w:numId="12">
    <w:abstractNumId w:val="21"/>
  </w:num>
  <w:num w:numId="13">
    <w:abstractNumId w:val="32"/>
  </w:num>
  <w:num w:numId="14">
    <w:abstractNumId w:val="29"/>
  </w:num>
  <w:num w:numId="15">
    <w:abstractNumId w:val="9"/>
  </w:num>
  <w:num w:numId="16">
    <w:abstractNumId w:val="19"/>
  </w:num>
  <w:num w:numId="17">
    <w:abstractNumId w:val="22"/>
  </w:num>
  <w:num w:numId="18">
    <w:abstractNumId w:val="18"/>
  </w:num>
  <w:num w:numId="19">
    <w:abstractNumId w:val="4"/>
  </w:num>
  <w:num w:numId="20">
    <w:abstractNumId w:val="26"/>
  </w:num>
  <w:num w:numId="21">
    <w:abstractNumId w:val="26"/>
    <w:lvlOverride w:ilvl="0">
      <w:lvl w:ilvl="0">
        <w:start w:val="1"/>
        <w:numFmt w:val="bullet"/>
        <w:pStyle w:val="C-Bullet"/>
        <w:lvlText w:val=""/>
        <w:lvlJc w:val="left"/>
        <w:pPr>
          <w:tabs>
            <w:tab w:val="num" w:pos="1080"/>
          </w:tabs>
          <w:ind w:left="1080" w:hanging="360"/>
        </w:pPr>
        <w:rPr>
          <w:rFonts w:ascii="Symbol" w:hAnsi="Symbol" w:hint="default"/>
          <w:sz w:val="24"/>
        </w:rPr>
      </w:lvl>
    </w:lvlOverride>
    <w:lvlOverride w:ilvl="1">
      <w:lvl w:ilvl="1">
        <w:start w:val="1"/>
        <w:numFmt w:val="bullet"/>
        <w:pStyle w:val="C-BulletIndented"/>
        <w:lvlText w:val=""/>
        <w:lvlJc w:val="left"/>
        <w:pPr>
          <w:tabs>
            <w:tab w:val="num" w:pos="1440"/>
          </w:tabs>
          <w:ind w:left="1440" w:hanging="360"/>
        </w:pPr>
        <w:rPr>
          <w:rFonts w:ascii="Symbol" w:hAnsi="Symbol" w:hint="default"/>
        </w:rPr>
      </w:lvl>
    </w:lvlOverride>
    <w:lvlOverride w:ilvl="2">
      <w:lvl w:ilvl="2">
        <w:start w:val="1"/>
        <w:numFmt w:val="bullet"/>
        <w:lvlText w:val=""/>
        <w:lvlJc w:val="left"/>
        <w:pPr>
          <w:ind w:left="1080" w:firstLine="0"/>
        </w:pPr>
        <w:rPr>
          <w:rFonts w:ascii="Symbol" w:hAnsi="Symbol" w:hint="default"/>
        </w:rPr>
      </w:lvl>
    </w:lvlOverride>
    <w:lvlOverride w:ilvl="3">
      <w:lvl w:ilvl="3">
        <w:start w:val="1"/>
        <w:numFmt w:val="bullet"/>
        <w:lvlText w:val=""/>
        <w:lvlJc w:val="left"/>
        <w:pPr>
          <w:ind w:left="1080" w:firstLine="0"/>
        </w:pPr>
        <w:rPr>
          <w:rFonts w:ascii="Symbol" w:hAnsi="Symbol" w:hint="default"/>
        </w:rPr>
      </w:lvl>
    </w:lvlOverride>
    <w:lvlOverride w:ilvl="4">
      <w:lvl w:ilvl="4">
        <w:start w:val="1"/>
        <w:numFmt w:val="bullet"/>
        <w:lvlText w:val=""/>
        <w:lvlJc w:val="left"/>
        <w:pPr>
          <w:ind w:left="1080" w:firstLine="0"/>
        </w:pPr>
        <w:rPr>
          <w:rFonts w:ascii="Symbol" w:hAnsi="Symbol" w:hint="default"/>
        </w:rPr>
      </w:lvl>
    </w:lvlOverride>
    <w:lvlOverride w:ilvl="5">
      <w:lvl w:ilvl="5">
        <w:start w:val="1"/>
        <w:numFmt w:val="bullet"/>
        <w:lvlText w:val=""/>
        <w:lvlJc w:val="left"/>
        <w:pPr>
          <w:ind w:left="1080" w:firstLine="0"/>
        </w:pPr>
        <w:rPr>
          <w:rFonts w:ascii="Symbol" w:hAnsi="Symbol" w:hint="default"/>
        </w:rPr>
      </w:lvl>
    </w:lvlOverride>
    <w:lvlOverride w:ilvl="6">
      <w:lvl w:ilvl="6">
        <w:start w:val="1"/>
        <w:numFmt w:val="bullet"/>
        <w:lvlText w:val=""/>
        <w:lvlJc w:val="left"/>
        <w:pPr>
          <w:ind w:left="1080" w:firstLine="0"/>
        </w:pPr>
        <w:rPr>
          <w:rFonts w:ascii="Symbol" w:hAnsi="Symbol" w:hint="default"/>
        </w:rPr>
      </w:lvl>
    </w:lvlOverride>
    <w:lvlOverride w:ilvl="7">
      <w:lvl w:ilvl="7">
        <w:start w:val="1"/>
        <w:numFmt w:val="bullet"/>
        <w:lvlText w:val=""/>
        <w:lvlJc w:val="left"/>
        <w:pPr>
          <w:ind w:left="1080" w:firstLine="0"/>
        </w:pPr>
        <w:rPr>
          <w:rFonts w:ascii="Symbol" w:hAnsi="Symbol" w:hint="default"/>
        </w:rPr>
      </w:lvl>
    </w:lvlOverride>
    <w:lvlOverride w:ilvl="8">
      <w:lvl w:ilvl="8">
        <w:start w:val="1"/>
        <w:numFmt w:val="bullet"/>
        <w:lvlText w:val=""/>
        <w:lvlJc w:val="left"/>
        <w:pPr>
          <w:ind w:left="1080" w:firstLine="0"/>
        </w:pPr>
        <w:rPr>
          <w:rFonts w:ascii="Symbol" w:hAnsi="Symbol" w:hint="default"/>
        </w:rPr>
      </w:lvl>
    </w:lvlOverride>
  </w:num>
  <w:num w:numId="22">
    <w:abstractNumId w:val="28"/>
  </w:num>
  <w:num w:numId="23">
    <w:abstractNumId w:val="11"/>
  </w:num>
  <w:num w:numId="24">
    <w:abstractNumId w:val="16"/>
  </w:num>
  <w:num w:numId="25">
    <w:abstractNumId w:val="34"/>
  </w:num>
  <w:num w:numId="26">
    <w:abstractNumId w:val="25"/>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num>
  <w:num w:numId="29">
    <w:abstractNumId w:val="36"/>
  </w:num>
  <w:num w:numId="30">
    <w:abstractNumId w:val="1"/>
  </w:num>
  <w:num w:numId="31">
    <w:abstractNumId w:val="33"/>
  </w:num>
  <w:num w:numId="32">
    <w:abstractNumId w:val="24"/>
  </w:num>
  <w:num w:numId="33">
    <w:abstractNumId w:val="12"/>
  </w:num>
  <w:num w:numId="34">
    <w:abstractNumId w:val="13"/>
  </w:num>
  <w:num w:numId="35">
    <w:abstractNumId w:val="3"/>
  </w:num>
  <w:num w:numId="36">
    <w:abstractNumId w:val="10"/>
  </w:num>
  <w:num w:numId="37">
    <w:abstractNumId w:val="2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93"/>
  <w:removeDateAndTime/>
  <w:hideSpellingErrors/>
  <w:hideGrammaticalErrors/>
  <w:activeWritingStyle w:appName="MSWord" w:lang="en-US" w:vendorID="64" w:dllVersion="0" w:nlCheck="1" w:checkStyle="1"/>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ocumentProtection w:edit="trackedChanges" w:enforcement="0"/>
  <w:defaultTabStop w:val="864"/>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REFX_0681E2A30A46450EBBC09C647EB7FABD_LN" w:val="Cheson"/>
    <w:docVar w:name="_REFX_0681E2A30A46450EBBC09C647EB7FABD_Y" w:val="2007"/>
    <w:docVar w:name="_REFX_189770A05A30458EB1A8E87287458780_LN" w:val="Nelson"/>
    <w:docVar w:name="_REFX_189770A05A30458EB1A8E87287458780_Y" w:val="2013"/>
    <w:docVar w:name="_REFX_1ABE7091E9E94096B77D81C437CC3D4E_LN" w:val="Negrini"/>
    <w:docVar w:name="_REFX_1ABE7091E9E94096B77D81C437CC3D4E_Y" w:val="2010"/>
    <w:docVar w:name="_REFX_21133CACC2344BC9ACB99A43A69BC0B9_LN" w:val="Scher"/>
    <w:docVar w:name="_REFX_21133CACC2344BC9ACB99A43A69BC0B9_Y" w:val="2016"/>
    <w:docVar w:name="_REFX_260AAD75FDCA4E91BA6A91BE7F06774D_LN" w:val="Julie"/>
    <w:docVar w:name="_REFX_260AAD75FDCA4E91BA6A91BE7F06774D_Y" w:val="2016"/>
    <w:docVar w:name="_REFX_3BCF816FDF974E3D91E24DA743198E6F_LN" w:val="TCGA"/>
    <w:docVar w:name="_REFX_3BCF816FDF974E3D91E24DA743198E6F_Y" w:val="2012"/>
    <w:docVar w:name="_REFX_41CFA43F2AA742608EBAEA33121735C3_LN" w:val="TCGA"/>
    <w:docVar w:name="_REFX_41CFA43F2AA742608EBAEA33121735C3_Y" w:val="2011"/>
    <w:docVar w:name="_REFX_4776D6EA94954074BF47FD50C556DB35_LN" w:val="Hanahan"/>
    <w:docVar w:name="_REFX_4776D6EA94954074BF47FD50C556DB35_Y" w:val="2011"/>
    <w:docVar w:name="_REFX_493E0DD02754488390500F00BCEE8945_LN" w:val="Weber"/>
    <w:docVar w:name="_REFX_493E0DD02754488390500F00BCEE8945_Y" w:val="2015"/>
    <w:docVar w:name="_REFX_4C7CF138DD45461BA14EF1EDACBF37A1_LN" w:val="Ledermann"/>
    <w:docVar w:name="_REFX_4C7CF138DD45461BA14EF1EDACBF37A1_Y" w:val="2013"/>
    <w:docVar w:name="_REFX_679A6DBBA2D040DAB7626ECCDFD41D54_LN" w:val="Eisenhauer"/>
    <w:docVar w:name="_REFX_679A6DBBA2D040DAB7626ECCDFD41D54_Y" w:val="2009"/>
    <w:docVar w:name="_REFX_72B5D813253D43AEA90BA63DC91229D8_LN" w:val="Wilson"/>
    <w:docVar w:name="_REFX_72B5D813253D43AEA90BA63DC91229D8_Y" w:val="1927"/>
    <w:docVar w:name="_REFX_91520211F23B44A0AF43053AFF59E9F3_LN" w:val="Geethakumari"/>
    <w:docVar w:name="_REFX_91520211F23B44A0AF43053AFF59E9F3_Y" w:val="2016"/>
    <w:docVar w:name="_REFX_93E5E280AE5E470BAB70529BB2E38C5A_LN" w:val="Grasso"/>
    <w:docVar w:name="_REFX_93E5E280AE5E470BAB70529BB2E38C5A_Y" w:val="2012"/>
    <w:docVar w:name="_REFX_A20B07A17D1E4707A06ECB558199BE02_LN" w:val="Lee"/>
    <w:docVar w:name="_REFX_A20B07A17D1E4707A06ECB558199BE02_Y" w:val="2016"/>
    <w:docVar w:name="_REFX_B6D35E6B09CD44D78D56D339E5B37563_LN" w:val="Negrini"/>
    <w:docVar w:name="_REFX_B6D35E6B09CD44D78D56D339E5B37563_Y" w:val="2010"/>
    <w:docVar w:name="_REFX_B978D4C5ECFA48A6B5A9EEC2D6F9F634_LN" w:val="Gilad"/>
    <w:docVar w:name="_REFX_B978D4C5ECFA48A6B5A9EEC2D6F9F634_Y" w:val="2010"/>
    <w:docVar w:name="_REFX_F373D6738B6540398FCCD64EEDAA837D_LN" w:val="Dietlein"/>
    <w:docVar w:name="_REFX_F373D6738B6540398FCCD64EEDAA837D_Y" w:val="2015"/>
    <w:docVar w:name="_REFX_F3A626B52FCD45C999B64538F7041646_LN" w:val="Kaplan"/>
    <w:docVar w:name="_REFX_F3A626B52FCD45C999B64538F7041646_Y" w:val="1958"/>
    <w:docVar w:name="_REFX_FORMAT" w:val="1"/>
    <w:docVar w:name="_REFX_LIST_STYLE" w:val="C-Body Text"/>
    <w:docVar w:name="LibraryFilter" w:val="|CPTLIB-V006-PT-Healthy_Volunteer.docx||"/>
    <w:docVar w:name="SP_INTERNAL_QA_CHECKS" w:val="11111111111111111111111"/>
    <w:docVar w:name="SP_INTERNAL_QA_FORM_POSITION" w:val="308.25 1135.5"/>
    <w:docVar w:name="SP_INTERNAL_QA_OPTIONS" w:val="1"/>
    <w:docVar w:name="SP_INTERNAL_TABLE_NOTE_TYPE" w:val="1"/>
    <w:docVar w:name="SP_INTERNAL_TABLE_NOTES_CONVERTED" w:val="True"/>
    <w:docVar w:name="WordDocUniqueId" w:val="9cd9423e-9da1-4adf-9d5c-499351e7d926"/>
  </w:docVars>
  <w:rsids>
    <w:rsidRoot w:val="005B37D4"/>
    <w:rsid w:val="000001B0"/>
    <w:rsid w:val="000002AF"/>
    <w:rsid w:val="0000057E"/>
    <w:rsid w:val="00000A13"/>
    <w:rsid w:val="000010CF"/>
    <w:rsid w:val="00001433"/>
    <w:rsid w:val="00001C82"/>
    <w:rsid w:val="00001D50"/>
    <w:rsid w:val="00001E2B"/>
    <w:rsid w:val="00001F56"/>
    <w:rsid w:val="0000203B"/>
    <w:rsid w:val="0000210C"/>
    <w:rsid w:val="000022BF"/>
    <w:rsid w:val="0000236F"/>
    <w:rsid w:val="0000241E"/>
    <w:rsid w:val="00002488"/>
    <w:rsid w:val="000027BA"/>
    <w:rsid w:val="000028AA"/>
    <w:rsid w:val="000029BC"/>
    <w:rsid w:val="00003125"/>
    <w:rsid w:val="00003568"/>
    <w:rsid w:val="00003BA0"/>
    <w:rsid w:val="00003C66"/>
    <w:rsid w:val="00003CA8"/>
    <w:rsid w:val="00004289"/>
    <w:rsid w:val="0000457E"/>
    <w:rsid w:val="00004A07"/>
    <w:rsid w:val="00005A34"/>
    <w:rsid w:val="00005C40"/>
    <w:rsid w:val="00005C51"/>
    <w:rsid w:val="00005E9E"/>
    <w:rsid w:val="0000695D"/>
    <w:rsid w:val="00006A15"/>
    <w:rsid w:val="0000701A"/>
    <w:rsid w:val="00007283"/>
    <w:rsid w:val="00007313"/>
    <w:rsid w:val="0000767D"/>
    <w:rsid w:val="00007757"/>
    <w:rsid w:val="00007777"/>
    <w:rsid w:val="00007D29"/>
    <w:rsid w:val="00007DF9"/>
    <w:rsid w:val="000103FB"/>
    <w:rsid w:val="00010426"/>
    <w:rsid w:val="00010A87"/>
    <w:rsid w:val="00010AE8"/>
    <w:rsid w:val="00010B03"/>
    <w:rsid w:val="00010F01"/>
    <w:rsid w:val="00010F4D"/>
    <w:rsid w:val="0001102C"/>
    <w:rsid w:val="00011043"/>
    <w:rsid w:val="00011976"/>
    <w:rsid w:val="00011CA4"/>
    <w:rsid w:val="00011D8B"/>
    <w:rsid w:val="00012230"/>
    <w:rsid w:val="00012734"/>
    <w:rsid w:val="00012AC4"/>
    <w:rsid w:val="0001339D"/>
    <w:rsid w:val="0001362D"/>
    <w:rsid w:val="000136B8"/>
    <w:rsid w:val="000138B7"/>
    <w:rsid w:val="00013999"/>
    <w:rsid w:val="000139CA"/>
    <w:rsid w:val="00014207"/>
    <w:rsid w:val="0001430F"/>
    <w:rsid w:val="0001479B"/>
    <w:rsid w:val="0001507B"/>
    <w:rsid w:val="00015388"/>
    <w:rsid w:val="000157F0"/>
    <w:rsid w:val="00015B17"/>
    <w:rsid w:val="00015D24"/>
    <w:rsid w:val="00015E41"/>
    <w:rsid w:val="00015E75"/>
    <w:rsid w:val="00016493"/>
    <w:rsid w:val="0001652C"/>
    <w:rsid w:val="00016580"/>
    <w:rsid w:val="0001694E"/>
    <w:rsid w:val="000169D8"/>
    <w:rsid w:val="00016A95"/>
    <w:rsid w:val="00017295"/>
    <w:rsid w:val="00017306"/>
    <w:rsid w:val="00017311"/>
    <w:rsid w:val="0001780B"/>
    <w:rsid w:val="00017CFB"/>
    <w:rsid w:val="00017D37"/>
    <w:rsid w:val="0002011B"/>
    <w:rsid w:val="0002020E"/>
    <w:rsid w:val="00020785"/>
    <w:rsid w:val="00020810"/>
    <w:rsid w:val="00020CFD"/>
    <w:rsid w:val="000211F8"/>
    <w:rsid w:val="00021597"/>
    <w:rsid w:val="00021DF4"/>
    <w:rsid w:val="00022514"/>
    <w:rsid w:val="000225AF"/>
    <w:rsid w:val="000227AA"/>
    <w:rsid w:val="000228CF"/>
    <w:rsid w:val="00022EDF"/>
    <w:rsid w:val="000233FE"/>
    <w:rsid w:val="00023836"/>
    <w:rsid w:val="000238DB"/>
    <w:rsid w:val="00023921"/>
    <w:rsid w:val="00023DC3"/>
    <w:rsid w:val="00023F9D"/>
    <w:rsid w:val="00024001"/>
    <w:rsid w:val="000248AC"/>
    <w:rsid w:val="00024CB1"/>
    <w:rsid w:val="00025045"/>
    <w:rsid w:val="00025085"/>
    <w:rsid w:val="0002583F"/>
    <w:rsid w:val="00025D40"/>
    <w:rsid w:val="00026E62"/>
    <w:rsid w:val="00026F39"/>
    <w:rsid w:val="00027432"/>
    <w:rsid w:val="00027752"/>
    <w:rsid w:val="00027794"/>
    <w:rsid w:val="00027F52"/>
    <w:rsid w:val="00030206"/>
    <w:rsid w:val="000304F2"/>
    <w:rsid w:val="00030548"/>
    <w:rsid w:val="0003066A"/>
    <w:rsid w:val="000309FF"/>
    <w:rsid w:val="00030AF4"/>
    <w:rsid w:val="00030C6C"/>
    <w:rsid w:val="00030CA7"/>
    <w:rsid w:val="00030D57"/>
    <w:rsid w:val="00031D58"/>
    <w:rsid w:val="00032A95"/>
    <w:rsid w:val="00032FDA"/>
    <w:rsid w:val="00033399"/>
    <w:rsid w:val="0003342E"/>
    <w:rsid w:val="00033499"/>
    <w:rsid w:val="00033CBC"/>
    <w:rsid w:val="00034435"/>
    <w:rsid w:val="000348CB"/>
    <w:rsid w:val="000348FF"/>
    <w:rsid w:val="00034A31"/>
    <w:rsid w:val="00034CB7"/>
    <w:rsid w:val="00034D7A"/>
    <w:rsid w:val="00034DC7"/>
    <w:rsid w:val="00035250"/>
    <w:rsid w:val="00035364"/>
    <w:rsid w:val="000353FC"/>
    <w:rsid w:val="000358B2"/>
    <w:rsid w:val="00036237"/>
    <w:rsid w:val="0003635C"/>
    <w:rsid w:val="000365DB"/>
    <w:rsid w:val="000369D7"/>
    <w:rsid w:val="00036A0F"/>
    <w:rsid w:val="00036C0E"/>
    <w:rsid w:val="00036E93"/>
    <w:rsid w:val="00037165"/>
    <w:rsid w:val="00037169"/>
    <w:rsid w:val="000372CA"/>
    <w:rsid w:val="00037AC4"/>
    <w:rsid w:val="00037B84"/>
    <w:rsid w:val="00037F50"/>
    <w:rsid w:val="00037FAE"/>
    <w:rsid w:val="00040073"/>
    <w:rsid w:val="000408C0"/>
    <w:rsid w:val="00040996"/>
    <w:rsid w:val="000409AA"/>
    <w:rsid w:val="00040A82"/>
    <w:rsid w:val="000410DD"/>
    <w:rsid w:val="00041912"/>
    <w:rsid w:val="00041D46"/>
    <w:rsid w:val="00042285"/>
    <w:rsid w:val="000428BF"/>
    <w:rsid w:val="00042995"/>
    <w:rsid w:val="000429F3"/>
    <w:rsid w:val="000437F0"/>
    <w:rsid w:val="00043A70"/>
    <w:rsid w:val="00043A85"/>
    <w:rsid w:val="00044120"/>
    <w:rsid w:val="000449BC"/>
    <w:rsid w:val="00044DC2"/>
    <w:rsid w:val="00044DCB"/>
    <w:rsid w:val="00044DF9"/>
    <w:rsid w:val="000450EC"/>
    <w:rsid w:val="0004519C"/>
    <w:rsid w:val="00045241"/>
    <w:rsid w:val="00045440"/>
    <w:rsid w:val="000456A0"/>
    <w:rsid w:val="00045D88"/>
    <w:rsid w:val="00045FC6"/>
    <w:rsid w:val="0004654F"/>
    <w:rsid w:val="00046CB2"/>
    <w:rsid w:val="00046D4C"/>
    <w:rsid w:val="00046DB8"/>
    <w:rsid w:val="00046F6C"/>
    <w:rsid w:val="000473B5"/>
    <w:rsid w:val="000474B2"/>
    <w:rsid w:val="00047A6E"/>
    <w:rsid w:val="00047B49"/>
    <w:rsid w:val="00047B8F"/>
    <w:rsid w:val="00047EB6"/>
    <w:rsid w:val="00050478"/>
    <w:rsid w:val="000505AD"/>
    <w:rsid w:val="000506CC"/>
    <w:rsid w:val="00050FBE"/>
    <w:rsid w:val="00051072"/>
    <w:rsid w:val="000514E2"/>
    <w:rsid w:val="00051777"/>
    <w:rsid w:val="00051C00"/>
    <w:rsid w:val="00051C01"/>
    <w:rsid w:val="00051F85"/>
    <w:rsid w:val="000527B3"/>
    <w:rsid w:val="00052A7F"/>
    <w:rsid w:val="00052BC2"/>
    <w:rsid w:val="00052F3E"/>
    <w:rsid w:val="00054561"/>
    <w:rsid w:val="00054601"/>
    <w:rsid w:val="00054D76"/>
    <w:rsid w:val="00054DAB"/>
    <w:rsid w:val="000553A3"/>
    <w:rsid w:val="000554C4"/>
    <w:rsid w:val="00055695"/>
    <w:rsid w:val="00055A46"/>
    <w:rsid w:val="00055ECF"/>
    <w:rsid w:val="0005692B"/>
    <w:rsid w:val="00056934"/>
    <w:rsid w:val="00056987"/>
    <w:rsid w:val="00056F14"/>
    <w:rsid w:val="00057094"/>
    <w:rsid w:val="000571B6"/>
    <w:rsid w:val="0005745F"/>
    <w:rsid w:val="000578E6"/>
    <w:rsid w:val="000579CC"/>
    <w:rsid w:val="00057AE9"/>
    <w:rsid w:val="0006095A"/>
    <w:rsid w:val="00060DD3"/>
    <w:rsid w:val="000616EC"/>
    <w:rsid w:val="00061D68"/>
    <w:rsid w:val="00061E78"/>
    <w:rsid w:val="000621DD"/>
    <w:rsid w:val="00062420"/>
    <w:rsid w:val="00062574"/>
    <w:rsid w:val="000626CC"/>
    <w:rsid w:val="00062773"/>
    <w:rsid w:val="00062D19"/>
    <w:rsid w:val="000632B5"/>
    <w:rsid w:val="000633A7"/>
    <w:rsid w:val="000636DD"/>
    <w:rsid w:val="00063CE2"/>
    <w:rsid w:val="00064689"/>
    <w:rsid w:val="000648ED"/>
    <w:rsid w:val="000649A6"/>
    <w:rsid w:val="00064E4B"/>
    <w:rsid w:val="00064E57"/>
    <w:rsid w:val="00064F8D"/>
    <w:rsid w:val="0006572F"/>
    <w:rsid w:val="0006586C"/>
    <w:rsid w:val="00065964"/>
    <w:rsid w:val="00065E97"/>
    <w:rsid w:val="00065EB1"/>
    <w:rsid w:val="00065F99"/>
    <w:rsid w:val="000661B3"/>
    <w:rsid w:val="000662EC"/>
    <w:rsid w:val="00066A0B"/>
    <w:rsid w:val="00066E99"/>
    <w:rsid w:val="00067482"/>
    <w:rsid w:val="000674E8"/>
    <w:rsid w:val="00070147"/>
    <w:rsid w:val="00070290"/>
    <w:rsid w:val="00070744"/>
    <w:rsid w:val="00070886"/>
    <w:rsid w:val="000708A4"/>
    <w:rsid w:val="000708F8"/>
    <w:rsid w:val="00070CD6"/>
    <w:rsid w:val="00070EAC"/>
    <w:rsid w:val="000710B7"/>
    <w:rsid w:val="00071308"/>
    <w:rsid w:val="0007179E"/>
    <w:rsid w:val="0007192A"/>
    <w:rsid w:val="00071AEE"/>
    <w:rsid w:val="00071AF4"/>
    <w:rsid w:val="00071B97"/>
    <w:rsid w:val="00071CE6"/>
    <w:rsid w:val="00071CFD"/>
    <w:rsid w:val="0007203A"/>
    <w:rsid w:val="000722F7"/>
    <w:rsid w:val="00072303"/>
    <w:rsid w:val="000723A5"/>
    <w:rsid w:val="0007277F"/>
    <w:rsid w:val="00072C15"/>
    <w:rsid w:val="00072F99"/>
    <w:rsid w:val="00073477"/>
    <w:rsid w:val="00073EAF"/>
    <w:rsid w:val="000742C2"/>
    <w:rsid w:val="000745B7"/>
    <w:rsid w:val="00074729"/>
    <w:rsid w:val="000748D2"/>
    <w:rsid w:val="000749C5"/>
    <w:rsid w:val="00074EA3"/>
    <w:rsid w:val="00075040"/>
    <w:rsid w:val="00075092"/>
    <w:rsid w:val="00075278"/>
    <w:rsid w:val="000756ED"/>
    <w:rsid w:val="00075716"/>
    <w:rsid w:val="000757E0"/>
    <w:rsid w:val="00075F96"/>
    <w:rsid w:val="000760EF"/>
    <w:rsid w:val="00076448"/>
    <w:rsid w:val="0007697F"/>
    <w:rsid w:val="00076D61"/>
    <w:rsid w:val="00077118"/>
    <w:rsid w:val="000777DD"/>
    <w:rsid w:val="00077ACC"/>
    <w:rsid w:val="00077AF0"/>
    <w:rsid w:val="00077CE0"/>
    <w:rsid w:val="00077E27"/>
    <w:rsid w:val="000807B6"/>
    <w:rsid w:val="00080A18"/>
    <w:rsid w:val="00081194"/>
    <w:rsid w:val="00081226"/>
    <w:rsid w:val="00081528"/>
    <w:rsid w:val="00081595"/>
    <w:rsid w:val="00081687"/>
    <w:rsid w:val="0008197E"/>
    <w:rsid w:val="00081A8A"/>
    <w:rsid w:val="00081FAD"/>
    <w:rsid w:val="00082FA7"/>
    <w:rsid w:val="00083987"/>
    <w:rsid w:val="00084099"/>
    <w:rsid w:val="000840C1"/>
    <w:rsid w:val="00084136"/>
    <w:rsid w:val="00084583"/>
    <w:rsid w:val="000846DF"/>
    <w:rsid w:val="000853AB"/>
    <w:rsid w:val="00085810"/>
    <w:rsid w:val="00085C6A"/>
    <w:rsid w:val="0008619F"/>
    <w:rsid w:val="000861DA"/>
    <w:rsid w:val="0008638D"/>
    <w:rsid w:val="0008678D"/>
    <w:rsid w:val="00086C5F"/>
    <w:rsid w:val="00086D00"/>
    <w:rsid w:val="0008728A"/>
    <w:rsid w:val="00087513"/>
    <w:rsid w:val="0008754B"/>
    <w:rsid w:val="000876D1"/>
    <w:rsid w:val="00087A66"/>
    <w:rsid w:val="00087CF2"/>
    <w:rsid w:val="00087DF4"/>
    <w:rsid w:val="00090002"/>
    <w:rsid w:val="0009065F"/>
    <w:rsid w:val="00090737"/>
    <w:rsid w:val="00090F4E"/>
    <w:rsid w:val="00090FAC"/>
    <w:rsid w:val="00090FE6"/>
    <w:rsid w:val="00091100"/>
    <w:rsid w:val="000911A4"/>
    <w:rsid w:val="000916E1"/>
    <w:rsid w:val="00091747"/>
    <w:rsid w:val="00091878"/>
    <w:rsid w:val="00091C8C"/>
    <w:rsid w:val="00091EBE"/>
    <w:rsid w:val="00092034"/>
    <w:rsid w:val="000924D0"/>
    <w:rsid w:val="00092CAF"/>
    <w:rsid w:val="00092D33"/>
    <w:rsid w:val="0009320A"/>
    <w:rsid w:val="000933CD"/>
    <w:rsid w:val="0009370C"/>
    <w:rsid w:val="00093A3F"/>
    <w:rsid w:val="00094A39"/>
    <w:rsid w:val="00094AB9"/>
    <w:rsid w:val="00094C40"/>
    <w:rsid w:val="00094CAB"/>
    <w:rsid w:val="00094EFD"/>
    <w:rsid w:val="00094F89"/>
    <w:rsid w:val="00095081"/>
    <w:rsid w:val="000950C9"/>
    <w:rsid w:val="000952AE"/>
    <w:rsid w:val="00095343"/>
    <w:rsid w:val="000953BF"/>
    <w:rsid w:val="0009575D"/>
    <w:rsid w:val="000957C8"/>
    <w:rsid w:val="000959A7"/>
    <w:rsid w:val="000961C3"/>
    <w:rsid w:val="000963F0"/>
    <w:rsid w:val="0009672C"/>
    <w:rsid w:val="0009673C"/>
    <w:rsid w:val="000968E7"/>
    <w:rsid w:val="00096C74"/>
    <w:rsid w:val="00096C7F"/>
    <w:rsid w:val="00096ED1"/>
    <w:rsid w:val="00097408"/>
    <w:rsid w:val="00097A31"/>
    <w:rsid w:val="000A0842"/>
    <w:rsid w:val="000A09E0"/>
    <w:rsid w:val="000A0B98"/>
    <w:rsid w:val="000A11B7"/>
    <w:rsid w:val="000A11E1"/>
    <w:rsid w:val="000A1238"/>
    <w:rsid w:val="000A1612"/>
    <w:rsid w:val="000A2065"/>
    <w:rsid w:val="000A2644"/>
    <w:rsid w:val="000A2A8C"/>
    <w:rsid w:val="000A2BD0"/>
    <w:rsid w:val="000A2C85"/>
    <w:rsid w:val="000A2DA6"/>
    <w:rsid w:val="000A35D8"/>
    <w:rsid w:val="000A387A"/>
    <w:rsid w:val="000A4378"/>
    <w:rsid w:val="000A4436"/>
    <w:rsid w:val="000A499D"/>
    <w:rsid w:val="000A4AE3"/>
    <w:rsid w:val="000A5256"/>
    <w:rsid w:val="000A5352"/>
    <w:rsid w:val="000A53B4"/>
    <w:rsid w:val="000A551C"/>
    <w:rsid w:val="000A59D1"/>
    <w:rsid w:val="000A5B0A"/>
    <w:rsid w:val="000A5FC1"/>
    <w:rsid w:val="000A6283"/>
    <w:rsid w:val="000A6292"/>
    <w:rsid w:val="000A664D"/>
    <w:rsid w:val="000A6B1A"/>
    <w:rsid w:val="000A6FA5"/>
    <w:rsid w:val="000A705B"/>
    <w:rsid w:val="000A7814"/>
    <w:rsid w:val="000A7AF0"/>
    <w:rsid w:val="000A7CD8"/>
    <w:rsid w:val="000A7F58"/>
    <w:rsid w:val="000B0025"/>
    <w:rsid w:val="000B045E"/>
    <w:rsid w:val="000B046F"/>
    <w:rsid w:val="000B07B0"/>
    <w:rsid w:val="000B0851"/>
    <w:rsid w:val="000B08CD"/>
    <w:rsid w:val="000B0E20"/>
    <w:rsid w:val="000B0EB9"/>
    <w:rsid w:val="000B1ACF"/>
    <w:rsid w:val="000B2012"/>
    <w:rsid w:val="000B25CB"/>
    <w:rsid w:val="000B2AA7"/>
    <w:rsid w:val="000B2E54"/>
    <w:rsid w:val="000B2E94"/>
    <w:rsid w:val="000B2F64"/>
    <w:rsid w:val="000B2FA3"/>
    <w:rsid w:val="000B3B51"/>
    <w:rsid w:val="000B3DE0"/>
    <w:rsid w:val="000B3DE2"/>
    <w:rsid w:val="000B3F73"/>
    <w:rsid w:val="000B431C"/>
    <w:rsid w:val="000B4380"/>
    <w:rsid w:val="000B4A5A"/>
    <w:rsid w:val="000B4C6D"/>
    <w:rsid w:val="000B4E0E"/>
    <w:rsid w:val="000B4EE8"/>
    <w:rsid w:val="000B50B7"/>
    <w:rsid w:val="000B55D7"/>
    <w:rsid w:val="000B5653"/>
    <w:rsid w:val="000B5BB5"/>
    <w:rsid w:val="000B6013"/>
    <w:rsid w:val="000B61D3"/>
    <w:rsid w:val="000B62E3"/>
    <w:rsid w:val="000B663E"/>
    <w:rsid w:val="000B6B71"/>
    <w:rsid w:val="000B6EEA"/>
    <w:rsid w:val="000B71A2"/>
    <w:rsid w:val="000B74ED"/>
    <w:rsid w:val="000B77F8"/>
    <w:rsid w:val="000B7930"/>
    <w:rsid w:val="000B79E9"/>
    <w:rsid w:val="000B7C6D"/>
    <w:rsid w:val="000B7D7F"/>
    <w:rsid w:val="000B7DE2"/>
    <w:rsid w:val="000C0152"/>
    <w:rsid w:val="000C0709"/>
    <w:rsid w:val="000C07DB"/>
    <w:rsid w:val="000C0BFB"/>
    <w:rsid w:val="000C0CD5"/>
    <w:rsid w:val="000C0F54"/>
    <w:rsid w:val="000C13A4"/>
    <w:rsid w:val="000C1681"/>
    <w:rsid w:val="000C1A7D"/>
    <w:rsid w:val="000C21A5"/>
    <w:rsid w:val="000C2231"/>
    <w:rsid w:val="000C22C1"/>
    <w:rsid w:val="000C236B"/>
    <w:rsid w:val="000C23C4"/>
    <w:rsid w:val="000C258E"/>
    <w:rsid w:val="000C28FF"/>
    <w:rsid w:val="000C2A67"/>
    <w:rsid w:val="000C2F77"/>
    <w:rsid w:val="000C336D"/>
    <w:rsid w:val="000C362A"/>
    <w:rsid w:val="000C3837"/>
    <w:rsid w:val="000C3D17"/>
    <w:rsid w:val="000C3D21"/>
    <w:rsid w:val="000C3DC7"/>
    <w:rsid w:val="000C4659"/>
    <w:rsid w:val="000C490B"/>
    <w:rsid w:val="000C4E7D"/>
    <w:rsid w:val="000C4F05"/>
    <w:rsid w:val="000C5274"/>
    <w:rsid w:val="000C5A99"/>
    <w:rsid w:val="000C5C6D"/>
    <w:rsid w:val="000C5F5A"/>
    <w:rsid w:val="000C601D"/>
    <w:rsid w:val="000C639B"/>
    <w:rsid w:val="000C6812"/>
    <w:rsid w:val="000C6A83"/>
    <w:rsid w:val="000C6D48"/>
    <w:rsid w:val="000C6DA3"/>
    <w:rsid w:val="000C71BD"/>
    <w:rsid w:val="000C751A"/>
    <w:rsid w:val="000C77CD"/>
    <w:rsid w:val="000C7823"/>
    <w:rsid w:val="000C79A6"/>
    <w:rsid w:val="000D01D1"/>
    <w:rsid w:val="000D08EC"/>
    <w:rsid w:val="000D08F3"/>
    <w:rsid w:val="000D09E2"/>
    <w:rsid w:val="000D0A8C"/>
    <w:rsid w:val="000D11C2"/>
    <w:rsid w:val="000D1467"/>
    <w:rsid w:val="000D15A8"/>
    <w:rsid w:val="000D15D4"/>
    <w:rsid w:val="000D1661"/>
    <w:rsid w:val="000D17B5"/>
    <w:rsid w:val="000D1C37"/>
    <w:rsid w:val="000D2B25"/>
    <w:rsid w:val="000D2F49"/>
    <w:rsid w:val="000D30E0"/>
    <w:rsid w:val="000D3152"/>
    <w:rsid w:val="000D31D7"/>
    <w:rsid w:val="000D361F"/>
    <w:rsid w:val="000D36D4"/>
    <w:rsid w:val="000D3820"/>
    <w:rsid w:val="000D3B1F"/>
    <w:rsid w:val="000D4731"/>
    <w:rsid w:val="000D4953"/>
    <w:rsid w:val="000D52F4"/>
    <w:rsid w:val="000D53BA"/>
    <w:rsid w:val="000D550E"/>
    <w:rsid w:val="000D5751"/>
    <w:rsid w:val="000D5887"/>
    <w:rsid w:val="000D58A9"/>
    <w:rsid w:val="000D6873"/>
    <w:rsid w:val="000D6930"/>
    <w:rsid w:val="000D6D4F"/>
    <w:rsid w:val="000D7BE9"/>
    <w:rsid w:val="000D7D87"/>
    <w:rsid w:val="000D7EA0"/>
    <w:rsid w:val="000E0393"/>
    <w:rsid w:val="000E03FA"/>
    <w:rsid w:val="000E112E"/>
    <w:rsid w:val="000E165C"/>
    <w:rsid w:val="000E1B38"/>
    <w:rsid w:val="000E1E97"/>
    <w:rsid w:val="000E1EDD"/>
    <w:rsid w:val="000E206F"/>
    <w:rsid w:val="000E22E7"/>
    <w:rsid w:val="000E2393"/>
    <w:rsid w:val="000E2846"/>
    <w:rsid w:val="000E2967"/>
    <w:rsid w:val="000E29E7"/>
    <w:rsid w:val="000E2D70"/>
    <w:rsid w:val="000E3348"/>
    <w:rsid w:val="000E3CD3"/>
    <w:rsid w:val="000E424A"/>
    <w:rsid w:val="000E42D5"/>
    <w:rsid w:val="000E45DB"/>
    <w:rsid w:val="000E4840"/>
    <w:rsid w:val="000E58C8"/>
    <w:rsid w:val="000E6100"/>
    <w:rsid w:val="000E61AD"/>
    <w:rsid w:val="000E626C"/>
    <w:rsid w:val="000E6545"/>
    <w:rsid w:val="000E6767"/>
    <w:rsid w:val="000E6959"/>
    <w:rsid w:val="000E6D25"/>
    <w:rsid w:val="000E6D92"/>
    <w:rsid w:val="000E6DBD"/>
    <w:rsid w:val="000E709C"/>
    <w:rsid w:val="000E70D4"/>
    <w:rsid w:val="000E7326"/>
    <w:rsid w:val="000E7434"/>
    <w:rsid w:val="000E74C1"/>
    <w:rsid w:val="000E7C35"/>
    <w:rsid w:val="000F00C7"/>
    <w:rsid w:val="000F0108"/>
    <w:rsid w:val="000F0374"/>
    <w:rsid w:val="000F10C2"/>
    <w:rsid w:val="000F1116"/>
    <w:rsid w:val="000F1133"/>
    <w:rsid w:val="000F17A3"/>
    <w:rsid w:val="000F1888"/>
    <w:rsid w:val="000F18F2"/>
    <w:rsid w:val="000F1940"/>
    <w:rsid w:val="000F1C1F"/>
    <w:rsid w:val="000F1ED4"/>
    <w:rsid w:val="000F20EB"/>
    <w:rsid w:val="000F22D2"/>
    <w:rsid w:val="000F2EA5"/>
    <w:rsid w:val="000F3540"/>
    <w:rsid w:val="000F3580"/>
    <w:rsid w:val="000F3697"/>
    <w:rsid w:val="000F3841"/>
    <w:rsid w:val="000F3C12"/>
    <w:rsid w:val="000F3F54"/>
    <w:rsid w:val="000F44B6"/>
    <w:rsid w:val="000F4711"/>
    <w:rsid w:val="000F48B4"/>
    <w:rsid w:val="000F49EC"/>
    <w:rsid w:val="000F4D53"/>
    <w:rsid w:val="000F5500"/>
    <w:rsid w:val="000F55B6"/>
    <w:rsid w:val="000F578B"/>
    <w:rsid w:val="000F5791"/>
    <w:rsid w:val="000F5EE3"/>
    <w:rsid w:val="000F6161"/>
    <w:rsid w:val="000F621B"/>
    <w:rsid w:val="000F6379"/>
    <w:rsid w:val="000F6796"/>
    <w:rsid w:val="000F67C2"/>
    <w:rsid w:val="000F6948"/>
    <w:rsid w:val="000F695F"/>
    <w:rsid w:val="000F697F"/>
    <w:rsid w:val="000F69D6"/>
    <w:rsid w:val="000F76A1"/>
    <w:rsid w:val="000F781E"/>
    <w:rsid w:val="001000EB"/>
    <w:rsid w:val="00100162"/>
    <w:rsid w:val="001003C0"/>
    <w:rsid w:val="00100D92"/>
    <w:rsid w:val="00101496"/>
    <w:rsid w:val="001019E0"/>
    <w:rsid w:val="00101E00"/>
    <w:rsid w:val="00102331"/>
    <w:rsid w:val="00102D2D"/>
    <w:rsid w:val="00103239"/>
    <w:rsid w:val="001032BF"/>
    <w:rsid w:val="0010353D"/>
    <w:rsid w:val="00103624"/>
    <w:rsid w:val="00103850"/>
    <w:rsid w:val="00103895"/>
    <w:rsid w:val="00103986"/>
    <w:rsid w:val="001040C7"/>
    <w:rsid w:val="0010417D"/>
    <w:rsid w:val="001041BD"/>
    <w:rsid w:val="00104206"/>
    <w:rsid w:val="001042D5"/>
    <w:rsid w:val="00104587"/>
    <w:rsid w:val="00104758"/>
    <w:rsid w:val="00104BAA"/>
    <w:rsid w:val="001050F4"/>
    <w:rsid w:val="001058FE"/>
    <w:rsid w:val="001062A0"/>
    <w:rsid w:val="00106540"/>
    <w:rsid w:val="001065E7"/>
    <w:rsid w:val="00106DA5"/>
    <w:rsid w:val="00106F48"/>
    <w:rsid w:val="00107382"/>
    <w:rsid w:val="00107478"/>
    <w:rsid w:val="001079D9"/>
    <w:rsid w:val="00107B18"/>
    <w:rsid w:val="00107CBA"/>
    <w:rsid w:val="0011037C"/>
    <w:rsid w:val="001103EE"/>
    <w:rsid w:val="0011042C"/>
    <w:rsid w:val="00110761"/>
    <w:rsid w:val="00110A4F"/>
    <w:rsid w:val="00111059"/>
    <w:rsid w:val="001116C9"/>
    <w:rsid w:val="001117FA"/>
    <w:rsid w:val="00111B00"/>
    <w:rsid w:val="00111C93"/>
    <w:rsid w:val="00111FE7"/>
    <w:rsid w:val="00112918"/>
    <w:rsid w:val="00112CFB"/>
    <w:rsid w:val="00112D65"/>
    <w:rsid w:val="001130CD"/>
    <w:rsid w:val="00113727"/>
    <w:rsid w:val="00113C3A"/>
    <w:rsid w:val="00113FB5"/>
    <w:rsid w:val="001141CE"/>
    <w:rsid w:val="0011452E"/>
    <w:rsid w:val="00114864"/>
    <w:rsid w:val="00114E96"/>
    <w:rsid w:val="00115866"/>
    <w:rsid w:val="00115D0A"/>
    <w:rsid w:val="00115F53"/>
    <w:rsid w:val="00115F86"/>
    <w:rsid w:val="00116740"/>
    <w:rsid w:val="00116779"/>
    <w:rsid w:val="001171A4"/>
    <w:rsid w:val="00117541"/>
    <w:rsid w:val="00117D88"/>
    <w:rsid w:val="00120283"/>
    <w:rsid w:val="00120657"/>
    <w:rsid w:val="00120720"/>
    <w:rsid w:val="001208AA"/>
    <w:rsid w:val="00120A64"/>
    <w:rsid w:val="00120AD7"/>
    <w:rsid w:val="00120EA1"/>
    <w:rsid w:val="00121135"/>
    <w:rsid w:val="001212F5"/>
    <w:rsid w:val="00121986"/>
    <w:rsid w:val="00121C70"/>
    <w:rsid w:val="00121CA1"/>
    <w:rsid w:val="00121CC2"/>
    <w:rsid w:val="0012200A"/>
    <w:rsid w:val="001227BC"/>
    <w:rsid w:val="0012283C"/>
    <w:rsid w:val="0012289C"/>
    <w:rsid w:val="00122AE7"/>
    <w:rsid w:val="00122E5D"/>
    <w:rsid w:val="00122ED6"/>
    <w:rsid w:val="0012343E"/>
    <w:rsid w:val="00123498"/>
    <w:rsid w:val="00123560"/>
    <w:rsid w:val="00123731"/>
    <w:rsid w:val="001238B7"/>
    <w:rsid w:val="001241BB"/>
    <w:rsid w:val="0012475F"/>
    <w:rsid w:val="00124D0E"/>
    <w:rsid w:val="0012531A"/>
    <w:rsid w:val="00125840"/>
    <w:rsid w:val="00125A71"/>
    <w:rsid w:val="00125A94"/>
    <w:rsid w:val="00125F67"/>
    <w:rsid w:val="00126154"/>
    <w:rsid w:val="001264BE"/>
    <w:rsid w:val="001266CB"/>
    <w:rsid w:val="001267AB"/>
    <w:rsid w:val="001268C9"/>
    <w:rsid w:val="001268DE"/>
    <w:rsid w:val="0012692A"/>
    <w:rsid w:val="00126E4B"/>
    <w:rsid w:val="001273D7"/>
    <w:rsid w:val="00127A8E"/>
    <w:rsid w:val="00127DF3"/>
    <w:rsid w:val="0013017B"/>
    <w:rsid w:val="0013043F"/>
    <w:rsid w:val="00130494"/>
    <w:rsid w:val="00131282"/>
    <w:rsid w:val="001317C2"/>
    <w:rsid w:val="001319A1"/>
    <w:rsid w:val="00131CDB"/>
    <w:rsid w:val="00131F55"/>
    <w:rsid w:val="00132165"/>
    <w:rsid w:val="00132363"/>
    <w:rsid w:val="0013277A"/>
    <w:rsid w:val="0013298C"/>
    <w:rsid w:val="001329F4"/>
    <w:rsid w:val="00133461"/>
    <w:rsid w:val="00133516"/>
    <w:rsid w:val="00133663"/>
    <w:rsid w:val="00133760"/>
    <w:rsid w:val="00134457"/>
    <w:rsid w:val="001348BB"/>
    <w:rsid w:val="00134AF8"/>
    <w:rsid w:val="00134F62"/>
    <w:rsid w:val="00135C89"/>
    <w:rsid w:val="00135CEA"/>
    <w:rsid w:val="00135DC8"/>
    <w:rsid w:val="00136228"/>
    <w:rsid w:val="00136260"/>
    <w:rsid w:val="001366E3"/>
    <w:rsid w:val="001366E8"/>
    <w:rsid w:val="00136723"/>
    <w:rsid w:val="00136AC6"/>
    <w:rsid w:val="00136B4A"/>
    <w:rsid w:val="001378CB"/>
    <w:rsid w:val="00137AD2"/>
    <w:rsid w:val="00137B61"/>
    <w:rsid w:val="00137C89"/>
    <w:rsid w:val="00137F0B"/>
    <w:rsid w:val="00140143"/>
    <w:rsid w:val="00140230"/>
    <w:rsid w:val="001403C9"/>
    <w:rsid w:val="00140686"/>
    <w:rsid w:val="001408AE"/>
    <w:rsid w:val="00140E75"/>
    <w:rsid w:val="00140E8F"/>
    <w:rsid w:val="00140EC0"/>
    <w:rsid w:val="00141DA0"/>
    <w:rsid w:val="00142974"/>
    <w:rsid w:val="001429D4"/>
    <w:rsid w:val="00142E35"/>
    <w:rsid w:val="00142E64"/>
    <w:rsid w:val="00142FCE"/>
    <w:rsid w:val="0014344A"/>
    <w:rsid w:val="00143B39"/>
    <w:rsid w:val="00144560"/>
    <w:rsid w:val="001446AB"/>
    <w:rsid w:val="001452DC"/>
    <w:rsid w:val="00145C10"/>
    <w:rsid w:val="00145ECD"/>
    <w:rsid w:val="001463D9"/>
    <w:rsid w:val="001467A7"/>
    <w:rsid w:val="00146927"/>
    <w:rsid w:val="00146B12"/>
    <w:rsid w:val="00147040"/>
    <w:rsid w:val="00147299"/>
    <w:rsid w:val="00147694"/>
    <w:rsid w:val="00147BB3"/>
    <w:rsid w:val="00150019"/>
    <w:rsid w:val="001505AE"/>
    <w:rsid w:val="0015061D"/>
    <w:rsid w:val="00150783"/>
    <w:rsid w:val="0015091A"/>
    <w:rsid w:val="00150B8B"/>
    <w:rsid w:val="00151145"/>
    <w:rsid w:val="00151253"/>
    <w:rsid w:val="00151581"/>
    <w:rsid w:val="0015176A"/>
    <w:rsid w:val="00152129"/>
    <w:rsid w:val="0015270B"/>
    <w:rsid w:val="00152771"/>
    <w:rsid w:val="0015303E"/>
    <w:rsid w:val="00153875"/>
    <w:rsid w:val="00153A9A"/>
    <w:rsid w:val="00154027"/>
    <w:rsid w:val="0015421C"/>
    <w:rsid w:val="0015425D"/>
    <w:rsid w:val="00154428"/>
    <w:rsid w:val="00154705"/>
    <w:rsid w:val="001549DF"/>
    <w:rsid w:val="00154CF3"/>
    <w:rsid w:val="00154DC6"/>
    <w:rsid w:val="00154EF7"/>
    <w:rsid w:val="001553CA"/>
    <w:rsid w:val="0015581C"/>
    <w:rsid w:val="00155865"/>
    <w:rsid w:val="00155CF4"/>
    <w:rsid w:val="00155EA9"/>
    <w:rsid w:val="0015645E"/>
    <w:rsid w:val="00156A16"/>
    <w:rsid w:val="00156A58"/>
    <w:rsid w:val="00156D7E"/>
    <w:rsid w:val="00157146"/>
    <w:rsid w:val="001574C9"/>
    <w:rsid w:val="00157A28"/>
    <w:rsid w:val="00157F39"/>
    <w:rsid w:val="001600F0"/>
    <w:rsid w:val="0016032D"/>
    <w:rsid w:val="001604C4"/>
    <w:rsid w:val="00160C35"/>
    <w:rsid w:val="00160E54"/>
    <w:rsid w:val="001610CF"/>
    <w:rsid w:val="00161304"/>
    <w:rsid w:val="001615D4"/>
    <w:rsid w:val="00161685"/>
    <w:rsid w:val="001621B7"/>
    <w:rsid w:val="00162405"/>
    <w:rsid w:val="0016273B"/>
    <w:rsid w:val="00162791"/>
    <w:rsid w:val="001630AD"/>
    <w:rsid w:val="001637AE"/>
    <w:rsid w:val="00164183"/>
    <w:rsid w:val="001647E6"/>
    <w:rsid w:val="00164F1B"/>
    <w:rsid w:val="00165010"/>
    <w:rsid w:val="00165248"/>
    <w:rsid w:val="00165542"/>
    <w:rsid w:val="001656D2"/>
    <w:rsid w:val="00165CEA"/>
    <w:rsid w:val="00165E36"/>
    <w:rsid w:val="00166649"/>
    <w:rsid w:val="00166959"/>
    <w:rsid w:val="00167392"/>
    <w:rsid w:val="00167A05"/>
    <w:rsid w:val="00167D87"/>
    <w:rsid w:val="0017018C"/>
    <w:rsid w:val="001705DF"/>
    <w:rsid w:val="00171042"/>
    <w:rsid w:val="0017111B"/>
    <w:rsid w:val="001712C0"/>
    <w:rsid w:val="001712E2"/>
    <w:rsid w:val="001716C8"/>
    <w:rsid w:val="00171861"/>
    <w:rsid w:val="0017195B"/>
    <w:rsid w:val="00171A9E"/>
    <w:rsid w:val="0017217E"/>
    <w:rsid w:val="00172402"/>
    <w:rsid w:val="00172F31"/>
    <w:rsid w:val="001731D3"/>
    <w:rsid w:val="00173528"/>
    <w:rsid w:val="0017398A"/>
    <w:rsid w:val="00173B42"/>
    <w:rsid w:val="00173EC3"/>
    <w:rsid w:val="00174063"/>
    <w:rsid w:val="0017408B"/>
    <w:rsid w:val="001742F2"/>
    <w:rsid w:val="001745A3"/>
    <w:rsid w:val="001748EB"/>
    <w:rsid w:val="00174CBA"/>
    <w:rsid w:val="00175489"/>
    <w:rsid w:val="00175531"/>
    <w:rsid w:val="0017586C"/>
    <w:rsid w:val="00175A0B"/>
    <w:rsid w:val="00175AF2"/>
    <w:rsid w:val="00175E69"/>
    <w:rsid w:val="00176028"/>
    <w:rsid w:val="00176130"/>
    <w:rsid w:val="00176217"/>
    <w:rsid w:val="0017626D"/>
    <w:rsid w:val="00176B32"/>
    <w:rsid w:val="00176DE8"/>
    <w:rsid w:val="00176EF6"/>
    <w:rsid w:val="00176FE2"/>
    <w:rsid w:val="0017734A"/>
    <w:rsid w:val="00177A37"/>
    <w:rsid w:val="00177D92"/>
    <w:rsid w:val="00180116"/>
    <w:rsid w:val="00180234"/>
    <w:rsid w:val="0018045B"/>
    <w:rsid w:val="00180781"/>
    <w:rsid w:val="001808E3"/>
    <w:rsid w:val="00180CCB"/>
    <w:rsid w:val="00180DFD"/>
    <w:rsid w:val="001814AB"/>
    <w:rsid w:val="0018161F"/>
    <w:rsid w:val="0018185A"/>
    <w:rsid w:val="00181C87"/>
    <w:rsid w:val="00181E07"/>
    <w:rsid w:val="0018221D"/>
    <w:rsid w:val="00182723"/>
    <w:rsid w:val="00182B8B"/>
    <w:rsid w:val="00182EF4"/>
    <w:rsid w:val="00183300"/>
    <w:rsid w:val="0018349E"/>
    <w:rsid w:val="001842DC"/>
    <w:rsid w:val="001847C4"/>
    <w:rsid w:val="0018482C"/>
    <w:rsid w:val="00184B11"/>
    <w:rsid w:val="00184B97"/>
    <w:rsid w:val="00184DBA"/>
    <w:rsid w:val="0018509C"/>
    <w:rsid w:val="001852E6"/>
    <w:rsid w:val="001859D9"/>
    <w:rsid w:val="00185A27"/>
    <w:rsid w:val="00186025"/>
    <w:rsid w:val="001865E8"/>
    <w:rsid w:val="00186776"/>
    <w:rsid w:val="00186A55"/>
    <w:rsid w:val="001871D7"/>
    <w:rsid w:val="00187210"/>
    <w:rsid w:val="0018744C"/>
    <w:rsid w:val="00187B88"/>
    <w:rsid w:val="00187E97"/>
    <w:rsid w:val="00187F5A"/>
    <w:rsid w:val="00190020"/>
    <w:rsid w:val="00190300"/>
    <w:rsid w:val="00190470"/>
    <w:rsid w:val="001907BF"/>
    <w:rsid w:val="00190DCB"/>
    <w:rsid w:val="00191C99"/>
    <w:rsid w:val="001922EF"/>
    <w:rsid w:val="00192D64"/>
    <w:rsid w:val="00193165"/>
    <w:rsid w:val="001932FC"/>
    <w:rsid w:val="00193762"/>
    <w:rsid w:val="00193A6A"/>
    <w:rsid w:val="0019442D"/>
    <w:rsid w:val="001949DB"/>
    <w:rsid w:val="00194B4C"/>
    <w:rsid w:val="00194CD8"/>
    <w:rsid w:val="001950E9"/>
    <w:rsid w:val="0019518D"/>
    <w:rsid w:val="00195727"/>
    <w:rsid w:val="001957D8"/>
    <w:rsid w:val="001959A1"/>
    <w:rsid w:val="0019633A"/>
    <w:rsid w:val="0019636B"/>
    <w:rsid w:val="001965B0"/>
    <w:rsid w:val="001965DE"/>
    <w:rsid w:val="00196901"/>
    <w:rsid w:val="00197715"/>
    <w:rsid w:val="001977B7"/>
    <w:rsid w:val="001977D2"/>
    <w:rsid w:val="00197A84"/>
    <w:rsid w:val="00197D91"/>
    <w:rsid w:val="001A06E3"/>
    <w:rsid w:val="001A07F9"/>
    <w:rsid w:val="001A0B78"/>
    <w:rsid w:val="001A0C10"/>
    <w:rsid w:val="001A0E06"/>
    <w:rsid w:val="001A11AA"/>
    <w:rsid w:val="001A18A1"/>
    <w:rsid w:val="001A19D7"/>
    <w:rsid w:val="001A1C81"/>
    <w:rsid w:val="001A2329"/>
    <w:rsid w:val="001A2D52"/>
    <w:rsid w:val="001A2ED8"/>
    <w:rsid w:val="001A3567"/>
    <w:rsid w:val="001A3718"/>
    <w:rsid w:val="001A3ACC"/>
    <w:rsid w:val="001A3C85"/>
    <w:rsid w:val="001A3CA6"/>
    <w:rsid w:val="001A3EDF"/>
    <w:rsid w:val="001A3FC5"/>
    <w:rsid w:val="001A417A"/>
    <w:rsid w:val="001A4C41"/>
    <w:rsid w:val="001A4CCB"/>
    <w:rsid w:val="001A5174"/>
    <w:rsid w:val="001A53C7"/>
    <w:rsid w:val="001A55EC"/>
    <w:rsid w:val="001A5B9A"/>
    <w:rsid w:val="001A5BB7"/>
    <w:rsid w:val="001A5D4B"/>
    <w:rsid w:val="001A5E31"/>
    <w:rsid w:val="001A6052"/>
    <w:rsid w:val="001A6540"/>
    <w:rsid w:val="001A65EB"/>
    <w:rsid w:val="001A67AD"/>
    <w:rsid w:val="001A6B78"/>
    <w:rsid w:val="001A6CA1"/>
    <w:rsid w:val="001A6DBB"/>
    <w:rsid w:val="001A6E74"/>
    <w:rsid w:val="001A7633"/>
    <w:rsid w:val="001A7CDA"/>
    <w:rsid w:val="001A7CEC"/>
    <w:rsid w:val="001A7DB2"/>
    <w:rsid w:val="001B0512"/>
    <w:rsid w:val="001B0663"/>
    <w:rsid w:val="001B0759"/>
    <w:rsid w:val="001B0978"/>
    <w:rsid w:val="001B0CB4"/>
    <w:rsid w:val="001B126A"/>
    <w:rsid w:val="001B146B"/>
    <w:rsid w:val="001B16C7"/>
    <w:rsid w:val="001B1751"/>
    <w:rsid w:val="001B1780"/>
    <w:rsid w:val="001B1B80"/>
    <w:rsid w:val="001B22DA"/>
    <w:rsid w:val="001B2671"/>
    <w:rsid w:val="001B2AC9"/>
    <w:rsid w:val="001B2F86"/>
    <w:rsid w:val="001B3F20"/>
    <w:rsid w:val="001B41FE"/>
    <w:rsid w:val="001B43B2"/>
    <w:rsid w:val="001B43FB"/>
    <w:rsid w:val="001B4B06"/>
    <w:rsid w:val="001B4C45"/>
    <w:rsid w:val="001B4FCE"/>
    <w:rsid w:val="001B5089"/>
    <w:rsid w:val="001B5395"/>
    <w:rsid w:val="001B5861"/>
    <w:rsid w:val="001B5875"/>
    <w:rsid w:val="001B5D45"/>
    <w:rsid w:val="001B65F7"/>
    <w:rsid w:val="001B682A"/>
    <w:rsid w:val="001B6B8D"/>
    <w:rsid w:val="001B70C0"/>
    <w:rsid w:val="001B723E"/>
    <w:rsid w:val="001B7292"/>
    <w:rsid w:val="001B7D8E"/>
    <w:rsid w:val="001B7DF9"/>
    <w:rsid w:val="001B7FED"/>
    <w:rsid w:val="001C0569"/>
    <w:rsid w:val="001C0590"/>
    <w:rsid w:val="001C06B4"/>
    <w:rsid w:val="001C06B8"/>
    <w:rsid w:val="001C14D1"/>
    <w:rsid w:val="001C15C0"/>
    <w:rsid w:val="001C15CF"/>
    <w:rsid w:val="001C16B3"/>
    <w:rsid w:val="001C16D7"/>
    <w:rsid w:val="001C1786"/>
    <w:rsid w:val="001C1900"/>
    <w:rsid w:val="001C1DAC"/>
    <w:rsid w:val="001C208F"/>
    <w:rsid w:val="001C21B7"/>
    <w:rsid w:val="001C2265"/>
    <w:rsid w:val="001C26CE"/>
    <w:rsid w:val="001C273E"/>
    <w:rsid w:val="001C3327"/>
    <w:rsid w:val="001C3967"/>
    <w:rsid w:val="001C3BD8"/>
    <w:rsid w:val="001C4335"/>
    <w:rsid w:val="001C4561"/>
    <w:rsid w:val="001C4646"/>
    <w:rsid w:val="001C4AD5"/>
    <w:rsid w:val="001C4B32"/>
    <w:rsid w:val="001C51B0"/>
    <w:rsid w:val="001C5303"/>
    <w:rsid w:val="001C53F3"/>
    <w:rsid w:val="001C5A35"/>
    <w:rsid w:val="001C613C"/>
    <w:rsid w:val="001C6BE4"/>
    <w:rsid w:val="001C7557"/>
    <w:rsid w:val="001C75FA"/>
    <w:rsid w:val="001C77A1"/>
    <w:rsid w:val="001C7ACE"/>
    <w:rsid w:val="001C7BAF"/>
    <w:rsid w:val="001D0838"/>
    <w:rsid w:val="001D094A"/>
    <w:rsid w:val="001D0A3D"/>
    <w:rsid w:val="001D0C4D"/>
    <w:rsid w:val="001D1E8F"/>
    <w:rsid w:val="001D1F6D"/>
    <w:rsid w:val="001D2029"/>
    <w:rsid w:val="001D2059"/>
    <w:rsid w:val="001D23A3"/>
    <w:rsid w:val="001D2632"/>
    <w:rsid w:val="001D266E"/>
    <w:rsid w:val="001D26FF"/>
    <w:rsid w:val="001D27AF"/>
    <w:rsid w:val="001D2B95"/>
    <w:rsid w:val="001D3153"/>
    <w:rsid w:val="001D3188"/>
    <w:rsid w:val="001D39D2"/>
    <w:rsid w:val="001D3A09"/>
    <w:rsid w:val="001D3DC9"/>
    <w:rsid w:val="001D4188"/>
    <w:rsid w:val="001D46ED"/>
    <w:rsid w:val="001D4735"/>
    <w:rsid w:val="001D4D73"/>
    <w:rsid w:val="001D5240"/>
    <w:rsid w:val="001D540F"/>
    <w:rsid w:val="001D54CE"/>
    <w:rsid w:val="001D5652"/>
    <w:rsid w:val="001D5876"/>
    <w:rsid w:val="001D5A92"/>
    <w:rsid w:val="001D5E1C"/>
    <w:rsid w:val="001D5E77"/>
    <w:rsid w:val="001D5ED9"/>
    <w:rsid w:val="001D6000"/>
    <w:rsid w:val="001D68B6"/>
    <w:rsid w:val="001D6A93"/>
    <w:rsid w:val="001D6DAC"/>
    <w:rsid w:val="001D6F3B"/>
    <w:rsid w:val="001D72BC"/>
    <w:rsid w:val="001D762A"/>
    <w:rsid w:val="001D76D5"/>
    <w:rsid w:val="001D78E1"/>
    <w:rsid w:val="001E045B"/>
    <w:rsid w:val="001E0B25"/>
    <w:rsid w:val="001E0D1F"/>
    <w:rsid w:val="001E1255"/>
    <w:rsid w:val="001E12E0"/>
    <w:rsid w:val="001E14BE"/>
    <w:rsid w:val="001E18A3"/>
    <w:rsid w:val="001E191A"/>
    <w:rsid w:val="001E1942"/>
    <w:rsid w:val="001E1A50"/>
    <w:rsid w:val="001E1AD0"/>
    <w:rsid w:val="001E1C97"/>
    <w:rsid w:val="001E1D95"/>
    <w:rsid w:val="001E1DF0"/>
    <w:rsid w:val="001E21AC"/>
    <w:rsid w:val="001E2286"/>
    <w:rsid w:val="001E26A5"/>
    <w:rsid w:val="001E2758"/>
    <w:rsid w:val="001E27E6"/>
    <w:rsid w:val="001E2B6D"/>
    <w:rsid w:val="001E2B6E"/>
    <w:rsid w:val="001E2C06"/>
    <w:rsid w:val="001E2C17"/>
    <w:rsid w:val="001E2D9D"/>
    <w:rsid w:val="001E31DF"/>
    <w:rsid w:val="001E32C0"/>
    <w:rsid w:val="001E3BE0"/>
    <w:rsid w:val="001E4048"/>
    <w:rsid w:val="001E4237"/>
    <w:rsid w:val="001E4295"/>
    <w:rsid w:val="001E4438"/>
    <w:rsid w:val="001E4A0B"/>
    <w:rsid w:val="001E4D13"/>
    <w:rsid w:val="001E4E0E"/>
    <w:rsid w:val="001E4F09"/>
    <w:rsid w:val="001E577E"/>
    <w:rsid w:val="001E5AE8"/>
    <w:rsid w:val="001E5C77"/>
    <w:rsid w:val="001E5FFA"/>
    <w:rsid w:val="001E604B"/>
    <w:rsid w:val="001E60AB"/>
    <w:rsid w:val="001E6523"/>
    <w:rsid w:val="001E65A4"/>
    <w:rsid w:val="001E6898"/>
    <w:rsid w:val="001E6A4C"/>
    <w:rsid w:val="001E6D3B"/>
    <w:rsid w:val="001E6D5C"/>
    <w:rsid w:val="001E6DFD"/>
    <w:rsid w:val="001E7633"/>
    <w:rsid w:val="001E7D97"/>
    <w:rsid w:val="001F0651"/>
    <w:rsid w:val="001F0659"/>
    <w:rsid w:val="001F0B55"/>
    <w:rsid w:val="001F0E7D"/>
    <w:rsid w:val="001F11BB"/>
    <w:rsid w:val="001F134C"/>
    <w:rsid w:val="001F13BE"/>
    <w:rsid w:val="001F165D"/>
    <w:rsid w:val="001F1BDE"/>
    <w:rsid w:val="001F1EAF"/>
    <w:rsid w:val="001F2683"/>
    <w:rsid w:val="001F2A71"/>
    <w:rsid w:val="001F3244"/>
    <w:rsid w:val="001F327F"/>
    <w:rsid w:val="001F3A5B"/>
    <w:rsid w:val="001F426D"/>
    <w:rsid w:val="001F4554"/>
    <w:rsid w:val="001F49FF"/>
    <w:rsid w:val="001F4F0B"/>
    <w:rsid w:val="001F53A2"/>
    <w:rsid w:val="001F5654"/>
    <w:rsid w:val="001F5EA9"/>
    <w:rsid w:val="001F6176"/>
    <w:rsid w:val="001F6314"/>
    <w:rsid w:val="001F6577"/>
    <w:rsid w:val="001F69FC"/>
    <w:rsid w:val="001F6C40"/>
    <w:rsid w:val="001F6D3B"/>
    <w:rsid w:val="001F6EA4"/>
    <w:rsid w:val="001F7105"/>
    <w:rsid w:val="001F7277"/>
    <w:rsid w:val="001F74B1"/>
    <w:rsid w:val="001F75CE"/>
    <w:rsid w:val="001F77D0"/>
    <w:rsid w:val="001F7800"/>
    <w:rsid w:val="001F7CF6"/>
    <w:rsid w:val="00200234"/>
    <w:rsid w:val="002007B6"/>
    <w:rsid w:val="00200CA4"/>
    <w:rsid w:val="002010C0"/>
    <w:rsid w:val="002010FA"/>
    <w:rsid w:val="00201343"/>
    <w:rsid w:val="002013BC"/>
    <w:rsid w:val="00201461"/>
    <w:rsid w:val="002019E5"/>
    <w:rsid w:val="00201C4E"/>
    <w:rsid w:val="00201CD2"/>
    <w:rsid w:val="00201E96"/>
    <w:rsid w:val="00201EBE"/>
    <w:rsid w:val="00202B64"/>
    <w:rsid w:val="00203232"/>
    <w:rsid w:val="00203BB8"/>
    <w:rsid w:val="00204141"/>
    <w:rsid w:val="002041BE"/>
    <w:rsid w:val="002048AC"/>
    <w:rsid w:val="00204A3D"/>
    <w:rsid w:val="0020510E"/>
    <w:rsid w:val="002052F7"/>
    <w:rsid w:val="0020583A"/>
    <w:rsid w:val="002058FE"/>
    <w:rsid w:val="00205B06"/>
    <w:rsid w:val="00205DAA"/>
    <w:rsid w:val="00205E88"/>
    <w:rsid w:val="002060AE"/>
    <w:rsid w:val="00206253"/>
    <w:rsid w:val="0020652E"/>
    <w:rsid w:val="0020665C"/>
    <w:rsid w:val="00206818"/>
    <w:rsid w:val="002068D0"/>
    <w:rsid w:val="00207228"/>
    <w:rsid w:val="00210260"/>
    <w:rsid w:val="00210657"/>
    <w:rsid w:val="00210892"/>
    <w:rsid w:val="00210B31"/>
    <w:rsid w:val="002111A8"/>
    <w:rsid w:val="002118D6"/>
    <w:rsid w:val="00211970"/>
    <w:rsid w:val="002119EF"/>
    <w:rsid w:val="00211A4B"/>
    <w:rsid w:val="0021218F"/>
    <w:rsid w:val="00212D30"/>
    <w:rsid w:val="00212E8F"/>
    <w:rsid w:val="00213174"/>
    <w:rsid w:val="0021341F"/>
    <w:rsid w:val="00213624"/>
    <w:rsid w:val="0021378E"/>
    <w:rsid w:val="00213858"/>
    <w:rsid w:val="00213BCC"/>
    <w:rsid w:val="00213D74"/>
    <w:rsid w:val="00213F20"/>
    <w:rsid w:val="00213F46"/>
    <w:rsid w:val="002141B1"/>
    <w:rsid w:val="002146FB"/>
    <w:rsid w:val="00214923"/>
    <w:rsid w:val="0021494B"/>
    <w:rsid w:val="00215150"/>
    <w:rsid w:val="00215171"/>
    <w:rsid w:val="00215205"/>
    <w:rsid w:val="00215394"/>
    <w:rsid w:val="00215BCB"/>
    <w:rsid w:val="00215D7E"/>
    <w:rsid w:val="00215F6A"/>
    <w:rsid w:val="00215FF7"/>
    <w:rsid w:val="0021618A"/>
    <w:rsid w:val="0021676A"/>
    <w:rsid w:val="00217268"/>
    <w:rsid w:val="00217649"/>
    <w:rsid w:val="002178F1"/>
    <w:rsid w:val="00217F1B"/>
    <w:rsid w:val="002201D8"/>
    <w:rsid w:val="002207C1"/>
    <w:rsid w:val="00220C1B"/>
    <w:rsid w:val="00220D81"/>
    <w:rsid w:val="00220F83"/>
    <w:rsid w:val="0022113E"/>
    <w:rsid w:val="002212A3"/>
    <w:rsid w:val="002216C6"/>
    <w:rsid w:val="00221DF9"/>
    <w:rsid w:val="0022215B"/>
    <w:rsid w:val="002223E8"/>
    <w:rsid w:val="0022262F"/>
    <w:rsid w:val="00222FC5"/>
    <w:rsid w:val="00223070"/>
    <w:rsid w:val="0022316A"/>
    <w:rsid w:val="002232B6"/>
    <w:rsid w:val="0022346E"/>
    <w:rsid w:val="0022360D"/>
    <w:rsid w:val="00223AAE"/>
    <w:rsid w:val="00223D8D"/>
    <w:rsid w:val="00223FE1"/>
    <w:rsid w:val="002241EE"/>
    <w:rsid w:val="0022473C"/>
    <w:rsid w:val="00224DE9"/>
    <w:rsid w:val="00225616"/>
    <w:rsid w:val="00225A00"/>
    <w:rsid w:val="00226A12"/>
    <w:rsid w:val="00226AB4"/>
    <w:rsid w:val="00226B60"/>
    <w:rsid w:val="00226CDC"/>
    <w:rsid w:val="00226D39"/>
    <w:rsid w:val="00226D73"/>
    <w:rsid w:val="00226F54"/>
    <w:rsid w:val="002271F3"/>
    <w:rsid w:val="00227649"/>
    <w:rsid w:val="002279CE"/>
    <w:rsid w:val="00227A06"/>
    <w:rsid w:val="00227B6C"/>
    <w:rsid w:val="00230230"/>
    <w:rsid w:val="00230712"/>
    <w:rsid w:val="00230EF3"/>
    <w:rsid w:val="0023184A"/>
    <w:rsid w:val="0023192F"/>
    <w:rsid w:val="00231B5B"/>
    <w:rsid w:val="00231E55"/>
    <w:rsid w:val="00232D4F"/>
    <w:rsid w:val="00232DAF"/>
    <w:rsid w:val="00232E6B"/>
    <w:rsid w:val="00232F45"/>
    <w:rsid w:val="002330CA"/>
    <w:rsid w:val="0023315B"/>
    <w:rsid w:val="00233218"/>
    <w:rsid w:val="00233229"/>
    <w:rsid w:val="0023357D"/>
    <w:rsid w:val="002336AC"/>
    <w:rsid w:val="002337F6"/>
    <w:rsid w:val="002338FA"/>
    <w:rsid w:val="00234242"/>
    <w:rsid w:val="002342B4"/>
    <w:rsid w:val="00234EBC"/>
    <w:rsid w:val="00235522"/>
    <w:rsid w:val="0023597C"/>
    <w:rsid w:val="00235B83"/>
    <w:rsid w:val="00235D5A"/>
    <w:rsid w:val="00235F1A"/>
    <w:rsid w:val="00236183"/>
    <w:rsid w:val="002362F7"/>
    <w:rsid w:val="00236890"/>
    <w:rsid w:val="002368E1"/>
    <w:rsid w:val="002368F4"/>
    <w:rsid w:val="00236BA8"/>
    <w:rsid w:val="00236FF2"/>
    <w:rsid w:val="002374A0"/>
    <w:rsid w:val="0023791C"/>
    <w:rsid w:val="0024080D"/>
    <w:rsid w:val="00240BDD"/>
    <w:rsid w:val="00240DC7"/>
    <w:rsid w:val="002416A8"/>
    <w:rsid w:val="00241C09"/>
    <w:rsid w:val="00241C12"/>
    <w:rsid w:val="002423F0"/>
    <w:rsid w:val="00242462"/>
    <w:rsid w:val="0024278F"/>
    <w:rsid w:val="00242887"/>
    <w:rsid w:val="00242CAB"/>
    <w:rsid w:val="002438EB"/>
    <w:rsid w:val="0024398F"/>
    <w:rsid w:val="00243A88"/>
    <w:rsid w:val="0024420C"/>
    <w:rsid w:val="002443FD"/>
    <w:rsid w:val="00244494"/>
    <w:rsid w:val="002447E3"/>
    <w:rsid w:val="00244EE6"/>
    <w:rsid w:val="0024551E"/>
    <w:rsid w:val="00245B81"/>
    <w:rsid w:val="00246504"/>
    <w:rsid w:val="00246C1A"/>
    <w:rsid w:val="002472FB"/>
    <w:rsid w:val="0024778B"/>
    <w:rsid w:val="0024794F"/>
    <w:rsid w:val="00247ACF"/>
    <w:rsid w:val="00247BE6"/>
    <w:rsid w:val="00247D2D"/>
    <w:rsid w:val="002503EA"/>
    <w:rsid w:val="00250747"/>
    <w:rsid w:val="00250A2E"/>
    <w:rsid w:val="00251401"/>
    <w:rsid w:val="00251B51"/>
    <w:rsid w:val="00251E71"/>
    <w:rsid w:val="002522B1"/>
    <w:rsid w:val="002524B2"/>
    <w:rsid w:val="0025297A"/>
    <w:rsid w:val="00252BCE"/>
    <w:rsid w:val="00253126"/>
    <w:rsid w:val="002532B8"/>
    <w:rsid w:val="00253329"/>
    <w:rsid w:val="002535A8"/>
    <w:rsid w:val="00253879"/>
    <w:rsid w:val="00253E1A"/>
    <w:rsid w:val="0025436C"/>
    <w:rsid w:val="00255003"/>
    <w:rsid w:val="00255482"/>
    <w:rsid w:val="002554A0"/>
    <w:rsid w:val="00255605"/>
    <w:rsid w:val="00255A5F"/>
    <w:rsid w:val="00255C1B"/>
    <w:rsid w:val="00255D78"/>
    <w:rsid w:val="00256B88"/>
    <w:rsid w:val="00256DA9"/>
    <w:rsid w:val="00256DD7"/>
    <w:rsid w:val="002576AC"/>
    <w:rsid w:val="00260229"/>
    <w:rsid w:val="00260689"/>
    <w:rsid w:val="0026139D"/>
    <w:rsid w:val="00261A4B"/>
    <w:rsid w:val="00261AA4"/>
    <w:rsid w:val="00261AAD"/>
    <w:rsid w:val="00261D2C"/>
    <w:rsid w:val="002620A1"/>
    <w:rsid w:val="00262147"/>
    <w:rsid w:val="002621F4"/>
    <w:rsid w:val="002622D6"/>
    <w:rsid w:val="002622EC"/>
    <w:rsid w:val="00262B2F"/>
    <w:rsid w:val="00263017"/>
    <w:rsid w:val="002630F9"/>
    <w:rsid w:val="002630FC"/>
    <w:rsid w:val="002631E3"/>
    <w:rsid w:val="0026333A"/>
    <w:rsid w:val="00263C3B"/>
    <w:rsid w:val="00263D68"/>
    <w:rsid w:val="00263E95"/>
    <w:rsid w:val="00263FF2"/>
    <w:rsid w:val="0026405D"/>
    <w:rsid w:val="0026423A"/>
    <w:rsid w:val="00264391"/>
    <w:rsid w:val="0026460C"/>
    <w:rsid w:val="00264883"/>
    <w:rsid w:val="00264C37"/>
    <w:rsid w:val="0026513A"/>
    <w:rsid w:val="00265B42"/>
    <w:rsid w:val="00265B43"/>
    <w:rsid w:val="00265F32"/>
    <w:rsid w:val="0026613B"/>
    <w:rsid w:val="002664FC"/>
    <w:rsid w:val="00266A52"/>
    <w:rsid w:val="00266C91"/>
    <w:rsid w:val="00266DE3"/>
    <w:rsid w:val="00266FB9"/>
    <w:rsid w:val="002676A9"/>
    <w:rsid w:val="0026783A"/>
    <w:rsid w:val="00267873"/>
    <w:rsid w:val="00267AE0"/>
    <w:rsid w:val="00270113"/>
    <w:rsid w:val="00270614"/>
    <w:rsid w:val="0027078D"/>
    <w:rsid w:val="00270C2F"/>
    <w:rsid w:val="00270C62"/>
    <w:rsid w:val="00270EDA"/>
    <w:rsid w:val="00270F27"/>
    <w:rsid w:val="00270F35"/>
    <w:rsid w:val="0027152D"/>
    <w:rsid w:val="00271F35"/>
    <w:rsid w:val="00272695"/>
    <w:rsid w:val="00272816"/>
    <w:rsid w:val="0027285C"/>
    <w:rsid w:val="00272D16"/>
    <w:rsid w:val="00273013"/>
    <w:rsid w:val="00273C00"/>
    <w:rsid w:val="00273C78"/>
    <w:rsid w:val="002740B1"/>
    <w:rsid w:val="00274684"/>
    <w:rsid w:val="002749C3"/>
    <w:rsid w:val="00274D8A"/>
    <w:rsid w:val="00274E65"/>
    <w:rsid w:val="00275BA5"/>
    <w:rsid w:val="00276373"/>
    <w:rsid w:val="0027686D"/>
    <w:rsid w:val="00276D3E"/>
    <w:rsid w:val="00276EFB"/>
    <w:rsid w:val="002770A6"/>
    <w:rsid w:val="0027717D"/>
    <w:rsid w:val="002773B4"/>
    <w:rsid w:val="00277A71"/>
    <w:rsid w:val="00277B2F"/>
    <w:rsid w:val="00277B9C"/>
    <w:rsid w:val="00277E08"/>
    <w:rsid w:val="00277EFB"/>
    <w:rsid w:val="0028000E"/>
    <w:rsid w:val="002800BA"/>
    <w:rsid w:val="002802CB"/>
    <w:rsid w:val="002803B4"/>
    <w:rsid w:val="0028071F"/>
    <w:rsid w:val="00280A28"/>
    <w:rsid w:val="00280A4B"/>
    <w:rsid w:val="00280AA1"/>
    <w:rsid w:val="00280CA9"/>
    <w:rsid w:val="0028120E"/>
    <w:rsid w:val="002818E4"/>
    <w:rsid w:val="00281BCC"/>
    <w:rsid w:val="00281C9D"/>
    <w:rsid w:val="00281E22"/>
    <w:rsid w:val="002821B8"/>
    <w:rsid w:val="002828A5"/>
    <w:rsid w:val="00282D0D"/>
    <w:rsid w:val="00282F26"/>
    <w:rsid w:val="0028340A"/>
    <w:rsid w:val="002834F2"/>
    <w:rsid w:val="0028390D"/>
    <w:rsid w:val="00283BDC"/>
    <w:rsid w:val="00283CB5"/>
    <w:rsid w:val="00283DF1"/>
    <w:rsid w:val="00283DF4"/>
    <w:rsid w:val="00283EE3"/>
    <w:rsid w:val="00283F63"/>
    <w:rsid w:val="00284BB4"/>
    <w:rsid w:val="002850C2"/>
    <w:rsid w:val="0028591F"/>
    <w:rsid w:val="00285A6E"/>
    <w:rsid w:val="00286019"/>
    <w:rsid w:val="00286025"/>
    <w:rsid w:val="0028666B"/>
    <w:rsid w:val="00286727"/>
    <w:rsid w:val="00286853"/>
    <w:rsid w:val="00286A9A"/>
    <w:rsid w:val="00286EE7"/>
    <w:rsid w:val="00286FF0"/>
    <w:rsid w:val="00287291"/>
    <w:rsid w:val="0029001C"/>
    <w:rsid w:val="00290149"/>
    <w:rsid w:val="0029051C"/>
    <w:rsid w:val="002909BC"/>
    <w:rsid w:val="00290FA4"/>
    <w:rsid w:val="00291405"/>
    <w:rsid w:val="0029190E"/>
    <w:rsid w:val="0029191F"/>
    <w:rsid w:val="00291F5B"/>
    <w:rsid w:val="002920DB"/>
    <w:rsid w:val="002924BD"/>
    <w:rsid w:val="002924C5"/>
    <w:rsid w:val="002924CD"/>
    <w:rsid w:val="00292652"/>
    <w:rsid w:val="00292654"/>
    <w:rsid w:val="002928D1"/>
    <w:rsid w:val="0029299D"/>
    <w:rsid w:val="0029314F"/>
    <w:rsid w:val="0029321D"/>
    <w:rsid w:val="002932F4"/>
    <w:rsid w:val="00293355"/>
    <w:rsid w:val="0029358B"/>
    <w:rsid w:val="00293719"/>
    <w:rsid w:val="00293DD0"/>
    <w:rsid w:val="002943BE"/>
    <w:rsid w:val="0029458D"/>
    <w:rsid w:val="0029461F"/>
    <w:rsid w:val="00294862"/>
    <w:rsid w:val="00294AE4"/>
    <w:rsid w:val="00294BBE"/>
    <w:rsid w:val="00294F72"/>
    <w:rsid w:val="00294FCF"/>
    <w:rsid w:val="002951A6"/>
    <w:rsid w:val="00295D62"/>
    <w:rsid w:val="00296223"/>
    <w:rsid w:val="0029642D"/>
    <w:rsid w:val="0029663F"/>
    <w:rsid w:val="0029744E"/>
    <w:rsid w:val="00297ABB"/>
    <w:rsid w:val="00297E8A"/>
    <w:rsid w:val="002A066E"/>
    <w:rsid w:val="002A097C"/>
    <w:rsid w:val="002A0D86"/>
    <w:rsid w:val="002A0DBA"/>
    <w:rsid w:val="002A0FCC"/>
    <w:rsid w:val="002A1306"/>
    <w:rsid w:val="002A14B7"/>
    <w:rsid w:val="002A1713"/>
    <w:rsid w:val="002A1AD1"/>
    <w:rsid w:val="002A1B0F"/>
    <w:rsid w:val="002A1C89"/>
    <w:rsid w:val="002A1C9A"/>
    <w:rsid w:val="002A26D8"/>
    <w:rsid w:val="002A2724"/>
    <w:rsid w:val="002A3162"/>
    <w:rsid w:val="002A32A3"/>
    <w:rsid w:val="002A3568"/>
    <w:rsid w:val="002A3C2A"/>
    <w:rsid w:val="002A3E76"/>
    <w:rsid w:val="002A3F27"/>
    <w:rsid w:val="002A45AE"/>
    <w:rsid w:val="002A49D4"/>
    <w:rsid w:val="002A50C4"/>
    <w:rsid w:val="002A53AF"/>
    <w:rsid w:val="002A568C"/>
    <w:rsid w:val="002A59E4"/>
    <w:rsid w:val="002A5B49"/>
    <w:rsid w:val="002A6606"/>
    <w:rsid w:val="002A6A35"/>
    <w:rsid w:val="002A6AA9"/>
    <w:rsid w:val="002A6BDF"/>
    <w:rsid w:val="002A6CF3"/>
    <w:rsid w:val="002A7464"/>
    <w:rsid w:val="002A77D8"/>
    <w:rsid w:val="002A77E4"/>
    <w:rsid w:val="002A7F39"/>
    <w:rsid w:val="002B001F"/>
    <w:rsid w:val="002B04D1"/>
    <w:rsid w:val="002B0A95"/>
    <w:rsid w:val="002B135D"/>
    <w:rsid w:val="002B1A7C"/>
    <w:rsid w:val="002B1C09"/>
    <w:rsid w:val="002B1DB7"/>
    <w:rsid w:val="002B1EAB"/>
    <w:rsid w:val="002B216E"/>
    <w:rsid w:val="002B2584"/>
    <w:rsid w:val="002B38A0"/>
    <w:rsid w:val="002B4140"/>
    <w:rsid w:val="002B4730"/>
    <w:rsid w:val="002B4D4E"/>
    <w:rsid w:val="002B5234"/>
    <w:rsid w:val="002B53C2"/>
    <w:rsid w:val="002B5474"/>
    <w:rsid w:val="002B5539"/>
    <w:rsid w:val="002B55D8"/>
    <w:rsid w:val="002B56AC"/>
    <w:rsid w:val="002B58DD"/>
    <w:rsid w:val="002B5B36"/>
    <w:rsid w:val="002B5BBF"/>
    <w:rsid w:val="002B5D1A"/>
    <w:rsid w:val="002B5ECB"/>
    <w:rsid w:val="002B64B0"/>
    <w:rsid w:val="002B6659"/>
    <w:rsid w:val="002B6A79"/>
    <w:rsid w:val="002B6DE1"/>
    <w:rsid w:val="002B6EEC"/>
    <w:rsid w:val="002B6F33"/>
    <w:rsid w:val="002B776C"/>
    <w:rsid w:val="002B7AB9"/>
    <w:rsid w:val="002B7F10"/>
    <w:rsid w:val="002C01E2"/>
    <w:rsid w:val="002C029D"/>
    <w:rsid w:val="002C0A50"/>
    <w:rsid w:val="002C0CB3"/>
    <w:rsid w:val="002C0CF4"/>
    <w:rsid w:val="002C0E6A"/>
    <w:rsid w:val="002C168F"/>
    <w:rsid w:val="002C1BE4"/>
    <w:rsid w:val="002C1CB3"/>
    <w:rsid w:val="002C1F55"/>
    <w:rsid w:val="002C1F60"/>
    <w:rsid w:val="002C25A2"/>
    <w:rsid w:val="002C2D14"/>
    <w:rsid w:val="002C343C"/>
    <w:rsid w:val="002C38B1"/>
    <w:rsid w:val="002C3CEF"/>
    <w:rsid w:val="002C4402"/>
    <w:rsid w:val="002C484A"/>
    <w:rsid w:val="002C48F2"/>
    <w:rsid w:val="002C4AE0"/>
    <w:rsid w:val="002C4ED4"/>
    <w:rsid w:val="002C4F06"/>
    <w:rsid w:val="002C57ED"/>
    <w:rsid w:val="002C5952"/>
    <w:rsid w:val="002C5B19"/>
    <w:rsid w:val="002C5E0B"/>
    <w:rsid w:val="002C6481"/>
    <w:rsid w:val="002C65D4"/>
    <w:rsid w:val="002C7A8F"/>
    <w:rsid w:val="002C7BFD"/>
    <w:rsid w:val="002D02EC"/>
    <w:rsid w:val="002D0809"/>
    <w:rsid w:val="002D0A28"/>
    <w:rsid w:val="002D0BB5"/>
    <w:rsid w:val="002D0C80"/>
    <w:rsid w:val="002D14A7"/>
    <w:rsid w:val="002D1798"/>
    <w:rsid w:val="002D17AB"/>
    <w:rsid w:val="002D1873"/>
    <w:rsid w:val="002D2554"/>
    <w:rsid w:val="002D26AE"/>
    <w:rsid w:val="002D275A"/>
    <w:rsid w:val="002D2AF0"/>
    <w:rsid w:val="002D2B49"/>
    <w:rsid w:val="002D2C07"/>
    <w:rsid w:val="002D2D57"/>
    <w:rsid w:val="002D3412"/>
    <w:rsid w:val="002D3480"/>
    <w:rsid w:val="002D37CC"/>
    <w:rsid w:val="002D3A37"/>
    <w:rsid w:val="002D3A88"/>
    <w:rsid w:val="002D3A95"/>
    <w:rsid w:val="002D3D5F"/>
    <w:rsid w:val="002D3E8C"/>
    <w:rsid w:val="002D3F3B"/>
    <w:rsid w:val="002D403A"/>
    <w:rsid w:val="002D457C"/>
    <w:rsid w:val="002D46AC"/>
    <w:rsid w:val="002D4786"/>
    <w:rsid w:val="002D4902"/>
    <w:rsid w:val="002D51CF"/>
    <w:rsid w:val="002D5295"/>
    <w:rsid w:val="002D54A8"/>
    <w:rsid w:val="002D5576"/>
    <w:rsid w:val="002D560F"/>
    <w:rsid w:val="002D5636"/>
    <w:rsid w:val="002D580C"/>
    <w:rsid w:val="002D5833"/>
    <w:rsid w:val="002D5877"/>
    <w:rsid w:val="002D58EB"/>
    <w:rsid w:val="002D5912"/>
    <w:rsid w:val="002D5B38"/>
    <w:rsid w:val="002D5CE4"/>
    <w:rsid w:val="002D5FD6"/>
    <w:rsid w:val="002D651A"/>
    <w:rsid w:val="002D6748"/>
    <w:rsid w:val="002D67F8"/>
    <w:rsid w:val="002D69FC"/>
    <w:rsid w:val="002D6A8F"/>
    <w:rsid w:val="002D6DE5"/>
    <w:rsid w:val="002D721A"/>
    <w:rsid w:val="002D74C4"/>
    <w:rsid w:val="002D74ED"/>
    <w:rsid w:val="002D79A0"/>
    <w:rsid w:val="002D79B5"/>
    <w:rsid w:val="002D7C42"/>
    <w:rsid w:val="002D7CE5"/>
    <w:rsid w:val="002D7DFE"/>
    <w:rsid w:val="002E018C"/>
    <w:rsid w:val="002E01AA"/>
    <w:rsid w:val="002E0215"/>
    <w:rsid w:val="002E086F"/>
    <w:rsid w:val="002E0949"/>
    <w:rsid w:val="002E1002"/>
    <w:rsid w:val="002E112B"/>
    <w:rsid w:val="002E182B"/>
    <w:rsid w:val="002E1E09"/>
    <w:rsid w:val="002E2352"/>
    <w:rsid w:val="002E23EE"/>
    <w:rsid w:val="002E2FF2"/>
    <w:rsid w:val="002E30AC"/>
    <w:rsid w:val="002E30BB"/>
    <w:rsid w:val="002E3466"/>
    <w:rsid w:val="002E3655"/>
    <w:rsid w:val="002E395B"/>
    <w:rsid w:val="002E3A75"/>
    <w:rsid w:val="002E3C07"/>
    <w:rsid w:val="002E3C11"/>
    <w:rsid w:val="002E3E1E"/>
    <w:rsid w:val="002E3E3A"/>
    <w:rsid w:val="002E3EFD"/>
    <w:rsid w:val="002E4457"/>
    <w:rsid w:val="002E4756"/>
    <w:rsid w:val="002E5017"/>
    <w:rsid w:val="002E585C"/>
    <w:rsid w:val="002E5A68"/>
    <w:rsid w:val="002E5BD3"/>
    <w:rsid w:val="002E5BEE"/>
    <w:rsid w:val="002E5C79"/>
    <w:rsid w:val="002E5CB7"/>
    <w:rsid w:val="002E6201"/>
    <w:rsid w:val="002E6233"/>
    <w:rsid w:val="002E6838"/>
    <w:rsid w:val="002E691D"/>
    <w:rsid w:val="002E6E64"/>
    <w:rsid w:val="002E6F81"/>
    <w:rsid w:val="002E73DD"/>
    <w:rsid w:val="002E79D7"/>
    <w:rsid w:val="002E7A66"/>
    <w:rsid w:val="002F0D08"/>
    <w:rsid w:val="002F1022"/>
    <w:rsid w:val="002F155E"/>
    <w:rsid w:val="002F171B"/>
    <w:rsid w:val="002F1817"/>
    <w:rsid w:val="002F1C15"/>
    <w:rsid w:val="002F1D20"/>
    <w:rsid w:val="002F3178"/>
    <w:rsid w:val="002F35B8"/>
    <w:rsid w:val="002F362E"/>
    <w:rsid w:val="002F365A"/>
    <w:rsid w:val="002F375C"/>
    <w:rsid w:val="002F3DE9"/>
    <w:rsid w:val="002F3F94"/>
    <w:rsid w:val="002F42CC"/>
    <w:rsid w:val="002F438D"/>
    <w:rsid w:val="002F45E2"/>
    <w:rsid w:val="002F465E"/>
    <w:rsid w:val="002F48C9"/>
    <w:rsid w:val="002F4DDB"/>
    <w:rsid w:val="002F56FF"/>
    <w:rsid w:val="002F59B5"/>
    <w:rsid w:val="002F5DF0"/>
    <w:rsid w:val="002F5EF1"/>
    <w:rsid w:val="002F6540"/>
    <w:rsid w:val="002F67AB"/>
    <w:rsid w:val="002F67E5"/>
    <w:rsid w:val="002F6B50"/>
    <w:rsid w:val="002F704D"/>
    <w:rsid w:val="002F7264"/>
    <w:rsid w:val="002F7A5B"/>
    <w:rsid w:val="002F7D11"/>
    <w:rsid w:val="002F7DC7"/>
    <w:rsid w:val="003000ED"/>
    <w:rsid w:val="003001A8"/>
    <w:rsid w:val="0030027A"/>
    <w:rsid w:val="003003CF"/>
    <w:rsid w:val="0030107E"/>
    <w:rsid w:val="0030184B"/>
    <w:rsid w:val="00302442"/>
    <w:rsid w:val="003026B6"/>
    <w:rsid w:val="003026C3"/>
    <w:rsid w:val="00303186"/>
    <w:rsid w:val="0030343C"/>
    <w:rsid w:val="003037CC"/>
    <w:rsid w:val="00303ACF"/>
    <w:rsid w:val="00304024"/>
    <w:rsid w:val="00304755"/>
    <w:rsid w:val="0030495D"/>
    <w:rsid w:val="00304A2B"/>
    <w:rsid w:val="003051AC"/>
    <w:rsid w:val="0030569B"/>
    <w:rsid w:val="003056DB"/>
    <w:rsid w:val="00305900"/>
    <w:rsid w:val="00305ECC"/>
    <w:rsid w:val="00306732"/>
    <w:rsid w:val="003067EE"/>
    <w:rsid w:val="00306B68"/>
    <w:rsid w:val="00306BAE"/>
    <w:rsid w:val="00306F4E"/>
    <w:rsid w:val="00307772"/>
    <w:rsid w:val="00307889"/>
    <w:rsid w:val="00307B58"/>
    <w:rsid w:val="00307C2F"/>
    <w:rsid w:val="00307F09"/>
    <w:rsid w:val="003100A4"/>
    <w:rsid w:val="003102CE"/>
    <w:rsid w:val="00310324"/>
    <w:rsid w:val="0031094B"/>
    <w:rsid w:val="00310A0A"/>
    <w:rsid w:val="00310E75"/>
    <w:rsid w:val="0031130E"/>
    <w:rsid w:val="0031197F"/>
    <w:rsid w:val="00311A1C"/>
    <w:rsid w:val="00311BB5"/>
    <w:rsid w:val="00311D84"/>
    <w:rsid w:val="003125F1"/>
    <w:rsid w:val="003127FD"/>
    <w:rsid w:val="00312866"/>
    <w:rsid w:val="00312ADF"/>
    <w:rsid w:val="00312C03"/>
    <w:rsid w:val="00312C60"/>
    <w:rsid w:val="00312E09"/>
    <w:rsid w:val="00312F7E"/>
    <w:rsid w:val="003131A1"/>
    <w:rsid w:val="00313897"/>
    <w:rsid w:val="00313945"/>
    <w:rsid w:val="00313C61"/>
    <w:rsid w:val="00313EC8"/>
    <w:rsid w:val="00314285"/>
    <w:rsid w:val="00314451"/>
    <w:rsid w:val="00314649"/>
    <w:rsid w:val="003146AC"/>
    <w:rsid w:val="00314787"/>
    <w:rsid w:val="00314A62"/>
    <w:rsid w:val="00314A98"/>
    <w:rsid w:val="00314EDE"/>
    <w:rsid w:val="0031518E"/>
    <w:rsid w:val="003159FE"/>
    <w:rsid w:val="00315C22"/>
    <w:rsid w:val="003160D4"/>
    <w:rsid w:val="00316413"/>
    <w:rsid w:val="00316E07"/>
    <w:rsid w:val="00316E3E"/>
    <w:rsid w:val="00317263"/>
    <w:rsid w:val="003172BE"/>
    <w:rsid w:val="003179DC"/>
    <w:rsid w:val="00317A37"/>
    <w:rsid w:val="00317C76"/>
    <w:rsid w:val="00317E09"/>
    <w:rsid w:val="00317F3F"/>
    <w:rsid w:val="00320165"/>
    <w:rsid w:val="003202FF"/>
    <w:rsid w:val="00320657"/>
    <w:rsid w:val="00320767"/>
    <w:rsid w:val="003209A3"/>
    <w:rsid w:val="00320CD0"/>
    <w:rsid w:val="003210CA"/>
    <w:rsid w:val="00321111"/>
    <w:rsid w:val="00321195"/>
    <w:rsid w:val="0032175D"/>
    <w:rsid w:val="00321772"/>
    <w:rsid w:val="003223B3"/>
    <w:rsid w:val="0032245C"/>
    <w:rsid w:val="003225D3"/>
    <w:rsid w:val="003225DA"/>
    <w:rsid w:val="0032290C"/>
    <w:rsid w:val="00322A18"/>
    <w:rsid w:val="00322C8B"/>
    <w:rsid w:val="00322EBA"/>
    <w:rsid w:val="003233C9"/>
    <w:rsid w:val="0032342F"/>
    <w:rsid w:val="00323555"/>
    <w:rsid w:val="00323875"/>
    <w:rsid w:val="00323CCD"/>
    <w:rsid w:val="00323D0C"/>
    <w:rsid w:val="00324047"/>
    <w:rsid w:val="00324616"/>
    <w:rsid w:val="0032496C"/>
    <w:rsid w:val="00324B54"/>
    <w:rsid w:val="00324C95"/>
    <w:rsid w:val="0032581A"/>
    <w:rsid w:val="00325915"/>
    <w:rsid w:val="00325980"/>
    <w:rsid w:val="00325A49"/>
    <w:rsid w:val="003261E6"/>
    <w:rsid w:val="003267E3"/>
    <w:rsid w:val="0032726F"/>
    <w:rsid w:val="0032763E"/>
    <w:rsid w:val="00327856"/>
    <w:rsid w:val="00327B16"/>
    <w:rsid w:val="0033021F"/>
    <w:rsid w:val="003302E7"/>
    <w:rsid w:val="00330A58"/>
    <w:rsid w:val="003310C5"/>
    <w:rsid w:val="003312F6"/>
    <w:rsid w:val="003313DE"/>
    <w:rsid w:val="00331E86"/>
    <w:rsid w:val="00331FA7"/>
    <w:rsid w:val="003320EE"/>
    <w:rsid w:val="00332432"/>
    <w:rsid w:val="003329C0"/>
    <w:rsid w:val="00332E0D"/>
    <w:rsid w:val="00332EB8"/>
    <w:rsid w:val="0033307B"/>
    <w:rsid w:val="00333533"/>
    <w:rsid w:val="003335DE"/>
    <w:rsid w:val="0033379F"/>
    <w:rsid w:val="00333D86"/>
    <w:rsid w:val="003341AE"/>
    <w:rsid w:val="00334663"/>
    <w:rsid w:val="003348D5"/>
    <w:rsid w:val="00334934"/>
    <w:rsid w:val="00334F61"/>
    <w:rsid w:val="00335069"/>
    <w:rsid w:val="0033568D"/>
    <w:rsid w:val="00335A0A"/>
    <w:rsid w:val="00336218"/>
    <w:rsid w:val="0033649D"/>
    <w:rsid w:val="00336743"/>
    <w:rsid w:val="003376BE"/>
    <w:rsid w:val="0033776F"/>
    <w:rsid w:val="00337948"/>
    <w:rsid w:val="00337BBA"/>
    <w:rsid w:val="00340247"/>
    <w:rsid w:val="0034070A"/>
    <w:rsid w:val="003408BE"/>
    <w:rsid w:val="00340BDA"/>
    <w:rsid w:val="00340BE3"/>
    <w:rsid w:val="0034133A"/>
    <w:rsid w:val="003413D9"/>
    <w:rsid w:val="003415D5"/>
    <w:rsid w:val="00341EBC"/>
    <w:rsid w:val="00342489"/>
    <w:rsid w:val="00342650"/>
    <w:rsid w:val="00342722"/>
    <w:rsid w:val="00342C60"/>
    <w:rsid w:val="00342E5D"/>
    <w:rsid w:val="0034383D"/>
    <w:rsid w:val="00343841"/>
    <w:rsid w:val="00343A35"/>
    <w:rsid w:val="00343BA0"/>
    <w:rsid w:val="0034436A"/>
    <w:rsid w:val="0034494F"/>
    <w:rsid w:val="00344AB6"/>
    <w:rsid w:val="00344B80"/>
    <w:rsid w:val="00344C64"/>
    <w:rsid w:val="00344E84"/>
    <w:rsid w:val="00345074"/>
    <w:rsid w:val="0034578D"/>
    <w:rsid w:val="003457E4"/>
    <w:rsid w:val="00346494"/>
    <w:rsid w:val="003468BB"/>
    <w:rsid w:val="00346A96"/>
    <w:rsid w:val="00346DA6"/>
    <w:rsid w:val="003470F0"/>
    <w:rsid w:val="003472DC"/>
    <w:rsid w:val="003474EE"/>
    <w:rsid w:val="00350105"/>
    <w:rsid w:val="00350275"/>
    <w:rsid w:val="00350589"/>
    <w:rsid w:val="0035060A"/>
    <w:rsid w:val="003506B3"/>
    <w:rsid w:val="00350824"/>
    <w:rsid w:val="0035107D"/>
    <w:rsid w:val="003516EB"/>
    <w:rsid w:val="0035201F"/>
    <w:rsid w:val="00352056"/>
    <w:rsid w:val="003522A7"/>
    <w:rsid w:val="00352B7D"/>
    <w:rsid w:val="00352BF5"/>
    <w:rsid w:val="00352C5E"/>
    <w:rsid w:val="00352C9A"/>
    <w:rsid w:val="00352EE0"/>
    <w:rsid w:val="00352FCE"/>
    <w:rsid w:val="00353311"/>
    <w:rsid w:val="00353948"/>
    <w:rsid w:val="0035451E"/>
    <w:rsid w:val="00354965"/>
    <w:rsid w:val="003551E8"/>
    <w:rsid w:val="00355812"/>
    <w:rsid w:val="00355842"/>
    <w:rsid w:val="00355862"/>
    <w:rsid w:val="00355B93"/>
    <w:rsid w:val="00356348"/>
    <w:rsid w:val="003564DA"/>
    <w:rsid w:val="0035691F"/>
    <w:rsid w:val="00356DDC"/>
    <w:rsid w:val="00356E86"/>
    <w:rsid w:val="00356F7F"/>
    <w:rsid w:val="00357B79"/>
    <w:rsid w:val="00360220"/>
    <w:rsid w:val="003603D0"/>
    <w:rsid w:val="003603FC"/>
    <w:rsid w:val="003604DA"/>
    <w:rsid w:val="00360D75"/>
    <w:rsid w:val="00360DC8"/>
    <w:rsid w:val="003612D0"/>
    <w:rsid w:val="00361331"/>
    <w:rsid w:val="00361B19"/>
    <w:rsid w:val="00361E43"/>
    <w:rsid w:val="00363026"/>
    <w:rsid w:val="003632D5"/>
    <w:rsid w:val="00363656"/>
    <w:rsid w:val="00363734"/>
    <w:rsid w:val="003638A3"/>
    <w:rsid w:val="00363935"/>
    <w:rsid w:val="00363C87"/>
    <w:rsid w:val="00363CE5"/>
    <w:rsid w:val="00363FB8"/>
    <w:rsid w:val="00364272"/>
    <w:rsid w:val="00364ABE"/>
    <w:rsid w:val="00364C9C"/>
    <w:rsid w:val="00365159"/>
    <w:rsid w:val="00365561"/>
    <w:rsid w:val="003660E9"/>
    <w:rsid w:val="0036668B"/>
    <w:rsid w:val="00366902"/>
    <w:rsid w:val="00366BAC"/>
    <w:rsid w:val="00366E5B"/>
    <w:rsid w:val="00366E6B"/>
    <w:rsid w:val="00366F23"/>
    <w:rsid w:val="00367419"/>
    <w:rsid w:val="0036749E"/>
    <w:rsid w:val="00367763"/>
    <w:rsid w:val="003679D7"/>
    <w:rsid w:val="00367D9A"/>
    <w:rsid w:val="00370300"/>
    <w:rsid w:val="003703BC"/>
    <w:rsid w:val="00370B05"/>
    <w:rsid w:val="00370CB8"/>
    <w:rsid w:val="00370ED3"/>
    <w:rsid w:val="003711F6"/>
    <w:rsid w:val="003718BB"/>
    <w:rsid w:val="00371B2E"/>
    <w:rsid w:val="00371D6A"/>
    <w:rsid w:val="00371DB5"/>
    <w:rsid w:val="00371F35"/>
    <w:rsid w:val="00371FCD"/>
    <w:rsid w:val="00372348"/>
    <w:rsid w:val="00372A10"/>
    <w:rsid w:val="00372AAA"/>
    <w:rsid w:val="00372C89"/>
    <w:rsid w:val="003730AA"/>
    <w:rsid w:val="003730CF"/>
    <w:rsid w:val="00373338"/>
    <w:rsid w:val="00373811"/>
    <w:rsid w:val="00373D43"/>
    <w:rsid w:val="0037426C"/>
    <w:rsid w:val="0037431A"/>
    <w:rsid w:val="003744C8"/>
    <w:rsid w:val="003746A2"/>
    <w:rsid w:val="00374792"/>
    <w:rsid w:val="003751C8"/>
    <w:rsid w:val="0037532F"/>
    <w:rsid w:val="003755FB"/>
    <w:rsid w:val="003757D8"/>
    <w:rsid w:val="00375846"/>
    <w:rsid w:val="00375A16"/>
    <w:rsid w:val="00375AE1"/>
    <w:rsid w:val="00375E43"/>
    <w:rsid w:val="00375E86"/>
    <w:rsid w:val="00375ED8"/>
    <w:rsid w:val="003760CF"/>
    <w:rsid w:val="0037672C"/>
    <w:rsid w:val="00376907"/>
    <w:rsid w:val="003770AD"/>
    <w:rsid w:val="003773C7"/>
    <w:rsid w:val="003775AF"/>
    <w:rsid w:val="003775C5"/>
    <w:rsid w:val="00377915"/>
    <w:rsid w:val="00377A65"/>
    <w:rsid w:val="00377C44"/>
    <w:rsid w:val="00377F70"/>
    <w:rsid w:val="00380307"/>
    <w:rsid w:val="00380824"/>
    <w:rsid w:val="003809BC"/>
    <w:rsid w:val="00380AFB"/>
    <w:rsid w:val="00380D7C"/>
    <w:rsid w:val="00380EB6"/>
    <w:rsid w:val="003812E2"/>
    <w:rsid w:val="00381888"/>
    <w:rsid w:val="00381892"/>
    <w:rsid w:val="00381D8E"/>
    <w:rsid w:val="00381F1A"/>
    <w:rsid w:val="00381FD2"/>
    <w:rsid w:val="00382454"/>
    <w:rsid w:val="00382A62"/>
    <w:rsid w:val="00384022"/>
    <w:rsid w:val="003848A1"/>
    <w:rsid w:val="00384935"/>
    <w:rsid w:val="0038525A"/>
    <w:rsid w:val="00386517"/>
    <w:rsid w:val="00386891"/>
    <w:rsid w:val="003868DB"/>
    <w:rsid w:val="003870AA"/>
    <w:rsid w:val="003873AB"/>
    <w:rsid w:val="003876E1"/>
    <w:rsid w:val="0038789E"/>
    <w:rsid w:val="0038798A"/>
    <w:rsid w:val="00387CBD"/>
    <w:rsid w:val="00387E36"/>
    <w:rsid w:val="00387F0B"/>
    <w:rsid w:val="0039006A"/>
    <w:rsid w:val="00390090"/>
    <w:rsid w:val="003902F2"/>
    <w:rsid w:val="0039049F"/>
    <w:rsid w:val="003906C9"/>
    <w:rsid w:val="00390AF2"/>
    <w:rsid w:val="003911B4"/>
    <w:rsid w:val="00391902"/>
    <w:rsid w:val="00391B0F"/>
    <w:rsid w:val="00391F8E"/>
    <w:rsid w:val="003920AB"/>
    <w:rsid w:val="00392505"/>
    <w:rsid w:val="0039298F"/>
    <w:rsid w:val="00392A30"/>
    <w:rsid w:val="00392FC7"/>
    <w:rsid w:val="00393208"/>
    <w:rsid w:val="00393218"/>
    <w:rsid w:val="003932FE"/>
    <w:rsid w:val="00393397"/>
    <w:rsid w:val="003933F3"/>
    <w:rsid w:val="00393CA3"/>
    <w:rsid w:val="00394476"/>
    <w:rsid w:val="0039471F"/>
    <w:rsid w:val="003947E9"/>
    <w:rsid w:val="003952C3"/>
    <w:rsid w:val="00395459"/>
    <w:rsid w:val="00395563"/>
    <w:rsid w:val="00395AAA"/>
    <w:rsid w:val="00395D01"/>
    <w:rsid w:val="00396E95"/>
    <w:rsid w:val="00396F78"/>
    <w:rsid w:val="0039706A"/>
    <w:rsid w:val="00397118"/>
    <w:rsid w:val="0039755F"/>
    <w:rsid w:val="00397AD6"/>
    <w:rsid w:val="00397F78"/>
    <w:rsid w:val="003A02B6"/>
    <w:rsid w:val="003A039C"/>
    <w:rsid w:val="003A0415"/>
    <w:rsid w:val="003A06E2"/>
    <w:rsid w:val="003A13DD"/>
    <w:rsid w:val="003A1581"/>
    <w:rsid w:val="003A1A5C"/>
    <w:rsid w:val="003A21A8"/>
    <w:rsid w:val="003A28A4"/>
    <w:rsid w:val="003A2ACB"/>
    <w:rsid w:val="003A2D87"/>
    <w:rsid w:val="003A344E"/>
    <w:rsid w:val="003A3829"/>
    <w:rsid w:val="003A3936"/>
    <w:rsid w:val="003A3965"/>
    <w:rsid w:val="003A3D2B"/>
    <w:rsid w:val="003A47C3"/>
    <w:rsid w:val="003A47CF"/>
    <w:rsid w:val="003A4D40"/>
    <w:rsid w:val="003A4E32"/>
    <w:rsid w:val="003A57BB"/>
    <w:rsid w:val="003A5B28"/>
    <w:rsid w:val="003A5BE1"/>
    <w:rsid w:val="003A60E4"/>
    <w:rsid w:val="003A6707"/>
    <w:rsid w:val="003A67C7"/>
    <w:rsid w:val="003A6BC4"/>
    <w:rsid w:val="003A6C4F"/>
    <w:rsid w:val="003A707E"/>
    <w:rsid w:val="003A7224"/>
    <w:rsid w:val="003A733C"/>
    <w:rsid w:val="003A7388"/>
    <w:rsid w:val="003A766A"/>
    <w:rsid w:val="003A7780"/>
    <w:rsid w:val="003A77C3"/>
    <w:rsid w:val="003A7EBE"/>
    <w:rsid w:val="003A7F17"/>
    <w:rsid w:val="003B0132"/>
    <w:rsid w:val="003B0467"/>
    <w:rsid w:val="003B05D7"/>
    <w:rsid w:val="003B0A6A"/>
    <w:rsid w:val="003B0FEB"/>
    <w:rsid w:val="003B1407"/>
    <w:rsid w:val="003B1490"/>
    <w:rsid w:val="003B18C3"/>
    <w:rsid w:val="003B1973"/>
    <w:rsid w:val="003B1A2A"/>
    <w:rsid w:val="003B1AB3"/>
    <w:rsid w:val="003B1C39"/>
    <w:rsid w:val="003B240B"/>
    <w:rsid w:val="003B255B"/>
    <w:rsid w:val="003B27A3"/>
    <w:rsid w:val="003B3113"/>
    <w:rsid w:val="003B32F1"/>
    <w:rsid w:val="003B3987"/>
    <w:rsid w:val="003B3A01"/>
    <w:rsid w:val="003B3F13"/>
    <w:rsid w:val="003B3FDC"/>
    <w:rsid w:val="003B4259"/>
    <w:rsid w:val="003B4453"/>
    <w:rsid w:val="003B4667"/>
    <w:rsid w:val="003B48BC"/>
    <w:rsid w:val="003B49EA"/>
    <w:rsid w:val="003B4CE3"/>
    <w:rsid w:val="003B4DAE"/>
    <w:rsid w:val="003B503E"/>
    <w:rsid w:val="003B53D6"/>
    <w:rsid w:val="003B5477"/>
    <w:rsid w:val="003B5737"/>
    <w:rsid w:val="003B59DE"/>
    <w:rsid w:val="003B5A9E"/>
    <w:rsid w:val="003B6138"/>
    <w:rsid w:val="003B62AC"/>
    <w:rsid w:val="003B6455"/>
    <w:rsid w:val="003B687F"/>
    <w:rsid w:val="003B6E30"/>
    <w:rsid w:val="003B71AF"/>
    <w:rsid w:val="003B7720"/>
    <w:rsid w:val="003B7819"/>
    <w:rsid w:val="003B7A34"/>
    <w:rsid w:val="003B7A4B"/>
    <w:rsid w:val="003B7B07"/>
    <w:rsid w:val="003B7B4B"/>
    <w:rsid w:val="003B7BB5"/>
    <w:rsid w:val="003B7ED0"/>
    <w:rsid w:val="003C004E"/>
    <w:rsid w:val="003C09A1"/>
    <w:rsid w:val="003C0A6F"/>
    <w:rsid w:val="003C0E49"/>
    <w:rsid w:val="003C0F6D"/>
    <w:rsid w:val="003C10A4"/>
    <w:rsid w:val="003C1212"/>
    <w:rsid w:val="003C1665"/>
    <w:rsid w:val="003C188C"/>
    <w:rsid w:val="003C1A6C"/>
    <w:rsid w:val="003C1EB9"/>
    <w:rsid w:val="003C202F"/>
    <w:rsid w:val="003C2168"/>
    <w:rsid w:val="003C21DC"/>
    <w:rsid w:val="003C2370"/>
    <w:rsid w:val="003C2425"/>
    <w:rsid w:val="003C2521"/>
    <w:rsid w:val="003C2FE8"/>
    <w:rsid w:val="003C34D8"/>
    <w:rsid w:val="003C3DD2"/>
    <w:rsid w:val="003C47AD"/>
    <w:rsid w:val="003C499F"/>
    <w:rsid w:val="003C5354"/>
    <w:rsid w:val="003C53A1"/>
    <w:rsid w:val="003C57CB"/>
    <w:rsid w:val="003C5DBD"/>
    <w:rsid w:val="003C5DF9"/>
    <w:rsid w:val="003C626D"/>
    <w:rsid w:val="003C6CFB"/>
    <w:rsid w:val="003C72CB"/>
    <w:rsid w:val="003C7332"/>
    <w:rsid w:val="003C7348"/>
    <w:rsid w:val="003C74DE"/>
    <w:rsid w:val="003C7C6D"/>
    <w:rsid w:val="003C7F1A"/>
    <w:rsid w:val="003D060D"/>
    <w:rsid w:val="003D0763"/>
    <w:rsid w:val="003D0F31"/>
    <w:rsid w:val="003D1064"/>
    <w:rsid w:val="003D16B0"/>
    <w:rsid w:val="003D19F0"/>
    <w:rsid w:val="003D1D87"/>
    <w:rsid w:val="003D1E21"/>
    <w:rsid w:val="003D2028"/>
    <w:rsid w:val="003D263B"/>
    <w:rsid w:val="003D27CE"/>
    <w:rsid w:val="003D27E7"/>
    <w:rsid w:val="003D2DA6"/>
    <w:rsid w:val="003D2FD3"/>
    <w:rsid w:val="003D37C0"/>
    <w:rsid w:val="003D4464"/>
    <w:rsid w:val="003D4938"/>
    <w:rsid w:val="003D4A1D"/>
    <w:rsid w:val="003D4B6E"/>
    <w:rsid w:val="003D4BF5"/>
    <w:rsid w:val="003D4D89"/>
    <w:rsid w:val="003D4EC6"/>
    <w:rsid w:val="003D4F47"/>
    <w:rsid w:val="003D501B"/>
    <w:rsid w:val="003D5473"/>
    <w:rsid w:val="003D55B1"/>
    <w:rsid w:val="003D5D9D"/>
    <w:rsid w:val="003D645C"/>
    <w:rsid w:val="003D66B8"/>
    <w:rsid w:val="003D66DE"/>
    <w:rsid w:val="003D6964"/>
    <w:rsid w:val="003D6DEF"/>
    <w:rsid w:val="003D73F2"/>
    <w:rsid w:val="003D750D"/>
    <w:rsid w:val="003E00BC"/>
    <w:rsid w:val="003E0430"/>
    <w:rsid w:val="003E1820"/>
    <w:rsid w:val="003E1F93"/>
    <w:rsid w:val="003E2181"/>
    <w:rsid w:val="003E24A0"/>
    <w:rsid w:val="003E26A9"/>
    <w:rsid w:val="003E2948"/>
    <w:rsid w:val="003E33D7"/>
    <w:rsid w:val="003E394B"/>
    <w:rsid w:val="003E39CF"/>
    <w:rsid w:val="003E3C3D"/>
    <w:rsid w:val="003E3E28"/>
    <w:rsid w:val="003E4497"/>
    <w:rsid w:val="003E458E"/>
    <w:rsid w:val="003E4E41"/>
    <w:rsid w:val="003E50E3"/>
    <w:rsid w:val="003E571D"/>
    <w:rsid w:val="003E5EFE"/>
    <w:rsid w:val="003E6219"/>
    <w:rsid w:val="003E667F"/>
    <w:rsid w:val="003E6895"/>
    <w:rsid w:val="003E6DD9"/>
    <w:rsid w:val="003E74E1"/>
    <w:rsid w:val="003E7D43"/>
    <w:rsid w:val="003F0021"/>
    <w:rsid w:val="003F04BB"/>
    <w:rsid w:val="003F060E"/>
    <w:rsid w:val="003F09D0"/>
    <w:rsid w:val="003F0E35"/>
    <w:rsid w:val="003F105D"/>
    <w:rsid w:val="003F109B"/>
    <w:rsid w:val="003F1EDB"/>
    <w:rsid w:val="003F219E"/>
    <w:rsid w:val="003F2343"/>
    <w:rsid w:val="003F2376"/>
    <w:rsid w:val="003F249E"/>
    <w:rsid w:val="003F254B"/>
    <w:rsid w:val="003F25B3"/>
    <w:rsid w:val="003F2FB8"/>
    <w:rsid w:val="003F316A"/>
    <w:rsid w:val="003F322C"/>
    <w:rsid w:val="003F3735"/>
    <w:rsid w:val="003F388B"/>
    <w:rsid w:val="003F3BE7"/>
    <w:rsid w:val="003F3C1B"/>
    <w:rsid w:val="003F3E57"/>
    <w:rsid w:val="003F3F16"/>
    <w:rsid w:val="003F4769"/>
    <w:rsid w:val="003F47C9"/>
    <w:rsid w:val="003F49B6"/>
    <w:rsid w:val="003F520E"/>
    <w:rsid w:val="003F531E"/>
    <w:rsid w:val="003F533D"/>
    <w:rsid w:val="003F56C2"/>
    <w:rsid w:val="003F5D3F"/>
    <w:rsid w:val="003F60A7"/>
    <w:rsid w:val="003F61E1"/>
    <w:rsid w:val="003F62C9"/>
    <w:rsid w:val="003F6374"/>
    <w:rsid w:val="003F67C6"/>
    <w:rsid w:val="003F680B"/>
    <w:rsid w:val="003F6A1F"/>
    <w:rsid w:val="003F71E9"/>
    <w:rsid w:val="003F7355"/>
    <w:rsid w:val="003F754D"/>
    <w:rsid w:val="003F75CA"/>
    <w:rsid w:val="003F77F0"/>
    <w:rsid w:val="003F799E"/>
    <w:rsid w:val="003F7A26"/>
    <w:rsid w:val="003F7AE8"/>
    <w:rsid w:val="003F7D39"/>
    <w:rsid w:val="003F7DFD"/>
    <w:rsid w:val="003F7E98"/>
    <w:rsid w:val="0040061B"/>
    <w:rsid w:val="00400B21"/>
    <w:rsid w:val="00400B9C"/>
    <w:rsid w:val="00401374"/>
    <w:rsid w:val="00401860"/>
    <w:rsid w:val="00401960"/>
    <w:rsid w:val="00401A99"/>
    <w:rsid w:val="00401AFE"/>
    <w:rsid w:val="00401D30"/>
    <w:rsid w:val="00401D4C"/>
    <w:rsid w:val="00401DB1"/>
    <w:rsid w:val="00402300"/>
    <w:rsid w:val="004023B7"/>
    <w:rsid w:val="00402A8C"/>
    <w:rsid w:val="00402AD5"/>
    <w:rsid w:val="00402ADC"/>
    <w:rsid w:val="00402B9D"/>
    <w:rsid w:val="0040314F"/>
    <w:rsid w:val="004034D9"/>
    <w:rsid w:val="00403E76"/>
    <w:rsid w:val="00403ECF"/>
    <w:rsid w:val="00404066"/>
    <w:rsid w:val="004040A6"/>
    <w:rsid w:val="00404109"/>
    <w:rsid w:val="0040423A"/>
    <w:rsid w:val="00404431"/>
    <w:rsid w:val="004046F5"/>
    <w:rsid w:val="00404B6C"/>
    <w:rsid w:val="00404DAA"/>
    <w:rsid w:val="00404F9F"/>
    <w:rsid w:val="00405360"/>
    <w:rsid w:val="00405410"/>
    <w:rsid w:val="00405556"/>
    <w:rsid w:val="004055FD"/>
    <w:rsid w:val="004058E7"/>
    <w:rsid w:val="00405E54"/>
    <w:rsid w:val="00405E5A"/>
    <w:rsid w:val="0040639C"/>
    <w:rsid w:val="004064EE"/>
    <w:rsid w:val="00406D0B"/>
    <w:rsid w:val="004079B7"/>
    <w:rsid w:val="00407A8A"/>
    <w:rsid w:val="00407B48"/>
    <w:rsid w:val="00410140"/>
    <w:rsid w:val="00410196"/>
    <w:rsid w:val="00410859"/>
    <w:rsid w:val="00410B21"/>
    <w:rsid w:val="00410D64"/>
    <w:rsid w:val="00410E4A"/>
    <w:rsid w:val="00410EC4"/>
    <w:rsid w:val="00411400"/>
    <w:rsid w:val="00411DB6"/>
    <w:rsid w:val="004123A5"/>
    <w:rsid w:val="0041263D"/>
    <w:rsid w:val="00412D65"/>
    <w:rsid w:val="00414119"/>
    <w:rsid w:val="00414220"/>
    <w:rsid w:val="0041436D"/>
    <w:rsid w:val="00414808"/>
    <w:rsid w:val="0041491D"/>
    <w:rsid w:val="00414E7A"/>
    <w:rsid w:val="0041519E"/>
    <w:rsid w:val="00415799"/>
    <w:rsid w:val="004158CA"/>
    <w:rsid w:val="00415FEA"/>
    <w:rsid w:val="00416133"/>
    <w:rsid w:val="00416692"/>
    <w:rsid w:val="00416876"/>
    <w:rsid w:val="00416A80"/>
    <w:rsid w:val="00416D07"/>
    <w:rsid w:val="00416E35"/>
    <w:rsid w:val="00417075"/>
    <w:rsid w:val="00417143"/>
    <w:rsid w:val="00417465"/>
    <w:rsid w:val="00417837"/>
    <w:rsid w:val="00417B66"/>
    <w:rsid w:val="00417CDF"/>
    <w:rsid w:val="0042033C"/>
    <w:rsid w:val="00420374"/>
    <w:rsid w:val="00420746"/>
    <w:rsid w:val="00420BA3"/>
    <w:rsid w:val="00420DD4"/>
    <w:rsid w:val="00420FF5"/>
    <w:rsid w:val="004214D0"/>
    <w:rsid w:val="00421ADA"/>
    <w:rsid w:val="00421F2A"/>
    <w:rsid w:val="0042204F"/>
    <w:rsid w:val="004223D8"/>
    <w:rsid w:val="004226D5"/>
    <w:rsid w:val="00422D2B"/>
    <w:rsid w:val="004232A1"/>
    <w:rsid w:val="00423426"/>
    <w:rsid w:val="004234D2"/>
    <w:rsid w:val="004236AB"/>
    <w:rsid w:val="004237E7"/>
    <w:rsid w:val="0042391D"/>
    <w:rsid w:val="00423B00"/>
    <w:rsid w:val="00423C69"/>
    <w:rsid w:val="00423DAD"/>
    <w:rsid w:val="00423E16"/>
    <w:rsid w:val="00423F38"/>
    <w:rsid w:val="00424896"/>
    <w:rsid w:val="004250DA"/>
    <w:rsid w:val="00425249"/>
    <w:rsid w:val="00425449"/>
    <w:rsid w:val="00425952"/>
    <w:rsid w:val="00425A81"/>
    <w:rsid w:val="00425B3F"/>
    <w:rsid w:val="00425F8F"/>
    <w:rsid w:val="00426835"/>
    <w:rsid w:val="0042683B"/>
    <w:rsid w:val="00426AC1"/>
    <w:rsid w:val="00426C7C"/>
    <w:rsid w:val="00426CF9"/>
    <w:rsid w:val="00426E6B"/>
    <w:rsid w:val="00427046"/>
    <w:rsid w:val="00427B12"/>
    <w:rsid w:val="00427C19"/>
    <w:rsid w:val="00427FC5"/>
    <w:rsid w:val="00430062"/>
    <w:rsid w:val="0043009D"/>
    <w:rsid w:val="004300B6"/>
    <w:rsid w:val="004300D2"/>
    <w:rsid w:val="004301F2"/>
    <w:rsid w:val="004304CE"/>
    <w:rsid w:val="004305E2"/>
    <w:rsid w:val="00430B7F"/>
    <w:rsid w:val="00431144"/>
    <w:rsid w:val="0043135F"/>
    <w:rsid w:val="004314C5"/>
    <w:rsid w:val="00431FEC"/>
    <w:rsid w:val="0043213F"/>
    <w:rsid w:val="004328FB"/>
    <w:rsid w:val="00432915"/>
    <w:rsid w:val="00432AAF"/>
    <w:rsid w:val="00433556"/>
    <w:rsid w:val="00433650"/>
    <w:rsid w:val="0043390F"/>
    <w:rsid w:val="00433A03"/>
    <w:rsid w:val="004341DE"/>
    <w:rsid w:val="00434460"/>
    <w:rsid w:val="004346C0"/>
    <w:rsid w:val="00434F94"/>
    <w:rsid w:val="00434FA9"/>
    <w:rsid w:val="00434FAD"/>
    <w:rsid w:val="0043595C"/>
    <w:rsid w:val="00435CEA"/>
    <w:rsid w:val="00435F24"/>
    <w:rsid w:val="00436266"/>
    <w:rsid w:val="004364C9"/>
    <w:rsid w:val="004369B3"/>
    <w:rsid w:val="004369CB"/>
    <w:rsid w:val="00437560"/>
    <w:rsid w:val="00440283"/>
    <w:rsid w:val="004402A9"/>
    <w:rsid w:val="004404CD"/>
    <w:rsid w:val="0044073C"/>
    <w:rsid w:val="0044088C"/>
    <w:rsid w:val="00440CA7"/>
    <w:rsid w:val="00440CAD"/>
    <w:rsid w:val="00440E76"/>
    <w:rsid w:val="00440F8C"/>
    <w:rsid w:val="0044147E"/>
    <w:rsid w:val="00441562"/>
    <w:rsid w:val="00441A4F"/>
    <w:rsid w:val="00441F73"/>
    <w:rsid w:val="0044266D"/>
    <w:rsid w:val="004429AC"/>
    <w:rsid w:val="00442B4B"/>
    <w:rsid w:val="00443132"/>
    <w:rsid w:val="004433B4"/>
    <w:rsid w:val="0044346C"/>
    <w:rsid w:val="00443565"/>
    <w:rsid w:val="0044394C"/>
    <w:rsid w:val="00444307"/>
    <w:rsid w:val="004450F8"/>
    <w:rsid w:val="004453DD"/>
    <w:rsid w:val="00445783"/>
    <w:rsid w:val="004458EC"/>
    <w:rsid w:val="00445DA1"/>
    <w:rsid w:val="00445E91"/>
    <w:rsid w:val="00446618"/>
    <w:rsid w:val="00446789"/>
    <w:rsid w:val="004468E9"/>
    <w:rsid w:val="00446B01"/>
    <w:rsid w:val="00446FD1"/>
    <w:rsid w:val="00447006"/>
    <w:rsid w:val="004471BD"/>
    <w:rsid w:val="004474C2"/>
    <w:rsid w:val="004476E3"/>
    <w:rsid w:val="004478FB"/>
    <w:rsid w:val="00447A53"/>
    <w:rsid w:val="00447BD3"/>
    <w:rsid w:val="0045009B"/>
    <w:rsid w:val="0045021E"/>
    <w:rsid w:val="00450235"/>
    <w:rsid w:val="004508D4"/>
    <w:rsid w:val="004509B2"/>
    <w:rsid w:val="00450DB3"/>
    <w:rsid w:val="0045160D"/>
    <w:rsid w:val="004517C5"/>
    <w:rsid w:val="00451A2D"/>
    <w:rsid w:val="00451CD9"/>
    <w:rsid w:val="00451DC0"/>
    <w:rsid w:val="00451F60"/>
    <w:rsid w:val="00452AAD"/>
    <w:rsid w:val="0045329A"/>
    <w:rsid w:val="00453797"/>
    <w:rsid w:val="004537F8"/>
    <w:rsid w:val="00453DF5"/>
    <w:rsid w:val="0045418F"/>
    <w:rsid w:val="00454298"/>
    <w:rsid w:val="004544C8"/>
    <w:rsid w:val="00454CF7"/>
    <w:rsid w:val="00454E52"/>
    <w:rsid w:val="00455290"/>
    <w:rsid w:val="004553AF"/>
    <w:rsid w:val="004557AE"/>
    <w:rsid w:val="0045582A"/>
    <w:rsid w:val="00455907"/>
    <w:rsid w:val="0045594C"/>
    <w:rsid w:val="00455BB4"/>
    <w:rsid w:val="00455CEC"/>
    <w:rsid w:val="00456674"/>
    <w:rsid w:val="0045678B"/>
    <w:rsid w:val="00457719"/>
    <w:rsid w:val="00457799"/>
    <w:rsid w:val="00457E27"/>
    <w:rsid w:val="00460156"/>
    <w:rsid w:val="00460177"/>
    <w:rsid w:val="004605F3"/>
    <w:rsid w:val="00460721"/>
    <w:rsid w:val="00460CBD"/>
    <w:rsid w:val="00460D0F"/>
    <w:rsid w:val="004610E0"/>
    <w:rsid w:val="0046157F"/>
    <w:rsid w:val="004615B9"/>
    <w:rsid w:val="00461648"/>
    <w:rsid w:val="004616D3"/>
    <w:rsid w:val="00461A0E"/>
    <w:rsid w:val="00461E4A"/>
    <w:rsid w:val="0046205C"/>
    <w:rsid w:val="00462671"/>
    <w:rsid w:val="0046278B"/>
    <w:rsid w:val="0046278D"/>
    <w:rsid w:val="004627C2"/>
    <w:rsid w:val="00462986"/>
    <w:rsid w:val="00462C35"/>
    <w:rsid w:val="0046303E"/>
    <w:rsid w:val="004631B3"/>
    <w:rsid w:val="004636F1"/>
    <w:rsid w:val="00463757"/>
    <w:rsid w:val="00463884"/>
    <w:rsid w:val="0046399E"/>
    <w:rsid w:val="00463BFF"/>
    <w:rsid w:val="00463D36"/>
    <w:rsid w:val="00464ACA"/>
    <w:rsid w:val="00465036"/>
    <w:rsid w:val="00465218"/>
    <w:rsid w:val="00465B2F"/>
    <w:rsid w:val="00465B78"/>
    <w:rsid w:val="00465C9C"/>
    <w:rsid w:val="00465D5F"/>
    <w:rsid w:val="00466016"/>
    <w:rsid w:val="0046656A"/>
    <w:rsid w:val="004666AC"/>
    <w:rsid w:val="00466AAC"/>
    <w:rsid w:val="00466EBE"/>
    <w:rsid w:val="004675C3"/>
    <w:rsid w:val="00467628"/>
    <w:rsid w:val="0046765A"/>
    <w:rsid w:val="0046771A"/>
    <w:rsid w:val="00467E5B"/>
    <w:rsid w:val="00467EEF"/>
    <w:rsid w:val="00467EF9"/>
    <w:rsid w:val="0047002C"/>
    <w:rsid w:val="004705B5"/>
    <w:rsid w:val="00470F36"/>
    <w:rsid w:val="004716AB"/>
    <w:rsid w:val="0047176C"/>
    <w:rsid w:val="0047181E"/>
    <w:rsid w:val="00471862"/>
    <w:rsid w:val="004719B9"/>
    <w:rsid w:val="00471D3E"/>
    <w:rsid w:val="004721E9"/>
    <w:rsid w:val="004721ED"/>
    <w:rsid w:val="0047240F"/>
    <w:rsid w:val="00472562"/>
    <w:rsid w:val="004727B2"/>
    <w:rsid w:val="00472E86"/>
    <w:rsid w:val="004730B1"/>
    <w:rsid w:val="00473471"/>
    <w:rsid w:val="004734E9"/>
    <w:rsid w:val="00473AB1"/>
    <w:rsid w:val="00473F2A"/>
    <w:rsid w:val="00473FAD"/>
    <w:rsid w:val="004740B7"/>
    <w:rsid w:val="00474368"/>
    <w:rsid w:val="0047436C"/>
    <w:rsid w:val="00474558"/>
    <w:rsid w:val="004745D6"/>
    <w:rsid w:val="004748C6"/>
    <w:rsid w:val="00475024"/>
    <w:rsid w:val="004755B1"/>
    <w:rsid w:val="00475681"/>
    <w:rsid w:val="00475AD8"/>
    <w:rsid w:val="00475B62"/>
    <w:rsid w:val="00475C5F"/>
    <w:rsid w:val="00476731"/>
    <w:rsid w:val="00476BAB"/>
    <w:rsid w:val="00476E5A"/>
    <w:rsid w:val="004776DB"/>
    <w:rsid w:val="004778B3"/>
    <w:rsid w:val="004779C7"/>
    <w:rsid w:val="00477BCD"/>
    <w:rsid w:val="0048007D"/>
    <w:rsid w:val="004801E0"/>
    <w:rsid w:val="0048035B"/>
    <w:rsid w:val="00480952"/>
    <w:rsid w:val="004810C9"/>
    <w:rsid w:val="0048127B"/>
    <w:rsid w:val="004816A3"/>
    <w:rsid w:val="00481928"/>
    <w:rsid w:val="0048192D"/>
    <w:rsid w:val="00481F3F"/>
    <w:rsid w:val="00482283"/>
    <w:rsid w:val="00482294"/>
    <w:rsid w:val="00482455"/>
    <w:rsid w:val="00482937"/>
    <w:rsid w:val="00482B0B"/>
    <w:rsid w:val="00482B97"/>
    <w:rsid w:val="00483085"/>
    <w:rsid w:val="0048308E"/>
    <w:rsid w:val="0048350B"/>
    <w:rsid w:val="00483658"/>
    <w:rsid w:val="00483AD6"/>
    <w:rsid w:val="00483B0C"/>
    <w:rsid w:val="004840E0"/>
    <w:rsid w:val="004841D4"/>
    <w:rsid w:val="0048435E"/>
    <w:rsid w:val="00484AC7"/>
    <w:rsid w:val="00484F84"/>
    <w:rsid w:val="004850C1"/>
    <w:rsid w:val="00485147"/>
    <w:rsid w:val="0048516F"/>
    <w:rsid w:val="00485211"/>
    <w:rsid w:val="00485C5E"/>
    <w:rsid w:val="00485CDB"/>
    <w:rsid w:val="00486245"/>
    <w:rsid w:val="004862B7"/>
    <w:rsid w:val="00486342"/>
    <w:rsid w:val="004863CB"/>
    <w:rsid w:val="00486AAC"/>
    <w:rsid w:val="00486B38"/>
    <w:rsid w:val="00486DD0"/>
    <w:rsid w:val="00486DEA"/>
    <w:rsid w:val="00487237"/>
    <w:rsid w:val="0048784B"/>
    <w:rsid w:val="004878DA"/>
    <w:rsid w:val="00487BF6"/>
    <w:rsid w:val="00487DDC"/>
    <w:rsid w:val="00487FC8"/>
    <w:rsid w:val="00490829"/>
    <w:rsid w:val="00490AC1"/>
    <w:rsid w:val="00490BDD"/>
    <w:rsid w:val="00490CFF"/>
    <w:rsid w:val="00490DAD"/>
    <w:rsid w:val="00490EFC"/>
    <w:rsid w:val="00490F42"/>
    <w:rsid w:val="00491194"/>
    <w:rsid w:val="00491358"/>
    <w:rsid w:val="00491AA8"/>
    <w:rsid w:val="00491CBC"/>
    <w:rsid w:val="004922F7"/>
    <w:rsid w:val="00492320"/>
    <w:rsid w:val="0049253D"/>
    <w:rsid w:val="004927D3"/>
    <w:rsid w:val="004929CF"/>
    <w:rsid w:val="00493333"/>
    <w:rsid w:val="00493CC2"/>
    <w:rsid w:val="00493D2A"/>
    <w:rsid w:val="00493E2D"/>
    <w:rsid w:val="00493EC9"/>
    <w:rsid w:val="00494091"/>
    <w:rsid w:val="00494356"/>
    <w:rsid w:val="004944D3"/>
    <w:rsid w:val="0049462B"/>
    <w:rsid w:val="004947B2"/>
    <w:rsid w:val="004949D6"/>
    <w:rsid w:val="00494E6B"/>
    <w:rsid w:val="00495231"/>
    <w:rsid w:val="0049531A"/>
    <w:rsid w:val="0049532E"/>
    <w:rsid w:val="0049560F"/>
    <w:rsid w:val="00495837"/>
    <w:rsid w:val="00495BE1"/>
    <w:rsid w:val="004964B2"/>
    <w:rsid w:val="00496589"/>
    <w:rsid w:val="00496A4C"/>
    <w:rsid w:val="00496B9B"/>
    <w:rsid w:val="00496D71"/>
    <w:rsid w:val="004970EC"/>
    <w:rsid w:val="004971B4"/>
    <w:rsid w:val="004978E0"/>
    <w:rsid w:val="00497AE3"/>
    <w:rsid w:val="00497ECE"/>
    <w:rsid w:val="004A007E"/>
    <w:rsid w:val="004A00C3"/>
    <w:rsid w:val="004A02A4"/>
    <w:rsid w:val="004A0619"/>
    <w:rsid w:val="004A06CF"/>
    <w:rsid w:val="004A08D0"/>
    <w:rsid w:val="004A0AF9"/>
    <w:rsid w:val="004A0B4E"/>
    <w:rsid w:val="004A0BA8"/>
    <w:rsid w:val="004A0CE2"/>
    <w:rsid w:val="004A11AE"/>
    <w:rsid w:val="004A153C"/>
    <w:rsid w:val="004A1629"/>
    <w:rsid w:val="004A19AC"/>
    <w:rsid w:val="004A1A91"/>
    <w:rsid w:val="004A1BA1"/>
    <w:rsid w:val="004A1E84"/>
    <w:rsid w:val="004A1EDA"/>
    <w:rsid w:val="004A23D3"/>
    <w:rsid w:val="004A281A"/>
    <w:rsid w:val="004A2AC3"/>
    <w:rsid w:val="004A2B2C"/>
    <w:rsid w:val="004A30CC"/>
    <w:rsid w:val="004A30F3"/>
    <w:rsid w:val="004A3113"/>
    <w:rsid w:val="004A3648"/>
    <w:rsid w:val="004A39EA"/>
    <w:rsid w:val="004A3BAB"/>
    <w:rsid w:val="004A3C68"/>
    <w:rsid w:val="004A3EFF"/>
    <w:rsid w:val="004A41FB"/>
    <w:rsid w:val="004A42CD"/>
    <w:rsid w:val="004A475F"/>
    <w:rsid w:val="004A4E61"/>
    <w:rsid w:val="004A5283"/>
    <w:rsid w:val="004A5B24"/>
    <w:rsid w:val="004A5B8F"/>
    <w:rsid w:val="004A5BEF"/>
    <w:rsid w:val="004A5CB8"/>
    <w:rsid w:val="004A5D3A"/>
    <w:rsid w:val="004A61F7"/>
    <w:rsid w:val="004A6204"/>
    <w:rsid w:val="004A641B"/>
    <w:rsid w:val="004A643D"/>
    <w:rsid w:val="004A68AE"/>
    <w:rsid w:val="004A694A"/>
    <w:rsid w:val="004A6F3A"/>
    <w:rsid w:val="004A700B"/>
    <w:rsid w:val="004B0274"/>
    <w:rsid w:val="004B0281"/>
    <w:rsid w:val="004B0715"/>
    <w:rsid w:val="004B0A4A"/>
    <w:rsid w:val="004B0B26"/>
    <w:rsid w:val="004B0CDF"/>
    <w:rsid w:val="004B1043"/>
    <w:rsid w:val="004B13C5"/>
    <w:rsid w:val="004B13F7"/>
    <w:rsid w:val="004B142D"/>
    <w:rsid w:val="004B1788"/>
    <w:rsid w:val="004B1E41"/>
    <w:rsid w:val="004B1EDF"/>
    <w:rsid w:val="004B1F42"/>
    <w:rsid w:val="004B26CD"/>
    <w:rsid w:val="004B2741"/>
    <w:rsid w:val="004B2914"/>
    <w:rsid w:val="004B2D7B"/>
    <w:rsid w:val="004B2F68"/>
    <w:rsid w:val="004B2F96"/>
    <w:rsid w:val="004B330A"/>
    <w:rsid w:val="004B3A59"/>
    <w:rsid w:val="004B3D43"/>
    <w:rsid w:val="004B3FED"/>
    <w:rsid w:val="004B45CB"/>
    <w:rsid w:val="004B45EF"/>
    <w:rsid w:val="004B4F5F"/>
    <w:rsid w:val="004B53BF"/>
    <w:rsid w:val="004B557C"/>
    <w:rsid w:val="004B55C7"/>
    <w:rsid w:val="004B59E7"/>
    <w:rsid w:val="004B5FE2"/>
    <w:rsid w:val="004B6226"/>
    <w:rsid w:val="004B6339"/>
    <w:rsid w:val="004B638C"/>
    <w:rsid w:val="004B6681"/>
    <w:rsid w:val="004B6D35"/>
    <w:rsid w:val="004B7524"/>
    <w:rsid w:val="004B765F"/>
    <w:rsid w:val="004B76E8"/>
    <w:rsid w:val="004B7DBF"/>
    <w:rsid w:val="004B7EDA"/>
    <w:rsid w:val="004C0219"/>
    <w:rsid w:val="004C059B"/>
    <w:rsid w:val="004C1690"/>
    <w:rsid w:val="004C1756"/>
    <w:rsid w:val="004C1BA0"/>
    <w:rsid w:val="004C1BBC"/>
    <w:rsid w:val="004C1CC4"/>
    <w:rsid w:val="004C1F2A"/>
    <w:rsid w:val="004C21D0"/>
    <w:rsid w:val="004C2384"/>
    <w:rsid w:val="004C2BA8"/>
    <w:rsid w:val="004C32C2"/>
    <w:rsid w:val="004C3437"/>
    <w:rsid w:val="004C37D2"/>
    <w:rsid w:val="004C38C2"/>
    <w:rsid w:val="004C3923"/>
    <w:rsid w:val="004C42C5"/>
    <w:rsid w:val="004C4391"/>
    <w:rsid w:val="004C4578"/>
    <w:rsid w:val="004C47DF"/>
    <w:rsid w:val="004C4870"/>
    <w:rsid w:val="004C4F99"/>
    <w:rsid w:val="004C4FBE"/>
    <w:rsid w:val="004C5315"/>
    <w:rsid w:val="004C53DB"/>
    <w:rsid w:val="004C5659"/>
    <w:rsid w:val="004C5D58"/>
    <w:rsid w:val="004C5E28"/>
    <w:rsid w:val="004C5EE0"/>
    <w:rsid w:val="004C616B"/>
    <w:rsid w:val="004C6AD8"/>
    <w:rsid w:val="004C6B3C"/>
    <w:rsid w:val="004C6E98"/>
    <w:rsid w:val="004C7173"/>
    <w:rsid w:val="004C7390"/>
    <w:rsid w:val="004C7E96"/>
    <w:rsid w:val="004D012B"/>
    <w:rsid w:val="004D01A4"/>
    <w:rsid w:val="004D0446"/>
    <w:rsid w:val="004D0607"/>
    <w:rsid w:val="004D0851"/>
    <w:rsid w:val="004D105D"/>
    <w:rsid w:val="004D1260"/>
    <w:rsid w:val="004D1358"/>
    <w:rsid w:val="004D1360"/>
    <w:rsid w:val="004D157B"/>
    <w:rsid w:val="004D1812"/>
    <w:rsid w:val="004D1B04"/>
    <w:rsid w:val="004D286F"/>
    <w:rsid w:val="004D2A2F"/>
    <w:rsid w:val="004D2E05"/>
    <w:rsid w:val="004D3124"/>
    <w:rsid w:val="004D38E3"/>
    <w:rsid w:val="004D4163"/>
    <w:rsid w:val="004D4590"/>
    <w:rsid w:val="004D4788"/>
    <w:rsid w:val="004D4B86"/>
    <w:rsid w:val="004D5175"/>
    <w:rsid w:val="004D53DF"/>
    <w:rsid w:val="004D5546"/>
    <w:rsid w:val="004D56F6"/>
    <w:rsid w:val="004D573C"/>
    <w:rsid w:val="004D579B"/>
    <w:rsid w:val="004D5877"/>
    <w:rsid w:val="004D5D04"/>
    <w:rsid w:val="004D61B5"/>
    <w:rsid w:val="004D6434"/>
    <w:rsid w:val="004D65E8"/>
    <w:rsid w:val="004D691C"/>
    <w:rsid w:val="004D6C0F"/>
    <w:rsid w:val="004D6CD3"/>
    <w:rsid w:val="004D6DD7"/>
    <w:rsid w:val="004D73AC"/>
    <w:rsid w:val="004D7FC9"/>
    <w:rsid w:val="004E05A6"/>
    <w:rsid w:val="004E0780"/>
    <w:rsid w:val="004E1146"/>
    <w:rsid w:val="004E1271"/>
    <w:rsid w:val="004E1379"/>
    <w:rsid w:val="004E19B3"/>
    <w:rsid w:val="004E1B5C"/>
    <w:rsid w:val="004E2095"/>
    <w:rsid w:val="004E263F"/>
    <w:rsid w:val="004E2A34"/>
    <w:rsid w:val="004E2DD9"/>
    <w:rsid w:val="004E2F1C"/>
    <w:rsid w:val="004E33E1"/>
    <w:rsid w:val="004E3501"/>
    <w:rsid w:val="004E3752"/>
    <w:rsid w:val="004E386A"/>
    <w:rsid w:val="004E3B8D"/>
    <w:rsid w:val="004E4350"/>
    <w:rsid w:val="004E496D"/>
    <w:rsid w:val="004E49FF"/>
    <w:rsid w:val="004E53C3"/>
    <w:rsid w:val="004E60CF"/>
    <w:rsid w:val="004E61A1"/>
    <w:rsid w:val="004E6398"/>
    <w:rsid w:val="004E64EA"/>
    <w:rsid w:val="004E66E3"/>
    <w:rsid w:val="004E6921"/>
    <w:rsid w:val="004E6BC5"/>
    <w:rsid w:val="004E6C14"/>
    <w:rsid w:val="004E6E70"/>
    <w:rsid w:val="004E6FDD"/>
    <w:rsid w:val="004E74CA"/>
    <w:rsid w:val="004E74F6"/>
    <w:rsid w:val="004E751E"/>
    <w:rsid w:val="004E7A30"/>
    <w:rsid w:val="004E7BA7"/>
    <w:rsid w:val="004E7E0C"/>
    <w:rsid w:val="004F0242"/>
    <w:rsid w:val="004F03FB"/>
    <w:rsid w:val="004F0AA8"/>
    <w:rsid w:val="004F0E4E"/>
    <w:rsid w:val="004F17CA"/>
    <w:rsid w:val="004F1831"/>
    <w:rsid w:val="004F19A8"/>
    <w:rsid w:val="004F1D64"/>
    <w:rsid w:val="004F20C6"/>
    <w:rsid w:val="004F2602"/>
    <w:rsid w:val="004F2989"/>
    <w:rsid w:val="004F2991"/>
    <w:rsid w:val="004F2D79"/>
    <w:rsid w:val="004F302D"/>
    <w:rsid w:val="004F3213"/>
    <w:rsid w:val="004F336A"/>
    <w:rsid w:val="004F3D6F"/>
    <w:rsid w:val="004F43B0"/>
    <w:rsid w:val="004F45BA"/>
    <w:rsid w:val="004F4604"/>
    <w:rsid w:val="004F490C"/>
    <w:rsid w:val="004F4C14"/>
    <w:rsid w:val="004F5111"/>
    <w:rsid w:val="004F54E3"/>
    <w:rsid w:val="004F5C2B"/>
    <w:rsid w:val="004F615E"/>
    <w:rsid w:val="004F619F"/>
    <w:rsid w:val="004F621E"/>
    <w:rsid w:val="004F6941"/>
    <w:rsid w:val="004F6947"/>
    <w:rsid w:val="004F6CDA"/>
    <w:rsid w:val="004F6ED8"/>
    <w:rsid w:val="004F6F59"/>
    <w:rsid w:val="004F7049"/>
    <w:rsid w:val="004F72AA"/>
    <w:rsid w:val="004F72B8"/>
    <w:rsid w:val="004F73F8"/>
    <w:rsid w:val="004F79A9"/>
    <w:rsid w:val="004F7B73"/>
    <w:rsid w:val="004F7D5A"/>
    <w:rsid w:val="005003BA"/>
    <w:rsid w:val="005007D8"/>
    <w:rsid w:val="00500B08"/>
    <w:rsid w:val="00500F06"/>
    <w:rsid w:val="0050135A"/>
    <w:rsid w:val="0050166A"/>
    <w:rsid w:val="00501B2F"/>
    <w:rsid w:val="00501B42"/>
    <w:rsid w:val="00502164"/>
    <w:rsid w:val="005021D9"/>
    <w:rsid w:val="00502665"/>
    <w:rsid w:val="005026BF"/>
    <w:rsid w:val="005029CB"/>
    <w:rsid w:val="00503063"/>
    <w:rsid w:val="00503367"/>
    <w:rsid w:val="00503684"/>
    <w:rsid w:val="00503B43"/>
    <w:rsid w:val="005044DE"/>
    <w:rsid w:val="00504839"/>
    <w:rsid w:val="00504A7E"/>
    <w:rsid w:val="0050539E"/>
    <w:rsid w:val="005056AE"/>
    <w:rsid w:val="005057AF"/>
    <w:rsid w:val="00505897"/>
    <w:rsid w:val="005058FA"/>
    <w:rsid w:val="0050595C"/>
    <w:rsid w:val="00505B39"/>
    <w:rsid w:val="00505BC8"/>
    <w:rsid w:val="00505CAC"/>
    <w:rsid w:val="005067F6"/>
    <w:rsid w:val="0050701A"/>
    <w:rsid w:val="005076E3"/>
    <w:rsid w:val="005079CA"/>
    <w:rsid w:val="00507BCD"/>
    <w:rsid w:val="00507C4E"/>
    <w:rsid w:val="00507E38"/>
    <w:rsid w:val="00510BF5"/>
    <w:rsid w:val="00510D97"/>
    <w:rsid w:val="00511691"/>
    <w:rsid w:val="00511702"/>
    <w:rsid w:val="00511FE9"/>
    <w:rsid w:val="00512058"/>
    <w:rsid w:val="00512258"/>
    <w:rsid w:val="005122E7"/>
    <w:rsid w:val="00512584"/>
    <w:rsid w:val="00512AAF"/>
    <w:rsid w:val="00512E4D"/>
    <w:rsid w:val="00512F1C"/>
    <w:rsid w:val="00513479"/>
    <w:rsid w:val="0051369D"/>
    <w:rsid w:val="005138BE"/>
    <w:rsid w:val="0051395C"/>
    <w:rsid w:val="00513D8D"/>
    <w:rsid w:val="00514037"/>
    <w:rsid w:val="00514089"/>
    <w:rsid w:val="0051419F"/>
    <w:rsid w:val="00514242"/>
    <w:rsid w:val="00514247"/>
    <w:rsid w:val="005147E3"/>
    <w:rsid w:val="00514B5A"/>
    <w:rsid w:val="00514D2A"/>
    <w:rsid w:val="00515216"/>
    <w:rsid w:val="00515417"/>
    <w:rsid w:val="005154D0"/>
    <w:rsid w:val="00515524"/>
    <w:rsid w:val="00515629"/>
    <w:rsid w:val="0051580A"/>
    <w:rsid w:val="00515839"/>
    <w:rsid w:val="00515A8F"/>
    <w:rsid w:val="00515AB1"/>
    <w:rsid w:val="00515CC0"/>
    <w:rsid w:val="00516075"/>
    <w:rsid w:val="00516515"/>
    <w:rsid w:val="0051671C"/>
    <w:rsid w:val="00516B32"/>
    <w:rsid w:val="00516C58"/>
    <w:rsid w:val="0051717C"/>
    <w:rsid w:val="0051759B"/>
    <w:rsid w:val="00517624"/>
    <w:rsid w:val="005179DF"/>
    <w:rsid w:val="00520206"/>
    <w:rsid w:val="0052047B"/>
    <w:rsid w:val="005204FF"/>
    <w:rsid w:val="00520614"/>
    <w:rsid w:val="00520FC7"/>
    <w:rsid w:val="005210F2"/>
    <w:rsid w:val="005219A7"/>
    <w:rsid w:val="00521B53"/>
    <w:rsid w:val="00521BCB"/>
    <w:rsid w:val="00522102"/>
    <w:rsid w:val="005221AE"/>
    <w:rsid w:val="00522479"/>
    <w:rsid w:val="005227A7"/>
    <w:rsid w:val="00522AB6"/>
    <w:rsid w:val="00522BB5"/>
    <w:rsid w:val="00522DD5"/>
    <w:rsid w:val="005232D8"/>
    <w:rsid w:val="005239D4"/>
    <w:rsid w:val="00524355"/>
    <w:rsid w:val="00524457"/>
    <w:rsid w:val="005245BF"/>
    <w:rsid w:val="00524602"/>
    <w:rsid w:val="00524696"/>
    <w:rsid w:val="00524D7D"/>
    <w:rsid w:val="00525105"/>
    <w:rsid w:val="005252E8"/>
    <w:rsid w:val="0052539B"/>
    <w:rsid w:val="00526247"/>
    <w:rsid w:val="0052701C"/>
    <w:rsid w:val="00527582"/>
    <w:rsid w:val="005277A2"/>
    <w:rsid w:val="005278AE"/>
    <w:rsid w:val="00527AA3"/>
    <w:rsid w:val="00527B04"/>
    <w:rsid w:val="00527D23"/>
    <w:rsid w:val="005301E2"/>
    <w:rsid w:val="005307A6"/>
    <w:rsid w:val="00530956"/>
    <w:rsid w:val="00530ABD"/>
    <w:rsid w:val="00531074"/>
    <w:rsid w:val="0053144D"/>
    <w:rsid w:val="00531709"/>
    <w:rsid w:val="00531AB2"/>
    <w:rsid w:val="00531D17"/>
    <w:rsid w:val="00531F1B"/>
    <w:rsid w:val="005326B1"/>
    <w:rsid w:val="005326D7"/>
    <w:rsid w:val="00532732"/>
    <w:rsid w:val="00532848"/>
    <w:rsid w:val="00532B31"/>
    <w:rsid w:val="00532BF0"/>
    <w:rsid w:val="00532CFC"/>
    <w:rsid w:val="00532DED"/>
    <w:rsid w:val="00532EB4"/>
    <w:rsid w:val="00533301"/>
    <w:rsid w:val="0053384D"/>
    <w:rsid w:val="005338D2"/>
    <w:rsid w:val="00533F0A"/>
    <w:rsid w:val="00533F74"/>
    <w:rsid w:val="005340F3"/>
    <w:rsid w:val="0053439A"/>
    <w:rsid w:val="005346BA"/>
    <w:rsid w:val="005348D7"/>
    <w:rsid w:val="00534F54"/>
    <w:rsid w:val="00534FF5"/>
    <w:rsid w:val="00535A11"/>
    <w:rsid w:val="00536656"/>
    <w:rsid w:val="00536667"/>
    <w:rsid w:val="00536AD6"/>
    <w:rsid w:val="00536E76"/>
    <w:rsid w:val="00536FAA"/>
    <w:rsid w:val="005371E3"/>
    <w:rsid w:val="00537B11"/>
    <w:rsid w:val="005404BD"/>
    <w:rsid w:val="005405E6"/>
    <w:rsid w:val="005407CD"/>
    <w:rsid w:val="00540A8B"/>
    <w:rsid w:val="00540A9D"/>
    <w:rsid w:val="00540AB6"/>
    <w:rsid w:val="00540C97"/>
    <w:rsid w:val="00540C98"/>
    <w:rsid w:val="00540FAB"/>
    <w:rsid w:val="0054162B"/>
    <w:rsid w:val="00541822"/>
    <w:rsid w:val="00541F72"/>
    <w:rsid w:val="00542079"/>
    <w:rsid w:val="005420A2"/>
    <w:rsid w:val="00542643"/>
    <w:rsid w:val="00542675"/>
    <w:rsid w:val="00542807"/>
    <w:rsid w:val="005428CE"/>
    <w:rsid w:val="00542C46"/>
    <w:rsid w:val="00542DF0"/>
    <w:rsid w:val="00542EE1"/>
    <w:rsid w:val="005433A4"/>
    <w:rsid w:val="00543A4A"/>
    <w:rsid w:val="00543C0E"/>
    <w:rsid w:val="00543E89"/>
    <w:rsid w:val="0054409B"/>
    <w:rsid w:val="005442BA"/>
    <w:rsid w:val="005444A2"/>
    <w:rsid w:val="0054454F"/>
    <w:rsid w:val="00544E2D"/>
    <w:rsid w:val="00545135"/>
    <w:rsid w:val="00545592"/>
    <w:rsid w:val="00545DE7"/>
    <w:rsid w:val="005460EB"/>
    <w:rsid w:val="00546872"/>
    <w:rsid w:val="005471E8"/>
    <w:rsid w:val="0054732B"/>
    <w:rsid w:val="005478DF"/>
    <w:rsid w:val="00547B48"/>
    <w:rsid w:val="00547BBE"/>
    <w:rsid w:val="00547C9B"/>
    <w:rsid w:val="00547F3E"/>
    <w:rsid w:val="005506C9"/>
    <w:rsid w:val="00550D0C"/>
    <w:rsid w:val="00550D16"/>
    <w:rsid w:val="005514B8"/>
    <w:rsid w:val="00552036"/>
    <w:rsid w:val="005524A2"/>
    <w:rsid w:val="0055259C"/>
    <w:rsid w:val="005526B7"/>
    <w:rsid w:val="00552C6C"/>
    <w:rsid w:val="005533C9"/>
    <w:rsid w:val="005535D1"/>
    <w:rsid w:val="00553916"/>
    <w:rsid w:val="00553A21"/>
    <w:rsid w:val="005544ED"/>
    <w:rsid w:val="00554545"/>
    <w:rsid w:val="005545FA"/>
    <w:rsid w:val="005546E9"/>
    <w:rsid w:val="0055472A"/>
    <w:rsid w:val="00554978"/>
    <w:rsid w:val="005549C3"/>
    <w:rsid w:val="00554B45"/>
    <w:rsid w:val="00554B8C"/>
    <w:rsid w:val="00554F1B"/>
    <w:rsid w:val="00555B81"/>
    <w:rsid w:val="0055647F"/>
    <w:rsid w:val="00556709"/>
    <w:rsid w:val="005567EA"/>
    <w:rsid w:val="00556825"/>
    <w:rsid w:val="00557007"/>
    <w:rsid w:val="005572AF"/>
    <w:rsid w:val="00557354"/>
    <w:rsid w:val="00557373"/>
    <w:rsid w:val="0055742E"/>
    <w:rsid w:val="005575E1"/>
    <w:rsid w:val="005575FE"/>
    <w:rsid w:val="005576D9"/>
    <w:rsid w:val="00557A12"/>
    <w:rsid w:val="00557B33"/>
    <w:rsid w:val="00557B69"/>
    <w:rsid w:val="005601F2"/>
    <w:rsid w:val="00560255"/>
    <w:rsid w:val="005602C6"/>
    <w:rsid w:val="0056035D"/>
    <w:rsid w:val="0056037F"/>
    <w:rsid w:val="00561231"/>
    <w:rsid w:val="00561436"/>
    <w:rsid w:val="005614B1"/>
    <w:rsid w:val="00561D8B"/>
    <w:rsid w:val="00561E9A"/>
    <w:rsid w:val="00561EEC"/>
    <w:rsid w:val="00561FDC"/>
    <w:rsid w:val="00562141"/>
    <w:rsid w:val="005621DD"/>
    <w:rsid w:val="00562250"/>
    <w:rsid w:val="005625D5"/>
    <w:rsid w:val="00562A6A"/>
    <w:rsid w:val="00562EC1"/>
    <w:rsid w:val="00562F68"/>
    <w:rsid w:val="0056313B"/>
    <w:rsid w:val="00563189"/>
    <w:rsid w:val="00563F73"/>
    <w:rsid w:val="005645E3"/>
    <w:rsid w:val="00564665"/>
    <w:rsid w:val="005649A0"/>
    <w:rsid w:val="00564F49"/>
    <w:rsid w:val="00564F92"/>
    <w:rsid w:val="0056526F"/>
    <w:rsid w:val="00565598"/>
    <w:rsid w:val="0056564C"/>
    <w:rsid w:val="00565984"/>
    <w:rsid w:val="00566043"/>
    <w:rsid w:val="00566A28"/>
    <w:rsid w:val="00567348"/>
    <w:rsid w:val="005701DC"/>
    <w:rsid w:val="005703CA"/>
    <w:rsid w:val="0057049B"/>
    <w:rsid w:val="005704ED"/>
    <w:rsid w:val="00570B4E"/>
    <w:rsid w:val="00570D43"/>
    <w:rsid w:val="00570DE4"/>
    <w:rsid w:val="00570F9F"/>
    <w:rsid w:val="005711B0"/>
    <w:rsid w:val="005711CE"/>
    <w:rsid w:val="005718AF"/>
    <w:rsid w:val="00571AD8"/>
    <w:rsid w:val="00571C18"/>
    <w:rsid w:val="00572349"/>
    <w:rsid w:val="00572546"/>
    <w:rsid w:val="00572A0B"/>
    <w:rsid w:val="00572ECB"/>
    <w:rsid w:val="005731CC"/>
    <w:rsid w:val="00573F8D"/>
    <w:rsid w:val="005747C6"/>
    <w:rsid w:val="0057502A"/>
    <w:rsid w:val="00575238"/>
    <w:rsid w:val="00575A6D"/>
    <w:rsid w:val="00575A7D"/>
    <w:rsid w:val="005762AB"/>
    <w:rsid w:val="005764ED"/>
    <w:rsid w:val="00576908"/>
    <w:rsid w:val="005769DC"/>
    <w:rsid w:val="00576E1A"/>
    <w:rsid w:val="005774C7"/>
    <w:rsid w:val="0057772E"/>
    <w:rsid w:val="00577737"/>
    <w:rsid w:val="005777DB"/>
    <w:rsid w:val="00577882"/>
    <w:rsid w:val="00577A21"/>
    <w:rsid w:val="00580302"/>
    <w:rsid w:val="00580CBA"/>
    <w:rsid w:val="005812E1"/>
    <w:rsid w:val="00581C18"/>
    <w:rsid w:val="0058213F"/>
    <w:rsid w:val="005833DB"/>
    <w:rsid w:val="005839AA"/>
    <w:rsid w:val="00583CE8"/>
    <w:rsid w:val="00583EC8"/>
    <w:rsid w:val="00583F83"/>
    <w:rsid w:val="00583FE0"/>
    <w:rsid w:val="00584120"/>
    <w:rsid w:val="00584241"/>
    <w:rsid w:val="00584377"/>
    <w:rsid w:val="00584454"/>
    <w:rsid w:val="005846D3"/>
    <w:rsid w:val="00584777"/>
    <w:rsid w:val="00584B00"/>
    <w:rsid w:val="00585359"/>
    <w:rsid w:val="005855E3"/>
    <w:rsid w:val="00585C7E"/>
    <w:rsid w:val="00585CB8"/>
    <w:rsid w:val="00585D24"/>
    <w:rsid w:val="005862E8"/>
    <w:rsid w:val="005863DC"/>
    <w:rsid w:val="005864DC"/>
    <w:rsid w:val="00586985"/>
    <w:rsid w:val="00586C23"/>
    <w:rsid w:val="005872F2"/>
    <w:rsid w:val="00587964"/>
    <w:rsid w:val="00587C9B"/>
    <w:rsid w:val="00590DD7"/>
    <w:rsid w:val="0059108D"/>
    <w:rsid w:val="005912A4"/>
    <w:rsid w:val="00591429"/>
    <w:rsid w:val="00591481"/>
    <w:rsid w:val="00591570"/>
    <w:rsid w:val="00591AC3"/>
    <w:rsid w:val="00591C53"/>
    <w:rsid w:val="005924EA"/>
    <w:rsid w:val="0059273F"/>
    <w:rsid w:val="00592B9A"/>
    <w:rsid w:val="00592CA8"/>
    <w:rsid w:val="005931EB"/>
    <w:rsid w:val="0059387F"/>
    <w:rsid w:val="00593F75"/>
    <w:rsid w:val="005940C0"/>
    <w:rsid w:val="00594418"/>
    <w:rsid w:val="005945FC"/>
    <w:rsid w:val="00594668"/>
    <w:rsid w:val="0059475F"/>
    <w:rsid w:val="0059505A"/>
    <w:rsid w:val="005952CC"/>
    <w:rsid w:val="005954DD"/>
    <w:rsid w:val="005957FE"/>
    <w:rsid w:val="00596044"/>
    <w:rsid w:val="0059630B"/>
    <w:rsid w:val="005963A7"/>
    <w:rsid w:val="00596E7F"/>
    <w:rsid w:val="00597025"/>
    <w:rsid w:val="005970B6"/>
    <w:rsid w:val="005972FB"/>
    <w:rsid w:val="0059798D"/>
    <w:rsid w:val="005A0058"/>
    <w:rsid w:val="005A0224"/>
    <w:rsid w:val="005A02C1"/>
    <w:rsid w:val="005A0BAE"/>
    <w:rsid w:val="005A0C2B"/>
    <w:rsid w:val="005A0EF6"/>
    <w:rsid w:val="005A104B"/>
    <w:rsid w:val="005A1454"/>
    <w:rsid w:val="005A1502"/>
    <w:rsid w:val="005A18AD"/>
    <w:rsid w:val="005A1CB6"/>
    <w:rsid w:val="005A20CE"/>
    <w:rsid w:val="005A2426"/>
    <w:rsid w:val="005A2448"/>
    <w:rsid w:val="005A2CD1"/>
    <w:rsid w:val="005A2D09"/>
    <w:rsid w:val="005A3AA5"/>
    <w:rsid w:val="005A3E68"/>
    <w:rsid w:val="005A3E69"/>
    <w:rsid w:val="005A457B"/>
    <w:rsid w:val="005A45F7"/>
    <w:rsid w:val="005A4752"/>
    <w:rsid w:val="005A480F"/>
    <w:rsid w:val="005A538C"/>
    <w:rsid w:val="005A5888"/>
    <w:rsid w:val="005A61A5"/>
    <w:rsid w:val="005A66D1"/>
    <w:rsid w:val="005A66E7"/>
    <w:rsid w:val="005A6AE5"/>
    <w:rsid w:val="005A6B63"/>
    <w:rsid w:val="005A6CA8"/>
    <w:rsid w:val="005A6EEB"/>
    <w:rsid w:val="005A777F"/>
    <w:rsid w:val="005A78C5"/>
    <w:rsid w:val="005A7A9E"/>
    <w:rsid w:val="005B003E"/>
    <w:rsid w:val="005B054D"/>
    <w:rsid w:val="005B0D1A"/>
    <w:rsid w:val="005B0F4A"/>
    <w:rsid w:val="005B0F97"/>
    <w:rsid w:val="005B1193"/>
    <w:rsid w:val="005B11BE"/>
    <w:rsid w:val="005B14A1"/>
    <w:rsid w:val="005B1520"/>
    <w:rsid w:val="005B1659"/>
    <w:rsid w:val="005B187C"/>
    <w:rsid w:val="005B1B8E"/>
    <w:rsid w:val="005B1BFE"/>
    <w:rsid w:val="005B1DC3"/>
    <w:rsid w:val="005B2431"/>
    <w:rsid w:val="005B2432"/>
    <w:rsid w:val="005B25F8"/>
    <w:rsid w:val="005B2A82"/>
    <w:rsid w:val="005B2B50"/>
    <w:rsid w:val="005B2CB9"/>
    <w:rsid w:val="005B2CF3"/>
    <w:rsid w:val="005B2DB9"/>
    <w:rsid w:val="005B2FEC"/>
    <w:rsid w:val="005B3675"/>
    <w:rsid w:val="005B3763"/>
    <w:rsid w:val="005B37D4"/>
    <w:rsid w:val="005B3BBE"/>
    <w:rsid w:val="005B41F8"/>
    <w:rsid w:val="005B443C"/>
    <w:rsid w:val="005B4649"/>
    <w:rsid w:val="005B4D56"/>
    <w:rsid w:val="005B4E24"/>
    <w:rsid w:val="005B4F23"/>
    <w:rsid w:val="005B5341"/>
    <w:rsid w:val="005B55F4"/>
    <w:rsid w:val="005B56BA"/>
    <w:rsid w:val="005B59DB"/>
    <w:rsid w:val="005B5A84"/>
    <w:rsid w:val="005B5AA2"/>
    <w:rsid w:val="005B5AD0"/>
    <w:rsid w:val="005B5D89"/>
    <w:rsid w:val="005B5EB5"/>
    <w:rsid w:val="005B5F8C"/>
    <w:rsid w:val="005B6D94"/>
    <w:rsid w:val="005B70F1"/>
    <w:rsid w:val="005C0219"/>
    <w:rsid w:val="005C0224"/>
    <w:rsid w:val="005C0451"/>
    <w:rsid w:val="005C0623"/>
    <w:rsid w:val="005C081B"/>
    <w:rsid w:val="005C0FF2"/>
    <w:rsid w:val="005C1066"/>
    <w:rsid w:val="005C118C"/>
    <w:rsid w:val="005C166A"/>
    <w:rsid w:val="005C1CD4"/>
    <w:rsid w:val="005C2332"/>
    <w:rsid w:val="005C2CE6"/>
    <w:rsid w:val="005C3210"/>
    <w:rsid w:val="005C358C"/>
    <w:rsid w:val="005C35E0"/>
    <w:rsid w:val="005C37DD"/>
    <w:rsid w:val="005C387E"/>
    <w:rsid w:val="005C3C88"/>
    <w:rsid w:val="005C3D64"/>
    <w:rsid w:val="005C3DCC"/>
    <w:rsid w:val="005C4167"/>
    <w:rsid w:val="005C4297"/>
    <w:rsid w:val="005C43A6"/>
    <w:rsid w:val="005C44A6"/>
    <w:rsid w:val="005C4C68"/>
    <w:rsid w:val="005C50FB"/>
    <w:rsid w:val="005C5772"/>
    <w:rsid w:val="005C5944"/>
    <w:rsid w:val="005C6824"/>
    <w:rsid w:val="005C6D4A"/>
    <w:rsid w:val="005C7A58"/>
    <w:rsid w:val="005C7AD0"/>
    <w:rsid w:val="005C7E5B"/>
    <w:rsid w:val="005D04CE"/>
    <w:rsid w:val="005D0DF8"/>
    <w:rsid w:val="005D0E48"/>
    <w:rsid w:val="005D0FED"/>
    <w:rsid w:val="005D113A"/>
    <w:rsid w:val="005D1480"/>
    <w:rsid w:val="005D1A0E"/>
    <w:rsid w:val="005D1BEE"/>
    <w:rsid w:val="005D1BF5"/>
    <w:rsid w:val="005D1C78"/>
    <w:rsid w:val="005D1FB2"/>
    <w:rsid w:val="005D2138"/>
    <w:rsid w:val="005D2491"/>
    <w:rsid w:val="005D2D2F"/>
    <w:rsid w:val="005D2FB8"/>
    <w:rsid w:val="005D2FDF"/>
    <w:rsid w:val="005D3477"/>
    <w:rsid w:val="005D3575"/>
    <w:rsid w:val="005D35EC"/>
    <w:rsid w:val="005D36C7"/>
    <w:rsid w:val="005D3739"/>
    <w:rsid w:val="005D39D0"/>
    <w:rsid w:val="005D39FC"/>
    <w:rsid w:val="005D3C3D"/>
    <w:rsid w:val="005D3C63"/>
    <w:rsid w:val="005D4070"/>
    <w:rsid w:val="005D40F3"/>
    <w:rsid w:val="005D44B2"/>
    <w:rsid w:val="005D4BED"/>
    <w:rsid w:val="005D5097"/>
    <w:rsid w:val="005D5308"/>
    <w:rsid w:val="005D53E1"/>
    <w:rsid w:val="005D63AE"/>
    <w:rsid w:val="005D662F"/>
    <w:rsid w:val="005D6807"/>
    <w:rsid w:val="005D6B6B"/>
    <w:rsid w:val="005D77C0"/>
    <w:rsid w:val="005E016C"/>
    <w:rsid w:val="005E0667"/>
    <w:rsid w:val="005E0687"/>
    <w:rsid w:val="005E09EC"/>
    <w:rsid w:val="005E0F2F"/>
    <w:rsid w:val="005E100E"/>
    <w:rsid w:val="005E1556"/>
    <w:rsid w:val="005E17A7"/>
    <w:rsid w:val="005E17B8"/>
    <w:rsid w:val="005E1815"/>
    <w:rsid w:val="005E1AD8"/>
    <w:rsid w:val="005E1F50"/>
    <w:rsid w:val="005E2217"/>
    <w:rsid w:val="005E22A5"/>
    <w:rsid w:val="005E24D7"/>
    <w:rsid w:val="005E288C"/>
    <w:rsid w:val="005E2FB2"/>
    <w:rsid w:val="005E3008"/>
    <w:rsid w:val="005E39DD"/>
    <w:rsid w:val="005E3AD1"/>
    <w:rsid w:val="005E3CE0"/>
    <w:rsid w:val="005E4143"/>
    <w:rsid w:val="005E43E7"/>
    <w:rsid w:val="005E43F2"/>
    <w:rsid w:val="005E49D8"/>
    <w:rsid w:val="005E4AA4"/>
    <w:rsid w:val="005E4BBE"/>
    <w:rsid w:val="005E55A5"/>
    <w:rsid w:val="005E5FDE"/>
    <w:rsid w:val="005E63C2"/>
    <w:rsid w:val="005E690D"/>
    <w:rsid w:val="005E69C1"/>
    <w:rsid w:val="005E6DDF"/>
    <w:rsid w:val="005E7003"/>
    <w:rsid w:val="005E700F"/>
    <w:rsid w:val="005E706E"/>
    <w:rsid w:val="005E719D"/>
    <w:rsid w:val="005E7E41"/>
    <w:rsid w:val="005F0332"/>
    <w:rsid w:val="005F0573"/>
    <w:rsid w:val="005F063E"/>
    <w:rsid w:val="005F0EF8"/>
    <w:rsid w:val="005F1060"/>
    <w:rsid w:val="005F113D"/>
    <w:rsid w:val="005F12F9"/>
    <w:rsid w:val="005F12FF"/>
    <w:rsid w:val="005F1439"/>
    <w:rsid w:val="005F1544"/>
    <w:rsid w:val="005F1B8C"/>
    <w:rsid w:val="005F1C26"/>
    <w:rsid w:val="005F2531"/>
    <w:rsid w:val="005F25E6"/>
    <w:rsid w:val="005F2733"/>
    <w:rsid w:val="005F2951"/>
    <w:rsid w:val="005F2BAB"/>
    <w:rsid w:val="005F2FE7"/>
    <w:rsid w:val="005F357A"/>
    <w:rsid w:val="005F378F"/>
    <w:rsid w:val="005F3CB8"/>
    <w:rsid w:val="005F3DD8"/>
    <w:rsid w:val="005F4047"/>
    <w:rsid w:val="005F440E"/>
    <w:rsid w:val="005F45F4"/>
    <w:rsid w:val="005F4873"/>
    <w:rsid w:val="005F495C"/>
    <w:rsid w:val="005F4AAE"/>
    <w:rsid w:val="005F4ED5"/>
    <w:rsid w:val="005F4F98"/>
    <w:rsid w:val="005F50F5"/>
    <w:rsid w:val="005F510D"/>
    <w:rsid w:val="005F5455"/>
    <w:rsid w:val="005F61AD"/>
    <w:rsid w:val="005F6593"/>
    <w:rsid w:val="005F65E9"/>
    <w:rsid w:val="005F66AB"/>
    <w:rsid w:val="005F6A4A"/>
    <w:rsid w:val="005F6B2A"/>
    <w:rsid w:val="005F6D6B"/>
    <w:rsid w:val="005F74C8"/>
    <w:rsid w:val="005F79E2"/>
    <w:rsid w:val="005F7A83"/>
    <w:rsid w:val="005F7ECE"/>
    <w:rsid w:val="006000BB"/>
    <w:rsid w:val="006002CE"/>
    <w:rsid w:val="00600741"/>
    <w:rsid w:val="00600DA0"/>
    <w:rsid w:val="00601888"/>
    <w:rsid w:val="0060190C"/>
    <w:rsid w:val="00601CDE"/>
    <w:rsid w:val="0060209E"/>
    <w:rsid w:val="0060237B"/>
    <w:rsid w:val="006027FC"/>
    <w:rsid w:val="00602822"/>
    <w:rsid w:val="00602AB3"/>
    <w:rsid w:val="00603127"/>
    <w:rsid w:val="00603648"/>
    <w:rsid w:val="006038D2"/>
    <w:rsid w:val="00603929"/>
    <w:rsid w:val="0060394D"/>
    <w:rsid w:val="006039AC"/>
    <w:rsid w:val="0060404C"/>
    <w:rsid w:val="0060452A"/>
    <w:rsid w:val="006045D6"/>
    <w:rsid w:val="00604878"/>
    <w:rsid w:val="006048D7"/>
    <w:rsid w:val="0060498E"/>
    <w:rsid w:val="00604AEF"/>
    <w:rsid w:val="00604F24"/>
    <w:rsid w:val="00604F4A"/>
    <w:rsid w:val="00605048"/>
    <w:rsid w:val="0060537B"/>
    <w:rsid w:val="00605797"/>
    <w:rsid w:val="00605D51"/>
    <w:rsid w:val="00606217"/>
    <w:rsid w:val="00606392"/>
    <w:rsid w:val="00606584"/>
    <w:rsid w:val="00606883"/>
    <w:rsid w:val="00606DAE"/>
    <w:rsid w:val="00606E76"/>
    <w:rsid w:val="0060718A"/>
    <w:rsid w:val="00607217"/>
    <w:rsid w:val="00607670"/>
    <w:rsid w:val="0060775D"/>
    <w:rsid w:val="0060783A"/>
    <w:rsid w:val="006105F3"/>
    <w:rsid w:val="006106D0"/>
    <w:rsid w:val="00610748"/>
    <w:rsid w:val="00611276"/>
    <w:rsid w:val="0061143F"/>
    <w:rsid w:val="00611471"/>
    <w:rsid w:val="00611AA3"/>
    <w:rsid w:val="00611E75"/>
    <w:rsid w:val="006121F1"/>
    <w:rsid w:val="006123A2"/>
    <w:rsid w:val="006125DF"/>
    <w:rsid w:val="006130D0"/>
    <w:rsid w:val="00613203"/>
    <w:rsid w:val="00613320"/>
    <w:rsid w:val="0061335E"/>
    <w:rsid w:val="00613575"/>
    <w:rsid w:val="006135C3"/>
    <w:rsid w:val="00613695"/>
    <w:rsid w:val="00613910"/>
    <w:rsid w:val="00613AA9"/>
    <w:rsid w:val="00613BA6"/>
    <w:rsid w:val="00613DB4"/>
    <w:rsid w:val="00614A9D"/>
    <w:rsid w:val="00615392"/>
    <w:rsid w:val="00615411"/>
    <w:rsid w:val="00615498"/>
    <w:rsid w:val="0061587B"/>
    <w:rsid w:val="006159B7"/>
    <w:rsid w:val="00615DF7"/>
    <w:rsid w:val="006161BD"/>
    <w:rsid w:val="0061629B"/>
    <w:rsid w:val="00616A03"/>
    <w:rsid w:val="00616AAD"/>
    <w:rsid w:val="00616ED1"/>
    <w:rsid w:val="00617018"/>
    <w:rsid w:val="00617189"/>
    <w:rsid w:val="00617403"/>
    <w:rsid w:val="0061789C"/>
    <w:rsid w:val="00617DC8"/>
    <w:rsid w:val="00617E40"/>
    <w:rsid w:val="00617EDF"/>
    <w:rsid w:val="00617EF3"/>
    <w:rsid w:val="00617F72"/>
    <w:rsid w:val="006200D6"/>
    <w:rsid w:val="00620109"/>
    <w:rsid w:val="0062022A"/>
    <w:rsid w:val="00620279"/>
    <w:rsid w:val="006202DC"/>
    <w:rsid w:val="00620454"/>
    <w:rsid w:val="00620758"/>
    <w:rsid w:val="00620A05"/>
    <w:rsid w:val="00620AB3"/>
    <w:rsid w:val="00620BB3"/>
    <w:rsid w:val="0062103F"/>
    <w:rsid w:val="006211E5"/>
    <w:rsid w:val="00621A49"/>
    <w:rsid w:val="00621C01"/>
    <w:rsid w:val="00621D0C"/>
    <w:rsid w:val="0062207D"/>
    <w:rsid w:val="006221AE"/>
    <w:rsid w:val="00622422"/>
    <w:rsid w:val="006225DD"/>
    <w:rsid w:val="00622943"/>
    <w:rsid w:val="006229C2"/>
    <w:rsid w:val="00622E67"/>
    <w:rsid w:val="00623122"/>
    <w:rsid w:val="00623444"/>
    <w:rsid w:val="006235D9"/>
    <w:rsid w:val="006236BE"/>
    <w:rsid w:val="00623B11"/>
    <w:rsid w:val="00623BE3"/>
    <w:rsid w:val="0062401C"/>
    <w:rsid w:val="006245C1"/>
    <w:rsid w:val="00624B40"/>
    <w:rsid w:val="00624DC9"/>
    <w:rsid w:val="006250D3"/>
    <w:rsid w:val="0062517E"/>
    <w:rsid w:val="006251A4"/>
    <w:rsid w:val="0062575D"/>
    <w:rsid w:val="00625906"/>
    <w:rsid w:val="00625A2D"/>
    <w:rsid w:val="00625CD8"/>
    <w:rsid w:val="00625DBE"/>
    <w:rsid w:val="00625F7C"/>
    <w:rsid w:val="00626C17"/>
    <w:rsid w:val="0062788B"/>
    <w:rsid w:val="00627987"/>
    <w:rsid w:val="00627A07"/>
    <w:rsid w:val="00627DA2"/>
    <w:rsid w:val="00630588"/>
    <w:rsid w:val="00630EAE"/>
    <w:rsid w:val="00631A1D"/>
    <w:rsid w:val="00631BE2"/>
    <w:rsid w:val="00631F0C"/>
    <w:rsid w:val="0063200A"/>
    <w:rsid w:val="00632520"/>
    <w:rsid w:val="00632E9B"/>
    <w:rsid w:val="00632EFC"/>
    <w:rsid w:val="0063315A"/>
    <w:rsid w:val="00633291"/>
    <w:rsid w:val="006336E9"/>
    <w:rsid w:val="00633727"/>
    <w:rsid w:val="00633EA6"/>
    <w:rsid w:val="00634582"/>
    <w:rsid w:val="0063476F"/>
    <w:rsid w:val="006347A0"/>
    <w:rsid w:val="006348BA"/>
    <w:rsid w:val="00634D93"/>
    <w:rsid w:val="006352AE"/>
    <w:rsid w:val="00635387"/>
    <w:rsid w:val="0063544E"/>
    <w:rsid w:val="0063546A"/>
    <w:rsid w:val="00635A74"/>
    <w:rsid w:val="00636BEB"/>
    <w:rsid w:val="00636D09"/>
    <w:rsid w:val="00636D73"/>
    <w:rsid w:val="00636F9C"/>
    <w:rsid w:val="00637147"/>
    <w:rsid w:val="00637730"/>
    <w:rsid w:val="00637849"/>
    <w:rsid w:val="00637E16"/>
    <w:rsid w:val="006401A1"/>
    <w:rsid w:val="006402BB"/>
    <w:rsid w:val="0064062F"/>
    <w:rsid w:val="00640A17"/>
    <w:rsid w:val="0064174E"/>
    <w:rsid w:val="006418FA"/>
    <w:rsid w:val="00641C8D"/>
    <w:rsid w:val="00641D7E"/>
    <w:rsid w:val="00641E3E"/>
    <w:rsid w:val="00641E99"/>
    <w:rsid w:val="00641EB2"/>
    <w:rsid w:val="0064218E"/>
    <w:rsid w:val="006428DC"/>
    <w:rsid w:val="00642CB8"/>
    <w:rsid w:val="0064332F"/>
    <w:rsid w:val="00643595"/>
    <w:rsid w:val="00643597"/>
    <w:rsid w:val="0064399D"/>
    <w:rsid w:val="00643A44"/>
    <w:rsid w:val="00643B20"/>
    <w:rsid w:val="00643CA3"/>
    <w:rsid w:val="00643D09"/>
    <w:rsid w:val="00643DA2"/>
    <w:rsid w:val="006441A4"/>
    <w:rsid w:val="0064435C"/>
    <w:rsid w:val="006448B3"/>
    <w:rsid w:val="00644B12"/>
    <w:rsid w:val="00644C05"/>
    <w:rsid w:val="006451BF"/>
    <w:rsid w:val="00645256"/>
    <w:rsid w:val="006452D4"/>
    <w:rsid w:val="00645691"/>
    <w:rsid w:val="0064594A"/>
    <w:rsid w:val="00645999"/>
    <w:rsid w:val="00645AE7"/>
    <w:rsid w:val="00645F8A"/>
    <w:rsid w:val="0064607F"/>
    <w:rsid w:val="006462E5"/>
    <w:rsid w:val="006466F7"/>
    <w:rsid w:val="00646988"/>
    <w:rsid w:val="00646AA5"/>
    <w:rsid w:val="00646CBD"/>
    <w:rsid w:val="00646ECD"/>
    <w:rsid w:val="006470A9"/>
    <w:rsid w:val="006471A4"/>
    <w:rsid w:val="00647A3E"/>
    <w:rsid w:val="0065078D"/>
    <w:rsid w:val="00650B93"/>
    <w:rsid w:val="006518BE"/>
    <w:rsid w:val="00651D69"/>
    <w:rsid w:val="00651E4C"/>
    <w:rsid w:val="00652109"/>
    <w:rsid w:val="00652C39"/>
    <w:rsid w:val="00652EA9"/>
    <w:rsid w:val="00652F2F"/>
    <w:rsid w:val="0065378E"/>
    <w:rsid w:val="006537E1"/>
    <w:rsid w:val="00653921"/>
    <w:rsid w:val="00653D8E"/>
    <w:rsid w:val="0065417E"/>
    <w:rsid w:val="006542A6"/>
    <w:rsid w:val="00654459"/>
    <w:rsid w:val="0065451F"/>
    <w:rsid w:val="00654B63"/>
    <w:rsid w:val="00654DA5"/>
    <w:rsid w:val="00654F96"/>
    <w:rsid w:val="00655271"/>
    <w:rsid w:val="00655374"/>
    <w:rsid w:val="006554EC"/>
    <w:rsid w:val="00655983"/>
    <w:rsid w:val="00655B05"/>
    <w:rsid w:val="00655CF9"/>
    <w:rsid w:val="00655D75"/>
    <w:rsid w:val="00655F40"/>
    <w:rsid w:val="00656029"/>
    <w:rsid w:val="00656088"/>
    <w:rsid w:val="00656296"/>
    <w:rsid w:val="006566D8"/>
    <w:rsid w:val="00656DAE"/>
    <w:rsid w:val="006575A8"/>
    <w:rsid w:val="00657619"/>
    <w:rsid w:val="00657C47"/>
    <w:rsid w:val="00657D50"/>
    <w:rsid w:val="0066000E"/>
    <w:rsid w:val="006602F5"/>
    <w:rsid w:val="006603E9"/>
    <w:rsid w:val="0066057C"/>
    <w:rsid w:val="006606A7"/>
    <w:rsid w:val="0066077E"/>
    <w:rsid w:val="00660884"/>
    <w:rsid w:val="00660916"/>
    <w:rsid w:val="00660CCD"/>
    <w:rsid w:val="00661192"/>
    <w:rsid w:val="0066182A"/>
    <w:rsid w:val="00661D33"/>
    <w:rsid w:val="00661FAC"/>
    <w:rsid w:val="006623E6"/>
    <w:rsid w:val="0066266F"/>
    <w:rsid w:val="006626C1"/>
    <w:rsid w:val="0066272E"/>
    <w:rsid w:val="006629A9"/>
    <w:rsid w:val="00662FAC"/>
    <w:rsid w:val="0066347A"/>
    <w:rsid w:val="006638F0"/>
    <w:rsid w:val="00663A92"/>
    <w:rsid w:val="00664208"/>
    <w:rsid w:val="006646BC"/>
    <w:rsid w:val="00664B8F"/>
    <w:rsid w:val="00664C29"/>
    <w:rsid w:val="00664C9E"/>
    <w:rsid w:val="00664D64"/>
    <w:rsid w:val="00664FEB"/>
    <w:rsid w:val="006652B9"/>
    <w:rsid w:val="00665476"/>
    <w:rsid w:val="0066582A"/>
    <w:rsid w:val="00665A41"/>
    <w:rsid w:val="00666771"/>
    <w:rsid w:val="00670052"/>
    <w:rsid w:val="006701FC"/>
    <w:rsid w:val="0067049B"/>
    <w:rsid w:val="00670523"/>
    <w:rsid w:val="00670D5C"/>
    <w:rsid w:val="00670E1D"/>
    <w:rsid w:val="006711AD"/>
    <w:rsid w:val="006714A9"/>
    <w:rsid w:val="00672255"/>
    <w:rsid w:val="00672313"/>
    <w:rsid w:val="006725F5"/>
    <w:rsid w:val="00672C8D"/>
    <w:rsid w:val="00672C9D"/>
    <w:rsid w:val="00672CF5"/>
    <w:rsid w:val="00672D2A"/>
    <w:rsid w:val="00673308"/>
    <w:rsid w:val="00673469"/>
    <w:rsid w:val="00673C2F"/>
    <w:rsid w:val="00673CCF"/>
    <w:rsid w:val="00674265"/>
    <w:rsid w:val="0067442D"/>
    <w:rsid w:val="0067469B"/>
    <w:rsid w:val="0067497E"/>
    <w:rsid w:val="00674ACC"/>
    <w:rsid w:val="00674AFB"/>
    <w:rsid w:val="0067543D"/>
    <w:rsid w:val="006758D5"/>
    <w:rsid w:val="00675B44"/>
    <w:rsid w:val="00675C44"/>
    <w:rsid w:val="00675C76"/>
    <w:rsid w:val="00675EBB"/>
    <w:rsid w:val="0067611B"/>
    <w:rsid w:val="006764E5"/>
    <w:rsid w:val="00676687"/>
    <w:rsid w:val="006766C9"/>
    <w:rsid w:val="00676956"/>
    <w:rsid w:val="00676A35"/>
    <w:rsid w:val="0067701D"/>
    <w:rsid w:val="006773EF"/>
    <w:rsid w:val="006775BB"/>
    <w:rsid w:val="00677663"/>
    <w:rsid w:val="00677CAD"/>
    <w:rsid w:val="0068064A"/>
    <w:rsid w:val="0068064B"/>
    <w:rsid w:val="00680A3E"/>
    <w:rsid w:val="00680A5B"/>
    <w:rsid w:val="00680B00"/>
    <w:rsid w:val="00681260"/>
    <w:rsid w:val="006822D5"/>
    <w:rsid w:val="0068251B"/>
    <w:rsid w:val="00682603"/>
    <w:rsid w:val="00682CFF"/>
    <w:rsid w:val="00682DB6"/>
    <w:rsid w:val="006830A2"/>
    <w:rsid w:val="00683303"/>
    <w:rsid w:val="006834D8"/>
    <w:rsid w:val="006834FB"/>
    <w:rsid w:val="006835D2"/>
    <w:rsid w:val="00683651"/>
    <w:rsid w:val="00683B9C"/>
    <w:rsid w:val="00683C91"/>
    <w:rsid w:val="00683CE7"/>
    <w:rsid w:val="00683DF0"/>
    <w:rsid w:val="00683F30"/>
    <w:rsid w:val="00684878"/>
    <w:rsid w:val="00684C59"/>
    <w:rsid w:val="00685307"/>
    <w:rsid w:val="00685429"/>
    <w:rsid w:val="00685513"/>
    <w:rsid w:val="00685833"/>
    <w:rsid w:val="006858E8"/>
    <w:rsid w:val="00685B1A"/>
    <w:rsid w:val="00685BDD"/>
    <w:rsid w:val="00685EB3"/>
    <w:rsid w:val="00685F02"/>
    <w:rsid w:val="00686420"/>
    <w:rsid w:val="00686C79"/>
    <w:rsid w:val="00687086"/>
    <w:rsid w:val="00687578"/>
    <w:rsid w:val="00687F2E"/>
    <w:rsid w:val="006900DD"/>
    <w:rsid w:val="0069097F"/>
    <w:rsid w:val="00690D3A"/>
    <w:rsid w:val="00690DDD"/>
    <w:rsid w:val="00690EEC"/>
    <w:rsid w:val="00690FF4"/>
    <w:rsid w:val="0069159A"/>
    <w:rsid w:val="0069180B"/>
    <w:rsid w:val="006920F8"/>
    <w:rsid w:val="00692348"/>
    <w:rsid w:val="00692751"/>
    <w:rsid w:val="00693273"/>
    <w:rsid w:val="00693276"/>
    <w:rsid w:val="00693596"/>
    <w:rsid w:val="00693D5F"/>
    <w:rsid w:val="00693E32"/>
    <w:rsid w:val="00693EEF"/>
    <w:rsid w:val="006946A6"/>
    <w:rsid w:val="00694811"/>
    <w:rsid w:val="006949E1"/>
    <w:rsid w:val="00694D0D"/>
    <w:rsid w:val="00694FA2"/>
    <w:rsid w:val="0069569C"/>
    <w:rsid w:val="006959AB"/>
    <w:rsid w:val="00696A57"/>
    <w:rsid w:val="00696A85"/>
    <w:rsid w:val="00696B5A"/>
    <w:rsid w:val="00696F8A"/>
    <w:rsid w:val="00697D57"/>
    <w:rsid w:val="00697E02"/>
    <w:rsid w:val="006A0906"/>
    <w:rsid w:val="006A0D80"/>
    <w:rsid w:val="006A13EC"/>
    <w:rsid w:val="006A163F"/>
    <w:rsid w:val="006A1800"/>
    <w:rsid w:val="006A1985"/>
    <w:rsid w:val="006A1D73"/>
    <w:rsid w:val="006A20E0"/>
    <w:rsid w:val="006A2878"/>
    <w:rsid w:val="006A2BA8"/>
    <w:rsid w:val="006A3331"/>
    <w:rsid w:val="006A3342"/>
    <w:rsid w:val="006A35BA"/>
    <w:rsid w:val="006A39DE"/>
    <w:rsid w:val="006A3D7D"/>
    <w:rsid w:val="006A3EA5"/>
    <w:rsid w:val="006A4744"/>
    <w:rsid w:val="006A47F9"/>
    <w:rsid w:val="006A4D02"/>
    <w:rsid w:val="006A52DE"/>
    <w:rsid w:val="006A53C4"/>
    <w:rsid w:val="006A5978"/>
    <w:rsid w:val="006A5C16"/>
    <w:rsid w:val="006A5FC9"/>
    <w:rsid w:val="006A5FCF"/>
    <w:rsid w:val="006A602A"/>
    <w:rsid w:val="006A61B7"/>
    <w:rsid w:val="006A65B4"/>
    <w:rsid w:val="006A669F"/>
    <w:rsid w:val="006A6809"/>
    <w:rsid w:val="006A686F"/>
    <w:rsid w:val="006A6C82"/>
    <w:rsid w:val="006A6CAD"/>
    <w:rsid w:val="006A6DEF"/>
    <w:rsid w:val="006A6E28"/>
    <w:rsid w:val="006A6E49"/>
    <w:rsid w:val="006A71CC"/>
    <w:rsid w:val="006A738A"/>
    <w:rsid w:val="006A7410"/>
    <w:rsid w:val="006A7582"/>
    <w:rsid w:val="006A75BB"/>
    <w:rsid w:val="006A77B9"/>
    <w:rsid w:val="006A7EFE"/>
    <w:rsid w:val="006B032A"/>
    <w:rsid w:val="006B1194"/>
    <w:rsid w:val="006B14A5"/>
    <w:rsid w:val="006B19DF"/>
    <w:rsid w:val="006B1BE1"/>
    <w:rsid w:val="006B2092"/>
    <w:rsid w:val="006B2B49"/>
    <w:rsid w:val="006B2D02"/>
    <w:rsid w:val="006B2EAB"/>
    <w:rsid w:val="006B2EC9"/>
    <w:rsid w:val="006B359F"/>
    <w:rsid w:val="006B3780"/>
    <w:rsid w:val="006B3C07"/>
    <w:rsid w:val="006B3DA0"/>
    <w:rsid w:val="006B3DE2"/>
    <w:rsid w:val="006B3F7E"/>
    <w:rsid w:val="006B3FF6"/>
    <w:rsid w:val="006B41C7"/>
    <w:rsid w:val="006B43CB"/>
    <w:rsid w:val="006B4483"/>
    <w:rsid w:val="006B4776"/>
    <w:rsid w:val="006B4855"/>
    <w:rsid w:val="006B4BF2"/>
    <w:rsid w:val="006B4C7D"/>
    <w:rsid w:val="006B562B"/>
    <w:rsid w:val="006B611F"/>
    <w:rsid w:val="006B635A"/>
    <w:rsid w:val="006B6BDC"/>
    <w:rsid w:val="006B6DDC"/>
    <w:rsid w:val="006B712B"/>
    <w:rsid w:val="006B71C6"/>
    <w:rsid w:val="006B733D"/>
    <w:rsid w:val="006B744F"/>
    <w:rsid w:val="006B7AD2"/>
    <w:rsid w:val="006C002A"/>
    <w:rsid w:val="006C0398"/>
    <w:rsid w:val="006C03C6"/>
    <w:rsid w:val="006C03DB"/>
    <w:rsid w:val="006C0989"/>
    <w:rsid w:val="006C1611"/>
    <w:rsid w:val="006C175F"/>
    <w:rsid w:val="006C180E"/>
    <w:rsid w:val="006C1B45"/>
    <w:rsid w:val="006C1E4E"/>
    <w:rsid w:val="006C1FDB"/>
    <w:rsid w:val="006C2068"/>
    <w:rsid w:val="006C26AD"/>
    <w:rsid w:val="006C2802"/>
    <w:rsid w:val="006C2B03"/>
    <w:rsid w:val="006C2DA6"/>
    <w:rsid w:val="006C2E98"/>
    <w:rsid w:val="006C306D"/>
    <w:rsid w:val="006C3614"/>
    <w:rsid w:val="006C38A2"/>
    <w:rsid w:val="006C38F0"/>
    <w:rsid w:val="006C3E3E"/>
    <w:rsid w:val="006C3E88"/>
    <w:rsid w:val="006C3EF5"/>
    <w:rsid w:val="006C49FD"/>
    <w:rsid w:val="006C4A54"/>
    <w:rsid w:val="006C4F52"/>
    <w:rsid w:val="006C50F0"/>
    <w:rsid w:val="006C51E4"/>
    <w:rsid w:val="006C527B"/>
    <w:rsid w:val="006C5642"/>
    <w:rsid w:val="006C60BD"/>
    <w:rsid w:val="006C64A7"/>
    <w:rsid w:val="006C6883"/>
    <w:rsid w:val="006C69D2"/>
    <w:rsid w:val="006C6B2A"/>
    <w:rsid w:val="006C6B6E"/>
    <w:rsid w:val="006C703F"/>
    <w:rsid w:val="006C7202"/>
    <w:rsid w:val="006C7C60"/>
    <w:rsid w:val="006C7D7E"/>
    <w:rsid w:val="006C7D85"/>
    <w:rsid w:val="006D027C"/>
    <w:rsid w:val="006D05EF"/>
    <w:rsid w:val="006D0696"/>
    <w:rsid w:val="006D0BF7"/>
    <w:rsid w:val="006D0E39"/>
    <w:rsid w:val="006D1392"/>
    <w:rsid w:val="006D1503"/>
    <w:rsid w:val="006D1511"/>
    <w:rsid w:val="006D172E"/>
    <w:rsid w:val="006D17A7"/>
    <w:rsid w:val="006D18A4"/>
    <w:rsid w:val="006D196E"/>
    <w:rsid w:val="006D1A1D"/>
    <w:rsid w:val="006D1B06"/>
    <w:rsid w:val="006D1BD0"/>
    <w:rsid w:val="006D1FD0"/>
    <w:rsid w:val="006D2571"/>
    <w:rsid w:val="006D2AA6"/>
    <w:rsid w:val="006D2BF7"/>
    <w:rsid w:val="006D31BE"/>
    <w:rsid w:val="006D37F9"/>
    <w:rsid w:val="006D3809"/>
    <w:rsid w:val="006D3BC2"/>
    <w:rsid w:val="006D4044"/>
    <w:rsid w:val="006D429A"/>
    <w:rsid w:val="006D4433"/>
    <w:rsid w:val="006D460B"/>
    <w:rsid w:val="006D4AE6"/>
    <w:rsid w:val="006D4C42"/>
    <w:rsid w:val="006D4C6E"/>
    <w:rsid w:val="006D51ED"/>
    <w:rsid w:val="006D5278"/>
    <w:rsid w:val="006D578A"/>
    <w:rsid w:val="006D58AE"/>
    <w:rsid w:val="006D59CA"/>
    <w:rsid w:val="006D5ACB"/>
    <w:rsid w:val="006D5C56"/>
    <w:rsid w:val="006D601D"/>
    <w:rsid w:val="006D60AC"/>
    <w:rsid w:val="006D649D"/>
    <w:rsid w:val="006D683B"/>
    <w:rsid w:val="006D7221"/>
    <w:rsid w:val="006D7612"/>
    <w:rsid w:val="006D765A"/>
    <w:rsid w:val="006D7941"/>
    <w:rsid w:val="006D7F30"/>
    <w:rsid w:val="006D7F7A"/>
    <w:rsid w:val="006E0012"/>
    <w:rsid w:val="006E02BE"/>
    <w:rsid w:val="006E03C3"/>
    <w:rsid w:val="006E0EAB"/>
    <w:rsid w:val="006E0F00"/>
    <w:rsid w:val="006E121D"/>
    <w:rsid w:val="006E204F"/>
    <w:rsid w:val="006E2174"/>
    <w:rsid w:val="006E3CEF"/>
    <w:rsid w:val="006E3F97"/>
    <w:rsid w:val="006E4016"/>
    <w:rsid w:val="006E415D"/>
    <w:rsid w:val="006E46AA"/>
    <w:rsid w:val="006E46D5"/>
    <w:rsid w:val="006E48AC"/>
    <w:rsid w:val="006E4BA9"/>
    <w:rsid w:val="006E4C41"/>
    <w:rsid w:val="006E4DD0"/>
    <w:rsid w:val="006E4DFA"/>
    <w:rsid w:val="006E52F1"/>
    <w:rsid w:val="006E5404"/>
    <w:rsid w:val="006E5608"/>
    <w:rsid w:val="006E58F7"/>
    <w:rsid w:val="006E5C2F"/>
    <w:rsid w:val="006E5CDE"/>
    <w:rsid w:val="006E61E7"/>
    <w:rsid w:val="006E6332"/>
    <w:rsid w:val="006E6BEE"/>
    <w:rsid w:val="006E71E7"/>
    <w:rsid w:val="006E7410"/>
    <w:rsid w:val="006E7845"/>
    <w:rsid w:val="006F0730"/>
    <w:rsid w:val="006F0CB2"/>
    <w:rsid w:val="006F0D9C"/>
    <w:rsid w:val="006F0EBC"/>
    <w:rsid w:val="006F0F32"/>
    <w:rsid w:val="006F1208"/>
    <w:rsid w:val="006F140F"/>
    <w:rsid w:val="006F1552"/>
    <w:rsid w:val="006F1858"/>
    <w:rsid w:val="006F1B93"/>
    <w:rsid w:val="006F1BCA"/>
    <w:rsid w:val="006F1EF4"/>
    <w:rsid w:val="006F1F4C"/>
    <w:rsid w:val="006F2BFF"/>
    <w:rsid w:val="006F2CF4"/>
    <w:rsid w:val="006F3F44"/>
    <w:rsid w:val="006F44C0"/>
    <w:rsid w:val="006F4520"/>
    <w:rsid w:val="006F4B20"/>
    <w:rsid w:val="006F4EE7"/>
    <w:rsid w:val="006F5475"/>
    <w:rsid w:val="006F5C3D"/>
    <w:rsid w:val="006F5D76"/>
    <w:rsid w:val="006F5FD2"/>
    <w:rsid w:val="006F5FFE"/>
    <w:rsid w:val="006F6090"/>
    <w:rsid w:val="006F625B"/>
    <w:rsid w:val="006F63BD"/>
    <w:rsid w:val="006F6575"/>
    <w:rsid w:val="006F6DF5"/>
    <w:rsid w:val="006F7318"/>
    <w:rsid w:val="006F7974"/>
    <w:rsid w:val="006F79C6"/>
    <w:rsid w:val="006F7F7C"/>
    <w:rsid w:val="0070002E"/>
    <w:rsid w:val="00700322"/>
    <w:rsid w:val="00700D0C"/>
    <w:rsid w:val="00700DDA"/>
    <w:rsid w:val="00700E5B"/>
    <w:rsid w:val="00700F83"/>
    <w:rsid w:val="0070161C"/>
    <w:rsid w:val="00701660"/>
    <w:rsid w:val="007017EA"/>
    <w:rsid w:val="00701834"/>
    <w:rsid w:val="0070185D"/>
    <w:rsid w:val="00702025"/>
    <w:rsid w:val="0070258E"/>
    <w:rsid w:val="00702B26"/>
    <w:rsid w:val="00702E08"/>
    <w:rsid w:val="00702EAF"/>
    <w:rsid w:val="00702F6E"/>
    <w:rsid w:val="0070300F"/>
    <w:rsid w:val="007032F3"/>
    <w:rsid w:val="007033D4"/>
    <w:rsid w:val="0070353B"/>
    <w:rsid w:val="0070353D"/>
    <w:rsid w:val="00703788"/>
    <w:rsid w:val="007037A6"/>
    <w:rsid w:val="00703A02"/>
    <w:rsid w:val="00703C51"/>
    <w:rsid w:val="00703C71"/>
    <w:rsid w:val="00704014"/>
    <w:rsid w:val="007043D8"/>
    <w:rsid w:val="00704B66"/>
    <w:rsid w:val="00704E2D"/>
    <w:rsid w:val="00705220"/>
    <w:rsid w:val="00705425"/>
    <w:rsid w:val="007054C2"/>
    <w:rsid w:val="007055D4"/>
    <w:rsid w:val="007057EE"/>
    <w:rsid w:val="00705C65"/>
    <w:rsid w:val="00705CED"/>
    <w:rsid w:val="00706113"/>
    <w:rsid w:val="007061FE"/>
    <w:rsid w:val="00706329"/>
    <w:rsid w:val="00706714"/>
    <w:rsid w:val="00706DC2"/>
    <w:rsid w:val="00706E88"/>
    <w:rsid w:val="007076C0"/>
    <w:rsid w:val="00707A1C"/>
    <w:rsid w:val="00707E05"/>
    <w:rsid w:val="007100F1"/>
    <w:rsid w:val="00710167"/>
    <w:rsid w:val="00710366"/>
    <w:rsid w:val="00710421"/>
    <w:rsid w:val="00710643"/>
    <w:rsid w:val="00710938"/>
    <w:rsid w:val="0071099E"/>
    <w:rsid w:val="007115E2"/>
    <w:rsid w:val="00711C60"/>
    <w:rsid w:val="00712167"/>
    <w:rsid w:val="007123B1"/>
    <w:rsid w:val="007125B5"/>
    <w:rsid w:val="00712C40"/>
    <w:rsid w:val="00712FA4"/>
    <w:rsid w:val="00712FE2"/>
    <w:rsid w:val="007132CF"/>
    <w:rsid w:val="00713332"/>
    <w:rsid w:val="00713395"/>
    <w:rsid w:val="00713CCE"/>
    <w:rsid w:val="007145AF"/>
    <w:rsid w:val="007145C8"/>
    <w:rsid w:val="00715025"/>
    <w:rsid w:val="007157D2"/>
    <w:rsid w:val="007164CE"/>
    <w:rsid w:val="00716B10"/>
    <w:rsid w:val="00716B6B"/>
    <w:rsid w:val="00716B80"/>
    <w:rsid w:val="00716D17"/>
    <w:rsid w:val="0071726F"/>
    <w:rsid w:val="00717328"/>
    <w:rsid w:val="00717464"/>
    <w:rsid w:val="007175AE"/>
    <w:rsid w:val="00717A49"/>
    <w:rsid w:val="00720037"/>
    <w:rsid w:val="007200EC"/>
    <w:rsid w:val="007205F4"/>
    <w:rsid w:val="007206A7"/>
    <w:rsid w:val="007207CC"/>
    <w:rsid w:val="00720ADB"/>
    <w:rsid w:val="007210A3"/>
    <w:rsid w:val="007216D8"/>
    <w:rsid w:val="00721CE7"/>
    <w:rsid w:val="00722AB2"/>
    <w:rsid w:val="00722E38"/>
    <w:rsid w:val="00723527"/>
    <w:rsid w:val="00723529"/>
    <w:rsid w:val="00723696"/>
    <w:rsid w:val="00723BF6"/>
    <w:rsid w:val="00723DC3"/>
    <w:rsid w:val="00723E8C"/>
    <w:rsid w:val="00723F28"/>
    <w:rsid w:val="007241B7"/>
    <w:rsid w:val="007243C9"/>
    <w:rsid w:val="007245AE"/>
    <w:rsid w:val="0072485F"/>
    <w:rsid w:val="00724E0A"/>
    <w:rsid w:val="00724FAB"/>
    <w:rsid w:val="0072516B"/>
    <w:rsid w:val="007251DA"/>
    <w:rsid w:val="00725445"/>
    <w:rsid w:val="00725B94"/>
    <w:rsid w:val="00726129"/>
    <w:rsid w:val="00726229"/>
    <w:rsid w:val="00726532"/>
    <w:rsid w:val="00726CD3"/>
    <w:rsid w:val="00727112"/>
    <w:rsid w:val="007278BC"/>
    <w:rsid w:val="00727C39"/>
    <w:rsid w:val="007301DF"/>
    <w:rsid w:val="007304A3"/>
    <w:rsid w:val="007304F6"/>
    <w:rsid w:val="007305DD"/>
    <w:rsid w:val="00730B6A"/>
    <w:rsid w:val="0073116E"/>
    <w:rsid w:val="007311F7"/>
    <w:rsid w:val="0073156F"/>
    <w:rsid w:val="00731D4F"/>
    <w:rsid w:val="00731D98"/>
    <w:rsid w:val="007320FB"/>
    <w:rsid w:val="007324AD"/>
    <w:rsid w:val="00732555"/>
    <w:rsid w:val="0073285C"/>
    <w:rsid w:val="007329BC"/>
    <w:rsid w:val="00733944"/>
    <w:rsid w:val="00733B2B"/>
    <w:rsid w:val="00733DBC"/>
    <w:rsid w:val="00733E7A"/>
    <w:rsid w:val="00733E92"/>
    <w:rsid w:val="0073445B"/>
    <w:rsid w:val="00734577"/>
    <w:rsid w:val="00734906"/>
    <w:rsid w:val="00734A6A"/>
    <w:rsid w:val="00734E77"/>
    <w:rsid w:val="007351B4"/>
    <w:rsid w:val="007351D9"/>
    <w:rsid w:val="007358E0"/>
    <w:rsid w:val="00735CB7"/>
    <w:rsid w:val="00735DFD"/>
    <w:rsid w:val="007361F8"/>
    <w:rsid w:val="007362A2"/>
    <w:rsid w:val="00736313"/>
    <w:rsid w:val="0073638B"/>
    <w:rsid w:val="007365FC"/>
    <w:rsid w:val="00736A6C"/>
    <w:rsid w:val="00736DD3"/>
    <w:rsid w:val="00736F89"/>
    <w:rsid w:val="00737134"/>
    <w:rsid w:val="007373DA"/>
    <w:rsid w:val="00737420"/>
    <w:rsid w:val="00737577"/>
    <w:rsid w:val="00737917"/>
    <w:rsid w:val="00737D70"/>
    <w:rsid w:val="00737EC7"/>
    <w:rsid w:val="00737FA5"/>
    <w:rsid w:val="00737FEF"/>
    <w:rsid w:val="00740364"/>
    <w:rsid w:val="007406D2"/>
    <w:rsid w:val="007407B5"/>
    <w:rsid w:val="00740A0A"/>
    <w:rsid w:val="00741202"/>
    <w:rsid w:val="007412FC"/>
    <w:rsid w:val="00741416"/>
    <w:rsid w:val="00741573"/>
    <w:rsid w:val="00741682"/>
    <w:rsid w:val="007416B0"/>
    <w:rsid w:val="00741854"/>
    <w:rsid w:val="00742106"/>
    <w:rsid w:val="007423BE"/>
    <w:rsid w:val="0074256A"/>
    <w:rsid w:val="0074261D"/>
    <w:rsid w:val="00742AE2"/>
    <w:rsid w:val="00743CEA"/>
    <w:rsid w:val="00743D38"/>
    <w:rsid w:val="00743DC5"/>
    <w:rsid w:val="007441E0"/>
    <w:rsid w:val="007446B8"/>
    <w:rsid w:val="0074489F"/>
    <w:rsid w:val="007448F7"/>
    <w:rsid w:val="00744A0F"/>
    <w:rsid w:val="00744AA3"/>
    <w:rsid w:val="00744C66"/>
    <w:rsid w:val="00744F56"/>
    <w:rsid w:val="0074522A"/>
    <w:rsid w:val="007454B1"/>
    <w:rsid w:val="0074559D"/>
    <w:rsid w:val="0074572E"/>
    <w:rsid w:val="00745AE1"/>
    <w:rsid w:val="00745BC0"/>
    <w:rsid w:val="00745EBA"/>
    <w:rsid w:val="00745F15"/>
    <w:rsid w:val="007460C1"/>
    <w:rsid w:val="007464F3"/>
    <w:rsid w:val="007465AC"/>
    <w:rsid w:val="00746D4A"/>
    <w:rsid w:val="00746E85"/>
    <w:rsid w:val="00747680"/>
    <w:rsid w:val="00747AEB"/>
    <w:rsid w:val="00747DA5"/>
    <w:rsid w:val="00747E9A"/>
    <w:rsid w:val="00747F0A"/>
    <w:rsid w:val="00747F77"/>
    <w:rsid w:val="00750119"/>
    <w:rsid w:val="0075015C"/>
    <w:rsid w:val="007501B6"/>
    <w:rsid w:val="0075029E"/>
    <w:rsid w:val="00750D28"/>
    <w:rsid w:val="00750F83"/>
    <w:rsid w:val="00751173"/>
    <w:rsid w:val="0075155D"/>
    <w:rsid w:val="0075163F"/>
    <w:rsid w:val="00751709"/>
    <w:rsid w:val="0075172E"/>
    <w:rsid w:val="00751B6A"/>
    <w:rsid w:val="00751D3D"/>
    <w:rsid w:val="00751D97"/>
    <w:rsid w:val="00751FD5"/>
    <w:rsid w:val="00752CD4"/>
    <w:rsid w:val="00752D76"/>
    <w:rsid w:val="00752D78"/>
    <w:rsid w:val="00753068"/>
    <w:rsid w:val="0075335D"/>
    <w:rsid w:val="00753409"/>
    <w:rsid w:val="00753491"/>
    <w:rsid w:val="007536DF"/>
    <w:rsid w:val="007538C6"/>
    <w:rsid w:val="00753920"/>
    <w:rsid w:val="00753ADB"/>
    <w:rsid w:val="00753B73"/>
    <w:rsid w:val="00753C5A"/>
    <w:rsid w:val="00753D91"/>
    <w:rsid w:val="007540DC"/>
    <w:rsid w:val="00754280"/>
    <w:rsid w:val="00754416"/>
    <w:rsid w:val="00754911"/>
    <w:rsid w:val="00754A57"/>
    <w:rsid w:val="00754F4C"/>
    <w:rsid w:val="0075513D"/>
    <w:rsid w:val="007555DD"/>
    <w:rsid w:val="007557AE"/>
    <w:rsid w:val="00755C82"/>
    <w:rsid w:val="00755D33"/>
    <w:rsid w:val="00755FFB"/>
    <w:rsid w:val="00756095"/>
    <w:rsid w:val="0075681C"/>
    <w:rsid w:val="00756B4C"/>
    <w:rsid w:val="00756E72"/>
    <w:rsid w:val="00757155"/>
    <w:rsid w:val="007573E0"/>
    <w:rsid w:val="00757CE7"/>
    <w:rsid w:val="00757DE7"/>
    <w:rsid w:val="00757F12"/>
    <w:rsid w:val="00760246"/>
    <w:rsid w:val="0076041B"/>
    <w:rsid w:val="00760447"/>
    <w:rsid w:val="007606BF"/>
    <w:rsid w:val="00760777"/>
    <w:rsid w:val="00760CB4"/>
    <w:rsid w:val="00761000"/>
    <w:rsid w:val="0076132C"/>
    <w:rsid w:val="00761393"/>
    <w:rsid w:val="00761F5A"/>
    <w:rsid w:val="00762276"/>
    <w:rsid w:val="007623E4"/>
    <w:rsid w:val="00762752"/>
    <w:rsid w:val="00762859"/>
    <w:rsid w:val="00762989"/>
    <w:rsid w:val="007629B4"/>
    <w:rsid w:val="00762A1C"/>
    <w:rsid w:val="00762B20"/>
    <w:rsid w:val="00762CCB"/>
    <w:rsid w:val="00762D09"/>
    <w:rsid w:val="00763EB5"/>
    <w:rsid w:val="00764140"/>
    <w:rsid w:val="00764156"/>
    <w:rsid w:val="0076424C"/>
    <w:rsid w:val="0076441A"/>
    <w:rsid w:val="0076471E"/>
    <w:rsid w:val="0076499C"/>
    <w:rsid w:val="00764E8E"/>
    <w:rsid w:val="0076511E"/>
    <w:rsid w:val="00765678"/>
    <w:rsid w:val="00765927"/>
    <w:rsid w:val="007659D3"/>
    <w:rsid w:val="0076606D"/>
    <w:rsid w:val="0076609D"/>
    <w:rsid w:val="00766258"/>
    <w:rsid w:val="00766677"/>
    <w:rsid w:val="007668D0"/>
    <w:rsid w:val="00766E25"/>
    <w:rsid w:val="007675B2"/>
    <w:rsid w:val="0076770A"/>
    <w:rsid w:val="00770036"/>
    <w:rsid w:val="007701AB"/>
    <w:rsid w:val="00770728"/>
    <w:rsid w:val="0077098F"/>
    <w:rsid w:val="00770AEE"/>
    <w:rsid w:val="00770BD7"/>
    <w:rsid w:val="00770FDD"/>
    <w:rsid w:val="00771544"/>
    <w:rsid w:val="007715F8"/>
    <w:rsid w:val="00771799"/>
    <w:rsid w:val="007718FD"/>
    <w:rsid w:val="00771952"/>
    <w:rsid w:val="007719BE"/>
    <w:rsid w:val="00771F66"/>
    <w:rsid w:val="00771F6A"/>
    <w:rsid w:val="007720D4"/>
    <w:rsid w:val="007722A9"/>
    <w:rsid w:val="00772311"/>
    <w:rsid w:val="007724C2"/>
    <w:rsid w:val="0077285C"/>
    <w:rsid w:val="00772B01"/>
    <w:rsid w:val="00772B5B"/>
    <w:rsid w:val="0077327B"/>
    <w:rsid w:val="007733EB"/>
    <w:rsid w:val="0077379C"/>
    <w:rsid w:val="00773D88"/>
    <w:rsid w:val="00773E32"/>
    <w:rsid w:val="00774246"/>
    <w:rsid w:val="0077432C"/>
    <w:rsid w:val="00774787"/>
    <w:rsid w:val="00774F60"/>
    <w:rsid w:val="0077505A"/>
    <w:rsid w:val="0077510F"/>
    <w:rsid w:val="00775558"/>
    <w:rsid w:val="007755BD"/>
    <w:rsid w:val="007756FC"/>
    <w:rsid w:val="00775A49"/>
    <w:rsid w:val="00775BE0"/>
    <w:rsid w:val="00775FF4"/>
    <w:rsid w:val="0077600A"/>
    <w:rsid w:val="007761BD"/>
    <w:rsid w:val="0077662A"/>
    <w:rsid w:val="007768C1"/>
    <w:rsid w:val="00776AEA"/>
    <w:rsid w:val="00776DDA"/>
    <w:rsid w:val="007770E5"/>
    <w:rsid w:val="007771BA"/>
    <w:rsid w:val="00777281"/>
    <w:rsid w:val="007774C1"/>
    <w:rsid w:val="007775D9"/>
    <w:rsid w:val="00777EFE"/>
    <w:rsid w:val="007800CD"/>
    <w:rsid w:val="00780800"/>
    <w:rsid w:val="00780CBE"/>
    <w:rsid w:val="00780E49"/>
    <w:rsid w:val="00780F6F"/>
    <w:rsid w:val="00781245"/>
    <w:rsid w:val="0078152A"/>
    <w:rsid w:val="007816D3"/>
    <w:rsid w:val="00781849"/>
    <w:rsid w:val="00781BE7"/>
    <w:rsid w:val="0078220E"/>
    <w:rsid w:val="00782232"/>
    <w:rsid w:val="0078285F"/>
    <w:rsid w:val="007828E1"/>
    <w:rsid w:val="007829D3"/>
    <w:rsid w:val="00782CC7"/>
    <w:rsid w:val="00783341"/>
    <w:rsid w:val="00783746"/>
    <w:rsid w:val="00783825"/>
    <w:rsid w:val="00784260"/>
    <w:rsid w:val="0078439B"/>
    <w:rsid w:val="007848A5"/>
    <w:rsid w:val="00784A21"/>
    <w:rsid w:val="00784B4D"/>
    <w:rsid w:val="007851DC"/>
    <w:rsid w:val="0078532E"/>
    <w:rsid w:val="0078544E"/>
    <w:rsid w:val="00785FEA"/>
    <w:rsid w:val="007860A9"/>
    <w:rsid w:val="00786898"/>
    <w:rsid w:val="00786A22"/>
    <w:rsid w:val="00786A70"/>
    <w:rsid w:val="00786A75"/>
    <w:rsid w:val="00786B16"/>
    <w:rsid w:val="00786E7D"/>
    <w:rsid w:val="00787813"/>
    <w:rsid w:val="00787993"/>
    <w:rsid w:val="00787B6B"/>
    <w:rsid w:val="00787CFB"/>
    <w:rsid w:val="007900C8"/>
    <w:rsid w:val="0079014F"/>
    <w:rsid w:val="0079027A"/>
    <w:rsid w:val="007902BE"/>
    <w:rsid w:val="007902DB"/>
    <w:rsid w:val="0079057D"/>
    <w:rsid w:val="00790713"/>
    <w:rsid w:val="00790D76"/>
    <w:rsid w:val="00790E0E"/>
    <w:rsid w:val="00791108"/>
    <w:rsid w:val="00791483"/>
    <w:rsid w:val="00791A31"/>
    <w:rsid w:val="0079215C"/>
    <w:rsid w:val="00792187"/>
    <w:rsid w:val="00792242"/>
    <w:rsid w:val="00792470"/>
    <w:rsid w:val="00792F6E"/>
    <w:rsid w:val="007930E3"/>
    <w:rsid w:val="0079325C"/>
    <w:rsid w:val="00793308"/>
    <w:rsid w:val="007935A4"/>
    <w:rsid w:val="00793F81"/>
    <w:rsid w:val="0079434F"/>
    <w:rsid w:val="007944EC"/>
    <w:rsid w:val="00794629"/>
    <w:rsid w:val="00794759"/>
    <w:rsid w:val="00794A0C"/>
    <w:rsid w:val="00794A7D"/>
    <w:rsid w:val="00794D0F"/>
    <w:rsid w:val="0079539A"/>
    <w:rsid w:val="00795964"/>
    <w:rsid w:val="007959E1"/>
    <w:rsid w:val="00795A43"/>
    <w:rsid w:val="00795C3E"/>
    <w:rsid w:val="0079657E"/>
    <w:rsid w:val="00796D3E"/>
    <w:rsid w:val="00796EA2"/>
    <w:rsid w:val="007975D7"/>
    <w:rsid w:val="007976B3"/>
    <w:rsid w:val="007979FE"/>
    <w:rsid w:val="00797D13"/>
    <w:rsid w:val="007A0233"/>
    <w:rsid w:val="007A06F4"/>
    <w:rsid w:val="007A095F"/>
    <w:rsid w:val="007A0966"/>
    <w:rsid w:val="007A0B8C"/>
    <w:rsid w:val="007A1126"/>
    <w:rsid w:val="007A1428"/>
    <w:rsid w:val="007A1440"/>
    <w:rsid w:val="007A14C4"/>
    <w:rsid w:val="007A1608"/>
    <w:rsid w:val="007A188C"/>
    <w:rsid w:val="007A1BF6"/>
    <w:rsid w:val="007A21B3"/>
    <w:rsid w:val="007A2263"/>
    <w:rsid w:val="007A260E"/>
    <w:rsid w:val="007A260F"/>
    <w:rsid w:val="007A28C4"/>
    <w:rsid w:val="007A2AEB"/>
    <w:rsid w:val="007A3046"/>
    <w:rsid w:val="007A34E4"/>
    <w:rsid w:val="007A3810"/>
    <w:rsid w:val="007A3A57"/>
    <w:rsid w:val="007A3B4C"/>
    <w:rsid w:val="007A4105"/>
    <w:rsid w:val="007A417D"/>
    <w:rsid w:val="007A4192"/>
    <w:rsid w:val="007A443B"/>
    <w:rsid w:val="007A446A"/>
    <w:rsid w:val="007A46FB"/>
    <w:rsid w:val="007A4745"/>
    <w:rsid w:val="007A5045"/>
    <w:rsid w:val="007A5056"/>
    <w:rsid w:val="007A60E9"/>
    <w:rsid w:val="007A6331"/>
    <w:rsid w:val="007A63ED"/>
    <w:rsid w:val="007A6491"/>
    <w:rsid w:val="007A651F"/>
    <w:rsid w:val="007A6A7C"/>
    <w:rsid w:val="007A720C"/>
    <w:rsid w:val="007A76D5"/>
    <w:rsid w:val="007A7E55"/>
    <w:rsid w:val="007A7F35"/>
    <w:rsid w:val="007B07C2"/>
    <w:rsid w:val="007B0996"/>
    <w:rsid w:val="007B0D30"/>
    <w:rsid w:val="007B0E67"/>
    <w:rsid w:val="007B0FF5"/>
    <w:rsid w:val="007B102B"/>
    <w:rsid w:val="007B13FB"/>
    <w:rsid w:val="007B18F8"/>
    <w:rsid w:val="007B193E"/>
    <w:rsid w:val="007B29D2"/>
    <w:rsid w:val="007B2AA1"/>
    <w:rsid w:val="007B2C89"/>
    <w:rsid w:val="007B366D"/>
    <w:rsid w:val="007B3B25"/>
    <w:rsid w:val="007B3D66"/>
    <w:rsid w:val="007B3EC5"/>
    <w:rsid w:val="007B45BA"/>
    <w:rsid w:val="007B492C"/>
    <w:rsid w:val="007B4DFD"/>
    <w:rsid w:val="007B4E5E"/>
    <w:rsid w:val="007B4EEE"/>
    <w:rsid w:val="007B52A3"/>
    <w:rsid w:val="007B5AA5"/>
    <w:rsid w:val="007B6415"/>
    <w:rsid w:val="007B6685"/>
    <w:rsid w:val="007B67BB"/>
    <w:rsid w:val="007B6CE6"/>
    <w:rsid w:val="007B6E0B"/>
    <w:rsid w:val="007B759A"/>
    <w:rsid w:val="007B771C"/>
    <w:rsid w:val="007B7B0D"/>
    <w:rsid w:val="007B7B68"/>
    <w:rsid w:val="007B7F1C"/>
    <w:rsid w:val="007C0760"/>
    <w:rsid w:val="007C0E29"/>
    <w:rsid w:val="007C1192"/>
    <w:rsid w:val="007C1544"/>
    <w:rsid w:val="007C1687"/>
    <w:rsid w:val="007C1B4C"/>
    <w:rsid w:val="007C1B6E"/>
    <w:rsid w:val="007C227E"/>
    <w:rsid w:val="007C268F"/>
    <w:rsid w:val="007C29BA"/>
    <w:rsid w:val="007C2C70"/>
    <w:rsid w:val="007C2DFA"/>
    <w:rsid w:val="007C2FCE"/>
    <w:rsid w:val="007C3211"/>
    <w:rsid w:val="007C32D2"/>
    <w:rsid w:val="007C36A0"/>
    <w:rsid w:val="007C3D56"/>
    <w:rsid w:val="007C4076"/>
    <w:rsid w:val="007C41AA"/>
    <w:rsid w:val="007C43C3"/>
    <w:rsid w:val="007C478B"/>
    <w:rsid w:val="007C49FA"/>
    <w:rsid w:val="007C4B89"/>
    <w:rsid w:val="007C50A7"/>
    <w:rsid w:val="007C51BE"/>
    <w:rsid w:val="007C5552"/>
    <w:rsid w:val="007C5588"/>
    <w:rsid w:val="007C5639"/>
    <w:rsid w:val="007C564C"/>
    <w:rsid w:val="007C6301"/>
    <w:rsid w:val="007C65EA"/>
    <w:rsid w:val="007C7001"/>
    <w:rsid w:val="007C780B"/>
    <w:rsid w:val="007C79B4"/>
    <w:rsid w:val="007C79F1"/>
    <w:rsid w:val="007C7C87"/>
    <w:rsid w:val="007C7FDC"/>
    <w:rsid w:val="007D0214"/>
    <w:rsid w:val="007D04CC"/>
    <w:rsid w:val="007D04DB"/>
    <w:rsid w:val="007D074D"/>
    <w:rsid w:val="007D0858"/>
    <w:rsid w:val="007D0A8D"/>
    <w:rsid w:val="007D1B81"/>
    <w:rsid w:val="007D1F8A"/>
    <w:rsid w:val="007D20E4"/>
    <w:rsid w:val="007D2117"/>
    <w:rsid w:val="007D2208"/>
    <w:rsid w:val="007D22DD"/>
    <w:rsid w:val="007D237D"/>
    <w:rsid w:val="007D27D6"/>
    <w:rsid w:val="007D2A9D"/>
    <w:rsid w:val="007D307B"/>
    <w:rsid w:val="007D3AFC"/>
    <w:rsid w:val="007D3DF9"/>
    <w:rsid w:val="007D40EE"/>
    <w:rsid w:val="007D50A7"/>
    <w:rsid w:val="007D5804"/>
    <w:rsid w:val="007D5832"/>
    <w:rsid w:val="007D58BF"/>
    <w:rsid w:val="007D6473"/>
    <w:rsid w:val="007D6778"/>
    <w:rsid w:val="007D6883"/>
    <w:rsid w:val="007D6A63"/>
    <w:rsid w:val="007D6AB5"/>
    <w:rsid w:val="007D6C86"/>
    <w:rsid w:val="007D6C9A"/>
    <w:rsid w:val="007D70F9"/>
    <w:rsid w:val="007D7166"/>
    <w:rsid w:val="007D71DA"/>
    <w:rsid w:val="007D71F7"/>
    <w:rsid w:val="007D736E"/>
    <w:rsid w:val="007E003B"/>
    <w:rsid w:val="007E027B"/>
    <w:rsid w:val="007E0BEA"/>
    <w:rsid w:val="007E0CD7"/>
    <w:rsid w:val="007E0F7D"/>
    <w:rsid w:val="007E129A"/>
    <w:rsid w:val="007E16DB"/>
    <w:rsid w:val="007E1808"/>
    <w:rsid w:val="007E18EC"/>
    <w:rsid w:val="007E1A7B"/>
    <w:rsid w:val="007E2205"/>
    <w:rsid w:val="007E2570"/>
    <w:rsid w:val="007E2613"/>
    <w:rsid w:val="007E2614"/>
    <w:rsid w:val="007E265D"/>
    <w:rsid w:val="007E274E"/>
    <w:rsid w:val="007E2AB6"/>
    <w:rsid w:val="007E2D85"/>
    <w:rsid w:val="007E3510"/>
    <w:rsid w:val="007E379D"/>
    <w:rsid w:val="007E3A85"/>
    <w:rsid w:val="007E3FA8"/>
    <w:rsid w:val="007E454D"/>
    <w:rsid w:val="007E45F7"/>
    <w:rsid w:val="007E4625"/>
    <w:rsid w:val="007E48BD"/>
    <w:rsid w:val="007E49AA"/>
    <w:rsid w:val="007E4A47"/>
    <w:rsid w:val="007E4A87"/>
    <w:rsid w:val="007E4FDB"/>
    <w:rsid w:val="007E52F8"/>
    <w:rsid w:val="007E5594"/>
    <w:rsid w:val="007E5C3D"/>
    <w:rsid w:val="007E5C80"/>
    <w:rsid w:val="007E5ECB"/>
    <w:rsid w:val="007E5FF6"/>
    <w:rsid w:val="007E6B69"/>
    <w:rsid w:val="007E78B4"/>
    <w:rsid w:val="007E7901"/>
    <w:rsid w:val="007E7EB2"/>
    <w:rsid w:val="007F0088"/>
    <w:rsid w:val="007F011D"/>
    <w:rsid w:val="007F028D"/>
    <w:rsid w:val="007F0593"/>
    <w:rsid w:val="007F0636"/>
    <w:rsid w:val="007F08A7"/>
    <w:rsid w:val="007F097A"/>
    <w:rsid w:val="007F0DBF"/>
    <w:rsid w:val="007F0F17"/>
    <w:rsid w:val="007F0FB0"/>
    <w:rsid w:val="007F109B"/>
    <w:rsid w:val="007F14AC"/>
    <w:rsid w:val="007F1F8D"/>
    <w:rsid w:val="007F2352"/>
    <w:rsid w:val="007F237F"/>
    <w:rsid w:val="007F25DC"/>
    <w:rsid w:val="007F2D92"/>
    <w:rsid w:val="007F307C"/>
    <w:rsid w:val="007F311A"/>
    <w:rsid w:val="007F32BB"/>
    <w:rsid w:val="007F355A"/>
    <w:rsid w:val="007F3563"/>
    <w:rsid w:val="007F35C5"/>
    <w:rsid w:val="007F3D51"/>
    <w:rsid w:val="007F42EC"/>
    <w:rsid w:val="007F4CC4"/>
    <w:rsid w:val="007F50B3"/>
    <w:rsid w:val="007F5504"/>
    <w:rsid w:val="007F56CE"/>
    <w:rsid w:val="007F57B1"/>
    <w:rsid w:val="007F5B2B"/>
    <w:rsid w:val="007F5BD7"/>
    <w:rsid w:val="007F5CE9"/>
    <w:rsid w:val="007F5DBB"/>
    <w:rsid w:val="007F5DF2"/>
    <w:rsid w:val="007F620B"/>
    <w:rsid w:val="007F6F95"/>
    <w:rsid w:val="007F72F7"/>
    <w:rsid w:val="007F7628"/>
    <w:rsid w:val="007F79EC"/>
    <w:rsid w:val="007F7C4E"/>
    <w:rsid w:val="007F7DA3"/>
    <w:rsid w:val="008006CD"/>
    <w:rsid w:val="008007B2"/>
    <w:rsid w:val="00800866"/>
    <w:rsid w:val="00800A80"/>
    <w:rsid w:val="0080118F"/>
    <w:rsid w:val="008011E0"/>
    <w:rsid w:val="008018CC"/>
    <w:rsid w:val="00801DA8"/>
    <w:rsid w:val="00801E6F"/>
    <w:rsid w:val="00802254"/>
    <w:rsid w:val="008022C9"/>
    <w:rsid w:val="00802583"/>
    <w:rsid w:val="00802E01"/>
    <w:rsid w:val="00802EAB"/>
    <w:rsid w:val="0080317B"/>
    <w:rsid w:val="00803273"/>
    <w:rsid w:val="008032C4"/>
    <w:rsid w:val="008034CA"/>
    <w:rsid w:val="00803729"/>
    <w:rsid w:val="008037AA"/>
    <w:rsid w:val="00803E8B"/>
    <w:rsid w:val="00803EC1"/>
    <w:rsid w:val="0080485A"/>
    <w:rsid w:val="008050D0"/>
    <w:rsid w:val="008052BD"/>
    <w:rsid w:val="0080555C"/>
    <w:rsid w:val="0080585C"/>
    <w:rsid w:val="00805949"/>
    <w:rsid w:val="00805D8B"/>
    <w:rsid w:val="008060C9"/>
    <w:rsid w:val="00806139"/>
    <w:rsid w:val="00806CC1"/>
    <w:rsid w:val="00807175"/>
    <w:rsid w:val="008073D8"/>
    <w:rsid w:val="00807DCB"/>
    <w:rsid w:val="00807E99"/>
    <w:rsid w:val="00810552"/>
    <w:rsid w:val="0081097D"/>
    <w:rsid w:val="0081141B"/>
    <w:rsid w:val="00812984"/>
    <w:rsid w:val="00812B45"/>
    <w:rsid w:val="00812BF6"/>
    <w:rsid w:val="00812C3A"/>
    <w:rsid w:val="00812F33"/>
    <w:rsid w:val="008132CC"/>
    <w:rsid w:val="0081359D"/>
    <w:rsid w:val="0081373C"/>
    <w:rsid w:val="00813BD7"/>
    <w:rsid w:val="00813C6B"/>
    <w:rsid w:val="0081420C"/>
    <w:rsid w:val="00814245"/>
    <w:rsid w:val="00814604"/>
    <w:rsid w:val="00814804"/>
    <w:rsid w:val="008149DC"/>
    <w:rsid w:val="00814A4D"/>
    <w:rsid w:val="00814FED"/>
    <w:rsid w:val="00815609"/>
    <w:rsid w:val="00815A47"/>
    <w:rsid w:val="00815AA2"/>
    <w:rsid w:val="00815B8A"/>
    <w:rsid w:val="008163E1"/>
    <w:rsid w:val="008167CC"/>
    <w:rsid w:val="00816862"/>
    <w:rsid w:val="00816A57"/>
    <w:rsid w:val="00816BD1"/>
    <w:rsid w:val="00816DDD"/>
    <w:rsid w:val="0081714E"/>
    <w:rsid w:val="0081756A"/>
    <w:rsid w:val="00817614"/>
    <w:rsid w:val="008177BA"/>
    <w:rsid w:val="008179C0"/>
    <w:rsid w:val="00817A7E"/>
    <w:rsid w:val="00817BE7"/>
    <w:rsid w:val="00817C45"/>
    <w:rsid w:val="00817E65"/>
    <w:rsid w:val="00820147"/>
    <w:rsid w:val="00820228"/>
    <w:rsid w:val="00820558"/>
    <w:rsid w:val="008205C1"/>
    <w:rsid w:val="008209FB"/>
    <w:rsid w:val="00820E9A"/>
    <w:rsid w:val="00821481"/>
    <w:rsid w:val="00821613"/>
    <w:rsid w:val="00821C88"/>
    <w:rsid w:val="00821E2D"/>
    <w:rsid w:val="00822196"/>
    <w:rsid w:val="00822564"/>
    <w:rsid w:val="00822A3D"/>
    <w:rsid w:val="00822C65"/>
    <w:rsid w:val="00822DA7"/>
    <w:rsid w:val="00822FA4"/>
    <w:rsid w:val="00823261"/>
    <w:rsid w:val="00823739"/>
    <w:rsid w:val="00823B5E"/>
    <w:rsid w:val="00824754"/>
    <w:rsid w:val="00824777"/>
    <w:rsid w:val="008247A4"/>
    <w:rsid w:val="00825235"/>
    <w:rsid w:val="00825394"/>
    <w:rsid w:val="00825E80"/>
    <w:rsid w:val="008266C4"/>
    <w:rsid w:val="00826E93"/>
    <w:rsid w:val="00826E95"/>
    <w:rsid w:val="008274DF"/>
    <w:rsid w:val="00827A24"/>
    <w:rsid w:val="00827B5A"/>
    <w:rsid w:val="00827C82"/>
    <w:rsid w:val="00827D3C"/>
    <w:rsid w:val="00827F12"/>
    <w:rsid w:val="00830D30"/>
    <w:rsid w:val="00830F01"/>
    <w:rsid w:val="008313A3"/>
    <w:rsid w:val="00831645"/>
    <w:rsid w:val="008317B8"/>
    <w:rsid w:val="00831B6D"/>
    <w:rsid w:val="00831F2E"/>
    <w:rsid w:val="00832306"/>
    <w:rsid w:val="00832490"/>
    <w:rsid w:val="00832BF8"/>
    <w:rsid w:val="00833A79"/>
    <w:rsid w:val="00833DC7"/>
    <w:rsid w:val="00834499"/>
    <w:rsid w:val="008349D8"/>
    <w:rsid w:val="00834B80"/>
    <w:rsid w:val="00834EE5"/>
    <w:rsid w:val="0083601C"/>
    <w:rsid w:val="0083659A"/>
    <w:rsid w:val="00836731"/>
    <w:rsid w:val="008369CD"/>
    <w:rsid w:val="00836B75"/>
    <w:rsid w:val="0083705D"/>
    <w:rsid w:val="00837840"/>
    <w:rsid w:val="00837976"/>
    <w:rsid w:val="00837AD8"/>
    <w:rsid w:val="008402A8"/>
    <w:rsid w:val="008403F2"/>
    <w:rsid w:val="00840963"/>
    <w:rsid w:val="00840C16"/>
    <w:rsid w:val="00840D57"/>
    <w:rsid w:val="00840F79"/>
    <w:rsid w:val="00841717"/>
    <w:rsid w:val="008417FF"/>
    <w:rsid w:val="00841ACD"/>
    <w:rsid w:val="00842269"/>
    <w:rsid w:val="00842AEE"/>
    <w:rsid w:val="00842C03"/>
    <w:rsid w:val="00842C45"/>
    <w:rsid w:val="00842D3B"/>
    <w:rsid w:val="008434D9"/>
    <w:rsid w:val="008435C0"/>
    <w:rsid w:val="008435CF"/>
    <w:rsid w:val="00843916"/>
    <w:rsid w:val="008439DF"/>
    <w:rsid w:val="00843AEF"/>
    <w:rsid w:val="00844303"/>
    <w:rsid w:val="00844347"/>
    <w:rsid w:val="0084478A"/>
    <w:rsid w:val="00844AF6"/>
    <w:rsid w:val="00844CC2"/>
    <w:rsid w:val="0084500C"/>
    <w:rsid w:val="00845050"/>
    <w:rsid w:val="00845661"/>
    <w:rsid w:val="00845728"/>
    <w:rsid w:val="00845AEC"/>
    <w:rsid w:val="00845CEF"/>
    <w:rsid w:val="00845E94"/>
    <w:rsid w:val="0084695F"/>
    <w:rsid w:val="00846A0A"/>
    <w:rsid w:val="00846B48"/>
    <w:rsid w:val="00846CDF"/>
    <w:rsid w:val="00846E41"/>
    <w:rsid w:val="00847669"/>
    <w:rsid w:val="008476A8"/>
    <w:rsid w:val="00847C45"/>
    <w:rsid w:val="00847D7B"/>
    <w:rsid w:val="00847F2E"/>
    <w:rsid w:val="008502DA"/>
    <w:rsid w:val="00850697"/>
    <w:rsid w:val="00850870"/>
    <w:rsid w:val="00850AA5"/>
    <w:rsid w:val="00850E34"/>
    <w:rsid w:val="008515E7"/>
    <w:rsid w:val="0085188A"/>
    <w:rsid w:val="00852071"/>
    <w:rsid w:val="0085216C"/>
    <w:rsid w:val="00852374"/>
    <w:rsid w:val="008523FD"/>
    <w:rsid w:val="0085241F"/>
    <w:rsid w:val="008524C7"/>
    <w:rsid w:val="008525C4"/>
    <w:rsid w:val="00852A25"/>
    <w:rsid w:val="00852C96"/>
    <w:rsid w:val="008538E2"/>
    <w:rsid w:val="00853FF0"/>
    <w:rsid w:val="00854126"/>
    <w:rsid w:val="008544F4"/>
    <w:rsid w:val="008547BE"/>
    <w:rsid w:val="008548A0"/>
    <w:rsid w:val="00854D04"/>
    <w:rsid w:val="00854E1E"/>
    <w:rsid w:val="00855065"/>
    <w:rsid w:val="00855254"/>
    <w:rsid w:val="0085540F"/>
    <w:rsid w:val="00855B86"/>
    <w:rsid w:val="00856010"/>
    <w:rsid w:val="008561BC"/>
    <w:rsid w:val="008562C5"/>
    <w:rsid w:val="008563CD"/>
    <w:rsid w:val="00856633"/>
    <w:rsid w:val="00856674"/>
    <w:rsid w:val="00856868"/>
    <w:rsid w:val="00856C81"/>
    <w:rsid w:val="00856ECF"/>
    <w:rsid w:val="00856F04"/>
    <w:rsid w:val="0085754F"/>
    <w:rsid w:val="008579CA"/>
    <w:rsid w:val="00857BA6"/>
    <w:rsid w:val="0086032A"/>
    <w:rsid w:val="008603DA"/>
    <w:rsid w:val="0086040C"/>
    <w:rsid w:val="0086049D"/>
    <w:rsid w:val="008608F2"/>
    <w:rsid w:val="00860A1E"/>
    <w:rsid w:val="00860A9B"/>
    <w:rsid w:val="00860CD1"/>
    <w:rsid w:val="008612E7"/>
    <w:rsid w:val="008613A0"/>
    <w:rsid w:val="0086154F"/>
    <w:rsid w:val="00861A43"/>
    <w:rsid w:val="00861AA9"/>
    <w:rsid w:val="00861D04"/>
    <w:rsid w:val="00861EEA"/>
    <w:rsid w:val="00863188"/>
    <w:rsid w:val="00863430"/>
    <w:rsid w:val="008636B2"/>
    <w:rsid w:val="00863E5F"/>
    <w:rsid w:val="00864917"/>
    <w:rsid w:val="00864DA3"/>
    <w:rsid w:val="00864DAC"/>
    <w:rsid w:val="0086514B"/>
    <w:rsid w:val="00865518"/>
    <w:rsid w:val="008656BE"/>
    <w:rsid w:val="00865705"/>
    <w:rsid w:val="00865C1C"/>
    <w:rsid w:val="00865CF2"/>
    <w:rsid w:val="008660B0"/>
    <w:rsid w:val="00866344"/>
    <w:rsid w:val="00866787"/>
    <w:rsid w:val="00866A69"/>
    <w:rsid w:val="00866ABA"/>
    <w:rsid w:val="00866B01"/>
    <w:rsid w:val="00866BA8"/>
    <w:rsid w:val="00866C71"/>
    <w:rsid w:val="008671B9"/>
    <w:rsid w:val="00867320"/>
    <w:rsid w:val="008673DF"/>
    <w:rsid w:val="00867554"/>
    <w:rsid w:val="008677AB"/>
    <w:rsid w:val="0086789C"/>
    <w:rsid w:val="00867967"/>
    <w:rsid w:val="00867985"/>
    <w:rsid w:val="00867AF0"/>
    <w:rsid w:val="00867DDD"/>
    <w:rsid w:val="00867E07"/>
    <w:rsid w:val="00870414"/>
    <w:rsid w:val="00870752"/>
    <w:rsid w:val="008707CC"/>
    <w:rsid w:val="0087157C"/>
    <w:rsid w:val="0087192B"/>
    <w:rsid w:val="00871D76"/>
    <w:rsid w:val="00871E63"/>
    <w:rsid w:val="0087211B"/>
    <w:rsid w:val="0087238D"/>
    <w:rsid w:val="00872AA6"/>
    <w:rsid w:val="00872AB2"/>
    <w:rsid w:val="00872BF4"/>
    <w:rsid w:val="00872CC2"/>
    <w:rsid w:val="0087307C"/>
    <w:rsid w:val="008731D8"/>
    <w:rsid w:val="00873219"/>
    <w:rsid w:val="00873560"/>
    <w:rsid w:val="008735D0"/>
    <w:rsid w:val="0087379F"/>
    <w:rsid w:val="008743D8"/>
    <w:rsid w:val="0087457D"/>
    <w:rsid w:val="00874827"/>
    <w:rsid w:val="00874E08"/>
    <w:rsid w:val="00874F93"/>
    <w:rsid w:val="00875991"/>
    <w:rsid w:val="00875A28"/>
    <w:rsid w:val="008760C6"/>
    <w:rsid w:val="00876603"/>
    <w:rsid w:val="0087680F"/>
    <w:rsid w:val="0087684A"/>
    <w:rsid w:val="0087726E"/>
    <w:rsid w:val="00877653"/>
    <w:rsid w:val="00877761"/>
    <w:rsid w:val="008779FA"/>
    <w:rsid w:val="00877A61"/>
    <w:rsid w:val="00877B98"/>
    <w:rsid w:val="00877D24"/>
    <w:rsid w:val="00877D2D"/>
    <w:rsid w:val="00880508"/>
    <w:rsid w:val="00880535"/>
    <w:rsid w:val="0088070D"/>
    <w:rsid w:val="00880878"/>
    <w:rsid w:val="00880C74"/>
    <w:rsid w:val="00880E86"/>
    <w:rsid w:val="008811C6"/>
    <w:rsid w:val="008811F9"/>
    <w:rsid w:val="0088124A"/>
    <w:rsid w:val="00881664"/>
    <w:rsid w:val="0088175F"/>
    <w:rsid w:val="00881A75"/>
    <w:rsid w:val="00881A91"/>
    <w:rsid w:val="00881E66"/>
    <w:rsid w:val="00881F67"/>
    <w:rsid w:val="008822A6"/>
    <w:rsid w:val="0088231F"/>
    <w:rsid w:val="00882801"/>
    <w:rsid w:val="008828AB"/>
    <w:rsid w:val="008828BE"/>
    <w:rsid w:val="0088295B"/>
    <w:rsid w:val="00883122"/>
    <w:rsid w:val="008832FC"/>
    <w:rsid w:val="0088332C"/>
    <w:rsid w:val="0088347A"/>
    <w:rsid w:val="00883DD0"/>
    <w:rsid w:val="00884302"/>
    <w:rsid w:val="0088484C"/>
    <w:rsid w:val="0088484F"/>
    <w:rsid w:val="00884B14"/>
    <w:rsid w:val="0088578A"/>
    <w:rsid w:val="00885807"/>
    <w:rsid w:val="008858D4"/>
    <w:rsid w:val="00885A62"/>
    <w:rsid w:val="00885BF2"/>
    <w:rsid w:val="00885D0E"/>
    <w:rsid w:val="00885F65"/>
    <w:rsid w:val="0088681C"/>
    <w:rsid w:val="00886A1F"/>
    <w:rsid w:val="00886B49"/>
    <w:rsid w:val="00886EEC"/>
    <w:rsid w:val="00887024"/>
    <w:rsid w:val="0088783D"/>
    <w:rsid w:val="00887D75"/>
    <w:rsid w:val="00887DE0"/>
    <w:rsid w:val="0089030F"/>
    <w:rsid w:val="00890414"/>
    <w:rsid w:val="00890759"/>
    <w:rsid w:val="0089078A"/>
    <w:rsid w:val="0089081F"/>
    <w:rsid w:val="00890B8B"/>
    <w:rsid w:val="00890E6B"/>
    <w:rsid w:val="008910D0"/>
    <w:rsid w:val="00891138"/>
    <w:rsid w:val="00891569"/>
    <w:rsid w:val="00891618"/>
    <w:rsid w:val="00891B70"/>
    <w:rsid w:val="00892284"/>
    <w:rsid w:val="00892604"/>
    <w:rsid w:val="00892C55"/>
    <w:rsid w:val="00892CFC"/>
    <w:rsid w:val="00892EBD"/>
    <w:rsid w:val="00892F7A"/>
    <w:rsid w:val="008930D5"/>
    <w:rsid w:val="008931E2"/>
    <w:rsid w:val="00893504"/>
    <w:rsid w:val="0089355F"/>
    <w:rsid w:val="0089416C"/>
    <w:rsid w:val="008941E4"/>
    <w:rsid w:val="00894337"/>
    <w:rsid w:val="00894599"/>
    <w:rsid w:val="008945BF"/>
    <w:rsid w:val="008947A6"/>
    <w:rsid w:val="00895240"/>
    <w:rsid w:val="00895B94"/>
    <w:rsid w:val="00895DC2"/>
    <w:rsid w:val="00895F85"/>
    <w:rsid w:val="008963EF"/>
    <w:rsid w:val="0089685E"/>
    <w:rsid w:val="00896A7E"/>
    <w:rsid w:val="00897885"/>
    <w:rsid w:val="008A029B"/>
    <w:rsid w:val="008A03E6"/>
    <w:rsid w:val="008A04DE"/>
    <w:rsid w:val="008A06A6"/>
    <w:rsid w:val="008A09F5"/>
    <w:rsid w:val="008A0F31"/>
    <w:rsid w:val="008A0F68"/>
    <w:rsid w:val="008A1716"/>
    <w:rsid w:val="008A1A80"/>
    <w:rsid w:val="008A1B72"/>
    <w:rsid w:val="008A273D"/>
    <w:rsid w:val="008A27BD"/>
    <w:rsid w:val="008A29C8"/>
    <w:rsid w:val="008A2CD2"/>
    <w:rsid w:val="008A2E3D"/>
    <w:rsid w:val="008A2E4C"/>
    <w:rsid w:val="008A2EEA"/>
    <w:rsid w:val="008A2FC0"/>
    <w:rsid w:val="008A305F"/>
    <w:rsid w:val="008A32A3"/>
    <w:rsid w:val="008A3914"/>
    <w:rsid w:val="008A3D4B"/>
    <w:rsid w:val="008A3E5B"/>
    <w:rsid w:val="008A3F79"/>
    <w:rsid w:val="008A4049"/>
    <w:rsid w:val="008A430F"/>
    <w:rsid w:val="008A4867"/>
    <w:rsid w:val="008A4B6F"/>
    <w:rsid w:val="008A4EB2"/>
    <w:rsid w:val="008A4EDC"/>
    <w:rsid w:val="008A5A0E"/>
    <w:rsid w:val="008A5B3C"/>
    <w:rsid w:val="008A5E38"/>
    <w:rsid w:val="008A5FA1"/>
    <w:rsid w:val="008A60E0"/>
    <w:rsid w:val="008A76FB"/>
    <w:rsid w:val="008B00AE"/>
    <w:rsid w:val="008B0169"/>
    <w:rsid w:val="008B0244"/>
    <w:rsid w:val="008B0E51"/>
    <w:rsid w:val="008B13C6"/>
    <w:rsid w:val="008B160F"/>
    <w:rsid w:val="008B1739"/>
    <w:rsid w:val="008B18D4"/>
    <w:rsid w:val="008B19D9"/>
    <w:rsid w:val="008B1A4B"/>
    <w:rsid w:val="008B211E"/>
    <w:rsid w:val="008B2536"/>
    <w:rsid w:val="008B26CF"/>
    <w:rsid w:val="008B2D0E"/>
    <w:rsid w:val="008B32EC"/>
    <w:rsid w:val="008B3624"/>
    <w:rsid w:val="008B4069"/>
    <w:rsid w:val="008B4112"/>
    <w:rsid w:val="008B4517"/>
    <w:rsid w:val="008B466D"/>
    <w:rsid w:val="008B475B"/>
    <w:rsid w:val="008B4997"/>
    <w:rsid w:val="008B50BE"/>
    <w:rsid w:val="008B5193"/>
    <w:rsid w:val="008B56FB"/>
    <w:rsid w:val="008B5A6D"/>
    <w:rsid w:val="008B5B1D"/>
    <w:rsid w:val="008B61D6"/>
    <w:rsid w:val="008B62A6"/>
    <w:rsid w:val="008B6614"/>
    <w:rsid w:val="008B69C3"/>
    <w:rsid w:val="008B6B43"/>
    <w:rsid w:val="008B6C88"/>
    <w:rsid w:val="008B73A5"/>
    <w:rsid w:val="008B7838"/>
    <w:rsid w:val="008B7D5E"/>
    <w:rsid w:val="008C0453"/>
    <w:rsid w:val="008C04F8"/>
    <w:rsid w:val="008C077C"/>
    <w:rsid w:val="008C0BAB"/>
    <w:rsid w:val="008C0DFA"/>
    <w:rsid w:val="008C170D"/>
    <w:rsid w:val="008C19C6"/>
    <w:rsid w:val="008C1D3A"/>
    <w:rsid w:val="008C1F40"/>
    <w:rsid w:val="008C20A7"/>
    <w:rsid w:val="008C2199"/>
    <w:rsid w:val="008C21E6"/>
    <w:rsid w:val="008C2423"/>
    <w:rsid w:val="008C2651"/>
    <w:rsid w:val="008C2866"/>
    <w:rsid w:val="008C2911"/>
    <w:rsid w:val="008C3133"/>
    <w:rsid w:val="008C31A2"/>
    <w:rsid w:val="008C3416"/>
    <w:rsid w:val="008C3BA9"/>
    <w:rsid w:val="008C4107"/>
    <w:rsid w:val="008C411B"/>
    <w:rsid w:val="008C448B"/>
    <w:rsid w:val="008C45C8"/>
    <w:rsid w:val="008C499E"/>
    <w:rsid w:val="008C4D2B"/>
    <w:rsid w:val="008C4E1E"/>
    <w:rsid w:val="008C4E43"/>
    <w:rsid w:val="008C544E"/>
    <w:rsid w:val="008C54DB"/>
    <w:rsid w:val="008C5503"/>
    <w:rsid w:val="008C5710"/>
    <w:rsid w:val="008C589E"/>
    <w:rsid w:val="008C5918"/>
    <w:rsid w:val="008C6079"/>
    <w:rsid w:val="008C6364"/>
    <w:rsid w:val="008C63AF"/>
    <w:rsid w:val="008C653C"/>
    <w:rsid w:val="008C6629"/>
    <w:rsid w:val="008C6716"/>
    <w:rsid w:val="008C6724"/>
    <w:rsid w:val="008C6737"/>
    <w:rsid w:val="008C67DA"/>
    <w:rsid w:val="008C6B32"/>
    <w:rsid w:val="008C6B5F"/>
    <w:rsid w:val="008C6D9B"/>
    <w:rsid w:val="008C6FB2"/>
    <w:rsid w:val="008C75F7"/>
    <w:rsid w:val="008C7784"/>
    <w:rsid w:val="008C7A51"/>
    <w:rsid w:val="008C7C83"/>
    <w:rsid w:val="008C7E7C"/>
    <w:rsid w:val="008D08E4"/>
    <w:rsid w:val="008D0985"/>
    <w:rsid w:val="008D0A44"/>
    <w:rsid w:val="008D1174"/>
    <w:rsid w:val="008D12A3"/>
    <w:rsid w:val="008D15AB"/>
    <w:rsid w:val="008D17BC"/>
    <w:rsid w:val="008D1AE6"/>
    <w:rsid w:val="008D20E0"/>
    <w:rsid w:val="008D2468"/>
    <w:rsid w:val="008D2853"/>
    <w:rsid w:val="008D2A4C"/>
    <w:rsid w:val="008D3EBD"/>
    <w:rsid w:val="008D3F29"/>
    <w:rsid w:val="008D459B"/>
    <w:rsid w:val="008D4A3B"/>
    <w:rsid w:val="008D5598"/>
    <w:rsid w:val="008D57D8"/>
    <w:rsid w:val="008D59B3"/>
    <w:rsid w:val="008D5A4C"/>
    <w:rsid w:val="008D5E54"/>
    <w:rsid w:val="008D5E84"/>
    <w:rsid w:val="008D5F30"/>
    <w:rsid w:val="008D62BD"/>
    <w:rsid w:val="008D65CA"/>
    <w:rsid w:val="008D6795"/>
    <w:rsid w:val="008D6A20"/>
    <w:rsid w:val="008D6BC4"/>
    <w:rsid w:val="008D725B"/>
    <w:rsid w:val="008D7677"/>
    <w:rsid w:val="008D7A43"/>
    <w:rsid w:val="008D7C9B"/>
    <w:rsid w:val="008D7EB5"/>
    <w:rsid w:val="008E0086"/>
    <w:rsid w:val="008E0097"/>
    <w:rsid w:val="008E010A"/>
    <w:rsid w:val="008E0223"/>
    <w:rsid w:val="008E04F8"/>
    <w:rsid w:val="008E051A"/>
    <w:rsid w:val="008E06E7"/>
    <w:rsid w:val="008E070B"/>
    <w:rsid w:val="008E0933"/>
    <w:rsid w:val="008E0CE2"/>
    <w:rsid w:val="008E0D80"/>
    <w:rsid w:val="008E0E99"/>
    <w:rsid w:val="008E0ECB"/>
    <w:rsid w:val="008E1025"/>
    <w:rsid w:val="008E11D8"/>
    <w:rsid w:val="008E1369"/>
    <w:rsid w:val="008E139D"/>
    <w:rsid w:val="008E1610"/>
    <w:rsid w:val="008E1A7D"/>
    <w:rsid w:val="008E1CD0"/>
    <w:rsid w:val="008E2045"/>
    <w:rsid w:val="008E20C2"/>
    <w:rsid w:val="008E22DF"/>
    <w:rsid w:val="008E264A"/>
    <w:rsid w:val="008E27F6"/>
    <w:rsid w:val="008E2EF8"/>
    <w:rsid w:val="008E3B9F"/>
    <w:rsid w:val="008E4355"/>
    <w:rsid w:val="008E445E"/>
    <w:rsid w:val="008E44E1"/>
    <w:rsid w:val="008E4568"/>
    <w:rsid w:val="008E4789"/>
    <w:rsid w:val="008E47FB"/>
    <w:rsid w:val="008E484D"/>
    <w:rsid w:val="008E4919"/>
    <w:rsid w:val="008E4BDE"/>
    <w:rsid w:val="008E4BE5"/>
    <w:rsid w:val="008E4DF7"/>
    <w:rsid w:val="008E4FE4"/>
    <w:rsid w:val="008E5F02"/>
    <w:rsid w:val="008E6075"/>
    <w:rsid w:val="008E61C8"/>
    <w:rsid w:val="008E62D1"/>
    <w:rsid w:val="008E6376"/>
    <w:rsid w:val="008E6680"/>
    <w:rsid w:val="008E67C7"/>
    <w:rsid w:val="008E757A"/>
    <w:rsid w:val="008E7B71"/>
    <w:rsid w:val="008E7F3F"/>
    <w:rsid w:val="008F027A"/>
    <w:rsid w:val="008F0878"/>
    <w:rsid w:val="008F0C26"/>
    <w:rsid w:val="008F0F3B"/>
    <w:rsid w:val="008F1868"/>
    <w:rsid w:val="008F1B77"/>
    <w:rsid w:val="008F1F3D"/>
    <w:rsid w:val="008F224B"/>
    <w:rsid w:val="008F227A"/>
    <w:rsid w:val="008F24E6"/>
    <w:rsid w:val="008F2D2F"/>
    <w:rsid w:val="008F3172"/>
    <w:rsid w:val="008F3270"/>
    <w:rsid w:val="008F3340"/>
    <w:rsid w:val="008F37C8"/>
    <w:rsid w:val="008F3878"/>
    <w:rsid w:val="008F3975"/>
    <w:rsid w:val="008F3AC6"/>
    <w:rsid w:val="008F407E"/>
    <w:rsid w:val="008F44D0"/>
    <w:rsid w:val="008F4783"/>
    <w:rsid w:val="008F4849"/>
    <w:rsid w:val="008F4B58"/>
    <w:rsid w:val="008F4B98"/>
    <w:rsid w:val="008F4DBD"/>
    <w:rsid w:val="008F52DC"/>
    <w:rsid w:val="008F532E"/>
    <w:rsid w:val="008F589F"/>
    <w:rsid w:val="008F5B08"/>
    <w:rsid w:val="008F5CB1"/>
    <w:rsid w:val="008F6202"/>
    <w:rsid w:val="008F645B"/>
    <w:rsid w:val="008F66CE"/>
    <w:rsid w:val="008F6CAE"/>
    <w:rsid w:val="008F7187"/>
    <w:rsid w:val="008F7326"/>
    <w:rsid w:val="008F73F4"/>
    <w:rsid w:val="008F7C47"/>
    <w:rsid w:val="00900D53"/>
    <w:rsid w:val="00900E86"/>
    <w:rsid w:val="00900F87"/>
    <w:rsid w:val="00901885"/>
    <w:rsid w:val="00901B76"/>
    <w:rsid w:val="0090250E"/>
    <w:rsid w:val="00902575"/>
    <w:rsid w:val="0090281B"/>
    <w:rsid w:val="00902850"/>
    <w:rsid w:val="00902BBF"/>
    <w:rsid w:val="00902E7C"/>
    <w:rsid w:val="00903174"/>
    <w:rsid w:val="00903503"/>
    <w:rsid w:val="00903AD4"/>
    <w:rsid w:val="0090432A"/>
    <w:rsid w:val="00904696"/>
    <w:rsid w:val="00904790"/>
    <w:rsid w:val="00904A81"/>
    <w:rsid w:val="00904CF0"/>
    <w:rsid w:val="009050E1"/>
    <w:rsid w:val="00905539"/>
    <w:rsid w:val="00905BE4"/>
    <w:rsid w:val="00905C3B"/>
    <w:rsid w:val="00906228"/>
    <w:rsid w:val="009063F5"/>
    <w:rsid w:val="0090678D"/>
    <w:rsid w:val="00906F61"/>
    <w:rsid w:val="009071E9"/>
    <w:rsid w:val="00907581"/>
    <w:rsid w:val="009076D2"/>
    <w:rsid w:val="009078B2"/>
    <w:rsid w:val="009078F7"/>
    <w:rsid w:val="009100BB"/>
    <w:rsid w:val="0091055A"/>
    <w:rsid w:val="0091057F"/>
    <w:rsid w:val="009106FB"/>
    <w:rsid w:val="00910793"/>
    <w:rsid w:val="009108EB"/>
    <w:rsid w:val="009109E8"/>
    <w:rsid w:val="00910A31"/>
    <w:rsid w:val="00910C69"/>
    <w:rsid w:val="00910D34"/>
    <w:rsid w:val="0091178A"/>
    <w:rsid w:val="00911844"/>
    <w:rsid w:val="00911865"/>
    <w:rsid w:val="009118EE"/>
    <w:rsid w:val="00911AA3"/>
    <w:rsid w:val="00911C90"/>
    <w:rsid w:val="00912006"/>
    <w:rsid w:val="00912208"/>
    <w:rsid w:val="009122FD"/>
    <w:rsid w:val="00912441"/>
    <w:rsid w:val="00912999"/>
    <w:rsid w:val="009129BF"/>
    <w:rsid w:val="00912A00"/>
    <w:rsid w:val="00912BBB"/>
    <w:rsid w:val="009133F5"/>
    <w:rsid w:val="00913534"/>
    <w:rsid w:val="00913629"/>
    <w:rsid w:val="00913A4B"/>
    <w:rsid w:val="00913C54"/>
    <w:rsid w:val="00913EC8"/>
    <w:rsid w:val="0091436F"/>
    <w:rsid w:val="009146D6"/>
    <w:rsid w:val="00914ECC"/>
    <w:rsid w:val="00914F8F"/>
    <w:rsid w:val="009155A1"/>
    <w:rsid w:val="009158ED"/>
    <w:rsid w:val="00915908"/>
    <w:rsid w:val="0091597F"/>
    <w:rsid w:val="0091599B"/>
    <w:rsid w:val="009159F1"/>
    <w:rsid w:val="00915C5C"/>
    <w:rsid w:val="00915CED"/>
    <w:rsid w:val="00915D78"/>
    <w:rsid w:val="00915F35"/>
    <w:rsid w:val="009164F7"/>
    <w:rsid w:val="00916796"/>
    <w:rsid w:val="00916FC0"/>
    <w:rsid w:val="009173DD"/>
    <w:rsid w:val="00917761"/>
    <w:rsid w:val="00917C1C"/>
    <w:rsid w:val="00917C42"/>
    <w:rsid w:val="009203A2"/>
    <w:rsid w:val="0092044B"/>
    <w:rsid w:val="0092052C"/>
    <w:rsid w:val="009207CC"/>
    <w:rsid w:val="00920EBB"/>
    <w:rsid w:val="00920F92"/>
    <w:rsid w:val="009211E0"/>
    <w:rsid w:val="009213EF"/>
    <w:rsid w:val="009214D5"/>
    <w:rsid w:val="00921925"/>
    <w:rsid w:val="00921AFC"/>
    <w:rsid w:val="00921B00"/>
    <w:rsid w:val="00921CF5"/>
    <w:rsid w:val="00921DB1"/>
    <w:rsid w:val="0092213C"/>
    <w:rsid w:val="0092218B"/>
    <w:rsid w:val="00922317"/>
    <w:rsid w:val="00922349"/>
    <w:rsid w:val="00922CB2"/>
    <w:rsid w:val="00923117"/>
    <w:rsid w:val="0092314A"/>
    <w:rsid w:val="00923C41"/>
    <w:rsid w:val="0092400B"/>
    <w:rsid w:val="009243D2"/>
    <w:rsid w:val="00924493"/>
    <w:rsid w:val="0092473C"/>
    <w:rsid w:val="00924825"/>
    <w:rsid w:val="00924C88"/>
    <w:rsid w:val="00924EAD"/>
    <w:rsid w:val="009250F7"/>
    <w:rsid w:val="0092554A"/>
    <w:rsid w:val="00925D42"/>
    <w:rsid w:val="00925F75"/>
    <w:rsid w:val="00926171"/>
    <w:rsid w:val="0092634A"/>
    <w:rsid w:val="0092663C"/>
    <w:rsid w:val="00926664"/>
    <w:rsid w:val="009269EA"/>
    <w:rsid w:val="00926B51"/>
    <w:rsid w:val="00926C91"/>
    <w:rsid w:val="00926CE3"/>
    <w:rsid w:val="009272CF"/>
    <w:rsid w:val="0092742B"/>
    <w:rsid w:val="009277F8"/>
    <w:rsid w:val="00927808"/>
    <w:rsid w:val="0093002E"/>
    <w:rsid w:val="00930100"/>
    <w:rsid w:val="00930A3A"/>
    <w:rsid w:val="00930C45"/>
    <w:rsid w:val="00930D68"/>
    <w:rsid w:val="0093147E"/>
    <w:rsid w:val="0093192B"/>
    <w:rsid w:val="00931943"/>
    <w:rsid w:val="00931C46"/>
    <w:rsid w:val="00931EC2"/>
    <w:rsid w:val="00932292"/>
    <w:rsid w:val="00932514"/>
    <w:rsid w:val="0093254B"/>
    <w:rsid w:val="00932844"/>
    <w:rsid w:val="00932E21"/>
    <w:rsid w:val="00932EC0"/>
    <w:rsid w:val="009334D2"/>
    <w:rsid w:val="0093363C"/>
    <w:rsid w:val="0093381D"/>
    <w:rsid w:val="009338B0"/>
    <w:rsid w:val="0093397D"/>
    <w:rsid w:val="00933A99"/>
    <w:rsid w:val="00933AFC"/>
    <w:rsid w:val="00933D03"/>
    <w:rsid w:val="00933E37"/>
    <w:rsid w:val="00933EB6"/>
    <w:rsid w:val="009344E6"/>
    <w:rsid w:val="0093454D"/>
    <w:rsid w:val="0093543B"/>
    <w:rsid w:val="00935A35"/>
    <w:rsid w:val="00935E83"/>
    <w:rsid w:val="0093776B"/>
    <w:rsid w:val="00937AD7"/>
    <w:rsid w:val="0094010C"/>
    <w:rsid w:val="00940127"/>
    <w:rsid w:val="00940D4A"/>
    <w:rsid w:val="00940ED2"/>
    <w:rsid w:val="009410F4"/>
    <w:rsid w:val="009417C9"/>
    <w:rsid w:val="00941A4B"/>
    <w:rsid w:val="00941DA8"/>
    <w:rsid w:val="0094204F"/>
    <w:rsid w:val="0094263F"/>
    <w:rsid w:val="00942848"/>
    <w:rsid w:val="009429C2"/>
    <w:rsid w:val="009429E3"/>
    <w:rsid w:val="00942B6A"/>
    <w:rsid w:val="00942B71"/>
    <w:rsid w:val="00942B76"/>
    <w:rsid w:val="009433A4"/>
    <w:rsid w:val="0094374B"/>
    <w:rsid w:val="009439B8"/>
    <w:rsid w:val="00943D18"/>
    <w:rsid w:val="00943E4A"/>
    <w:rsid w:val="00943F01"/>
    <w:rsid w:val="00944830"/>
    <w:rsid w:val="0094526F"/>
    <w:rsid w:val="009452F9"/>
    <w:rsid w:val="0094543F"/>
    <w:rsid w:val="009454CA"/>
    <w:rsid w:val="00945DEB"/>
    <w:rsid w:val="009460DB"/>
    <w:rsid w:val="009467CB"/>
    <w:rsid w:val="0094683F"/>
    <w:rsid w:val="00946A15"/>
    <w:rsid w:val="00946F9C"/>
    <w:rsid w:val="009472A7"/>
    <w:rsid w:val="009478BB"/>
    <w:rsid w:val="00947AA2"/>
    <w:rsid w:val="00947B66"/>
    <w:rsid w:val="0095010A"/>
    <w:rsid w:val="00950285"/>
    <w:rsid w:val="009503A3"/>
    <w:rsid w:val="00950637"/>
    <w:rsid w:val="00950797"/>
    <w:rsid w:val="00950815"/>
    <w:rsid w:val="00950872"/>
    <w:rsid w:val="009512AF"/>
    <w:rsid w:val="0095148F"/>
    <w:rsid w:val="00951897"/>
    <w:rsid w:val="00951B84"/>
    <w:rsid w:val="00951F3F"/>
    <w:rsid w:val="009521A6"/>
    <w:rsid w:val="009521BF"/>
    <w:rsid w:val="009523EE"/>
    <w:rsid w:val="00952610"/>
    <w:rsid w:val="00952A6C"/>
    <w:rsid w:val="00952D53"/>
    <w:rsid w:val="009533D9"/>
    <w:rsid w:val="0095368F"/>
    <w:rsid w:val="009537DB"/>
    <w:rsid w:val="00953AFE"/>
    <w:rsid w:val="00954046"/>
    <w:rsid w:val="00954BFF"/>
    <w:rsid w:val="00954D04"/>
    <w:rsid w:val="00954E3D"/>
    <w:rsid w:val="009552E3"/>
    <w:rsid w:val="0095546A"/>
    <w:rsid w:val="00955871"/>
    <w:rsid w:val="00955B3F"/>
    <w:rsid w:val="00955EB7"/>
    <w:rsid w:val="00955F78"/>
    <w:rsid w:val="009560A5"/>
    <w:rsid w:val="0095640C"/>
    <w:rsid w:val="00956591"/>
    <w:rsid w:val="00956E66"/>
    <w:rsid w:val="0095775D"/>
    <w:rsid w:val="0095776E"/>
    <w:rsid w:val="00957953"/>
    <w:rsid w:val="00957E6B"/>
    <w:rsid w:val="00957EC5"/>
    <w:rsid w:val="00960420"/>
    <w:rsid w:val="009605FE"/>
    <w:rsid w:val="00960A30"/>
    <w:rsid w:val="00960A32"/>
    <w:rsid w:val="00960B86"/>
    <w:rsid w:val="00960EF0"/>
    <w:rsid w:val="00960F38"/>
    <w:rsid w:val="00960FBF"/>
    <w:rsid w:val="009612BA"/>
    <w:rsid w:val="00961603"/>
    <w:rsid w:val="00961AAF"/>
    <w:rsid w:val="00961AE7"/>
    <w:rsid w:val="00961D21"/>
    <w:rsid w:val="00961E8E"/>
    <w:rsid w:val="00962052"/>
    <w:rsid w:val="009620EF"/>
    <w:rsid w:val="00962504"/>
    <w:rsid w:val="00962C5D"/>
    <w:rsid w:val="00962FBB"/>
    <w:rsid w:val="00963137"/>
    <w:rsid w:val="0096313D"/>
    <w:rsid w:val="0096315D"/>
    <w:rsid w:val="009635D8"/>
    <w:rsid w:val="009636ED"/>
    <w:rsid w:val="00963A0E"/>
    <w:rsid w:val="00963F5E"/>
    <w:rsid w:val="00963FF8"/>
    <w:rsid w:val="00964303"/>
    <w:rsid w:val="009643F7"/>
    <w:rsid w:val="00964BF2"/>
    <w:rsid w:val="00964DAA"/>
    <w:rsid w:val="00964E2C"/>
    <w:rsid w:val="009650BB"/>
    <w:rsid w:val="00965128"/>
    <w:rsid w:val="00965160"/>
    <w:rsid w:val="009651E5"/>
    <w:rsid w:val="00965369"/>
    <w:rsid w:val="00965DFF"/>
    <w:rsid w:val="00965ECE"/>
    <w:rsid w:val="009662CA"/>
    <w:rsid w:val="0096635E"/>
    <w:rsid w:val="009664AD"/>
    <w:rsid w:val="00966A74"/>
    <w:rsid w:val="00966AF7"/>
    <w:rsid w:val="00966B34"/>
    <w:rsid w:val="0096731C"/>
    <w:rsid w:val="00967553"/>
    <w:rsid w:val="00967815"/>
    <w:rsid w:val="009679DD"/>
    <w:rsid w:val="00967F1C"/>
    <w:rsid w:val="00970280"/>
    <w:rsid w:val="009704AF"/>
    <w:rsid w:val="009705F0"/>
    <w:rsid w:val="00970AED"/>
    <w:rsid w:val="00970B5E"/>
    <w:rsid w:val="00970F21"/>
    <w:rsid w:val="00971276"/>
    <w:rsid w:val="00971368"/>
    <w:rsid w:val="00971396"/>
    <w:rsid w:val="00971416"/>
    <w:rsid w:val="00971496"/>
    <w:rsid w:val="00971563"/>
    <w:rsid w:val="009715C9"/>
    <w:rsid w:val="0097183A"/>
    <w:rsid w:val="0097186C"/>
    <w:rsid w:val="00971989"/>
    <w:rsid w:val="00971A2F"/>
    <w:rsid w:val="00971DCB"/>
    <w:rsid w:val="00972286"/>
    <w:rsid w:val="0097235E"/>
    <w:rsid w:val="00972404"/>
    <w:rsid w:val="0097241A"/>
    <w:rsid w:val="00972648"/>
    <w:rsid w:val="00972C9E"/>
    <w:rsid w:val="00972CAC"/>
    <w:rsid w:val="00972D13"/>
    <w:rsid w:val="00972F57"/>
    <w:rsid w:val="009730CE"/>
    <w:rsid w:val="00973134"/>
    <w:rsid w:val="009735F7"/>
    <w:rsid w:val="0097392A"/>
    <w:rsid w:val="00973BBA"/>
    <w:rsid w:val="0097473E"/>
    <w:rsid w:val="00975071"/>
    <w:rsid w:val="009752E5"/>
    <w:rsid w:val="009757A4"/>
    <w:rsid w:val="00975AF2"/>
    <w:rsid w:val="00975CE8"/>
    <w:rsid w:val="00975F7C"/>
    <w:rsid w:val="0097670B"/>
    <w:rsid w:val="00976A6A"/>
    <w:rsid w:val="009773CF"/>
    <w:rsid w:val="0097750F"/>
    <w:rsid w:val="00977DBC"/>
    <w:rsid w:val="00980548"/>
    <w:rsid w:val="0098083B"/>
    <w:rsid w:val="00980B3D"/>
    <w:rsid w:val="00980E51"/>
    <w:rsid w:val="00981309"/>
    <w:rsid w:val="00981DD0"/>
    <w:rsid w:val="00982383"/>
    <w:rsid w:val="00982816"/>
    <w:rsid w:val="00982C51"/>
    <w:rsid w:val="00983181"/>
    <w:rsid w:val="009837F9"/>
    <w:rsid w:val="00983AC7"/>
    <w:rsid w:val="00983BAB"/>
    <w:rsid w:val="00983FE0"/>
    <w:rsid w:val="00984134"/>
    <w:rsid w:val="009846BA"/>
    <w:rsid w:val="009849AE"/>
    <w:rsid w:val="00984B6C"/>
    <w:rsid w:val="009852CA"/>
    <w:rsid w:val="00985760"/>
    <w:rsid w:val="009857E4"/>
    <w:rsid w:val="00985929"/>
    <w:rsid w:val="00985B1F"/>
    <w:rsid w:val="00986455"/>
    <w:rsid w:val="00986475"/>
    <w:rsid w:val="00986D3F"/>
    <w:rsid w:val="009871CD"/>
    <w:rsid w:val="0098728D"/>
    <w:rsid w:val="00987CE3"/>
    <w:rsid w:val="00987D2A"/>
    <w:rsid w:val="00987DDE"/>
    <w:rsid w:val="009901D9"/>
    <w:rsid w:val="00990288"/>
    <w:rsid w:val="00990294"/>
    <w:rsid w:val="009907A9"/>
    <w:rsid w:val="009907B9"/>
    <w:rsid w:val="00990E65"/>
    <w:rsid w:val="0099123C"/>
    <w:rsid w:val="00991308"/>
    <w:rsid w:val="00991A65"/>
    <w:rsid w:val="00991B81"/>
    <w:rsid w:val="00991CCC"/>
    <w:rsid w:val="00992196"/>
    <w:rsid w:val="00992206"/>
    <w:rsid w:val="0099270D"/>
    <w:rsid w:val="009927A9"/>
    <w:rsid w:val="00992A78"/>
    <w:rsid w:val="00992F87"/>
    <w:rsid w:val="00993130"/>
    <w:rsid w:val="009935F9"/>
    <w:rsid w:val="009936E3"/>
    <w:rsid w:val="0099380B"/>
    <w:rsid w:val="00994490"/>
    <w:rsid w:val="009946DE"/>
    <w:rsid w:val="0099476E"/>
    <w:rsid w:val="009948F8"/>
    <w:rsid w:val="00994A78"/>
    <w:rsid w:val="00994B88"/>
    <w:rsid w:val="00994D84"/>
    <w:rsid w:val="00994EDF"/>
    <w:rsid w:val="00994FB3"/>
    <w:rsid w:val="00995009"/>
    <w:rsid w:val="0099541A"/>
    <w:rsid w:val="00995566"/>
    <w:rsid w:val="009957F6"/>
    <w:rsid w:val="00995889"/>
    <w:rsid w:val="00995FD4"/>
    <w:rsid w:val="00996636"/>
    <w:rsid w:val="00996C2B"/>
    <w:rsid w:val="00996D05"/>
    <w:rsid w:val="00996FA3"/>
    <w:rsid w:val="00997167"/>
    <w:rsid w:val="00997210"/>
    <w:rsid w:val="0099759E"/>
    <w:rsid w:val="00997615"/>
    <w:rsid w:val="009978F8"/>
    <w:rsid w:val="00997B50"/>
    <w:rsid w:val="00997DB1"/>
    <w:rsid w:val="00997E71"/>
    <w:rsid w:val="009A040A"/>
    <w:rsid w:val="009A051E"/>
    <w:rsid w:val="009A0659"/>
    <w:rsid w:val="009A06C6"/>
    <w:rsid w:val="009A081B"/>
    <w:rsid w:val="009A0978"/>
    <w:rsid w:val="009A0B7B"/>
    <w:rsid w:val="009A0B80"/>
    <w:rsid w:val="009A0D7A"/>
    <w:rsid w:val="009A0EDA"/>
    <w:rsid w:val="009A10C8"/>
    <w:rsid w:val="009A1A2A"/>
    <w:rsid w:val="009A1D2B"/>
    <w:rsid w:val="009A1DD2"/>
    <w:rsid w:val="009A1F28"/>
    <w:rsid w:val="009A26B2"/>
    <w:rsid w:val="009A2766"/>
    <w:rsid w:val="009A27AB"/>
    <w:rsid w:val="009A29C7"/>
    <w:rsid w:val="009A2FE3"/>
    <w:rsid w:val="009A35B2"/>
    <w:rsid w:val="009A35F9"/>
    <w:rsid w:val="009A39D8"/>
    <w:rsid w:val="009A3ACC"/>
    <w:rsid w:val="009A3BF8"/>
    <w:rsid w:val="009A3F47"/>
    <w:rsid w:val="009A3F72"/>
    <w:rsid w:val="009A4454"/>
    <w:rsid w:val="009A468F"/>
    <w:rsid w:val="009A4FB3"/>
    <w:rsid w:val="009A515B"/>
    <w:rsid w:val="009A51C3"/>
    <w:rsid w:val="009A5424"/>
    <w:rsid w:val="009A5B2C"/>
    <w:rsid w:val="009A5F25"/>
    <w:rsid w:val="009A615F"/>
    <w:rsid w:val="009A620C"/>
    <w:rsid w:val="009A6376"/>
    <w:rsid w:val="009A6407"/>
    <w:rsid w:val="009A6D5C"/>
    <w:rsid w:val="009A7098"/>
    <w:rsid w:val="009A7600"/>
    <w:rsid w:val="009A776A"/>
    <w:rsid w:val="009A7B87"/>
    <w:rsid w:val="009A7D13"/>
    <w:rsid w:val="009B094F"/>
    <w:rsid w:val="009B0C58"/>
    <w:rsid w:val="009B0D31"/>
    <w:rsid w:val="009B0EEE"/>
    <w:rsid w:val="009B15F1"/>
    <w:rsid w:val="009B1804"/>
    <w:rsid w:val="009B182F"/>
    <w:rsid w:val="009B1BD7"/>
    <w:rsid w:val="009B1D4E"/>
    <w:rsid w:val="009B200B"/>
    <w:rsid w:val="009B2456"/>
    <w:rsid w:val="009B251A"/>
    <w:rsid w:val="009B2A24"/>
    <w:rsid w:val="009B2A79"/>
    <w:rsid w:val="009B2E29"/>
    <w:rsid w:val="009B2E4D"/>
    <w:rsid w:val="009B370F"/>
    <w:rsid w:val="009B3A50"/>
    <w:rsid w:val="009B41EF"/>
    <w:rsid w:val="009B4545"/>
    <w:rsid w:val="009B4B22"/>
    <w:rsid w:val="009B4BE2"/>
    <w:rsid w:val="009B4E2F"/>
    <w:rsid w:val="009B5304"/>
    <w:rsid w:val="009B5426"/>
    <w:rsid w:val="009B5E04"/>
    <w:rsid w:val="009B6468"/>
    <w:rsid w:val="009B6643"/>
    <w:rsid w:val="009B664E"/>
    <w:rsid w:val="009B6D63"/>
    <w:rsid w:val="009B709D"/>
    <w:rsid w:val="009B724B"/>
    <w:rsid w:val="009B745E"/>
    <w:rsid w:val="009B756F"/>
    <w:rsid w:val="009B75B0"/>
    <w:rsid w:val="009B7A79"/>
    <w:rsid w:val="009B7B9A"/>
    <w:rsid w:val="009B7D7A"/>
    <w:rsid w:val="009C0068"/>
    <w:rsid w:val="009C008F"/>
    <w:rsid w:val="009C0246"/>
    <w:rsid w:val="009C0860"/>
    <w:rsid w:val="009C0AAB"/>
    <w:rsid w:val="009C0C53"/>
    <w:rsid w:val="009C0E3C"/>
    <w:rsid w:val="009C1247"/>
    <w:rsid w:val="009C14FD"/>
    <w:rsid w:val="009C164E"/>
    <w:rsid w:val="009C1774"/>
    <w:rsid w:val="009C195B"/>
    <w:rsid w:val="009C1C2D"/>
    <w:rsid w:val="009C1FFF"/>
    <w:rsid w:val="009C2CD0"/>
    <w:rsid w:val="009C3221"/>
    <w:rsid w:val="009C3755"/>
    <w:rsid w:val="009C3859"/>
    <w:rsid w:val="009C392E"/>
    <w:rsid w:val="009C3B9B"/>
    <w:rsid w:val="009C3D1A"/>
    <w:rsid w:val="009C3F76"/>
    <w:rsid w:val="009C3F9B"/>
    <w:rsid w:val="009C407F"/>
    <w:rsid w:val="009C4462"/>
    <w:rsid w:val="009C44EF"/>
    <w:rsid w:val="009C46BB"/>
    <w:rsid w:val="009C4A33"/>
    <w:rsid w:val="009C4BC9"/>
    <w:rsid w:val="009C4CB3"/>
    <w:rsid w:val="009C4D08"/>
    <w:rsid w:val="009C4DEF"/>
    <w:rsid w:val="009C507D"/>
    <w:rsid w:val="009C5087"/>
    <w:rsid w:val="009C52C7"/>
    <w:rsid w:val="009C532C"/>
    <w:rsid w:val="009C533A"/>
    <w:rsid w:val="009C5B08"/>
    <w:rsid w:val="009C5BE8"/>
    <w:rsid w:val="009C5C15"/>
    <w:rsid w:val="009C5C9A"/>
    <w:rsid w:val="009C5CF6"/>
    <w:rsid w:val="009C6E1D"/>
    <w:rsid w:val="009C71DA"/>
    <w:rsid w:val="009C7386"/>
    <w:rsid w:val="009C74DB"/>
    <w:rsid w:val="009C7518"/>
    <w:rsid w:val="009C7CD6"/>
    <w:rsid w:val="009C7FBF"/>
    <w:rsid w:val="009C7FFC"/>
    <w:rsid w:val="009D001F"/>
    <w:rsid w:val="009D01D8"/>
    <w:rsid w:val="009D0355"/>
    <w:rsid w:val="009D03C9"/>
    <w:rsid w:val="009D0572"/>
    <w:rsid w:val="009D09FE"/>
    <w:rsid w:val="009D0D5E"/>
    <w:rsid w:val="009D1364"/>
    <w:rsid w:val="009D163D"/>
    <w:rsid w:val="009D169A"/>
    <w:rsid w:val="009D190E"/>
    <w:rsid w:val="009D1954"/>
    <w:rsid w:val="009D2579"/>
    <w:rsid w:val="009D2790"/>
    <w:rsid w:val="009D2B56"/>
    <w:rsid w:val="009D336D"/>
    <w:rsid w:val="009D35B9"/>
    <w:rsid w:val="009D3F1B"/>
    <w:rsid w:val="009D4492"/>
    <w:rsid w:val="009D53E2"/>
    <w:rsid w:val="009D5774"/>
    <w:rsid w:val="009D5952"/>
    <w:rsid w:val="009D5B76"/>
    <w:rsid w:val="009D6990"/>
    <w:rsid w:val="009D6A88"/>
    <w:rsid w:val="009D6C8B"/>
    <w:rsid w:val="009D6F91"/>
    <w:rsid w:val="009D734E"/>
    <w:rsid w:val="009D7E2B"/>
    <w:rsid w:val="009E02DF"/>
    <w:rsid w:val="009E0DFC"/>
    <w:rsid w:val="009E10EB"/>
    <w:rsid w:val="009E1765"/>
    <w:rsid w:val="009E1F4D"/>
    <w:rsid w:val="009E22AA"/>
    <w:rsid w:val="009E238D"/>
    <w:rsid w:val="009E3077"/>
    <w:rsid w:val="009E3452"/>
    <w:rsid w:val="009E3521"/>
    <w:rsid w:val="009E361F"/>
    <w:rsid w:val="009E39E9"/>
    <w:rsid w:val="009E3EF2"/>
    <w:rsid w:val="009E401D"/>
    <w:rsid w:val="009E414F"/>
    <w:rsid w:val="009E41A9"/>
    <w:rsid w:val="009E432C"/>
    <w:rsid w:val="009E44A1"/>
    <w:rsid w:val="009E44CE"/>
    <w:rsid w:val="009E4B7F"/>
    <w:rsid w:val="009E4ECB"/>
    <w:rsid w:val="009E5267"/>
    <w:rsid w:val="009E5365"/>
    <w:rsid w:val="009E541C"/>
    <w:rsid w:val="009E58BD"/>
    <w:rsid w:val="009E5BB7"/>
    <w:rsid w:val="009E5CC9"/>
    <w:rsid w:val="009E5F6F"/>
    <w:rsid w:val="009E6523"/>
    <w:rsid w:val="009E67B7"/>
    <w:rsid w:val="009E6896"/>
    <w:rsid w:val="009E690A"/>
    <w:rsid w:val="009E6D54"/>
    <w:rsid w:val="009E6FE5"/>
    <w:rsid w:val="009E71E8"/>
    <w:rsid w:val="009E7484"/>
    <w:rsid w:val="009F00E2"/>
    <w:rsid w:val="009F029F"/>
    <w:rsid w:val="009F0B19"/>
    <w:rsid w:val="009F0D31"/>
    <w:rsid w:val="009F15C6"/>
    <w:rsid w:val="009F1AC3"/>
    <w:rsid w:val="009F21FE"/>
    <w:rsid w:val="009F2242"/>
    <w:rsid w:val="009F2417"/>
    <w:rsid w:val="009F2428"/>
    <w:rsid w:val="009F2616"/>
    <w:rsid w:val="009F2A10"/>
    <w:rsid w:val="009F2F7F"/>
    <w:rsid w:val="009F319C"/>
    <w:rsid w:val="009F36BA"/>
    <w:rsid w:val="009F3797"/>
    <w:rsid w:val="009F379D"/>
    <w:rsid w:val="009F3892"/>
    <w:rsid w:val="009F40F4"/>
    <w:rsid w:val="009F423D"/>
    <w:rsid w:val="009F5150"/>
    <w:rsid w:val="009F5316"/>
    <w:rsid w:val="009F5376"/>
    <w:rsid w:val="009F53A4"/>
    <w:rsid w:val="009F5429"/>
    <w:rsid w:val="009F5AF2"/>
    <w:rsid w:val="009F5B20"/>
    <w:rsid w:val="009F5CB9"/>
    <w:rsid w:val="009F663D"/>
    <w:rsid w:val="009F6831"/>
    <w:rsid w:val="009F6D1C"/>
    <w:rsid w:val="009F6F09"/>
    <w:rsid w:val="009F6FD2"/>
    <w:rsid w:val="009F7AF4"/>
    <w:rsid w:val="00A0039D"/>
    <w:rsid w:val="00A00C29"/>
    <w:rsid w:val="00A010EF"/>
    <w:rsid w:val="00A010F4"/>
    <w:rsid w:val="00A01501"/>
    <w:rsid w:val="00A016C1"/>
    <w:rsid w:val="00A01744"/>
    <w:rsid w:val="00A019B8"/>
    <w:rsid w:val="00A01BB6"/>
    <w:rsid w:val="00A01BB7"/>
    <w:rsid w:val="00A0243A"/>
    <w:rsid w:val="00A0246F"/>
    <w:rsid w:val="00A02A0E"/>
    <w:rsid w:val="00A02AAD"/>
    <w:rsid w:val="00A02CAD"/>
    <w:rsid w:val="00A02D78"/>
    <w:rsid w:val="00A0314E"/>
    <w:rsid w:val="00A031A6"/>
    <w:rsid w:val="00A035FB"/>
    <w:rsid w:val="00A03764"/>
    <w:rsid w:val="00A038CC"/>
    <w:rsid w:val="00A039CC"/>
    <w:rsid w:val="00A03D4F"/>
    <w:rsid w:val="00A042F8"/>
    <w:rsid w:val="00A042FB"/>
    <w:rsid w:val="00A04549"/>
    <w:rsid w:val="00A045BB"/>
    <w:rsid w:val="00A04B93"/>
    <w:rsid w:val="00A04C08"/>
    <w:rsid w:val="00A04C40"/>
    <w:rsid w:val="00A04FEF"/>
    <w:rsid w:val="00A05AE1"/>
    <w:rsid w:val="00A0604C"/>
    <w:rsid w:val="00A0624A"/>
    <w:rsid w:val="00A0648A"/>
    <w:rsid w:val="00A0686C"/>
    <w:rsid w:val="00A06960"/>
    <w:rsid w:val="00A06998"/>
    <w:rsid w:val="00A07004"/>
    <w:rsid w:val="00A07769"/>
    <w:rsid w:val="00A07955"/>
    <w:rsid w:val="00A1025F"/>
    <w:rsid w:val="00A106F4"/>
    <w:rsid w:val="00A10B8E"/>
    <w:rsid w:val="00A10C1A"/>
    <w:rsid w:val="00A11050"/>
    <w:rsid w:val="00A1128E"/>
    <w:rsid w:val="00A11452"/>
    <w:rsid w:val="00A119BE"/>
    <w:rsid w:val="00A11A02"/>
    <w:rsid w:val="00A11AF4"/>
    <w:rsid w:val="00A11D4E"/>
    <w:rsid w:val="00A11FCA"/>
    <w:rsid w:val="00A12078"/>
    <w:rsid w:val="00A12195"/>
    <w:rsid w:val="00A127C7"/>
    <w:rsid w:val="00A128A3"/>
    <w:rsid w:val="00A12ACD"/>
    <w:rsid w:val="00A12DB5"/>
    <w:rsid w:val="00A12EE4"/>
    <w:rsid w:val="00A12EE5"/>
    <w:rsid w:val="00A1328B"/>
    <w:rsid w:val="00A1359F"/>
    <w:rsid w:val="00A13788"/>
    <w:rsid w:val="00A13CFF"/>
    <w:rsid w:val="00A13FB4"/>
    <w:rsid w:val="00A14133"/>
    <w:rsid w:val="00A143A2"/>
    <w:rsid w:val="00A143A4"/>
    <w:rsid w:val="00A14621"/>
    <w:rsid w:val="00A14A77"/>
    <w:rsid w:val="00A14AB3"/>
    <w:rsid w:val="00A14ABB"/>
    <w:rsid w:val="00A14B69"/>
    <w:rsid w:val="00A14C5D"/>
    <w:rsid w:val="00A14E8F"/>
    <w:rsid w:val="00A14FF2"/>
    <w:rsid w:val="00A152E4"/>
    <w:rsid w:val="00A1547E"/>
    <w:rsid w:val="00A15E32"/>
    <w:rsid w:val="00A16185"/>
    <w:rsid w:val="00A16188"/>
    <w:rsid w:val="00A16474"/>
    <w:rsid w:val="00A16475"/>
    <w:rsid w:val="00A16608"/>
    <w:rsid w:val="00A16659"/>
    <w:rsid w:val="00A1668B"/>
    <w:rsid w:val="00A16A3A"/>
    <w:rsid w:val="00A16ADB"/>
    <w:rsid w:val="00A16D8C"/>
    <w:rsid w:val="00A16EC0"/>
    <w:rsid w:val="00A16FE8"/>
    <w:rsid w:val="00A17BF0"/>
    <w:rsid w:val="00A200F2"/>
    <w:rsid w:val="00A20B38"/>
    <w:rsid w:val="00A20C50"/>
    <w:rsid w:val="00A215EE"/>
    <w:rsid w:val="00A21786"/>
    <w:rsid w:val="00A219C9"/>
    <w:rsid w:val="00A21E4E"/>
    <w:rsid w:val="00A21EA0"/>
    <w:rsid w:val="00A22344"/>
    <w:rsid w:val="00A223B6"/>
    <w:rsid w:val="00A223FC"/>
    <w:rsid w:val="00A22B64"/>
    <w:rsid w:val="00A230F1"/>
    <w:rsid w:val="00A231FE"/>
    <w:rsid w:val="00A233D4"/>
    <w:rsid w:val="00A23BB4"/>
    <w:rsid w:val="00A2400C"/>
    <w:rsid w:val="00A247B7"/>
    <w:rsid w:val="00A24DC2"/>
    <w:rsid w:val="00A24DF7"/>
    <w:rsid w:val="00A2542A"/>
    <w:rsid w:val="00A25514"/>
    <w:rsid w:val="00A256D7"/>
    <w:rsid w:val="00A25B1A"/>
    <w:rsid w:val="00A26170"/>
    <w:rsid w:val="00A262CC"/>
    <w:rsid w:val="00A26472"/>
    <w:rsid w:val="00A26AC8"/>
    <w:rsid w:val="00A26C06"/>
    <w:rsid w:val="00A26D7E"/>
    <w:rsid w:val="00A2756F"/>
    <w:rsid w:val="00A27AD6"/>
    <w:rsid w:val="00A27B93"/>
    <w:rsid w:val="00A27BFF"/>
    <w:rsid w:val="00A27C06"/>
    <w:rsid w:val="00A27E97"/>
    <w:rsid w:val="00A30159"/>
    <w:rsid w:val="00A3067C"/>
    <w:rsid w:val="00A30968"/>
    <w:rsid w:val="00A30D0A"/>
    <w:rsid w:val="00A30D6D"/>
    <w:rsid w:val="00A30D91"/>
    <w:rsid w:val="00A30F04"/>
    <w:rsid w:val="00A310A9"/>
    <w:rsid w:val="00A3140C"/>
    <w:rsid w:val="00A31762"/>
    <w:rsid w:val="00A324C3"/>
    <w:rsid w:val="00A325E0"/>
    <w:rsid w:val="00A32689"/>
    <w:rsid w:val="00A329DE"/>
    <w:rsid w:val="00A32CDF"/>
    <w:rsid w:val="00A3376A"/>
    <w:rsid w:val="00A33EF4"/>
    <w:rsid w:val="00A33EFB"/>
    <w:rsid w:val="00A3414B"/>
    <w:rsid w:val="00A341BC"/>
    <w:rsid w:val="00A34BDE"/>
    <w:rsid w:val="00A34E07"/>
    <w:rsid w:val="00A34F3A"/>
    <w:rsid w:val="00A34FA0"/>
    <w:rsid w:val="00A3540B"/>
    <w:rsid w:val="00A354CD"/>
    <w:rsid w:val="00A359AA"/>
    <w:rsid w:val="00A35C6C"/>
    <w:rsid w:val="00A36C57"/>
    <w:rsid w:val="00A36E44"/>
    <w:rsid w:val="00A37103"/>
    <w:rsid w:val="00A37153"/>
    <w:rsid w:val="00A37362"/>
    <w:rsid w:val="00A37836"/>
    <w:rsid w:val="00A379B7"/>
    <w:rsid w:val="00A37A08"/>
    <w:rsid w:val="00A37B69"/>
    <w:rsid w:val="00A4005A"/>
    <w:rsid w:val="00A402AF"/>
    <w:rsid w:val="00A41A97"/>
    <w:rsid w:val="00A41AA6"/>
    <w:rsid w:val="00A4261B"/>
    <w:rsid w:val="00A42F47"/>
    <w:rsid w:val="00A43169"/>
    <w:rsid w:val="00A433BB"/>
    <w:rsid w:val="00A436DD"/>
    <w:rsid w:val="00A436FB"/>
    <w:rsid w:val="00A43DCE"/>
    <w:rsid w:val="00A4417B"/>
    <w:rsid w:val="00A4455A"/>
    <w:rsid w:val="00A4467D"/>
    <w:rsid w:val="00A44D46"/>
    <w:rsid w:val="00A44D79"/>
    <w:rsid w:val="00A44D98"/>
    <w:rsid w:val="00A44F62"/>
    <w:rsid w:val="00A44FAC"/>
    <w:rsid w:val="00A45254"/>
    <w:rsid w:val="00A452AC"/>
    <w:rsid w:val="00A4563B"/>
    <w:rsid w:val="00A45B1C"/>
    <w:rsid w:val="00A45FDA"/>
    <w:rsid w:val="00A45FDE"/>
    <w:rsid w:val="00A4687B"/>
    <w:rsid w:val="00A4695B"/>
    <w:rsid w:val="00A46AC7"/>
    <w:rsid w:val="00A46C2B"/>
    <w:rsid w:val="00A47108"/>
    <w:rsid w:val="00A47834"/>
    <w:rsid w:val="00A47B10"/>
    <w:rsid w:val="00A5073F"/>
    <w:rsid w:val="00A50F48"/>
    <w:rsid w:val="00A51492"/>
    <w:rsid w:val="00A52048"/>
    <w:rsid w:val="00A5210B"/>
    <w:rsid w:val="00A52E40"/>
    <w:rsid w:val="00A52FF3"/>
    <w:rsid w:val="00A530D0"/>
    <w:rsid w:val="00A53180"/>
    <w:rsid w:val="00A53305"/>
    <w:rsid w:val="00A536EF"/>
    <w:rsid w:val="00A541B9"/>
    <w:rsid w:val="00A54295"/>
    <w:rsid w:val="00A54655"/>
    <w:rsid w:val="00A549FD"/>
    <w:rsid w:val="00A54DD8"/>
    <w:rsid w:val="00A550CC"/>
    <w:rsid w:val="00A5558A"/>
    <w:rsid w:val="00A557C5"/>
    <w:rsid w:val="00A559EB"/>
    <w:rsid w:val="00A55E1B"/>
    <w:rsid w:val="00A55F72"/>
    <w:rsid w:val="00A5618A"/>
    <w:rsid w:val="00A56205"/>
    <w:rsid w:val="00A56538"/>
    <w:rsid w:val="00A565EA"/>
    <w:rsid w:val="00A5663A"/>
    <w:rsid w:val="00A56680"/>
    <w:rsid w:val="00A56E43"/>
    <w:rsid w:val="00A572C5"/>
    <w:rsid w:val="00A572FF"/>
    <w:rsid w:val="00A5758D"/>
    <w:rsid w:val="00A6051F"/>
    <w:rsid w:val="00A60890"/>
    <w:rsid w:val="00A60C6E"/>
    <w:rsid w:val="00A6121D"/>
    <w:rsid w:val="00A61715"/>
    <w:rsid w:val="00A61CD0"/>
    <w:rsid w:val="00A621B5"/>
    <w:rsid w:val="00A628FD"/>
    <w:rsid w:val="00A62D4F"/>
    <w:rsid w:val="00A630C7"/>
    <w:rsid w:val="00A631D5"/>
    <w:rsid w:val="00A63322"/>
    <w:rsid w:val="00A634A6"/>
    <w:rsid w:val="00A6356B"/>
    <w:rsid w:val="00A6381B"/>
    <w:rsid w:val="00A64984"/>
    <w:rsid w:val="00A64A2C"/>
    <w:rsid w:val="00A64C6E"/>
    <w:rsid w:val="00A65E36"/>
    <w:rsid w:val="00A65EA9"/>
    <w:rsid w:val="00A660A7"/>
    <w:rsid w:val="00A66252"/>
    <w:rsid w:val="00A66468"/>
    <w:rsid w:val="00A66689"/>
    <w:rsid w:val="00A667BE"/>
    <w:rsid w:val="00A66DD2"/>
    <w:rsid w:val="00A66EF2"/>
    <w:rsid w:val="00A67242"/>
    <w:rsid w:val="00A67423"/>
    <w:rsid w:val="00A67B9E"/>
    <w:rsid w:val="00A67C7A"/>
    <w:rsid w:val="00A67D20"/>
    <w:rsid w:val="00A70725"/>
    <w:rsid w:val="00A7123D"/>
    <w:rsid w:val="00A71555"/>
    <w:rsid w:val="00A72525"/>
    <w:rsid w:val="00A72662"/>
    <w:rsid w:val="00A72D6B"/>
    <w:rsid w:val="00A72E91"/>
    <w:rsid w:val="00A742DB"/>
    <w:rsid w:val="00A746E3"/>
    <w:rsid w:val="00A74890"/>
    <w:rsid w:val="00A74A20"/>
    <w:rsid w:val="00A74F64"/>
    <w:rsid w:val="00A74F8B"/>
    <w:rsid w:val="00A75297"/>
    <w:rsid w:val="00A755B8"/>
    <w:rsid w:val="00A7609A"/>
    <w:rsid w:val="00A760D3"/>
    <w:rsid w:val="00A764E1"/>
    <w:rsid w:val="00A76F90"/>
    <w:rsid w:val="00A77B2D"/>
    <w:rsid w:val="00A77E1E"/>
    <w:rsid w:val="00A801B3"/>
    <w:rsid w:val="00A809CA"/>
    <w:rsid w:val="00A80CCC"/>
    <w:rsid w:val="00A8184C"/>
    <w:rsid w:val="00A8188E"/>
    <w:rsid w:val="00A81F20"/>
    <w:rsid w:val="00A823AB"/>
    <w:rsid w:val="00A82DB8"/>
    <w:rsid w:val="00A838AA"/>
    <w:rsid w:val="00A83A7A"/>
    <w:rsid w:val="00A83C52"/>
    <w:rsid w:val="00A83C78"/>
    <w:rsid w:val="00A83CE4"/>
    <w:rsid w:val="00A8410D"/>
    <w:rsid w:val="00A843B0"/>
    <w:rsid w:val="00A8501B"/>
    <w:rsid w:val="00A850A7"/>
    <w:rsid w:val="00A850B2"/>
    <w:rsid w:val="00A854FF"/>
    <w:rsid w:val="00A85A29"/>
    <w:rsid w:val="00A85E04"/>
    <w:rsid w:val="00A85EBD"/>
    <w:rsid w:val="00A865EF"/>
    <w:rsid w:val="00A8695B"/>
    <w:rsid w:val="00A86ACD"/>
    <w:rsid w:val="00A86EC3"/>
    <w:rsid w:val="00A903CD"/>
    <w:rsid w:val="00A908AC"/>
    <w:rsid w:val="00A90AF5"/>
    <w:rsid w:val="00A910DA"/>
    <w:rsid w:val="00A9116E"/>
    <w:rsid w:val="00A91DD4"/>
    <w:rsid w:val="00A91E56"/>
    <w:rsid w:val="00A92038"/>
    <w:rsid w:val="00A92345"/>
    <w:rsid w:val="00A9237C"/>
    <w:rsid w:val="00A9252A"/>
    <w:rsid w:val="00A928D0"/>
    <w:rsid w:val="00A92BAF"/>
    <w:rsid w:val="00A93381"/>
    <w:rsid w:val="00A93411"/>
    <w:rsid w:val="00A9344C"/>
    <w:rsid w:val="00A935FC"/>
    <w:rsid w:val="00A937E8"/>
    <w:rsid w:val="00A93892"/>
    <w:rsid w:val="00A93E3F"/>
    <w:rsid w:val="00A93E8B"/>
    <w:rsid w:val="00A94294"/>
    <w:rsid w:val="00A944CE"/>
    <w:rsid w:val="00A9470E"/>
    <w:rsid w:val="00A94AAA"/>
    <w:rsid w:val="00A94C66"/>
    <w:rsid w:val="00A94F13"/>
    <w:rsid w:val="00A951A7"/>
    <w:rsid w:val="00A954FA"/>
    <w:rsid w:val="00A956FC"/>
    <w:rsid w:val="00A95858"/>
    <w:rsid w:val="00A95E70"/>
    <w:rsid w:val="00A95F0E"/>
    <w:rsid w:val="00A960A6"/>
    <w:rsid w:val="00A9629C"/>
    <w:rsid w:val="00A96362"/>
    <w:rsid w:val="00A963B8"/>
    <w:rsid w:val="00A968BE"/>
    <w:rsid w:val="00A96B71"/>
    <w:rsid w:val="00A96B9C"/>
    <w:rsid w:val="00A9714E"/>
    <w:rsid w:val="00A9718A"/>
    <w:rsid w:val="00A976C7"/>
    <w:rsid w:val="00A97A5D"/>
    <w:rsid w:val="00A97AF6"/>
    <w:rsid w:val="00A97BBE"/>
    <w:rsid w:val="00AA0323"/>
    <w:rsid w:val="00AA0A08"/>
    <w:rsid w:val="00AA0ADF"/>
    <w:rsid w:val="00AA0AE6"/>
    <w:rsid w:val="00AA1211"/>
    <w:rsid w:val="00AA12F5"/>
    <w:rsid w:val="00AA1509"/>
    <w:rsid w:val="00AA1565"/>
    <w:rsid w:val="00AA16E5"/>
    <w:rsid w:val="00AA1B0B"/>
    <w:rsid w:val="00AA1D66"/>
    <w:rsid w:val="00AA1DDB"/>
    <w:rsid w:val="00AA1F6C"/>
    <w:rsid w:val="00AA217E"/>
    <w:rsid w:val="00AA22BF"/>
    <w:rsid w:val="00AA24C5"/>
    <w:rsid w:val="00AA2646"/>
    <w:rsid w:val="00AA2769"/>
    <w:rsid w:val="00AA27A0"/>
    <w:rsid w:val="00AA27E3"/>
    <w:rsid w:val="00AA2D4C"/>
    <w:rsid w:val="00AA2EC9"/>
    <w:rsid w:val="00AA2F63"/>
    <w:rsid w:val="00AA2FAC"/>
    <w:rsid w:val="00AA31B7"/>
    <w:rsid w:val="00AA389D"/>
    <w:rsid w:val="00AA3BC5"/>
    <w:rsid w:val="00AA3E82"/>
    <w:rsid w:val="00AA3EC0"/>
    <w:rsid w:val="00AA49B5"/>
    <w:rsid w:val="00AA4AE5"/>
    <w:rsid w:val="00AA509B"/>
    <w:rsid w:val="00AA533D"/>
    <w:rsid w:val="00AA5D05"/>
    <w:rsid w:val="00AA5EC1"/>
    <w:rsid w:val="00AA5FEF"/>
    <w:rsid w:val="00AA6099"/>
    <w:rsid w:val="00AA6368"/>
    <w:rsid w:val="00AA65F7"/>
    <w:rsid w:val="00AA6731"/>
    <w:rsid w:val="00AA69E8"/>
    <w:rsid w:val="00AA6A12"/>
    <w:rsid w:val="00AA730B"/>
    <w:rsid w:val="00AA76D9"/>
    <w:rsid w:val="00AA77F0"/>
    <w:rsid w:val="00AA798B"/>
    <w:rsid w:val="00AA79A8"/>
    <w:rsid w:val="00AA7A18"/>
    <w:rsid w:val="00AA7EBF"/>
    <w:rsid w:val="00AB07A4"/>
    <w:rsid w:val="00AB090D"/>
    <w:rsid w:val="00AB0DF4"/>
    <w:rsid w:val="00AB0F1C"/>
    <w:rsid w:val="00AB1054"/>
    <w:rsid w:val="00AB12E5"/>
    <w:rsid w:val="00AB1EA5"/>
    <w:rsid w:val="00AB26EE"/>
    <w:rsid w:val="00AB28EC"/>
    <w:rsid w:val="00AB2C78"/>
    <w:rsid w:val="00AB2D99"/>
    <w:rsid w:val="00AB2E7E"/>
    <w:rsid w:val="00AB31CE"/>
    <w:rsid w:val="00AB33B3"/>
    <w:rsid w:val="00AB34FC"/>
    <w:rsid w:val="00AB3CEA"/>
    <w:rsid w:val="00AB3DED"/>
    <w:rsid w:val="00AB428E"/>
    <w:rsid w:val="00AB4558"/>
    <w:rsid w:val="00AB45C8"/>
    <w:rsid w:val="00AB4A13"/>
    <w:rsid w:val="00AB4F27"/>
    <w:rsid w:val="00AB5267"/>
    <w:rsid w:val="00AB5627"/>
    <w:rsid w:val="00AB589A"/>
    <w:rsid w:val="00AB5D41"/>
    <w:rsid w:val="00AB5E34"/>
    <w:rsid w:val="00AB69F8"/>
    <w:rsid w:val="00AB6E96"/>
    <w:rsid w:val="00AB7020"/>
    <w:rsid w:val="00AB7184"/>
    <w:rsid w:val="00AB7443"/>
    <w:rsid w:val="00AB77FA"/>
    <w:rsid w:val="00AB7CC8"/>
    <w:rsid w:val="00AB7E97"/>
    <w:rsid w:val="00AB7F0F"/>
    <w:rsid w:val="00AC02DA"/>
    <w:rsid w:val="00AC050D"/>
    <w:rsid w:val="00AC05EB"/>
    <w:rsid w:val="00AC096C"/>
    <w:rsid w:val="00AC09C7"/>
    <w:rsid w:val="00AC0CB2"/>
    <w:rsid w:val="00AC0DBB"/>
    <w:rsid w:val="00AC107A"/>
    <w:rsid w:val="00AC123B"/>
    <w:rsid w:val="00AC1441"/>
    <w:rsid w:val="00AC1484"/>
    <w:rsid w:val="00AC1817"/>
    <w:rsid w:val="00AC1B72"/>
    <w:rsid w:val="00AC20A7"/>
    <w:rsid w:val="00AC2A8D"/>
    <w:rsid w:val="00AC2E1A"/>
    <w:rsid w:val="00AC30E0"/>
    <w:rsid w:val="00AC3AED"/>
    <w:rsid w:val="00AC3EB2"/>
    <w:rsid w:val="00AC4279"/>
    <w:rsid w:val="00AC44C0"/>
    <w:rsid w:val="00AC4704"/>
    <w:rsid w:val="00AC4978"/>
    <w:rsid w:val="00AC49CB"/>
    <w:rsid w:val="00AC4F7A"/>
    <w:rsid w:val="00AC53AA"/>
    <w:rsid w:val="00AC5581"/>
    <w:rsid w:val="00AC55BD"/>
    <w:rsid w:val="00AC5635"/>
    <w:rsid w:val="00AC5692"/>
    <w:rsid w:val="00AC5787"/>
    <w:rsid w:val="00AC5835"/>
    <w:rsid w:val="00AC5B4D"/>
    <w:rsid w:val="00AC60A6"/>
    <w:rsid w:val="00AC64CB"/>
    <w:rsid w:val="00AC6565"/>
    <w:rsid w:val="00AC6604"/>
    <w:rsid w:val="00AC67FD"/>
    <w:rsid w:val="00AC739C"/>
    <w:rsid w:val="00AC7AE8"/>
    <w:rsid w:val="00AC7ED7"/>
    <w:rsid w:val="00AD013C"/>
    <w:rsid w:val="00AD0262"/>
    <w:rsid w:val="00AD02CE"/>
    <w:rsid w:val="00AD050F"/>
    <w:rsid w:val="00AD054C"/>
    <w:rsid w:val="00AD0A2B"/>
    <w:rsid w:val="00AD0C7B"/>
    <w:rsid w:val="00AD0EB1"/>
    <w:rsid w:val="00AD192F"/>
    <w:rsid w:val="00AD1E32"/>
    <w:rsid w:val="00AD23CE"/>
    <w:rsid w:val="00AD2408"/>
    <w:rsid w:val="00AD251E"/>
    <w:rsid w:val="00AD274E"/>
    <w:rsid w:val="00AD290D"/>
    <w:rsid w:val="00AD2B88"/>
    <w:rsid w:val="00AD304B"/>
    <w:rsid w:val="00AD3059"/>
    <w:rsid w:val="00AD353A"/>
    <w:rsid w:val="00AD355B"/>
    <w:rsid w:val="00AD376C"/>
    <w:rsid w:val="00AD37C5"/>
    <w:rsid w:val="00AD38AB"/>
    <w:rsid w:val="00AD3A31"/>
    <w:rsid w:val="00AD3AD1"/>
    <w:rsid w:val="00AD3DFD"/>
    <w:rsid w:val="00AD4058"/>
    <w:rsid w:val="00AD44EB"/>
    <w:rsid w:val="00AD4AED"/>
    <w:rsid w:val="00AD4B95"/>
    <w:rsid w:val="00AD5011"/>
    <w:rsid w:val="00AD51F6"/>
    <w:rsid w:val="00AD593C"/>
    <w:rsid w:val="00AD5A5B"/>
    <w:rsid w:val="00AD6980"/>
    <w:rsid w:val="00AD6ED2"/>
    <w:rsid w:val="00AD725E"/>
    <w:rsid w:val="00AD7556"/>
    <w:rsid w:val="00AD7568"/>
    <w:rsid w:val="00AD79FD"/>
    <w:rsid w:val="00AD7CD6"/>
    <w:rsid w:val="00AE0487"/>
    <w:rsid w:val="00AE04C5"/>
    <w:rsid w:val="00AE0553"/>
    <w:rsid w:val="00AE083E"/>
    <w:rsid w:val="00AE110A"/>
    <w:rsid w:val="00AE158D"/>
    <w:rsid w:val="00AE19FD"/>
    <w:rsid w:val="00AE1DF3"/>
    <w:rsid w:val="00AE205B"/>
    <w:rsid w:val="00AE20C4"/>
    <w:rsid w:val="00AE2A1C"/>
    <w:rsid w:val="00AE2E9C"/>
    <w:rsid w:val="00AE2EF3"/>
    <w:rsid w:val="00AE38F4"/>
    <w:rsid w:val="00AE3B14"/>
    <w:rsid w:val="00AE3B8B"/>
    <w:rsid w:val="00AE4416"/>
    <w:rsid w:val="00AE4639"/>
    <w:rsid w:val="00AE4808"/>
    <w:rsid w:val="00AE4ADC"/>
    <w:rsid w:val="00AE4EB5"/>
    <w:rsid w:val="00AE4F7F"/>
    <w:rsid w:val="00AE5230"/>
    <w:rsid w:val="00AE542E"/>
    <w:rsid w:val="00AE5804"/>
    <w:rsid w:val="00AE59A0"/>
    <w:rsid w:val="00AE5E5C"/>
    <w:rsid w:val="00AE5E8A"/>
    <w:rsid w:val="00AE64F6"/>
    <w:rsid w:val="00AE695C"/>
    <w:rsid w:val="00AE69AD"/>
    <w:rsid w:val="00AE6FC4"/>
    <w:rsid w:val="00AE76D4"/>
    <w:rsid w:val="00AE7CEE"/>
    <w:rsid w:val="00AF0180"/>
    <w:rsid w:val="00AF0382"/>
    <w:rsid w:val="00AF0A5C"/>
    <w:rsid w:val="00AF0EB0"/>
    <w:rsid w:val="00AF122A"/>
    <w:rsid w:val="00AF127B"/>
    <w:rsid w:val="00AF18C3"/>
    <w:rsid w:val="00AF1B33"/>
    <w:rsid w:val="00AF1E36"/>
    <w:rsid w:val="00AF24FE"/>
    <w:rsid w:val="00AF2CBB"/>
    <w:rsid w:val="00AF2FBB"/>
    <w:rsid w:val="00AF32EE"/>
    <w:rsid w:val="00AF337B"/>
    <w:rsid w:val="00AF3620"/>
    <w:rsid w:val="00AF3636"/>
    <w:rsid w:val="00AF386F"/>
    <w:rsid w:val="00AF3E3B"/>
    <w:rsid w:val="00AF3E8B"/>
    <w:rsid w:val="00AF4323"/>
    <w:rsid w:val="00AF43F9"/>
    <w:rsid w:val="00AF4658"/>
    <w:rsid w:val="00AF4789"/>
    <w:rsid w:val="00AF4C79"/>
    <w:rsid w:val="00AF4D3D"/>
    <w:rsid w:val="00AF4F47"/>
    <w:rsid w:val="00AF5066"/>
    <w:rsid w:val="00AF50E9"/>
    <w:rsid w:val="00AF6128"/>
    <w:rsid w:val="00AF6321"/>
    <w:rsid w:val="00AF67A6"/>
    <w:rsid w:val="00AF69C6"/>
    <w:rsid w:val="00AF6C6A"/>
    <w:rsid w:val="00AF6F3D"/>
    <w:rsid w:val="00AF70A2"/>
    <w:rsid w:val="00AF7107"/>
    <w:rsid w:val="00AF7592"/>
    <w:rsid w:val="00B002F3"/>
    <w:rsid w:val="00B004FB"/>
    <w:rsid w:val="00B0051F"/>
    <w:rsid w:val="00B007A1"/>
    <w:rsid w:val="00B008CD"/>
    <w:rsid w:val="00B00C3F"/>
    <w:rsid w:val="00B0105C"/>
    <w:rsid w:val="00B012F6"/>
    <w:rsid w:val="00B014A3"/>
    <w:rsid w:val="00B017A0"/>
    <w:rsid w:val="00B01BA9"/>
    <w:rsid w:val="00B01D76"/>
    <w:rsid w:val="00B01E06"/>
    <w:rsid w:val="00B028A5"/>
    <w:rsid w:val="00B02B86"/>
    <w:rsid w:val="00B03032"/>
    <w:rsid w:val="00B03287"/>
    <w:rsid w:val="00B03517"/>
    <w:rsid w:val="00B03BDC"/>
    <w:rsid w:val="00B03C1F"/>
    <w:rsid w:val="00B03D91"/>
    <w:rsid w:val="00B0401A"/>
    <w:rsid w:val="00B04744"/>
    <w:rsid w:val="00B04C12"/>
    <w:rsid w:val="00B052AB"/>
    <w:rsid w:val="00B052F2"/>
    <w:rsid w:val="00B054A7"/>
    <w:rsid w:val="00B055BF"/>
    <w:rsid w:val="00B05621"/>
    <w:rsid w:val="00B05B4E"/>
    <w:rsid w:val="00B05F86"/>
    <w:rsid w:val="00B06E4D"/>
    <w:rsid w:val="00B070D1"/>
    <w:rsid w:val="00B073D6"/>
    <w:rsid w:val="00B078AB"/>
    <w:rsid w:val="00B07DD6"/>
    <w:rsid w:val="00B101EA"/>
    <w:rsid w:val="00B108E2"/>
    <w:rsid w:val="00B10AD4"/>
    <w:rsid w:val="00B12181"/>
    <w:rsid w:val="00B121DA"/>
    <w:rsid w:val="00B1255F"/>
    <w:rsid w:val="00B128D0"/>
    <w:rsid w:val="00B12A39"/>
    <w:rsid w:val="00B12B62"/>
    <w:rsid w:val="00B12DE0"/>
    <w:rsid w:val="00B12E39"/>
    <w:rsid w:val="00B13175"/>
    <w:rsid w:val="00B13295"/>
    <w:rsid w:val="00B132F4"/>
    <w:rsid w:val="00B134E7"/>
    <w:rsid w:val="00B13544"/>
    <w:rsid w:val="00B1364C"/>
    <w:rsid w:val="00B13E05"/>
    <w:rsid w:val="00B14142"/>
    <w:rsid w:val="00B14418"/>
    <w:rsid w:val="00B14CCC"/>
    <w:rsid w:val="00B14DBA"/>
    <w:rsid w:val="00B14DC6"/>
    <w:rsid w:val="00B15457"/>
    <w:rsid w:val="00B155F9"/>
    <w:rsid w:val="00B15860"/>
    <w:rsid w:val="00B15A35"/>
    <w:rsid w:val="00B15D75"/>
    <w:rsid w:val="00B16BEE"/>
    <w:rsid w:val="00B16DEC"/>
    <w:rsid w:val="00B175ED"/>
    <w:rsid w:val="00B20769"/>
    <w:rsid w:val="00B2107D"/>
    <w:rsid w:val="00B21348"/>
    <w:rsid w:val="00B213DE"/>
    <w:rsid w:val="00B215EF"/>
    <w:rsid w:val="00B2170F"/>
    <w:rsid w:val="00B21D27"/>
    <w:rsid w:val="00B220D8"/>
    <w:rsid w:val="00B22FD1"/>
    <w:rsid w:val="00B23143"/>
    <w:rsid w:val="00B23E32"/>
    <w:rsid w:val="00B246E9"/>
    <w:rsid w:val="00B24B61"/>
    <w:rsid w:val="00B24D35"/>
    <w:rsid w:val="00B24E18"/>
    <w:rsid w:val="00B252B8"/>
    <w:rsid w:val="00B259E9"/>
    <w:rsid w:val="00B25DC6"/>
    <w:rsid w:val="00B25EC1"/>
    <w:rsid w:val="00B25F3E"/>
    <w:rsid w:val="00B26100"/>
    <w:rsid w:val="00B26553"/>
    <w:rsid w:val="00B26830"/>
    <w:rsid w:val="00B273D9"/>
    <w:rsid w:val="00B274D4"/>
    <w:rsid w:val="00B277FF"/>
    <w:rsid w:val="00B27BAC"/>
    <w:rsid w:val="00B27E5E"/>
    <w:rsid w:val="00B30085"/>
    <w:rsid w:val="00B3046D"/>
    <w:rsid w:val="00B309B7"/>
    <w:rsid w:val="00B30EC6"/>
    <w:rsid w:val="00B31053"/>
    <w:rsid w:val="00B310B5"/>
    <w:rsid w:val="00B3142A"/>
    <w:rsid w:val="00B317A6"/>
    <w:rsid w:val="00B31BAD"/>
    <w:rsid w:val="00B31BF1"/>
    <w:rsid w:val="00B31E81"/>
    <w:rsid w:val="00B3214E"/>
    <w:rsid w:val="00B32A35"/>
    <w:rsid w:val="00B32D6E"/>
    <w:rsid w:val="00B33518"/>
    <w:rsid w:val="00B3354A"/>
    <w:rsid w:val="00B33702"/>
    <w:rsid w:val="00B33DF9"/>
    <w:rsid w:val="00B34600"/>
    <w:rsid w:val="00B34617"/>
    <w:rsid w:val="00B347DD"/>
    <w:rsid w:val="00B34C2C"/>
    <w:rsid w:val="00B34D85"/>
    <w:rsid w:val="00B34E6A"/>
    <w:rsid w:val="00B3513B"/>
    <w:rsid w:val="00B3517D"/>
    <w:rsid w:val="00B351F2"/>
    <w:rsid w:val="00B353E8"/>
    <w:rsid w:val="00B358A9"/>
    <w:rsid w:val="00B359AC"/>
    <w:rsid w:val="00B35BD1"/>
    <w:rsid w:val="00B35F4E"/>
    <w:rsid w:val="00B3637F"/>
    <w:rsid w:val="00B364CF"/>
    <w:rsid w:val="00B36AC3"/>
    <w:rsid w:val="00B372F6"/>
    <w:rsid w:val="00B374D2"/>
    <w:rsid w:val="00B37716"/>
    <w:rsid w:val="00B378EB"/>
    <w:rsid w:val="00B37B08"/>
    <w:rsid w:val="00B40BED"/>
    <w:rsid w:val="00B40C99"/>
    <w:rsid w:val="00B40E8D"/>
    <w:rsid w:val="00B40FC0"/>
    <w:rsid w:val="00B41290"/>
    <w:rsid w:val="00B4133F"/>
    <w:rsid w:val="00B4134C"/>
    <w:rsid w:val="00B41E32"/>
    <w:rsid w:val="00B420D5"/>
    <w:rsid w:val="00B423A4"/>
    <w:rsid w:val="00B423CC"/>
    <w:rsid w:val="00B42C1F"/>
    <w:rsid w:val="00B42C3D"/>
    <w:rsid w:val="00B42CC0"/>
    <w:rsid w:val="00B42D68"/>
    <w:rsid w:val="00B43922"/>
    <w:rsid w:val="00B43A9D"/>
    <w:rsid w:val="00B445EA"/>
    <w:rsid w:val="00B446B9"/>
    <w:rsid w:val="00B4474D"/>
    <w:rsid w:val="00B44C6C"/>
    <w:rsid w:val="00B44E08"/>
    <w:rsid w:val="00B44F21"/>
    <w:rsid w:val="00B45003"/>
    <w:rsid w:val="00B45121"/>
    <w:rsid w:val="00B4516B"/>
    <w:rsid w:val="00B4544F"/>
    <w:rsid w:val="00B454AF"/>
    <w:rsid w:val="00B45500"/>
    <w:rsid w:val="00B4556D"/>
    <w:rsid w:val="00B45610"/>
    <w:rsid w:val="00B45942"/>
    <w:rsid w:val="00B45BD9"/>
    <w:rsid w:val="00B45D8F"/>
    <w:rsid w:val="00B45DCE"/>
    <w:rsid w:val="00B463EE"/>
    <w:rsid w:val="00B4667A"/>
    <w:rsid w:val="00B46C64"/>
    <w:rsid w:val="00B46DF9"/>
    <w:rsid w:val="00B4721D"/>
    <w:rsid w:val="00B47A82"/>
    <w:rsid w:val="00B47B41"/>
    <w:rsid w:val="00B501DD"/>
    <w:rsid w:val="00B5062A"/>
    <w:rsid w:val="00B50B84"/>
    <w:rsid w:val="00B51378"/>
    <w:rsid w:val="00B5140C"/>
    <w:rsid w:val="00B51992"/>
    <w:rsid w:val="00B51A59"/>
    <w:rsid w:val="00B51B3D"/>
    <w:rsid w:val="00B51F6D"/>
    <w:rsid w:val="00B52A3A"/>
    <w:rsid w:val="00B52F89"/>
    <w:rsid w:val="00B5304B"/>
    <w:rsid w:val="00B537AD"/>
    <w:rsid w:val="00B53958"/>
    <w:rsid w:val="00B53DBC"/>
    <w:rsid w:val="00B53EB9"/>
    <w:rsid w:val="00B53FA1"/>
    <w:rsid w:val="00B53FFB"/>
    <w:rsid w:val="00B540D2"/>
    <w:rsid w:val="00B544F7"/>
    <w:rsid w:val="00B54624"/>
    <w:rsid w:val="00B548DD"/>
    <w:rsid w:val="00B55253"/>
    <w:rsid w:val="00B55394"/>
    <w:rsid w:val="00B5575C"/>
    <w:rsid w:val="00B559A3"/>
    <w:rsid w:val="00B55ACE"/>
    <w:rsid w:val="00B55B0B"/>
    <w:rsid w:val="00B56005"/>
    <w:rsid w:val="00B560D7"/>
    <w:rsid w:val="00B561EF"/>
    <w:rsid w:val="00B56210"/>
    <w:rsid w:val="00B572AD"/>
    <w:rsid w:val="00B572D6"/>
    <w:rsid w:val="00B57603"/>
    <w:rsid w:val="00B5761E"/>
    <w:rsid w:val="00B5795C"/>
    <w:rsid w:val="00B579BA"/>
    <w:rsid w:val="00B60031"/>
    <w:rsid w:val="00B602B2"/>
    <w:rsid w:val="00B60507"/>
    <w:rsid w:val="00B606A8"/>
    <w:rsid w:val="00B60895"/>
    <w:rsid w:val="00B60BDD"/>
    <w:rsid w:val="00B61122"/>
    <w:rsid w:val="00B6121F"/>
    <w:rsid w:val="00B61240"/>
    <w:rsid w:val="00B612E6"/>
    <w:rsid w:val="00B616C3"/>
    <w:rsid w:val="00B61BD0"/>
    <w:rsid w:val="00B61CE2"/>
    <w:rsid w:val="00B61EDD"/>
    <w:rsid w:val="00B61EFD"/>
    <w:rsid w:val="00B624EB"/>
    <w:rsid w:val="00B626ED"/>
    <w:rsid w:val="00B62852"/>
    <w:rsid w:val="00B629D4"/>
    <w:rsid w:val="00B62D61"/>
    <w:rsid w:val="00B62DF7"/>
    <w:rsid w:val="00B62E1A"/>
    <w:rsid w:val="00B62FB9"/>
    <w:rsid w:val="00B63484"/>
    <w:rsid w:val="00B636DB"/>
    <w:rsid w:val="00B63BA2"/>
    <w:rsid w:val="00B63EBD"/>
    <w:rsid w:val="00B6471B"/>
    <w:rsid w:val="00B649B4"/>
    <w:rsid w:val="00B64E20"/>
    <w:rsid w:val="00B65357"/>
    <w:rsid w:val="00B655FC"/>
    <w:rsid w:val="00B657FE"/>
    <w:rsid w:val="00B65A75"/>
    <w:rsid w:val="00B65AC0"/>
    <w:rsid w:val="00B65BC7"/>
    <w:rsid w:val="00B65E2B"/>
    <w:rsid w:val="00B66524"/>
    <w:rsid w:val="00B6660A"/>
    <w:rsid w:val="00B66B9D"/>
    <w:rsid w:val="00B66FFC"/>
    <w:rsid w:val="00B67137"/>
    <w:rsid w:val="00B67467"/>
    <w:rsid w:val="00B6746E"/>
    <w:rsid w:val="00B677CB"/>
    <w:rsid w:val="00B67896"/>
    <w:rsid w:val="00B67961"/>
    <w:rsid w:val="00B67C92"/>
    <w:rsid w:val="00B67D39"/>
    <w:rsid w:val="00B67D4F"/>
    <w:rsid w:val="00B67F09"/>
    <w:rsid w:val="00B700BC"/>
    <w:rsid w:val="00B703B1"/>
    <w:rsid w:val="00B7051F"/>
    <w:rsid w:val="00B7056F"/>
    <w:rsid w:val="00B706DB"/>
    <w:rsid w:val="00B708D5"/>
    <w:rsid w:val="00B70AE1"/>
    <w:rsid w:val="00B70C2E"/>
    <w:rsid w:val="00B70EDF"/>
    <w:rsid w:val="00B717B1"/>
    <w:rsid w:val="00B71B3A"/>
    <w:rsid w:val="00B71BD7"/>
    <w:rsid w:val="00B71CD8"/>
    <w:rsid w:val="00B72043"/>
    <w:rsid w:val="00B72572"/>
    <w:rsid w:val="00B72640"/>
    <w:rsid w:val="00B7315C"/>
    <w:rsid w:val="00B74519"/>
    <w:rsid w:val="00B7476F"/>
    <w:rsid w:val="00B74825"/>
    <w:rsid w:val="00B74D9C"/>
    <w:rsid w:val="00B757EA"/>
    <w:rsid w:val="00B75933"/>
    <w:rsid w:val="00B75D04"/>
    <w:rsid w:val="00B7600F"/>
    <w:rsid w:val="00B763FE"/>
    <w:rsid w:val="00B7645B"/>
    <w:rsid w:val="00B76476"/>
    <w:rsid w:val="00B76483"/>
    <w:rsid w:val="00B7688F"/>
    <w:rsid w:val="00B76919"/>
    <w:rsid w:val="00B76A46"/>
    <w:rsid w:val="00B76E95"/>
    <w:rsid w:val="00B77136"/>
    <w:rsid w:val="00B7778A"/>
    <w:rsid w:val="00B77B03"/>
    <w:rsid w:val="00B77D9D"/>
    <w:rsid w:val="00B77E73"/>
    <w:rsid w:val="00B8016A"/>
    <w:rsid w:val="00B80189"/>
    <w:rsid w:val="00B801EA"/>
    <w:rsid w:val="00B805A3"/>
    <w:rsid w:val="00B80891"/>
    <w:rsid w:val="00B8099B"/>
    <w:rsid w:val="00B80AFA"/>
    <w:rsid w:val="00B80CDD"/>
    <w:rsid w:val="00B8124D"/>
    <w:rsid w:val="00B814B3"/>
    <w:rsid w:val="00B8199E"/>
    <w:rsid w:val="00B8211C"/>
    <w:rsid w:val="00B8243E"/>
    <w:rsid w:val="00B8247B"/>
    <w:rsid w:val="00B824B3"/>
    <w:rsid w:val="00B8266F"/>
    <w:rsid w:val="00B82AA7"/>
    <w:rsid w:val="00B82CAC"/>
    <w:rsid w:val="00B82E40"/>
    <w:rsid w:val="00B82F64"/>
    <w:rsid w:val="00B83029"/>
    <w:rsid w:val="00B8333A"/>
    <w:rsid w:val="00B833AA"/>
    <w:rsid w:val="00B8367B"/>
    <w:rsid w:val="00B83680"/>
    <w:rsid w:val="00B836E2"/>
    <w:rsid w:val="00B842FD"/>
    <w:rsid w:val="00B84430"/>
    <w:rsid w:val="00B84460"/>
    <w:rsid w:val="00B84DD9"/>
    <w:rsid w:val="00B84F41"/>
    <w:rsid w:val="00B852DB"/>
    <w:rsid w:val="00B852E4"/>
    <w:rsid w:val="00B85324"/>
    <w:rsid w:val="00B85867"/>
    <w:rsid w:val="00B85E27"/>
    <w:rsid w:val="00B85F72"/>
    <w:rsid w:val="00B85F80"/>
    <w:rsid w:val="00B8620C"/>
    <w:rsid w:val="00B86248"/>
    <w:rsid w:val="00B864BF"/>
    <w:rsid w:val="00B865FE"/>
    <w:rsid w:val="00B86956"/>
    <w:rsid w:val="00B86C3E"/>
    <w:rsid w:val="00B901F8"/>
    <w:rsid w:val="00B90203"/>
    <w:rsid w:val="00B914D8"/>
    <w:rsid w:val="00B91913"/>
    <w:rsid w:val="00B91CB7"/>
    <w:rsid w:val="00B91E01"/>
    <w:rsid w:val="00B921D0"/>
    <w:rsid w:val="00B923CE"/>
    <w:rsid w:val="00B92A4A"/>
    <w:rsid w:val="00B935CC"/>
    <w:rsid w:val="00B9366A"/>
    <w:rsid w:val="00B93836"/>
    <w:rsid w:val="00B9388B"/>
    <w:rsid w:val="00B93E9E"/>
    <w:rsid w:val="00B947A1"/>
    <w:rsid w:val="00B949F6"/>
    <w:rsid w:val="00B94B5C"/>
    <w:rsid w:val="00B9508A"/>
    <w:rsid w:val="00B956DE"/>
    <w:rsid w:val="00B95928"/>
    <w:rsid w:val="00B95E52"/>
    <w:rsid w:val="00B95EE5"/>
    <w:rsid w:val="00B96154"/>
    <w:rsid w:val="00B96A04"/>
    <w:rsid w:val="00B96BA5"/>
    <w:rsid w:val="00B96C54"/>
    <w:rsid w:val="00B97062"/>
    <w:rsid w:val="00B9711C"/>
    <w:rsid w:val="00B9716B"/>
    <w:rsid w:val="00B97172"/>
    <w:rsid w:val="00BA0038"/>
    <w:rsid w:val="00BA0295"/>
    <w:rsid w:val="00BA02C0"/>
    <w:rsid w:val="00BA0494"/>
    <w:rsid w:val="00BA0B78"/>
    <w:rsid w:val="00BA12C4"/>
    <w:rsid w:val="00BA16CB"/>
    <w:rsid w:val="00BA185E"/>
    <w:rsid w:val="00BA18D0"/>
    <w:rsid w:val="00BA1A1C"/>
    <w:rsid w:val="00BA21D3"/>
    <w:rsid w:val="00BA2B45"/>
    <w:rsid w:val="00BA3293"/>
    <w:rsid w:val="00BA32DF"/>
    <w:rsid w:val="00BA358D"/>
    <w:rsid w:val="00BA39A6"/>
    <w:rsid w:val="00BA3BD5"/>
    <w:rsid w:val="00BA3F5C"/>
    <w:rsid w:val="00BA40D0"/>
    <w:rsid w:val="00BA42E9"/>
    <w:rsid w:val="00BA4621"/>
    <w:rsid w:val="00BA51BA"/>
    <w:rsid w:val="00BA5676"/>
    <w:rsid w:val="00BA5BE6"/>
    <w:rsid w:val="00BA5D91"/>
    <w:rsid w:val="00BA5E3D"/>
    <w:rsid w:val="00BA5F05"/>
    <w:rsid w:val="00BA5F7D"/>
    <w:rsid w:val="00BA5FF8"/>
    <w:rsid w:val="00BA600D"/>
    <w:rsid w:val="00BA6394"/>
    <w:rsid w:val="00BA6A99"/>
    <w:rsid w:val="00BA6B8A"/>
    <w:rsid w:val="00BA6EDC"/>
    <w:rsid w:val="00BA6EF4"/>
    <w:rsid w:val="00BA716D"/>
    <w:rsid w:val="00BA7357"/>
    <w:rsid w:val="00BA73B2"/>
    <w:rsid w:val="00BA7417"/>
    <w:rsid w:val="00BA7900"/>
    <w:rsid w:val="00BA7CE4"/>
    <w:rsid w:val="00BB00E9"/>
    <w:rsid w:val="00BB0328"/>
    <w:rsid w:val="00BB0492"/>
    <w:rsid w:val="00BB049A"/>
    <w:rsid w:val="00BB06F8"/>
    <w:rsid w:val="00BB0AF7"/>
    <w:rsid w:val="00BB0ED0"/>
    <w:rsid w:val="00BB130D"/>
    <w:rsid w:val="00BB140E"/>
    <w:rsid w:val="00BB19AB"/>
    <w:rsid w:val="00BB19CD"/>
    <w:rsid w:val="00BB1D6B"/>
    <w:rsid w:val="00BB1E94"/>
    <w:rsid w:val="00BB2000"/>
    <w:rsid w:val="00BB20E0"/>
    <w:rsid w:val="00BB2135"/>
    <w:rsid w:val="00BB229A"/>
    <w:rsid w:val="00BB22E5"/>
    <w:rsid w:val="00BB2449"/>
    <w:rsid w:val="00BB24CA"/>
    <w:rsid w:val="00BB2536"/>
    <w:rsid w:val="00BB275B"/>
    <w:rsid w:val="00BB2D93"/>
    <w:rsid w:val="00BB2F22"/>
    <w:rsid w:val="00BB30A0"/>
    <w:rsid w:val="00BB30F7"/>
    <w:rsid w:val="00BB341F"/>
    <w:rsid w:val="00BB3444"/>
    <w:rsid w:val="00BB37C2"/>
    <w:rsid w:val="00BB37E2"/>
    <w:rsid w:val="00BB395F"/>
    <w:rsid w:val="00BB3AA7"/>
    <w:rsid w:val="00BB4179"/>
    <w:rsid w:val="00BB43F3"/>
    <w:rsid w:val="00BB48B3"/>
    <w:rsid w:val="00BB57B1"/>
    <w:rsid w:val="00BB5874"/>
    <w:rsid w:val="00BB5FAC"/>
    <w:rsid w:val="00BB6090"/>
    <w:rsid w:val="00BB6325"/>
    <w:rsid w:val="00BB649A"/>
    <w:rsid w:val="00BB697D"/>
    <w:rsid w:val="00BB7097"/>
    <w:rsid w:val="00BB753C"/>
    <w:rsid w:val="00BC0291"/>
    <w:rsid w:val="00BC065A"/>
    <w:rsid w:val="00BC07D6"/>
    <w:rsid w:val="00BC081E"/>
    <w:rsid w:val="00BC09F1"/>
    <w:rsid w:val="00BC0C34"/>
    <w:rsid w:val="00BC0D3F"/>
    <w:rsid w:val="00BC0E96"/>
    <w:rsid w:val="00BC1120"/>
    <w:rsid w:val="00BC127C"/>
    <w:rsid w:val="00BC1467"/>
    <w:rsid w:val="00BC157D"/>
    <w:rsid w:val="00BC1787"/>
    <w:rsid w:val="00BC1B71"/>
    <w:rsid w:val="00BC1C14"/>
    <w:rsid w:val="00BC1F60"/>
    <w:rsid w:val="00BC2198"/>
    <w:rsid w:val="00BC232F"/>
    <w:rsid w:val="00BC24CA"/>
    <w:rsid w:val="00BC2813"/>
    <w:rsid w:val="00BC2898"/>
    <w:rsid w:val="00BC28F7"/>
    <w:rsid w:val="00BC3378"/>
    <w:rsid w:val="00BC3D12"/>
    <w:rsid w:val="00BC4219"/>
    <w:rsid w:val="00BC4227"/>
    <w:rsid w:val="00BC4511"/>
    <w:rsid w:val="00BC48E2"/>
    <w:rsid w:val="00BC4A29"/>
    <w:rsid w:val="00BC4EF5"/>
    <w:rsid w:val="00BC523F"/>
    <w:rsid w:val="00BC5BCB"/>
    <w:rsid w:val="00BC5E37"/>
    <w:rsid w:val="00BC5E56"/>
    <w:rsid w:val="00BC6397"/>
    <w:rsid w:val="00BC64B8"/>
    <w:rsid w:val="00BC696B"/>
    <w:rsid w:val="00BC737C"/>
    <w:rsid w:val="00BC755F"/>
    <w:rsid w:val="00BD042D"/>
    <w:rsid w:val="00BD06AD"/>
    <w:rsid w:val="00BD0875"/>
    <w:rsid w:val="00BD0ADD"/>
    <w:rsid w:val="00BD0FF5"/>
    <w:rsid w:val="00BD1235"/>
    <w:rsid w:val="00BD14DD"/>
    <w:rsid w:val="00BD1871"/>
    <w:rsid w:val="00BD19D8"/>
    <w:rsid w:val="00BD1AF8"/>
    <w:rsid w:val="00BD1CF3"/>
    <w:rsid w:val="00BD1FC6"/>
    <w:rsid w:val="00BD274F"/>
    <w:rsid w:val="00BD2AE1"/>
    <w:rsid w:val="00BD2E35"/>
    <w:rsid w:val="00BD3108"/>
    <w:rsid w:val="00BD31C8"/>
    <w:rsid w:val="00BD3B4C"/>
    <w:rsid w:val="00BD3D8B"/>
    <w:rsid w:val="00BD4253"/>
    <w:rsid w:val="00BD481D"/>
    <w:rsid w:val="00BD4A89"/>
    <w:rsid w:val="00BD4EAE"/>
    <w:rsid w:val="00BD596D"/>
    <w:rsid w:val="00BD5A89"/>
    <w:rsid w:val="00BD5AAF"/>
    <w:rsid w:val="00BD6290"/>
    <w:rsid w:val="00BD66CB"/>
    <w:rsid w:val="00BD6929"/>
    <w:rsid w:val="00BD6CE8"/>
    <w:rsid w:val="00BD6EC1"/>
    <w:rsid w:val="00BD78D0"/>
    <w:rsid w:val="00BD7F5A"/>
    <w:rsid w:val="00BE01A6"/>
    <w:rsid w:val="00BE01C2"/>
    <w:rsid w:val="00BE0294"/>
    <w:rsid w:val="00BE09D0"/>
    <w:rsid w:val="00BE0A43"/>
    <w:rsid w:val="00BE0EDD"/>
    <w:rsid w:val="00BE0F9C"/>
    <w:rsid w:val="00BE11FF"/>
    <w:rsid w:val="00BE1385"/>
    <w:rsid w:val="00BE1C47"/>
    <w:rsid w:val="00BE1E26"/>
    <w:rsid w:val="00BE201A"/>
    <w:rsid w:val="00BE2389"/>
    <w:rsid w:val="00BE25A6"/>
    <w:rsid w:val="00BE2C5C"/>
    <w:rsid w:val="00BE3905"/>
    <w:rsid w:val="00BE3942"/>
    <w:rsid w:val="00BE3C78"/>
    <w:rsid w:val="00BE3CF4"/>
    <w:rsid w:val="00BE4100"/>
    <w:rsid w:val="00BE48AF"/>
    <w:rsid w:val="00BE53D1"/>
    <w:rsid w:val="00BE5489"/>
    <w:rsid w:val="00BE5EEB"/>
    <w:rsid w:val="00BE633A"/>
    <w:rsid w:val="00BE640A"/>
    <w:rsid w:val="00BE67FD"/>
    <w:rsid w:val="00BE6C75"/>
    <w:rsid w:val="00BE71D3"/>
    <w:rsid w:val="00BE7B91"/>
    <w:rsid w:val="00BF05B2"/>
    <w:rsid w:val="00BF1243"/>
    <w:rsid w:val="00BF21A8"/>
    <w:rsid w:val="00BF2400"/>
    <w:rsid w:val="00BF2682"/>
    <w:rsid w:val="00BF26CF"/>
    <w:rsid w:val="00BF26D4"/>
    <w:rsid w:val="00BF2DF6"/>
    <w:rsid w:val="00BF375A"/>
    <w:rsid w:val="00BF3A6D"/>
    <w:rsid w:val="00BF3C8F"/>
    <w:rsid w:val="00BF3D2D"/>
    <w:rsid w:val="00BF40C1"/>
    <w:rsid w:val="00BF4B5E"/>
    <w:rsid w:val="00BF4E51"/>
    <w:rsid w:val="00BF557F"/>
    <w:rsid w:val="00BF55D0"/>
    <w:rsid w:val="00BF56B7"/>
    <w:rsid w:val="00BF5700"/>
    <w:rsid w:val="00BF5942"/>
    <w:rsid w:val="00BF5BD2"/>
    <w:rsid w:val="00BF5FE4"/>
    <w:rsid w:val="00BF63A5"/>
    <w:rsid w:val="00BF66FB"/>
    <w:rsid w:val="00BF6B2F"/>
    <w:rsid w:val="00BF6C94"/>
    <w:rsid w:val="00BF73AC"/>
    <w:rsid w:val="00BF75D8"/>
    <w:rsid w:val="00BF7A68"/>
    <w:rsid w:val="00BF7D31"/>
    <w:rsid w:val="00BF7D40"/>
    <w:rsid w:val="00BF7E1D"/>
    <w:rsid w:val="00BF7EDE"/>
    <w:rsid w:val="00C00024"/>
    <w:rsid w:val="00C00317"/>
    <w:rsid w:val="00C00766"/>
    <w:rsid w:val="00C00886"/>
    <w:rsid w:val="00C009AF"/>
    <w:rsid w:val="00C00D2B"/>
    <w:rsid w:val="00C01207"/>
    <w:rsid w:val="00C0167A"/>
    <w:rsid w:val="00C017E4"/>
    <w:rsid w:val="00C01BCE"/>
    <w:rsid w:val="00C01FB5"/>
    <w:rsid w:val="00C02003"/>
    <w:rsid w:val="00C02641"/>
    <w:rsid w:val="00C0298D"/>
    <w:rsid w:val="00C02A15"/>
    <w:rsid w:val="00C03189"/>
    <w:rsid w:val="00C0324E"/>
    <w:rsid w:val="00C03360"/>
    <w:rsid w:val="00C042C0"/>
    <w:rsid w:val="00C043C0"/>
    <w:rsid w:val="00C0442D"/>
    <w:rsid w:val="00C0453A"/>
    <w:rsid w:val="00C04EBE"/>
    <w:rsid w:val="00C051EB"/>
    <w:rsid w:val="00C055E3"/>
    <w:rsid w:val="00C05637"/>
    <w:rsid w:val="00C05742"/>
    <w:rsid w:val="00C058CB"/>
    <w:rsid w:val="00C05C3D"/>
    <w:rsid w:val="00C05DFA"/>
    <w:rsid w:val="00C064FF"/>
    <w:rsid w:val="00C06635"/>
    <w:rsid w:val="00C0676D"/>
    <w:rsid w:val="00C078F9"/>
    <w:rsid w:val="00C07BB1"/>
    <w:rsid w:val="00C07D88"/>
    <w:rsid w:val="00C1008A"/>
    <w:rsid w:val="00C10C57"/>
    <w:rsid w:val="00C10CC1"/>
    <w:rsid w:val="00C10CE9"/>
    <w:rsid w:val="00C11204"/>
    <w:rsid w:val="00C1129C"/>
    <w:rsid w:val="00C11591"/>
    <w:rsid w:val="00C118CA"/>
    <w:rsid w:val="00C11B37"/>
    <w:rsid w:val="00C1220A"/>
    <w:rsid w:val="00C123EC"/>
    <w:rsid w:val="00C1271E"/>
    <w:rsid w:val="00C12781"/>
    <w:rsid w:val="00C12925"/>
    <w:rsid w:val="00C12E07"/>
    <w:rsid w:val="00C12FD5"/>
    <w:rsid w:val="00C13210"/>
    <w:rsid w:val="00C138EA"/>
    <w:rsid w:val="00C13D4D"/>
    <w:rsid w:val="00C14177"/>
    <w:rsid w:val="00C14365"/>
    <w:rsid w:val="00C14529"/>
    <w:rsid w:val="00C14C0B"/>
    <w:rsid w:val="00C15340"/>
    <w:rsid w:val="00C153F0"/>
    <w:rsid w:val="00C154B2"/>
    <w:rsid w:val="00C15653"/>
    <w:rsid w:val="00C158E3"/>
    <w:rsid w:val="00C15AE7"/>
    <w:rsid w:val="00C15B20"/>
    <w:rsid w:val="00C162A9"/>
    <w:rsid w:val="00C163C7"/>
    <w:rsid w:val="00C169DC"/>
    <w:rsid w:val="00C16A93"/>
    <w:rsid w:val="00C17037"/>
    <w:rsid w:val="00C17374"/>
    <w:rsid w:val="00C17468"/>
    <w:rsid w:val="00C17B47"/>
    <w:rsid w:val="00C20165"/>
    <w:rsid w:val="00C20510"/>
    <w:rsid w:val="00C20785"/>
    <w:rsid w:val="00C20B37"/>
    <w:rsid w:val="00C2130C"/>
    <w:rsid w:val="00C214E6"/>
    <w:rsid w:val="00C21957"/>
    <w:rsid w:val="00C21EB2"/>
    <w:rsid w:val="00C22160"/>
    <w:rsid w:val="00C2231F"/>
    <w:rsid w:val="00C2271A"/>
    <w:rsid w:val="00C230B3"/>
    <w:rsid w:val="00C239BC"/>
    <w:rsid w:val="00C23A39"/>
    <w:rsid w:val="00C23EFE"/>
    <w:rsid w:val="00C23FF9"/>
    <w:rsid w:val="00C24133"/>
    <w:rsid w:val="00C24184"/>
    <w:rsid w:val="00C24985"/>
    <w:rsid w:val="00C24E6C"/>
    <w:rsid w:val="00C25350"/>
    <w:rsid w:val="00C2596F"/>
    <w:rsid w:val="00C2597B"/>
    <w:rsid w:val="00C25DFB"/>
    <w:rsid w:val="00C2641E"/>
    <w:rsid w:val="00C2668A"/>
    <w:rsid w:val="00C2761B"/>
    <w:rsid w:val="00C27733"/>
    <w:rsid w:val="00C2776B"/>
    <w:rsid w:val="00C27EA5"/>
    <w:rsid w:val="00C27FAB"/>
    <w:rsid w:val="00C301A1"/>
    <w:rsid w:val="00C30859"/>
    <w:rsid w:val="00C30B33"/>
    <w:rsid w:val="00C30BA6"/>
    <w:rsid w:val="00C31013"/>
    <w:rsid w:val="00C313D1"/>
    <w:rsid w:val="00C31431"/>
    <w:rsid w:val="00C31659"/>
    <w:rsid w:val="00C3172C"/>
    <w:rsid w:val="00C31F60"/>
    <w:rsid w:val="00C3204C"/>
    <w:rsid w:val="00C3223F"/>
    <w:rsid w:val="00C3267B"/>
    <w:rsid w:val="00C32770"/>
    <w:rsid w:val="00C3290C"/>
    <w:rsid w:val="00C32AFF"/>
    <w:rsid w:val="00C32BCC"/>
    <w:rsid w:val="00C32BD4"/>
    <w:rsid w:val="00C32DF3"/>
    <w:rsid w:val="00C33108"/>
    <w:rsid w:val="00C331AB"/>
    <w:rsid w:val="00C33259"/>
    <w:rsid w:val="00C332DF"/>
    <w:rsid w:val="00C33352"/>
    <w:rsid w:val="00C33366"/>
    <w:rsid w:val="00C33E7E"/>
    <w:rsid w:val="00C343CA"/>
    <w:rsid w:val="00C34998"/>
    <w:rsid w:val="00C34B63"/>
    <w:rsid w:val="00C35453"/>
    <w:rsid w:val="00C35554"/>
    <w:rsid w:val="00C35D7D"/>
    <w:rsid w:val="00C35DFB"/>
    <w:rsid w:val="00C35EF0"/>
    <w:rsid w:val="00C35F85"/>
    <w:rsid w:val="00C362E3"/>
    <w:rsid w:val="00C369E7"/>
    <w:rsid w:val="00C36D2D"/>
    <w:rsid w:val="00C3784F"/>
    <w:rsid w:val="00C37852"/>
    <w:rsid w:val="00C3788D"/>
    <w:rsid w:val="00C37B57"/>
    <w:rsid w:val="00C37F07"/>
    <w:rsid w:val="00C400CE"/>
    <w:rsid w:val="00C4050C"/>
    <w:rsid w:val="00C4073D"/>
    <w:rsid w:val="00C419CD"/>
    <w:rsid w:val="00C41BEB"/>
    <w:rsid w:val="00C420AB"/>
    <w:rsid w:val="00C420FE"/>
    <w:rsid w:val="00C424F5"/>
    <w:rsid w:val="00C42609"/>
    <w:rsid w:val="00C42A12"/>
    <w:rsid w:val="00C42F6A"/>
    <w:rsid w:val="00C431DF"/>
    <w:rsid w:val="00C43CF2"/>
    <w:rsid w:val="00C43D64"/>
    <w:rsid w:val="00C43FD2"/>
    <w:rsid w:val="00C43FDD"/>
    <w:rsid w:val="00C43FFA"/>
    <w:rsid w:val="00C440E6"/>
    <w:rsid w:val="00C44125"/>
    <w:rsid w:val="00C44156"/>
    <w:rsid w:val="00C441E6"/>
    <w:rsid w:val="00C442F8"/>
    <w:rsid w:val="00C445F1"/>
    <w:rsid w:val="00C4469A"/>
    <w:rsid w:val="00C446AF"/>
    <w:rsid w:val="00C44903"/>
    <w:rsid w:val="00C44E9E"/>
    <w:rsid w:val="00C44ED5"/>
    <w:rsid w:val="00C44FE6"/>
    <w:rsid w:val="00C45CB6"/>
    <w:rsid w:val="00C461B3"/>
    <w:rsid w:val="00C46486"/>
    <w:rsid w:val="00C464D0"/>
    <w:rsid w:val="00C464E4"/>
    <w:rsid w:val="00C4652C"/>
    <w:rsid w:val="00C465F3"/>
    <w:rsid w:val="00C467BB"/>
    <w:rsid w:val="00C4698B"/>
    <w:rsid w:val="00C46BD1"/>
    <w:rsid w:val="00C47273"/>
    <w:rsid w:val="00C500BF"/>
    <w:rsid w:val="00C502C5"/>
    <w:rsid w:val="00C505E5"/>
    <w:rsid w:val="00C50629"/>
    <w:rsid w:val="00C509C0"/>
    <w:rsid w:val="00C509E8"/>
    <w:rsid w:val="00C50A4F"/>
    <w:rsid w:val="00C50B3D"/>
    <w:rsid w:val="00C511D8"/>
    <w:rsid w:val="00C512CE"/>
    <w:rsid w:val="00C513F5"/>
    <w:rsid w:val="00C51591"/>
    <w:rsid w:val="00C51692"/>
    <w:rsid w:val="00C52409"/>
    <w:rsid w:val="00C527A8"/>
    <w:rsid w:val="00C52806"/>
    <w:rsid w:val="00C52F31"/>
    <w:rsid w:val="00C5317D"/>
    <w:rsid w:val="00C531B9"/>
    <w:rsid w:val="00C531FA"/>
    <w:rsid w:val="00C532DE"/>
    <w:rsid w:val="00C5343D"/>
    <w:rsid w:val="00C53574"/>
    <w:rsid w:val="00C53A2F"/>
    <w:rsid w:val="00C53A47"/>
    <w:rsid w:val="00C53AA2"/>
    <w:rsid w:val="00C54155"/>
    <w:rsid w:val="00C54530"/>
    <w:rsid w:val="00C54AC2"/>
    <w:rsid w:val="00C54EF6"/>
    <w:rsid w:val="00C5533D"/>
    <w:rsid w:val="00C5554F"/>
    <w:rsid w:val="00C55572"/>
    <w:rsid w:val="00C555DC"/>
    <w:rsid w:val="00C5570F"/>
    <w:rsid w:val="00C557D9"/>
    <w:rsid w:val="00C55ECC"/>
    <w:rsid w:val="00C56324"/>
    <w:rsid w:val="00C5686B"/>
    <w:rsid w:val="00C5695D"/>
    <w:rsid w:val="00C573CA"/>
    <w:rsid w:val="00C577AA"/>
    <w:rsid w:val="00C57AB7"/>
    <w:rsid w:val="00C57ABF"/>
    <w:rsid w:val="00C57BB6"/>
    <w:rsid w:val="00C57BDF"/>
    <w:rsid w:val="00C57F3E"/>
    <w:rsid w:val="00C6042A"/>
    <w:rsid w:val="00C60906"/>
    <w:rsid w:val="00C60AF9"/>
    <w:rsid w:val="00C60B35"/>
    <w:rsid w:val="00C60FDB"/>
    <w:rsid w:val="00C61519"/>
    <w:rsid w:val="00C615CE"/>
    <w:rsid w:val="00C61620"/>
    <w:rsid w:val="00C61853"/>
    <w:rsid w:val="00C61950"/>
    <w:rsid w:val="00C61D52"/>
    <w:rsid w:val="00C61FC2"/>
    <w:rsid w:val="00C62069"/>
    <w:rsid w:val="00C622EF"/>
    <w:rsid w:val="00C6261B"/>
    <w:rsid w:val="00C627EE"/>
    <w:rsid w:val="00C62AE8"/>
    <w:rsid w:val="00C62B0B"/>
    <w:rsid w:val="00C63083"/>
    <w:rsid w:val="00C6333C"/>
    <w:rsid w:val="00C638D9"/>
    <w:rsid w:val="00C63CF9"/>
    <w:rsid w:val="00C6412E"/>
    <w:rsid w:val="00C6413C"/>
    <w:rsid w:val="00C64143"/>
    <w:rsid w:val="00C6452C"/>
    <w:rsid w:val="00C648C1"/>
    <w:rsid w:val="00C64C38"/>
    <w:rsid w:val="00C64E6A"/>
    <w:rsid w:val="00C64F5C"/>
    <w:rsid w:val="00C655CA"/>
    <w:rsid w:val="00C6566D"/>
    <w:rsid w:val="00C65B2E"/>
    <w:rsid w:val="00C65E20"/>
    <w:rsid w:val="00C65E87"/>
    <w:rsid w:val="00C66449"/>
    <w:rsid w:val="00C66482"/>
    <w:rsid w:val="00C6660A"/>
    <w:rsid w:val="00C6773F"/>
    <w:rsid w:val="00C6799E"/>
    <w:rsid w:val="00C67A07"/>
    <w:rsid w:val="00C7066F"/>
    <w:rsid w:val="00C70A5A"/>
    <w:rsid w:val="00C70A7B"/>
    <w:rsid w:val="00C70C91"/>
    <w:rsid w:val="00C716F8"/>
    <w:rsid w:val="00C717E5"/>
    <w:rsid w:val="00C71941"/>
    <w:rsid w:val="00C71979"/>
    <w:rsid w:val="00C71B6F"/>
    <w:rsid w:val="00C71CEA"/>
    <w:rsid w:val="00C71FF2"/>
    <w:rsid w:val="00C7247A"/>
    <w:rsid w:val="00C724E6"/>
    <w:rsid w:val="00C725CC"/>
    <w:rsid w:val="00C72645"/>
    <w:rsid w:val="00C72689"/>
    <w:rsid w:val="00C72F14"/>
    <w:rsid w:val="00C731D6"/>
    <w:rsid w:val="00C73292"/>
    <w:rsid w:val="00C73A6C"/>
    <w:rsid w:val="00C73D23"/>
    <w:rsid w:val="00C73E24"/>
    <w:rsid w:val="00C74CBF"/>
    <w:rsid w:val="00C74D87"/>
    <w:rsid w:val="00C74D95"/>
    <w:rsid w:val="00C75141"/>
    <w:rsid w:val="00C7532F"/>
    <w:rsid w:val="00C755D8"/>
    <w:rsid w:val="00C7583A"/>
    <w:rsid w:val="00C7587F"/>
    <w:rsid w:val="00C7599B"/>
    <w:rsid w:val="00C76098"/>
    <w:rsid w:val="00C7677A"/>
    <w:rsid w:val="00C774BD"/>
    <w:rsid w:val="00C775C4"/>
    <w:rsid w:val="00C778C3"/>
    <w:rsid w:val="00C80026"/>
    <w:rsid w:val="00C80254"/>
    <w:rsid w:val="00C80443"/>
    <w:rsid w:val="00C804DA"/>
    <w:rsid w:val="00C80684"/>
    <w:rsid w:val="00C806CF"/>
    <w:rsid w:val="00C808DD"/>
    <w:rsid w:val="00C80A0E"/>
    <w:rsid w:val="00C80A26"/>
    <w:rsid w:val="00C80A49"/>
    <w:rsid w:val="00C810A3"/>
    <w:rsid w:val="00C816AB"/>
    <w:rsid w:val="00C817A3"/>
    <w:rsid w:val="00C81BAC"/>
    <w:rsid w:val="00C82154"/>
    <w:rsid w:val="00C825D8"/>
    <w:rsid w:val="00C826CF"/>
    <w:rsid w:val="00C82A21"/>
    <w:rsid w:val="00C82E4E"/>
    <w:rsid w:val="00C830F6"/>
    <w:rsid w:val="00C832E5"/>
    <w:rsid w:val="00C837C2"/>
    <w:rsid w:val="00C83850"/>
    <w:rsid w:val="00C83917"/>
    <w:rsid w:val="00C839A7"/>
    <w:rsid w:val="00C83CF9"/>
    <w:rsid w:val="00C83EAF"/>
    <w:rsid w:val="00C84591"/>
    <w:rsid w:val="00C84C34"/>
    <w:rsid w:val="00C84CA4"/>
    <w:rsid w:val="00C84ED2"/>
    <w:rsid w:val="00C859DF"/>
    <w:rsid w:val="00C85D38"/>
    <w:rsid w:val="00C86102"/>
    <w:rsid w:val="00C86578"/>
    <w:rsid w:val="00C867A4"/>
    <w:rsid w:val="00C868C7"/>
    <w:rsid w:val="00C86F0D"/>
    <w:rsid w:val="00C87001"/>
    <w:rsid w:val="00C873B4"/>
    <w:rsid w:val="00C873BE"/>
    <w:rsid w:val="00C8749B"/>
    <w:rsid w:val="00C87A2A"/>
    <w:rsid w:val="00C90254"/>
    <w:rsid w:val="00C903DC"/>
    <w:rsid w:val="00C90B5C"/>
    <w:rsid w:val="00C90B83"/>
    <w:rsid w:val="00C91847"/>
    <w:rsid w:val="00C920CB"/>
    <w:rsid w:val="00C927E7"/>
    <w:rsid w:val="00C92850"/>
    <w:rsid w:val="00C92870"/>
    <w:rsid w:val="00C92E9F"/>
    <w:rsid w:val="00C931A8"/>
    <w:rsid w:val="00C93581"/>
    <w:rsid w:val="00C93942"/>
    <w:rsid w:val="00C93C10"/>
    <w:rsid w:val="00C9492C"/>
    <w:rsid w:val="00C94AA1"/>
    <w:rsid w:val="00C950F2"/>
    <w:rsid w:val="00C95270"/>
    <w:rsid w:val="00C9539D"/>
    <w:rsid w:val="00C95564"/>
    <w:rsid w:val="00C956BE"/>
    <w:rsid w:val="00C958AD"/>
    <w:rsid w:val="00C96013"/>
    <w:rsid w:val="00C966FE"/>
    <w:rsid w:val="00C967CA"/>
    <w:rsid w:val="00C96826"/>
    <w:rsid w:val="00C96A12"/>
    <w:rsid w:val="00C96AA2"/>
    <w:rsid w:val="00C96E50"/>
    <w:rsid w:val="00C97621"/>
    <w:rsid w:val="00C9775B"/>
    <w:rsid w:val="00C97A62"/>
    <w:rsid w:val="00C97D2E"/>
    <w:rsid w:val="00CA058F"/>
    <w:rsid w:val="00CA144C"/>
    <w:rsid w:val="00CA145C"/>
    <w:rsid w:val="00CA1D04"/>
    <w:rsid w:val="00CA1D52"/>
    <w:rsid w:val="00CA1E65"/>
    <w:rsid w:val="00CA1FC0"/>
    <w:rsid w:val="00CA20C0"/>
    <w:rsid w:val="00CA236F"/>
    <w:rsid w:val="00CA2566"/>
    <w:rsid w:val="00CA2727"/>
    <w:rsid w:val="00CA2A5C"/>
    <w:rsid w:val="00CA2B7F"/>
    <w:rsid w:val="00CA30F6"/>
    <w:rsid w:val="00CA33DD"/>
    <w:rsid w:val="00CA3469"/>
    <w:rsid w:val="00CA3698"/>
    <w:rsid w:val="00CA389E"/>
    <w:rsid w:val="00CA3B9B"/>
    <w:rsid w:val="00CA3FD3"/>
    <w:rsid w:val="00CA412A"/>
    <w:rsid w:val="00CA45BA"/>
    <w:rsid w:val="00CA46A3"/>
    <w:rsid w:val="00CA4BDC"/>
    <w:rsid w:val="00CA510B"/>
    <w:rsid w:val="00CA5289"/>
    <w:rsid w:val="00CA55A8"/>
    <w:rsid w:val="00CA57B2"/>
    <w:rsid w:val="00CA5846"/>
    <w:rsid w:val="00CA5D04"/>
    <w:rsid w:val="00CA5F00"/>
    <w:rsid w:val="00CA5F82"/>
    <w:rsid w:val="00CA61FE"/>
    <w:rsid w:val="00CA652A"/>
    <w:rsid w:val="00CA6662"/>
    <w:rsid w:val="00CA6977"/>
    <w:rsid w:val="00CA702A"/>
    <w:rsid w:val="00CA71DB"/>
    <w:rsid w:val="00CA79D0"/>
    <w:rsid w:val="00CB035F"/>
    <w:rsid w:val="00CB0385"/>
    <w:rsid w:val="00CB0435"/>
    <w:rsid w:val="00CB0813"/>
    <w:rsid w:val="00CB0C42"/>
    <w:rsid w:val="00CB0E2A"/>
    <w:rsid w:val="00CB116D"/>
    <w:rsid w:val="00CB1649"/>
    <w:rsid w:val="00CB16B9"/>
    <w:rsid w:val="00CB1945"/>
    <w:rsid w:val="00CB1D3C"/>
    <w:rsid w:val="00CB20D8"/>
    <w:rsid w:val="00CB249F"/>
    <w:rsid w:val="00CB29DD"/>
    <w:rsid w:val="00CB2B32"/>
    <w:rsid w:val="00CB2BDF"/>
    <w:rsid w:val="00CB36AE"/>
    <w:rsid w:val="00CB36D8"/>
    <w:rsid w:val="00CB3791"/>
    <w:rsid w:val="00CB3AC4"/>
    <w:rsid w:val="00CB3B23"/>
    <w:rsid w:val="00CB3E6A"/>
    <w:rsid w:val="00CB3F57"/>
    <w:rsid w:val="00CB441C"/>
    <w:rsid w:val="00CB4649"/>
    <w:rsid w:val="00CB46A2"/>
    <w:rsid w:val="00CB5178"/>
    <w:rsid w:val="00CB5252"/>
    <w:rsid w:val="00CB5750"/>
    <w:rsid w:val="00CB5D16"/>
    <w:rsid w:val="00CB6589"/>
    <w:rsid w:val="00CB6A36"/>
    <w:rsid w:val="00CB6ACC"/>
    <w:rsid w:val="00CB6DF6"/>
    <w:rsid w:val="00CB6E1C"/>
    <w:rsid w:val="00CB7482"/>
    <w:rsid w:val="00CB75DE"/>
    <w:rsid w:val="00CB763A"/>
    <w:rsid w:val="00CC02D7"/>
    <w:rsid w:val="00CC036A"/>
    <w:rsid w:val="00CC0837"/>
    <w:rsid w:val="00CC0CE5"/>
    <w:rsid w:val="00CC1004"/>
    <w:rsid w:val="00CC1150"/>
    <w:rsid w:val="00CC137A"/>
    <w:rsid w:val="00CC14CB"/>
    <w:rsid w:val="00CC1910"/>
    <w:rsid w:val="00CC1912"/>
    <w:rsid w:val="00CC1B86"/>
    <w:rsid w:val="00CC1C42"/>
    <w:rsid w:val="00CC1DB4"/>
    <w:rsid w:val="00CC20BF"/>
    <w:rsid w:val="00CC20E9"/>
    <w:rsid w:val="00CC21FB"/>
    <w:rsid w:val="00CC25B6"/>
    <w:rsid w:val="00CC2AFB"/>
    <w:rsid w:val="00CC2BAB"/>
    <w:rsid w:val="00CC2E1D"/>
    <w:rsid w:val="00CC336D"/>
    <w:rsid w:val="00CC345B"/>
    <w:rsid w:val="00CC361C"/>
    <w:rsid w:val="00CC383F"/>
    <w:rsid w:val="00CC38A0"/>
    <w:rsid w:val="00CC3DA0"/>
    <w:rsid w:val="00CC3FA4"/>
    <w:rsid w:val="00CC401C"/>
    <w:rsid w:val="00CC40D1"/>
    <w:rsid w:val="00CC440D"/>
    <w:rsid w:val="00CC4670"/>
    <w:rsid w:val="00CC4681"/>
    <w:rsid w:val="00CC48A0"/>
    <w:rsid w:val="00CC4C38"/>
    <w:rsid w:val="00CC4D4A"/>
    <w:rsid w:val="00CC4E5E"/>
    <w:rsid w:val="00CC5097"/>
    <w:rsid w:val="00CC5134"/>
    <w:rsid w:val="00CC57E9"/>
    <w:rsid w:val="00CC5961"/>
    <w:rsid w:val="00CC5CED"/>
    <w:rsid w:val="00CC62A6"/>
    <w:rsid w:val="00CC63E6"/>
    <w:rsid w:val="00CC64D5"/>
    <w:rsid w:val="00CC6549"/>
    <w:rsid w:val="00CC677F"/>
    <w:rsid w:val="00CC6A32"/>
    <w:rsid w:val="00CC700B"/>
    <w:rsid w:val="00CC7C55"/>
    <w:rsid w:val="00CD007A"/>
    <w:rsid w:val="00CD0177"/>
    <w:rsid w:val="00CD041F"/>
    <w:rsid w:val="00CD061D"/>
    <w:rsid w:val="00CD0A91"/>
    <w:rsid w:val="00CD0F34"/>
    <w:rsid w:val="00CD1312"/>
    <w:rsid w:val="00CD13DB"/>
    <w:rsid w:val="00CD1801"/>
    <w:rsid w:val="00CD1A7A"/>
    <w:rsid w:val="00CD1C8D"/>
    <w:rsid w:val="00CD1D4E"/>
    <w:rsid w:val="00CD1E66"/>
    <w:rsid w:val="00CD23C1"/>
    <w:rsid w:val="00CD24EA"/>
    <w:rsid w:val="00CD29C9"/>
    <w:rsid w:val="00CD2FD2"/>
    <w:rsid w:val="00CD317F"/>
    <w:rsid w:val="00CD3596"/>
    <w:rsid w:val="00CD3E90"/>
    <w:rsid w:val="00CD4014"/>
    <w:rsid w:val="00CD416C"/>
    <w:rsid w:val="00CD4258"/>
    <w:rsid w:val="00CD4491"/>
    <w:rsid w:val="00CD4F00"/>
    <w:rsid w:val="00CD5CF3"/>
    <w:rsid w:val="00CD5CFA"/>
    <w:rsid w:val="00CD613A"/>
    <w:rsid w:val="00CD63F4"/>
    <w:rsid w:val="00CD704D"/>
    <w:rsid w:val="00CD7309"/>
    <w:rsid w:val="00CD7364"/>
    <w:rsid w:val="00CD74E9"/>
    <w:rsid w:val="00CD79A4"/>
    <w:rsid w:val="00CD7C93"/>
    <w:rsid w:val="00CE01B5"/>
    <w:rsid w:val="00CE0B83"/>
    <w:rsid w:val="00CE1079"/>
    <w:rsid w:val="00CE1630"/>
    <w:rsid w:val="00CE168F"/>
    <w:rsid w:val="00CE183E"/>
    <w:rsid w:val="00CE200D"/>
    <w:rsid w:val="00CE2416"/>
    <w:rsid w:val="00CE2661"/>
    <w:rsid w:val="00CE2A33"/>
    <w:rsid w:val="00CE2BFB"/>
    <w:rsid w:val="00CE2EEA"/>
    <w:rsid w:val="00CE36D0"/>
    <w:rsid w:val="00CE3732"/>
    <w:rsid w:val="00CE37C5"/>
    <w:rsid w:val="00CE3A7A"/>
    <w:rsid w:val="00CE3D9E"/>
    <w:rsid w:val="00CE4021"/>
    <w:rsid w:val="00CE41F4"/>
    <w:rsid w:val="00CE4482"/>
    <w:rsid w:val="00CE4628"/>
    <w:rsid w:val="00CE46A3"/>
    <w:rsid w:val="00CE4AE0"/>
    <w:rsid w:val="00CE4DBC"/>
    <w:rsid w:val="00CE4DD7"/>
    <w:rsid w:val="00CE50AF"/>
    <w:rsid w:val="00CE559C"/>
    <w:rsid w:val="00CE64D3"/>
    <w:rsid w:val="00CE6745"/>
    <w:rsid w:val="00CE687F"/>
    <w:rsid w:val="00CE69FC"/>
    <w:rsid w:val="00CE6A60"/>
    <w:rsid w:val="00CE6EE9"/>
    <w:rsid w:val="00CE70C2"/>
    <w:rsid w:val="00CE7298"/>
    <w:rsid w:val="00CE730A"/>
    <w:rsid w:val="00CE733B"/>
    <w:rsid w:val="00CE7643"/>
    <w:rsid w:val="00CE76D8"/>
    <w:rsid w:val="00CE778F"/>
    <w:rsid w:val="00CE7C28"/>
    <w:rsid w:val="00CE7DB4"/>
    <w:rsid w:val="00CF0346"/>
    <w:rsid w:val="00CF07FD"/>
    <w:rsid w:val="00CF0C47"/>
    <w:rsid w:val="00CF0D49"/>
    <w:rsid w:val="00CF0D4F"/>
    <w:rsid w:val="00CF0DD0"/>
    <w:rsid w:val="00CF0E6E"/>
    <w:rsid w:val="00CF0F12"/>
    <w:rsid w:val="00CF1049"/>
    <w:rsid w:val="00CF152E"/>
    <w:rsid w:val="00CF1A0C"/>
    <w:rsid w:val="00CF20D8"/>
    <w:rsid w:val="00CF2120"/>
    <w:rsid w:val="00CF274A"/>
    <w:rsid w:val="00CF2D2B"/>
    <w:rsid w:val="00CF36FC"/>
    <w:rsid w:val="00CF3795"/>
    <w:rsid w:val="00CF37F0"/>
    <w:rsid w:val="00CF3855"/>
    <w:rsid w:val="00CF41E0"/>
    <w:rsid w:val="00CF4357"/>
    <w:rsid w:val="00CF43C5"/>
    <w:rsid w:val="00CF4A4B"/>
    <w:rsid w:val="00CF5330"/>
    <w:rsid w:val="00CF544D"/>
    <w:rsid w:val="00CF5622"/>
    <w:rsid w:val="00CF5654"/>
    <w:rsid w:val="00CF57B8"/>
    <w:rsid w:val="00CF587B"/>
    <w:rsid w:val="00CF5A88"/>
    <w:rsid w:val="00CF68D3"/>
    <w:rsid w:val="00CF6A7B"/>
    <w:rsid w:val="00CF6D06"/>
    <w:rsid w:val="00CF6E34"/>
    <w:rsid w:val="00CF6E92"/>
    <w:rsid w:val="00CF6EF8"/>
    <w:rsid w:val="00CF7290"/>
    <w:rsid w:val="00CF7538"/>
    <w:rsid w:val="00D0032B"/>
    <w:rsid w:val="00D006CD"/>
    <w:rsid w:val="00D011F6"/>
    <w:rsid w:val="00D0121C"/>
    <w:rsid w:val="00D01239"/>
    <w:rsid w:val="00D01278"/>
    <w:rsid w:val="00D028A4"/>
    <w:rsid w:val="00D02964"/>
    <w:rsid w:val="00D03242"/>
    <w:rsid w:val="00D036FC"/>
    <w:rsid w:val="00D03A23"/>
    <w:rsid w:val="00D03BAC"/>
    <w:rsid w:val="00D03C46"/>
    <w:rsid w:val="00D03E9F"/>
    <w:rsid w:val="00D03F6E"/>
    <w:rsid w:val="00D0414C"/>
    <w:rsid w:val="00D04646"/>
    <w:rsid w:val="00D047E5"/>
    <w:rsid w:val="00D054D5"/>
    <w:rsid w:val="00D05707"/>
    <w:rsid w:val="00D05E5B"/>
    <w:rsid w:val="00D05E71"/>
    <w:rsid w:val="00D0637D"/>
    <w:rsid w:val="00D0668E"/>
    <w:rsid w:val="00D06BB8"/>
    <w:rsid w:val="00D06F3D"/>
    <w:rsid w:val="00D0742F"/>
    <w:rsid w:val="00D07518"/>
    <w:rsid w:val="00D10163"/>
    <w:rsid w:val="00D1075E"/>
    <w:rsid w:val="00D108B3"/>
    <w:rsid w:val="00D109FB"/>
    <w:rsid w:val="00D10D13"/>
    <w:rsid w:val="00D10D71"/>
    <w:rsid w:val="00D110C0"/>
    <w:rsid w:val="00D110CB"/>
    <w:rsid w:val="00D11346"/>
    <w:rsid w:val="00D1143D"/>
    <w:rsid w:val="00D114AC"/>
    <w:rsid w:val="00D119D0"/>
    <w:rsid w:val="00D119E0"/>
    <w:rsid w:val="00D11C7E"/>
    <w:rsid w:val="00D11E3A"/>
    <w:rsid w:val="00D12091"/>
    <w:rsid w:val="00D12178"/>
    <w:rsid w:val="00D122BF"/>
    <w:rsid w:val="00D124F3"/>
    <w:rsid w:val="00D1288B"/>
    <w:rsid w:val="00D12944"/>
    <w:rsid w:val="00D12B53"/>
    <w:rsid w:val="00D12CD2"/>
    <w:rsid w:val="00D13427"/>
    <w:rsid w:val="00D13727"/>
    <w:rsid w:val="00D13A8A"/>
    <w:rsid w:val="00D13D1E"/>
    <w:rsid w:val="00D13EE2"/>
    <w:rsid w:val="00D13F66"/>
    <w:rsid w:val="00D1408A"/>
    <w:rsid w:val="00D14247"/>
    <w:rsid w:val="00D14FDB"/>
    <w:rsid w:val="00D158C8"/>
    <w:rsid w:val="00D15F44"/>
    <w:rsid w:val="00D16272"/>
    <w:rsid w:val="00D1654E"/>
    <w:rsid w:val="00D1670D"/>
    <w:rsid w:val="00D169F4"/>
    <w:rsid w:val="00D16A2D"/>
    <w:rsid w:val="00D16FEE"/>
    <w:rsid w:val="00D173D2"/>
    <w:rsid w:val="00D1744F"/>
    <w:rsid w:val="00D175DE"/>
    <w:rsid w:val="00D178C1"/>
    <w:rsid w:val="00D200A6"/>
    <w:rsid w:val="00D203DA"/>
    <w:rsid w:val="00D20611"/>
    <w:rsid w:val="00D208FE"/>
    <w:rsid w:val="00D20C00"/>
    <w:rsid w:val="00D20FB4"/>
    <w:rsid w:val="00D21801"/>
    <w:rsid w:val="00D21864"/>
    <w:rsid w:val="00D218C1"/>
    <w:rsid w:val="00D21A8B"/>
    <w:rsid w:val="00D21B5F"/>
    <w:rsid w:val="00D21C9E"/>
    <w:rsid w:val="00D21DCC"/>
    <w:rsid w:val="00D21E78"/>
    <w:rsid w:val="00D226E9"/>
    <w:rsid w:val="00D230DB"/>
    <w:rsid w:val="00D2363F"/>
    <w:rsid w:val="00D23F8D"/>
    <w:rsid w:val="00D2429F"/>
    <w:rsid w:val="00D2435B"/>
    <w:rsid w:val="00D24A6D"/>
    <w:rsid w:val="00D24D8A"/>
    <w:rsid w:val="00D25106"/>
    <w:rsid w:val="00D25540"/>
    <w:rsid w:val="00D256AA"/>
    <w:rsid w:val="00D25DC7"/>
    <w:rsid w:val="00D25F93"/>
    <w:rsid w:val="00D25FD6"/>
    <w:rsid w:val="00D26234"/>
    <w:rsid w:val="00D2626B"/>
    <w:rsid w:val="00D266CA"/>
    <w:rsid w:val="00D268DD"/>
    <w:rsid w:val="00D269B0"/>
    <w:rsid w:val="00D27454"/>
    <w:rsid w:val="00D277B2"/>
    <w:rsid w:val="00D27A49"/>
    <w:rsid w:val="00D30347"/>
    <w:rsid w:val="00D3064F"/>
    <w:rsid w:val="00D30829"/>
    <w:rsid w:val="00D30ADC"/>
    <w:rsid w:val="00D30EA8"/>
    <w:rsid w:val="00D31475"/>
    <w:rsid w:val="00D317AA"/>
    <w:rsid w:val="00D32155"/>
    <w:rsid w:val="00D3217B"/>
    <w:rsid w:val="00D3280B"/>
    <w:rsid w:val="00D32F54"/>
    <w:rsid w:val="00D3310B"/>
    <w:rsid w:val="00D3388D"/>
    <w:rsid w:val="00D341FA"/>
    <w:rsid w:val="00D342DF"/>
    <w:rsid w:val="00D345A3"/>
    <w:rsid w:val="00D34639"/>
    <w:rsid w:val="00D346AB"/>
    <w:rsid w:val="00D34AF8"/>
    <w:rsid w:val="00D34E6B"/>
    <w:rsid w:val="00D34F5B"/>
    <w:rsid w:val="00D34FA6"/>
    <w:rsid w:val="00D350D1"/>
    <w:rsid w:val="00D3517D"/>
    <w:rsid w:val="00D35A93"/>
    <w:rsid w:val="00D35A96"/>
    <w:rsid w:val="00D35AFF"/>
    <w:rsid w:val="00D35B45"/>
    <w:rsid w:val="00D35CC9"/>
    <w:rsid w:val="00D35CDF"/>
    <w:rsid w:val="00D36073"/>
    <w:rsid w:val="00D365CC"/>
    <w:rsid w:val="00D3688C"/>
    <w:rsid w:val="00D36A6C"/>
    <w:rsid w:val="00D36C10"/>
    <w:rsid w:val="00D36CEF"/>
    <w:rsid w:val="00D36E7B"/>
    <w:rsid w:val="00D3741F"/>
    <w:rsid w:val="00D402F4"/>
    <w:rsid w:val="00D4067B"/>
    <w:rsid w:val="00D40984"/>
    <w:rsid w:val="00D40A7D"/>
    <w:rsid w:val="00D40A93"/>
    <w:rsid w:val="00D41104"/>
    <w:rsid w:val="00D41154"/>
    <w:rsid w:val="00D4133C"/>
    <w:rsid w:val="00D41A34"/>
    <w:rsid w:val="00D41D19"/>
    <w:rsid w:val="00D42503"/>
    <w:rsid w:val="00D426F3"/>
    <w:rsid w:val="00D42747"/>
    <w:rsid w:val="00D4275C"/>
    <w:rsid w:val="00D42B5F"/>
    <w:rsid w:val="00D42D7A"/>
    <w:rsid w:val="00D42DE8"/>
    <w:rsid w:val="00D4303C"/>
    <w:rsid w:val="00D43061"/>
    <w:rsid w:val="00D436F6"/>
    <w:rsid w:val="00D43B96"/>
    <w:rsid w:val="00D441CC"/>
    <w:rsid w:val="00D4481F"/>
    <w:rsid w:val="00D44B23"/>
    <w:rsid w:val="00D45E2E"/>
    <w:rsid w:val="00D46C7E"/>
    <w:rsid w:val="00D47866"/>
    <w:rsid w:val="00D478FC"/>
    <w:rsid w:val="00D479C5"/>
    <w:rsid w:val="00D479CB"/>
    <w:rsid w:val="00D501F3"/>
    <w:rsid w:val="00D502CB"/>
    <w:rsid w:val="00D50396"/>
    <w:rsid w:val="00D5054F"/>
    <w:rsid w:val="00D50F9B"/>
    <w:rsid w:val="00D510AA"/>
    <w:rsid w:val="00D51105"/>
    <w:rsid w:val="00D5130C"/>
    <w:rsid w:val="00D51434"/>
    <w:rsid w:val="00D51664"/>
    <w:rsid w:val="00D51BD2"/>
    <w:rsid w:val="00D524CC"/>
    <w:rsid w:val="00D5345F"/>
    <w:rsid w:val="00D53972"/>
    <w:rsid w:val="00D53A11"/>
    <w:rsid w:val="00D541F2"/>
    <w:rsid w:val="00D545A2"/>
    <w:rsid w:val="00D55389"/>
    <w:rsid w:val="00D55699"/>
    <w:rsid w:val="00D56205"/>
    <w:rsid w:val="00D565C2"/>
    <w:rsid w:val="00D567C4"/>
    <w:rsid w:val="00D57073"/>
    <w:rsid w:val="00D5718A"/>
    <w:rsid w:val="00D57551"/>
    <w:rsid w:val="00D57670"/>
    <w:rsid w:val="00D57A19"/>
    <w:rsid w:val="00D57A95"/>
    <w:rsid w:val="00D57D42"/>
    <w:rsid w:val="00D60125"/>
    <w:rsid w:val="00D605F5"/>
    <w:rsid w:val="00D60A66"/>
    <w:rsid w:val="00D60D82"/>
    <w:rsid w:val="00D60E3A"/>
    <w:rsid w:val="00D61464"/>
    <w:rsid w:val="00D61583"/>
    <w:rsid w:val="00D61A7F"/>
    <w:rsid w:val="00D61E2E"/>
    <w:rsid w:val="00D62BFB"/>
    <w:rsid w:val="00D62C5F"/>
    <w:rsid w:val="00D62D43"/>
    <w:rsid w:val="00D62D84"/>
    <w:rsid w:val="00D6311F"/>
    <w:rsid w:val="00D63168"/>
    <w:rsid w:val="00D6337E"/>
    <w:rsid w:val="00D6390E"/>
    <w:rsid w:val="00D63B18"/>
    <w:rsid w:val="00D63D56"/>
    <w:rsid w:val="00D641F7"/>
    <w:rsid w:val="00D642B9"/>
    <w:rsid w:val="00D644B4"/>
    <w:rsid w:val="00D6455C"/>
    <w:rsid w:val="00D64B96"/>
    <w:rsid w:val="00D64CBC"/>
    <w:rsid w:val="00D65485"/>
    <w:rsid w:val="00D6584B"/>
    <w:rsid w:val="00D65C42"/>
    <w:rsid w:val="00D65C53"/>
    <w:rsid w:val="00D65CA8"/>
    <w:rsid w:val="00D65EE9"/>
    <w:rsid w:val="00D66056"/>
    <w:rsid w:val="00D660F4"/>
    <w:rsid w:val="00D6631D"/>
    <w:rsid w:val="00D666A3"/>
    <w:rsid w:val="00D66B06"/>
    <w:rsid w:val="00D66E3C"/>
    <w:rsid w:val="00D6712D"/>
    <w:rsid w:val="00D672A4"/>
    <w:rsid w:val="00D67848"/>
    <w:rsid w:val="00D67988"/>
    <w:rsid w:val="00D67FA6"/>
    <w:rsid w:val="00D70477"/>
    <w:rsid w:val="00D70944"/>
    <w:rsid w:val="00D709F2"/>
    <w:rsid w:val="00D70A26"/>
    <w:rsid w:val="00D716E5"/>
    <w:rsid w:val="00D7198A"/>
    <w:rsid w:val="00D71C82"/>
    <w:rsid w:val="00D724C3"/>
    <w:rsid w:val="00D72CBE"/>
    <w:rsid w:val="00D72DF9"/>
    <w:rsid w:val="00D73056"/>
    <w:rsid w:val="00D7314F"/>
    <w:rsid w:val="00D7328B"/>
    <w:rsid w:val="00D73307"/>
    <w:rsid w:val="00D733A0"/>
    <w:rsid w:val="00D73874"/>
    <w:rsid w:val="00D73A59"/>
    <w:rsid w:val="00D73B5C"/>
    <w:rsid w:val="00D73D34"/>
    <w:rsid w:val="00D73D64"/>
    <w:rsid w:val="00D73EFA"/>
    <w:rsid w:val="00D73F27"/>
    <w:rsid w:val="00D740B1"/>
    <w:rsid w:val="00D745D0"/>
    <w:rsid w:val="00D747D5"/>
    <w:rsid w:val="00D74BC0"/>
    <w:rsid w:val="00D74C29"/>
    <w:rsid w:val="00D75260"/>
    <w:rsid w:val="00D7528C"/>
    <w:rsid w:val="00D7554C"/>
    <w:rsid w:val="00D756CA"/>
    <w:rsid w:val="00D75712"/>
    <w:rsid w:val="00D7573A"/>
    <w:rsid w:val="00D75852"/>
    <w:rsid w:val="00D75DEB"/>
    <w:rsid w:val="00D75E3E"/>
    <w:rsid w:val="00D75FC5"/>
    <w:rsid w:val="00D76216"/>
    <w:rsid w:val="00D76331"/>
    <w:rsid w:val="00D764EA"/>
    <w:rsid w:val="00D768AB"/>
    <w:rsid w:val="00D77456"/>
    <w:rsid w:val="00D77601"/>
    <w:rsid w:val="00D778CE"/>
    <w:rsid w:val="00D77CE7"/>
    <w:rsid w:val="00D77E2F"/>
    <w:rsid w:val="00D80168"/>
    <w:rsid w:val="00D802AA"/>
    <w:rsid w:val="00D80556"/>
    <w:rsid w:val="00D80609"/>
    <w:rsid w:val="00D806D7"/>
    <w:rsid w:val="00D8084B"/>
    <w:rsid w:val="00D80A5B"/>
    <w:rsid w:val="00D80BFA"/>
    <w:rsid w:val="00D80C40"/>
    <w:rsid w:val="00D81161"/>
    <w:rsid w:val="00D81375"/>
    <w:rsid w:val="00D81377"/>
    <w:rsid w:val="00D818BB"/>
    <w:rsid w:val="00D81B5D"/>
    <w:rsid w:val="00D81B90"/>
    <w:rsid w:val="00D81C82"/>
    <w:rsid w:val="00D8237E"/>
    <w:rsid w:val="00D823D9"/>
    <w:rsid w:val="00D82422"/>
    <w:rsid w:val="00D82504"/>
    <w:rsid w:val="00D8258D"/>
    <w:rsid w:val="00D8274E"/>
    <w:rsid w:val="00D82963"/>
    <w:rsid w:val="00D82C22"/>
    <w:rsid w:val="00D82CDB"/>
    <w:rsid w:val="00D82D02"/>
    <w:rsid w:val="00D82D89"/>
    <w:rsid w:val="00D83023"/>
    <w:rsid w:val="00D8352F"/>
    <w:rsid w:val="00D83545"/>
    <w:rsid w:val="00D83641"/>
    <w:rsid w:val="00D84902"/>
    <w:rsid w:val="00D84C76"/>
    <w:rsid w:val="00D85051"/>
    <w:rsid w:val="00D8506F"/>
    <w:rsid w:val="00D857EF"/>
    <w:rsid w:val="00D85C7B"/>
    <w:rsid w:val="00D86082"/>
    <w:rsid w:val="00D86398"/>
    <w:rsid w:val="00D86901"/>
    <w:rsid w:val="00D86B3D"/>
    <w:rsid w:val="00D86D46"/>
    <w:rsid w:val="00D87199"/>
    <w:rsid w:val="00D8771B"/>
    <w:rsid w:val="00D878AA"/>
    <w:rsid w:val="00D87DB2"/>
    <w:rsid w:val="00D90104"/>
    <w:rsid w:val="00D902B8"/>
    <w:rsid w:val="00D908E6"/>
    <w:rsid w:val="00D90A55"/>
    <w:rsid w:val="00D90FFF"/>
    <w:rsid w:val="00D91667"/>
    <w:rsid w:val="00D9184B"/>
    <w:rsid w:val="00D9192C"/>
    <w:rsid w:val="00D92390"/>
    <w:rsid w:val="00D924B0"/>
    <w:rsid w:val="00D92FF1"/>
    <w:rsid w:val="00D93088"/>
    <w:rsid w:val="00D934D7"/>
    <w:rsid w:val="00D93564"/>
    <w:rsid w:val="00D93609"/>
    <w:rsid w:val="00D93997"/>
    <w:rsid w:val="00D93B13"/>
    <w:rsid w:val="00D93EF5"/>
    <w:rsid w:val="00D94507"/>
    <w:rsid w:val="00D94851"/>
    <w:rsid w:val="00D948B4"/>
    <w:rsid w:val="00D94A97"/>
    <w:rsid w:val="00D94EA9"/>
    <w:rsid w:val="00D94F55"/>
    <w:rsid w:val="00D94FB1"/>
    <w:rsid w:val="00D94FC5"/>
    <w:rsid w:val="00D95240"/>
    <w:rsid w:val="00D954CD"/>
    <w:rsid w:val="00D95A66"/>
    <w:rsid w:val="00D95F99"/>
    <w:rsid w:val="00D962A0"/>
    <w:rsid w:val="00D962A4"/>
    <w:rsid w:val="00D96D5E"/>
    <w:rsid w:val="00D96E1E"/>
    <w:rsid w:val="00D9701F"/>
    <w:rsid w:val="00D972D3"/>
    <w:rsid w:val="00D977EB"/>
    <w:rsid w:val="00D97B34"/>
    <w:rsid w:val="00D97B51"/>
    <w:rsid w:val="00D97B54"/>
    <w:rsid w:val="00D97E20"/>
    <w:rsid w:val="00DA0052"/>
    <w:rsid w:val="00DA02A4"/>
    <w:rsid w:val="00DA03B5"/>
    <w:rsid w:val="00DA0A46"/>
    <w:rsid w:val="00DA0D36"/>
    <w:rsid w:val="00DA0DE7"/>
    <w:rsid w:val="00DA0E75"/>
    <w:rsid w:val="00DA0EB3"/>
    <w:rsid w:val="00DA0F65"/>
    <w:rsid w:val="00DA117E"/>
    <w:rsid w:val="00DA1201"/>
    <w:rsid w:val="00DA130C"/>
    <w:rsid w:val="00DA174C"/>
    <w:rsid w:val="00DA17F0"/>
    <w:rsid w:val="00DA1B21"/>
    <w:rsid w:val="00DA2035"/>
    <w:rsid w:val="00DA2149"/>
    <w:rsid w:val="00DA22C0"/>
    <w:rsid w:val="00DA246E"/>
    <w:rsid w:val="00DA263E"/>
    <w:rsid w:val="00DA2824"/>
    <w:rsid w:val="00DA2995"/>
    <w:rsid w:val="00DA2999"/>
    <w:rsid w:val="00DA299F"/>
    <w:rsid w:val="00DA2A2A"/>
    <w:rsid w:val="00DA3178"/>
    <w:rsid w:val="00DA33CD"/>
    <w:rsid w:val="00DA353C"/>
    <w:rsid w:val="00DA3AB0"/>
    <w:rsid w:val="00DA3D33"/>
    <w:rsid w:val="00DA3EC2"/>
    <w:rsid w:val="00DA3F5E"/>
    <w:rsid w:val="00DA409B"/>
    <w:rsid w:val="00DA41E6"/>
    <w:rsid w:val="00DA424B"/>
    <w:rsid w:val="00DA4548"/>
    <w:rsid w:val="00DA4A99"/>
    <w:rsid w:val="00DA4C7B"/>
    <w:rsid w:val="00DA4DB2"/>
    <w:rsid w:val="00DA509F"/>
    <w:rsid w:val="00DA5B66"/>
    <w:rsid w:val="00DA5F49"/>
    <w:rsid w:val="00DA6019"/>
    <w:rsid w:val="00DA6AA9"/>
    <w:rsid w:val="00DA6BA6"/>
    <w:rsid w:val="00DA6FBC"/>
    <w:rsid w:val="00DA734B"/>
    <w:rsid w:val="00DA73ED"/>
    <w:rsid w:val="00DA74FF"/>
    <w:rsid w:val="00DB026F"/>
    <w:rsid w:val="00DB0452"/>
    <w:rsid w:val="00DB0828"/>
    <w:rsid w:val="00DB0A93"/>
    <w:rsid w:val="00DB0AF3"/>
    <w:rsid w:val="00DB0D7F"/>
    <w:rsid w:val="00DB1273"/>
    <w:rsid w:val="00DB129F"/>
    <w:rsid w:val="00DB12E7"/>
    <w:rsid w:val="00DB12F6"/>
    <w:rsid w:val="00DB1300"/>
    <w:rsid w:val="00DB13F9"/>
    <w:rsid w:val="00DB16A2"/>
    <w:rsid w:val="00DB183E"/>
    <w:rsid w:val="00DB1984"/>
    <w:rsid w:val="00DB1A45"/>
    <w:rsid w:val="00DB1D52"/>
    <w:rsid w:val="00DB1E2F"/>
    <w:rsid w:val="00DB230D"/>
    <w:rsid w:val="00DB254A"/>
    <w:rsid w:val="00DB26A3"/>
    <w:rsid w:val="00DB26D1"/>
    <w:rsid w:val="00DB28A7"/>
    <w:rsid w:val="00DB2EDF"/>
    <w:rsid w:val="00DB2FAA"/>
    <w:rsid w:val="00DB313F"/>
    <w:rsid w:val="00DB316F"/>
    <w:rsid w:val="00DB346C"/>
    <w:rsid w:val="00DB3478"/>
    <w:rsid w:val="00DB373C"/>
    <w:rsid w:val="00DB44A6"/>
    <w:rsid w:val="00DB4564"/>
    <w:rsid w:val="00DB4956"/>
    <w:rsid w:val="00DB4FE8"/>
    <w:rsid w:val="00DB51AF"/>
    <w:rsid w:val="00DB537C"/>
    <w:rsid w:val="00DB5723"/>
    <w:rsid w:val="00DB576B"/>
    <w:rsid w:val="00DB593E"/>
    <w:rsid w:val="00DB5D84"/>
    <w:rsid w:val="00DB60EA"/>
    <w:rsid w:val="00DB6213"/>
    <w:rsid w:val="00DB64B1"/>
    <w:rsid w:val="00DB6516"/>
    <w:rsid w:val="00DB65C5"/>
    <w:rsid w:val="00DB68C0"/>
    <w:rsid w:val="00DB6F0F"/>
    <w:rsid w:val="00DB738B"/>
    <w:rsid w:val="00DB769B"/>
    <w:rsid w:val="00DB7766"/>
    <w:rsid w:val="00DB7F3F"/>
    <w:rsid w:val="00DC02EC"/>
    <w:rsid w:val="00DC0348"/>
    <w:rsid w:val="00DC0534"/>
    <w:rsid w:val="00DC1373"/>
    <w:rsid w:val="00DC174C"/>
    <w:rsid w:val="00DC1FBE"/>
    <w:rsid w:val="00DC25FD"/>
    <w:rsid w:val="00DC26EE"/>
    <w:rsid w:val="00DC291C"/>
    <w:rsid w:val="00DC2A2A"/>
    <w:rsid w:val="00DC2D24"/>
    <w:rsid w:val="00DC2E24"/>
    <w:rsid w:val="00DC2E2C"/>
    <w:rsid w:val="00DC328B"/>
    <w:rsid w:val="00DC3297"/>
    <w:rsid w:val="00DC35D3"/>
    <w:rsid w:val="00DC39B9"/>
    <w:rsid w:val="00DC3D93"/>
    <w:rsid w:val="00DC3DDD"/>
    <w:rsid w:val="00DC3EEF"/>
    <w:rsid w:val="00DC42F0"/>
    <w:rsid w:val="00DC436B"/>
    <w:rsid w:val="00DC482E"/>
    <w:rsid w:val="00DC48C5"/>
    <w:rsid w:val="00DC4B5F"/>
    <w:rsid w:val="00DC4EFD"/>
    <w:rsid w:val="00DC5013"/>
    <w:rsid w:val="00DC5036"/>
    <w:rsid w:val="00DC5A15"/>
    <w:rsid w:val="00DC5BDA"/>
    <w:rsid w:val="00DC5D45"/>
    <w:rsid w:val="00DC6050"/>
    <w:rsid w:val="00DC6102"/>
    <w:rsid w:val="00DC61EE"/>
    <w:rsid w:val="00DC644B"/>
    <w:rsid w:val="00DC65E4"/>
    <w:rsid w:val="00DC65F5"/>
    <w:rsid w:val="00DC6723"/>
    <w:rsid w:val="00DC68D0"/>
    <w:rsid w:val="00DC699D"/>
    <w:rsid w:val="00DC6EAB"/>
    <w:rsid w:val="00DC7278"/>
    <w:rsid w:val="00DC728C"/>
    <w:rsid w:val="00DC738F"/>
    <w:rsid w:val="00DC75C2"/>
    <w:rsid w:val="00DC7709"/>
    <w:rsid w:val="00DC7815"/>
    <w:rsid w:val="00DD0205"/>
    <w:rsid w:val="00DD027A"/>
    <w:rsid w:val="00DD044B"/>
    <w:rsid w:val="00DD05D4"/>
    <w:rsid w:val="00DD0B35"/>
    <w:rsid w:val="00DD0EFE"/>
    <w:rsid w:val="00DD1225"/>
    <w:rsid w:val="00DD134D"/>
    <w:rsid w:val="00DD13B4"/>
    <w:rsid w:val="00DD174B"/>
    <w:rsid w:val="00DD18FA"/>
    <w:rsid w:val="00DD1AC4"/>
    <w:rsid w:val="00DD21B8"/>
    <w:rsid w:val="00DD2326"/>
    <w:rsid w:val="00DD276A"/>
    <w:rsid w:val="00DD2C52"/>
    <w:rsid w:val="00DD2C67"/>
    <w:rsid w:val="00DD324D"/>
    <w:rsid w:val="00DD3555"/>
    <w:rsid w:val="00DD35EC"/>
    <w:rsid w:val="00DD36B6"/>
    <w:rsid w:val="00DD37E9"/>
    <w:rsid w:val="00DD38B9"/>
    <w:rsid w:val="00DD3BA3"/>
    <w:rsid w:val="00DD3D59"/>
    <w:rsid w:val="00DD3F87"/>
    <w:rsid w:val="00DD40EF"/>
    <w:rsid w:val="00DD44BF"/>
    <w:rsid w:val="00DD49F6"/>
    <w:rsid w:val="00DD4A59"/>
    <w:rsid w:val="00DD4DE9"/>
    <w:rsid w:val="00DD572F"/>
    <w:rsid w:val="00DD5EA2"/>
    <w:rsid w:val="00DD614C"/>
    <w:rsid w:val="00DD6919"/>
    <w:rsid w:val="00DD6AD3"/>
    <w:rsid w:val="00DD6E61"/>
    <w:rsid w:val="00DD6ECD"/>
    <w:rsid w:val="00DD7286"/>
    <w:rsid w:val="00DD7E5A"/>
    <w:rsid w:val="00DD7F29"/>
    <w:rsid w:val="00DE0246"/>
    <w:rsid w:val="00DE0899"/>
    <w:rsid w:val="00DE09EF"/>
    <w:rsid w:val="00DE0A7B"/>
    <w:rsid w:val="00DE0F75"/>
    <w:rsid w:val="00DE17D5"/>
    <w:rsid w:val="00DE1932"/>
    <w:rsid w:val="00DE1AAD"/>
    <w:rsid w:val="00DE1ADB"/>
    <w:rsid w:val="00DE1EC2"/>
    <w:rsid w:val="00DE1F5F"/>
    <w:rsid w:val="00DE246B"/>
    <w:rsid w:val="00DE2704"/>
    <w:rsid w:val="00DE290D"/>
    <w:rsid w:val="00DE29DB"/>
    <w:rsid w:val="00DE2C3D"/>
    <w:rsid w:val="00DE2C8F"/>
    <w:rsid w:val="00DE2F62"/>
    <w:rsid w:val="00DE34BB"/>
    <w:rsid w:val="00DE34F0"/>
    <w:rsid w:val="00DE3AFB"/>
    <w:rsid w:val="00DE3D1D"/>
    <w:rsid w:val="00DE425E"/>
    <w:rsid w:val="00DE4303"/>
    <w:rsid w:val="00DE438B"/>
    <w:rsid w:val="00DE4FEE"/>
    <w:rsid w:val="00DE50B1"/>
    <w:rsid w:val="00DE51CE"/>
    <w:rsid w:val="00DE5C2E"/>
    <w:rsid w:val="00DE6010"/>
    <w:rsid w:val="00DE6200"/>
    <w:rsid w:val="00DE623C"/>
    <w:rsid w:val="00DE640E"/>
    <w:rsid w:val="00DE6BC2"/>
    <w:rsid w:val="00DE756B"/>
    <w:rsid w:val="00DF0064"/>
    <w:rsid w:val="00DF0068"/>
    <w:rsid w:val="00DF0830"/>
    <w:rsid w:val="00DF09F0"/>
    <w:rsid w:val="00DF10AC"/>
    <w:rsid w:val="00DF10B2"/>
    <w:rsid w:val="00DF11CF"/>
    <w:rsid w:val="00DF12D5"/>
    <w:rsid w:val="00DF13C4"/>
    <w:rsid w:val="00DF1791"/>
    <w:rsid w:val="00DF1883"/>
    <w:rsid w:val="00DF1B70"/>
    <w:rsid w:val="00DF20B7"/>
    <w:rsid w:val="00DF2362"/>
    <w:rsid w:val="00DF24CA"/>
    <w:rsid w:val="00DF2ACC"/>
    <w:rsid w:val="00DF3191"/>
    <w:rsid w:val="00DF355D"/>
    <w:rsid w:val="00DF37CE"/>
    <w:rsid w:val="00DF3859"/>
    <w:rsid w:val="00DF3A66"/>
    <w:rsid w:val="00DF3E42"/>
    <w:rsid w:val="00DF4217"/>
    <w:rsid w:val="00DF50DF"/>
    <w:rsid w:val="00DF574C"/>
    <w:rsid w:val="00DF5E11"/>
    <w:rsid w:val="00DF5E75"/>
    <w:rsid w:val="00DF5F70"/>
    <w:rsid w:val="00DF605D"/>
    <w:rsid w:val="00DF6545"/>
    <w:rsid w:val="00DF65FD"/>
    <w:rsid w:val="00DF6779"/>
    <w:rsid w:val="00DF6A91"/>
    <w:rsid w:val="00DF6ADD"/>
    <w:rsid w:val="00DF6EE7"/>
    <w:rsid w:val="00DF6F8C"/>
    <w:rsid w:val="00DF72FD"/>
    <w:rsid w:val="00E0042B"/>
    <w:rsid w:val="00E00542"/>
    <w:rsid w:val="00E008BB"/>
    <w:rsid w:val="00E0096F"/>
    <w:rsid w:val="00E00BEB"/>
    <w:rsid w:val="00E00CF2"/>
    <w:rsid w:val="00E00E52"/>
    <w:rsid w:val="00E015F4"/>
    <w:rsid w:val="00E016AF"/>
    <w:rsid w:val="00E01B67"/>
    <w:rsid w:val="00E01DF1"/>
    <w:rsid w:val="00E01E1A"/>
    <w:rsid w:val="00E01E66"/>
    <w:rsid w:val="00E02E0F"/>
    <w:rsid w:val="00E0349F"/>
    <w:rsid w:val="00E044E1"/>
    <w:rsid w:val="00E04539"/>
    <w:rsid w:val="00E0461C"/>
    <w:rsid w:val="00E0480B"/>
    <w:rsid w:val="00E04B6D"/>
    <w:rsid w:val="00E04F5B"/>
    <w:rsid w:val="00E05077"/>
    <w:rsid w:val="00E054F3"/>
    <w:rsid w:val="00E05607"/>
    <w:rsid w:val="00E05B14"/>
    <w:rsid w:val="00E05CDB"/>
    <w:rsid w:val="00E05CDC"/>
    <w:rsid w:val="00E05EA1"/>
    <w:rsid w:val="00E0616F"/>
    <w:rsid w:val="00E0693B"/>
    <w:rsid w:val="00E077FB"/>
    <w:rsid w:val="00E077FC"/>
    <w:rsid w:val="00E07850"/>
    <w:rsid w:val="00E079AC"/>
    <w:rsid w:val="00E10E10"/>
    <w:rsid w:val="00E1103C"/>
    <w:rsid w:val="00E11048"/>
    <w:rsid w:val="00E113F1"/>
    <w:rsid w:val="00E1140D"/>
    <w:rsid w:val="00E11AA1"/>
    <w:rsid w:val="00E1224E"/>
    <w:rsid w:val="00E122C1"/>
    <w:rsid w:val="00E125FD"/>
    <w:rsid w:val="00E132AE"/>
    <w:rsid w:val="00E132C8"/>
    <w:rsid w:val="00E133C2"/>
    <w:rsid w:val="00E138E0"/>
    <w:rsid w:val="00E13A82"/>
    <w:rsid w:val="00E13E37"/>
    <w:rsid w:val="00E1474D"/>
    <w:rsid w:val="00E151D4"/>
    <w:rsid w:val="00E1529E"/>
    <w:rsid w:val="00E156F5"/>
    <w:rsid w:val="00E159FD"/>
    <w:rsid w:val="00E1641F"/>
    <w:rsid w:val="00E16474"/>
    <w:rsid w:val="00E169EB"/>
    <w:rsid w:val="00E16C7E"/>
    <w:rsid w:val="00E16C8D"/>
    <w:rsid w:val="00E16CE5"/>
    <w:rsid w:val="00E1754E"/>
    <w:rsid w:val="00E179DB"/>
    <w:rsid w:val="00E17A14"/>
    <w:rsid w:val="00E17AF8"/>
    <w:rsid w:val="00E2008B"/>
    <w:rsid w:val="00E20425"/>
    <w:rsid w:val="00E20A48"/>
    <w:rsid w:val="00E20FC9"/>
    <w:rsid w:val="00E21193"/>
    <w:rsid w:val="00E213CF"/>
    <w:rsid w:val="00E2150D"/>
    <w:rsid w:val="00E2183E"/>
    <w:rsid w:val="00E218EB"/>
    <w:rsid w:val="00E21AD5"/>
    <w:rsid w:val="00E21B4B"/>
    <w:rsid w:val="00E221C2"/>
    <w:rsid w:val="00E22263"/>
    <w:rsid w:val="00E223FB"/>
    <w:rsid w:val="00E225CB"/>
    <w:rsid w:val="00E2266A"/>
    <w:rsid w:val="00E227EF"/>
    <w:rsid w:val="00E22873"/>
    <w:rsid w:val="00E22898"/>
    <w:rsid w:val="00E22C43"/>
    <w:rsid w:val="00E23631"/>
    <w:rsid w:val="00E23715"/>
    <w:rsid w:val="00E237A9"/>
    <w:rsid w:val="00E23C00"/>
    <w:rsid w:val="00E23F97"/>
    <w:rsid w:val="00E2422E"/>
    <w:rsid w:val="00E24AD7"/>
    <w:rsid w:val="00E25A7E"/>
    <w:rsid w:val="00E25F27"/>
    <w:rsid w:val="00E26087"/>
    <w:rsid w:val="00E260DC"/>
    <w:rsid w:val="00E26401"/>
    <w:rsid w:val="00E26794"/>
    <w:rsid w:val="00E26AD9"/>
    <w:rsid w:val="00E271C8"/>
    <w:rsid w:val="00E27504"/>
    <w:rsid w:val="00E27A65"/>
    <w:rsid w:val="00E27B04"/>
    <w:rsid w:val="00E27DC8"/>
    <w:rsid w:val="00E27E47"/>
    <w:rsid w:val="00E27FE2"/>
    <w:rsid w:val="00E303ED"/>
    <w:rsid w:val="00E30A16"/>
    <w:rsid w:val="00E30A5D"/>
    <w:rsid w:val="00E30B9B"/>
    <w:rsid w:val="00E30BC2"/>
    <w:rsid w:val="00E30C1A"/>
    <w:rsid w:val="00E30E62"/>
    <w:rsid w:val="00E30EAE"/>
    <w:rsid w:val="00E30F22"/>
    <w:rsid w:val="00E3182D"/>
    <w:rsid w:val="00E31A93"/>
    <w:rsid w:val="00E31B25"/>
    <w:rsid w:val="00E32185"/>
    <w:rsid w:val="00E32477"/>
    <w:rsid w:val="00E325E6"/>
    <w:rsid w:val="00E32885"/>
    <w:rsid w:val="00E33074"/>
    <w:rsid w:val="00E336E2"/>
    <w:rsid w:val="00E338E3"/>
    <w:rsid w:val="00E34076"/>
    <w:rsid w:val="00E340E1"/>
    <w:rsid w:val="00E34418"/>
    <w:rsid w:val="00E34A79"/>
    <w:rsid w:val="00E34C85"/>
    <w:rsid w:val="00E34D86"/>
    <w:rsid w:val="00E34D8A"/>
    <w:rsid w:val="00E35492"/>
    <w:rsid w:val="00E354D2"/>
    <w:rsid w:val="00E366B7"/>
    <w:rsid w:val="00E36B10"/>
    <w:rsid w:val="00E36CA1"/>
    <w:rsid w:val="00E36CB4"/>
    <w:rsid w:val="00E37507"/>
    <w:rsid w:val="00E375F1"/>
    <w:rsid w:val="00E379A7"/>
    <w:rsid w:val="00E402BA"/>
    <w:rsid w:val="00E407D6"/>
    <w:rsid w:val="00E4081A"/>
    <w:rsid w:val="00E40BAD"/>
    <w:rsid w:val="00E40C33"/>
    <w:rsid w:val="00E416FF"/>
    <w:rsid w:val="00E41D13"/>
    <w:rsid w:val="00E41EDF"/>
    <w:rsid w:val="00E4212D"/>
    <w:rsid w:val="00E421F0"/>
    <w:rsid w:val="00E42250"/>
    <w:rsid w:val="00E42476"/>
    <w:rsid w:val="00E42588"/>
    <w:rsid w:val="00E42CAA"/>
    <w:rsid w:val="00E42F8F"/>
    <w:rsid w:val="00E438F2"/>
    <w:rsid w:val="00E43A68"/>
    <w:rsid w:val="00E44086"/>
    <w:rsid w:val="00E4437C"/>
    <w:rsid w:val="00E445D5"/>
    <w:rsid w:val="00E4498D"/>
    <w:rsid w:val="00E44A24"/>
    <w:rsid w:val="00E44B24"/>
    <w:rsid w:val="00E44B72"/>
    <w:rsid w:val="00E44C0B"/>
    <w:rsid w:val="00E44E7F"/>
    <w:rsid w:val="00E45073"/>
    <w:rsid w:val="00E450C8"/>
    <w:rsid w:val="00E4520E"/>
    <w:rsid w:val="00E45748"/>
    <w:rsid w:val="00E459A2"/>
    <w:rsid w:val="00E45DC9"/>
    <w:rsid w:val="00E45DF4"/>
    <w:rsid w:val="00E45E30"/>
    <w:rsid w:val="00E46430"/>
    <w:rsid w:val="00E468B9"/>
    <w:rsid w:val="00E46DAF"/>
    <w:rsid w:val="00E4718E"/>
    <w:rsid w:val="00E472A5"/>
    <w:rsid w:val="00E47375"/>
    <w:rsid w:val="00E47406"/>
    <w:rsid w:val="00E47424"/>
    <w:rsid w:val="00E478FD"/>
    <w:rsid w:val="00E47BE5"/>
    <w:rsid w:val="00E47E7A"/>
    <w:rsid w:val="00E50332"/>
    <w:rsid w:val="00E5054E"/>
    <w:rsid w:val="00E50947"/>
    <w:rsid w:val="00E50B84"/>
    <w:rsid w:val="00E50BDE"/>
    <w:rsid w:val="00E514C3"/>
    <w:rsid w:val="00E51704"/>
    <w:rsid w:val="00E51732"/>
    <w:rsid w:val="00E5192D"/>
    <w:rsid w:val="00E51A0A"/>
    <w:rsid w:val="00E51A1B"/>
    <w:rsid w:val="00E51AC5"/>
    <w:rsid w:val="00E51D84"/>
    <w:rsid w:val="00E51EDA"/>
    <w:rsid w:val="00E51EE3"/>
    <w:rsid w:val="00E52B97"/>
    <w:rsid w:val="00E52F1B"/>
    <w:rsid w:val="00E53351"/>
    <w:rsid w:val="00E535D8"/>
    <w:rsid w:val="00E53F7B"/>
    <w:rsid w:val="00E540B4"/>
    <w:rsid w:val="00E54168"/>
    <w:rsid w:val="00E548CB"/>
    <w:rsid w:val="00E54B09"/>
    <w:rsid w:val="00E54B66"/>
    <w:rsid w:val="00E54D04"/>
    <w:rsid w:val="00E54D72"/>
    <w:rsid w:val="00E55121"/>
    <w:rsid w:val="00E55670"/>
    <w:rsid w:val="00E55809"/>
    <w:rsid w:val="00E55B8A"/>
    <w:rsid w:val="00E55DD8"/>
    <w:rsid w:val="00E55F50"/>
    <w:rsid w:val="00E562CA"/>
    <w:rsid w:val="00E5633A"/>
    <w:rsid w:val="00E563A9"/>
    <w:rsid w:val="00E565D8"/>
    <w:rsid w:val="00E573FC"/>
    <w:rsid w:val="00E5777B"/>
    <w:rsid w:val="00E578AF"/>
    <w:rsid w:val="00E57A29"/>
    <w:rsid w:val="00E57CBA"/>
    <w:rsid w:val="00E605A0"/>
    <w:rsid w:val="00E60766"/>
    <w:rsid w:val="00E60CF6"/>
    <w:rsid w:val="00E60E77"/>
    <w:rsid w:val="00E61024"/>
    <w:rsid w:val="00E6106E"/>
    <w:rsid w:val="00E614C4"/>
    <w:rsid w:val="00E61534"/>
    <w:rsid w:val="00E61677"/>
    <w:rsid w:val="00E62356"/>
    <w:rsid w:val="00E627A2"/>
    <w:rsid w:val="00E629A4"/>
    <w:rsid w:val="00E62BDF"/>
    <w:rsid w:val="00E63217"/>
    <w:rsid w:val="00E63521"/>
    <w:rsid w:val="00E63767"/>
    <w:rsid w:val="00E63A0A"/>
    <w:rsid w:val="00E63F1E"/>
    <w:rsid w:val="00E6426B"/>
    <w:rsid w:val="00E64362"/>
    <w:rsid w:val="00E64834"/>
    <w:rsid w:val="00E64A46"/>
    <w:rsid w:val="00E64DA8"/>
    <w:rsid w:val="00E64F9A"/>
    <w:rsid w:val="00E64FAB"/>
    <w:rsid w:val="00E65085"/>
    <w:rsid w:val="00E65446"/>
    <w:rsid w:val="00E65970"/>
    <w:rsid w:val="00E663B5"/>
    <w:rsid w:val="00E66522"/>
    <w:rsid w:val="00E6653A"/>
    <w:rsid w:val="00E66951"/>
    <w:rsid w:val="00E669A0"/>
    <w:rsid w:val="00E66D79"/>
    <w:rsid w:val="00E66DDA"/>
    <w:rsid w:val="00E66E09"/>
    <w:rsid w:val="00E67342"/>
    <w:rsid w:val="00E67407"/>
    <w:rsid w:val="00E6755B"/>
    <w:rsid w:val="00E67643"/>
    <w:rsid w:val="00E67789"/>
    <w:rsid w:val="00E67B7B"/>
    <w:rsid w:val="00E67C60"/>
    <w:rsid w:val="00E709BC"/>
    <w:rsid w:val="00E70A7E"/>
    <w:rsid w:val="00E70F6D"/>
    <w:rsid w:val="00E710E5"/>
    <w:rsid w:val="00E711AF"/>
    <w:rsid w:val="00E71453"/>
    <w:rsid w:val="00E714C5"/>
    <w:rsid w:val="00E7165D"/>
    <w:rsid w:val="00E719D4"/>
    <w:rsid w:val="00E72005"/>
    <w:rsid w:val="00E72943"/>
    <w:rsid w:val="00E730CA"/>
    <w:rsid w:val="00E73945"/>
    <w:rsid w:val="00E7399B"/>
    <w:rsid w:val="00E739EC"/>
    <w:rsid w:val="00E73EFF"/>
    <w:rsid w:val="00E73FB0"/>
    <w:rsid w:val="00E74139"/>
    <w:rsid w:val="00E744DE"/>
    <w:rsid w:val="00E74964"/>
    <w:rsid w:val="00E7501F"/>
    <w:rsid w:val="00E7507E"/>
    <w:rsid w:val="00E755A6"/>
    <w:rsid w:val="00E755BE"/>
    <w:rsid w:val="00E75749"/>
    <w:rsid w:val="00E7576F"/>
    <w:rsid w:val="00E757AC"/>
    <w:rsid w:val="00E75928"/>
    <w:rsid w:val="00E75CC8"/>
    <w:rsid w:val="00E75EB2"/>
    <w:rsid w:val="00E75F52"/>
    <w:rsid w:val="00E76077"/>
    <w:rsid w:val="00E76181"/>
    <w:rsid w:val="00E76543"/>
    <w:rsid w:val="00E7686A"/>
    <w:rsid w:val="00E768FB"/>
    <w:rsid w:val="00E76F03"/>
    <w:rsid w:val="00E7748B"/>
    <w:rsid w:val="00E7795A"/>
    <w:rsid w:val="00E77E9D"/>
    <w:rsid w:val="00E80138"/>
    <w:rsid w:val="00E806B2"/>
    <w:rsid w:val="00E8081B"/>
    <w:rsid w:val="00E80939"/>
    <w:rsid w:val="00E80A49"/>
    <w:rsid w:val="00E80EA7"/>
    <w:rsid w:val="00E813EB"/>
    <w:rsid w:val="00E815CF"/>
    <w:rsid w:val="00E815EA"/>
    <w:rsid w:val="00E817F9"/>
    <w:rsid w:val="00E818B0"/>
    <w:rsid w:val="00E828F0"/>
    <w:rsid w:val="00E82B1A"/>
    <w:rsid w:val="00E82BEF"/>
    <w:rsid w:val="00E82D14"/>
    <w:rsid w:val="00E82F24"/>
    <w:rsid w:val="00E8303B"/>
    <w:rsid w:val="00E838E1"/>
    <w:rsid w:val="00E83949"/>
    <w:rsid w:val="00E83D12"/>
    <w:rsid w:val="00E84045"/>
    <w:rsid w:val="00E842BC"/>
    <w:rsid w:val="00E842F4"/>
    <w:rsid w:val="00E84314"/>
    <w:rsid w:val="00E84744"/>
    <w:rsid w:val="00E84C34"/>
    <w:rsid w:val="00E853DC"/>
    <w:rsid w:val="00E85C6F"/>
    <w:rsid w:val="00E85C87"/>
    <w:rsid w:val="00E85F12"/>
    <w:rsid w:val="00E86476"/>
    <w:rsid w:val="00E8664B"/>
    <w:rsid w:val="00E86736"/>
    <w:rsid w:val="00E867AB"/>
    <w:rsid w:val="00E86B88"/>
    <w:rsid w:val="00E871E3"/>
    <w:rsid w:val="00E872AF"/>
    <w:rsid w:val="00E87A34"/>
    <w:rsid w:val="00E87B6A"/>
    <w:rsid w:val="00E87C2D"/>
    <w:rsid w:val="00E87DC8"/>
    <w:rsid w:val="00E9055B"/>
    <w:rsid w:val="00E90730"/>
    <w:rsid w:val="00E90788"/>
    <w:rsid w:val="00E90B58"/>
    <w:rsid w:val="00E915D3"/>
    <w:rsid w:val="00E91630"/>
    <w:rsid w:val="00E916B2"/>
    <w:rsid w:val="00E916C3"/>
    <w:rsid w:val="00E91E09"/>
    <w:rsid w:val="00E91E98"/>
    <w:rsid w:val="00E91F34"/>
    <w:rsid w:val="00E9238B"/>
    <w:rsid w:val="00E92706"/>
    <w:rsid w:val="00E92CE0"/>
    <w:rsid w:val="00E92DF4"/>
    <w:rsid w:val="00E93055"/>
    <w:rsid w:val="00E933A8"/>
    <w:rsid w:val="00E93584"/>
    <w:rsid w:val="00E935A7"/>
    <w:rsid w:val="00E938DE"/>
    <w:rsid w:val="00E939AF"/>
    <w:rsid w:val="00E93E45"/>
    <w:rsid w:val="00E9409C"/>
    <w:rsid w:val="00E940AC"/>
    <w:rsid w:val="00E9454D"/>
    <w:rsid w:val="00E94724"/>
    <w:rsid w:val="00E94871"/>
    <w:rsid w:val="00E948FE"/>
    <w:rsid w:val="00E94A79"/>
    <w:rsid w:val="00E94B44"/>
    <w:rsid w:val="00E94C7C"/>
    <w:rsid w:val="00E9500F"/>
    <w:rsid w:val="00E95869"/>
    <w:rsid w:val="00E958E1"/>
    <w:rsid w:val="00E9661D"/>
    <w:rsid w:val="00E96B7E"/>
    <w:rsid w:val="00E9719B"/>
    <w:rsid w:val="00E971E5"/>
    <w:rsid w:val="00E9761E"/>
    <w:rsid w:val="00E97903"/>
    <w:rsid w:val="00E97952"/>
    <w:rsid w:val="00E97B32"/>
    <w:rsid w:val="00E97B8D"/>
    <w:rsid w:val="00E97CDA"/>
    <w:rsid w:val="00EA0382"/>
    <w:rsid w:val="00EA088F"/>
    <w:rsid w:val="00EA0BCE"/>
    <w:rsid w:val="00EA0E2E"/>
    <w:rsid w:val="00EA1428"/>
    <w:rsid w:val="00EA22D6"/>
    <w:rsid w:val="00EA2343"/>
    <w:rsid w:val="00EA235C"/>
    <w:rsid w:val="00EA24BE"/>
    <w:rsid w:val="00EA2897"/>
    <w:rsid w:val="00EA28DC"/>
    <w:rsid w:val="00EA2D57"/>
    <w:rsid w:val="00EA393C"/>
    <w:rsid w:val="00EA3B28"/>
    <w:rsid w:val="00EA4651"/>
    <w:rsid w:val="00EA469D"/>
    <w:rsid w:val="00EA4E09"/>
    <w:rsid w:val="00EA4E37"/>
    <w:rsid w:val="00EA4EA5"/>
    <w:rsid w:val="00EA54F8"/>
    <w:rsid w:val="00EA5F19"/>
    <w:rsid w:val="00EA5FDA"/>
    <w:rsid w:val="00EA5FE7"/>
    <w:rsid w:val="00EA5FEF"/>
    <w:rsid w:val="00EA6756"/>
    <w:rsid w:val="00EA6C64"/>
    <w:rsid w:val="00EA7024"/>
    <w:rsid w:val="00EA705A"/>
    <w:rsid w:val="00EA74A5"/>
    <w:rsid w:val="00EA77DD"/>
    <w:rsid w:val="00EA7B79"/>
    <w:rsid w:val="00EB0003"/>
    <w:rsid w:val="00EB0C44"/>
    <w:rsid w:val="00EB0D81"/>
    <w:rsid w:val="00EB10E0"/>
    <w:rsid w:val="00EB12EE"/>
    <w:rsid w:val="00EB1436"/>
    <w:rsid w:val="00EB1566"/>
    <w:rsid w:val="00EB16DB"/>
    <w:rsid w:val="00EB1B70"/>
    <w:rsid w:val="00EB23AC"/>
    <w:rsid w:val="00EB2761"/>
    <w:rsid w:val="00EB2A2E"/>
    <w:rsid w:val="00EB2BB6"/>
    <w:rsid w:val="00EB2C45"/>
    <w:rsid w:val="00EB2D0D"/>
    <w:rsid w:val="00EB2EEA"/>
    <w:rsid w:val="00EB304F"/>
    <w:rsid w:val="00EB335C"/>
    <w:rsid w:val="00EB34EA"/>
    <w:rsid w:val="00EB362A"/>
    <w:rsid w:val="00EB4291"/>
    <w:rsid w:val="00EB4556"/>
    <w:rsid w:val="00EB48BC"/>
    <w:rsid w:val="00EB4A68"/>
    <w:rsid w:val="00EB4AEE"/>
    <w:rsid w:val="00EB4C74"/>
    <w:rsid w:val="00EB5619"/>
    <w:rsid w:val="00EB5834"/>
    <w:rsid w:val="00EB67BB"/>
    <w:rsid w:val="00EB6BE1"/>
    <w:rsid w:val="00EB6C57"/>
    <w:rsid w:val="00EB6D87"/>
    <w:rsid w:val="00EB7496"/>
    <w:rsid w:val="00EB7BF5"/>
    <w:rsid w:val="00EB7F4A"/>
    <w:rsid w:val="00EC0972"/>
    <w:rsid w:val="00EC0DB3"/>
    <w:rsid w:val="00EC1137"/>
    <w:rsid w:val="00EC1343"/>
    <w:rsid w:val="00EC142D"/>
    <w:rsid w:val="00EC155D"/>
    <w:rsid w:val="00EC1576"/>
    <w:rsid w:val="00EC19D4"/>
    <w:rsid w:val="00EC1CFD"/>
    <w:rsid w:val="00EC1E06"/>
    <w:rsid w:val="00EC1EE4"/>
    <w:rsid w:val="00EC2208"/>
    <w:rsid w:val="00EC22DC"/>
    <w:rsid w:val="00EC2807"/>
    <w:rsid w:val="00EC2C8A"/>
    <w:rsid w:val="00EC2C8D"/>
    <w:rsid w:val="00EC2E34"/>
    <w:rsid w:val="00EC3043"/>
    <w:rsid w:val="00EC30F1"/>
    <w:rsid w:val="00EC3380"/>
    <w:rsid w:val="00EC3389"/>
    <w:rsid w:val="00EC4757"/>
    <w:rsid w:val="00EC4AAD"/>
    <w:rsid w:val="00EC4E08"/>
    <w:rsid w:val="00EC4E57"/>
    <w:rsid w:val="00EC52E1"/>
    <w:rsid w:val="00EC5570"/>
    <w:rsid w:val="00EC5919"/>
    <w:rsid w:val="00EC60F5"/>
    <w:rsid w:val="00EC61BC"/>
    <w:rsid w:val="00EC66F1"/>
    <w:rsid w:val="00EC735A"/>
    <w:rsid w:val="00EC73DD"/>
    <w:rsid w:val="00EC772C"/>
    <w:rsid w:val="00EC79BE"/>
    <w:rsid w:val="00EC7CC5"/>
    <w:rsid w:val="00EC7E15"/>
    <w:rsid w:val="00ED07FC"/>
    <w:rsid w:val="00ED145D"/>
    <w:rsid w:val="00ED15C6"/>
    <w:rsid w:val="00ED17C8"/>
    <w:rsid w:val="00ED1A71"/>
    <w:rsid w:val="00ED1B5A"/>
    <w:rsid w:val="00ED1BC9"/>
    <w:rsid w:val="00ED1D76"/>
    <w:rsid w:val="00ED1E1A"/>
    <w:rsid w:val="00ED1E22"/>
    <w:rsid w:val="00ED203C"/>
    <w:rsid w:val="00ED22E9"/>
    <w:rsid w:val="00ED2CFB"/>
    <w:rsid w:val="00ED2F5B"/>
    <w:rsid w:val="00ED33A5"/>
    <w:rsid w:val="00ED3857"/>
    <w:rsid w:val="00ED3D22"/>
    <w:rsid w:val="00ED407D"/>
    <w:rsid w:val="00ED41BB"/>
    <w:rsid w:val="00ED48F3"/>
    <w:rsid w:val="00ED4A10"/>
    <w:rsid w:val="00ED4DB6"/>
    <w:rsid w:val="00ED4ED3"/>
    <w:rsid w:val="00ED4F2A"/>
    <w:rsid w:val="00ED4F54"/>
    <w:rsid w:val="00ED51E4"/>
    <w:rsid w:val="00ED5295"/>
    <w:rsid w:val="00ED587C"/>
    <w:rsid w:val="00ED5B16"/>
    <w:rsid w:val="00ED5F26"/>
    <w:rsid w:val="00ED613D"/>
    <w:rsid w:val="00ED65F6"/>
    <w:rsid w:val="00ED691E"/>
    <w:rsid w:val="00ED6C77"/>
    <w:rsid w:val="00ED71BB"/>
    <w:rsid w:val="00ED7224"/>
    <w:rsid w:val="00ED7C72"/>
    <w:rsid w:val="00ED7C85"/>
    <w:rsid w:val="00ED7EC2"/>
    <w:rsid w:val="00EE046D"/>
    <w:rsid w:val="00EE0B3B"/>
    <w:rsid w:val="00EE0C57"/>
    <w:rsid w:val="00EE0EE0"/>
    <w:rsid w:val="00EE10BB"/>
    <w:rsid w:val="00EE1116"/>
    <w:rsid w:val="00EE142A"/>
    <w:rsid w:val="00EE15E8"/>
    <w:rsid w:val="00EE25B1"/>
    <w:rsid w:val="00EE299E"/>
    <w:rsid w:val="00EE29CE"/>
    <w:rsid w:val="00EE2B35"/>
    <w:rsid w:val="00EE2C98"/>
    <w:rsid w:val="00EE305E"/>
    <w:rsid w:val="00EE3438"/>
    <w:rsid w:val="00EE384D"/>
    <w:rsid w:val="00EE3880"/>
    <w:rsid w:val="00EE412A"/>
    <w:rsid w:val="00EE4234"/>
    <w:rsid w:val="00EE4A59"/>
    <w:rsid w:val="00EE4F1C"/>
    <w:rsid w:val="00EE5A63"/>
    <w:rsid w:val="00EE5C5A"/>
    <w:rsid w:val="00EE5CB2"/>
    <w:rsid w:val="00EE5DB8"/>
    <w:rsid w:val="00EE6125"/>
    <w:rsid w:val="00EE66EF"/>
    <w:rsid w:val="00EE698B"/>
    <w:rsid w:val="00EE6DBC"/>
    <w:rsid w:val="00EE70A3"/>
    <w:rsid w:val="00EE70A6"/>
    <w:rsid w:val="00EE7375"/>
    <w:rsid w:val="00EE75E0"/>
    <w:rsid w:val="00EE79A1"/>
    <w:rsid w:val="00EE7D5C"/>
    <w:rsid w:val="00EF00DF"/>
    <w:rsid w:val="00EF00F1"/>
    <w:rsid w:val="00EF0271"/>
    <w:rsid w:val="00EF0338"/>
    <w:rsid w:val="00EF0648"/>
    <w:rsid w:val="00EF0A7F"/>
    <w:rsid w:val="00EF0C47"/>
    <w:rsid w:val="00EF0FCD"/>
    <w:rsid w:val="00EF1350"/>
    <w:rsid w:val="00EF13E7"/>
    <w:rsid w:val="00EF14C0"/>
    <w:rsid w:val="00EF156C"/>
    <w:rsid w:val="00EF1701"/>
    <w:rsid w:val="00EF188D"/>
    <w:rsid w:val="00EF1B9D"/>
    <w:rsid w:val="00EF1CB2"/>
    <w:rsid w:val="00EF2C46"/>
    <w:rsid w:val="00EF3290"/>
    <w:rsid w:val="00EF3485"/>
    <w:rsid w:val="00EF3503"/>
    <w:rsid w:val="00EF39F9"/>
    <w:rsid w:val="00EF3CC3"/>
    <w:rsid w:val="00EF3DFF"/>
    <w:rsid w:val="00EF3EBF"/>
    <w:rsid w:val="00EF3F26"/>
    <w:rsid w:val="00EF40FF"/>
    <w:rsid w:val="00EF4159"/>
    <w:rsid w:val="00EF420C"/>
    <w:rsid w:val="00EF4535"/>
    <w:rsid w:val="00EF4B97"/>
    <w:rsid w:val="00EF4BE1"/>
    <w:rsid w:val="00EF4FA1"/>
    <w:rsid w:val="00EF52EA"/>
    <w:rsid w:val="00EF6514"/>
    <w:rsid w:val="00EF65C6"/>
    <w:rsid w:val="00EF692D"/>
    <w:rsid w:val="00EF72BF"/>
    <w:rsid w:val="00EF7BC5"/>
    <w:rsid w:val="00EF7D77"/>
    <w:rsid w:val="00EF7F0E"/>
    <w:rsid w:val="00F001DE"/>
    <w:rsid w:val="00F0029F"/>
    <w:rsid w:val="00F00509"/>
    <w:rsid w:val="00F006DD"/>
    <w:rsid w:val="00F00CCC"/>
    <w:rsid w:val="00F00D6F"/>
    <w:rsid w:val="00F01290"/>
    <w:rsid w:val="00F02430"/>
    <w:rsid w:val="00F02502"/>
    <w:rsid w:val="00F0250C"/>
    <w:rsid w:val="00F02662"/>
    <w:rsid w:val="00F0275C"/>
    <w:rsid w:val="00F027AA"/>
    <w:rsid w:val="00F02850"/>
    <w:rsid w:val="00F02A75"/>
    <w:rsid w:val="00F02B07"/>
    <w:rsid w:val="00F02B46"/>
    <w:rsid w:val="00F02F6B"/>
    <w:rsid w:val="00F0340E"/>
    <w:rsid w:val="00F038FB"/>
    <w:rsid w:val="00F040B2"/>
    <w:rsid w:val="00F04821"/>
    <w:rsid w:val="00F0484C"/>
    <w:rsid w:val="00F0512A"/>
    <w:rsid w:val="00F05613"/>
    <w:rsid w:val="00F056D3"/>
    <w:rsid w:val="00F05868"/>
    <w:rsid w:val="00F059FA"/>
    <w:rsid w:val="00F06231"/>
    <w:rsid w:val="00F06619"/>
    <w:rsid w:val="00F06650"/>
    <w:rsid w:val="00F06A80"/>
    <w:rsid w:val="00F06A95"/>
    <w:rsid w:val="00F06C8D"/>
    <w:rsid w:val="00F06E10"/>
    <w:rsid w:val="00F06F70"/>
    <w:rsid w:val="00F06FC2"/>
    <w:rsid w:val="00F07221"/>
    <w:rsid w:val="00F0774C"/>
    <w:rsid w:val="00F0785B"/>
    <w:rsid w:val="00F07DBB"/>
    <w:rsid w:val="00F1003F"/>
    <w:rsid w:val="00F100FA"/>
    <w:rsid w:val="00F10246"/>
    <w:rsid w:val="00F10383"/>
    <w:rsid w:val="00F10DDE"/>
    <w:rsid w:val="00F10F99"/>
    <w:rsid w:val="00F1118D"/>
    <w:rsid w:val="00F1144C"/>
    <w:rsid w:val="00F11601"/>
    <w:rsid w:val="00F11A93"/>
    <w:rsid w:val="00F11E7F"/>
    <w:rsid w:val="00F11F5B"/>
    <w:rsid w:val="00F11FB2"/>
    <w:rsid w:val="00F1200D"/>
    <w:rsid w:val="00F12179"/>
    <w:rsid w:val="00F12224"/>
    <w:rsid w:val="00F12697"/>
    <w:rsid w:val="00F127C8"/>
    <w:rsid w:val="00F12F16"/>
    <w:rsid w:val="00F1309A"/>
    <w:rsid w:val="00F13205"/>
    <w:rsid w:val="00F13463"/>
    <w:rsid w:val="00F137CE"/>
    <w:rsid w:val="00F13991"/>
    <w:rsid w:val="00F145C8"/>
    <w:rsid w:val="00F147A2"/>
    <w:rsid w:val="00F147C0"/>
    <w:rsid w:val="00F14B7C"/>
    <w:rsid w:val="00F14BFA"/>
    <w:rsid w:val="00F15146"/>
    <w:rsid w:val="00F155ED"/>
    <w:rsid w:val="00F1561D"/>
    <w:rsid w:val="00F15C17"/>
    <w:rsid w:val="00F15EAE"/>
    <w:rsid w:val="00F15F8D"/>
    <w:rsid w:val="00F17118"/>
    <w:rsid w:val="00F17382"/>
    <w:rsid w:val="00F173FD"/>
    <w:rsid w:val="00F176FB"/>
    <w:rsid w:val="00F177C4"/>
    <w:rsid w:val="00F17E7B"/>
    <w:rsid w:val="00F200E9"/>
    <w:rsid w:val="00F20137"/>
    <w:rsid w:val="00F20630"/>
    <w:rsid w:val="00F20D57"/>
    <w:rsid w:val="00F20D93"/>
    <w:rsid w:val="00F210EC"/>
    <w:rsid w:val="00F21144"/>
    <w:rsid w:val="00F212DC"/>
    <w:rsid w:val="00F216D5"/>
    <w:rsid w:val="00F21A36"/>
    <w:rsid w:val="00F21AFD"/>
    <w:rsid w:val="00F21C60"/>
    <w:rsid w:val="00F22131"/>
    <w:rsid w:val="00F22350"/>
    <w:rsid w:val="00F22855"/>
    <w:rsid w:val="00F22A54"/>
    <w:rsid w:val="00F22AF4"/>
    <w:rsid w:val="00F22D1C"/>
    <w:rsid w:val="00F22FDC"/>
    <w:rsid w:val="00F23C37"/>
    <w:rsid w:val="00F23CB6"/>
    <w:rsid w:val="00F23F0F"/>
    <w:rsid w:val="00F24002"/>
    <w:rsid w:val="00F24134"/>
    <w:rsid w:val="00F2454A"/>
    <w:rsid w:val="00F24855"/>
    <w:rsid w:val="00F248A4"/>
    <w:rsid w:val="00F24D4F"/>
    <w:rsid w:val="00F252F7"/>
    <w:rsid w:val="00F2537F"/>
    <w:rsid w:val="00F254A2"/>
    <w:rsid w:val="00F25530"/>
    <w:rsid w:val="00F25589"/>
    <w:rsid w:val="00F255D5"/>
    <w:rsid w:val="00F25643"/>
    <w:rsid w:val="00F25708"/>
    <w:rsid w:val="00F2573C"/>
    <w:rsid w:val="00F25752"/>
    <w:rsid w:val="00F25885"/>
    <w:rsid w:val="00F259A9"/>
    <w:rsid w:val="00F25C99"/>
    <w:rsid w:val="00F26129"/>
    <w:rsid w:val="00F26151"/>
    <w:rsid w:val="00F26572"/>
    <w:rsid w:val="00F268DB"/>
    <w:rsid w:val="00F268EB"/>
    <w:rsid w:val="00F26A93"/>
    <w:rsid w:val="00F26FA3"/>
    <w:rsid w:val="00F273DE"/>
    <w:rsid w:val="00F276B0"/>
    <w:rsid w:val="00F279EF"/>
    <w:rsid w:val="00F27A59"/>
    <w:rsid w:val="00F30A43"/>
    <w:rsid w:val="00F30CED"/>
    <w:rsid w:val="00F30DF7"/>
    <w:rsid w:val="00F31136"/>
    <w:rsid w:val="00F3127F"/>
    <w:rsid w:val="00F316FB"/>
    <w:rsid w:val="00F317F1"/>
    <w:rsid w:val="00F32155"/>
    <w:rsid w:val="00F32699"/>
    <w:rsid w:val="00F3289C"/>
    <w:rsid w:val="00F32C14"/>
    <w:rsid w:val="00F333B1"/>
    <w:rsid w:val="00F33941"/>
    <w:rsid w:val="00F33E7D"/>
    <w:rsid w:val="00F3402E"/>
    <w:rsid w:val="00F34776"/>
    <w:rsid w:val="00F348E9"/>
    <w:rsid w:val="00F34AF3"/>
    <w:rsid w:val="00F34D82"/>
    <w:rsid w:val="00F34DB3"/>
    <w:rsid w:val="00F3514F"/>
    <w:rsid w:val="00F3517F"/>
    <w:rsid w:val="00F35202"/>
    <w:rsid w:val="00F3575C"/>
    <w:rsid w:val="00F358ED"/>
    <w:rsid w:val="00F35B45"/>
    <w:rsid w:val="00F35D36"/>
    <w:rsid w:val="00F360B2"/>
    <w:rsid w:val="00F360F0"/>
    <w:rsid w:val="00F3618D"/>
    <w:rsid w:val="00F365EF"/>
    <w:rsid w:val="00F36D82"/>
    <w:rsid w:val="00F36ECC"/>
    <w:rsid w:val="00F37362"/>
    <w:rsid w:val="00F373AE"/>
    <w:rsid w:val="00F37A57"/>
    <w:rsid w:val="00F40165"/>
    <w:rsid w:val="00F40526"/>
    <w:rsid w:val="00F40639"/>
    <w:rsid w:val="00F4071C"/>
    <w:rsid w:val="00F409AC"/>
    <w:rsid w:val="00F40B96"/>
    <w:rsid w:val="00F40DA8"/>
    <w:rsid w:val="00F40EF5"/>
    <w:rsid w:val="00F414DF"/>
    <w:rsid w:val="00F418F3"/>
    <w:rsid w:val="00F4203E"/>
    <w:rsid w:val="00F4212E"/>
    <w:rsid w:val="00F4214A"/>
    <w:rsid w:val="00F424A8"/>
    <w:rsid w:val="00F4255E"/>
    <w:rsid w:val="00F42904"/>
    <w:rsid w:val="00F42ACA"/>
    <w:rsid w:val="00F42FB7"/>
    <w:rsid w:val="00F4331F"/>
    <w:rsid w:val="00F43508"/>
    <w:rsid w:val="00F43A5E"/>
    <w:rsid w:val="00F44112"/>
    <w:rsid w:val="00F4412A"/>
    <w:rsid w:val="00F444AF"/>
    <w:rsid w:val="00F44877"/>
    <w:rsid w:val="00F449F8"/>
    <w:rsid w:val="00F44C0F"/>
    <w:rsid w:val="00F44D87"/>
    <w:rsid w:val="00F4558B"/>
    <w:rsid w:val="00F45821"/>
    <w:rsid w:val="00F45BCF"/>
    <w:rsid w:val="00F45F84"/>
    <w:rsid w:val="00F45F96"/>
    <w:rsid w:val="00F46215"/>
    <w:rsid w:val="00F463E7"/>
    <w:rsid w:val="00F46859"/>
    <w:rsid w:val="00F46FBF"/>
    <w:rsid w:val="00F47959"/>
    <w:rsid w:val="00F50C6B"/>
    <w:rsid w:val="00F515A7"/>
    <w:rsid w:val="00F5175C"/>
    <w:rsid w:val="00F51912"/>
    <w:rsid w:val="00F51F28"/>
    <w:rsid w:val="00F51F9A"/>
    <w:rsid w:val="00F521BC"/>
    <w:rsid w:val="00F523B1"/>
    <w:rsid w:val="00F526C2"/>
    <w:rsid w:val="00F528D1"/>
    <w:rsid w:val="00F528DF"/>
    <w:rsid w:val="00F52E7A"/>
    <w:rsid w:val="00F5380B"/>
    <w:rsid w:val="00F540CA"/>
    <w:rsid w:val="00F54359"/>
    <w:rsid w:val="00F54A9F"/>
    <w:rsid w:val="00F54EDA"/>
    <w:rsid w:val="00F551C2"/>
    <w:rsid w:val="00F554A0"/>
    <w:rsid w:val="00F554EF"/>
    <w:rsid w:val="00F55DE8"/>
    <w:rsid w:val="00F55E05"/>
    <w:rsid w:val="00F55EE0"/>
    <w:rsid w:val="00F56543"/>
    <w:rsid w:val="00F566A1"/>
    <w:rsid w:val="00F56861"/>
    <w:rsid w:val="00F5746F"/>
    <w:rsid w:val="00F57716"/>
    <w:rsid w:val="00F57A40"/>
    <w:rsid w:val="00F57CD3"/>
    <w:rsid w:val="00F60201"/>
    <w:rsid w:val="00F604C7"/>
    <w:rsid w:val="00F606D5"/>
    <w:rsid w:val="00F60F00"/>
    <w:rsid w:val="00F60F69"/>
    <w:rsid w:val="00F6135D"/>
    <w:rsid w:val="00F61445"/>
    <w:rsid w:val="00F6150C"/>
    <w:rsid w:val="00F61513"/>
    <w:rsid w:val="00F61628"/>
    <w:rsid w:val="00F616E2"/>
    <w:rsid w:val="00F6188A"/>
    <w:rsid w:val="00F61A79"/>
    <w:rsid w:val="00F61B6C"/>
    <w:rsid w:val="00F61B91"/>
    <w:rsid w:val="00F61C50"/>
    <w:rsid w:val="00F61E3D"/>
    <w:rsid w:val="00F61FE7"/>
    <w:rsid w:val="00F6252C"/>
    <w:rsid w:val="00F62AD6"/>
    <w:rsid w:val="00F62F46"/>
    <w:rsid w:val="00F6301B"/>
    <w:rsid w:val="00F630C7"/>
    <w:rsid w:val="00F63123"/>
    <w:rsid w:val="00F63237"/>
    <w:rsid w:val="00F633E1"/>
    <w:rsid w:val="00F637EE"/>
    <w:rsid w:val="00F64584"/>
    <w:rsid w:val="00F64AB6"/>
    <w:rsid w:val="00F64E6B"/>
    <w:rsid w:val="00F6566F"/>
    <w:rsid w:val="00F656C5"/>
    <w:rsid w:val="00F6626A"/>
    <w:rsid w:val="00F6663A"/>
    <w:rsid w:val="00F6667A"/>
    <w:rsid w:val="00F668D8"/>
    <w:rsid w:val="00F66DBE"/>
    <w:rsid w:val="00F671ED"/>
    <w:rsid w:val="00F67C51"/>
    <w:rsid w:val="00F67E04"/>
    <w:rsid w:val="00F70029"/>
    <w:rsid w:val="00F7017A"/>
    <w:rsid w:val="00F70AE1"/>
    <w:rsid w:val="00F70BE2"/>
    <w:rsid w:val="00F70F06"/>
    <w:rsid w:val="00F710CA"/>
    <w:rsid w:val="00F71343"/>
    <w:rsid w:val="00F713FD"/>
    <w:rsid w:val="00F71A73"/>
    <w:rsid w:val="00F71D2A"/>
    <w:rsid w:val="00F71F15"/>
    <w:rsid w:val="00F725CB"/>
    <w:rsid w:val="00F726B6"/>
    <w:rsid w:val="00F726EF"/>
    <w:rsid w:val="00F726F6"/>
    <w:rsid w:val="00F7274C"/>
    <w:rsid w:val="00F72A53"/>
    <w:rsid w:val="00F72D62"/>
    <w:rsid w:val="00F72D7E"/>
    <w:rsid w:val="00F72F82"/>
    <w:rsid w:val="00F734DF"/>
    <w:rsid w:val="00F736B6"/>
    <w:rsid w:val="00F7379D"/>
    <w:rsid w:val="00F73853"/>
    <w:rsid w:val="00F73B36"/>
    <w:rsid w:val="00F73E34"/>
    <w:rsid w:val="00F74241"/>
    <w:rsid w:val="00F750EF"/>
    <w:rsid w:val="00F75434"/>
    <w:rsid w:val="00F75A18"/>
    <w:rsid w:val="00F75ACD"/>
    <w:rsid w:val="00F75FC2"/>
    <w:rsid w:val="00F764F5"/>
    <w:rsid w:val="00F768D7"/>
    <w:rsid w:val="00F76978"/>
    <w:rsid w:val="00F77157"/>
    <w:rsid w:val="00F7756D"/>
    <w:rsid w:val="00F77619"/>
    <w:rsid w:val="00F8022A"/>
    <w:rsid w:val="00F812D4"/>
    <w:rsid w:val="00F812D7"/>
    <w:rsid w:val="00F81992"/>
    <w:rsid w:val="00F82069"/>
    <w:rsid w:val="00F8209D"/>
    <w:rsid w:val="00F8229C"/>
    <w:rsid w:val="00F8283C"/>
    <w:rsid w:val="00F82D30"/>
    <w:rsid w:val="00F82F67"/>
    <w:rsid w:val="00F831E5"/>
    <w:rsid w:val="00F838EC"/>
    <w:rsid w:val="00F83AAE"/>
    <w:rsid w:val="00F83BB9"/>
    <w:rsid w:val="00F83DC5"/>
    <w:rsid w:val="00F843CC"/>
    <w:rsid w:val="00F84593"/>
    <w:rsid w:val="00F84CFC"/>
    <w:rsid w:val="00F850A7"/>
    <w:rsid w:val="00F85643"/>
    <w:rsid w:val="00F856D3"/>
    <w:rsid w:val="00F85943"/>
    <w:rsid w:val="00F85C18"/>
    <w:rsid w:val="00F85CCA"/>
    <w:rsid w:val="00F861F0"/>
    <w:rsid w:val="00F86596"/>
    <w:rsid w:val="00F86BAC"/>
    <w:rsid w:val="00F86BB3"/>
    <w:rsid w:val="00F86D2E"/>
    <w:rsid w:val="00F86FBF"/>
    <w:rsid w:val="00F87688"/>
    <w:rsid w:val="00F87AE1"/>
    <w:rsid w:val="00F87B2B"/>
    <w:rsid w:val="00F87D3B"/>
    <w:rsid w:val="00F90988"/>
    <w:rsid w:val="00F90ED2"/>
    <w:rsid w:val="00F90F20"/>
    <w:rsid w:val="00F9132D"/>
    <w:rsid w:val="00F9146E"/>
    <w:rsid w:val="00F915AC"/>
    <w:rsid w:val="00F91932"/>
    <w:rsid w:val="00F91AD4"/>
    <w:rsid w:val="00F91B13"/>
    <w:rsid w:val="00F91F50"/>
    <w:rsid w:val="00F921CA"/>
    <w:rsid w:val="00F92593"/>
    <w:rsid w:val="00F926B0"/>
    <w:rsid w:val="00F92A9D"/>
    <w:rsid w:val="00F92AEF"/>
    <w:rsid w:val="00F92B45"/>
    <w:rsid w:val="00F92C84"/>
    <w:rsid w:val="00F92C9F"/>
    <w:rsid w:val="00F92EDB"/>
    <w:rsid w:val="00F92F77"/>
    <w:rsid w:val="00F93DAF"/>
    <w:rsid w:val="00F94362"/>
    <w:rsid w:val="00F94582"/>
    <w:rsid w:val="00F946F6"/>
    <w:rsid w:val="00F94C4F"/>
    <w:rsid w:val="00F9553A"/>
    <w:rsid w:val="00F95A64"/>
    <w:rsid w:val="00F95B95"/>
    <w:rsid w:val="00F95E4E"/>
    <w:rsid w:val="00F95FF4"/>
    <w:rsid w:val="00F96344"/>
    <w:rsid w:val="00F96536"/>
    <w:rsid w:val="00F968D1"/>
    <w:rsid w:val="00F96E5A"/>
    <w:rsid w:val="00F96FAF"/>
    <w:rsid w:val="00F972C2"/>
    <w:rsid w:val="00F974FA"/>
    <w:rsid w:val="00F9792A"/>
    <w:rsid w:val="00F9796F"/>
    <w:rsid w:val="00F97BF0"/>
    <w:rsid w:val="00F97BFA"/>
    <w:rsid w:val="00FA0659"/>
    <w:rsid w:val="00FA17FE"/>
    <w:rsid w:val="00FA1C82"/>
    <w:rsid w:val="00FA2193"/>
    <w:rsid w:val="00FA22E4"/>
    <w:rsid w:val="00FA2483"/>
    <w:rsid w:val="00FA2EC2"/>
    <w:rsid w:val="00FA2FF4"/>
    <w:rsid w:val="00FA31F5"/>
    <w:rsid w:val="00FA3732"/>
    <w:rsid w:val="00FA392D"/>
    <w:rsid w:val="00FA3B38"/>
    <w:rsid w:val="00FA3C7E"/>
    <w:rsid w:val="00FA3DB3"/>
    <w:rsid w:val="00FA4138"/>
    <w:rsid w:val="00FA4963"/>
    <w:rsid w:val="00FA4A4B"/>
    <w:rsid w:val="00FA4DC6"/>
    <w:rsid w:val="00FA5024"/>
    <w:rsid w:val="00FA57EE"/>
    <w:rsid w:val="00FA5AFD"/>
    <w:rsid w:val="00FA5D6B"/>
    <w:rsid w:val="00FA5EC7"/>
    <w:rsid w:val="00FA61D8"/>
    <w:rsid w:val="00FA63FD"/>
    <w:rsid w:val="00FA6452"/>
    <w:rsid w:val="00FA678D"/>
    <w:rsid w:val="00FA6C5B"/>
    <w:rsid w:val="00FA70B2"/>
    <w:rsid w:val="00FA712A"/>
    <w:rsid w:val="00FA73B2"/>
    <w:rsid w:val="00FA7574"/>
    <w:rsid w:val="00FA7917"/>
    <w:rsid w:val="00FA7A2D"/>
    <w:rsid w:val="00FA7A66"/>
    <w:rsid w:val="00FA7D9C"/>
    <w:rsid w:val="00FB0CEA"/>
    <w:rsid w:val="00FB0F9A"/>
    <w:rsid w:val="00FB15BE"/>
    <w:rsid w:val="00FB1933"/>
    <w:rsid w:val="00FB1A3D"/>
    <w:rsid w:val="00FB1B47"/>
    <w:rsid w:val="00FB1B5D"/>
    <w:rsid w:val="00FB1BB5"/>
    <w:rsid w:val="00FB2387"/>
    <w:rsid w:val="00FB2F70"/>
    <w:rsid w:val="00FB3371"/>
    <w:rsid w:val="00FB3657"/>
    <w:rsid w:val="00FB3BE8"/>
    <w:rsid w:val="00FB4151"/>
    <w:rsid w:val="00FB429B"/>
    <w:rsid w:val="00FB4B64"/>
    <w:rsid w:val="00FB5481"/>
    <w:rsid w:val="00FB568D"/>
    <w:rsid w:val="00FB576F"/>
    <w:rsid w:val="00FB5866"/>
    <w:rsid w:val="00FB59A0"/>
    <w:rsid w:val="00FB5A31"/>
    <w:rsid w:val="00FB5E56"/>
    <w:rsid w:val="00FB5F7E"/>
    <w:rsid w:val="00FB60A9"/>
    <w:rsid w:val="00FB61C3"/>
    <w:rsid w:val="00FB6391"/>
    <w:rsid w:val="00FB640C"/>
    <w:rsid w:val="00FB66A9"/>
    <w:rsid w:val="00FB677A"/>
    <w:rsid w:val="00FB68C2"/>
    <w:rsid w:val="00FB6A62"/>
    <w:rsid w:val="00FB7016"/>
    <w:rsid w:val="00FB711E"/>
    <w:rsid w:val="00FB736A"/>
    <w:rsid w:val="00FB753B"/>
    <w:rsid w:val="00FB7713"/>
    <w:rsid w:val="00FB7B67"/>
    <w:rsid w:val="00FB7C69"/>
    <w:rsid w:val="00FC0028"/>
    <w:rsid w:val="00FC0051"/>
    <w:rsid w:val="00FC00CA"/>
    <w:rsid w:val="00FC043C"/>
    <w:rsid w:val="00FC0EF9"/>
    <w:rsid w:val="00FC0F55"/>
    <w:rsid w:val="00FC1038"/>
    <w:rsid w:val="00FC104C"/>
    <w:rsid w:val="00FC11BF"/>
    <w:rsid w:val="00FC1225"/>
    <w:rsid w:val="00FC16E3"/>
    <w:rsid w:val="00FC216A"/>
    <w:rsid w:val="00FC226F"/>
    <w:rsid w:val="00FC246E"/>
    <w:rsid w:val="00FC24AD"/>
    <w:rsid w:val="00FC255B"/>
    <w:rsid w:val="00FC272F"/>
    <w:rsid w:val="00FC28E8"/>
    <w:rsid w:val="00FC29AD"/>
    <w:rsid w:val="00FC2DAF"/>
    <w:rsid w:val="00FC2E9F"/>
    <w:rsid w:val="00FC2EA9"/>
    <w:rsid w:val="00FC301D"/>
    <w:rsid w:val="00FC3083"/>
    <w:rsid w:val="00FC332A"/>
    <w:rsid w:val="00FC345A"/>
    <w:rsid w:val="00FC36BF"/>
    <w:rsid w:val="00FC36C4"/>
    <w:rsid w:val="00FC3747"/>
    <w:rsid w:val="00FC3DF0"/>
    <w:rsid w:val="00FC440B"/>
    <w:rsid w:val="00FC46D8"/>
    <w:rsid w:val="00FC4D21"/>
    <w:rsid w:val="00FC4F3D"/>
    <w:rsid w:val="00FC51D3"/>
    <w:rsid w:val="00FC521C"/>
    <w:rsid w:val="00FC56E1"/>
    <w:rsid w:val="00FC60CA"/>
    <w:rsid w:val="00FC621B"/>
    <w:rsid w:val="00FC64AA"/>
    <w:rsid w:val="00FC6B75"/>
    <w:rsid w:val="00FC6C4F"/>
    <w:rsid w:val="00FC7807"/>
    <w:rsid w:val="00FC7A87"/>
    <w:rsid w:val="00FC7D9E"/>
    <w:rsid w:val="00FC7DD9"/>
    <w:rsid w:val="00FC7FCB"/>
    <w:rsid w:val="00FD02E5"/>
    <w:rsid w:val="00FD033A"/>
    <w:rsid w:val="00FD04F1"/>
    <w:rsid w:val="00FD0854"/>
    <w:rsid w:val="00FD0927"/>
    <w:rsid w:val="00FD09CD"/>
    <w:rsid w:val="00FD15BF"/>
    <w:rsid w:val="00FD167E"/>
    <w:rsid w:val="00FD1AFA"/>
    <w:rsid w:val="00FD1ED8"/>
    <w:rsid w:val="00FD2735"/>
    <w:rsid w:val="00FD28A6"/>
    <w:rsid w:val="00FD295A"/>
    <w:rsid w:val="00FD3078"/>
    <w:rsid w:val="00FD30F3"/>
    <w:rsid w:val="00FD31C8"/>
    <w:rsid w:val="00FD32EC"/>
    <w:rsid w:val="00FD35EE"/>
    <w:rsid w:val="00FD3788"/>
    <w:rsid w:val="00FD38F4"/>
    <w:rsid w:val="00FD4432"/>
    <w:rsid w:val="00FD46E7"/>
    <w:rsid w:val="00FD4738"/>
    <w:rsid w:val="00FD476C"/>
    <w:rsid w:val="00FD4B7D"/>
    <w:rsid w:val="00FD4F1E"/>
    <w:rsid w:val="00FD4FA6"/>
    <w:rsid w:val="00FD528E"/>
    <w:rsid w:val="00FD5338"/>
    <w:rsid w:val="00FD58DA"/>
    <w:rsid w:val="00FD5968"/>
    <w:rsid w:val="00FD6016"/>
    <w:rsid w:val="00FD60CE"/>
    <w:rsid w:val="00FD6394"/>
    <w:rsid w:val="00FD66C2"/>
    <w:rsid w:val="00FD6816"/>
    <w:rsid w:val="00FD68E0"/>
    <w:rsid w:val="00FD6B55"/>
    <w:rsid w:val="00FD73C7"/>
    <w:rsid w:val="00FD74C6"/>
    <w:rsid w:val="00FD7737"/>
    <w:rsid w:val="00FD7CFD"/>
    <w:rsid w:val="00FE0065"/>
    <w:rsid w:val="00FE0329"/>
    <w:rsid w:val="00FE053D"/>
    <w:rsid w:val="00FE07FB"/>
    <w:rsid w:val="00FE09D3"/>
    <w:rsid w:val="00FE0A14"/>
    <w:rsid w:val="00FE0CBC"/>
    <w:rsid w:val="00FE0D28"/>
    <w:rsid w:val="00FE114C"/>
    <w:rsid w:val="00FE12F5"/>
    <w:rsid w:val="00FE1674"/>
    <w:rsid w:val="00FE1865"/>
    <w:rsid w:val="00FE1969"/>
    <w:rsid w:val="00FE1C6E"/>
    <w:rsid w:val="00FE1FB0"/>
    <w:rsid w:val="00FE1FD2"/>
    <w:rsid w:val="00FE216C"/>
    <w:rsid w:val="00FE24E6"/>
    <w:rsid w:val="00FE289F"/>
    <w:rsid w:val="00FE2ED8"/>
    <w:rsid w:val="00FE31E5"/>
    <w:rsid w:val="00FE36A9"/>
    <w:rsid w:val="00FE3927"/>
    <w:rsid w:val="00FE3933"/>
    <w:rsid w:val="00FE3CBA"/>
    <w:rsid w:val="00FE40FF"/>
    <w:rsid w:val="00FE4347"/>
    <w:rsid w:val="00FE4655"/>
    <w:rsid w:val="00FE4991"/>
    <w:rsid w:val="00FE5106"/>
    <w:rsid w:val="00FE547A"/>
    <w:rsid w:val="00FE5906"/>
    <w:rsid w:val="00FE5CA3"/>
    <w:rsid w:val="00FE5F10"/>
    <w:rsid w:val="00FE6152"/>
    <w:rsid w:val="00FE6480"/>
    <w:rsid w:val="00FE6B79"/>
    <w:rsid w:val="00FF0309"/>
    <w:rsid w:val="00FF0443"/>
    <w:rsid w:val="00FF05A6"/>
    <w:rsid w:val="00FF0C8A"/>
    <w:rsid w:val="00FF0DBD"/>
    <w:rsid w:val="00FF0F71"/>
    <w:rsid w:val="00FF1509"/>
    <w:rsid w:val="00FF19B3"/>
    <w:rsid w:val="00FF19F5"/>
    <w:rsid w:val="00FF201E"/>
    <w:rsid w:val="00FF25EF"/>
    <w:rsid w:val="00FF26DB"/>
    <w:rsid w:val="00FF2889"/>
    <w:rsid w:val="00FF28C8"/>
    <w:rsid w:val="00FF296F"/>
    <w:rsid w:val="00FF2A90"/>
    <w:rsid w:val="00FF2CFB"/>
    <w:rsid w:val="00FF2E62"/>
    <w:rsid w:val="00FF3D39"/>
    <w:rsid w:val="00FF40F9"/>
    <w:rsid w:val="00FF41E5"/>
    <w:rsid w:val="00FF463E"/>
    <w:rsid w:val="00FF5105"/>
    <w:rsid w:val="00FF51D0"/>
    <w:rsid w:val="00FF548D"/>
    <w:rsid w:val="00FF5521"/>
    <w:rsid w:val="00FF5755"/>
    <w:rsid w:val="00FF60AC"/>
    <w:rsid w:val="00FF659F"/>
    <w:rsid w:val="00FF688B"/>
    <w:rsid w:val="00FF69BC"/>
    <w:rsid w:val="00FF6A78"/>
    <w:rsid w:val="00FF6C66"/>
    <w:rsid w:val="00FF6E29"/>
    <w:rsid w:val="00FF6E35"/>
    <w:rsid w:val="00FF74A4"/>
    <w:rsid w:val="00FF7A5C"/>
    <w:rsid w:val="00FF7BC2"/>
    <w:rsid w:val="01A855C4"/>
    <w:rsid w:val="01F5C450"/>
    <w:rsid w:val="026B95B6"/>
    <w:rsid w:val="02C00933"/>
    <w:rsid w:val="042E6D59"/>
    <w:rsid w:val="05AB1324"/>
    <w:rsid w:val="07174C61"/>
    <w:rsid w:val="08DD80CB"/>
    <w:rsid w:val="0B680A4D"/>
    <w:rsid w:val="0BFF32FE"/>
    <w:rsid w:val="0CDDB87A"/>
    <w:rsid w:val="0D52CCE6"/>
    <w:rsid w:val="0EA00129"/>
    <w:rsid w:val="16A7AFAB"/>
    <w:rsid w:val="1785ADA4"/>
    <w:rsid w:val="17E902CA"/>
    <w:rsid w:val="193916D2"/>
    <w:rsid w:val="19BCF86C"/>
    <w:rsid w:val="1CD4A8B5"/>
    <w:rsid w:val="22A01783"/>
    <w:rsid w:val="22AA8E77"/>
    <w:rsid w:val="23785B3F"/>
    <w:rsid w:val="23C2495A"/>
    <w:rsid w:val="24CE027A"/>
    <w:rsid w:val="25142BA0"/>
    <w:rsid w:val="2642C877"/>
    <w:rsid w:val="288CE657"/>
    <w:rsid w:val="28A6FFED"/>
    <w:rsid w:val="30C246F3"/>
    <w:rsid w:val="332C3542"/>
    <w:rsid w:val="337D681F"/>
    <w:rsid w:val="33EB0D2D"/>
    <w:rsid w:val="34542D2A"/>
    <w:rsid w:val="350F4BE4"/>
    <w:rsid w:val="371E7C35"/>
    <w:rsid w:val="3804FFD0"/>
    <w:rsid w:val="39D4B036"/>
    <w:rsid w:val="3A22DF50"/>
    <w:rsid w:val="3B5B7B1B"/>
    <w:rsid w:val="3C5ACB3A"/>
    <w:rsid w:val="3CCC271C"/>
    <w:rsid w:val="3E6D6DDA"/>
    <w:rsid w:val="3F6A1346"/>
    <w:rsid w:val="40DDFA63"/>
    <w:rsid w:val="418B64A6"/>
    <w:rsid w:val="41EFAA15"/>
    <w:rsid w:val="460E1D77"/>
    <w:rsid w:val="47013FE5"/>
    <w:rsid w:val="4AAAB6EE"/>
    <w:rsid w:val="4AFDAE8F"/>
    <w:rsid w:val="5349FCD0"/>
    <w:rsid w:val="54E936F1"/>
    <w:rsid w:val="55B3C3C8"/>
    <w:rsid w:val="55FAF5E0"/>
    <w:rsid w:val="5711F2D2"/>
    <w:rsid w:val="5795780D"/>
    <w:rsid w:val="5B1FF8BA"/>
    <w:rsid w:val="5B50583C"/>
    <w:rsid w:val="5B6C5701"/>
    <w:rsid w:val="5FADB0A6"/>
    <w:rsid w:val="6111FAE5"/>
    <w:rsid w:val="65FC0753"/>
    <w:rsid w:val="678E22E9"/>
    <w:rsid w:val="67C0CBDD"/>
    <w:rsid w:val="69EDD0CC"/>
    <w:rsid w:val="6B098BAA"/>
    <w:rsid w:val="6C0F4939"/>
    <w:rsid w:val="6C970664"/>
    <w:rsid w:val="6FFCC245"/>
    <w:rsid w:val="700C9C56"/>
    <w:rsid w:val="70BD3891"/>
    <w:rsid w:val="750B7A73"/>
    <w:rsid w:val="76989417"/>
    <w:rsid w:val="76A08D32"/>
    <w:rsid w:val="786A2FA4"/>
    <w:rsid w:val="7A063826"/>
    <w:rsid w:val="7ABB6A05"/>
    <w:rsid w:val="7E024D6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4B1ECA"/>
  <w15:docId w15:val="{996E2BD7-BBF8-4615-A327-1A96C9A15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71E9"/>
    <w:pPr>
      <w:spacing w:after="0" w:line="240" w:lineRule="auto"/>
    </w:pPr>
    <w:rPr>
      <w:rFonts w:ascii="Times New Roman" w:eastAsia="Times New Roman" w:hAnsi="Times New Roman" w:cs="Arial"/>
      <w:sz w:val="24"/>
      <w:szCs w:val="20"/>
    </w:rPr>
  </w:style>
  <w:style w:type="paragraph" w:styleId="Heading1">
    <w:name w:val="heading 1"/>
    <w:basedOn w:val="Normal"/>
    <w:next w:val="Normal"/>
    <w:link w:val="Heading1Char"/>
    <w:qFormat/>
    <w:rsid w:val="00B108E2"/>
    <w:pPr>
      <w:keepNext/>
      <w:tabs>
        <w:tab w:val="num" w:pos="360"/>
      </w:tabs>
      <w:spacing w:before="480" w:after="240"/>
      <w:outlineLvl w:val="0"/>
    </w:pPr>
    <w:rPr>
      <w:b/>
      <w:bCs/>
      <w:caps/>
      <w:kern w:val="32"/>
      <w:sz w:val="28"/>
      <w:szCs w:val="32"/>
    </w:rPr>
  </w:style>
  <w:style w:type="paragraph" w:styleId="Heading2">
    <w:name w:val="heading 2"/>
    <w:basedOn w:val="Normal"/>
    <w:next w:val="Normal"/>
    <w:link w:val="Heading2Char"/>
    <w:qFormat/>
    <w:rsid w:val="00B108E2"/>
    <w:pPr>
      <w:keepNext/>
      <w:tabs>
        <w:tab w:val="num" w:pos="360"/>
      </w:tabs>
      <w:spacing w:before="120" w:after="120"/>
      <w:outlineLvl w:val="1"/>
    </w:pPr>
    <w:rPr>
      <w:b/>
      <w:bCs/>
      <w:sz w:val="28"/>
      <w:szCs w:val="28"/>
    </w:rPr>
  </w:style>
  <w:style w:type="paragraph" w:styleId="Heading3">
    <w:name w:val="heading 3"/>
    <w:basedOn w:val="Normal"/>
    <w:next w:val="Normal"/>
    <w:link w:val="Heading3Char"/>
    <w:qFormat/>
    <w:rsid w:val="00B108E2"/>
    <w:pPr>
      <w:keepNext/>
      <w:tabs>
        <w:tab w:val="num" w:pos="360"/>
      </w:tabs>
      <w:spacing w:after="120"/>
      <w:outlineLvl w:val="2"/>
    </w:pPr>
    <w:rPr>
      <w:b/>
    </w:rPr>
  </w:style>
  <w:style w:type="paragraph" w:styleId="Heading4">
    <w:name w:val="heading 4"/>
    <w:basedOn w:val="Normal"/>
    <w:next w:val="Normal"/>
    <w:link w:val="Heading4Char"/>
    <w:qFormat/>
    <w:rsid w:val="00B108E2"/>
    <w:pPr>
      <w:keepNext/>
      <w:tabs>
        <w:tab w:val="num" w:pos="360"/>
      </w:tabs>
      <w:spacing w:after="120"/>
      <w:outlineLvl w:val="3"/>
    </w:pPr>
    <w:rPr>
      <w:rFonts w:cs="Times New Roman"/>
      <w:b/>
      <w:bCs/>
      <w:szCs w:val="28"/>
    </w:rPr>
  </w:style>
  <w:style w:type="paragraph" w:styleId="Heading5">
    <w:name w:val="heading 5"/>
    <w:basedOn w:val="Normal"/>
    <w:next w:val="Normal"/>
    <w:link w:val="Heading5Char"/>
    <w:qFormat/>
    <w:rsid w:val="00B108E2"/>
    <w:pPr>
      <w:keepNext/>
      <w:tabs>
        <w:tab w:val="num" w:pos="360"/>
      </w:tabs>
      <w:spacing w:after="120"/>
      <w:outlineLvl w:val="4"/>
    </w:pPr>
    <w:rPr>
      <w:b/>
      <w:bCs/>
      <w:szCs w:val="26"/>
    </w:rPr>
  </w:style>
  <w:style w:type="paragraph" w:styleId="Heading6">
    <w:name w:val="heading 6"/>
    <w:basedOn w:val="Normal"/>
    <w:next w:val="Normal"/>
    <w:link w:val="Heading6Char"/>
    <w:qFormat/>
    <w:rsid w:val="00B108E2"/>
    <w:pPr>
      <w:keepNext/>
      <w:tabs>
        <w:tab w:val="num" w:pos="360"/>
      </w:tabs>
      <w:spacing w:after="120"/>
      <w:outlineLvl w:val="5"/>
    </w:pPr>
    <w:rPr>
      <w:rFonts w:cs="Times New Roman"/>
      <w:b/>
      <w:bCs/>
      <w:szCs w:val="22"/>
    </w:rPr>
  </w:style>
  <w:style w:type="paragraph" w:styleId="Heading7">
    <w:name w:val="heading 7"/>
    <w:basedOn w:val="Normal"/>
    <w:next w:val="Normal"/>
    <w:link w:val="Heading7Char"/>
    <w:qFormat/>
    <w:rsid w:val="00B108E2"/>
    <w:pPr>
      <w:tabs>
        <w:tab w:val="num" w:pos="360"/>
      </w:tabs>
      <w:spacing w:before="240" w:after="60"/>
      <w:outlineLvl w:val="6"/>
    </w:pPr>
    <w:rPr>
      <w:rFonts w:cs="Times New Roman"/>
      <w:szCs w:val="24"/>
    </w:rPr>
  </w:style>
  <w:style w:type="paragraph" w:styleId="Heading8">
    <w:name w:val="heading 8"/>
    <w:basedOn w:val="Normal"/>
    <w:next w:val="Normal"/>
    <w:link w:val="Heading8Char"/>
    <w:qFormat/>
    <w:rsid w:val="00B108E2"/>
    <w:pPr>
      <w:tabs>
        <w:tab w:val="num" w:pos="360"/>
      </w:tabs>
      <w:spacing w:before="240" w:after="60"/>
      <w:outlineLvl w:val="7"/>
    </w:pPr>
    <w:rPr>
      <w:rFonts w:cs="Times New Roman"/>
      <w:i/>
      <w:iCs/>
      <w:szCs w:val="24"/>
    </w:rPr>
  </w:style>
  <w:style w:type="paragraph" w:styleId="Heading9">
    <w:name w:val="heading 9"/>
    <w:basedOn w:val="Normal"/>
    <w:next w:val="Normal"/>
    <w:link w:val="Heading9Char"/>
    <w:qFormat/>
    <w:rsid w:val="00B108E2"/>
    <w:pPr>
      <w:tabs>
        <w:tab w:val="num" w:pos="360"/>
      </w:tabs>
      <w:spacing w:before="240" w:after="60"/>
      <w:outlineLvl w:val="8"/>
    </w:pPr>
    <w:rPr>
      <w:rFonts w:ascii="Arial" w:hAnsi="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ED7C85"/>
    <w:rPr>
      <w:rFonts w:ascii="Times New Roman" w:eastAsia="Times New Roman" w:hAnsi="Times New Roman" w:cs="Arial"/>
      <w:b/>
      <w:bCs/>
      <w:caps/>
      <w:kern w:val="32"/>
      <w:sz w:val="28"/>
      <w:szCs w:val="32"/>
    </w:rPr>
  </w:style>
  <w:style w:type="character" w:styleId="CommentReference">
    <w:name w:val="annotation reference"/>
    <w:uiPriority w:val="99"/>
    <w:rsid w:val="00ED7C85"/>
    <w:rPr>
      <w:sz w:val="16"/>
      <w:szCs w:val="16"/>
    </w:rPr>
  </w:style>
  <w:style w:type="paragraph" w:styleId="CommentSubject">
    <w:name w:val="annotation subject"/>
    <w:basedOn w:val="CommentText"/>
    <w:next w:val="CommentText"/>
    <w:link w:val="CommentSubjectChar"/>
    <w:rsid w:val="00B108E2"/>
    <w:rPr>
      <w:b/>
      <w:bCs/>
    </w:rPr>
  </w:style>
  <w:style w:type="character" w:customStyle="1" w:styleId="CommentSubjectChar">
    <w:name w:val="Comment Subject Char"/>
    <w:link w:val="CommentSubject"/>
    <w:rsid w:val="00ED7C85"/>
    <w:rPr>
      <w:rFonts w:ascii="Times New Roman" w:eastAsia="Times New Roman" w:hAnsi="Times New Roman" w:cs="Arial"/>
      <w:b/>
      <w:bCs/>
      <w:sz w:val="20"/>
      <w:szCs w:val="20"/>
    </w:rPr>
  </w:style>
  <w:style w:type="paragraph" w:styleId="BalloonText">
    <w:name w:val="Balloon Text"/>
    <w:basedOn w:val="Normal"/>
    <w:link w:val="BalloonTextChar"/>
    <w:uiPriority w:val="99"/>
    <w:semiHidden/>
    <w:unhideWhenUsed/>
    <w:rsid w:val="00ED7C85"/>
    <w:rPr>
      <w:rFonts w:ascii="Tahoma" w:hAnsi="Tahoma" w:cs="Tahoma"/>
      <w:sz w:val="16"/>
      <w:szCs w:val="16"/>
    </w:rPr>
  </w:style>
  <w:style w:type="character" w:customStyle="1" w:styleId="BalloonTextChar">
    <w:name w:val="Balloon Text Char"/>
    <w:link w:val="BalloonText"/>
    <w:uiPriority w:val="99"/>
    <w:semiHidden/>
    <w:rsid w:val="00ED7C85"/>
    <w:rPr>
      <w:rFonts w:ascii="Tahoma" w:eastAsia="Times New Roman" w:hAnsi="Tahoma" w:cs="Tahoma"/>
      <w:sz w:val="16"/>
      <w:szCs w:val="16"/>
    </w:rPr>
  </w:style>
  <w:style w:type="character" w:customStyle="1" w:styleId="Heading2Char">
    <w:name w:val="Heading 2 Char"/>
    <w:link w:val="Heading2"/>
    <w:rsid w:val="004E3752"/>
    <w:rPr>
      <w:rFonts w:ascii="Times New Roman" w:eastAsia="Times New Roman" w:hAnsi="Times New Roman" w:cs="Arial"/>
      <w:b/>
      <w:bCs/>
      <w:sz w:val="28"/>
      <w:szCs w:val="28"/>
    </w:rPr>
  </w:style>
  <w:style w:type="character" w:customStyle="1" w:styleId="Heading3Char">
    <w:name w:val="Heading 3 Char"/>
    <w:link w:val="Heading3"/>
    <w:rsid w:val="006B3FF6"/>
    <w:rPr>
      <w:rFonts w:ascii="Times New Roman" w:eastAsia="Times New Roman" w:hAnsi="Times New Roman" w:cs="Arial"/>
      <w:b/>
      <w:sz w:val="24"/>
      <w:szCs w:val="20"/>
    </w:rPr>
  </w:style>
  <w:style w:type="character" w:customStyle="1" w:styleId="Heading4Char">
    <w:name w:val="Heading 4 Char"/>
    <w:link w:val="Heading4"/>
    <w:rsid w:val="00ED7C85"/>
    <w:rPr>
      <w:rFonts w:ascii="Times New Roman" w:eastAsia="Times New Roman" w:hAnsi="Times New Roman" w:cs="Times New Roman"/>
      <w:b/>
      <w:bCs/>
      <w:sz w:val="24"/>
      <w:szCs w:val="28"/>
    </w:rPr>
  </w:style>
  <w:style w:type="character" w:customStyle="1" w:styleId="Heading5Char">
    <w:name w:val="Heading 5 Char"/>
    <w:link w:val="Heading5"/>
    <w:rsid w:val="00ED7C85"/>
    <w:rPr>
      <w:rFonts w:ascii="Times New Roman" w:eastAsia="Times New Roman" w:hAnsi="Times New Roman" w:cs="Arial"/>
      <w:b/>
      <w:bCs/>
      <w:sz w:val="24"/>
      <w:szCs w:val="26"/>
    </w:rPr>
  </w:style>
  <w:style w:type="character" w:customStyle="1" w:styleId="Heading6Char">
    <w:name w:val="Heading 6 Char"/>
    <w:link w:val="Heading6"/>
    <w:rsid w:val="00ED7C85"/>
    <w:rPr>
      <w:rFonts w:ascii="Times New Roman" w:eastAsia="Times New Roman" w:hAnsi="Times New Roman" w:cs="Times New Roman"/>
      <w:b/>
      <w:bCs/>
      <w:sz w:val="24"/>
    </w:rPr>
  </w:style>
  <w:style w:type="character" w:customStyle="1" w:styleId="Heading7Char">
    <w:name w:val="Heading 7 Char"/>
    <w:link w:val="Heading7"/>
    <w:rsid w:val="00ED7C85"/>
    <w:rPr>
      <w:rFonts w:ascii="Times New Roman" w:eastAsia="Times New Roman" w:hAnsi="Times New Roman" w:cs="Times New Roman"/>
      <w:sz w:val="24"/>
      <w:szCs w:val="24"/>
    </w:rPr>
  </w:style>
  <w:style w:type="character" w:customStyle="1" w:styleId="Heading8Char">
    <w:name w:val="Heading 8 Char"/>
    <w:link w:val="Heading8"/>
    <w:rsid w:val="00ED7C85"/>
    <w:rPr>
      <w:rFonts w:ascii="Times New Roman" w:eastAsia="Times New Roman" w:hAnsi="Times New Roman" w:cs="Times New Roman"/>
      <w:i/>
      <w:iCs/>
      <w:sz w:val="24"/>
      <w:szCs w:val="24"/>
    </w:rPr>
  </w:style>
  <w:style w:type="character" w:customStyle="1" w:styleId="Heading9Char">
    <w:name w:val="Heading 9 Char"/>
    <w:link w:val="Heading9"/>
    <w:rsid w:val="00ED7C85"/>
    <w:rPr>
      <w:rFonts w:ascii="Arial" w:eastAsia="Times New Roman" w:hAnsi="Arial" w:cs="Arial"/>
    </w:rPr>
  </w:style>
  <w:style w:type="paragraph" w:customStyle="1" w:styleId="Text">
    <w:name w:val="Text"/>
    <w:basedOn w:val="Normal"/>
    <w:link w:val="TextChar"/>
    <w:rsid w:val="00ED7C85"/>
    <w:pPr>
      <w:spacing w:after="240" w:line="300" w:lineRule="auto"/>
    </w:pPr>
    <w:rPr>
      <w:kern w:val="24"/>
      <w:szCs w:val="24"/>
      <w:lang w:eastAsia="ja-JP"/>
    </w:rPr>
  </w:style>
  <w:style w:type="paragraph" w:styleId="Caption">
    <w:name w:val="caption"/>
    <w:next w:val="C-BodyText"/>
    <w:link w:val="CaptionChar"/>
    <w:qFormat/>
    <w:rsid w:val="00B108E2"/>
    <w:pPr>
      <w:keepNext/>
      <w:spacing w:before="120" w:after="120" w:line="280" w:lineRule="atLeast"/>
      <w:ind w:left="1440" w:hanging="1440"/>
    </w:pPr>
    <w:rPr>
      <w:rFonts w:ascii="Times New Roman" w:eastAsia="Times New Roman" w:hAnsi="Times New Roman" w:cs="Times New Roman"/>
      <w:b/>
      <w:bCs/>
      <w:sz w:val="24"/>
      <w:szCs w:val="24"/>
    </w:rPr>
  </w:style>
  <w:style w:type="paragraph" w:styleId="Title">
    <w:name w:val="Title"/>
    <w:basedOn w:val="Normal"/>
    <w:next w:val="Normal"/>
    <w:link w:val="TitleChar"/>
    <w:qFormat/>
    <w:rsid w:val="00ED7C85"/>
    <w:pPr>
      <w:spacing w:line="360" w:lineRule="auto"/>
      <w:contextualSpacing/>
      <w:jc w:val="center"/>
    </w:pPr>
    <w:rPr>
      <w:rFonts w:ascii="Times New Roman Bold" w:eastAsia="MS Gothic" w:hAnsi="Times New Roman Bold"/>
      <w:b/>
      <w:spacing w:val="-10"/>
      <w:kern w:val="28"/>
      <w:sz w:val="32"/>
      <w:szCs w:val="56"/>
    </w:rPr>
  </w:style>
  <w:style w:type="character" w:customStyle="1" w:styleId="TitleChar">
    <w:name w:val="Title Char"/>
    <w:link w:val="Title"/>
    <w:rsid w:val="00ED7C85"/>
    <w:rPr>
      <w:rFonts w:ascii="Times New Roman Bold" w:eastAsia="MS Gothic" w:hAnsi="Times New Roman Bold" w:cs="Times New Roman"/>
      <w:b/>
      <w:spacing w:val="-10"/>
      <w:kern w:val="28"/>
      <w:sz w:val="32"/>
      <w:szCs w:val="56"/>
    </w:rPr>
  </w:style>
  <w:style w:type="paragraph" w:customStyle="1" w:styleId="CPTListNumber">
    <w:name w:val="CPT_List Number"/>
    <w:basedOn w:val="CPTListBullet"/>
    <w:qFormat/>
    <w:rsid w:val="005A777F"/>
    <w:pPr>
      <w:numPr>
        <w:numId w:val="7"/>
      </w:numPr>
    </w:pPr>
  </w:style>
  <w:style w:type="paragraph" w:styleId="Footer">
    <w:name w:val="footer"/>
    <w:link w:val="FooterChar"/>
    <w:uiPriority w:val="99"/>
    <w:rsid w:val="00ED7C85"/>
    <w:pPr>
      <w:spacing w:before="60" w:after="0" w:line="240" w:lineRule="auto"/>
    </w:pPr>
    <w:rPr>
      <w:rFonts w:ascii="Times New Roman" w:eastAsia="Times New Roman" w:hAnsi="Times New Roman" w:cs="Times New Roman"/>
      <w:sz w:val="20"/>
      <w:szCs w:val="20"/>
    </w:rPr>
  </w:style>
  <w:style w:type="character" w:customStyle="1" w:styleId="FooterChar">
    <w:name w:val="Footer Char"/>
    <w:link w:val="Footer"/>
    <w:uiPriority w:val="99"/>
    <w:rsid w:val="00ED7C85"/>
    <w:rPr>
      <w:rFonts w:ascii="Times New Roman" w:eastAsia="Times New Roman" w:hAnsi="Times New Roman" w:cs="Times New Roman"/>
      <w:sz w:val="20"/>
      <w:szCs w:val="20"/>
    </w:rPr>
  </w:style>
  <w:style w:type="paragraph" w:styleId="Header">
    <w:name w:val="header"/>
    <w:link w:val="HeaderChar"/>
    <w:rsid w:val="00ED7C85"/>
    <w:pPr>
      <w:spacing w:after="0" w:line="240" w:lineRule="auto"/>
    </w:pPr>
    <w:rPr>
      <w:rFonts w:ascii="Times New Roman" w:eastAsia="Times New Roman" w:hAnsi="Times New Roman" w:cs="Times New Roman"/>
      <w:sz w:val="20"/>
      <w:szCs w:val="20"/>
    </w:rPr>
  </w:style>
  <w:style w:type="character" w:customStyle="1" w:styleId="HeaderChar">
    <w:name w:val="Header Char"/>
    <w:link w:val="Header"/>
    <w:rsid w:val="00ED7C85"/>
    <w:rPr>
      <w:rFonts w:ascii="Times New Roman" w:eastAsia="Times New Roman" w:hAnsi="Times New Roman" w:cs="Times New Roman"/>
      <w:sz w:val="20"/>
      <w:szCs w:val="20"/>
    </w:rPr>
  </w:style>
  <w:style w:type="character" w:styleId="PageNumber">
    <w:name w:val="page number"/>
    <w:semiHidden/>
    <w:rsid w:val="00ED7C85"/>
    <w:rPr>
      <w:rFonts w:ascii="Times New Roman" w:hAnsi="Times New Roman"/>
      <w:sz w:val="20"/>
      <w:lang w:val="en-US"/>
    </w:rPr>
  </w:style>
  <w:style w:type="paragraph" w:styleId="TOC1">
    <w:name w:val="toc 1"/>
    <w:next w:val="C-BodyText"/>
    <w:uiPriority w:val="39"/>
    <w:rsid w:val="00B108E2"/>
    <w:pPr>
      <w:tabs>
        <w:tab w:val="left" w:pos="1152"/>
        <w:tab w:val="right" w:leader="dot" w:pos="9360"/>
      </w:tabs>
      <w:spacing w:before="120" w:after="0" w:line="240" w:lineRule="auto"/>
      <w:ind w:left="1152" w:right="792" w:hanging="1152"/>
    </w:pPr>
    <w:rPr>
      <w:rFonts w:ascii="Times New Roman" w:eastAsia="Times New Roman" w:hAnsi="Times New Roman" w:cs="Arial"/>
      <w:caps/>
      <w:color w:val="0000FF"/>
      <w:sz w:val="24"/>
      <w:szCs w:val="24"/>
    </w:rPr>
  </w:style>
  <w:style w:type="paragraph" w:styleId="TOC2">
    <w:name w:val="toc 2"/>
    <w:basedOn w:val="TOC1"/>
    <w:next w:val="C-BodyText"/>
    <w:uiPriority w:val="39"/>
    <w:rsid w:val="00B108E2"/>
    <w:rPr>
      <w:caps w:val="0"/>
    </w:rPr>
  </w:style>
  <w:style w:type="paragraph" w:styleId="TOC3">
    <w:name w:val="toc 3"/>
    <w:basedOn w:val="TOC1"/>
    <w:next w:val="C-BodyText"/>
    <w:uiPriority w:val="39"/>
    <w:rsid w:val="00B108E2"/>
    <w:rPr>
      <w:caps w:val="0"/>
    </w:rPr>
  </w:style>
  <w:style w:type="paragraph" w:styleId="TOC4">
    <w:name w:val="toc 4"/>
    <w:basedOn w:val="TOC1"/>
    <w:next w:val="C-BodyText"/>
    <w:uiPriority w:val="39"/>
    <w:rsid w:val="00B108E2"/>
    <w:rPr>
      <w:caps w:val="0"/>
    </w:rPr>
  </w:style>
  <w:style w:type="paragraph" w:styleId="TOC5">
    <w:name w:val="toc 5"/>
    <w:basedOn w:val="TOC1"/>
    <w:next w:val="C-BodyText"/>
    <w:uiPriority w:val="39"/>
    <w:rsid w:val="00B108E2"/>
    <w:rPr>
      <w:caps w:val="0"/>
    </w:rPr>
  </w:style>
  <w:style w:type="paragraph" w:styleId="TOC6">
    <w:name w:val="toc 6"/>
    <w:basedOn w:val="TOC1"/>
    <w:next w:val="C-BodyText"/>
    <w:uiPriority w:val="39"/>
    <w:rsid w:val="00B108E2"/>
    <w:rPr>
      <w:caps w:val="0"/>
    </w:rPr>
  </w:style>
  <w:style w:type="paragraph" w:styleId="TOC7">
    <w:name w:val="toc 7"/>
    <w:basedOn w:val="TOC1"/>
    <w:next w:val="C-BodyText"/>
    <w:uiPriority w:val="39"/>
    <w:rsid w:val="00B108E2"/>
    <w:rPr>
      <w:caps w:val="0"/>
    </w:rPr>
  </w:style>
  <w:style w:type="paragraph" w:styleId="TOC8">
    <w:name w:val="toc 8"/>
    <w:basedOn w:val="TOC1"/>
    <w:next w:val="C-BodyText"/>
    <w:uiPriority w:val="39"/>
    <w:rsid w:val="00B108E2"/>
    <w:rPr>
      <w:caps w:val="0"/>
    </w:rPr>
  </w:style>
  <w:style w:type="paragraph" w:styleId="TOC9">
    <w:name w:val="toc 9"/>
    <w:basedOn w:val="TOC1"/>
    <w:next w:val="C-BodyText"/>
    <w:uiPriority w:val="39"/>
    <w:rsid w:val="00B108E2"/>
  </w:style>
  <w:style w:type="paragraph" w:styleId="DocumentMap">
    <w:name w:val="Document Map"/>
    <w:basedOn w:val="Normal"/>
    <w:link w:val="DocumentMapChar"/>
    <w:semiHidden/>
    <w:rsid w:val="00ED7C85"/>
    <w:pPr>
      <w:shd w:val="clear" w:color="auto" w:fill="000080"/>
    </w:pPr>
    <w:rPr>
      <w:rFonts w:ascii="Tahoma" w:hAnsi="Tahoma" w:cs="Tahoma"/>
    </w:rPr>
  </w:style>
  <w:style w:type="character" w:customStyle="1" w:styleId="DocumentMapChar">
    <w:name w:val="Document Map Char"/>
    <w:link w:val="DocumentMap"/>
    <w:semiHidden/>
    <w:rsid w:val="00ED7C85"/>
    <w:rPr>
      <w:rFonts w:ascii="Tahoma" w:eastAsia="Times New Roman" w:hAnsi="Tahoma" w:cs="Tahoma"/>
      <w:sz w:val="24"/>
      <w:szCs w:val="20"/>
      <w:shd w:val="clear" w:color="auto" w:fill="000080"/>
    </w:rPr>
  </w:style>
  <w:style w:type="character" w:styleId="Hyperlink">
    <w:name w:val="Hyperlink"/>
    <w:uiPriority w:val="99"/>
    <w:rsid w:val="00B108E2"/>
    <w:rPr>
      <w:color w:val="0000FF"/>
      <w:u w:val="single"/>
    </w:rPr>
  </w:style>
  <w:style w:type="table" w:styleId="TableGrid">
    <w:name w:val="Table Grid"/>
    <w:basedOn w:val="TableNormal"/>
    <w:uiPriority w:val="59"/>
    <w:rsid w:val="00ED7C8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D7C85"/>
    <w:pPr>
      <w:spacing w:before="14" w:after="144" w:line="300" w:lineRule="atLeast"/>
      <w:ind w:left="720"/>
      <w:contextualSpacing/>
    </w:pPr>
    <w:rPr>
      <w:szCs w:val="24"/>
    </w:rPr>
  </w:style>
  <w:style w:type="character" w:styleId="PlaceholderText">
    <w:name w:val="Placeholder Text"/>
    <w:uiPriority w:val="99"/>
    <w:rsid w:val="00ED7C85"/>
    <w:rPr>
      <w:color w:val="808080"/>
    </w:rPr>
  </w:style>
  <w:style w:type="character" w:customStyle="1" w:styleId="TextChar">
    <w:name w:val="Text Char"/>
    <w:link w:val="Text"/>
    <w:rsid w:val="00ED7C85"/>
    <w:rPr>
      <w:rFonts w:ascii="Times New Roman" w:eastAsia="Times New Roman" w:hAnsi="Times New Roman" w:cs="Times New Roman"/>
      <w:kern w:val="24"/>
      <w:sz w:val="24"/>
      <w:szCs w:val="24"/>
      <w:lang w:eastAsia="ja-JP"/>
    </w:rPr>
  </w:style>
  <w:style w:type="character" w:customStyle="1" w:styleId="ListParagraphChar">
    <w:name w:val="List Paragraph Char"/>
    <w:link w:val="ListParagraph"/>
    <w:uiPriority w:val="34"/>
    <w:locked/>
    <w:rsid w:val="00ED7C85"/>
    <w:rPr>
      <w:rFonts w:ascii="Times New Roman" w:eastAsia="Times New Roman" w:hAnsi="Times New Roman" w:cs="Times New Roman"/>
      <w:sz w:val="24"/>
      <w:szCs w:val="24"/>
    </w:rPr>
  </w:style>
  <w:style w:type="paragraph" w:customStyle="1" w:styleId="ListBulletLevel1">
    <w:name w:val="List Bullet Level 1"/>
    <w:basedOn w:val="Normal"/>
    <w:rsid w:val="004B1F42"/>
    <w:pPr>
      <w:numPr>
        <w:numId w:val="1"/>
      </w:numPr>
    </w:pPr>
    <w:rPr>
      <w:color w:val="000000"/>
      <w:szCs w:val="24"/>
    </w:rPr>
  </w:style>
  <w:style w:type="paragraph" w:styleId="TOCHeading">
    <w:name w:val="TOC Heading"/>
    <w:basedOn w:val="Heading1"/>
    <w:next w:val="Normal"/>
    <w:uiPriority w:val="39"/>
    <w:unhideWhenUsed/>
    <w:rsid w:val="00ED7C85"/>
    <w:pPr>
      <w:keepNext w:val="0"/>
      <w:tabs>
        <w:tab w:val="clear" w:pos="360"/>
      </w:tabs>
      <w:spacing w:before="0" w:after="0"/>
      <w:jc w:val="center"/>
      <w:outlineLvl w:val="9"/>
    </w:pPr>
    <w:rPr>
      <w:bCs w:val="0"/>
      <w:szCs w:val="24"/>
    </w:rPr>
  </w:style>
  <w:style w:type="character" w:styleId="FollowedHyperlink">
    <w:name w:val="FollowedHyperlink"/>
    <w:semiHidden/>
    <w:rsid w:val="00ED7C85"/>
    <w:rPr>
      <w:color w:val="800080"/>
      <w:u w:val="none"/>
    </w:rPr>
  </w:style>
  <w:style w:type="paragraph" w:customStyle="1" w:styleId="Heading1Unnumbered">
    <w:name w:val="Heading 1 Unnumbered"/>
    <w:basedOn w:val="Normal"/>
    <w:link w:val="Heading1UnnumberedChar"/>
    <w:qFormat/>
    <w:rsid w:val="004E3752"/>
    <w:pPr>
      <w:keepNext/>
      <w:pageBreakBefore/>
      <w:tabs>
        <w:tab w:val="left" w:pos="1440"/>
      </w:tabs>
      <w:spacing w:before="240" w:after="120"/>
      <w:outlineLvl w:val="0"/>
    </w:pPr>
    <w:rPr>
      <w:rFonts w:ascii="Times New Roman Bold" w:hAnsi="Times New Roman Bold"/>
      <w:b/>
      <w:sz w:val="32"/>
    </w:rPr>
  </w:style>
  <w:style w:type="character" w:customStyle="1" w:styleId="Heading1UnnumberedChar">
    <w:name w:val="Heading 1 Unnumbered Char"/>
    <w:basedOn w:val="DefaultParagraphFont"/>
    <w:link w:val="Heading1Unnumbered"/>
    <w:rsid w:val="004E3752"/>
    <w:rPr>
      <w:rFonts w:ascii="Times New Roman Bold" w:hAnsi="Times New Roman Bold" w:cs="Arial"/>
      <w:b/>
      <w:sz w:val="32"/>
    </w:rPr>
  </w:style>
  <w:style w:type="paragraph" w:customStyle="1" w:styleId="CPTInstructional">
    <w:name w:val="CPT_Instructional"/>
    <w:basedOn w:val="Normal"/>
    <w:qFormat/>
    <w:rsid w:val="0030343C"/>
    <w:pPr>
      <w:spacing w:before="120" w:after="120" w:line="280" w:lineRule="atLeast"/>
    </w:pPr>
    <w:rPr>
      <w:rFonts w:eastAsia="Calibri"/>
      <w:vanish/>
      <w:color w:val="FF0000"/>
      <w:sz w:val="22"/>
    </w:rPr>
  </w:style>
  <w:style w:type="paragraph" w:customStyle="1" w:styleId="CPTExample">
    <w:name w:val="CPT_Example"/>
    <w:basedOn w:val="Normal"/>
    <w:next w:val="Normal"/>
    <w:uiPriority w:val="1"/>
    <w:rsid w:val="005A777F"/>
    <w:pPr>
      <w:spacing w:before="120" w:after="120" w:line="280" w:lineRule="atLeast"/>
    </w:pPr>
    <w:rPr>
      <w:rFonts w:ascii="Arial" w:hAnsi="Arial" w:cs="Times New Roman"/>
      <w:i/>
      <w:color w:val="00B050"/>
      <w:sz w:val="20"/>
    </w:rPr>
  </w:style>
  <w:style w:type="paragraph" w:customStyle="1" w:styleId="HeadingNoTOC">
    <w:name w:val="Heading (No TOC)"/>
    <w:next w:val="Normal"/>
    <w:uiPriority w:val="99"/>
    <w:qFormat/>
    <w:rsid w:val="004E3752"/>
    <w:pPr>
      <w:keepNext/>
      <w:spacing w:before="240" w:after="120" w:line="240" w:lineRule="auto"/>
    </w:pPr>
    <w:rPr>
      <w:rFonts w:ascii="Times New Roman Bold" w:eastAsia="Times New Roman" w:hAnsi="Times New Roman Bold" w:cs="Times New Roman"/>
      <w:b/>
      <w:sz w:val="24"/>
      <w:szCs w:val="24"/>
    </w:rPr>
  </w:style>
  <w:style w:type="paragraph" w:customStyle="1" w:styleId="Heading2non-numbered">
    <w:name w:val="Heading 2 (non-numbered)"/>
    <w:basedOn w:val="Heading2"/>
    <w:next w:val="Normal"/>
    <w:rsid w:val="000F17A3"/>
    <w:pPr>
      <w:tabs>
        <w:tab w:val="clear" w:pos="360"/>
      </w:tabs>
    </w:pPr>
    <w:rPr>
      <w:noProof/>
    </w:rPr>
  </w:style>
  <w:style w:type="numbering" w:styleId="111111">
    <w:name w:val="Outline List 2"/>
    <w:basedOn w:val="NoList"/>
    <w:semiHidden/>
    <w:unhideWhenUsed/>
    <w:rsid w:val="00ED7C85"/>
    <w:pPr>
      <w:numPr>
        <w:numId w:val="2"/>
      </w:numPr>
    </w:pPr>
  </w:style>
  <w:style w:type="numbering" w:styleId="1ai">
    <w:name w:val="Outline List 1"/>
    <w:basedOn w:val="NoList"/>
    <w:semiHidden/>
    <w:unhideWhenUsed/>
    <w:rsid w:val="00ED7C85"/>
    <w:pPr>
      <w:numPr>
        <w:numId w:val="3"/>
      </w:numPr>
    </w:pPr>
  </w:style>
  <w:style w:type="numbering" w:styleId="ArticleSection">
    <w:name w:val="Outline List 3"/>
    <w:basedOn w:val="NoList"/>
    <w:semiHidden/>
    <w:unhideWhenUsed/>
    <w:rsid w:val="00ED7C85"/>
    <w:pPr>
      <w:numPr>
        <w:numId w:val="4"/>
      </w:numPr>
    </w:pPr>
  </w:style>
  <w:style w:type="paragraph" w:styleId="Bibliography">
    <w:name w:val="Bibliography"/>
    <w:basedOn w:val="Normal"/>
    <w:next w:val="Normal"/>
    <w:uiPriority w:val="37"/>
    <w:semiHidden/>
    <w:unhideWhenUsed/>
    <w:rsid w:val="00ED7C85"/>
  </w:style>
  <w:style w:type="paragraph" w:styleId="BlockText">
    <w:name w:val="Block Text"/>
    <w:basedOn w:val="Normal"/>
    <w:semiHidden/>
    <w:unhideWhenUsed/>
    <w:qFormat/>
    <w:rsid w:val="00ED7C85"/>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MS Mincho" w:hAnsi="Calibri"/>
      <w:i/>
      <w:iCs/>
      <w:color w:val="4F81BD"/>
    </w:rPr>
  </w:style>
  <w:style w:type="paragraph" w:styleId="BodyText">
    <w:name w:val="Body Text"/>
    <w:basedOn w:val="Normal"/>
    <w:link w:val="BodyTextChar"/>
    <w:semiHidden/>
    <w:rsid w:val="00ED7C85"/>
    <w:pPr>
      <w:spacing w:after="120"/>
    </w:pPr>
  </w:style>
  <w:style w:type="character" w:customStyle="1" w:styleId="BodyTextChar">
    <w:name w:val="Body Text Char"/>
    <w:link w:val="BodyText"/>
    <w:semiHidden/>
    <w:rsid w:val="00ED7C85"/>
    <w:rPr>
      <w:rFonts w:ascii="Times New Roman" w:eastAsia="Times New Roman" w:hAnsi="Times New Roman" w:cs="Times New Roman"/>
      <w:sz w:val="24"/>
      <w:szCs w:val="20"/>
    </w:rPr>
  </w:style>
  <w:style w:type="paragraph" w:styleId="BodyText2">
    <w:name w:val="Body Text 2"/>
    <w:basedOn w:val="Normal"/>
    <w:link w:val="BodyText2Char"/>
    <w:semiHidden/>
    <w:unhideWhenUsed/>
    <w:rsid w:val="00ED7C85"/>
    <w:pPr>
      <w:spacing w:line="480" w:lineRule="auto"/>
    </w:pPr>
  </w:style>
  <w:style w:type="character" w:customStyle="1" w:styleId="BodyText2Char">
    <w:name w:val="Body Text 2 Char"/>
    <w:link w:val="BodyText2"/>
    <w:semiHidden/>
    <w:rsid w:val="00ED7C85"/>
    <w:rPr>
      <w:rFonts w:ascii="Times New Roman" w:eastAsia="Times New Roman" w:hAnsi="Times New Roman" w:cs="Times New Roman"/>
      <w:sz w:val="24"/>
      <w:szCs w:val="20"/>
    </w:rPr>
  </w:style>
  <w:style w:type="paragraph" w:styleId="BodyText3">
    <w:name w:val="Body Text 3"/>
    <w:basedOn w:val="Normal"/>
    <w:link w:val="BodyText3Char"/>
    <w:semiHidden/>
    <w:unhideWhenUsed/>
    <w:rsid w:val="00ED7C85"/>
    <w:rPr>
      <w:sz w:val="16"/>
      <w:szCs w:val="16"/>
    </w:rPr>
  </w:style>
  <w:style w:type="character" w:customStyle="1" w:styleId="BodyText3Char">
    <w:name w:val="Body Text 3 Char"/>
    <w:link w:val="BodyText3"/>
    <w:semiHidden/>
    <w:rsid w:val="00ED7C85"/>
    <w:rPr>
      <w:rFonts w:ascii="Times New Roman" w:eastAsia="Times New Roman" w:hAnsi="Times New Roman" w:cs="Times New Roman"/>
      <w:sz w:val="16"/>
      <w:szCs w:val="16"/>
    </w:rPr>
  </w:style>
  <w:style w:type="paragraph" w:styleId="BodyTextFirstIndent">
    <w:name w:val="Body Text First Indent"/>
    <w:basedOn w:val="BodyText"/>
    <w:link w:val="BodyTextFirstIndentChar"/>
    <w:rsid w:val="00ED7C85"/>
    <w:pPr>
      <w:ind w:firstLine="360"/>
    </w:pPr>
  </w:style>
  <w:style w:type="character" w:customStyle="1" w:styleId="BodyTextFirstIndentChar">
    <w:name w:val="Body Text First Indent Char"/>
    <w:link w:val="BodyTextFirstIndent"/>
    <w:rsid w:val="00ED7C85"/>
    <w:rPr>
      <w:rFonts w:ascii="Times New Roman" w:eastAsia="Times New Roman" w:hAnsi="Times New Roman" w:cs="Times New Roman"/>
      <w:sz w:val="24"/>
      <w:szCs w:val="20"/>
    </w:rPr>
  </w:style>
  <w:style w:type="paragraph" w:styleId="BodyTextIndent">
    <w:name w:val="Body Text Indent"/>
    <w:basedOn w:val="Normal"/>
    <w:link w:val="BodyTextIndentChar"/>
    <w:rsid w:val="00B108E2"/>
    <w:pPr>
      <w:spacing w:after="120"/>
      <w:ind w:left="360"/>
    </w:pPr>
  </w:style>
  <w:style w:type="character" w:customStyle="1" w:styleId="BodyTextIndentChar">
    <w:name w:val="Body Text Indent Char"/>
    <w:link w:val="BodyTextIndent"/>
    <w:rsid w:val="00ED7C85"/>
    <w:rPr>
      <w:rFonts w:ascii="Times New Roman" w:eastAsia="Times New Roman" w:hAnsi="Times New Roman" w:cs="Arial"/>
      <w:sz w:val="24"/>
      <w:szCs w:val="20"/>
    </w:rPr>
  </w:style>
  <w:style w:type="paragraph" w:styleId="BodyTextFirstIndent2">
    <w:name w:val="Body Text First Indent 2"/>
    <w:basedOn w:val="BodyTextIndent"/>
    <w:link w:val="BodyTextFirstIndent2Char"/>
    <w:rsid w:val="00B108E2"/>
    <w:pPr>
      <w:ind w:firstLine="210"/>
    </w:pPr>
  </w:style>
  <w:style w:type="character" w:customStyle="1" w:styleId="BodyTextFirstIndent2Char">
    <w:name w:val="Body Text First Indent 2 Char"/>
    <w:link w:val="BodyTextFirstIndent2"/>
    <w:rsid w:val="00ED7C85"/>
    <w:rPr>
      <w:rFonts w:ascii="Times New Roman" w:eastAsia="Times New Roman" w:hAnsi="Times New Roman" w:cs="Arial"/>
      <w:sz w:val="24"/>
      <w:szCs w:val="20"/>
    </w:rPr>
  </w:style>
  <w:style w:type="paragraph" w:styleId="BodyTextIndent2">
    <w:name w:val="Body Text Indent 2"/>
    <w:basedOn w:val="Normal"/>
    <w:link w:val="BodyTextIndent2Char"/>
    <w:semiHidden/>
    <w:unhideWhenUsed/>
    <w:rsid w:val="00ED7C85"/>
    <w:pPr>
      <w:spacing w:line="480" w:lineRule="auto"/>
      <w:ind w:left="360"/>
    </w:pPr>
  </w:style>
  <w:style w:type="character" w:customStyle="1" w:styleId="BodyTextIndent2Char">
    <w:name w:val="Body Text Indent 2 Char"/>
    <w:link w:val="BodyTextIndent2"/>
    <w:semiHidden/>
    <w:rsid w:val="00ED7C85"/>
    <w:rPr>
      <w:rFonts w:ascii="Times New Roman" w:eastAsia="Times New Roman" w:hAnsi="Times New Roman" w:cs="Times New Roman"/>
      <w:sz w:val="24"/>
      <w:szCs w:val="20"/>
    </w:rPr>
  </w:style>
  <w:style w:type="paragraph" w:styleId="BodyTextIndent3">
    <w:name w:val="Body Text Indent 3"/>
    <w:basedOn w:val="Normal"/>
    <w:link w:val="BodyTextIndent3Char"/>
    <w:semiHidden/>
    <w:unhideWhenUsed/>
    <w:rsid w:val="00ED7C85"/>
    <w:pPr>
      <w:ind w:left="360"/>
    </w:pPr>
    <w:rPr>
      <w:sz w:val="16"/>
      <w:szCs w:val="16"/>
    </w:rPr>
  </w:style>
  <w:style w:type="character" w:customStyle="1" w:styleId="BodyTextIndent3Char">
    <w:name w:val="Body Text Indent 3 Char"/>
    <w:link w:val="BodyTextIndent3"/>
    <w:semiHidden/>
    <w:rsid w:val="00ED7C85"/>
    <w:rPr>
      <w:rFonts w:ascii="Times New Roman" w:eastAsia="Times New Roman" w:hAnsi="Times New Roman" w:cs="Times New Roman"/>
      <w:sz w:val="16"/>
      <w:szCs w:val="16"/>
    </w:rPr>
  </w:style>
  <w:style w:type="paragraph" w:styleId="Closing">
    <w:name w:val="Closing"/>
    <w:basedOn w:val="Normal"/>
    <w:link w:val="ClosingChar"/>
    <w:semiHidden/>
    <w:unhideWhenUsed/>
    <w:rsid w:val="00ED7C85"/>
    <w:pPr>
      <w:ind w:left="4320"/>
    </w:pPr>
  </w:style>
  <w:style w:type="character" w:customStyle="1" w:styleId="ClosingChar">
    <w:name w:val="Closing Char"/>
    <w:link w:val="Closing"/>
    <w:semiHidden/>
    <w:rsid w:val="00ED7C85"/>
    <w:rPr>
      <w:rFonts w:ascii="Times New Roman" w:eastAsia="Times New Roman" w:hAnsi="Times New Roman" w:cs="Times New Roman"/>
      <w:sz w:val="24"/>
      <w:szCs w:val="20"/>
    </w:rPr>
  </w:style>
  <w:style w:type="table" w:styleId="ColorfulGrid">
    <w:name w:val="Colorful Grid"/>
    <w:basedOn w:val="TableNormal"/>
    <w:uiPriority w:val="73"/>
    <w:rsid w:val="00ED7C85"/>
    <w:pPr>
      <w:spacing w:after="0" w:line="240" w:lineRule="auto"/>
    </w:pPr>
    <w:rPr>
      <w:rFonts w:ascii="Times New Roman" w:eastAsia="MS Mincho" w:hAnsi="Times New Roman" w:cs="Times New Roman"/>
      <w:color w:val="000000"/>
      <w:sz w:val="20"/>
      <w:szCs w:val="2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ED7C85"/>
    <w:pPr>
      <w:spacing w:after="0" w:line="240" w:lineRule="auto"/>
    </w:pPr>
    <w:rPr>
      <w:rFonts w:ascii="Times New Roman" w:eastAsia="MS Mincho" w:hAnsi="Times New Roman" w:cs="Times New Roman"/>
      <w:color w:val="000000"/>
      <w:sz w:val="20"/>
      <w:szCs w:val="2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ED7C85"/>
    <w:pPr>
      <w:spacing w:after="0" w:line="240" w:lineRule="auto"/>
    </w:pPr>
    <w:rPr>
      <w:rFonts w:ascii="Times New Roman" w:eastAsia="MS Mincho" w:hAnsi="Times New Roman" w:cs="Times New Roman"/>
      <w:color w:val="000000"/>
      <w:sz w:val="20"/>
      <w:szCs w:val="2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ED7C85"/>
    <w:pPr>
      <w:spacing w:after="0" w:line="240" w:lineRule="auto"/>
    </w:pPr>
    <w:rPr>
      <w:rFonts w:ascii="Times New Roman" w:eastAsia="MS Mincho" w:hAnsi="Times New Roman" w:cs="Times New Roman"/>
      <w:color w:val="000000"/>
      <w:sz w:val="20"/>
      <w:szCs w:val="2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ED7C85"/>
    <w:pPr>
      <w:spacing w:after="0" w:line="240" w:lineRule="auto"/>
    </w:pPr>
    <w:rPr>
      <w:rFonts w:ascii="Times New Roman" w:eastAsia="MS Mincho" w:hAnsi="Times New Roman" w:cs="Times New Roman"/>
      <w:color w:val="000000"/>
      <w:sz w:val="20"/>
      <w:szCs w:val="2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ED7C85"/>
    <w:pPr>
      <w:spacing w:after="0" w:line="240" w:lineRule="auto"/>
    </w:pPr>
    <w:rPr>
      <w:rFonts w:ascii="Times New Roman" w:eastAsia="MS Mincho" w:hAnsi="Times New Roman" w:cs="Times New Roman"/>
      <w:color w:val="000000"/>
      <w:sz w:val="20"/>
      <w:szCs w:val="2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ED7C85"/>
    <w:pPr>
      <w:spacing w:after="0" w:line="240" w:lineRule="auto"/>
    </w:pPr>
    <w:rPr>
      <w:rFonts w:ascii="Times New Roman" w:eastAsia="MS Mincho" w:hAnsi="Times New Roman" w:cs="Times New Roman"/>
      <w:color w:val="000000"/>
      <w:sz w:val="20"/>
      <w:szCs w:val="2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ED7C85"/>
    <w:pPr>
      <w:spacing w:after="0" w:line="240" w:lineRule="auto"/>
    </w:pPr>
    <w:rPr>
      <w:rFonts w:ascii="Times New Roman" w:eastAsia="MS Mincho" w:hAnsi="Times New Roman" w:cs="Times New Roman"/>
      <w:color w:val="000000"/>
      <w:sz w:val="20"/>
      <w:szCs w:val="2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ED7C85"/>
    <w:pPr>
      <w:spacing w:after="0" w:line="240" w:lineRule="auto"/>
    </w:pPr>
    <w:rPr>
      <w:rFonts w:ascii="Times New Roman" w:eastAsia="MS Mincho" w:hAnsi="Times New Roman" w:cs="Times New Roman"/>
      <w:color w:val="000000"/>
      <w:sz w:val="20"/>
      <w:szCs w:val="2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ED7C85"/>
    <w:pPr>
      <w:spacing w:after="0" w:line="240" w:lineRule="auto"/>
    </w:pPr>
    <w:rPr>
      <w:rFonts w:ascii="Times New Roman" w:eastAsia="MS Mincho" w:hAnsi="Times New Roman" w:cs="Times New Roman"/>
      <w:color w:val="000000"/>
      <w:sz w:val="20"/>
      <w:szCs w:val="2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ED7C85"/>
    <w:pPr>
      <w:spacing w:after="0" w:line="240" w:lineRule="auto"/>
    </w:pPr>
    <w:rPr>
      <w:rFonts w:ascii="Times New Roman" w:eastAsia="MS Mincho" w:hAnsi="Times New Roman" w:cs="Times New Roman"/>
      <w:color w:val="000000"/>
      <w:sz w:val="20"/>
      <w:szCs w:val="2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ED7C85"/>
    <w:pPr>
      <w:spacing w:after="0" w:line="240" w:lineRule="auto"/>
    </w:pPr>
    <w:rPr>
      <w:rFonts w:ascii="Times New Roman" w:eastAsia="MS Mincho" w:hAnsi="Times New Roman" w:cs="Times New Roman"/>
      <w:color w:val="000000"/>
      <w:sz w:val="20"/>
      <w:szCs w:val="2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ED7C85"/>
    <w:pPr>
      <w:spacing w:after="0" w:line="240" w:lineRule="auto"/>
    </w:pPr>
    <w:rPr>
      <w:rFonts w:ascii="Times New Roman" w:eastAsia="MS Mincho" w:hAnsi="Times New Roman" w:cs="Times New Roman"/>
      <w:color w:val="000000"/>
      <w:sz w:val="20"/>
      <w:szCs w:val="2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ED7C85"/>
    <w:pPr>
      <w:spacing w:after="0" w:line="240" w:lineRule="auto"/>
    </w:pPr>
    <w:rPr>
      <w:rFonts w:ascii="Times New Roman" w:eastAsia="MS Mincho" w:hAnsi="Times New Roman" w:cs="Times New Roman"/>
      <w:color w:val="000000"/>
      <w:sz w:val="20"/>
      <w:szCs w:val="2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ED7C85"/>
    <w:pPr>
      <w:spacing w:after="0" w:line="240" w:lineRule="auto"/>
    </w:pPr>
    <w:rPr>
      <w:rFonts w:ascii="Times New Roman" w:eastAsia="MS Mincho" w:hAnsi="Times New Roman" w:cs="Times New Roman"/>
      <w:color w:val="000000"/>
      <w:sz w:val="20"/>
      <w:szCs w:val="2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ED7C85"/>
    <w:pPr>
      <w:spacing w:after="0" w:line="240" w:lineRule="auto"/>
    </w:pPr>
    <w:rPr>
      <w:rFonts w:ascii="Times New Roman" w:eastAsia="MS Mincho" w:hAnsi="Times New Roman" w:cs="Times New Roman"/>
      <w:color w:val="000000"/>
      <w:sz w:val="20"/>
      <w:szCs w:val="2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ED7C85"/>
    <w:pPr>
      <w:spacing w:after="0" w:line="240" w:lineRule="auto"/>
    </w:pPr>
    <w:rPr>
      <w:rFonts w:ascii="Times New Roman" w:eastAsia="MS Mincho" w:hAnsi="Times New Roman" w:cs="Times New Roman"/>
      <w:color w:val="000000"/>
      <w:sz w:val="20"/>
      <w:szCs w:val="2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ED7C85"/>
    <w:pPr>
      <w:spacing w:after="0" w:line="240" w:lineRule="auto"/>
    </w:pPr>
    <w:rPr>
      <w:rFonts w:ascii="Times New Roman" w:eastAsia="MS Mincho" w:hAnsi="Times New Roman" w:cs="Times New Roman"/>
      <w:color w:val="000000"/>
      <w:sz w:val="20"/>
      <w:szCs w:val="2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ED7C85"/>
    <w:pPr>
      <w:spacing w:after="0" w:line="240" w:lineRule="auto"/>
    </w:pPr>
    <w:rPr>
      <w:rFonts w:ascii="Times New Roman" w:eastAsia="MS Mincho" w:hAnsi="Times New Roman" w:cs="Times New Roman"/>
      <w:color w:val="000000"/>
      <w:sz w:val="20"/>
      <w:szCs w:val="2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ED7C85"/>
    <w:pPr>
      <w:spacing w:after="0" w:line="240" w:lineRule="auto"/>
    </w:pPr>
    <w:rPr>
      <w:rFonts w:ascii="Times New Roman" w:eastAsia="MS Mincho" w:hAnsi="Times New Roman" w:cs="Times New Roman"/>
      <w:color w:val="000000"/>
      <w:sz w:val="20"/>
      <w:szCs w:val="2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ED7C85"/>
    <w:pPr>
      <w:spacing w:after="0" w:line="240" w:lineRule="auto"/>
    </w:pPr>
    <w:rPr>
      <w:rFonts w:ascii="Times New Roman" w:eastAsia="MS Mincho" w:hAnsi="Times New Roman" w:cs="Times New Roman"/>
      <w:color w:val="000000"/>
      <w:sz w:val="20"/>
      <w:szCs w:val="2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ED7C85"/>
    <w:pPr>
      <w:spacing w:after="0" w:line="240" w:lineRule="auto"/>
    </w:pPr>
    <w:rPr>
      <w:rFonts w:ascii="Times New Roman" w:eastAsia="MS Mincho" w:hAnsi="Times New Roman" w:cs="Times New Roman"/>
      <w:color w:val="FFFFFF"/>
      <w:sz w:val="20"/>
      <w:szCs w:val="20"/>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ED7C85"/>
    <w:pPr>
      <w:spacing w:after="0" w:line="240" w:lineRule="auto"/>
    </w:pPr>
    <w:rPr>
      <w:rFonts w:ascii="Times New Roman" w:eastAsia="MS Mincho" w:hAnsi="Times New Roman" w:cs="Times New Roman"/>
      <w:color w:val="FFFFFF"/>
      <w:sz w:val="20"/>
      <w:szCs w:val="20"/>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ED7C85"/>
    <w:pPr>
      <w:spacing w:after="0" w:line="240" w:lineRule="auto"/>
    </w:pPr>
    <w:rPr>
      <w:rFonts w:ascii="Times New Roman" w:eastAsia="MS Mincho" w:hAnsi="Times New Roman" w:cs="Times New Roman"/>
      <w:color w:val="FFFFFF"/>
      <w:sz w:val="20"/>
      <w:szCs w:val="20"/>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ED7C85"/>
    <w:pPr>
      <w:spacing w:after="0" w:line="240" w:lineRule="auto"/>
    </w:pPr>
    <w:rPr>
      <w:rFonts w:ascii="Times New Roman" w:eastAsia="MS Mincho" w:hAnsi="Times New Roman" w:cs="Times New Roman"/>
      <w:color w:val="FFFFFF"/>
      <w:sz w:val="20"/>
      <w:szCs w:val="20"/>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ED7C85"/>
    <w:pPr>
      <w:spacing w:after="0" w:line="240" w:lineRule="auto"/>
    </w:pPr>
    <w:rPr>
      <w:rFonts w:ascii="Times New Roman" w:eastAsia="MS Mincho" w:hAnsi="Times New Roman" w:cs="Times New Roman"/>
      <w:color w:val="FFFFFF"/>
      <w:sz w:val="20"/>
      <w:szCs w:val="20"/>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ED7C85"/>
    <w:pPr>
      <w:spacing w:after="0" w:line="240" w:lineRule="auto"/>
    </w:pPr>
    <w:rPr>
      <w:rFonts w:ascii="Times New Roman" w:eastAsia="MS Mincho" w:hAnsi="Times New Roman" w:cs="Times New Roman"/>
      <w:color w:val="FFFFFF"/>
      <w:sz w:val="20"/>
      <w:szCs w:val="20"/>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ED7C85"/>
    <w:pPr>
      <w:spacing w:after="0" w:line="240" w:lineRule="auto"/>
    </w:pPr>
    <w:rPr>
      <w:rFonts w:ascii="Times New Roman" w:eastAsia="MS Mincho" w:hAnsi="Times New Roman" w:cs="Times New Roman"/>
      <w:color w:val="FFFFFF"/>
      <w:sz w:val="20"/>
      <w:szCs w:val="20"/>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paragraph" w:styleId="Date">
    <w:name w:val="Date"/>
    <w:basedOn w:val="Normal"/>
    <w:next w:val="Normal"/>
    <w:link w:val="DateChar"/>
    <w:rsid w:val="00ED7C85"/>
  </w:style>
  <w:style w:type="character" w:customStyle="1" w:styleId="DateChar">
    <w:name w:val="Date Char"/>
    <w:link w:val="Date"/>
    <w:rsid w:val="00ED7C85"/>
    <w:rPr>
      <w:rFonts w:ascii="Times New Roman" w:eastAsia="Times New Roman" w:hAnsi="Times New Roman" w:cs="Times New Roman"/>
      <w:sz w:val="24"/>
      <w:szCs w:val="20"/>
    </w:rPr>
  </w:style>
  <w:style w:type="paragraph" w:styleId="E-mailSignature">
    <w:name w:val="E-mail Signature"/>
    <w:basedOn w:val="Normal"/>
    <w:link w:val="E-mailSignatureChar"/>
    <w:semiHidden/>
    <w:unhideWhenUsed/>
    <w:rsid w:val="00ED7C85"/>
  </w:style>
  <w:style w:type="character" w:customStyle="1" w:styleId="E-mailSignatureChar">
    <w:name w:val="E-mail Signature Char"/>
    <w:link w:val="E-mailSignature"/>
    <w:semiHidden/>
    <w:rsid w:val="00ED7C85"/>
    <w:rPr>
      <w:rFonts w:ascii="Times New Roman" w:eastAsia="Times New Roman" w:hAnsi="Times New Roman" w:cs="Times New Roman"/>
      <w:sz w:val="24"/>
      <w:szCs w:val="20"/>
    </w:rPr>
  </w:style>
  <w:style w:type="character" w:styleId="EndnoteReference">
    <w:name w:val="endnote reference"/>
    <w:semiHidden/>
    <w:unhideWhenUsed/>
    <w:rsid w:val="00ED7C85"/>
    <w:rPr>
      <w:vertAlign w:val="superscript"/>
    </w:rPr>
  </w:style>
  <w:style w:type="paragraph" w:styleId="EndnoteText">
    <w:name w:val="endnote text"/>
    <w:basedOn w:val="Normal"/>
    <w:link w:val="EndnoteTextChar"/>
    <w:semiHidden/>
    <w:unhideWhenUsed/>
    <w:rsid w:val="00ED7C85"/>
    <w:rPr>
      <w:sz w:val="20"/>
    </w:rPr>
  </w:style>
  <w:style w:type="character" w:customStyle="1" w:styleId="EndnoteTextChar">
    <w:name w:val="Endnote Text Char"/>
    <w:link w:val="EndnoteText"/>
    <w:semiHidden/>
    <w:rsid w:val="00ED7C85"/>
    <w:rPr>
      <w:rFonts w:ascii="Times New Roman" w:eastAsia="Times New Roman" w:hAnsi="Times New Roman" w:cs="Times New Roman"/>
      <w:sz w:val="20"/>
      <w:szCs w:val="20"/>
    </w:rPr>
  </w:style>
  <w:style w:type="paragraph" w:styleId="EnvelopeAddress">
    <w:name w:val="envelope address"/>
    <w:basedOn w:val="Normal"/>
    <w:semiHidden/>
    <w:unhideWhenUsed/>
    <w:rsid w:val="00ED7C85"/>
    <w:pPr>
      <w:framePr w:w="7920" w:h="1980" w:hRule="exact" w:hSpace="180" w:wrap="auto" w:hAnchor="page" w:xAlign="center" w:yAlign="bottom"/>
      <w:ind w:left="2880"/>
    </w:pPr>
    <w:rPr>
      <w:rFonts w:ascii="Cambria" w:eastAsia="MS Gothic" w:hAnsi="Cambria"/>
      <w:szCs w:val="24"/>
    </w:rPr>
  </w:style>
  <w:style w:type="paragraph" w:styleId="EnvelopeReturn">
    <w:name w:val="envelope return"/>
    <w:basedOn w:val="Normal"/>
    <w:semiHidden/>
    <w:unhideWhenUsed/>
    <w:rsid w:val="00ED7C85"/>
    <w:rPr>
      <w:rFonts w:ascii="Cambria" w:eastAsia="MS Gothic" w:hAnsi="Cambria"/>
      <w:sz w:val="20"/>
    </w:rPr>
  </w:style>
  <w:style w:type="character" w:styleId="FootnoteReference">
    <w:name w:val="footnote reference"/>
    <w:semiHidden/>
    <w:rsid w:val="00ED7C85"/>
    <w:rPr>
      <w:dstrike w:val="0"/>
      <w:noProof w:val="0"/>
      <w:color w:val="auto"/>
      <w:vertAlign w:val="superscript"/>
      <w:lang w:val="en-US"/>
    </w:rPr>
  </w:style>
  <w:style w:type="paragraph" w:styleId="FootnoteText">
    <w:name w:val="footnote text"/>
    <w:link w:val="FootnoteTextChar"/>
    <w:semiHidden/>
    <w:rsid w:val="00ED7C85"/>
    <w:pPr>
      <w:tabs>
        <w:tab w:val="left" w:pos="288"/>
      </w:tabs>
      <w:spacing w:after="120" w:line="240" w:lineRule="auto"/>
      <w:ind w:left="288" w:hanging="288"/>
      <w:jc w:val="both"/>
    </w:pPr>
    <w:rPr>
      <w:rFonts w:ascii="Times New Roman" w:eastAsia="Times New Roman" w:hAnsi="Times New Roman" w:cs="Times New Roman"/>
      <w:sz w:val="20"/>
      <w:szCs w:val="20"/>
    </w:rPr>
  </w:style>
  <w:style w:type="character" w:customStyle="1" w:styleId="FootnoteTextChar">
    <w:name w:val="Footnote Text Char"/>
    <w:link w:val="FootnoteText"/>
    <w:semiHidden/>
    <w:rsid w:val="00ED7C85"/>
    <w:rPr>
      <w:rFonts w:ascii="Times New Roman" w:eastAsia="Times New Roman" w:hAnsi="Times New Roman" w:cs="Times New Roman"/>
      <w:sz w:val="20"/>
      <w:szCs w:val="20"/>
    </w:rPr>
  </w:style>
  <w:style w:type="character" w:styleId="HTMLAcronym">
    <w:name w:val="HTML Acronym"/>
    <w:basedOn w:val="DefaultParagraphFont"/>
    <w:semiHidden/>
    <w:unhideWhenUsed/>
    <w:rsid w:val="00ED7C85"/>
  </w:style>
  <w:style w:type="paragraph" w:styleId="HTMLAddress">
    <w:name w:val="HTML Address"/>
    <w:basedOn w:val="Normal"/>
    <w:link w:val="HTMLAddressChar"/>
    <w:semiHidden/>
    <w:unhideWhenUsed/>
    <w:rsid w:val="00ED7C85"/>
    <w:rPr>
      <w:i/>
      <w:iCs/>
    </w:rPr>
  </w:style>
  <w:style w:type="character" w:customStyle="1" w:styleId="HTMLAddressChar">
    <w:name w:val="HTML Address Char"/>
    <w:link w:val="HTMLAddress"/>
    <w:semiHidden/>
    <w:rsid w:val="00ED7C85"/>
    <w:rPr>
      <w:rFonts w:ascii="Times New Roman" w:eastAsia="Times New Roman" w:hAnsi="Times New Roman" w:cs="Times New Roman"/>
      <w:i/>
      <w:iCs/>
      <w:sz w:val="24"/>
      <w:szCs w:val="20"/>
    </w:rPr>
  </w:style>
  <w:style w:type="character" w:styleId="HTMLCite">
    <w:name w:val="HTML Cite"/>
    <w:semiHidden/>
    <w:unhideWhenUsed/>
    <w:rsid w:val="00ED7C85"/>
    <w:rPr>
      <w:i/>
      <w:iCs/>
    </w:rPr>
  </w:style>
  <w:style w:type="character" w:styleId="HTMLCode">
    <w:name w:val="HTML Code"/>
    <w:semiHidden/>
    <w:unhideWhenUsed/>
    <w:rsid w:val="00ED7C85"/>
    <w:rPr>
      <w:rFonts w:ascii="Consolas" w:hAnsi="Consolas" w:cs="Consolas"/>
      <w:sz w:val="20"/>
      <w:szCs w:val="20"/>
    </w:rPr>
  </w:style>
  <w:style w:type="character" w:styleId="HTMLDefinition">
    <w:name w:val="HTML Definition"/>
    <w:semiHidden/>
    <w:unhideWhenUsed/>
    <w:rsid w:val="00ED7C85"/>
    <w:rPr>
      <w:i/>
      <w:iCs/>
    </w:rPr>
  </w:style>
  <w:style w:type="character" w:styleId="HTMLKeyboard">
    <w:name w:val="HTML Keyboard"/>
    <w:rsid w:val="00B108E2"/>
    <w:rPr>
      <w:rFonts w:ascii="Courier New" w:hAnsi="Courier New"/>
      <w:sz w:val="20"/>
      <w:szCs w:val="20"/>
    </w:rPr>
  </w:style>
  <w:style w:type="paragraph" w:styleId="HTMLPreformatted">
    <w:name w:val="HTML Preformatted"/>
    <w:basedOn w:val="Normal"/>
    <w:link w:val="HTMLPreformattedChar"/>
    <w:semiHidden/>
    <w:unhideWhenUsed/>
    <w:rsid w:val="00ED7C85"/>
    <w:rPr>
      <w:rFonts w:ascii="Consolas" w:hAnsi="Consolas" w:cs="Consolas"/>
      <w:sz w:val="20"/>
    </w:rPr>
  </w:style>
  <w:style w:type="character" w:customStyle="1" w:styleId="HTMLPreformattedChar">
    <w:name w:val="HTML Preformatted Char"/>
    <w:link w:val="HTMLPreformatted"/>
    <w:semiHidden/>
    <w:rsid w:val="00ED7C85"/>
    <w:rPr>
      <w:rFonts w:ascii="Consolas" w:eastAsia="Times New Roman" w:hAnsi="Consolas" w:cs="Consolas"/>
      <w:sz w:val="20"/>
      <w:szCs w:val="20"/>
    </w:rPr>
  </w:style>
  <w:style w:type="character" w:styleId="HTMLSample">
    <w:name w:val="HTML Sample"/>
    <w:semiHidden/>
    <w:unhideWhenUsed/>
    <w:rsid w:val="00ED7C85"/>
    <w:rPr>
      <w:rFonts w:ascii="Consolas" w:hAnsi="Consolas" w:cs="Consolas"/>
      <w:sz w:val="24"/>
      <w:szCs w:val="24"/>
    </w:rPr>
  </w:style>
  <w:style w:type="character" w:styleId="HTMLTypewriter">
    <w:name w:val="HTML Typewriter"/>
    <w:uiPriority w:val="99"/>
    <w:semiHidden/>
    <w:unhideWhenUsed/>
    <w:rsid w:val="00ED7C85"/>
    <w:rPr>
      <w:rFonts w:ascii="Consolas" w:hAnsi="Consolas" w:cs="Consolas"/>
      <w:sz w:val="20"/>
      <w:szCs w:val="20"/>
    </w:rPr>
  </w:style>
  <w:style w:type="character" w:styleId="HTMLVariable">
    <w:name w:val="HTML Variable"/>
    <w:semiHidden/>
    <w:unhideWhenUsed/>
    <w:rsid w:val="00ED7C85"/>
    <w:rPr>
      <w:i/>
      <w:iCs/>
    </w:rPr>
  </w:style>
  <w:style w:type="paragraph" w:styleId="Index1">
    <w:name w:val="index 1"/>
    <w:basedOn w:val="Normal"/>
    <w:next w:val="Normal"/>
    <w:autoRedefine/>
    <w:semiHidden/>
    <w:unhideWhenUsed/>
    <w:rsid w:val="00ED7C85"/>
    <w:pPr>
      <w:ind w:left="240" w:hanging="240"/>
    </w:pPr>
  </w:style>
  <w:style w:type="paragraph" w:styleId="Index2">
    <w:name w:val="index 2"/>
    <w:basedOn w:val="Normal"/>
    <w:next w:val="Normal"/>
    <w:autoRedefine/>
    <w:semiHidden/>
    <w:unhideWhenUsed/>
    <w:rsid w:val="00ED7C85"/>
    <w:pPr>
      <w:ind w:left="480" w:hanging="240"/>
    </w:pPr>
  </w:style>
  <w:style w:type="paragraph" w:styleId="Index3">
    <w:name w:val="index 3"/>
    <w:basedOn w:val="Normal"/>
    <w:next w:val="Normal"/>
    <w:autoRedefine/>
    <w:semiHidden/>
    <w:unhideWhenUsed/>
    <w:rsid w:val="00ED7C85"/>
    <w:pPr>
      <w:ind w:left="720" w:hanging="240"/>
    </w:pPr>
  </w:style>
  <w:style w:type="paragraph" w:styleId="Index4">
    <w:name w:val="index 4"/>
    <w:basedOn w:val="Normal"/>
    <w:next w:val="Normal"/>
    <w:autoRedefine/>
    <w:semiHidden/>
    <w:unhideWhenUsed/>
    <w:rsid w:val="00ED7C85"/>
    <w:pPr>
      <w:ind w:left="960" w:hanging="240"/>
    </w:pPr>
  </w:style>
  <w:style w:type="paragraph" w:styleId="Index5">
    <w:name w:val="index 5"/>
    <w:basedOn w:val="Normal"/>
    <w:next w:val="Normal"/>
    <w:autoRedefine/>
    <w:semiHidden/>
    <w:unhideWhenUsed/>
    <w:rsid w:val="00ED7C85"/>
    <w:pPr>
      <w:ind w:left="1200" w:hanging="240"/>
    </w:pPr>
  </w:style>
  <w:style w:type="paragraph" w:styleId="Index6">
    <w:name w:val="index 6"/>
    <w:basedOn w:val="Normal"/>
    <w:next w:val="Normal"/>
    <w:autoRedefine/>
    <w:semiHidden/>
    <w:unhideWhenUsed/>
    <w:rsid w:val="00ED7C85"/>
    <w:pPr>
      <w:ind w:left="1440" w:hanging="240"/>
    </w:pPr>
  </w:style>
  <w:style w:type="paragraph" w:styleId="Index7">
    <w:name w:val="index 7"/>
    <w:basedOn w:val="Normal"/>
    <w:next w:val="Normal"/>
    <w:autoRedefine/>
    <w:semiHidden/>
    <w:unhideWhenUsed/>
    <w:rsid w:val="00ED7C85"/>
    <w:pPr>
      <w:ind w:left="1680" w:hanging="240"/>
    </w:pPr>
  </w:style>
  <w:style w:type="paragraph" w:styleId="Index8">
    <w:name w:val="index 8"/>
    <w:basedOn w:val="Normal"/>
    <w:next w:val="Normal"/>
    <w:autoRedefine/>
    <w:semiHidden/>
    <w:unhideWhenUsed/>
    <w:rsid w:val="00ED7C85"/>
    <w:pPr>
      <w:ind w:left="1920" w:hanging="240"/>
    </w:pPr>
  </w:style>
  <w:style w:type="paragraph" w:styleId="Index9">
    <w:name w:val="index 9"/>
    <w:basedOn w:val="Normal"/>
    <w:next w:val="Normal"/>
    <w:autoRedefine/>
    <w:semiHidden/>
    <w:unhideWhenUsed/>
    <w:rsid w:val="00ED7C85"/>
    <w:pPr>
      <w:ind w:left="2160" w:hanging="240"/>
    </w:pPr>
  </w:style>
  <w:style w:type="paragraph" w:styleId="IndexHeading">
    <w:name w:val="index heading"/>
    <w:basedOn w:val="Normal"/>
    <w:next w:val="Index1"/>
    <w:semiHidden/>
    <w:unhideWhenUsed/>
    <w:rsid w:val="00ED7C85"/>
    <w:rPr>
      <w:rFonts w:ascii="Cambria" w:eastAsia="MS Gothic" w:hAnsi="Cambria"/>
      <w:b/>
      <w:bCs/>
    </w:rPr>
  </w:style>
  <w:style w:type="table" w:styleId="LightGrid">
    <w:name w:val="Light Grid"/>
    <w:basedOn w:val="TableNormal"/>
    <w:uiPriority w:val="62"/>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Segoe UI Symbol" w:eastAsia="MS Gothic" w:hAnsi="Segoe UI Symbo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Segoe UI Symbol" w:eastAsia="MS Gothic" w:hAnsi="Segoe UI Symbo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Segoe UI Symbol" w:eastAsia="MS Gothic" w:hAnsi="Segoe UI Symbol" w:cs="Times New Roman"/>
        <w:b/>
        <w:bCs/>
      </w:rPr>
    </w:tblStylePr>
    <w:tblStylePr w:type="lastCol">
      <w:rPr>
        <w:rFonts w:ascii="Segoe UI Symbol" w:eastAsia="MS Gothic" w:hAnsi="Segoe UI Symbo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Segoe UI Symbol" w:eastAsia="MS Gothic" w:hAnsi="Segoe UI Symbol"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Segoe UI Symbol" w:eastAsia="MS Gothic" w:hAnsi="Segoe UI Symbol"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Segoe UI Symbol" w:eastAsia="MS Gothic" w:hAnsi="Segoe UI Symbol" w:cs="Times New Roman"/>
        <w:b/>
        <w:bCs/>
      </w:rPr>
    </w:tblStylePr>
    <w:tblStylePr w:type="lastCol">
      <w:rPr>
        <w:rFonts w:ascii="Segoe UI Symbol" w:eastAsia="MS Gothic" w:hAnsi="Segoe UI Symbol"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Segoe UI Symbol" w:eastAsia="MS Gothic" w:hAnsi="Segoe UI Symbol"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Segoe UI Symbol" w:eastAsia="MS Gothic" w:hAnsi="Segoe UI Symbol"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egoe UI Symbol" w:eastAsia="MS Gothic" w:hAnsi="Segoe UI Symbol" w:cs="Times New Roman"/>
        <w:b/>
        <w:bCs/>
      </w:rPr>
    </w:tblStylePr>
    <w:tblStylePr w:type="lastCol">
      <w:rPr>
        <w:rFonts w:ascii="Segoe UI Symbol" w:eastAsia="MS Gothic" w:hAnsi="Segoe UI Symbol"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egoe UI Symbol" w:eastAsia="MS Gothic" w:hAnsi="Segoe UI Symbol"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egoe UI Symbol" w:eastAsia="MS Gothic" w:hAnsi="Segoe UI Symbol"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egoe UI Symbol" w:eastAsia="MS Gothic" w:hAnsi="Segoe UI Symbol" w:cs="Times New Roman"/>
        <w:b/>
        <w:bCs/>
      </w:rPr>
    </w:tblStylePr>
    <w:tblStylePr w:type="lastCol">
      <w:rPr>
        <w:rFonts w:ascii="Segoe UI Symbol" w:eastAsia="MS Gothic" w:hAnsi="Segoe UI Symbol"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Segoe UI Symbol" w:eastAsia="MS Gothic" w:hAnsi="Segoe UI Symbol"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Segoe UI Symbol" w:eastAsia="MS Gothic" w:hAnsi="Segoe UI Symbol"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Segoe UI Symbol" w:eastAsia="MS Gothic" w:hAnsi="Segoe UI Symbol" w:cs="Times New Roman"/>
        <w:b/>
        <w:bCs/>
      </w:rPr>
    </w:tblStylePr>
    <w:tblStylePr w:type="lastCol">
      <w:rPr>
        <w:rFonts w:ascii="Segoe UI Symbol" w:eastAsia="MS Gothic" w:hAnsi="Segoe UI Symbol"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Segoe UI Symbol" w:eastAsia="MS Gothic" w:hAnsi="Segoe UI Symbol"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Segoe UI Symbol" w:eastAsia="MS Gothic" w:hAnsi="Segoe UI Symbol"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Segoe UI Symbol" w:eastAsia="MS Gothic" w:hAnsi="Segoe UI Symbol" w:cs="Times New Roman"/>
        <w:b/>
        <w:bCs/>
      </w:rPr>
    </w:tblStylePr>
    <w:tblStylePr w:type="lastCol">
      <w:rPr>
        <w:rFonts w:ascii="Segoe UI Symbol" w:eastAsia="MS Gothic" w:hAnsi="Segoe UI Symbol"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Segoe UI Symbol" w:eastAsia="MS Gothic" w:hAnsi="Segoe UI Symbol"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Segoe UI Symbol" w:eastAsia="MS Gothic" w:hAnsi="Segoe UI Symbol"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Segoe UI Symbol" w:eastAsia="MS Gothic" w:hAnsi="Segoe UI Symbol" w:cs="Times New Roman"/>
        <w:b/>
        <w:bCs/>
      </w:rPr>
    </w:tblStylePr>
    <w:tblStylePr w:type="lastCol">
      <w:rPr>
        <w:rFonts w:ascii="Segoe UI Symbol" w:eastAsia="MS Gothic" w:hAnsi="Segoe UI Symbol"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ED7C85"/>
    <w:pPr>
      <w:spacing w:after="0" w:line="240" w:lineRule="auto"/>
    </w:pPr>
    <w:rPr>
      <w:rFonts w:ascii="Times New Roman" w:eastAsia="MS Mincho" w:hAnsi="Times New Roman" w:cs="Times New Roman"/>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ED7C85"/>
    <w:pPr>
      <w:spacing w:after="0" w:line="240" w:lineRule="auto"/>
    </w:pPr>
    <w:rPr>
      <w:rFonts w:ascii="Times New Roman" w:eastAsia="MS Mincho" w:hAnsi="Times New Roman" w:cs="Times New Roman"/>
      <w:color w:val="365F91"/>
      <w:sz w:val="20"/>
      <w:szCs w:val="20"/>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ED7C85"/>
    <w:pPr>
      <w:spacing w:after="0" w:line="240" w:lineRule="auto"/>
    </w:pPr>
    <w:rPr>
      <w:rFonts w:ascii="Times New Roman" w:eastAsia="MS Mincho" w:hAnsi="Times New Roman" w:cs="Times New Roman"/>
      <w:color w:val="943634"/>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ED7C85"/>
    <w:pPr>
      <w:spacing w:after="0" w:line="240" w:lineRule="auto"/>
    </w:pPr>
    <w:rPr>
      <w:rFonts w:ascii="Times New Roman" w:eastAsia="MS Mincho" w:hAnsi="Times New Roman" w:cs="Times New Roman"/>
      <w:color w:val="76923C"/>
      <w:sz w:val="20"/>
      <w:szCs w:val="20"/>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ED7C85"/>
    <w:pPr>
      <w:spacing w:after="0" w:line="240" w:lineRule="auto"/>
    </w:pPr>
    <w:rPr>
      <w:rFonts w:ascii="Times New Roman" w:eastAsia="MS Mincho" w:hAnsi="Times New Roman" w:cs="Times New Roman"/>
      <w:color w:val="5F497A"/>
      <w:sz w:val="20"/>
      <w:szCs w:val="20"/>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ED7C85"/>
    <w:pPr>
      <w:spacing w:after="0" w:line="240" w:lineRule="auto"/>
    </w:pPr>
    <w:rPr>
      <w:rFonts w:ascii="Times New Roman" w:eastAsia="MS Mincho" w:hAnsi="Times New Roman" w:cs="Times New Roman"/>
      <w:color w:val="31849B"/>
      <w:sz w:val="20"/>
      <w:szCs w:val="20"/>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ED7C85"/>
    <w:pPr>
      <w:spacing w:after="0" w:line="240" w:lineRule="auto"/>
    </w:pPr>
    <w:rPr>
      <w:rFonts w:ascii="Times New Roman" w:eastAsia="MS Mincho" w:hAnsi="Times New Roman" w:cs="Times New Roman"/>
      <w:color w:val="E36C0A"/>
      <w:sz w:val="20"/>
      <w:szCs w:val="20"/>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character" w:styleId="LineNumber">
    <w:name w:val="line number"/>
    <w:basedOn w:val="DefaultParagraphFont"/>
    <w:semiHidden/>
    <w:unhideWhenUsed/>
    <w:rsid w:val="00ED7C85"/>
  </w:style>
  <w:style w:type="paragraph" w:styleId="List">
    <w:name w:val="List"/>
    <w:basedOn w:val="Normal"/>
    <w:semiHidden/>
    <w:unhideWhenUsed/>
    <w:rsid w:val="00ED7C85"/>
    <w:pPr>
      <w:ind w:left="360" w:hanging="360"/>
      <w:contextualSpacing/>
    </w:pPr>
  </w:style>
  <w:style w:type="paragraph" w:styleId="List2">
    <w:name w:val="List 2"/>
    <w:basedOn w:val="Normal"/>
    <w:semiHidden/>
    <w:unhideWhenUsed/>
    <w:rsid w:val="00ED7C85"/>
    <w:pPr>
      <w:ind w:left="720" w:hanging="360"/>
      <w:contextualSpacing/>
    </w:pPr>
  </w:style>
  <w:style w:type="paragraph" w:styleId="List3">
    <w:name w:val="List 3"/>
    <w:basedOn w:val="Normal"/>
    <w:semiHidden/>
    <w:unhideWhenUsed/>
    <w:rsid w:val="00ED7C85"/>
    <w:pPr>
      <w:ind w:left="1080" w:hanging="360"/>
      <w:contextualSpacing/>
    </w:pPr>
  </w:style>
  <w:style w:type="paragraph" w:styleId="List4">
    <w:name w:val="List 4"/>
    <w:basedOn w:val="Normal"/>
    <w:rsid w:val="00ED7C85"/>
    <w:pPr>
      <w:ind w:left="1440" w:hanging="360"/>
      <w:contextualSpacing/>
    </w:pPr>
  </w:style>
  <w:style w:type="paragraph" w:styleId="List5">
    <w:name w:val="List 5"/>
    <w:basedOn w:val="Normal"/>
    <w:rsid w:val="00ED7C85"/>
    <w:pPr>
      <w:ind w:left="1800" w:hanging="360"/>
      <w:contextualSpacing/>
    </w:pPr>
  </w:style>
  <w:style w:type="paragraph" w:styleId="ListBullet">
    <w:name w:val="List Bullet"/>
    <w:basedOn w:val="Normal"/>
    <w:link w:val="ListBulletChar"/>
    <w:autoRedefine/>
    <w:rsid w:val="00B67D4F"/>
    <w:pPr>
      <w:tabs>
        <w:tab w:val="num" w:pos="720"/>
      </w:tabs>
      <w:spacing w:before="120" w:after="100" w:line="280" w:lineRule="atLeast"/>
      <w:ind w:left="720" w:hanging="360"/>
    </w:pPr>
    <w:rPr>
      <w:rFonts w:eastAsia="SimSun" w:cs="Times New Roman"/>
      <w:szCs w:val="24"/>
      <w:lang w:eastAsia="zh-CN"/>
    </w:rPr>
  </w:style>
  <w:style w:type="paragraph" w:styleId="ListBullet2">
    <w:name w:val="List Bullet 2"/>
    <w:basedOn w:val="Normal"/>
    <w:semiHidden/>
    <w:unhideWhenUsed/>
    <w:rsid w:val="00ED7C85"/>
    <w:pPr>
      <w:tabs>
        <w:tab w:val="num" w:pos="720"/>
      </w:tabs>
      <w:ind w:left="720" w:hanging="360"/>
      <w:contextualSpacing/>
    </w:pPr>
  </w:style>
  <w:style w:type="paragraph" w:styleId="ListBullet3">
    <w:name w:val="List Bullet 3"/>
    <w:basedOn w:val="Normal"/>
    <w:semiHidden/>
    <w:unhideWhenUsed/>
    <w:rsid w:val="00ED7C85"/>
    <w:pPr>
      <w:tabs>
        <w:tab w:val="num" w:pos="1080"/>
      </w:tabs>
      <w:ind w:left="1080" w:hanging="360"/>
      <w:contextualSpacing/>
    </w:pPr>
  </w:style>
  <w:style w:type="paragraph" w:styleId="ListBullet4">
    <w:name w:val="List Bullet 4"/>
    <w:basedOn w:val="Normal"/>
    <w:semiHidden/>
    <w:unhideWhenUsed/>
    <w:rsid w:val="00ED7C85"/>
    <w:pPr>
      <w:tabs>
        <w:tab w:val="num" w:pos="1440"/>
      </w:tabs>
      <w:ind w:left="1440" w:hanging="360"/>
      <w:contextualSpacing/>
    </w:pPr>
  </w:style>
  <w:style w:type="paragraph" w:styleId="ListBullet5">
    <w:name w:val="List Bullet 5"/>
    <w:basedOn w:val="Normal"/>
    <w:semiHidden/>
    <w:unhideWhenUsed/>
    <w:rsid w:val="00ED7C85"/>
    <w:pPr>
      <w:tabs>
        <w:tab w:val="num" w:pos="1800"/>
      </w:tabs>
      <w:ind w:left="1800" w:hanging="360"/>
      <w:contextualSpacing/>
    </w:pPr>
  </w:style>
  <w:style w:type="paragraph" w:styleId="ListContinue">
    <w:name w:val="List Continue"/>
    <w:basedOn w:val="Normal"/>
    <w:semiHidden/>
    <w:unhideWhenUsed/>
    <w:rsid w:val="00ED7C85"/>
    <w:pPr>
      <w:ind w:left="360"/>
      <w:contextualSpacing/>
    </w:pPr>
  </w:style>
  <w:style w:type="paragraph" w:styleId="ListContinue2">
    <w:name w:val="List Continue 2"/>
    <w:basedOn w:val="Normal"/>
    <w:semiHidden/>
    <w:unhideWhenUsed/>
    <w:rsid w:val="00ED7C85"/>
    <w:pPr>
      <w:ind w:left="720"/>
      <w:contextualSpacing/>
    </w:pPr>
  </w:style>
  <w:style w:type="paragraph" w:styleId="ListContinue3">
    <w:name w:val="List Continue 3"/>
    <w:basedOn w:val="Normal"/>
    <w:semiHidden/>
    <w:unhideWhenUsed/>
    <w:rsid w:val="00ED7C85"/>
    <w:pPr>
      <w:ind w:left="1080"/>
      <w:contextualSpacing/>
    </w:pPr>
  </w:style>
  <w:style w:type="paragraph" w:styleId="ListContinue4">
    <w:name w:val="List Continue 4"/>
    <w:basedOn w:val="Normal"/>
    <w:semiHidden/>
    <w:unhideWhenUsed/>
    <w:rsid w:val="00ED7C85"/>
    <w:pPr>
      <w:ind w:left="1440"/>
      <w:contextualSpacing/>
    </w:pPr>
  </w:style>
  <w:style w:type="paragraph" w:styleId="ListContinue5">
    <w:name w:val="List Continue 5"/>
    <w:basedOn w:val="Normal"/>
    <w:semiHidden/>
    <w:unhideWhenUsed/>
    <w:rsid w:val="00ED7C85"/>
    <w:pPr>
      <w:ind w:left="1800"/>
      <w:contextualSpacing/>
    </w:pPr>
  </w:style>
  <w:style w:type="paragraph" w:styleId="ListNumber">
    <w:name w:val="List Number"/>
    <w:basedOn w:val="Normal"/>
    <w:rsid w:val="00ED7C85"/>
    <w:pPr>
      <w:tabs>
        <w:tab w:val="num" w:pos="360"/>
      </w:tabs>
      <w:ind w:left="360" w:hanging="360"/>
      <w:contextualSpacing/>
    </w:pPr>
  </w:style>
  <w:style w:type="paragraph" w:styleId="ListNumber2">
    <w:name w:val="List Number 2"/>
    <w:basedOn w:val="Normal"/>
    <w:semiHidden/>
    <w:unhideWhenUsed/>
    <w:rsid w:val="00ED7C85"/>
    <w:pPr>
      <w:tabs>
        <w:tab w:val="num" w:pos="720"/>
      </w:tabs>
      <w:ind w:left="720" w:hanging="360"/>
      <w:contextualSpacing/>
    </w:pPr>
  </w:style>
  <w:style w:type="paragraph" w:styleId="ListNumber3">
    <w:name w:val="List Number 3"/>
    <w:basedOn w:val="Normal"/>
    <w:semiHidden/>
    <w:unhideWhenUsed/>
    <w:rsid w:val="00ED7C85"/>
    <w:pPr>
      <w:tabs>
        <w:tab w:val="num" w:pos="1080"/>
      </w:tabs>
      <w:ind w:left="1080" w:hanging="360"/>
      <w:contextualSpacing/>
    </w:pPr>
  </w:style>
  <w:style w:type="paragraph" w:styleId="ListNumber4">
    <w:name w:val="List Number 4"/>
    <w:basedOn w:val="Normal"/>
    <w:semiHidden/>
    <w:unhideWhenUsed/>
    <w:rsid w:val="00ED7C85"/>
    <w:pPr>
      <w:tabs>
        <w:tab w:val="num" w:pos="1440"/>
      </w:tabs>
      <w:ind w:left="1440" w:hanging="360"/>
      <w:contextualSpacing/>
    </w:pPr>
  </w:style>
  <w:style w:type="paragraph" w:styleId="ListNumber5">
    <w:name w:val="List Number 5"/>
    <w:basedOn w:val="Normal"/>
    <w:semiHidden/>
    <w:unhideWhenUsed/>
    <w:rsid w:val="00ED7C85"/>
    <w:pPr>
      <w:tabs>
        <w:tab w:val="num" w:pos="1800"/>
      </w:tabs>
      <w:ind w:left="1800" w:hanging="360"/>
      <w:contextualSpacing/>
    </w:pPr>
  </w:style>
  <w:style w:type="paragraph" w:styleId="MacroText">
    <w:name w:val="macro"/>
    <w:link w:val="MacroTextChar"/>
    <w:semiHidden/>
    <w:unhideWhenUsed/>
    <w:rsid w:val="00ED7C85"/>
    <w:pPr>
      <w:tabs>
        <w:tab w:val="left" w:pos="480"/>
        <w:tab w:val="left" w:pos="960"/>
        <w:tab w:val="left" w:pos="1440"/>
        <w:tab w:val="left" w:pos="1920"/>
        <w:tab w:val="left" w:pos="2400"/>
        <w:tab w:val="left" w:pos="2880"/>
        <w:tab w:val="left" w:pos="3360"/>
        <w:tab w:val="left" w:pos="3840"/>
        <w:tab w:val="left" w:pos="4320"/>
      </w:tabs>
      <w:spacing w:before="120" w:after="0" w:line="280" w:lineRule="atLeast"/>
    </w:pPr>
    <w:rPr>
      <w:rFonts w:ascii="Consolas" w:eastAsia="Times New Roman" w:hAnsi="Consolas" w:cs="Consolas"/>
      <w:sz w:val="20"/>
      <w:szCs w:val="20"/>
    </w:rPr>
  </w:style>
  <w:style w:type="character" w:customStyle="1" w:styleId="MacroTextChar">
    <w:name w:val="Macro Text Char"/>
    <w:link w:val="MacroText"/>
    <w:semiHidden/>
    <w:rsid w:val="00ED7C85"/>
    <w:rPr>
      <w:rFonts w:ascii="Consolas" w:eastAsia="Times New Roman" w:hAnsi="Consolas" w:cs="Consolas"/>
      <w:sz w:val="20"/>
      <w:szCs w:val="20"/>
    </w:rPr>
  </w:style>
  <w:style w:type="table" w:styleId="MediumGrid1">
    <w:name w:val="Medium Grid 1"/>
    <w:basedOn w:val="TableNormal"/>
    <w:uiPriority w:val="67"/>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ED7C85"/>
    <w:pPr>
      <w:spacing w:after="0" w:line="240" w:lineRule="auto"/>
    </w:pPr>
    <w:rPr>
      <w:rFonts w:ascii="Cambria" w:eastAsia="MS Gothic" w:hAnsi="Cambria" w:cs="Times New Roman"/>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ED7C85"/>
    <w:pPr>
      <w:spacing w:after="0" w:line="240" w:lineRule="auto"/>
    </w:pPr>
    <w:rPr>
      <w:rFonts w:ascii="Cambria" w:eastAsia="MS Gothic" w:hAnsi="Cambria" w:cs="Times New Roman"/>
      <w:color w:val="000000"/>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ED7C85"/>
    <w:pPr>
      <w:spacing w:after="0" w:line="240" w:lineRule="auto"/>
    </w:pPr>
    <w:rPr>
      <w:rFonts w:ascii="Cambria" w:eastAsia="MS Gothic" w:hAnsi="Cambria" w:cs="Times New Roman"/>
      <w:color w:val="000000"/>
      <w:sz w:val="20"/>
      <w:szCs w:val="2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ED7C85"/>
    <w:pPr>
      <w:spacing w:after="0" w:line="240" w:lineRule="auto"/>
    </w:pPr>
    <w:rPr>
      <w:rFonts w:ascii="Cambria" w:eastAsia="MS Gothic" w:hAnsi="Cambria" w:cs="Times New Roman"/>
      <w:color w:val="000000"/>
      <w:sz w:val="20"/>
      <w:szCs w:val="2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ED7C85"/>
    <w:pPr>
      <w:spacing w:after="0" w:line="240" w:lineRule="auto"/>
    </w:pPr>
    <w:rPr>
      <w:rFonts w:ascii="Cambria" w:eastAsia="MS Gothic" w:hAnsi="Cambria" w:cs="Times New Roman"/>
      <w:color w:val="000000"/>
      <w:sz w:val="20"/>
      <w:szCs w:val="2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ED7C85"/>
    <w:pPr>
      <w:spacing w:after="0" w:line="240" w:lineRule="auto"/>
    </w:pPr>
    <w:rPr>
      <w:rFonts w:ascii="Cambria" w:eastAsia="MS Gothic" w:hAnsi="Cambria" w:cs="Times New Roman"/>
      <w:color w:val="000000"/>
      <w:sz w:val="20"/>
      <w:szCs w:val="2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ED7C85"/>
    <w:pPr>
      <w:spacing w:after="0" w:line="240" w:lineRule="auto"/>
    </w:pPr>
    <w:rPr>
      <w:rFonts w:ascii="Cambria" w:eastAsia="MS Gothic" w:hAnsi="Cambria" w:cs="Times New Roman"/>
      <w:color w:val="000000"/>
      <w:sz w:val="20"/>
      <w:szCs w:val="2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ED7C85"/>
    <w:pPr>
      <w:spacing w:after="0" w:line="240" w:lineRule="auto"/>
    </w:pPr>
    <w:rPr>
      <w:rFonts w:ascii="Times New Roman" w:eastAsia="MS Mincho" w:hAnsi="Times New Roman" w:cs="Times New Roman"/>
      <w:color w:val="000000"/>
      <w:sz w:val="20"/>
      <w:szCs w:val="20"/>
    </w:rPr>
    <w:tblPr>
      <w:tblStyleRowBandSize w:val="1"/>
      <w:tblStyleColBandSize w:val="1"/>
      <w:tblBorders>
        <w:top w:val="single" w:sz="8" w:space="0" w:color="000000"/>
        <w:bottom w:val="single" w:sz="8" w:space="0" w:color="000000"/>
      </w:tblBorders>
    </w:tblPr>
    <w:tblStylePr w:type="firstRow">
      <w:rPr>
        <w:rFonts w:ascii="Segoe UI Symbol" w:eastAsia="MS Gothic" w:hAnsi="Segoe UI Symbol"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ED7C85"/>
    <w:pPr>
      <w:spacing w:after="0" w:line="240" w:lineRule="auto"/>
    </w:pPr>
    <w:rPr>
      <w:rFonts w:ascii="Times New Roman" w:eastAsia="MS Mincho" w:hAnsi="Times New Roman" w:cs="Times New Roman"/>
      <w:color w:val="000000"/>
      <w:sz w:val="20"/>
      <w:szCs w:val="20"/>
    </w:rPr>
    <w:tblPr>
      <w:tblStyleRowBandSize w:val="1"/>
      <w:tblStyleColBandSize w:val="1"/>
      <w:tblBorders>
        <w:top w:val="single" w:sz="8" w:space="0" w:color="4F81BD"/>
        <w:bottom w:val="single" w:sz="8" w:space="0" w:color="4F81BD"/>
      </w:tblBorders>
    </w:tblPr>
    <w:tblStylePr w:type="firstRow">
      <w:rPr>
        <w:rFonts w:ascii="Segoe UI Symbol" w:eastAsia="MS Gothic" w:hAnsi="Segoe UI Symbol"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ED7C85"/>
    <w:pPr>
      <w:spacing w:after="0" w:line="240" w:lineRule="auto"/>
    </w:pPr>
    <w:rPr>
      <w:rFonts w:ascii="Times New Roman" w:eastAsia="MS Mincho" w:hAnsi="Times New Roman" w:cs="Times New Roman"/>
      <w:color w:val="000000"/>
      <w:sz w:val="20"/>
      <w:szCs w:val="20"/>
    </w:rPr>
    <w:tblPr>
      <w:tblStyleRowBandSize w:val="1"/>
      <w:tblStyleColBandSize w:val="1"/>
      <w:tblBorders>
        <w:top w:val="single" w:sz="8" w:space="0" w:color="C0504D"/>
        <w:bottom w:val="single" w:sz="8" w:space="0" w:color="C0504D"/>
      </w:tblBorders>
    </w:tblPr>
    <w:tblStylePr w:type="firstRow">
      <w:rPr>
        <w:rFonts w:ascii="Segoe UI Symbol" w:eastAsia="MS Gothic" w:hAnsi="Segoe UI Symbol"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ED7C85"/>
    <w:pPr>
      <w:spacing w:after="0" w:line="240" w:lineRule="auto"/>
    </w:pPr>
    <w:rPr>
      <w:rFonts w:ascii="Times New Roman" w:eastAsia="MS Mincho" w:hAnsi="Times New Roman" w:cs="Times New Roman"/>
      <w:color w:val="000000"/>
      <w:sz w:val="20"/>
      <w:szCs w:val="20"/>
    </w:rPr>
    <w:tblPr>
      <w:tblStyleRowBandSize w:val="1"/>
      <w:tblStyleColBandSize w:val="1"/>
      <w:tblBorders>
        <w:top w:val="single" w:sz="8" w:space="0" w:color="9BBB59"/>
        <w:bottom w:val="single" w:sz="8" w:space="0" w:color="9BBB59"/>
      </w:tblBorders>
    </w:tblPr>
    <w:tblStylePr w:type="firstRow">
      <w:rPr>
        <w:rFonts w:ascii="Segoe UI Symbol" w:eastAsia="MS Gothic" w:hAnsi="Segoe UI Symbol"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ED7C85"/>
    <w:pPr>
      <w:spacing w:after="0" w:line="240" w:lineRule="auto"/>
    </w:pPr>
    <w:rPr>
      <w:rFonts w:ascii="Times New Roman" w:eastAsia="MS Mincho" w:hAnsi="Times New Roman" w:cs="Times New Roman"/>
      <w:color w:val="000000"/>
      <w:sz w:val="20"/>
      <w:szCs w:val="20"/>
    </w:rPr>
    <w:tblPr>
      <w:tblStyleRowBandSize w:val="1"/>
      <w:tblStyleColBandSize w:val="1"/>
      <w:tblBorders>
        <w:top w:val="single" w:sz="8" w:space="0" w:color="8064A2"/>
        <w:bottom w:val="single" w:sz="8" w:space="0" w:color="8064A2"/>
      </w:tblBorders>
    </w:tblPr>
    <w:tblStylePr w:type="firstRow">
      <w:rPr>
        <w:rFonts w:ascii="Segoe UI Symbol" w:eastAsia="MS Gothic" w:hAnsi="Segoe UI Symbol"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ED7C85"/>
    <w:pPr>
      <w:spacing w:after="0" w:line="240" w:lineRule="auto"/>
    </w:pPr>
    <w:rPr>
      <w:rFonts w:ascii="Times New Roman" w:eastAsia="MS Mincho" w:hAnsi="Times New Roman" w:cs="Times New Roman"/>
      <w:color w:val="000000"/>
      <w:sz w:val="20"/>
      <w:szCs w:val="20"/>
    </w:rPr>
    <w:tblPr>
      <w:tblStyleRowBandSize w:val="1"/>
      <w:tblStyleColBandSize w:val="1"/>
      <w:tblBorders>
        <w:top w:val="single" w:sz="8" w:space="0" w:color="4BACC6"/>
        <w:bottom w:val="single" w:sz="8" w:space="0" w:color="4BACC6"/>
      </w:tblBorders>
    </w:tblPr>
    <w:tblStylePr w:type="firstRow">
      <w:rPr>
        <w:rFonts w:ascii="Segoe UI Symbol" w:eastAsia="MS Gothic" w:hAnsi="Segoe UI Symbol"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ED7C85"/>
    <w:pPr>
      <w:spacing w:after="0" w:line="240" w:lineRule="auto"/>
    </w:pPr>
    <w:rPr>
      <w:rFonts w:ascii="Times New Roman" w:eastAsia="MS Mincho" w:hAnsi="Times New Roman" w:cs="Times New Roman"/>
      <w:color w:val="000000"/>
      <w:sz w:val="20"/>
      <w:szCs w:val="20"/>
    </w:rPr>
    <w:tblPr>
      <w:tblStyleRowBandSize w:val="1"/>
      <w:tblStyleColBandSize w:val="1"/>
      <w:tblBorders>
        <w:top w:val="single" w:sz="8" w:space="0" w:color="F79646"/>
        <w:bottom w:val="single" w:sz="8" w:space="0" w:color="F79646"/>
      </w:tblBorders>
    </w:tblPr>
    <w:tblStylePr w:type="firstRow">
      <w:rPr>
        <w:rFonts w:ascii="Segoe UI Symbol" w:eastAsia="MS Gothic" w:hAnsi="Segoe UI Symbol"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ED7C85"/>
    <w:pPr>
      <w:spacing w:after="0" w:line="240" w:lineRule="auto"/>
    </w:pPr>
    <w:rPr>
      <w:rFonts w:ascii="Cambria" w:eastAsia="MS Gothic" w:hAnsi="Cambria" w:cs="Times New Roman"/>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ED7C85"/>
    <w:pPr>
      <w:spacing w:after="0" w:line="240" w:lineRule="auto"/>
    </w:pPr>
    <w:rPr>
      <w:rFonts w:ascii="Cambria" w:eastAsia="MS Gothic" w:hAnsi="Cambria" w:cs="Times New Roman"/>
      <w:color w:val="000000"/>
      <w:sz w:val="20"/>
      <w:szCs w:val="2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ED7C85"/>
    <w:pPr>
      <w:spacing w:after="0" w:line="240" w:lineRule="auto"/>
    </w:pPr>
    <w:rPr>
      <w:rFonts w:ascii="Cambria" w:eastAsia="MS Gothic" w:hAnsi="Cambria" w:cs="Times New Roman"/>
      <w:color w:val="000000"/>
      <w:sz w:val="20"/>
      <w:szCs w:val="2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ED7C85"/>
    <w:pPr>
      <w:spacing w:after="0" w:line="240" w:lineRule="auto"/>
    </w:pPr>
    <w:rPr>
      <w:rFonts w:ascii="Cambria" w:eastAsia="MS Gothic" w:hAnsi="Cambria" w:cs="Times New Roman"/>
      <w:color w:val="000000"/>
      <w:sz w:val="20"/>
      <w:szCs w:val="2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ED7C85"/>
    <w:pPr>
      <w:spacing w:after="0" w:line="240" w:lineRule="auto"/>
    </w:pPr>
    <w:rPr>
      <w:rFonts w:ascii="Cambria" w:eastAsia="MS Gothic" w:hAnsi="Cambria" w:cs="Times New Roman"/>
      <w:color w:val="000000"/>
      <w:sz w:val="20"/>
      <w:szCs w:val="2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ED7C85"/>
    <w:pPr>
      <w:spacing w:after="0" w:line="240" w:lineRule="auto"/>
    </w:pPr>
    <w:rPr>
      <w:rFonts w:ascii="Cambria" w:eastAsia="MS Gothic" w:hAnsi="Cambria" w:cs="Times New Roman"/>
      <w:color w:val="000000"/>
      <w:sz w:val="20"/>
      <w:szCs w:val="2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ED7C85"/>
    <w:pPr>
      <w:spacing w:after="0" w:line="240" w:lineRule="auto"/>
    </w:pPr>
    <w:rPr>
      <w:rFonts w:ascii="Cambria" w:eastAsia="MS Gothic" w:hAnsi="Cambria" w:cs="Times New Roman"/>
      <w:color w:val="000000"/>
      <w:sz w:val="20"/>
      <w:szCs w:val="2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semiHidden/>
    <w:unhideWhenUsed/>
    <w:rsid w:val="00ED7C85"/>
    <w:pPr>
      <w:pBdr>
        <w:top w:val="single" w:sz="6" w:space="1" w:color="auto"/>
        <w:left w:val="single" w:sz="6" w:space="1" w:color="auto"/>
        <w:bottom w:val="single" w:sz="6" w:space="1" w:color="auto"/>
        <w:right w:val="single" w:sz="6" w:space="1" w:color="auto"/>
      </w:pBdr>
      <w:shd w:val="pct20" w:color="auto" w:fill="auto"/>
      <w:ind w:left="1080" w:hanging="1080"/>
    </w:pPr>
    <w:rPr>
      <w:rFonts w:ascii="Cambria" w:eastAsia="MS Gothic" w:hAnsi="Cambria"/>
      <w:szCs w:val="24"/>
    </w:rPr>
  </w:style>
  <w:style w:type="character" w:customStyle="1" w:styleId="MessageHeaderChar">
    <w:name w:val="Message Header Char"/>
    <w:link w:val="MessageHeader"/>
    <w:semiHidden/>
    <w:rsid w:val="00ED7C85"/>
    <w:rPr>
      <w:rFonts w:ascii="Cambria" w:eastAsia="MS Gothic" w:hAnsi="Cambria" w:cs="Times New Roman"/>
      <w:sz w:val="24"/>
      <w:szCs w:val="24"/>
      <w:shd w:val="pct20" w:color="auto" w:fill="auto"/>
    </w:rPr>
  </w:style>
  <w:style w:type="paragraph" w:styleId="NormalWeb">
    <w:name w:val="Normal (Web)"/>
    <w:basedOn w:val="Normal"/>
    <w:uiPriority w:val="99"/>
    <w:unhideWhenUsed/>
    <w:rsid w:val="00ED7C85"/>
    <w:rPr>
      <w:szCs w:val="24"/>
    </w:rPr>
  </w:style>
  <w:style w:type="paragraph" w:styleId="NormalIndent">
    <w:name w:val="Normal Indent"/>
    <w:basedOn w:val="Normal"/>
    <w:uiPriority w:val="99"/>
    <w:semiHidden/>
    <w:unhideWhenUsed/>
    <w:rsid w:val="00ED7C85"/>
    <w:pPr>
      <w:ind w:left="720"/>
    </w:pPr>
  </w:style>
  <w:style w:type="paragraph" w:styleId="NoteHeading">
    <w:name w:val="Note Heading"/>
    <w:basedOn w:val="Normal"/>
    <w:next w:val="Normal"/>
    <w:link w:val="NoteHeadingChar"/>
    <w:semiHidden/>
    <w:unhideWhenUsed/>
    <w:rsid w:val="00ED7C85"/>
  </w:style>
  <w:style w:type="character" w:customStyle="1" w:styleId="NoteHeadingChar">
    <w:name w:val="Note Heading Char"/>
    <w:link w:val="NoteHeading"/>
    <w:semiHidden/>
    <w:rsid w:val="00ED7C85"/>
    <w:rPr>
      <w:rFonts w:ascii="Times New Roman" w:eastAsia="Times New Roman" w:hAnsi="Times New Roman" w:cs="Times New Roman"/>
      <w:sz w:val="24"/>
      <w:szCs w:val="20"/>
    </w:rPr>
  </w:style>
  <w:style w:type="paragraph" w:styleId="PlainText">
    <w:name w:val="Plain Text"/>
    <w:basedOn w:val="Normal"/>
    <w:link w:val="PlainTextChar"/>
    <w:semiHidden/>
    <w:unhideWhenUsed/>
    <w:rsid w:val="00ED7C85"/>
    <w:rPr>
      <w:rFonts w:ascii="Consolas" w:hAnsi="Consolas" w:cs="Consolas"/>
      <w:sz w:val="21"/>
      <w:szCs w:val="21"/>
    </w:rPr>
  </w:style>
  <w:style w:type="character" w:customStyle="1" w:styleId="PlainTextChar">
    <w:name w:val="Plain Text Char"/>
    <w:link w:val="PlainText"/>
    <w:semiHidden/>
    <w:rsid w:val="00ED7C85"/>
    <w:rPr>
      <w:rFonts w:ascii="Consolas" w:eastAsia="Times New Roman" w:hAnsi="Consolas" w:cs="Consolas"/>
      <w:sz w:val="21"/>
      <w:szCs w:val="21"/>
    </w:rPr>
  </w:style>
  <w:style w:type="paragraph" w:styleId="Quote">
    <w:name w:val="Quote"/>
    <w:basedOn w:val="Normal"/>
    <w:next w:val="Normal"/>
    <w:link w:val="QuoteChar"/>
    <w:uiPriority w:val="29"/>
    <w:qFormat/>
    <w:rsid w:val="00ED7C85"/>
    <w:rPr>
      <w:i/>
      <w:iCs/>
      <w:color w:val="000000"/>
    </w:rPr>
  </w:style>
  <w:style w:type="character" w:customStyle="1" w:styleId="QuoteChar">
    <w:name w:val="Quote Char"/>
    <w:link w:val="Quote"/>
    <w:uiPriority w:val="29"/>
    <w:rsid w:val="00ED7C85"/>
    <w:rPr>
      <w:rFonts w:ascii="Times New Roman" w:eastAsia="Times New Roman" w:hAnsi="Times New Roman" w:cs="Times New Roman"/>
      <w:i/>
      <w:iCs/>
      <w:color w:val="000000"/>
      <w:sz w:val="24"/>
      <w:szCs w:val="20"/>
    </w:rPr>
  </w:style>
  <w:style w:type="paragraph" w:styleId="Salutation">
    <w:name w:val="Salutation"/>
    <w:basedOn w:val="Normal"/>
    <w:next w:val="Normal"/>
    <w:link w:val="SalutationChar"/>
    <w:rsid w:val="00ED7C85"/>
  </w:style>
  <w:style w:type="character" w:customStyle="1" w:styleId="SalutationChar">
    <w:name w:val="Salutation Char"/>
    <w:link w:val="Salutation"/>
    <w:rsid w:val="00ED7C85"/>
    <w:rPr>
      <w:rFonts w:ascii="Times New Roman" w:eastAsia="Times New Roman" w:hAnsi="Times New Roman" w:cs="Times New Roman"/>
      <w:sz w:val="24"/>
      <w:szCs w:val="20"/>
    </w:rPr>
  </w:style>
  <w:style w:type="paragraph" w:styleId="Signature">
    <w:name w:val="Signature"/>
    <w:basedOn w:val="Normal"/>
    <w:link w:val="SignatureChar"/>
    <w:semiHidden/>
    <w:unhideWhenUsed/>
    <w:rsid w:val="00ED7C85"/>
    <w:pPr>
      <w:ind w:left="4320"/>
    </w:pPr>
  </w:style>
  <w:style w:type="character" w:customStyle="1" w:styleId="SignatureChar">
    <w:name w:val="Signature Char"/>
    <w:link w:val="Signature"/>
    <w:semiHidden/>
    <w:rsid w:val="00ED7C85"/>
    <w:rPr>
      <w:rFonts w:ascii="Times New Roman" w:eastAsia="Times New Roman" w:hAnsi="Times New Roman" w:cs="Times New Roman"/>
      <w:sz w:val="24"/>
      <w:szCs w:val="20"/>
    </w:rPr>
  </w:style>
  <w:style w:type="table" w:styleId="Table3Deffects1">
    <w:name w:val="Table 3D effects 1"/>
    <w:basedOn w:val="TableNormal"/>
    <w:semiHidden/>
    <w:unhideWhenUsed/>
    <w:rsid w:val="00ED7C85"/>
    <w:pPr>
      <w:spacing w:before="120" w:after="120" w:line="280" w:lineRule="atLeast"/>
    </w:pPr>
    <w:rPr>
      <w:rFonts w:ascii="Times New Roman" w:eastAsia="MS Mincho"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unhideWhenUsed/>
    <w:rsid w:val="00ED7C85"/>
    <w:pPr>
      <w:spacing w:before="120" w:after="120" w:line="280" w:lineRule="atLeast"/>
    </w:pPr>
    <w:rPr>
      <w:rFonts w:ascii="Times New Roman" w:eastAsia="MS Mincho"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unhideWhenUsed/>
    <w:rsid w:val="00ED7C85"/>
    <w:pPr>
      <w:spacing w:before="120" w:after="120" w:line="280" w:lineRule="atLeast"/>
    </w:pPr>
    <w:rPr>
      <w:rFonts w:ascii="Times New Roman" w:eastAsia="MS Mincho"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unhideWhenUsed/>
    <w:rsid w:val="00ED7C85"/>
    <w:pPr>
      <w:spacing w:before="120" w:after="120" w:line="280" w:lineRule="atLeast"/>
    </w:pPr>
    <w:rPr>
      <w:rFonts w:ascii="Times New Roman" w:eastAsia="MS Mincho"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unhideWhenUsed/>
    <w:rsid w:val="00ED7C85"/>
    <w:pPr>
      <w:spacing w:before="120" w:after="120" w:line="280" w:lineRule="atLeast"/>
    </w:pPr>
    <w:rPr>
      <w:rFonts w:ascii="Times New Roman" w:eastAsia="MS Mincho"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unhideWhenUsed/>
    <w:rsid w:val="00ED7C85"/>
    <w:pPr>
      <w:spacing w:before="120" w:after="120" w:line="280" w:lineRule="atLeast"/>
    </w:pPr>
    <w:rPr>
      <w:rFonts w:ascii="Times New Roman" w:eastAsia="MS Mincho"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unhideWhenUsed/>
    <w:rsid w:val="00ED7C85"/>
    <w:pPr>
      <w:spacing w:before="120" w:after="120" w:line="280" w:lineRule="atLeast"/>
    </w:pPr>
    <w:rPr>
      <w:rFonts w:ascii="Times New Roman" w:eastAsia="MS Mincho"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unhideWhenUsed/>
    <w:rsid w:val="00ED7C85"/>
    <w:pPr>
      <w:spacing w:before="120" w:after="120" w:line="280" w:lineRule="atLeast"/>
    </w:pPr>
    <w:rPr>
      <w:rFonts w:ascii="Times New Roman" w:eastAsia="MS Mincho" w:hAnsi="Times New Roman" w:cs="Times New Roman"/>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unhideWhenUsed/>
    <w:rsid w:val="00ED7C85"/>
    <w:pPr>
      <w:spacing w:before="120" w:after="120" w:line="280" w:lineRule="atLeast"/>
    </w:pPr>
    <w:rPr>
      <w:rFonts w:ascii="Times New Roman" w:eastAsia="MS Mincho"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unhideWhenUsed/>
    <w:rsid w:val="00ED7C85"/>
    <w:pPr>
      <w:spacing w:before="120" w:after="120" w:line="280" w:lineRule="atLeast"/>
    </w:pPr>
    <w:rPr>
      <w:rFonts w:ascii="Times New Roman" w:eastAsia="MS Mincho"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unhideWhenUsed/>
    <w:rsid w:val="00ED7C85"/>
    <w:pPr>
      <w:spacing w:before="120" w:after="120" w:line="280" w:lineRule="atLeast"/>
    </w:pPr>
    <w:rPr>
      <w:rFonts w:ascii="Times New Roman" w:eastAsia="MS Mincho"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unhideWhenUsed/>
    <w:rsid w:val="00ED7C85"/>
    <w:pPr>
      <w:spacing w:before="120" w:after="120" w:line="280" w:lineRule="atLeast"/>
    </w:pPr>
    <w:rPr>
      <w:rFonts w:ascii="Times New Roman" w:eastAsia="MS Mincho"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unhideWhenUsed/>
    <w:rsid w:val="00ED7C85"/>
    <w:pPr>
      <w:spacing w:before="120" w:after="120" w:line="280" w:lineRule="atLeast"/>
    </w:pPr>
    <w:rPr>
      <w:rFonts w:ascii="Times New Roman" w:eastAsia="MS Mincho"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unhideWhenUsed/>
    <w:rsid w:val="00ED7C85"/>
    <w:pPr>
      <w:spacing w:before="120" w:after="120" w:line="280" w:lineRule="atLeast"/>
    </w:pPr>
    <w:rPr>
      <w:rFonts w:ascii="Times New Roman" w:eastAsia="MS Mincho"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unhideWhenUsed/>
    <w:rsid w:val="00ED7C85"/>
    <w:pPr>
      <w:spacing w:before="120" w:after="120" w:line="280" w:lineRule="atLeast"/>
    </w:pPr>
    <w:rPr>
      <w:rFonts w:ascii="Times New Roman" w:eastAsia="MS Mincho"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unhideWhenUsed/>
    <w:rsid w:val="00ED7C85"/>
    <w:pPr>
      <w:spacing w:before="120" w:after="120" w:line="280" w:lineRule="atLeast"/>
    </w:pPr>
    <w:rPr>
      <w:rFonts w:ascii="Times New Roman" w:eastAsia="MS Mincho"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unhideWhenUsed/>
    <w:rsid w:val="00ED7C85"/>
    <w:pPr>
      <w:spacing w:before="120" w:after="120" w:line="280" w:lineRule="atLeast"/>
    </w:pPr>
    <w:rPr>
      <w:rFonts w:ascii="Times New Roman" w:eastAsia="MS Mincho"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unhideWhenUsed/>
    <w:rsid w:val="00ED7C85"/>
    <w:pPr>
      <w:spacing w:before="120" w:after="120" w:line="280" w:lineRule="atLeast"/>
    </w:pPr>
    <w:rPr>
      <w:rFonts w:ascii="Times New Roman" w:eastAsia="MS Mincho"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unhideWhenUsed/>
    <w:rsid w:val="00ED7C85"/>
    <w:pPr>
      <w:spacing w:before="120" w:after="120" w:line="280" w:lineRule="atLeast"/>
    </w:pPr>
    <w:rPr>
      <w:rFonts w:ascii="Times New Roman" w:eastAsia="MS Mincho"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unhideWhenUsed/>
    <w:rsid w:val="00ED7C85"/>
    <w:pPr>
      <w:spacing w:before="120" w:after="120" w:line="280" w:lineRule="atLeast"/>
    </w:pPr>
    <w:rPr>
      <w:rFonts w:ascii="Times New Roman" w:eastAsia="MS Mincho"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unhideWhenUsed/>
    <w:rsid w:val="00ED7C85"/>
    <w:pPr>
      <w:spacing w:before="120" w:after="120" w:line="280" w:lineRule="atLeast"/>
    </w:pPr>
    <w:rPr>
      <w:rFonts w:ascii="Times New Roman" w:eastAsia="MS Mincho"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unhideWhenUsed/>
    <w:rsid w:val="00ED7C85"/>
    <w:pPr>
      <w:spacing w:before="120" w:after="120" w:line="280" w:lineRule="atLeast"/>
    </w:pPr>
    <w:rPr>
      <w:rFonts w:ascii="Times New Roman" w:eastAsia="MS Mincho"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unhideWhenUsed/>
    <w:rsid w:val="00ED7C85"/>
    <w:pPr>
      <w:spacing w:before="120" w:after="120" w:line="280" w:lineRule="atLeast"/>
    </w:pPr>
    <w:rPr>
      <w:rFonts w:ascii="Times New Roman" w:eastAsia="MS Mincho"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unhideWhenUsed/>
    <w:rsid w:val="00ED7C85"/>
    <w:pPr>
      <w:spacing w:before="120" w:after="120" w:line="280" w:lineRule="atLeast"/>
    </w:pPr>
    <w:rPr>
      <w:rFonts w:ascii="Times New Roman" w:eastAsia="MS Mincho"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unhideWhenUsed/>
    <w:rsid w:val="00ED7C85"/>
    <w:pPr>
      <w:spacing w:before="120" w:after="120" w:line="280" w:lineRule="atLeast"/>
    </w:pPr>
    <w:rPr>
      <w:rFonts w:ascii="Times New Roman" w:eastAsia="MS Mincho"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unhideWhenUsed/>
    <w:rsid w:val="00ED7C85"/>
    <w:pPr>
      <w:spacing w:before="120" w:after="120" w:line="280" w:lineRule="atLeast"/>
    </w:pPr>
    <w:rPr>
      <w:rFonts w:ascii="Times New Roman" w:eastAsia="MS Mincho"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unhideWhenUsed/>
    <w:rsid w:val="00ED7C85"/>
    <w:pPr>
      <w:spacing w:before="120" w:after="120" w:line="280" w:lineRule="atLeast"/>
    </w:pPr>
    <w:rPr>
      <w:rFonts w:ascii="Times New Roman" w:eastAsia="MS Mincho" w:hAnsi="Times New Roman" w:cs="Times New Roman"/>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unhideWhenUsed/>
    <w:rsid w:val="00ED7C85"/>
    <w:pPr>
      <w:spacing w:before="120" w:after="120" w:line="280" w:lineRule="atLeast"/>
    </w:pPr>
    <w:rPr>
      <w:rFonts w:ascii="Times New Roman" w:eastAsia="MS Mincho" w:hAnsi="Times New Roman" w:cs="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unhideWhenUsed/>
    <w:rsid w:val="00ED7C85"/>
    <w:pPr>
      <w:spacing w:before="120" w:after="120" w:line="280" w:lineRule="atLeast"/>
    </w:pPr>
    <w:rPr>
      <w:rFonts w:ascii="Times New Roman" w:eastAsia="MS Mincho"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ED7C85"/>
    <w:pPr>
      <w:spacing w:before="14" w:after="144" w:line="300" w:lineRule="atLeast"/>
    </w:pPr>
    <w:rPr>
      <w:rFonts w:ascii="Times New Roman" w:eastAsia="MS Mincho"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unhideWhenUsed/>
    <w:rsid w:val="00ED7C85"/>
    <w:pPr>
      <w:spacing w:before="120" w:after="120" w:line="280" w:lineRule="atLeast"/>
    </w:pPr>
    <w:rPr>
      <w:rFonts w:ascii="Times New Roman" w:eastAsia="MS Mincho"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unhideWhenUsed/>
    <w:rsid w:val="00ED7C85"/>
    <w:pPr>
      <w:spacing w:before="120" w:after="120" w:line="280" w:lineRule="atLeast"/>
    </w:pPr>
    <w:rPr>
      <w:rFonts w:ascii="Times New Roman" w:eastAsia="MS Mincho"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unhideWhenUsed/>
    <w:rsid w:val="00ED7C85"/>
    <w:pPr>
      <w:spacing w:before="120" w:after="120" w:line="280" w:lineRule="atLeast"/>
    </w:pPr>
    <w:rPr>
      <w:rFonts w:ascii="Times New Roman" w:eastAsia="MS Mincho"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semiHidden/>
    <w:unhideWhenUsed/>
    <w:rsid w:val="00ED7C85"/>
    <w:pPr>
      <w:ind w:left="240" w:hanging="240"/>
    </w:pPr>
  </w:style>
  <w:style w:type="table" w:styleId="TableProfessional">
    <w:name w:val="Table Professional"/>
    <w:basedOn w:val="TableNormal"/>
    <w:semiHidden/>
    <w:unhideWhenUsed/>
    <w:rsid w:val="00ED7C85"/>
    <w:pPr>
      <w:spacing w:before="120" w:after="120" w:line="280" w:lineRule="atLeast"/>
    </w:pPr>
    <w:rPr>
      <w:rFonts w:ascii="Times New Roman" w:eastAsia="MS Mincho"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unhideWhenUsed/>
    <w:rsid w:val="00ED7C85"/>
    <w:pPr>
      <w:spacing w:before="120" w:after="120" w:line="280" w:lineRule="atLeast"/>
    </w:pPr>
    <w:rPr>
      <w:rFonts w:ascii="Times New Roman" w:eastAsia="MS Mincho"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unhideWhenUsed/>
    <w:rsid w:val="00ED7C85"/>
    <w:pPr>
      <w:spacing w:before="120" w:after="120" w:line="280" w:lineRule="atLeast"/>
    </w:pPr>
    <w:rPr>
      <w:rFonts w:ascii="Times New Roman" w:eastAsia="MS Mincho"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unhideWhenUsed/>
    <w:rsid w:val="00ED7C85"/>
    <w:pPr>
      <w:spacing w:before="120" w:after="120" w:line="280" w:lineRule="atLeast"/>
    </w:pPr>
    <w:rPr>
      <w:rFonts w:ascii="Times New Roman" w:eastAsia="MS Mincho"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unhideWhenUsed/>
    <w:rsid w:val="00ED7C85"/>
    <w:pPr>
      <w:spacing w:before="120" w:after="120" w:line="280" w:lineRule="atLeast"/>
    </w:pPr>
    <w:rPr>
      <w:rFonts w:ascii="Times New Roman" w:eastAsia="MS Mincho"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unhideWhenUsed/>
    <w:rsid w:val="00ED7C85"/>
    <w:pPr>
      <w:spacing w:before="120" w:after="120" w:line="280" w:lineRule="atLeast"/>
    </w:pPr>
    <w:rPr>
      <w:rFonts w:ascii="Times New Roman" w:eastAsia="MS Mincho"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unhideWhenUsed/>
    <w:rsid w:val="00ED7C85"/>
    <w:pPr>
      <w:spacing w:before="120" w:after="120" w:line="280" w:lineRule="atLeast"/>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unhideWhenUsed/>
    <w:rsid w:val="00ED7C85"/>
    <w:pPr>
      <w:spacing w:before="120" w:after="120" w:line="280" w:lineRule="atLeast"/>
    </w:pPr>
    <w:rPr>
      <w:rFonts w:ascii="Times New Roman" w:eastAsia="MS Mincho"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unhideWhenUsed/>
    <w:rsid w:val="00ED7C85"/>
    <w:pPr>
      <w:spacing w:before="120" w:after="120" w:line="280" w:lineRule="atLeast"/>
    </w:pPr>
    <w:rPr>
      <w:rFonts w:ascii="Times New Roman" w:eastAsia="MS Mincho"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unhideWhenUsed/>
    <w:rsid w:val="00ED7C85"/>
    <w:pPr>
      <w:spacing w:before="120" w:after="120" w:line="280" w:lineRule="atLeast"/>
    </w:pPr>
    <w:rPr>
      <w:rFonts w:ascii="Times New Roman" w:eastAsia="MS Mincho"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rsid w:val="00B108E2"/>
    <w:pPr>
      <w:spacing w:before="120"/>
    </w:pPr>
    <w:rPr>
      <w:rFonts w:ascii="Arial" w:hAnsi="Arial"/>
      <w:b/>
      <w:bCs/>
      <w:szCs w:val="24"/>
    </w:rPr>
  </w:style>
  <w:style w:type="table" w:styleId="GridTable1Light">
    <w:name w:val="Grid Table 1 Light"/>
    <w:basedOn w:val="TableNormal"/>
    <w:uiPriority w:val="46"/>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Pr>
    <w:tblStylePr w:type="firstRow">
      <w:rPr>
        <w:b/>
        <w:bCs/>
      </w:rPr>
      <w:tblPr/>
      <w:tcPr>
        <w:tcBorders>
          <w:bottom w:val="single" w:sz="12" w:space="0" w:color="B2A1C7"/>
        </w:tcBorders>
      </w:tcPr>
    </w:tblStylePr>
    <w:tblStylePr w:type="lastRow">
      <w:rPr>
        <w:b/>
        <w:bCs/>
      </w:rPr>
      <w:tblPr/>
      <w:tcPr>
        <w:tcBorders>
          <w:top w:val="double" w:sz="2" w:space="0" w:color="B2A1C7"/>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bCs/>
      </w:rPr>
      <w:tblPr/>
      <w:tcPr>
        <w:tcBorders>
          <w:bottom w:val="single" w:sz="12" w:space="0" w:color="FABF8F"/>
        </w:tcBorders>
      </w:tcPr>
    </w:tblStylePr>
    <w:tblStylePr w:type="lastRow">
      <w:rPr>
        <w:b/>
        <w:bCs/>
      </w:rPr>
      <w:tblPr/>
      <w:tcPr>
        <w:tcBorders>
          <w:top w:val="double" w:sz="2" w:space="0" w:color="FABF8F"/>
        </w:tcBorders>
      </w:tcPr>
    </w:tblStylePr>
    <w:tblStylePr w:type="firstCol">
      <w:rPr>
        <w:b/>
        <w:bCs/>
      </w:rPr>
    </w:tblStylePr>
    <w:tblStylePr w:type="lastCol">
      <w:rPr>
        <w:b/>
        <w:bCs/>
      </w:rPr>
    </w:tblStylePr>
  </w:style>
  <w:style w:type="table" w:styleId="GridTable2">
    <w:name w:val="Grid Table 2"/>
    <w:basedOn w:val="TableNormal"/>
    <w:uiPriority w:val="47"/>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2-Accent1">
    <w:name w:val="Grid Table 2 Accent 1"/>
    <w:basedOn w:val="TableNormal"/>
    <w:uiPriority w:val="47"/>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2" w:space="0" w:color="95B3D7"/>
        <w:bottom w:val="single" w:sz="2" w:space="0" w:color="95B3D7"/>
        <w:insideH w:val="single" w:sz="2" w:space="0" w:color="95B3D7"/>
        <w:insideV w:val="single" w:sz="2" w:space="0" w:color="95B3D7"/>
      </w:tblBorders>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GridTable2-Accent2">
    <w:name w:val="Grid Table 2 Accent 2"/>
    <w:basedOn w:val="TableNormal"/>
    <w:uiPriority w:val="47"/>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2" w:space="0" w:color="D99594"/>
        <w:bottom w:val="single" w:sz="2" w:space="0" w:color="D99594"/>
        <w:insideH w:val="single" w:sz="2" w:space="0" w:color="D99594"/>
        <w:insideV w:val="single" w:sz="2" w:space="0" w:color="D99594"/>
      </w:tblBorders>
    </w:tblPr>
    <w:tblStylePr w:type="firstRow">
      <w:rPr>
        <w:b/>
        <w:bCs/>
      </w:rPr>
      <w:tblPr/>
      <w:tcPr>
        <w:tcBorders>
          <w:top w:val="nil"/>
          <w:bottom w:val="single" w:sz="12" w:space="0" w:color="D99594"/>
          <w:insideH w:val="nil"/>
          <w:insideV w:val="nil"/>
        </w:tcBorders>
        <w:shd w:val="clear" w:color="auto" w:fill="FFFFFF"/>
      </w:tcPr>
    </w:tblStylePr>
    <w:tblStylePr w:type="lastRow">
      <w:rPr>
        <w:b/>
        <w:bCs/>
      </w:rPr>
      <w:tblPr/>
      <w:tcPr>
        <w:tcBorders>
          <w:top w:val="double" w:sz="2" w:space="0" w:color="D99594"/>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styleId="GridTable2-Accent3">
    <w:name w:val="Grid Table 2 Accent 3"/>
    <w:basedOn w:val="TableNormal"/>
    <w:uiPriority w:val="47"/>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styleId="GridTable2-Accent4">
    <w:name w:val="Grid Table 2 Accent 4"/>
    <w:basedOn w:val="TableNormal"/>
    <w:uiPriority w:val="47"/>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2" w:space="0" w:color="B2A1C7"/>
        <w:bottom w:val="single" w:sz="2" w:space="0" w:color="B2A1C7"/>
        <w:insideH w:val="single" w:sz="2" w:space="0" w:color="B2A1C7"/>
        <w:insideV w:val="single" w:sz="2" w:space="0" w:color="B2A1C7"/>
      </w:tblBorders>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styleId="GridTable2-Accent5">
    <w:name w:val="Grid Table 2 Accent 5"/>
    <w:basedOn w:val="TableNormal"/>
    <w:uiPriority w:val="47"/>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2" w:space="0" w:color="92CDDC"/>
        <w:bottom w:val="single" w:sz="2" w:space="0" w:color="92CDDC"/>
        <w:insideH w:val="single" w:sz="2" w:space="0" w:color="92CDDC"/>
        <w:insideV w:val="single" w:sz="2" w:space="0" w:color="92CDDC"/>
      </w:tblBorders>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GridTable2-Accent6">
    <w:name w:val="Grid Table 2 Accent 6"/>
    <w:basedOn w:val="TableNormal"/>
    <w:uiPriority w:val="47"/>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2" w:space="0" w:color="FABF8F"/>
        <w:bottom w:val="single" w:sz="2" w:space="0" w:color="FABF8F"/>
        <w:insideH w:val="single" w:sz="2" w:space="0" w:color="FABF8F"/>
        <w:insideV w:val="single" w:sz="2" w:space="0" w:color="FABF8F"/>
      </w:tblBorders>
    </w:tblPr>
    <w:tblStylePr w:type="firstRow">
      <w:rPr>
        <w:b/>
        <w:bCs/>
      </w:rPr>
      <w:tblPr/>
      <w:tcPr>
        <w:tcBorders>
          <w:top w:val="nil"/>
          <w:bottom w:val="single" w:sz="12" w:space="0" w:color="FABF8F"/>
          <w:insideH w:val="nil"/>
          <w:insideV w:val="nil"/>
        </w:tcBorders>
        <w:shd w:val="clear" w:color="auto" w:fill="FFFFFF"/>
      </w:tcPr>
    </w:tblStylePr>
    <w:tblStylePr w:type="lastRow">
      <w:rPr>
        <w:b/>
        <w:bCs/>
      </w:rPr>
      <w:tblPr/>
      <w:tcPr>
        <w:tcBorders>
          <w:top w:val="double" w:sz="2" w:space="0" w:color="FABF8F"/>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GridTable3">
    <w:name w:val="Grid Table 3"/>
    <w:basedOn w:val="TableNormal"/>
    <w:uiPriority w:val="48"/>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GridTable3-Accent1">
    <w:name w:val="Grid Table 3 Accent 1"/>
    <w:basedOn w:val="TableNormal"/>
    <w:uiPriority w:val="48"/>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styleId="GridTable3-Accent2">
    <w:name w:val="Grid Table 3 Accent 2"/>
    <w:basedOn w:val="TableNormal"/>
    <w:uiPriority w:val="48"/>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2DBDB"/>
      </w:tcPr>
    </w:tblStylePr>
    <w:tblStylePr w:type="band1Horz">
      <w:tblPr/>
      <w:tcPr>
        <w:shd w:val="clear" w:color="auto" w:fill="F2DBDB"/>
      </w:tcPr>
    </w:tblStylePr>
    <w:tblStylePr w:type="neCell">
      <w:tblPr/>
      <w:tcPr>
        <w:tcBorders>
          <w:bottom w:val="single" w:sz="4" w:space="0" w:color="D99594"/>
        </w:tcBorders>
      </w:tcPr>
    </w:tblStylePr>
    <w:tblStylePr w:type="nwCell">
      <w:tblPr/>
      <w:tcPr>
        <w:tcBorders>
          <w:bottom w:val="single" w:sz="4" w:space="0" w:color="D99594"/>
        </w:tcBorders>
      </w:tcPr>
    </w:tblStylePr>
    <w:tblStylePr w:type="seCell">
      <w:tblPr/>
      <w:tcPr>
        <w:tcBorders>
          <w:top w:val="single" w:sz="4" w:space="0" w:color="D99594"/>
        </w:tcBorders>
      </w:tcPr>
    </w:tblStylePr>
    <w:tblStylePr w:type="swCell">
      <w:tblPr/>
      <w:tcPr>
        <w:tcBorders>
          <w:top w:val="single" w:sz="4" w:space="0" w:color="D99594"/>
        </w:tcBorders>
      </w:tcPr>
    </w:tblStylePr>
  </w:style>
  <w:style w:type="table" w:styleId="GridTable3-Accent3">
    <w:name w:val="Grid Table 3 Accent 3"/>
    <w:basedOn w:val="TableNormal"/>
    <w:uiPriority w:val="48"/>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styleId="GridTable3-Accent4">
    <w:name w:val="Grid Table 3 Accent 4"/>
    <w:basedOn w:val="TableNormal"/>
    <w:uiPriority w:val="48"/>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DFEC"/>
      </w:tcPr>
    </w:tblStylePr>
    <w:tblStylePr w:type="band1Horz">
      <w:tblPr/>
      <w:tcPr>
        <w:shd w:val="clear" w:color="auto" w:fill="E5DFEC"/>
      </w:tcPr>
    </w:tblStylePr>
    <w:tblStylePr w:type="neCell">
      <w:tblPr/>
      <w:tcPr>
        <w:tcBorders>
          <w:bottom w:val="single" w:sz="4" w:space="0" w:color="B2A1C7"/>
        </w:tcBorders>
      </w:tcPr>
    </w:tblStylePr>
    <w:tblStylePr w:type="nwCell">
      <w:tblPr/>
      <w:tcPr>
        <w:tcBorders>
          <w:bottom w:val="single" w:sz="4" w:space="0" w:color="B2A1C7"/>
        </w:tcBorders>
      </w:tcPr>
    </w:tblStylePr>
    <w:tblStylePr w:type="seCell">
      <w:tblPr/>
      <w:tcPr>
        <w:tcBorders>
          <w:top w:val="single" w:sz="4" w:space="0" w:color="B2A1C7"/>
        </w:tcBorders>
      </w:tcPr>
    </w:tblStylePr>
    <w:tblStylePr w:type="swCell">
      <w:tblPr/>
      <w:tcPr>
        <w:tcBorders>
          <w:top w:val="single" w:sz="4" w:space="0" w:color="B2A1C7"/>
        </w:tcBorders>
      </w:tcPr>
    </w:tblStylePr>
  </w:style>
  <w:style w:type="table" w:styleId="GridTable3-Accent5">
    <w:name w:val="Grid Table 3 Accent 5"/>
    <w:basedOn w:val="TableNormal"/>
    <w:uiPriority w:val="48"/>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table" w:styleId="GridTable3-Accent6">
    <w:name w:val="Grid Table 3 Accent 6"/>
    <w:basedOn w:val="TableNormal"/>
    <w:uiPriority w:val="48"/>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bottom w:val="single" w:sz="4" w:space="0" w:color="FABF8F"/>
        </w:tcBorders>
      </w:tcPr>
    </w:tblStylePr>
    <w:tblStylePr w:type="nwCell">
      <w:tblPr/>
      <w:tcPr>
        <w:tcBorders>
          <w:bottom w:val="single" w:sz="4" w:space="0" w:color="FABF8F"/>
        </w:tcBorders>
      </w:tcPr>
    </w:tblStylePr>
    <w:tblStylePr w:type="seCell">
      <w:tblPr/>
      <w:tcPr>
        <w:tcBorders>
          <w:top w:val="single" w:sz="4" w:space="0" w:color="FABF8F"/>
        </w:tcBorders>
      </w:tcPr>
    </w:tblStylePr>
    <w:tblStylePr w:type="swCell">
      <w:tblPr/>
      <w:tcPr>
        <w:tcBorders>
          <w:top w:val="single" w:sz="4" w:space="0" w:color="FABF8F"/>
        </w:tcBorders>
      </w:tcPr>
    </w:tblStylePr>
  </w:style>
  <w:style w:type="table" w:styleId="GridTable4">
    <w:name w:val="Grid Table 4"/>
    <w:basedOn w:val="TableNormal"/>
    <w:uiPriority w:val="49"/>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Accent1">
    <w:name w:val="Grid Table 4 Accent 1"/>
    <w:basedOn w:val="TableNormal"/>
    <w:uiPriority w:val="49"/>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GridTable4-Accent2">
    <w:name w:val="Grid Table 4 Accent 2"/>
    <w:basedOn w:val="TableNormal"/>
    <w:uiPriority w:val="49"/>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insideV w:val="nil"/>
        </w:tcBorders>
        <w:shd w:val="clear" w:color="auto" w:fill="C0504D"/>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styleId="GridTable4-Accent3">
    <w:name w:val="Grid Table 4 Accent 3"/>
    <w:basedOn w:val="TableNormal"/>
    <w:uiPriority w:val="49"/>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styleId="GridTable4-Accent4">
    <w:name w:val="Grid Table 4 Accent 4"/>
    <w:basedOn w:val="TableNormal"/>
    <w:uiPriority w:val="49"/>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insideV w:val="nil"/>
        </w:tcBorders>
        <w:shd w:val="clear" w:color="auto" w:fill="8064A2"/>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styleId="GridTable4-Accent5">
    <w:name w:val="Grid Table 4 Accent 5"/>
    <w:basedOn w:val="TableNormal"/>
    <w:uiPriority w:val="49"/>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insideV w:val="nil"/>
        </w:tcBorders>
        <w:shd w:val="clear" w:color="auto" w:fill="4BACC6"/>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GridTable4-Accent6">
    <w:name w:val="Grid Table 4 Accent 6"/>
    <w:basedOn w:val="TableNormal"/>
    <w:uiPriority w:val="49"/>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GridTable5Dark">
    <w:name w:val="Grid Table 5 Dark"/>
    <w:basedOn w:val="TableNormal"/>
    <w:uiPriority w:val="50"/>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styleId="GridTable5Dark-Accent1">
    <w:name w:val="Grid Table 5 Dark Accent 1"/>
    <w:basedOn w:val="TableNormal"/>
    <w:uiPriority w:val="50"/>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 w:type="table" w:styleId="GridTable5Dark-Accent2">
    <w:name w:val="Grid Table 5 Dark Accent 2"/>
    <w:basedOn w:val="TableNormal"/>
    <w:uiPriority w:val="50"/>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DBD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C0504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C0504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C0504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C0504D"/>
      </w:tcPr>
    </w:tblStylePr>
    <w:tblStylePr w:type="band1Vert">
      <w:tblPr/>
      <w:tcPr>
        <w:shd w:val="clear" w:color="auto" w:fill="E5B8B7"/>
      </w:tcPr>
    </w:tblStylePr>
    <w:tblStylePr w:type="band1Horz">
      <w:tblPr/>
      <w:tcPr>
        <w:shd w:val="clear" w:color="auto" w:fill="E5B8B7"/>
      </w:tcPr>
    </w:tblStylePr>
  </w:style>
  <w:style w:type="table" w:styleId="GridTable5Dark-Accent3">
    <w:name w:val="Grid Table 5 Dark Accent 3"/>
    <w:basedOn w:val="TableNormal"/>
    <w:uiPriority w:val="50"/>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styleId="GridTable5Dark-Accent4">
    <w:name w:val="Grid Table 5 Dark Accent 4"/>
    <w:basedOn w:val="TableNormal"/>
    <w:uiPriority w:val="50"/>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5DFE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064A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064A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064A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064A2"/>
      </w:tcPr>
    </w:tblStylePr>
    <w:tblStylePr w:type="band1Vert">
      <w:tblPr/>
      <w:tcPr>
        <w:shd w:val="clear" w:color="auto" w:fill="CCC0D9"/>
      </w:tcPr>
    </w:tblStylePr>
    <w:tblStylePr w:type="band1Horz">
      <w:tblPr/>
      <w:tcPr>
        <w:shd w:val="clear" w:color="auto" w:fill="CCC0D9"/>
      </w:tcPr>
    </w:tblStylePr>
  </w:style>
  <w:style w:type="table" w:styleId="GridTable5Dark-Accent5">
    <w:name w:val="Grid Table 5 Dark Accent 5"/>
    <w:basedOn w:val="TableNormal"/>
    <w:uiPriority w:val="50"/>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AEE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BACC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BACC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BACC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BACC6"/>
      </w:tcPr>
    </w:tblStylePr>
    <w:tblStylePr w:type="band1Vert">
      <w:tblPr/>
      <w:tcPr>
        <w:shd w:val="clear" w:color="auto" w:fill="B6DDE8"/>
      </w:tcPr>
    </w:tblStylePr>
    <w:tblStylePr w:type="band1Horz">
      <w:tblPr/>
      <w:tcPr>
        <w:shd w:val="clear" w:color="auto" w:fill="B6DDE8"/>
      </w:tcPr>
    </w:tblStylePr>
  </w:style>
  <w:style w:type="table" w:styleId="GridTable5Dark-Accent6">
    <w:name w:val="Grid Table 5 Dark Accent 6"/>
    <w:basedOn w:val="TableNormal"/>
    <w:uiPriority w:val="50"/>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DE9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7964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7964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7964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79646"/>
      </w:tcPr>
    </w:tblStylePr>
    <w:tblStylePr w:type="band1Vert">
      <w:tblPr/>
      <w:tcPr>
        <w:shd w:val="clear" w:color="auto" w:fill="FBD4B4"/>
      </w:tcPr>
    </w:tblStylePr>
    <w:tblStylePr w:type="band1Horz">
      <w:tblPr/>
      <w:tcPr>
        <w:shd w:val="clear" w:color="auto" w:fill="FBD4B4"/>
      </w:tcPr>
    </w:tblStylePr>
  </w:style>
  <w:style w:type="table" w:styleId="GridTable6Colorful">
    <w:name w:val="Grid Table 6 Colorful"/>
    <w:basedOn w:val="TableNormal"/>
    <w:uiPriority w:val="51"/>
    <w:rsid w:val="00ED7C85"/>
    <w:pPr>
      <w:spacing w:after="0" w:line="240" w:lineRule="auto"/>
    </w:pPr>
    <w:rPr>
      <w:rFonts w:ascii="Times New Roman" w:eastAsia="MS Mincho" w:hAnsi="Times New Roman" w:cs="Times New Roman"/>
      <w:color w:val="000000"/>
      <w:sz w:val="20"/>
      <w:szCs w:val="2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6Colorful-Accent1">
    <w:name w:val="Grid Table 6 Colorful Accent 1"/>
    <w:basedOn w:val="TableNormal"/>
    <w:uiPriority w:val="51"/>
    <w:rsid w:val="00ED7C85"/>
    <w:pPr>
      <w:spacing w:after="0" w:line="240" w:lineRule="auto"/>
    </w:pPr>
    <w:rPr>
      <w:rFonts w:ascii="Times New Roman" w:eastAsia="MS Mincho" w:hAnsi="Times New Roman" w:cs="Times New Roman"/>
      <w:color w:val="365F91"/>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GridTable6Colorful-Accent2">
    <w:name w:val="Grid Table 6 Colorful Accent 2"/>
    <w:basedOn w:val="TableNormal"/>
    <w:uiPriority w:val="51"/>
    <w:rsid w:val="00ED7C85"/>
    <w:pPr>
      <w:spacing w:after="0" w:line="240" w:lineRule="auto"/>
    </w:pPr>
    <w:rPr>
      <w:rFonts w:ascii="Times New Roman" w:eastAsia="MS Mincho" w:hAnsi="Times New Roman" w:cs="Times New Roman"/>
      <w:color w:val="943634"/>
      <w:sz w:val="20"/>
      <w:szCs w:val="20"/>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styleId="GridTable6Colorful-Accent3">
    <w:name w:val="Grid Table 6 Colorful Accent 3"/>
    <w:basedOn w:val="TableNormal"/>
    <w:uiPriority w:val="51"/>
    <w:rsid w:val="00ED7C85"/>
    <w:pPr>
      <w:spacing w:after="0" w:line="240" w:lineRule="auto"/>
    </w:pPr>
    <w:rPr>
      <w:rFonts w:ascii="Times New Roman" w:eastAsia="MS Mincho" w:hAnsi="Times New Roman" w:cs="Times New Roman"/>
      <w:color w:val="76923C"/>
      <w:sz w:val="20"/>
      <w:szCs w:val="20"/>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bottom w:val="single" w:sz="12" w:space="0" w:color="C2D69B"/>
        </w:tcBorders>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styleId="GridTable6Colorful-Accent4">
    <w:name w:val="Grid Table 6 Colorful Accent 4"/>
    <w:basedOn w:val="TableNormal"/>
    <w:uiPriority w:val="51"/>
    <w:rsid w:val="00ED7C85"/>
    <w:pPr>
      <w:spacing w:after="0" w:line="240" w:lineRule="auto"/>
    </w:pPr>
    <w:rPr>
      <w:rFonts w:ascii="Times New Roman" w:eastAsia="MS Mincho" w:hAnsi="Times New Roman" w:cs="Times New Roman"/>
      <w:color w:val="5F497A"/>
      <w:sz w:val="20"/>
      <w:szCs w:val="20"/>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styleId="GridTable6Colorful-Accent5">
    <w:name w:val="Grid Table 6 Colorful Accent 5"/>
    <w:basedOn w:val="TableNormal"/>
    <w:uiPriority w:val="51"/>
    <w:rsid w:val="00ED7C85"/>
    <w:pPr>
      <w:spacing w:after="0" w:line="240" w:lineRule="auto"/>
    </w:pPr>
    <w:rPr>
      <w:rFonts w:ascii="Times New Roman" w:eastAsia="MS Mincho" w:hAnsi="Times New Roman" w:cs="Times New Roman"/>
      <w:color w:val="31849B"/>
      <w:sz w:val="20"/>
      <w:szCs w:val="20"/>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GridTable6Colorful-Accent6">
    <w:name w:val="Grid Table 6 Colorful Accent 6"/>
    <w:basedOn w:val="TableNormal"/>
    <w:uiPriority w:val="51"/>
    <w:rsid w:val="00ED7C85"/>
    <w:pPr>
      <w:spacing w:after="0" w:line="240" w:lineRule="auto"/>
    </w:pPr>
    <w:rPr>
      <w:rFonts w:ascii="Times New Roman" w:eastAsia="MS Mincho" w:hAnsi="Times New Roman" w:cs="Times New Roman"/>
      <w:color w:val="E36C0A"/>
      <w:sz w:val="20"/>
      <w:szCs w:val="20"/>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bottom w:val="single" w:sz="12" w:space="0" w:color="FABF8F"/>
        </w:tcBorders>
      </w:tcPr>
    </w:tblStylePr>
    <w:tblStylePr w:type="lastRow">
      <w:rPr>
        <w:b/>
        <w:bCs/>
      </w:rPr>
      <w:tblPr/>
      <w:tcPr>
        <w:tcBorders>
          <w:top w:val="double" w:sz="4" w:space="0" w:color="FABF8F"/>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GridTable7Colorful">
    <w:name w:val="Grid Table 7 Colorful"/>
    <w:basedOn w:val="TableNormal"/>
    <w:uiPriority w:val="52"/>
    <w:rsid w:val="00ED7C85"/>
    <w:pPr>
      <w:spacing w:after="0" w:line="240" w:lineRule="auto"/>
    </w:pPr>
    <w:rPr>
      <w:rFonts w:ascii="Times New Roman" w:eastAsia="MS Mincho" w:hAnsi="Times New Roman" w:cs="Times New Roman"/>
      <w:color w:val="000000"/>
      <w:sz w:val="20"/>
      <w:szCs w:val="2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GridTable7Colorful-Accent1">
    <w:name w:val="Grid Table 7 Colorful Accent 1"/>
    <w:basedOn w:val="TableNormal"/>
    <w:uiPriority w:val="52"/>
    <w:rsid w:val="00ED7C85"/>
    <w:pPr>
      <w:spacing w:after="0" w:line="240" w:lineRule="auto"/>
    </w:pPr>
    <w:rPr>
      <w:rFonts w:ascii="Times New Roman" w:eastAsia="MS Mincho" w:hAnsi="Times New Roman" w:cs="Times New Roman"/>
      <w:color w:val="365F91"/>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styleId="GridTable7Colorful-Accent2">
    <w:name w:val="Grid Table 7 Colorful Accent 2"/>
    <w:basedOn w:val="TableNormal"/>
    <w:uiPriority w:val="52"/>
    <w:rsid w:val="00ED7C85"/>
    <w:pPr>
      <w:spacing w:after="0" w:line="240" w:lineRule="auto"/>
    </w:pPr>
    <w:rPr>
      <w:rFonts w:ascii="Times New Roman" w:eastAsia="MS Mincho" w:hAnsi="Times New Roman" w:cs="Times New Roman"/>
      <w:color w:val="943634"/>
      <w:sz w:val="20"/>
      <w:szCs w:val="20"/>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2DBDB"/>
      </w:tcPr>
    </w:tblStylePr>
    <w:tblStylePr w:type="band1Horz">
      <w:tblPr/>
      <w:tcPr>
        <w:shd w:val="clear" w:color="auto" w:fill="F2DBDB"/>
      </w:tcPr>
    </w:tblStylePr>
    <w:tblStylePr w:type="neCell">
      <w:tblPr/>
      <w:tcPr>
        <w:tcBorders>
          <w:bottom w:val="single" w:sz="4" w:space="0" w:color="D99594"/>
        </w:tcBorders>
      </w:tcPr>
    </w:tblStylePr>
    <w:tblStylePr w:type="nwCell">
      <w:tblPr/>
      <w:tcPr>
        <w:tcBorders>
          <w:bottom w:val="single" w:sz="4" w:space="0" w:color="D99594"/>
        </w:tcBorders>
      </w:tcPr>
    </w:tblStylePr>
    <w:tblStylePr w:type="seCell">
      <w:tblPr/>
      <w:tcPr>
        <w:tcBorders>
          <w:top w:val="single" w:sz="4" w:space="0" w:color="D99594"/>
        </w:tcBorders>
      </w:tcPr>
    </w:tblStylePr>
    <w:tblStylePr w:type="swCell">
      <w:tblPr/>
      <w:tcPr>
        <w:tcBorders>
          <w:top w:val="single" w:sz="4" w:space="0" w:color="D99594"/>
        </w:tcBorders>
      </w:tcPr>
    </w:tblStylePr>
  </w:style>
  <w:style w:type="table" w:styleId="GridTable7Colorful-Accent3">
    <w:name w:val="Grid Table 7 Colorful Accent 3"/>
    <w:basedOn w:val="TableNormal"/>
    <w:uiPriority w:val="52"/>
    <w:rsid w:val="00ED7C85"/>
    <w:pPr>
      <w:spacing w:after="0" w:line="240" w:lineRule="auto"/>
    </w:pPr>
    <w:rPr>
      <w:rFonts w:ascii="Times New Roman" w:eastAsia="MS Mincho" w:hAnsi="Times New Roman" w:cs="Times New Roman"/>
      <w:color w:val="76923C"/>
      <w:sz w:val="20"/>
      <w:szCs w:val="20"/>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styleId="GridTable7Colorful-Accent4">
    <w:name w:val="Grid Table 7 Colorful Accent 4"/>
    <w:basedOn w:val="TableNormal"/>
    <w:uiPriority w:val="52"/>
    <w:rsid w:val="00ED7C85"/>
    <w:pPr>
      <w:spacing w:after="0" w:line="240" w:lineRule="auto"/>
    </w:pPr>
    <w:rPr>
      <w:rFonts w:ascii="Times New Roman" w:eastAsia="MS Mincho" w:hAnsi="Times New Roman" w:cs="Times New Roman"/>
      <w:color w:val="5F497A"/>
      <w:sz w:val="20"/>
      <w:szCs w:val="20"/>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DFEC"/>
      </w:tcPr>
    </w:tblStylePr>
    <w:tblStylePr w:type="band1Horz">
      <w:tblPr/>
      <w:tcPr>
        <w:shd w:val="clear" w:color="auto" w:fill="E5DFEC"/>
      </w:tcPr>
    </w:tblStylePr>
    <w:tblStylePr w:type="neCell">
      <w:tblPr/>
      <w:tcPr>
        <w:tcBorders>
          <w:bottom w:val="single" w:sz="4" w:space="0" w:color="B2A1C7"/>
        </w:tcBorders>
      </w:tcPr>
    </w:tblStylePr>
    <w:tblStylePr w:type="nwCell">
      <w:tblPr/>
      <w:tcPr>
        <w:tcBorders>
          <w:bottom w:val="single" w:sz="4" w:space="0" w:color="B2A1C7"/>
        </w:tcBorders>
      </w:tcPr>
    </w:tblStylePr>
    <w:tblStylePr w:type="seCell">
      <w:tblPr/>
      <w:tcPr>
        <w:tcBorders>
          <w:top w:val="single" w:sz="4" w:space="0" w:color="B2A1C7"/>
        </w:tcBorders>
      </w:tcPr>
    </w:tblStylePr>
    <w:tblStylePr w:type="swCell">
      <w:tblPr/>
      <w:tcPr>
        <w:tcBorders>
          <w:top w:val="single" w:sz="4" w:space="0" w:color="B2A1C7"/>
        </w:tcBorders>
      </w:tcPr>
    </w:tblStylePr>
  </w:style>
  <w:style w:type="table" w:styleId="GridTable7Colorful-Accent5">
    <w:name w:val="Grid Table 7 Colorful Accent 5"/>
    <w:basedOn w:val="TableNormal"/>
    <w:uiPriority w:val="52"/>
    <w:rsid w:val="00ED7C85"/>
    <w:pPr>
      <w:spacing w:after="0" w:line="240" w:lineRule="auto"/>
    </w:pPr>
    <w:rPr>
      <w:rFonts w:ascii="Times New Roman" w:eastAsia="MS Mincho" w:hAnsi="Times New Roman" w:cs="Times New Roman"/>
      <w:color w:val="31849B"/>
      <w:sz w:val="20"/>
      <w:szCs w:val="20"/>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bottom w:val="single" w:sz="4" w:space="0" w:color="92CDDC"/>
        </w:tcBorders>
      </w:tcPr>
    </w:tblStylePr>
    <w:tblStylePr w:type="nwCell">
      <w:tblPr/>
      <w:tcPr>
        <w:tcBorders>
          <w:bottom w:val="single" w:sz="4" w:space="0" w:color="92CDDC"/>
        </w:tcBorders>
      </w:tcPr>
    </w:tblStylePr>
    <w:tblStylePr w:type="seCell">
      <w:tblPr/>
      <w:tcPr>
        <w:tcBorders>
          <w:top w:val="single" w:sz="4" w:space="0" w:color="92CDDC"/>
        </w:tcBorders>
      </w:tcPr>
    </w:tblStylePr>
    <w:tblStylePr w:type="swCell">
      <w:tblPr/>
      <w:tcPr>
        <w:tcBorders>
          <w:top w:val="single" w:sz="4" w:space="0" w:color="92CDDC"/>
        </w:tcBorders>
      </w:tcPr>
    </w:tblStylePr>
  </w:style>
  <w:style w:type="table" w:styleId="GridTable7Colorful-Accent6">
    <w:name w:val="Grid Table 7 Colorful Accent 6"/>
    <w:basedOn w:val="TableNormal"/>
    <w:uiPriority w:val="52"/>
    <w:rsid w:val="00ED7C85"/>
    <w:pPr>
      <w:spacing w:after="0" w:line="240" w:lineRule="auto"/>
    </w:pPr>
    <w:rPr>
      <w:rFonts w:ascii="Times New Roman" w:eastAsia="MS Mincho" w:hAnsi="Times New Roman" w:cs="Times New Roman"/>
      <w:color w:val="E36C0A"/>
      <w:sz w:val="20"/>
      <w:szCs w:val="20"/>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bottom w:val="single" w:sz="4" w:space="0" w:color="FABF8F"/>
        </w:tcBorders>
      </w:tcPr>
    </w:tblStylePr>
    <w:tblStylePr w:type="nwCell">
      <w:tblPr/>
      <w:tcPr>
        <w:tcBorders>
          <w:bottom w:val="single" w:sz="4" w:space="0" w:color="FABF8F"/>
        </w:tcBorders>
      </w:tcPr>
    </w:tblStylePr>
    <w:tblStylePr w:type="seCell">
      <w:tblPr/>
      <w:tcPr>
        <w:tcBorders>
          <w:top w:val="single" w:sz="4" w:space="0" w:color="FABF8F"/>
        </w:tcBorders>
      </w:tcPr>
    </w:tblStylePr>
    <w:tblStylePr w:type="swCell">
      <w:tblPr/>
      <w:tcPr>
        <w:tcBorders>
          <w:top w:val="single" w:sz="4" w:space="0" w:color="FABF8F"/>
        </w:tcBorders>
      </w:tcPr>
    </w:tblStylePr>
  </w:style>
  <w:style w:type="character" w:styleId="Hashtag">
    <w:name w:val="Hashtag"/>
    <w:uiPriority w:val="99"/>
    <w:semiHidden/>
    <w:unhideWhenUsed/>
    <w:rsid w:val="00ED7C85"/>
    <w:rPr>
      <w:color w:val="2B579A"/>
      <w:shd w:val="clear" w:color="auto" w:fill="E6E6E6"/>
    </w:rPr>
  </w:style>
  <w:style w:type="table" w:styleId="ListTable1Light">
    <w:name w:val="List Table 1 Light"/>
    <w:basedOn w:val="TableNormal"/>
    <w:uiPriority w:val="46"/>
    <w:rsid w:val="00ED7C85"/>
    <w:pPr>
      <w:spacing w:after="0" w:line="240" w:lineRule="auto"/>
    </w:pPr>
    <w:rPr>
      <w:rFonts w:ascii="Times New Roman" w:eastAsia="MS Mincho" w:hAnsi="Times New Roman" w:cs="Times New Roman"/>
      <w:sz w:val="20"/>
      <w:szCs w:val="20"/>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1Light-Accent1">
    <w:name w:val="List Table 1 Light Accent 1"/>
    <w:basedOn w:val="TableNormal"/>
    <w:uiPriority w:val="46"/>
    <w:rsid w:val="00ED7C85"/>
    <w:pPr>
      <w:spacing w:after="0" w:line="240" w:lineRule="auto"/>
    </w:pPr>
    <w:rPr>
      <w:rFonts w:ascii="Times New Roman" w:eastAsia="MS Mincho" w:hAnsi="Times New Roman" w:cs="Times New Roman"/>
      <w:sz w:val="20"/>
      <w:szCs w:val="20"/>
    </w:rPr>
    <w:tblPr>
      <w:tblStyleRowBandSize w:val="1"/>
      <w:tblStyleColBandSize w:val="1"/>
    </w:tblPr>
    <w:tblStylePr w:type="firstRow">
      <w:rPr>
        <w:b/>
        <w:bCs/>
      </w:rPr>
      <w:tblPr/>
      <w:tcPr>
        <w:tcBorders>
          <w:bottom w:val="single" w:sz="4" w:space="0" w:color="95B3D7"/>
        </w:tcBorders>
      </w:tcPr>
    </w:tblStylePr>
    <w:tblStylePr w:type="lastRow">
      <w:rPr>
        <w:b/>
        <w:bCs/>
      </w:rPr>
      <w:tblPr/>
      <w:tcPr>
        <w:tcBorders>
          <w:top w:val="sing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ListTable1Light-Accent2">
    <w:name w:val="List Table 1 Light Accent 2"/>
    <w:basedOn w:val="TableNormal"/>
    <w:uiPriority w:val="46"/>
    <w:rsid w:val="00ED7C85"/>
    <w:pPr>
      <w:spacing w:after="0" w:line="240" w:lineRule="auto"/>
    </w:pPr>
    <w:rPr>
      <w:rFonts w:ascii="Times New Roman" w:eastAsia="MS Mincho" w:hAnsi="Times New Roman" w:cs="Times New Roman"/>
      <w:sz w:val="20"/>
      <w:szCs w:val="20"/>
    </w:rPr>
    <w:tblPr>
      <w:tblStyleRowBandSize w:val="1"/>
      <w:tblStyleColBandSize w:val="1"/>
    </w:tblPr>
    <w:tblStylePr w:type="firstRow">
      <w:rPr>
        <w:b/>
        <w:bCs/>
      </w:rPr>
      <w:tblPr/>
      <w:tcPr>
        <w:tcBorders>
          <w:bottom w:val="single" w:sz="4" w:space="0" w:color="D99594"/>
        </w:tcBorders>
      </w:tcPr>
    </w:tblStylePr>
    <w:tblStylePr w:type="lastRow">
      <w:rPr>
        <w:b/>
        <w:bCs/>
      </w:rPr>
      <w:tblPr/>
      <w:tcPr>
        <w:tcBorders>
          <w:top w:val="sing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styleId="ListTable1Light-Accent3">
    <w:name w:val="List Table 1 Light Accent 3"/>
    <w:basedOn w:val="TableNormal"/>
    <w:uiPriority w:val="46"/>
    <w:rsid w:val="00ED7C85"/>
    <w:pPr>
      <w:spacing w:after="0" w:line="240" w:lineRule="auto"/>
    </w:pPr>
    <w:rPr>
      <w:rFonts w:ascii="Times New Roman" w:eastAsia="MS Mincho" w:hAnsi="Times New Roman" w:cs="Times New Roman"/>
      <w:sz w:val="20"/>
      <w:szCs w:val="20"/>
    </w:rPr>
    <w:tblPr>
      <w:tblStyleRowBandSize w:val="1"/>
      <w:tblStyleColBandSize w:val="1"/>
    </w:tblPr>
    <w:tblStylePr w:type="firstRow">
      <w:rPr>
        <w:b/>
        <w:bCs/>
      </w:rPr>
      <w:tblPr/>
      <w:tcPr>
        <w:tcBorders>
          <w:bottom w:val="single" w:sz="4" w:space="0" w:color="C2D69B"/>
        </w:tcBorders>
      </w:tcPr>
    </w:tblStylePr>
    <w:tblStylePr w:type="lastRow">
      <w:rPr>
        <w:b/>
        <w:bCs/>
      </w:rPr>
      <w:tblPr/>
      <w:tcPr>
        <w:tcBorders>
          <w:top w:val="sing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styleId="ListTable1Light-Accent4">
    <w:name w:val="List Table 1 Light Accent 4"/>
    <w:basedOn w:val="TableNormal"/>
    <w:uiPriority w:val="46"/>
    <w:rsid w:val="00ED7C85"/>
    <w:pPr>
      <w:spacing w:after="0" w:line="240" w:lineRule="auto"/>
    </w:pPr>
    <w:rPr>
      <w:rFonts w:ascii="Times New Roman" w:eastAsia="MS Mincho" w:hAnsi="Times New Roman" w:cs="Times New Roman"/>
      <w:sz w:val="20"/>
      <w:szCs w:val="20"/>
    </w:rPr>
    <w:tblPr>
      <w:tblStyleRowBandSize w:val="1"/>
      <w:tblStyleColBandSize w:val="1"/>
    </w:tblPr>
    <w:tblStylePr w:type="firstRow">
      <w:rPr>
        <w:b/>
        <w:bCs/>
      </w:rPr>
      <w:tblPr/>
      <w:tcPr>
        <w:tcBorders>
          <w:bottom w:val="single" w:sz="4" w:space="0" w:color="B2A1C7"/>
        </w:tcBorders>
      </w:tcPr>
    </w:tblStylePr>
    <w:tblStylePr w:type="lastRow">
      <w:rPr>
        <w:b/>
        <w:bCs/>
      </w:rPr>
      <w:tblPr/>
      <w:tcPr>
        <w:tcBorders>
          <w:top w:val="sing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styleId="ListTable1Light-Accent5">
    <w:name w:val="List Table 1 Light Accent 5"/>
    <w:basedOn w:val="TableNormal"/>
    <w:uiPriority w:val="46"/>
    <w:rsid w:val="00ED7C85"/>
    <w:pPr>
      <w:spacing w:after="0" w:line="240" w:lineRule="auto"/>
    </w:pPr>
    <w:rPr>
      <w:rFonts w:ascii="Times New Roman" w:eastAsia="MS Mincho" w:hAnsi="Times New Roman" w:cs="Times New Roman"/>
      <w:sz w:val="20"/>
      <w:szCs w:val="20"/>
    </w:rPr>
    <w:tblPr>
      <w:tblStyleRowBandSize w:val="1"/>
      <w:tblStyleColBandSize w:val="1"/>
    </w:tblPr>
    <w:tblStylePr w:type="firstRow">
      <w:rPr>
        <w:b/>
        <w:bCs/>
      </w:rPr>
      <w:tblPr/>
      <w:tcPr>
        <w:tcBorders>
          <w:bottom w:val="single" w:sz="4" w:space="0" w:color="92CDDC"/>
        </w:tcBorders>
      </w:tcPr>
    </w:tblStylePr>
    <w:tblStylePr w:type="lastRow">
      <w:rPr>
        <w:b/>
        <w:bCs/>
      </w:rPr>
      <w:tblPr/>
      <w:tcPr>
        <w:tcBorders>
          <w:top w:val="sing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ListTable1Light-Accent6">
    <w:name w:val="List Table 1 Light Accent 6"/>
    <w:basedOn w:val="TableNormal"/>
    <w:uiPriority w:val="46"/>
    <w:rsid w:val="00ED7C85"/>
    <w:pPr>
      <w:spacing w:after="0" w:line="240" w:lineRule="auto"/>
    </w:pPr>
    <w:rPr>
      <w:rFonts w:ascii="Times New Roman" w:eastAsia="MS Mincho" w:hAnsi="Times New Roman" w:cs="Times New Roman"/>
      <w:sz w:val="20"/>
      <w:szCs w:val="20"/>
    </w:rPr>
    <w:tblPr>
      <w:tblStyleRowBandSize w:val="1"/>
      <w:tblStyleColBandSize w:val="1"/>
    </w:tblPr>
    <w:tblStylePr w:type="firstRow">
      <w:rPr>
        <w:b/>
        <w:bCs/>
      </w:rPr>
      <w:tblPr/>
      <w:tcPr>
        <w:tcBorders>
          <w:bottom w:val="single" w:sz="4" w:space="0" w:color="FABF8F"/>
        </w:tcBorders>
      </w:tcPr>
    </w:tblStylePr>
    <w:tblStylePr w:type="lastRow">
      <w:rPr>
        <w:b/>
        <w:bCs/>
      </w:rPr>
      <w:tblPr/>
      <w:tcPr>
        <w:tcBorders>
          <w:top w:val="single" w:sz="4" w:space="0" w:color="FABF8F"/>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ListTable2">
    <w:name w:val="List Table 2"/>
    <w:basedOn w:val="TableNormal"/>
    <w:uiPriority w:val="47"/>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2-Accent1">
    <w:name w:val="List Table 2 Accent 1"/>
    <w:basedOn w:val="TableNormal"/>
    <w:uiPriority w:val="47"/>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95B3D7"/>
        <w:bottom w:val="single" w:sz="4" w:space="0" w:color="95B3D7"/>
        <w:insideH w:val="single" w:sz="4" w:space="0" w:color="95B3D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ListTable2-Accent2">
    <w:name w:val="List Table 2 Accent 2"/>
    <w:basedOn w:val="TableNormal"/>
    <w:uiPriority w:val="47"/>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D99594"/>
        <w:bottom w:val="single" w:sz="4" w:space="0" w:color="D99594"/>
        <w:insideH w:val="single" w:sz="4" w:space="0" w:color="D99594"/>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styleId="ListTable2-Accent3">
    <w:name w:val="List Table 2 Accent 3"/>
    <w:basedOn w:val="TableNormal"/>
    <w:uiPriority w:val="47"/>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C2D69B"/>
        <w:bottom w:val="single" w:sz="4" w:space="0" w:color="C2D69B"/>
        <w:insideH w:val="single" w:sz="4" w:space="0" w:color="C2D69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styleId="ListTable2-Accent4">
    <w:name w:val="List Table 2 Accent 4"/>
    <w:basedOn w:val="TableNormal"/>
    <w:uiPriority w:val="47"/>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B2A1C7"/>
        <w:bottom w:val="single" w:sz="4" w:space="0" w:color="B2A1C7"/>
        <w:insideH w:val="single" w:sz="4" w:space="0" w:color="B2A1C7"/>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styleId="ListTable2-Accent5">
    <w:name w:val="List Table 2 Accent 5"/>
    <w:basedOn w:val="TableNormal"/>
    <w:uiPriority w:val="47"/>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92CDDC"/>
        <w:bottom w:val="single" w:sz="4" w:space="0" w:color="92CDDC"/>
        <w:insideH w:val="single" w:sz="4" w:space="0" w:color="92CDDC"/>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ListTable2-Accent6">
    <w:name w:val="List Table 2 Accent 6"/>
    <w:basedOn w:val="TableNormal"/>
    <w:uiPriority w:val="47"/>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FABF8F"/>
        <w:bottom w:val="single" w:sz="4" w:space="0" w:color="FABF8F"/>
        <w:insideH w:val="single" w:sz="4" w:space="0" w:color="FABF8F"/>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ListTable3">
    <w:name w:val="List Table 3"/>
    <w:basedOn w:val="TableNormal"/>
    <w:uiPriority w:val="48"/>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styleId="ListTable3-Accent1">
    <w:name w:val="List Table 3 Accent 1"/>
    <w:basedOn w:val="TableNormal"/>
    <w:uiPriority w:val="48"/>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styleId="ListTable3-Accent2">
    <w:name w:val="List Table 3 Accent 2"/>
    <w:basedOn w:val="TableNormal"/>
    <w:uiPriority w:val="48"/>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C0504D"/>
        <w:left w:val="single" w:sz="4" w:space="0" w:color="C0504D"/>
        <w:bottom w:val="single" w:sz="4" w:space="0" w:color="C0504D"/>
        <w:right w:val="single" w:sz="4" w:space="0" w:color="C0504D"/>
      </w:tblBorders>
    </w:tblPr>
    <w:tblStylePr w:type="firstRow">
      <w:rPr>
        <w:b/>
        <w:bCs/>
        <w:color w:val="FFFFFF"/>
      </w:rPr>
      <w:tblPr/>
      <w:tcPr>
        <w:shd w:val="clear" w:color="auto" w:fill="C0504D"/>
      </w:tcPr>
    </w:tblStylePr>
    <w:tblStylePr w:type="lastRow">
      <w:rPr>
        <w:b/>
        <w:bCs/>
      </w:rPr>
      <w:tblPr/>
      <w:tcPr>
        <w:tcBorders>
          <w:top w:val="double" w:sz="4" w:space="0" w:color="C0504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C0504D"/>
          <w:right w:val="single" w:sz="4" w:space="0" w:color="C0504D"/>
        </w:tcBorders>
      </w:tcPr>
    </w:tblStylePr>
    <w:tblStylePr w:type="band1Horz">
      <w:tblPr/>
      <w:tcPr>
        <w:tcBorders>
          <w:top w:val="single" w:sz="4" w:space="0" w:color="C0504D"/>
          <w:bottom w:val="single" w:sz="4" w:space="0" w:color="C0504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left w:val="nil"/>
        </w:tcBorders>
      </w:tcPr>
    </w:tblStylePr>
    <w:tblStylePr w:type="swCell">
      <w:tblPr/>
      <w:tcPr>
        <w:tcBorders>
          <w:top w:val="double" w:sz="4" w:space="0" w:color="C0504D"/>
          <w:right w:val="nil"/>
        </w:tcBorders>
      </w:tcPr>
    </w:tblStylePr>
  </w:style>
  <w:style w:type="table" w:styleId="ListTable3-Accent3">
    <w:name w:val="List Table 3 Accent 3"/>
    <w:basedOn w:val="TableNormal"/>
    <w:uiPriority w:val="48"/>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9BBB59"/>
        <w:left w:val="single" w:sz="4" w:space="0" w:color="9BBB59"/>
        <w:bottom w:val="single" w:sz="4" w:space="0" w:color="9BBB59"/>
        <w:right w:val="single" w:sz="4" w:space="0" w:color="9BBB59"/>
      </w:tblBorders>
    </w:tblPr>
    <w:tblStylePr w:type="firstRow">
      <w:rPr>
        <w:b/>
        <w:bCs/>
        <w:color w:val="FFFFFF"/>
      </w:rPr>
      <w:tblPr/>
      <w:tcPr>
        <w:shd w:val="clear" w:color="auto" w:fill="9BBB59"/>
      </w:tcPr>
    </w:tblStylePr>
    <w:tblStylePr w:type="lastRow">
      <w:rPr>
        <w:b/>
        <w:bCs/>
      </w:rPr>
      <w:tblPr/>
      <w:tcPr>
        <w:tcBorders>
          <w:top w:val="double" w:sz="4" w:space="0" w:color="9BBB5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BBB59"/>
          <w:right w:val="single" w:sz="4" w:space="0" w:color="9BBB59"/>
        </w:tcBorders>
      </w:tcPr>
    </w:tblStylePr>
    <w:tblStylePr w:type="band1Horz">
      <w:tblPr/>
      <w:tcPr>
        <w:tcBorders>
          <w:top w:val="single" w:sz="4" w:space="0" w:color="9BBB59"/>
          <w:bottom w:val="single" w:sz="4" w:space="0" w:color="9BBB5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left w:val="nil"/>
        </w:tcBorders>
      </w:tcPr>
    </w:tblStylePr>
    <w:tblStylePr w:type="swCell">
      <w:tblPr/>
      <w:tcPr>
        <w:tcBorders>
          <w:top w:val="double" w:sz="4" w:space="0" w:color="9BBB59"/>
          <w:right w:val="nil"/>
        </w:tcBorders>
      </w:tcPr>
    </w:tblStylePr>
  </w:style>
  <w:style w:type="table" w:styleId="ListTable3-Accent4">
    <w:name w:val="List Table 3 Accent 4"/>
    <w:basedOn w:val="TableNormal"/>
    <w:uiPriority w:val="48"/>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8064A2"/>
        <w:left w:val="single" w:sz="4" w:space="0" w:color="8064A2"/>
        <w:bottom w:val="single" w:sz="4" w:space="0" w:color="8064A2"/>
        <w:right w:val="single" w:sz="4" w:space="0" w:color="8064A2"/>
      </w:tblBorders>
    </w:tblPr>
    <w:tblStylePr w:type="firstRow">
      <w:rPr>
        <w:b/>
        <w:bCs/>
        <w:color w:val="FFFFFF"/>
      </w:rPr>
      <w:tblPr/>
      <w:tcPr>
        <w:shd w:val="clear" w:color="auto" w:fill="8064A2"/>
      </w:tcPr>
    </w:tblStylePr>
    <w:tblStylePr w:type="lastRow">
      <w:rPr>
        <w:b/>
        <w:bCs/>
      </w:rPr>
      <w:tblPr/>
      <w:tcPr>
        <w:tcBorders>
          <w:top w:val="double" w:sz="4" w:space="0" w:color="8064A2"/>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8064A2"/>
          <w:right w:val="single" w:sz="4" w:space="0" w:color="8064A2"/>
        </w:tcBorders>
      </w:tcPr>
    </w:tblStylePr>
    <w:tblStylePr w:type="band1Horz">
      <w:tblPr/>
      <w:tcPr>
        <w:tcBorders>
          <w:top w:val="single" w:sz="4" w:space="0" w:color="8064A2"/>
          <w:bottom w:val="single" w:sz="4" w:space="0" w:color="8064A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left w:val="nil"/>
        </w:tcBorders>
      </w:tcPr>
    </w:tblStylePr>
    <w:tblStylePr w:type="swCell">
      <w:tblPr/>
      <w:tcPr>
        <w:tcBorders>
          <w:top w:val="double" w:sz="4" w:space="0" w:color="8064A2"/>
          <w:right w:val="nil"/>
        </w:tcBorders>
      </w:tcPr>
    </w:tblStylePr>
  </w:style>
  <w:style w:type="table" w:styleId="ListTable3-Accent5">
    <w:name w:val="List Table 3 Accent 5"/>
    <w:basedOn w:val="TableNormal"/>
    <w:uiPriority w:val="48"/>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styleId="ListTable3-Accent6">
    <w:name w:val="List Table 3 Accent 6"/>
    <w:basedOn w:val="TableNormal"/>
    <w:uiPriority w:val="48"/>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F79646"/>
        <w:left w:val="single" w:sz="4" w:space="0" w:color="F79646"/>
        <w:bottom w:val="single" w:sz="4" w:space="0" w:color="F79646"/>
        <w:right w:val="single" w:sz="4" w:space="0" w:color="F79646"/>
      </w:tblBorders>
    </w:tblPr>
    <w:tblStylePr w:type="firstRow">
      <w:rPr>
        <w:b/>
        <w:bCs/>
        <w:color w:val="FFFFFF"/>
      </w:rPr>
      <w:tblPr/>
      <w:tcPr>
        <w:shd w:val="clear" w:color="auto" w:fill="F79646"/>
      </w:tcPr>
    </w:tblStylePr>
    <w:tblStylePr w:type="lastRow">
      <w:rPr>
        <w:b/>
        <w:bCs/>
      </w:rPr>
      <w:tblPr/>
      <w:tcPr>
        <w:tcBorders>
          <w:top w:val="double" w:sz="4" w:space="0" w:color="F7964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79646"/>
          <w:right w:val="single" w:sz="4" w:space="0" w:color="F79646"/>
        </w:tcBorders>
      </w:tcPr>
    </w:tblStylePr>
    <w:tblStylePr w:type="band1Horz">
      <w:tblPr/>
      <w:tcPr>
        <w:tcBorders>
          <w:top w:val="single" w:sz="4" w:space="0" w:color="F79646"/>
          <w:bottom w:val="single" w:sz="4" w:space="0" w:color="F7964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left w:val="nil"/>
        </w:tcBorders>
      </w:tcPr>
    </w:tblStylePr>
    <w:tblStylePr w:type="swCell">
      <w:tblPr/>
      <w:tcPr>
        <w:tcBorders>
          <w:top w:val="double" w:sz="4" w:space="0" w:color="F79646"/>
          <w:right w:val="nil"/>
        </w:tcBorders>
      </w:tcPr>
    </w:tblStylePr>
  </w:style>
  <w:style w:type="table" w:styleId="ListTable4">
    <w:name w:val="List Table 4"/>
    <w:basedOn w:val="TableNormal"/>
    <w:uiPriority w:val="49"/>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4-Accent1">
    <w:name w:val="List Table 4 Accent 1"/>
    <w:basedOn w:val="TableNormal"/>
    <w:uiPriority w:val="49"/>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tcBorders>
        <w:shd w:val="clear" w:color="auto" w:fill="4F81BD"/>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ListTable4-Accent2">
    <w:name w:val="List Table 4 Accent 2"/>
    <w:basedOn w:val="TableNormal"/>
    <w:uiPriority w:val="49"/>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D99594"/>
        <w:left w:val="single" w:sz="4" w:space="0" w:color="D99594"/>
        <w:bottom w:val="single" w:sz="4" w:space="0" w:color="D99594"/>
        <w:right w:val="single" w:sz="4" w:space="0" w:color="D99594"/>
        <w:insideH w:val="single" w:sz="4" w:space="0" w:color="D99594"/>
      </w:tblBorders>
    </w:tblPr>
    <w:tblStylePr w:type="firstRow">
      <w:rPr>
        <w:b/>
        <w:bCs/>
        <w:color w:val="FFFFFF"/>
      </w:rPr>
      <w:tblPr/>
      <w:tcPr>
        <w:tcBorders>
          <w:top w:val="single" w:sz="4" w:space="0" w:color="C0504D"/>
          <w:left w:val="single" w:sz="4" w:space="0" w:color="C0504D"/>
          <w:bottom w:val="single" w:sz="4" w:space="0" w:color="C0504D"/>
          <w:right w:val="single" w:sz="4" w:space="0" w:color="C0504D"/>
          <w:insideH w:val="nil"/>
        </w:tcBorders>
        <w:shd w:val="clear" w:color="auto" w:fill="C0504D"/>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styleId="ListTable4-Accent3">
    <w:name w:val="List Table 4 Accent 3"/>
    <w:basedOn w:val="TableNormal"/>
    <w:uiPriority w:val="49"/>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tcBorders>
        <w:shd w:val="clear" w:color="auto" w:fill="9BBB59"/>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styleId="ListTable4-Accent4">
    <w:name w:val="List Table 4 Accent 4"/>
    <w:basedOn w:val="TableNormal"/>
    <w:uiPriority w:val="49"/>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tblBorders>
    </w:tblPr>
    <w:tblStylePr w:type="firstRow">
      <w:rPr>
        <w:b/>
        <w:bCs/>
        <w:color w:val="FFFFFF"/>
      </w:rPr>
      <w:tblPr/>
      <w:tcPr>
        <w:tcBorders>
          <w:top w:val="single" w:sz="4" w:space="0" w:color="8064A2"/>
          <w:left w:val="single" w:sz="4" w:space="0" w:color="8064A2"/>
          <w:bottom w:val="single" w:sz="4" w:space="0" w:color="8064A2"/>
          <w:right w:val="single" w:sz="4" w:space="0" w:color="8064A2"/>
          <w:insideH w:val="nil"/>
        </w:tcBorders>
        <w:shd w:val="clear" w:color="auto" w:fill="8064A2"/>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styleId="ListTable4-Accent5">
    <w:name w:val="List Table 4 Accent 5"/>
    <w:basedOn w:val="TableNormal"/>
    <w:uiPriority w:val="49"/>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92CDDC"/>
        <w:left w:val="single" w:sz="4" w:space="0" w:color="92CDDC"/>
        <w:bottom w:val="single" w:sz="4" w:space="0" w:color="92CDDC"/>
        <w:right w:val="single" w:sz="4" w:space="0" w:color="92CDDC"/>
        <w:insideH w:val="single" w:sz="4" w:space="0" w:color="92CDDC"/>
      </w:tblBorders>
    </w:tblPr>
    <w:tblStylePr w:type="firstRow">
      <w:rPr>
        <w:b/>
        <w:bCs/>
        <w:color w:val="FFFFFF"/>
      </w:rPr>
      <w:tblPr/>
      <w:tcPr>
        <w:tcBorders>
          <w:top w:val="single" w:sz="4" w:space="0" w:color="4BACC6"/>
          <w:left w:val="single" w:sz="4" w:space="0" w:color="4BACC6"/>
          <w:bottom w:val="single" w:sz="4" w:space="0" w:color="4BACC6"/>
          <w:right w:val="single" w:sz="4" w:space="0" w:color="4BACC6"/>
          <w:insideH w:val="nil"/>
        </w:tcBorders>
        <w:shd w:val="clear" w:color="auto" w:fill="4BACC6"/>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ListTable4-Accent6">
    <w:name w:val="List Table 4 Accent 6"/>
    <w:basedOn w:val="TableNormal"/>
    <w:uiPriority w:val="49"/>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tcBorders>
        <w:shd w:val="clear" w:color="auto" w:fill="F79646"/>
      </w:tcPr>
    </w:tblStylePr>
    <w:tblStylePr w:type="lastRow">
      <w:rPr>
        <w:b/>
        <w:bCs/>
      </w:rPr>
      <w:tblPr/>
      <w:tcPr>
        <w:tcBorders>
          <w:top w:val="double" w:sz="4" w:space="0" w:color="FABF8F"/>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ListTable5Dark">
    <w:name w:val="List Table 5 Dark"/>
    <w:basedOn w:val="TableNormal"/>
    <w:uiPriority w:val="50"/>
    <w:rsid w:val="00ED7C85"/>
    <w:pPr>
      <w:spacing w:after="0" w:line="240" w:lineRule="auto"/>
    </w:pPr>
    <w:rPr>
      <w:rFonts w:ascii="Times New Roman" w:eastAsia="MS Mincho" w:hAnsi="Times New Roman" w:cs="Times New Roman"/>
      <w:color w:val="FFFFFF"/>
      <w:sz w:val="20"/>
      <w:szCs w:val="20"/>
    </w:rPr>
    <w:tblPr>
      <w:tblStyleRowBandSize w:val="1"/>
      <w:tblStyleColBandSize w:val="1"/>
      <w:tblBorders>
        <w:top w:val="single" w:sz="24" w:space="0" w:color="000000"/>
        <w:left w:val="single" w:sz="24" w:space="0" w:color="000000"/>
        <w:bottom w:val="single" w:sz="24" w:space="0" w:color="000000"/>
        <w:right w:val="single" w:sz="24" w:space="0" w:color="000000"/>
      </w:tblBorders>
    </w:tblPr>
    <w:tcPr>
      <w:shd w:val="clear" w:color="auto" w:fill="000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ED7C85"/>
    <w:pPr>
      <w:spacing w:after="0" w:line="240" w:lineRule="auto"/>
    </w:pPr>
    <w:rPr>
      <w:rFonts w:ascii="Times New Roman" w:eastAsia="MS Mincho" w:hAnsi="Times New Roman" w:cs="Times New Roman"/>
      <w:color w:val="FFFFFF"/>
      <w:sz w:val="20"/>
      <w:szCs w:val="20"/>
    </w:rPr>
    <w:tblPr>
      <w:tblStyleRowBandSize w:val="1"/>
      <w:tblStyleColBandSize w:val="1"/>
      <w:tblBorders>
        <w:top w:val="single" w:sz="24" w:space="0" w:color="4F81BD"/>
        <w:left w:val="single" w:sz="24" w:space="0" w:color="4F81BD"/>
        <w:bottom w:val="single" w:sz="24" w:space="0" w:color="4F81BD"/>
        <w:right w:val="single" w:sz="24" w:space="0" w:color="4F81BD"/>
      </w:tblBorders>
    </w:tblPr>
    <w:tcPr>
      <w:shd w:val="clear" w:color="auto" w:fill="4F81BD"/>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ED7C85"/>
    <w:pPr>
      <w:spacing w:after="0" w:line="240" w:lineRule="auto"/>
    </w:pPr>
    <w:rPr>
      <w:rFonts w:ascii="Times New Roman" w:eastAsia="MS Mincho" w:hAnsi="Times New Roman" w:cs="Times New Roman"/>
      <w:color w:val="FFFFFF"/>
      <w:sz w:val="20"/>
      <w:szCs w:val="20"/>
    </w:rPr>
    <w:tblPr>
      <w:tblStyleRowBandSize w:val="1"/>
      <w:tblStyleColBandSize w:val="1"/>
      <w:tblBorders>
        <w:top w:val="single" w:sz="24" w:space="0" w:color="C0504D"/>
        <w:left w:val="single" w:sz="24" w:space="0" w:color="C0504D"/>
        <w:bottom w:val="single" w:sz="24" w:space="0" w:color="C0504D"/>
        <w:right w:val="single" w:sz="24" w:space="0" w:color="C0504D"/>
      </w:tblBorders>
    </w:tblPr>
    <w:tcPr>
      <w:shd w:val="clear" w:color="auto" w:fill="C0504D"/>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ED7C85"/>
    <w:pPr>
      <w:spacing w:after="0" w:line="240" w:lineRule="auto"/>
    </w:pPr>
    <w:rPr>
      <w:rFonts w:ascii="Times New Roman" w:eastAsia="MS Mincho" w:hAnsi="Times New Roman" w:cs="Times New Roman"/>
      <w:color w:val="FFFFFF"/>
      <w:sz w:val="20"/>
      <w:szCs w:val="20"/>
    </w:rPr>
    <w:tblPr>
      <w:tblStyleRowBandSize w:val="1"/>
      <w:tblStyleColBandSize w:val="1"/>
      <w:tblBorders>
        <w:top w:val="single" w:sz="24" w:space="0" w:color="9BBB59"/>
        <w:left w:val="single" w:sz="24" w:space="0" w:color="9BBB59"/>
        <w:bottom w:val="single" w:sz="24" w:space="0" w:color="9BBB59"/>
        <w:right w:val="single" w:sz="24" w:space="0" w:color="9BBB59"/>
      </w:tblBorders>
    </w:tblPr>
    <w:tcPr>
      <w:shd w:val="clear" w:color="auto" w:fill="9BBB59"/>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ED7C85"/>
    <w:pPr>
      <w:spacing w:after="0" w:line="240" w:lineRule="auto"/>
    </w:pPr>
    <w:rPr>
      <w:rFonts w:ascii="Times New Roman" w:eastAsia="MS Mincho" w:hAnsi="Times New Roman" w:cs="Times New Roman"/>
      <w:color w:val="FFFFFF"/>
      <w:sz w:val="20"/>
      <w:szCs w:val="20"/>
    </w:rPr>
    <w:tblPr>
      <w:tblStyleRowBandSize w:val="1"/>
      <w:tblStyleColBandSize w:val="1"/>
      <w:tblBorders>
        <w:top w:val="single" w:sz="24" w:space="0" w:color="8064A2"/>
        <w:left w:val="single" w:sz="24" w:space="0" w:color="8064A2"/>
        <w:bottom w:val="single" w:sz="24" w:space="0" w:color="8064A2"/>
        <w:right w:val="single" w:sz="24" w:space="0" w:color="8064A2"/>
      </w:tblBorders>
    </w:tblPr>
    <w:tcPr>
      <w:shd w:val="clear" w:color="auto" w:fill="8064A2"/>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ED7C85"/>
    <w:pPr>
      <w:spacing w:after="0" w:line="240" w:lineRule="auto"/>
    </w:pPr>
    <w:rPr>
      <w:rFonts w:ascii="Times New Roman" w:eastAsia="MS Mincho" w:hAnsi="Times New Roman" w:cs="Times New Roman"/>
      <w:color w:val="FFFFFF"/>
      <w:sz w:val="20"/>
      <w:szCs w:val="20"/>
    </w:rPr>
    <w:tblPr>
      <w:tblStyleRowBandSize w:val="1"/>
      <w:tblStyleColBandSize w:val="1"/>
      <w:tblBorders>
        <w:top w:val="single" w:sz="24" w:space="0" w:color="4BACC6"/>
        <w:left w:val="single" w:sz="24" w:space="0" w:color="4BACC6"/>
        <w:bottom w:val="single" w:sz="24" w:space="0" w:color="4BACC6"/>
        <w:right w:val="single" w:sz="24" w:space="0" w:color="4BACC6"/>
      </w:tblBorders>
    </w:tblPr>
    <w:tcPr>
      <w:shd w:val="clear" w:color="auto" w:fill="4BACC6"/>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ED7C85"/>
    <w:pPr>
      <w:spacing w:after="0" w:line="240" w:lineRule="auto"/>
    </w:pPr>
    <w:rPr>
      <w:rFonts w:ascii="Times New Roman" w:eastAsia="MS Mincho" w:hAnsi="Times New Roman" w:cs="Times New Roman"/>
      <w:color w:val="FFFFFF"/>
      <w:sz w:val="20"/>
      <w:szCs w:val="20"/>
    </w:rPr>
    <w:tblPr>
      <w:tblStyleRowBandSize w:val="1"/>
      <w:tblStyleColBandSize w:val="1"/>
      <w:tblBorders>
        <w:top w:val="single" w:sz="24" w:space="0" w:color="F79646"/>
        <w:left w:val="single" w:sz="24" w:space="0" w:color="F79646"/>
        <w:bottom w:val="single" w:sz="24" w:space="0" w:color="F79646"/>
        <w:right w:val="single" w:sz="24" w:space="0" w:color="F79646"/>
      </w:tblBorders>
    </w:tblPr>
    <w:tcPr>
      <w:shd w:val="clear" w:color="auto" w:fill="F79646"/>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ED7C85"/>
    <w:pPr>
      <w:spacing w:after="0" w:line="240" w:lineRule="auto"/>
    </w:pPr>
    <w:rPr>
      <w:rFonts w:ascii="Times New Roman" w:eastAsia="MS Mincho" w:hAnsi="Times New Roman" w:cs="Times New Roman"/>
      <w:color w:val="000000"/>
      <w:sz w:val="20"/>
      <w:szCs w:val="2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6Colorful-Accent1">
    <w:name w:val="List Table 6 Colorful Accent 1"/>
    <w:basedOn w:val="TableNormal"/>
    <w:uiPriority w:val="51"/>
    <w:rsid w:val="00ED7C85"/>
    <w:pPr>
      <w:spacing w:after="0" w:line="240" w:lineRule="auto"/>
    </w:pPr>
    <w:rPr>
      <w:rFonts w:ascii="Times New Roman" w:eastAsia="MS Mincho" w:hAnsi="Times New Roman" w:cs="Times New Roman"/>
      <w:color w:val="365F91"/>
      <w:sz w:val="20"/>
      <w:szCs w:val="20"/>
    </w:rPr>
    <w:tblPr>
      <w:tblStyleRowBandSize w:val="1"/>
      <w:tblStyleColBandSize w:val="1"/>
      <w:tblBorders>
        <w:top w:val="single" w:sz="4" w:space="0" w:color="4F81BD"/>
        <w:bottom w:val="single" w:sz="4" w:space="0" w:color="4F81BD"/>
      </w:tblBorders>
    </w:tblPr>
    <w:tblStylePr w:type="firstRow">
      <w:rPr>
        <w:b/>
        <w:bCs/>
      </w:rPr>
      <w:tblPr/>
      <w:tcPr>
        <w:tcBorders>
          <w:bottom w:val="single" w:sz="4" w:space="0" w:color="4F81BD"/>
        </w:tcBorders>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ListTable6Colorful-Accent2">
    <w:name w:val="List Table 6 Colorful Accent 2"/>
    <w:basedOn w:val="TableNormal"/>
    <w:uiPriority w:val="51"/>
    <w:rsid w:val="00ED7C85"/>
    <w:pPr>
      <w:spacing w:after="0" w:line="240" w:lineRule="auto"/>
    </w:pPr>
    <w:rPr>
      <w:rFonts w:ascii="Times New Roman" w:eastAsia="MS Mincho" w:hAnsi="Times New Roman" w:cs="Times New Roman"/>
      <w:color w:val="943634"/>
      <w:sz w:val="20"/>
      <w:szCs w:val="20"/>
    </w:rPr>
    <w:tblPr>
      <w:tblStyleRowBandSize w:val="1"/>
      <w:tblStyleColBandSize w:val="1"/>
      <w:tblBorders>
        <w:top w:val="single" w:sz="4" w:space="0" w:color="C0504D"/>
        <w:bottom w:val="single" w:sz="4" w:space="0" w:color="C0504D"/>
      </w:tblBorders>
    </w:tblPr>
    <w:tblStylePr w:type="firstRow">
      <w:rPr>
        <w:b/>
        <w:bCs/>
      </w:rPr>
      <w:tblPr/>
      <w:tcPr>
        <w:tcBorders>
          <w:bottom w:val="single" w:sz="4" w:space="0" w:color="C0504D"/>
        </w:tcBorders>
      </w:tcPr>
    </w:tblStylePr>
    <w:tblStylePr w:type="lastRow">
      <w:rPr>
        <w:b/>
        <w:bCs/>
      </w:rPr>
      <w:tblPr/>
      <w:tcPr>
        <w:tcBorders>
          <w:top w:val="double" w:sz="4" w:space="0" w:color="C0504D"/>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styleId="ListTable6Colorful-Accent3">
    <w:name w:val="List Table 6 Colorful Accent 3"/>
    <w:basedOn w:val="TableNormal"/>
    <w:uiPriority w:val="51"/>
    <w:rsid w:val="00ED7C85"/>
    <w:pPr>
      <w:spacing w:after="0" w:line="240" w:lineRule="auto"/>
    </w:pPr>
    <w:rPr>
      <w:rFonts w:ascii="Times New Roman" w:eastAsia="MS Mincho" w:hAnsi="Times New Roman" w:cs="Times New Roman"/>
      <w:color w:val="76923C"/>
      <w:sz w:val="20"/>
      <w:szCs w:val="20"/>
    </w:rPr>
    <w:tblPr>
      <w:tblStyleRowBandSize w:val="1"/>
      <w:tblStyleColBandSize w:val="1"/>
      <w:tblBorders>
        <w:top w:val="single" w:sz="4" w:space="0" w:color="9BBB59"/>
        <w:bottom w:val="single" w:sz="4" w:space="0" w:color="9BBB59"/>
      </w:tblBorders>
    </w:tblPr>
    <w:tblStylePr w:type="firstRow">
      <w:rPr>
        <w:b/>
        <w:bCs/>
      </w:rPr>
      <w:tblPr/>
      <w:tcPr>
        <w:tcBorders>
          <w:bottom w:val="single" w:sz="4" w:space="0" w:color="9BBB59"/>
        </w:tcBorders>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styleId="ListTable6Colorful-Accent4">
    <w:name w:val="List Table 6 Colorful Accent 4"/>
    <w:basedOn w:val="TableNormal"/>
    <w:uiPriority w:val="51"/>
    <w:rsid w:val="00ED7C85"/>
    <w:pPr>
      <w:spacing w:after="0" w:line="240" w:lineRule="auto"/>
    </w:pPr>
    <w:rPr>
      <w:rFonts w:ascii="Times New Roman" w:eastAsia="MS Mincho" w:hAnsi="Times New Roman" w:cs="Times New Roman"/>
      <w:color w:val="5F497A"/>
      <w:sz w:val="20"/>
      <w:szCs w:val="20"/>
    </w:rPr>
    <w:tblPr>
      <w:tblStyleRowBandSize w:val="1"/>
      <w:tblStyleColBandSize w:val="1"/>
      <w:tblBorders>
        <w:top w:val="single" w:sz="4" w:space="0" w:color="8064A2"/>
        <w:bottom w:val="single" w:sz="4" w:space="0" w:color="8064A2"/>
      </w:tblBorders>
    </w:tblPr>
    <w:tblStylePr w:type="firstRow">
      <w:rPr>
        <w:b/>
        <w:bCs/>
      </w:rPr>
      <w:tblPr/>
      <w:tcPr>
        <w:tcBorders>
          <w:bottom w:val="single" w:sz="4" w:space="0" w:color="8064A2"/>
        </w:tcBorders>
      </w:tcPr>
    </w:tblStylePr>
    <w:tblStylePr w:type="lastRow">
      <w:rPr>
        <w:b/>
        <w:bCs/>
      </w:rPr>
      <w:tblPr/>
      <w:tcPr>
        <w:tcBorders>
          <w:top w:val="double" w:sz="4" w:space="0" w:color="8064A2"/>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styleId="ListTable6Colorful-Accent5">
    <w:name w:val="List Table 6 Colorful Accent 5"/>
    <w:basedOn w:val="TableNormal"/>
    <w:uiPriority w:val="51"/>
    <w:rsid w:val="00ED7C85"/>
    <w:pPr>
      <w:spacing w:after="0" w:line="240" w:lineRule="auto"/>
    </w:pPr>
    <w:rPr>
      <w:rFonts w:ascii="Times New Roman" w:eastAsia="MS Mincho" w:hAnsi="Times New Roman" w:cs="Times New Roman"/>
      <w:color w:val="31849B"/>
      <w:sz w:val="20"/>
      <w:szCs w:val="20"/>
    </w:rPr>
    <w:tblPr>
      <w:tblStyleRowBandSize w:val="1"/>
      <w:tblStyleColBandSize w:val="1"/>
      <w:tblBorders>
        <w:top w:val="single" w:sz="4" w:space="0" w:color="4BACC6"/>
        <w:bottom w:val="single" w:sz="4" w:space="0" w:color="4BACC6"/>
      </w:tblBorders>
    </w:tblPr>
    <w:tblStylePr w:type="firstRow">
      <w:rPr>
        <w:b/>
        <w:bCs/>
      </w:rPr>
      <w:tblPr/>
      <w:tcPr>
        <w:tcBorders>
          <w:bottom w:val="single" w:sz="4" w:space="0" w:color="4BACC6"/>
        </w:tcBorders>
      </w:tcPr>
    </w:tblStylePr>
    <w:tblStylePr w:type="lastRow">
      <w:rPr>
        <w:b/>
        <w:bCs/>
      </w:rPr>
      <w:tblPr/>
      <w:tcPr>
        <w:tcBorders>
          <w:top w:val="double" w:sz="4" w:space="0" w:color="4BACC6"/>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ListTable6Colorful-Accent6">
    <w:name w:val="List Table 6 Colorful Accent 6"/>
    <w:basedOn w:val="TableNormal"/>
    <w:uiPriority w:val="51"/>
    <w:rsid w:val="00ED7C85"/>
    <w:pPr>
      <w:spacing w:after="0" w:line="240" w:lineRule="auto"/>
    </w:pPr>
    <w:rPr>
      <w:rFonts w:ascii="Times New Roman" w:eastAsia="MS Mincho" w:hAnsi="Times New Roman" w:cs="Times New Roman"/>
      <w:color w:val="E36C0A"/>
      <w:sz w:val="20"/>
      <w:szCs w:val="20"/>
    </w:rPr>
    <w:tblPr>
      <w:tblStyleRowBandSize w:val="1"/>
      <w:tblStyleColBandSize w:val="1"/>
      <w:tblBorders>
        <w:top w:val="single" w:sz="4" w:space="0" w:color="F79646"/>
        <w:bottom w:val="single" w:sz="4" w:space="0" w:color="F79646"/>
      </w:tblBorders>
    </w:tblPr>
    <w:tblStylePr w:type="firstRow">
      <w:rPr>
        <w:b/>
        <w:bCs/>
      </w:rPr>
      <w:tblPr/>
      <w:tcPr>
        <w:tcBorders>
          <w:bottom w:val="single" w:sz="4" w:space="0" w:color="F79646"/>
        </w:tcBorders>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ListTable7Colorful">
    <w:name w:val="List Table 7 Colorful"/>
    <w:basedOn w:val="TableNormal"/>
    <w:uiPriority w:val="52"/>
    <w:rsid w:val="00ED7C85"/>
    <w:pPr>
      <w:spacing w:after="0" w:line="240" w:lineRule="auto"/>
    </w:pPr>
    <w:rPr>
      <w:rFonts w:ascii="Times New Roman" w:eastAsia="MS Mincho" w:hAnsi="Times New Roman" w:cs="Times New Roman"/>
      <w:color w:val="000000"/>
      <w:sz w:val="20"/>
      <w:szCs w:val="20"/>
    </w:rPr>
    <w:tblPr>
      <w:tblStyleRowBandSize w:val="1"/>
      <w:tblStyleColBandSize w:val="1"/>
    </w:tblPr>
    <w:tblStylePr w:type="firstRow">
      <w:rPr>
        <w:rFonts w:ascii="Segoe UI Symbol" w:eastAsia="MS Gothic" w:hAnsi="Segoe UI Symbol" w:cs="Times New Roman"/>
        <w:i/>
        <w:iCs/>
        <w:sz w:val="26"/>
      </w:rPr>
      <w:tblPr/>
      <w:tcPr>
        <w:tcBorders>
          <w:bottom w:val="single" w:sz="4" w:space="0" w:color="000000"/>
        </w:tcBorders>
        <w:shd w:val="clear" w:color="auto" w:fill="FFFFFF"/>
      </w:tcPr>
    </w:tblStylePr>
    <w:tblStylePr w:type="lastRow">
      <w:rPr>
        <w:rFonts w:ascii="Segoe UI Symbol" w:eastAsia="MS Gothic" w:hAnsi="Segoe UI Symbol" w:cs="Times New Roman"/>
        <w:i/>
        <w:iCs/>
        <w:sz w:val="26"/>
      </w:rPr>
      <w:tblPr/>
      <w:tcPr>
        <w:tcBorders>
          <w:top w:val="single" w:sz="4" w:space="0" w:color="000000"/>
        </w:tcBorders>
        <w:shd w:val="clear" w:color="auto" w:fill="FFFFFF"/>
      </w:tcPr>
    </w:tblStylePr>
    <w:tblStylePr w:type="firstCol">
      <w:pPr>
        <w:jc w:val="right"/>
      </w:pPr>
      <w:rPr>
        <w:rFonts w:ascii="Segoe UI Symbol" w:eastAsia="MS Gothic" w:hAnsi="Segoe UI Symbol" w:cs="Times New Roman"/>
        <w:i/>
        <w:iCs/>
        <w:sz w:val="26"/>
      </w:rPr>
      <w:tblPr/>
      <w:tcPr>
        <w:tcBorders>
          <w:right w:val="single" w:sz="4" w:space="0" w:color="000000"/>
        </w:tcBorders>
        <w:shd w:val="clear" w:color="auto" w:fill="FFFFFF"/>
      </w:tcPr>
    </w:tblStylePr>
    <w:tblStylePr w:type="lastCol">
      <w:rPr>
        <w:rFonts w:ascii="Segoe UI Symbol" w:eastAsia="MS Gothic" w:hAnsi="Segoe UI Symbol"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ED7C85"/>
    <w:pPr>
      <w:spacing w:after="0" w:line="240" w:lineRule="auto"/>
    </w:pPr>
    <w:rPr>
      <w:rFonts w:ascii="Times New Roman" w:eastAsia="MS Mincho" w:hAnsi="Times New Roman" w:cs="Times New Roman"/>
      <w:color w:val="365F91"/>
      <w:sz w:val="20"/>
      <w:szCs w:val="20"/>
    </w:rPr>
    <w:tblPr>
      <w:tblStyleRowBandSize w:val="1"/>
      <w:tblStyleColBandSize w:val="1"/>
    </w:tblPr>
    <w:tblStylePr w:type="firstRow">
      <w:rPr>
        <w:rFonts w:ascii="Segoe UI Symbol" w:eastAsia="MS Gothic" w:hAnsi="Segoe UI Symbol" w:cs="Times New Roman"/>
        <w:i/>
        <w:iCs/>
        <w:sz w:val="26"/>
      </w:rPr>
      <w:tblPr/>
      <w:tcPr>
        <w:tcBorders>
          <w:bottom w:val="single" w:sz="4" w:space="0" w:color="4F81BD"/>
        </w:tcBorders>
        <w:shd w:val="clear" w:color="auto" w:fill="FFFFFF"/>
      </w:tcPr>
    </w:tblStylePr>
    <w:tblStylePr w:type="lastRow">
      <w:rPr>
        <w:rFonts w:ascii="Segoe UI Symbol" w:eastAsia="MS Gothic" w:hAnsi="Segoe UI Symbol" w:cs="Times New Roman"/>
        <w:i/>
        <w:iCs/>
        <w:sz w:val="26"/>
      </w:rPr>
      <w:tblPr/>
      <w:tcPr>
        <w:tcBorders>
          <w:top w:val="single" w:sz="4" w:space="0" w:color="4F81BD"/>
        </w:tcBorders>
        <w:shd w:val="clear" w:color="auto" w:fill="FFFFFF"/>
      </w:tcPr>
    </w:tblStylePr>
    <w:tblStylePr w:type="firstCol">
      <w:pPr>
        <w:jc w:val="right"/>
      </w:pPr>
      <w:rPr>
        <w:rFonts w:ascii="Segoe UI Symbol" w:eastAsia="MS Gothic" w:hAnsi="Segoe UI Symbol" w:cs="Times New Roman"/>
        <w:i/>
        <w:iCs/>
        <w:sz w:val="26"/>
      </w:rPr>
      <w:tblPr/>
      <w:tcPr>
        <w:tcBorders>
          <w:right w:val="single" w:sz="4" w:space="0" w:color="4F81BD"/>
        </w:tcBorders>
        <w:shd w:val="clear" w:color="auto" w:fill="FFFFFF"/>
      </w:tcPr>
    </w:tblStylePr>
    <w:tblStylePr w:type="lastCol">
      <w:rPr>
        <w:rFonts w:ascii="Segoe UI Symbol" w:eastAsia="MS Gothic" w:hAnsi="Segoe UI Symbol" w:cs="Times New Roman"/>
        <w:i/>
        <w:iCs/>
        <w:sz w:val="26"/>
      </w:rPr>
      <w:tblPr/>
      <w:tcPr>
        <w:tcBorders>
          <w:left w:val="single" w:sz="4" w:space="0" w:color="4F81BD"/>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ED7C85"/>
    <w:pPr>
      <w:spacing w:after="0" w:line="240" w:lineRule="auto"/>
    </w:pPr>
    <w:rPr>
      <w:rFonts w:ascii="Times New Roman" w:eastAsia="MS Mincho" w:hAnsi="Times New Roman" w:cs="Times New Roman"/>
      <w:color w:val="943634"/>
      <w:sz w:val="20"/>
      <w:szCs w:val="20"/>
    </w:rPr>
    <w:tblPr>
      <w:tblStyleRowBandSize w:val="1"/>
      <w:tblStyleColBandSize w:val="1"/>
    </w:tblPr>
    <w:tblStylePr w:type="firstRow">
      <w:rPr>
        <w:rFonts w:ascii="Segoe UI Symbol" w:eastAsia="MS Gothic" w:hAnsi="Segoe UI Symbol" w:cs="Times New Roman"/>
        <w:i/>
        <w:iCs/>
        <w:sz w:val="26"/>
      </w:rPr>
      <w:tblPr/>
      <w:tcPr>
        <w:tcBorders>
          <w:bottom w:val="single" w:sz="4" w:space="0" w:color="C0504D"/>
        </w:tcBorders>
        <w:shd w:val="clear" w:color="auto" w:fill="FFFFFF"/>
      </w:tcPr>
    </w:tblStylePr>
    <w:tblStylePr w:type="lastRow">
      <w:rPr>
        <w:rFonts w:ascii="Segoe UI Symbol" w:eastAsia="MS Gothic" w:hAnsi="Segoe UI Symbol" w:cs="Times New Roman"/>
        <w:i/>
        <w:iCs/>
        <w:sz w:val="26"/>
      </w:rPr>
      <w:tblPr/>
      <w:tcPr>
        <w:tcBorders>
          <w:top w:val="single" w:sz="4" w:space="0" w:color="C0504D"/>
        </w:tcBorders>
        <w:shd w:val="clear" w:color="auto" w:fill="FFFFFF"/>
      </w:tcPr>
    </w:tblStylePr>
    <w:tblStylePr w:type="firstCol">
      <w:pPr>
        <w:jc w:val="right"/>
      </w:pPr>
      <w:rPr>
        <w:rFonts w:ascii="Segoe UI Symbol" w:eastAsia="MS Gothic" w:hAnsi="Segoe UI Symbol" w:cs="Times New Roman"/>
        <w:i/>
        <w:iCs/>
        <w:sz w:val="26"/>
      </w:rPr>
      <w:tblPr/>
      <w:tcPr>
        <w:tcBorders>
          <w:right w:val="single" w:sz="4" w:space="0" w:color="C0504D"/>
        </w:tcBorders>
        <w:shd w:val="clear" w:color="auto" w:fill="FFFFFF"/>
      </w:tcPr>
    </w:tblStylePr>
    <w:tblStylePr w:type="lastCol">
      <w:rPr>
        <w:rFonts w:ascii="Segoe UI Symbol" w:eastAsia="MS Gothic" w:hAnsi="Segoe UI Symbol" w:cs="Times New Roman"/>
        <w:i/>
        <w:iCs/>
        <w:sz w:val="26"/>
      </w:rPr>
      <w:tblPr/>
      <w:tcPr>
        <w:tcBorders>
          <w:left w:val="single" w:sz="4" w:space="0" w:color="C0504D"/>
        </w:tcBorders>
        <w:shd w:val="clear" w:color="auto" w:fill="FFFFFF"/>
      </w:tcPr>
    </w:tblStylePr>
    <w:tblStylePr w:type="band1Vert">
      <w:tblPr/>
      <w:tcPr>
        <w:shd w:val="clear" w:color="auto" w:fill="F2DBDB"/>
      </w:tcPr>
    </w:tblStylePr>
    <w:tblStylePr w:type="band1Horz">
      <w:tblPr/>
      <w:tcPr>
        <w:shd w:val="clear" w:color="auto" w:fill="F2DBDB"/>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ED7C85"/>
    <w:pPr>
      <w:spacing w:after="0" w:line="240" w:lineRule="auto"/>
    </w:pPr>
    <w:rPr>
      <w:rFonts w:ascii="Times New Roman" w:eastAsia="MS Mincho" w:hAnsi="Times New Roman" w:cs="Times New Roman"/>
      <w:color w:val="76923C"/>
      <w:sz w:val="20"/>
      <w:szCs w:val="20"/>
    </w:rPr>
    <w:tblPr>
      <w:tblStyleRowBandSize w:val="1"/>
      <w:tblStyleColBandSize w:val="1"/>
    </w:tblPr>
    <w:tblStylePr w:type="firstRow">
      <w:rPr>
        <w:rFonts w:ascii="Segoe UI Symbol" w:eastAsia="MS Gothic" w:hAnsi="Segoe UI Symbol" w:cs="Times New Roman"/>
        <w:i/>
        <w:iCs/>
        <w:sz w:val="26"/>
      </w:rPr>
      <w:tblPr/>
      <w:tcPr>
        <w:tcBorders>
          <w:bottom w:val="single" w:sz="4" w:space="0" w:color="9BBB59"/>
        </w:tcBorders>
        <w:shd w:val="clear" w:color="auto" w:fill="FFFFFF"/>
      </w:tcPr>
    </w:tblStylePr>
    <w:tblStylePr w:type="lastRow">
      <w:rPr>
        <w:rFonts w:ascii="Segoe UI Symbol" w:eastAsia="MS Gothic" w:hAnsi="Segoe UI Symbol" w:cs="Times New Roman"/>
        <w:i/>
        <w:iCs/>
        <w:sz w:val="26"/>
      </w:rPr>
      <w:tblPr/>
      <w:tcPr>
        <w:tcBorders>
          <w:top w:val="single" w:sz="4" w:space="0" w:color="9BBB59"/>
        </w:tcBorders>
        <w:shd w:val="clear" w:color="auto" w:fill="FFFFFF"/>
      </w:tcPr>
    </w:tblStylePr>
    <w:tblStylePr w:type="firstCol">
      <w:pPr>
        <w:jc w:val="right"/>
      </w:pPr>
      <w:rPr>
        <w:rFonts w:ascii="Segoe UI Symbol" w:eastAsia="MS Gothic" w:hAnsi="Segoe UI Symbol" w:cs="Times New Roman"/>
        <w:i/>
        <w:iCs/>
        <w:sz w:val="26"/>
      </w:rPr>
      <w:tblPr/>
      <w:tcPr>
        <w:tcBorders>
          <w:right w:val="single" w:sz="4" w:space="0" w:color="9BBB59"/>
        </w:tcBorders>
        <w:shd w:val="clear" w:color="auto" w:fill="FFFFFF"/>
      </w:tcPr>
    </w:tblStylePr>
    <w:tblStylePr w:type="lastCol">
      <w:rPr>
        <w:rFonts w:ascii="Segoe UI Symbol" w:eastAsia="MS Gothic" w:hAnsi="Segoe UI Symbol" w:cs="Times New Roman"/>
        <w:i/>
        <w:iCs/>
        <w:sz w:val="26"/>
      </w:rPr>
      <w:tblPr/>
      <w:tcPr>
        <w:tcBorders>
          <w:left w:val="single" w:sz="4" w:space="0" w:color="9BBB59"/>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ED7C85"/>
    <w:pPr>
      <w:spacing w:after="0" w:line="240" w:lineRule="auto"/>
    </w:pPr>
    <w:rPr>
      <w:rFonts w:ascii="Times New Roman" w:eastAsia="MS Mincho" w:hAnsi="Times New Roman" w:cs="Times New Roman"/>
      <w:color w:val="5F497A"/>
      <w:sz w:val="20"/>
      <w:szCs w:val="20"/>
    </w:rPr>
    <w:tblPr>
      <w:tblStyleRowBandSize w:val="1"/>
      <w:tblStyleColBandSize w:val="1"/>
    </w:tblPr>
    <w:tblStylePr w:type="firstRow">
      <w:rPr>
        <w:rFonts w:ascii="Segoe UI Symbol" w:eastAsia="MS Gothic" w:hAnsi="Segoe UI Symbol" w:cs="Times New Roman"/>
        <w:i/>
        <w:iCs/>
        <w:sz w:val="26"/>
      </w:rPr>
      <w:tblPr/>
      <w:tcPr>
        <w:tcBorders>
          <w:bottom w:val="single" w:sz="4" w:space="0" w:color="8064A2"/>
        </w:tcBorders>
        <w:shd w:val="clear" w:color="auto" w:fill="FFFFFF"/>
      </w:tcPr>
    </w:tblStylePr>
    <w:tblStylePr w:type="lastRow">
      <w:rPr>
        <w:rFonts w:ascii="Segoe UI Symbol" w:eastAsia="MS Gothic" w:hAnsi="Segoe UI Symbol" w:cs="Times New Roman"/>
        <w:i/>
        <w:iCs/>
        <w:sz w:val="26"/>
      </w:rPr>
      <w:tblPr/>
      <w:tcPr>
        <w:tcBorders>
          <w:top w:val="single" w:sz="4" w:space="0" w:color="8064A2"/>
        </w:tcBorders>
        <w:shd w:val="clear" w:color="auto" w:fill="FFFFFF"/>
      </w:tcPr>
    </w:tblStylePr>
    <w:tblStylePr w:type="firstCol">
      <w:pPr>
        <w:jc w:val="right"/>
      </w:pPr>
      <w:rPr>
        <w:rFonts w:ascii="Segoe UI Symbol" w:eastAsia="MS Gothic" w:hAnsi="Segoe UI Symbol" w:cs="Times New Roman"/>
        <w:i/>
        <w:iCs/>
        <w:sz w:val="26"/>
      </w:rPr>
      <w:tblPr/>
      <w:tcPr>
        <w:tcBorders>
          <w:right w:val="single" w:sz="4" w:space="0" w:color="8064A2"/>
        </w:tcBorders>
        <w:shd w:val="clear" w:color="auto" w:fill="FFFFFF"/>
      </w:tcPr>
    </w:tblStylePr>
    <w:tblStylePr w:type="lastCol">
      <w:rPr>
        <w:rFonts w:ascii="Segoe UI Symbol" w:eastAsia="MS Gothic" w:hAnsi="Segoe UI Symbol" w:cs="Times New Roman"/>
        <w:i/>
        <w:iCs/>
        <w:sz w:val="26"/>
      </w:rPr>
      <w:tblPr/>
      <w:tcPr>
        <w:tcBorders>
          <w:left w:val="single" w:sz="4" w:space="0" w:color="8064A2"/>
        </w:tcBorders>
        <w:shd w:val="clear" w:color="auto" w:fill="FFFFFF"/>
      </w:tcPr>
    </w:tblStylePr>
    <w:tblStylePr w:type="band1Vert">
      <w:tblPr/>
      <w:tcPr>
        <w:shd w:val="clear" w:color="auto" w:fill="E5DFEC"/>
      </w:tcPr>
    </w:tblStylePr>
    <w:tblStylePr w:type="band1Horz">
      <w:tblPr/>
      <w:tcPr>
        <w:shd w:val="clear" w:color="auto" w:fill="E5DFE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ED7C85"/>
    <w:pPr>
      <w:spacing w:after="0" w:line="240" w:lineRule="auto"/>
    </w:pPr>
    <w:rPr>
      <w:rFonts w:ascii="Times New Roman" w:eastAsia="MS Mincho" w:hAnsi="Times New Roman" w:cs="Times New Roman"/>
      <w:color w:val="31849B"/>
      <w:sz w:val="20"/>
      <w:szCs w:val="20"/>
    </w:rPr>
    <w:tblPr>
      <w:tblStyleRowBandSize w:val="1"/>
      <w:tblStyleColBandSize w:val="1"/>
    </w:tblPr>
    <w:tblStylePr w:type="firstRow">
      <w:rPr>
        <w:rFonts w:ascii="Segoe UI Symbol" w:eastAsia="MS Gothic" w:hAnsi="Segoe UI Symbol" w:cs="Times New Roman"/>
        <w:i/>
        <w:iCs/>
        <w:sz w:val="26"/>
      </w:rPr>
      <w:tblPr/>
      <w:tcPr>
        <w:tcBorders>
          <w:bottom w:val="single" w:sz="4" w:space="0" w:color="4BACC6"/>
        </w:tcBorders>
        <w:shd w:val="clear" w:color="auto" w:fill="FFFFFF"/>
      </w:tcPr>
    </w:tblStylePr>
    <w:tblStylePr w:type="lastRow">
      <w:rPr>
        <w:rFonts w:ascii="Segoe UI Symbol" w:eastAsia="MS Gothic" w:hAnsi="Segoe UI Symbol" w:cs="Times New Roman"/>
        <w:i/>
        <w:iCs/>
        <w:sz w:val="26"/>
      </w:rPr>
      <w:tblPr/>
      <w:tcPr>
        <w:tcBorders>
          <w:top w:val="single" w:sz="4" w:space="0" w:color="4BACC6"/>
        </w:tcBorders>
        <w:shd w:val="clear" w:color="auto" w:fill="FFFFFF"/>
      </w:tcPr>
    </w:tblStylePr>
    <w:tblStylePr w:type="firstCol">
      <w:pPr>
        <w:jc w:val="right"/>
      </w:pPr>
      <w:rPr>
        <w:rFonts w:ascii="Segoe UI Symbol" w:eastAsia="MS Gothic" w:hAnsi="Segoe UI Symbol" w:cs="Times New Roman"/>
        <w:i/>
        <w:iCs/>
        <w:sz w:val="26"/>
      </w:rPr>
      <w:tblPr/>
      <w:tcPr>
        <w:tcBorders>
          <w:right w:val="single" w:sz="4" w:space="0" w:color="4BACC6"/>
        </w:tcBorders>
        <w:shd w:val="clear" w:color="auto" w:fill="FFFFFF"/>
      </w:tcPr>
    </w:tblStylePr>
    <w:tblStylePr w:type="lastCol">
      <w:rPr>
        <w:rFonts w:ascii="Segoe UI Symbol" w:eastAsia="MS Gothic" w:hAnsi="Segoe UI Symbol" w:cs="Times New Roman"/>
        <w:i/>
        <w:iCs/>
        <w:sz w:val="26"/>
      </w:rPr>
      <w:tblPr/>
      <w:tcPr>
        <w:tcBorders>
          <w:left w:val="single" w:sz="4" w:space="0" w:color="4BACC6"/>
        </w:tcBorders>
        <w:shd w:val="clear" w:color="auto" w:fill="FFFFFF"/>
      </w:tcPr>
    </w:tblStylePr>
    <w:tblStylePr w:type="band1Vert">
      <w:tblPr/>
      <w:tcPr>
        <w:shd w:val="clear" w:color="auto" w:fill="DAEEF3"/>
      </w:tcPr>
    </w:tblStylePr>
    <w:tblStylePr w:type="band1Horz">
      <w:tblPr/>
      <w:tcPr>
        <w:shd w:val="clear" w:color="auto" w:fill="DAEE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ED7C85"/>
    <w:pPr>
      <w:spacing w:after="0" w:line="240" w:lineRule="auto"/>
    </w:pPr>
    <w:rPr>
      <w:rFonts w:ascii="Times New Roman" w:eastAsia="MS Mincho" w:hAnsi="Times New Roman" w:cs="Times New Roman"/>
      <w:color w:val="E36C0A"/>
      <w:sz w:val="20"/>
      <w:szCs w:val="20"/>
    </w:rPr>
    <w:tblPr>
      <w:tblStyleRowBandSize w:val="1"/>
      <w:tblStyleColBandSize w:val="1"/>
    </w:tblPr>
    <w:tblStylePr w:type="firstRow">
      <w:rPr>
        <w:rFonts w:ascii="Segoe UI Symbol" w:eastAsia="MS Gothic" w:hAnsi="Segoe UI Symbol" w:cs="Times New Roman"/>
        <w:i/>
        <w:iCs/>
        <w:sz w:val="26"/>
      </w:rPr>
      <w:tblPr/>
      <w:tcPr>
        <w:tcBorders>
          <w:bottom w:val="single" w:sz="4" w:space="0" w:color="F79646"/>
        </w:tcBorders>
        <w:shd w:val="clear" w:color="auto" w:fill="FFFFFF"/>
      </w:tcPr>
    </w:tblStylePr>
    <w:tblStylePr w:type="lastRow">
      <w:rPr>
        <w:rFonts w:ascii="Segoe UI Symbol" w:eastAsia="MS Gothic" w:hAnsi="Segoe UI Symbol" w:cs="Times New Roman"/>
        <w:i/>
        <w:iCs/>
        <w:sz w:val="26"/>
      </w:rPr>
      <w:tblPr/>
      <w:tcPr>
        <w:tcBorders>
          <w:top w:val="single" w:sz="4" w:space="0" w:color="F79646"/>
        </w:tcBorders>
        <w:shd w:val="clear" w:color="auto" w:fill="FFFFFF"/>
      </w:tcPr>
    </w:tblStylePr>
    <w:tblStylePr w:type="firstCol">
      <w:pPr>
        <w:jc w:val="right"/>
      </w:pPr>
      <w:rPr>
        <w:rFonts w:ascii="Segoe UI Symbol" w:eastAsia="MS Gothic" w:hAnsi="Segoe UI Symbol" w:cs="Times New Roman"/>
        <w:i/>
        <w:iCs/>
        <w:sz w:val="26"/>
      </w:rPr>
      <w:tblPr/>
      <w:tcPr>
        <w:tcBorders>
          <w:right w:val="single" w:sz="4" w:space="0" w:color="F79646"/>
        </w:tcBorders>
        <w:shd w:val="clear" w:color="auto" w:fill="FFFFFF"/>
      </w:tcPr>
    </w:tblStylePr>
    <w:tblStylePr w:type="lastCol">
      <w:rPr>
        <w:rFonts w:ascii="Segoe UI Symbol" w:eastAsia="MS Gothic" w:hAnsi="Segoe UI Symbol" w:cs="Times New Roman"/>
        <w:i/>
        <w:iCs/>
        <w:sz w:val="26"/>
      </w:rPr>
      <w:tblPr/>
      <w:tcPr>
        <w:tcBorders>
          <w:left w:val="single" w:sz="4" w:space="0" w:color="F79646"/>
        </w:tcBorders>
        <w:shd w:val="clear" w:color="auto" w:fill="FFFFFF"/>
      </w:tcPr>
    </w:tblStylePr>
    <w:tblStylePr w:type="band1Vert">
      <w:tblPr/>
      <w:tcPr>
        <w:shd w:val="clear" w:color="auto" w:fill="FDE9D9"/>
      </w:tcPr>
    </w:tblStylePr>
    <w:tblStylePr w:type="band1Horz">
      <w:tblPr/>
      <w:tcPr>
        <w:shd w:val="clear" w:color="auto" w:fill="FDE9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uiPriority w:val="99"/>
    <w:unhideWhenUsed/>
    <w:rsid w:val="00ED7C85"/>
    <w:rPr>
      <w:color w:val="2B579A"/>
      <w:shd w:val="clear" w:color="auto" w:fill="E6E6E6"/>
    </w:rPr>
  </w:style>
  <w:style w:type="table" w:styleId="PlainTable1">
    <w:name w:val="Plain Table 1"/>
    <w:basedOn w:val="TableNormal"/>
    <w:uiPriority w:val="41"/>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2">
    <w:name w:val="Plain Table 2"/>
    <w:basedOn w:val="TableNormal"/>
    <w:uiPriority w:val="42"/>
    <w:rsid w:val="00ED7C85"/>
    <w:pPr>
      <w:spacing w:after="0" w:line="240" w:lineRule="auto"/>
    </w:pPr>
    <w:rPr>
      <w:rFonts w:ascii="Times New Roman" w:eastAsia="MS Mincho" w:hAnsi="Times New Roman" w:cs="Times New Roman"/>
      <w:sz w:val="20"/>
      <w:szCs w:val="20"/>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3">
    <w:name w:val="Plain Table 3"/>
    <w:basedOn w:val="TableNormal"/>
    <w:uiPriority w:val="43"/>
    <w:rsid w:val="00ED7C85"/>
    <w:pPr>
      <w:spacing w:after="0" w:line="240" w:lineRule="auto"/>
    </w:pPr>
    <w:rPr>
      <w:rFonts w:ascii="Times New Roman" w:eastAsia="MS Mincho" w:hAnsi="Times New Roman" w:cs="Times New Roman"/>
      <w:sz w:val="20"/>
      <w:szCs w:val="20"/>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ED7C85"/>
    <w:pPr>
      <w:spacing w:after="0" w:line="240" w:lineRule="auto"/>
    </w:pPr>
    <w:rPr>
      <w:rFonts w:ascii="Times New Roman" w:eastAsia="MS Mincho" w:hAnsi="Times New Roman" w:cs="Times New Roman"/>
      <w:sz w:val="20"/>
      <w:szCs w:val="20"/>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5">
    <w:name w:val="Plain Table 5"/>
    <w:basedOn w:val="TableNormal"/>
    <w:uiPriority w:val="45"/>
    <w:rsid w:val="00ED7C85"/>
    <w:pPr>
      <w:spacing w:after="0" w:line="240" w:lineRule="auto"/>
    </w:pPr>
    <w:rPr>
      <w:rFonts w:ascii="Times New Roman" w:eastAsia="MS Mincho" w:hAnsi="Times New Roman" w:cs="Times New Roman"/>
      <w:sz w:val="20"/>
      <w:szCs w:val="20"/>
    </w:rPr>
    <w:tblPr>
      <w:tblStyleRowBandSize w:val="1"/>
      <w:tblStyleColBandSize w:val="1"/>
    </w:tblPr>
    <w:tblStylePr w:type="firstRow">
      <w:rPr>
        <w:rFonts w:ascii="Segoe UI Symbol" w:eastAsia="MS Gothic" w:hAnsi="Segoe UI Symbol" w:cs="Times New Roman"/>
        <w:i/>
        <w:iCs/>
        <w:sz w:val="26"/>
      </w:rPr>
      <w:tblPr/>
      <w:tcPr>
        <w:tcBorders>
          <w:bottom w:val="single" w:sz="4" w:space="0" w:color="7F7F7F"/>
        </w:tcBorders>
        <w:shd w:val="clear" w:color="auto" w:fill="FFFFFF"/>
      </w:tcPr>
    </w:tblStylePr>
    <w:tblStylePr w:type="lastRow">
      <w:rPr>
        <w:rFonts w:ascii="Segoe UI Symbol" w:eastAsia="MS Gothic" w:hAnsi="Segoe UI Symbol" w:cs="Times New Roman"/>
        <w:i/>
        <w:iCs/>
        <w:sz w:val="26"/>
      </w:rPr>
      <w:tblPr/>
      <w:tcPr>
        <w:tcBorders>
          <w:top w:val="single" w:sz="4" w:space="0" w:color="7F7F7F"/>
        </w:tcBorders>
        <w:shd w:val="clear" w:color="auto" w:fill="FFFFFF"/>
      </w:tcPr>
    </w:tblStylePr>
    <w:tblStylePr w:type="firstCol">
      <w:pPr>
        <w:jc w:val="right"/>
      </w:pPr>
      <w:rPr>
        <w:rFonts w:ascii="Segoe UI Symbol" w:eastAsia="MS Gothic" w:hAnsi="Segoe UI Symbol" w:cs="Times New Roman"/>
        <w:i/>
        <w:iCs/>
        <w:sz w:val="26"/>
      </w:rPr>
      <w:tblPr/>
      <w:tcPr>
        <w:tcBorders>
          <w:right w:val="single" w:sz="4" w:space="0" w:color="7F7F7F"/>
        </w:tcBorders>
        <w:shd w:val="clear" w:color="auto" w:fill="FFFFFF"/>
      </w:tcPr>
    </w:tblStylePr>
    <w:tblStylePr w:type="lastCol">
      <w:rPr>
        <w:rFonts w:ascii="Segoe UI Symbol" w:eastAsia="MS Gothic" w:hAnsi="Segoe UI Symbol"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uiPriority w:val="99"/>
    <w:semiHidden/>
    <w:unhideWhenUsed/>
    <w:rsid w:val="00ED7C85"/>
    <w:rPr>
      <w:u w:val="dotted"/>
    </w:rPr>
  </w:style>
  <w:style w:type="table" w:styleId="TableGridLight">
    <w:name w:val="Grid Table Light"/>
    <w:basedOn w:val="TableNormal"/>
    <w:uiPriority w:val="40"/>
    <w:rsid w:val="00ED7C85"/>
    <w:pPr>
      <w:spacing w:after="0" w:line="240" w:lineRule="auto"/>
    </w:pPr>
    <w:rPr>
      <w:rFonts w:ascii="Times New Roman" w:eastAsia="MS Mincho" w:hAnsi="Times New Roman" w:cs="Times New Roman"/>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UnresolvedMention">
    <w:name w:val="Unresolved Mention"/>
    <w:uiPriority w:val="99"/>
    <w:unhideWhenUsed/>
    <w:rsid w:val="00ED7C85"/>
    <w:rPr>
      <w:color w:val="808080"/>
      <w:shd w:val="clear" w:color="auto" w:fill="E6E6E6"/>
    </w:rPr>
  </w:style>
  <w:style w:type="paragraph" w:styleId="Revision">
    <w:name w:val="Revision"/>
    <w:hidden/>
    <w:uiPriority w:val="99"/>
    <w:semiHidden/>
    <w:rsid w:val="00524696"/>
    <w:pPr>
      <w:spacing w:after="0" w:line="240" w:lineRule="auto"/>
    </w:pPr>
    <w:rPr>
      <w:rFonts w:ascii="Times New Roman" w:hAnsi="Times New Roman"/>
      <w:sz w:val="24"/>
    </w:rPr>
  </w:style>
  <w:style w:type="paragraph" w:styleId="CommentText">
    <w:name w:val="annotation text"/>
    <w:basedOn w:val="Normal"/>
    <w:link w:val="CommentTextChar"/>
    <w:rsid w:val="00B108E2"/>
    <w:rPr>
      <w:sz w:val="20"/>
    </w:rPr>
  </w:style>
  <w:style w:type="character" w:customStyle="1" w:styleId="CommentTextChar">
    <w:name w:val="Comment Text Char"/>
    <w:link w:val="CommentText"/>
    <w:rsid w:val="00ED7C85"/>
    <w:rPr>
      <w:rFonts w:ascii="Times New Roman" w:eastAsia="Times New Roman" w:hAnsi="Times New Roman" w:cs="Arial"/>
      <w:sz w:val="20"/>
      <w:szCs w:val="20"/>
    </w:rPr>
  </w:style>
  <w:style w:type="character" w:styleId="BookTitle">
    <w:name w:val="Book Title"/>
    <w:uiPriority w:val="33"/>
    <w:qFormat/>
    <w:rsid w:val="00ED7C85"/>
    <w:rPr>
      <w:b/>
      <w:bCs/>
      <w:smallCaps/>
      <w:spacing w:val="5"/>
    </w:rPr>
  </w:style>
  <w:style w:type="character" w:styleId="Emphasis">
    <w:name w:val="Emphasis"/>
    <w:uiPriority w:val="20"/>
    <w:qFormat/>
    <w:rsid w:val="00ED7C85"/>
    <w:rPr>
      <w:i/>
      <w:iCs/>
    </w:rPr>
  </w:style>
  <w:style w:type="character" w:styleId="IntenseEmphasis">
    <w:name w:val="Intense Emphasis"/>
    <w:uiPriority w:val="21"/>
    <w:rsid w:val="00ED7C85"/>
    <w:rPr>
      <w:b/>
      <w:bCs/>
      <w:i/>
      <w:iCs/>
      <w:color w:val="4F81BD"/>
    </w:rPr>
  </w:style>
  <w:style w:type="paragraph" w:styleId="IntenseQuote">
    <w:name w:val="Intense Quote"/>
    <w:basedOn w:val="Normal"/>
    <w:next w:val="Normal"/>
    <w:link w:val="IntenseQuoteChar"/>
    <w:uiPriority w:val="30"/>
    <w:rsid w:val="00ED7C85"/>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ED7C85"/>
    <w:rPr>
      <w:rFonts w:ascii="Times New Roman" w:eastAsia="Times New Roman" w:hAnsi="Times New Roman" w:cs="Times New Roman"/>
      <w:b/>
      <w:bCs/>
      <w:i/>
      <w:iCs/>
      <w:color w:val="4F81BD"/>
      <w:sz w:val="24"/>
      <w:szCs w:val="20"/>
    </w:rPr>
  </w:style>
  <w:style w:type="character" w:styleId="IntenseReference">
    <w:name w:val="Intense Reference"/>
    <w:uiPriority w:val="32"/>
    <w:rsid w:val="00ED7C85"/>
    <w:rPr>
      <w:b/>
      <w:bCs/>
      <w:smallCaps/>
      <w:color w:val="C0504D"/>
      <w:spacing w:val="5"/>
      <w:u w:val="single"/>
    </w:rPr>
  </w:style>
  <w:style w:type="paragraph" w:styleId="NoSpacing">
    <w:name w:val="No Spacing"/>
    <w:uiPriority w:val="1"/>
    <w:rsid w:val="00ED7C85"/>
    <w:pPr>
      <w:spacing w:after="0" w:line="240" w:lineRule="auto"/>
    </w:pPr>
    <w:rPr>
      <w:rFonts w:ascii="Times New Roman" w:eastAsia="Times New Roman" w:hAnsi="Times New Roman" w:cs="Cordia New"/>
      <w:sz w:val="24"/>
    </w:rPr>
  </w:style>
  <w:style w:type="character" w:styleId="Strong">
    <w:name w:val="Strong"/>
    <w:uiPriority w:val="22"/>
    <w:qFormat/>
    <w:rsid w:val="00ED7C85"/>
    <w:rPr>
      <w:b/>
      <w:bCs/>
    </w:rPr>
  </w:style>
  <w:style w:type="paragraph" w:styleId="Subtitle">
    <w:name w:val="Subtitle"/>
    <w:basedOn w:val="Normal"/>
    <w:next w:val="Normal"/>
    <w:link w:val="SubtitleChar"/>
    <w:rsid w:val="00ED7C85"/>
    <w:pPr>
      <w:numPr>
        <w:ilvl w:val="1"/>
      </w:numPr>
    </w:pPr>
    <w:rPr>
      <w:rFonts w:ascii="Cambria" w:eastAsia="MS Gothic" w:hAnsi="Cambria"/>
      <w:i/>
      <w:iCs/>
      <w:color w:val="4F81BD"/>
      <w:spacing w:val="15"/>
      <w:szCs w:val="24"/>
    </w:rPr>
  </w:style>
  <w:style w:type="character" w:customStyle="1" w:styleId="SubtitleChar">
    <w:name w:val="Subtitle Char"/>
    <w:link w:val="Subtitle"/>
    <w:rsid w:val="00ED7C85"/>
    <w:rPr>
      <w:rFonts w:ascii="Cambria" w:eastAsia="MS Gothic" w:hAnsi="Cambria" w:cs="Times New Roman"/>
      <w:i/>
      <w:iCs/>
      <w:color w:val="4F81BD"/>
      <w:spacing w:val="15"/>
      <w:sz w:val="24"/>
      <w:szCs w:val="24"/>
    </w:rPr>
  </w:style>
  <w:style w:type="character" w:styleId="SubtleEmphasis">
    <w:name w:val="Subtle Emphasis"/>
    <w:uiPriority w:val="19"/>
    <w:qFormat/>
    <w:rsid w:val="00ED7C85"/>
    <w:rPr>
      <w:i/>
      <w:iCs/>
      <w:color w:val="808080"/>
    </w:rPr>
  </w:style>
  <w:style w:type="character" w:styleId="SubtleReference">
    <w:name w:val="Subtle Reference"/>
    <w:uiPriority w:val="31"/>
    <w:rsid w:val="00ED7C85"/>
    <w:rPr>
      <w:smallCaps/>
      <w:color w:val="C0504D"/>
      <w:u w:val="single"/>
    </w:rPr>
  </w:style>
  <w:style w:type="paragraph" w:styleId="TableofFigures">
    <w:name w:val="table of figures"/>
    <w:next w:val="C-BodyText"/>
    <w:uiPriority w:val="99"/>
    <w:rsid w:val="00B108E2"/>
    <w:pPr>
      <w:tabs>
        <w:tab w:val="left" w:pos="1152"/>
        <w:tab w:val="right" w:leader="dot" w:pos="9360"/>
      </w:tabs>
      <w:spacing w:before="120" w:after="0" w:line="280" w:lineRule="atLeast"/>
      <w:ind w:left="1152" w:right="792" w:hanging="1152"/>
    </w:pPr>
    <w:rPr>
      <w:rFonts w:ascii="Times New Roman" w:eastAsia="Times New Roman" w:hAnsi="Times New Roman" w:cs="Arial"/>
      <w:color w:val="0000FF"/>
      <w:sz w:val="24"/>
      <w:szCs w:val="20"/>
    </w:rPr>
  </w:style>
  <w:style w:type="character" w:customStyle="1" w:styleId="ListBulletChar">
    <w:name w:val="List Bullet Char"/>
    <w:link w:val="ListBullet"/>
    <w:rsid w:val="00B67D4F"/>
    <w:rPr>
      <w:rFonts w:ascii="Times New Roman" w:eastAsia="SimSun" w:hAnsi="Times New Roman" w:cs="Times New Roman"/>
      <w:sz w:val="24"/>
      <w:szCs w:val="24"/>
      <w:lang w:eastAsia="zh-CN"/>
    </w:rPr>
  </w:style>
  <w:style w:type="numbering" w:customStyle="1" w:styleId="CPTB">
    <w:name w:val="CPT_B"/>
    <w:uiPriority w:val="99"/>
    <w:rsid w:val="00D03C46"/>
    <w:pPr>
      <w:numPr>
        <w:numId w:val="5"/>
      </w:numPr>
    </w:pPr>
  </w:style>
  <w:style w:type="paragraph" w:customStyle="1" w:styleId="CPTListBullet">
    <w:name w:val="CPT_List Bullet"/>
    <w:basedOn w:val="Normal"/>
    <w:qFormat/>
    <w:rsid w:val="005A777F"/>
    <w:pPr>
      <w:numPr>
        <w:numId w:val="6"/>
      </w:numPr>
      <w:spacing w:after="120"/>
    </w:pPr>
    <w:rPr>
      <w:rFonts w:eastAsia="Calibri" w:cs="Times New Roman"/>
    </w:rPr>
  </w:style>
  <w:style w:type="character" w:styleId="SmartLink">
    <w:name w:val="Smart Link"/>
    <w:basedOn w:val="DefaultParagraphFont"/>
    <w:uiPriority w:val="99"/>
    <w:semiHidden/>
    <w:unhideWhenUsed/>
    <w:rsid w:val="0064594A"/>
    <w:rPr>
      <w:color w:val="0000FF"/>
      <w:u w:val="single"/>
      <w:shd w:val="clear" w:color="auto" w:fill="F3F2F1"/>
    </w:rPr>
  </w:style>
  <w:style w:type="character" w:customStyle="1" w:styleId="normaltextrun">
    <w:name w:val="normaltextrun"/>
    <w:basedOn w:val="DefaultParagraphFont"/>
    <w:rsid w:val="00363FB8"/>
  </w:style>
  <w:style w:type="paragraph" w:customStyle="1" w:styleId="C-BodyText">
    <w:name w:val="C-Body Text"/>
    <w:link w:val="C-BodyTextChar"/>
    <w:rsid w:val="00B108E2"/>
    <w:pPr>
      <w:spacing w:before="120" w:after="120" w:line="280" w:lineRule="atLeast"/>
    </w:pPr>
    <w:rPr>
      <w:rFonts w:ascii="Times New Roman" w:eastAsia="Times New Roman" w:hAnsi="Times New Roman" w:cs="Times New Roman"/>
      <w:sz w:val="24"/>
      <w:szCs w:val="20"/>
    </w:rPr>
  </w:style>
  <w:style w:type="paragraph" w:customStyle="1" w:styleId="C-Heading1">
    <w:name w:val="C-Heading 1"/>
    <w:next w:val="C-BodyText"/>
    <w:link w:val="C-Heading1Char"/>
    <w:rsid w:val="00B108E2"/>
    <w:pPr>
      <w:keepNext/>
      <w:pageBreakBefore/>
      <w:numPr>
        <w:numId w:val="8"/>
      </w:numPr>
      <w:spacing w:before="480" w:after="120" w:line="240" w:lineRule="auto"/>
      <w:outlineLvl w:val="0"/>
    </w:pPr>
    <w:rPr>
      <w:rFonts w:ascii="Times New Roman" w:eastAsia="Times New Roman" w:hAnsi="Times New Roman" w:cs="Times New Roman"/>
      <w:b/>
      <w:caps/>
      <w:sz w:val="28"/>
      <w:szCs w:val="20"/>
    </w:rPr>
  </w:style>
  <w:style w:type="paragraph" w:customStyle="1" w:styleId="C-Heading2">
    <w:name w:val="C-Heading 2"/>
    <w:next w:val="C-BodyText"/>
    <w:rsid w:val="00B108E2"/>
    <w:pPr>
      <w:keepNext/>
      <w:numPr>
        <w:ilvl w:val="1"/>
        <w:numId w:val="8"/>
      </w:numPr>
      <w:spacing w:before="240" w:after="0" w:line="240" w:lineRule="auto"/>
      <w:outlineLvl w:val="1"/>
    </w:pPr>
    <w:rPr>
      <w:rFonts w:ascii="Times New Roman" w:eastAsia="Times New Roman" w:hAnsi="Times New Roman" w:cs="Times New Roman"/>
      <w:b/>
      <w:sz w:val="28"/>
      <w:szCs w:val="20"/>
    </w:rPr>
  </w:style>
  <w:style w:type="paragraph" w:customStyle="1" w:styleId="C-Heading3">
    <w:name w:val="C-Heading 3"/>
    <w:next w:val="C-BodyText"/>
    <w:rsid w:val="00B108E2"/>
    <w:pPr>
      <w:keepNext/>
      <w:numPr>
        <w:ilvl w:val="2"/>
        <w:numId w:val="8"/>
      </w:numPr>
      <w:spacing w:before="240" w:after="0" w:line="240" w:lineRule="auto"/>
      <w:outlineLvl w:val="2"/>
    </w:pPr>
    <w:rPr>
      <w:rFonts w:ascii="Times New Roman" w:eastAsia="Times New Roman" w:hAnsi="Times New Roman" w:cs="Times New Roman"/>
      <w:b/>
      <w:sz w:val="24"/>
      <w:szCs w:val="20"/>
    </w:rPr>
  </w:style>
  <w:style w:type="paragraph" w:customStyle="1" w:styleId="C-Heading4">
    <w:name w:val="C-Heading 4"/>
    <w:next w:val="C-BodyText"/>
    <w:rsid w:val="00B108E2"/>
    <w:pPr>
      <w:keepNext/>
      <w:numPr>
        <w:ilvl w:val="3"/>
        <w:numId w:val="8"/>
      </w:numPr>
      <w:spacing w:before="240" w:after="0" w:line="240" w:lineRule="auto"/>
      <w:outlineLvl w:val="3"/>
    </w:pPr>
    <w:rPr>
      <w:rFonts w:ascii="Times New Roman" w:eastAsia="Times New Roman" w:hAnsi="Times New Roman" w:cs="Times New Roman"/>
      <w:b/>
      <w:sz w:val="24"/>
      <w:szCs w:val="20"/>
    </w:rPr>
  </w:style>
  <w:style w:type="paragraph" w:customStyle="1" w:styleId="C-Heading5">
    <w:name w:val="C-Heading 5"/>
    <w:next w:val="C-BodyText"/>
    <w:rsid w:val="00B108E2"/>
    <w:pPr>
      <w:keepNext/>
      <w:numPr>
        <w:ilvl w:val="4"/>
        <w:numId w:val="8"/>
      </w:numPr>
      <w:spacing w:before="240" w:after="0" w:line="240" w:lineRule="auto"/>
      <w:outlineLvl w:val="4"/>
    </w:pPr>
    <w:rPr>
      <w:rFonts w:ascii="Times New Roman" w:eastAsia="Times New Roman" w:hAnsi="Times New Roman" w:cs="Times New Roman"/>
      <w:b/>
      <w:sz w:val="24"/>
      <w:szCs w:val="20"/>
    </w:rPr>
  </w:style>
  <w:style w:type="paragraph" w:customStyle="1" w:styleId="C-Heading6">
    <w:name w:val="C-Heading 6"/>
    <w:next w:val="C-BodyText"/>
    <w:rsid w:val="00E0693B"/>
    <w:pPr>
      <w:keepNext/>
      <w:numPr>
        <w:ilvl w:val="5"/>
        <w:numId w:val="8"/>
      </w:numPr>
      <w:tabs>
        <w:tab w:val="clear" w:pos="1080"/>
        <w:tab w:val="num" w:pos="1224"/>
      </w:tabs>
      <w:spacing w:before="240" w:after="0" w:line="240" w:lineRule="auto"/>
      <w:outlineLvl w:val="5"/>
    </w:pPr>
    <w:rPr>
      <w:rFonts w:ascii="Times New Roman" w:eastAsia="Times New Roman" w:hAnsi="Times New Roman" w:cs="Times New Roman"/>
      <w:b/>
      <w:sz w:val="24"/>
      <w:szCs w:val="20"/>
    </w:rPr>
  </w:style>
  <w:style w:type="paragraph" w:customStyle="1" w:styleId="C-BodyTextIndent">
    <w:name w:val="C-Body Text Indent"/>
    <w:rsid w:val="00B108E2"/>
    <w:pPr>
      <w:spacing w:before="120" w:after="120" w:line="280" w:lineRule="atLeast"/>
      <w:ind w:left="360"/>
    </w:pPr>
    <w:rPr>
      <w:rFonts w:ascii="Times New Roman" w:eastAsia="Times New Roman" w:hAnsi="Times New Roman" w:cs="Times New Roman"/>
      <w:sz w:val="24"/>
      <w:szCs w:val="20"/>
    </w:rPr>
  </w:style>
  <w:style w:type="paragraph" w:customStyle="1" w:styleId="C-Bullet">
    <w:name w:val="C-Bullet"/>
    <w:rsid w:val="00E0693B"/>
    <w:pPr>
      <w:numPr>
        <w:numId w:val="21"/>
      </w:numPr>
      <w:spacing w:before="120" w:after="120" w:line="280" w:lineRule="atLeast"/>
    </w:pPr>
    <w:rPr>
      <w:rFonts w:ascii="Times New Roman" w:eastAsia="Times New Roman" w:hAnsi="Times New Roman" w:cs="Times New Roman"/>
      <w:sz w:val="24"/>
      <w:szCs w:val="20"/>
    </w:rPr>
  </w:style>
  <w:style w:type="paragraph" w:customStyle="1" w:styleId="C-BulletIndented">
    <w:name w:val="C-Bullet Indented"/>
    <w:rsid w:val="00E0693B"/>
    <w:pPr>
      <w:numPr>
        <w:ilvl w:val="1"/>
        <w:numId w:val="21"/>
      </w:numPr>
      <w:spacing w:before="120" w:after="120" w:line="280" w:lineRule="atLeast"/>
    </w:pPr>
    <w:rPr>
      <w:rFonts w:ascii="Times New Roman" w:eastAsia="Times New Roman" w:hAnsi="Times New Roman" w:cs="Arial"/>
      <w:sz w:val="24"/>
      <w:szCs w:val="20"/>
    </w:rPr>
  </w:style>
  <w:style w:type="paragraph" w:customStyle="1" w:styleId="C-TableHeader">
    <w:name w:val="C-Table Header"/>
    <w:next w:val="C-TableText"/>
    <w:rsid w:val="00B108E2"/>
    <w:pPr>
      <w:keepNext/>
      <w:spacing w:before="60" w:after="60" w:line="240" w:lineRule="auto"/>
    </w:pPr>
    <w:rPr>
      <w:rFonts w:ascii="Times New Roman" w:eastAsia="Times New Roman" w:hAnsi="Times New Roman" w:cs="Times New Roman"/>
      <w:b/>
      <w:szCs w:val="20"/>
    </w:rPr>
  </w:style>
  <w:style w:type="paragraph" w:customStyle="1" w:styleId="C-TableText">
    <w:name w:val="C-Table Text"/>
    <w:link w:val="C-TableTextChar"/>
    <w:rsid w:val="00B108E2"/>
    <w:pPr>
      <w:spacing w:before="60" w:after="60" w:line="240" w:lineRule="auto"/>
    </w:pPr>
    <w:rPr>
      <w:rFonts w:ascii="Times New Roman" w:eastAsia="Times New Roman" w:hAnsi="Times New Roman" w:cs="Times New Roman"/>
      <w:szCs w:val="20"/>
    </w:rPr>
  </w:style>
  <w:style w:type="paragraph" w:customStyle="1" w:styleId="C-TableFootnote">
    <w:name w:val="C-Table Footnote"/>
    <w:next w:val="C-BodyText"/>
    <w:rsid w:val="00B108E2"/>
    <w:pPr>
      <w:tabs>
        <w:tab w:val="left" w:pos="144"/>
      </w:tabs>
      <w:spacing w:after="0" w:line="240" w:lineRule="auto"/>
      <w:ind w:left="144" w:hanging="144"/>
    </w:pPr>
    <w:rPr>
      <w:rFonts w:ascii="Times New Roman" w:eastAsia="Times New Roman" w:hAnsi="Times New Roman" w:cs="Arial"/>
      <w:sz w:val="20"/>
      <w:szCs w:val="20"/>
    </w:rPr>
  </w:style>
  <w:style w:type="paragraph" w:customStyle="1" w:styleId="C-TOCTitle">
    <w:name w:val="C-TOC Title"/>
    <w:next w:val="C-BodyText"/>
    <w:rsid w:val="00B108E2"/>
    <w:pPr>
      <w:spacing w:after="120" w:line="240" w:lineRule="auto"/>
      <w:jc w:val="center"/>
      <w:outlineLvl w:val="0"/>
    </w:pPr>
    <w:rPr>
      <w:rFonts w:ascii="Times New Roman" w:eastAsia="Times New Roman" w:hAnsi="Times New Roman" w:cs="Times New Roman"/>
      <w:b/>
      <w:caps/>
      <w:sz w:val="28"/>
      <w:szCs w:val="28"/>
    </w:rPr>
  </w:style>
  <w:style w:type="paragraph" w:customStyle="1" w:styleId="C-CaptionContinued">
    <w:name w:val="C-Caption Continued"/>
    <w:next w:val="C-BodyText"/>
    <w:rsid w:val="00B108E2"/>
    <w:pPr>
      <w:keepNext/>
      <w:spacing w:before="120" w:after="120" w:line="280" w:lineRule="atLeast"/>
      <w:ind w:left="1440" w:hanging="1440"/>
    </w:pPr>
    <w:rPr>
      <w:rFonts w:ascii="Times New Roman" w:eastAsia="Times New Roman" w:hAnsi="Times New Roman" w:cs="Arial"/>
      <w:b/>
      <w:sz w:val="24"/>
      <w:szCs w:val="20"/>
    </w:rPr>
  </w:style>
  <w:style w:type="paragraph" w:customStyle="1" w:styleId="C-NumberedList">
    <w:name w:val="C-Numbered List"/>
    <w:rsid w:val="00B108E2"/>
    <w:pPr>
      <w:numPr>
        <w:numId w:val="18"/>
      </w:numPr>
      <w:spacing w:before="120" w:after="120" w:line="280" w:lineRule="atLeast"/>
    </w:pPr>
    <w:rPr>
      <w:rFonts w:ascii="Times New Roman" w:eastAsia="Times New Roman" w:hAnsi="Times New Roman" w:cs="Times New Roman"/>
      <w:sz w:val="24"/>
      <w:szCs w:val="20"/>
    </w:rPr>
  </w:style>
  <w:style w:type="paragraph" w:customStyle="1" w:styleId="C-InstructionText">
    <w:name w:val="C-Instruction Text"/>
    <w:rsid w:val="00B108E2"/>
    <w:pPr>
      <w:spacing w:before="120" w:after="120" w:line="280" w:lineRule="atLeast"/>
    </w:pPr>
    <w:rPr>
      <w:rFonts w:ascii="Times New Roman" w:eastAsia="Times New Roman" w:hAnsi="Times New Roman" w:cs="Times New Roman"/>
      <w:vanish/>
      <w:color w:val="FF0000"/>
      <w:sz w:val="24"/>
      <w:szCs w:val="24"/>
    </w:rPr>
  </w:style>
  <w:style w:type="paragraph" w:customStyle="1" w:styleId="C-Title">
    <w:name w:val="C-Title"/>
    <w:next w:val="C-BodyText"/>
    <w:rsid w:val="00B108E2"/>
    <w:pPr>
      <w:spacing w:after="120" w:line="240" w:lineRule="auto"/>
      <w:jc w:val="center"/>
    </w:pPr>
    <w:rPr>
      <w:rFonts w:ascii="Times New Roman" w:eastAsia="Times New Roman" w:hAnsi="Times New Roman" w:cs="Times New Roman"/>
      <w:b/>
      <w:caps/>
      <w:sz w:val="36"/>
      <w:szCs w:val="20"/>
    </w:rPr>
  </w:style>
  <w:style w:type="paragraph" w:customStyle="1" w:styleId="C-Header">
    <w:name w:val="C-Header"/>
    <w:rsid w:val="00B108E2"/>
    <w:pPr>
      <w:spacing w:after="0" w:line="240" w:lineRule="auto"/>
    </w:pPr>
    <w:rPr>
      <w:rFonts w:ascii="Times New Roman" w:eastAsia="Times New Roman" w:hAnsi="Times New Roman" w:cs="Times New Roman"/>
      <w:sz w:val="24"/>
      <w:szCs w:val="20"/>
    </w:rPr>
  </w:style>
  <w:style w:type="paragraph" w:customStyle="1" w:styleId="C-Footer">
    <w:name w:val="C-Footer"/>
    <w:rsid w:val="00B108E2"/>
    <w:pPr>
      <w:spacing w:after="0" w:line="240" w:lineRule="auto"/>
    </w:pPr>
    <w:rPr>
      <w:rFonts w:ascii="Times New Roman" w:eastAsia="Times New Roman" w:hAnsi="Times New Roman" w:cs="Times New Roman"/>
      <w:sz w:val="24"/>
      <w:szCs w:val="20"/>
    </w:rPr>
  </w:style>
  <w:style w:type="paragraph" w:customStyle="1" w:styleId="C-Heading1non-numbered">
    <w:name w:val="C-Heading 1 (non-numbered)"/>
    <w:basedOn w:val="C-Heading1"/>
    <w:next w:val="C-BodyText"/>
    <w:rsid w:val="00B108E2"/>
    <w:pPr>
      <w:numPr>
        <w:numId w:val="0"/>
      </w:numPr>
      <w:tabs>
        <w:tab w:val="left" w:pos="1080"/>
      </w:tabs>
      <w:ind w:left="1080" w:hanging="1080"/>
    </w:pPr>
  </w:style>
  <w:style w:type="paragraph" w:customStyle="1" w:styleId="C-Heading2non-numbered">
    <w:name w:val="C-Heading 2 (non-numbered)"/>
    <w:basedOn w:val="C-Heading2"/>
    <w:next w:val="C-BodyText"/>
    <w:rsid w:val="00B108E2"/>
    <w:pPr>
      <w:numPr>
        <w:ilvl w:val="0"/>
        <w:numId w:val="0"/>
      </w:numPr>
      <w:tabs>
        <w:tab w:val="left" w:pos="1080"/>
      </w:tabs>
      <w:ind w:left="1080" w:hanging="1080"/>
    </w:pPr>
  </w:style>
  <w:style w:type="paragraph" w:customStyle="1" w:styleId="C-Heading3non-numbered">
    <w:name w:val="C-Heading 3 (non-numbered)"/>
    <w:basedOn w:val="C-Heading3"/>
    <w:next w:val="C-BodyText"/>
    <w:rsid w:val="00B108E2"/>
    <w:pPr>
      <w:numPr>
        <w:ilvl w:val="0"/>
        <w:numId w:val="0"/>
      </w:numPr>
      <w:tabs>
        <w:tab w:val="left" w:pos="1080"/>
      </w:tabs>
      <w:ind w:left="1080" w:hanging="1080"/>
    </w:pPr>
  </w:style>
  <w:style w:type="paragraph" w:customStyle="1" w:styleId="C-Heading4non-numbered">
    <w:name w:val="C-Heading 4 (non-numbered)"/>
    <w:basedOn w:val="C-Heading4"/>
    <w:next w:val="C-BodyText"/>
    <w:rsid w:val="00B108E2"/>
    <w:pPr>
      <w:numPr>
        <w:ilvl w:val="0"/>
        <w:numId w:val="0"/>
      </w:numPr>
      <w:tabs>
        <w:tab w:val="left" w:pos="1080"/>
      </w:tabs>
      <w:ind w:left="1080" w:hanging="1080"/>
    </w:pPr>
  </w:style>
  <w:style w:type="paragraph" w:customStyle="1" w:styleId="C-Heading5non-numbered">
    <w:name w:val="C-Heading 5 (non-numbered)"/>
    <w:basedOn w:val="C-Heading5"/>
    <w:next w:val="C-BodyText"/>
    <w:rsid w:val="00B108E2"/>
    <w:pPr>
      <w:numPr>
        <w:ilvl w:val="0"/>
        <w:numId w:val="0"/>
      </w:numPr>
      <w:tabs>
        <w:tab w:val="left" w:pos="1080"/>
      </w:tabs>
      <w:ind w:left="1080" w:hanging="1080"/>
    </w:pPr>
  </w:style>
  <w:style w:type="paragraph" w:customStyle="1" w:styleId="C-Heading6non-numbered">
    <w:name w:val="C-Heading 6 (non-numbered)"/>
    <w:basedOn w:val="C-Heading6"/>
    <w:next w:val="C-BodyText"/>
    <w:rsid w:val="00B108E2"/>
    <w:pPr>
      <w:numPr>
        <w:ilvl w:val="0"/>
        <w:numId w:val="0"/>
      </w:numPr>
      <w:tabs>
        <w:tab w:val="left" w:pos="1080"/>
      </w:tabs>
      <w:ind w:left="1080" w:hanging="1080"/>
    </w:pPr>
  </w:style>
  <w:style w:type="paragraph" w:customStyle="1" w:styleId="C-Heading1nopagebreak">
    <w:name w:val="C-Heading 1 (no page break)"/>
    <w:basedOn w:val="C-Heading1"/>
    <w:next w:val="C-BodyText"/>
    <w:rsid w:val="00B108E2"/>
    <w:pPr>
      <w:pageBreakBefore w:val="0"/>
    </w:pPr>
  </w:style>
  <w:style w:type="paragraph" w:customStyle="1" w:styleId="C-Heading1nopagebreak0">
    <w:name w:val="C-Heading 1 (no page break"/>
    <w:aliases w:val="non-numbered)"/>
    <w:basedOn w:val="C-Heading1non-numbered"/>
    <w:next w:val="C-BodyText"/>
    <w:rsid w:val="00B108E2"/>
    <w:pPr>
      <w:pageBreakBefore w:val="0"/>
    </w:pPr>
  </w:style>
  <w:style w:type="paragraph" w:customStyle="1" w:styleId="C-AlphabeticList">
    <w:name w:val="C-Alphabetic List"/>
    <w:rsid w:val="00B108E2"/>
    <w:pPr>
      <w:numPr>
        <w:ilvl w:val="1"/>
        <w:numId w:val="18"/>
      </w:numPr>
      <w:spacing w:after="0" w:line="240" w:lineRule="auto"/>
    </w:pPr>
    <w:rPr>
      <w:rFonts w:ascii="Times New Roman" w:eastAsia="Times New Roman" w:hAnsi="Times New Roman" w:cs="Times New Roman"/>
      <w:sz w:val="24"/>
      <w:szCs w:val="20"/>
    </w:rPr>
  </w:style>
  <w:style w:type="paragraph" w:customStyle="1" w:styleId="C-Appendix">
    <w:name w:val="C-Appendix"/>
    <w:next w:val="C-BodyText"/>
    <w:rsid w:val="00B108E2"/>
    <w:pPr>
      <w:keepNext/>
      <w:pageBreakBefore/>
      <w:numPr>
        <w:numId w:val="9"/>
      </w:numPr>
      <w:spacing w:before="480" w:after="120" w:line="240" w:lineRule="auto"/>
      <w:outlineLvl w:val="0"/>
    </w:pPr>
    <w:rPr>
      <w:rFonts w:ascii="Times New Roman" w:eastAsia="Times New Roman" w:hAnsi="Times New Roman" w:cs="Times New Roman"/>
      <w:b/>
      <w:caps/>
      <w:sz w:val="28"/>
      <w:szCs w:val="20"/>
    </w:rPr>
  </w:style>
  <w:style w:type="paragraph" w:customStyle="1" w:styleId="C-PLR-NumberedList">
    <w:name w:val="C-PLR-Numbered List"/>
    <w:rsid w:val="00B108E2"/>
    <w:pPr>
      <w:numPr>
        <w:numId w:val="14"/>
      </w:numPr>
      <w:spacing w:after="0" w:line="240" w:lineRule="auto"/>
    </w:pPr>
    <w:rPr>
      <w:rFonts w:ascii="Times New Roman" w:eastAsia="Times New Roman" w:hAnsi="Times New Roman" w:cs="Times New Roman"/>
      <w:sz w:val="16"/>
      <w:szCs w:val="20"/>
    </w:rPr>
  </w:style>
  <w:style w:type="paragraph" w:customStyle="1" w:styleId="C-PLR-BodyText">
    <w:name w:val="C-PLR-Body Text"/>
    <w:rsid w:val="00B108E2"/>
    <w:pPr>
      <w:spacing w:after="0" w:line="240" w:lineRule="auto"/>
    </w:pPr>
    <w:rPr>
      <w:rFonts w:ascii="Times New Roman" w:eastAsia="Times New Roman" w:hAnsi="Times New Roman" w:cs="Times New Roman"/>
      <w:sz w:val="16"/>
      <w:szCs w:val="20"/>
    </w:rPr>
  </w:style>
  <w:style w:type="paragraph" w:customStyle="1" w:styleId="C-PLR-BodyTextIndent">
    <w:name w:val="C-PLR-Body Text Indent"/>
    <w:rsid w:val="00B108E2"/>
    <w:pPr>
      <w:spacing w:after="0" w:line="240" w:lineRule="auto"/>
      <w:ind w:left="360"/>
    </w:pPr>
    <w:rPr>
      <w:rFonts w:ascii="Times New Roman" w:eastAsia="Times New Roman" w:hAnsi="Times New Roman" w:cs="Times New Roman"/>
      <w:sz w:val="16"/>
      <w:szCs w:val="20"/>
    </w:rPr>
  </w:style>
  <w:style w:type="paragraph" w:customStyle="1" w:styleId="C-PLR-Bullet">
    <w:name w:val="C-PLR-Bullet"/>
    <w:rsid w:val="00B108E2"/>
    <w:pPr>
      <w:numPr>
        <w:numId w:val="10"/>
      </w:numPr>
      <w:spacing w:after="0" w:line="240" w:lineRule="auto"/>
    </w:pPr>
    <w:rPr>
      <w:rFonts w:ascii="Times New Roman" w:eastAsia="Times New Roman" w:hAnsi="Times New Roman" w:cs="Times New Roman"/>
      <w:sz w:val="16"/>
      <w:szCs w:val="20"/>
    </w:rPr>
  </w:style>
  <w:style w:type="paragraph" w:customStyle="1" w:styleId="C-PLR-BulletIndented">
    <w:name w:val="C-PLR-Bullet Indented"/>
    <w:rsid w:val="00B108E2"/>
    <w:pPr>
      <w:numPr>
        <w:numId w:val="11"/>
      </w:numPr>
      <w:spacing w:after="0" w:line="240" w:lineRule="auto"/>
    </w:pPr>
    <w:rPr>
      <w:rFonts w:ascii="Times New Roman" w:eastAsia="Times New Roman" w:hAnsi="Times New Roman" w:cs="Times New Roman"/>
      <w:sz w:val="16"/>
      <w:szCs w:val="20"/>
    </w:rPr>
  </w:style>
  <w:style w:type="paragraph" w:customStyle="1" w:styleId="C-PLR-Caption">
    <w:name w:val="C-PLR-Caption"/>
    <w:next w:val="C-PLR-BodyText"/>
    <w:rsid w:val="00B108E2"/>
    <w:pPr>
      <w:keepNext/>
      <w:spacing w:after="0" w:line="240" w:lineRule="auto"/>
      <w:ind w:left="360" w:hanging="360"/>
    </w:pPr>
    <w:rPr>
      <w:rFonts w:ascii="Times New Roman" w:eastAsia="Times New Roman" w:hAnsi="Times New Roman" w:cs="Times New Roman"/>
      <w:b/>
      <w:sz w:val="16"/>
      <w:szCs w:val="20"/>
    </w:rPr>
  </w:style>
  <w:style w:type="paragraph" w:customStyle="1" w:styleId="C-PLR-Heading1nopagebreaknon-numbered">
    <w:name w:val="C-PLR-Heading 1 (no page break.non-numbered)"/>
    <w:basedOn w:val="C-PLR-Heading1non-numbered"/>
    <w:next w:val="C-PLR-BodyText"/>
    <w:rsid w:val="00B108E2"/>
  </w:style>
  <w:style w:type="paragraph" w:customStyle="1" w:styleId="C-PLR-Heading2non-numbered">
    <w:name w:val="C-PLR-Heading 2 (non-numbered)"/>
    <w:basedOn w:val="C-PLR-Heading2"/>
    <w:next w:val="C-PLR-BodyText"/>
    <w:rsid w:val="00B108E2"/>
    <w:pPr>
      <w:numPr>
        <w:ilvl w:val="0"/>
        <w:numId w:val="0"/>
      </w:numPr>
      <w:ind w:left="720" w:hanging="720"/>
    </w:pPr>
  </w:style>
  <w:style w:type="paragraph" w:customStyle="1" w:styleId="C-PLR-TableHeader">
    <w:name w:val="C-PLR-Table Header"/>
    <w:next w:val="C-PLR-TableText"/>
    <w:rsid w:val="00B108E2"/>
    <w:pPr>
      <w:keepNext/>
      <w:spacing w:after="0" w:line="240" w:lineRule="auto"/>
    </w:pPr>
    <w:rPr>
      <w:rFonts w:ascii="Times New Roman" w:eastAsia="Times New Roman" w:hAnsi="Times New Roman" w:cs="Times New Roman"/>
      <w:b/>
      <w:sz w:val="16"/>
      <w:szCs w:val="20"/>
    </w:rPr>
  </w:style>
  <w:style w:type="paragraph" w:customStyle="1" w:styleId="C-PLR-Title">
    <w:name w:val="C-PLR-Title"/>
    <w:next w:val="C-PLR-BodyText"/>
    <w:rsid w:val="00B108E2"/>
    <w:pPr>
      <w:spacing w:after="0" w:line="240" w:lineRule="auto"/>
      <w:jc w:val="center"/>
    </w:pPr>
    <w:rPr>
      <w:rFonts w:ascii="Times New Roman" w:eastAsia="Times New Roman" w:hAnsi="Times New Roman" w:cs="Times New Roman"/>
      <w:b/>
      <w:caps/>
      <w:sz w:val="16"/>
      <w:szCs w:val="20"/>
    </w:rPr>
  </w:style>
  <w:style w:type="paragraph" w:customStyle="1" w:styleId="C-PLR-TOCTitle">
    <w:name w:val="C-PLR-TOC Title"/>
    <w:next w:val="C-PLR-BodyText"/>
    <w:rsid w:val="00B108E2"/>
    <w:pPr>
      <w:tabs>
        <w:tab w:val="center" w:leader="underscore" w:pos="2520"/>
        <w:tab w:val="right" w:leader="underscore" w:pos="5040"/>
      </w:tabs>
      <w:spacing w:after="0" w:line="240" w:lineRule="auto"/>
      <w:jc w:val="center"/>
    </w:pPr>
    <w:rPr>
      <w:rFonts w:ascii="Times New Roman" w:eastAsia="Times New Roman" w:hAnsi="Times New Roman" w:cs="Times New Roman"/>
      <w:b/>
      <w:caps/>
      <w:sz w:val="16"/>
      <w:szCs w:val="20"/>
    </w:rPr>
  </w:style>
  <w:style w:type="paragraph" w:customStyle="1" w:styleId="C-PLR-TOC1">
    <w:name w:val="C-PLR-TOC 1"/>
    <w:next w:val="C-PLR-BodyText"/>
    <w:rsid w:val="00B108E2"/>
    <w:pPr>
      <w:spacing w:after="0" w:line="240" w:lineRule="auto"/>
      <w:ind w:left="432" w:hanging="432"/>
    </w:pPr>
    <w:rPr>
      <w:rFonts w:ascii="Times New Roman Bold" w:eastAsia="Times New Roman" w:hAnsi="Times New Roman Bold" w:cs="Times New Roman"/>
      <w:b/>
      <w:caps/>
      <w:color w:val="0000FF"/>
      <w:sz w:val="16"/>
      <w:szCs w:val="20"/>
    </w:rPr>
  </w:style>
  <w:style w:type="paragraph" w:customStyle="1" w:styleId="C-PLR-TOC2">
    <w:name w:val="C-PLR-TOC 2"/>
    <w:basedOn w:val="C-PLR-TOC1"/>
    <w:next w:val="C-PLR-BodyText"/>
    <w:rsid w:val="00B108E2"/>
    <w:pPr>
      <w:ind w:left="864"/>
    </w:pPr>
    <w:rPr>
      <w:rFonts w:ascii="Times New Roman" w:hAnsi="Times New Roman"/>
      <w:b w:val="0"/>
      <w:caps w:val="0"/>
    </w:rPr>
  </w:style>
  <w:style w:type="paragraph" w:customStyle="1" w:styleId="C-PLR-TableFootnote">
    <w:name w:val="C-PLR-Table Footnote"/>
    <w:next w:val="C-PLR-BodyText"/>
    <w:rsid w:val="00B108E2"/>
    <w:pPr>
      <w:tabs>
        <w:tab w:val="left" w:pos="432"/>
      </w:tabs>
      <w:spacing w:after="0" w:line="240" w:lineRule="auto"/>
      <w:ind w:left="432" w:hanging="432"/>
    </w:pPr>
    <w:rPr>
      <w:rFonts w:ascii="Times New Roman" w:eastAsia="Times New Roman" w:hAnsi="Times New Roman" w:cs="Times New Roman"/>
      <w:sz w:val="16"/>
      <w:szCs w:val="20"/>
    </w:rPr>
  </w:style>
  <w:style w:type="character" w:customStyle="1" w:styleId="C-Hyperlink">
    <w:name w:val="C-Hyperlink"/>
    <w:rsid w:val="00B108E2"/>
    <w:rPr>
      <w:color w:val="0000FF"/>
    </w:rPr>
  </w:style>
  <w:style w:type="table" w:customStyle="1" w:styleId="C-Table">
    <w:name w:val="C-Table"/>
    <w:basedOn w:val="TableNormal"/>
    <w:rsid w:val="00B108E2"/>
    <w:pPr>
      <w:spacing w:after="0" w:line="240" w:lineRule="auto"/>
    </w:pPr>
    <w:rPr>
      <w:rFonts w:ascii="Times New Roman" w:eastAsia="Times New Roman" w:hAnsi="Times New Roman" w:cs="Times New Roman"/>
      <w:sz w:val="20"/>
      <w:szCs w:val="20"/>
    </w:rPr>
    <w:tblP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
    <w:trPr>
      <w:cantSplit/>
    </w:trPr>
  </w:style>
  <w:style w:type="character" w:customStyle="1" w:styleId="C-TableCallout">
    <w:name w:val="C-Table Callout"/>
    <w:rsid w:val="00B108E2"/>
    <w:rPr>
      <w:rFonts w:ascii="Times New Roman" w:hAnsi="Times New Roman"/>
      <w:dstrike w:val="0"/>
      <w:color w:val="auto"/>
      <w:spacing w:val="0"/>
      <w:w w:val="100"/>
      <w:position w:val="-1"/>
      <w:sz w:val="22"/>
      <w:szCs w:val="22"/>
      <w:u w:val="none"/>
      <w:effect w:val="none"/>
      <w:vertAlign w:val="superscript"/>
      <w:em w:val="none"/>
    </w:rPr>
  </w:style>
  <w:style w:type="paragraph" w:customStyle="1" w:styleId="C-PLR-AlphabeticList">
    <w:name w:val="C-PLR-Alphabetic List"/>
    <w:rsid w:val="00B108E2"/>
    <w:pPr>
      <w:numPr>
        <w:numId w:val="13"/>
      </w:numPr>
      <w:spacing w:after="0" w:line="240" w:lineRule="auto"/>
    </w:pPr>
    <w:rPr>
      <w:rFonts w:ascii="Times New Roman" w:eastAsia="Times New Roman" w:hAnsi="Times New Roman" w:cs="Arial"/>
      <w:sz w:val="16"/>
      <w:szCs w:val="20"/>
    </w:rPr>
  </w:style>
  <w:style w:type="paragraph" w:customStyle="1" w:styleId="C-PLR-CaptionContinued">
    <w:name w:val="C-PLR-Caption Continued"/>
    <w:next w:val="C-PLR-BodyText"/>
    <w:rsid w:val="00B108E2"/>
    <w:pPr>
      <w:keepNext/>
      <w:spacing w:after="0" w:line="240" w:lineRule="auto"/>
      <w:ind w:left="360" w:hanging="360"/>
    </w:pPr>
    <w:rPr>
      <w:rFonts w:ascii="Times New Roman Bold" w:eastAsia="Times New Roman" w:hAnsi="Times New Roman Bold" w:cs="Arial"/>
      <w:b/>
      <w:sz w:val="16"/>
      <w:szCs w:val="20"/>
    </w:rPr>
  </w:style>
  <w:style w:type="paragraph" w:customStyle="1" w:styleId="C-PLR-Heading1">
    <w:name w:val="C-PLR-Heading 1"/>
    <w:next w:val="C-PLR-BodyText"/>
    <w:rsid w:val="00E0693B"/>
    <w:pPr>
      <w:keepNext/>
      <w:numPr>
        <w:numId w:val="12"/>
      </w:numPr>
      <w:tabs>
        <w:tab w:val="clear" w:pos="1080"/>
        <w:tab w:val="left" w:pos="720"/>
      </w:tabs>
      <w:spacing w:after="0" w:line="240" w:lineRule="auto"/>
      <w:outlineLvl w:val="0"/>
    </w:pPr>
    <w:rPr>
      <w:rFonts w:ascii="Times New Roman Bold" w:eastAsia="Times New Roman" w:hAnsi="Times New Roman Bold" w:cs="Times New Roman"/>
      <w:caps/>
      <w:sz w:val="16"/>
      <w:szCs w:val="20"/>
    </w:rPr>
  </w:style>
  <w:style w:type="paragraph" w:customStyle="1" w:styleId="C-PLR-Heading1nopagebreak">
    <w:name w:val="C-PLR-Heading 1 (no page break)"/>
    <w:basedOn w:val="C-PLR-Heading1"/>
    <w:next w:val="C-PLR-BodyText"/>
    <w:rsid w:val="00B108E2"/>
  </w:style>
  <w:style w:type="paragraph" w:customStyle="1" w:styleId="C-PLR-Heading2">
    <w:name w:val="C-PLR-Heading 2"/>
    <w:next w:val="C-PLR-BodyText"/>
    <w:rsid w:val="00E0693B"/>
    <w:pPr>
      <w:numPr>
        <w:ilvl w:val="1"/>
        <w:numId w:val="12"/>
      </w:numPr>
      <w:tabs>
        <w:tab w:val="clear" w:pos="1080"/>
        <w:tab w:val="left" w:pos="720"/>
      </w:tabs>
      <w:spacing w:after="0" w:line="240" w:lineRule="auto"/>
      <w:outlineLvl w:val="1"/>
    </w:pPr>
    <w:rPr>
      <w:rFonts w:ascii="Times New Roman Bold" w:eastAsia="Times New Roman" w:hAnsi="Times New Roman Bold" w:cs="Arial"/>
      <w:sz w:val="16"/>
      <w:szCs w:val="20"/>
    </w:rPr>
  </w:style>
  <w:style w:type="paragraph" w:customStyle="1" w:styleId="C-PLR-Heading3">
    <w:name w:val="C-PLR-Heading 3"/>
    <w:next w:val="C-PLR-BodyText"/>
    <w:rsid w:val="00E0693B"/>
    <w:pPr>
      <w:numPr>
        <w:ilvl w:val="2"/>
        <w:numId w:val="12"/>
      </w:numPr>
      <w:tabs>
        <w:tab w:val="clear" w:pos="1080"/>
        <w:tab w:val="left" w:pos="720"/>
      </w:tabs>
      <w:spacing w:after="0" w:line="240" w:lineRule="auto"/>
      <w:outlineLvl w:val="2"/>
    </w:pPr>
    <w:rPr>
      <w:rFonts w:ascii="Times New Roman Bold" w:eastAsia="Times New Roman" w:hAnsi="Times New Roman Bold" w:cs="Arial"/>
      <w:sz w:val="16"/>
      <w:szCs w:val="20"/>
    </w:rPr>
  </w:style>
  <w:style w:type="paragraph" w:customStyle="1" w:styleId="C-PLR-Heading3non-numbered">
    <w:name w:val="C-PLR-Heading 3 (non-numbered)"/>
    <w:basedOn w:val="C-PLR-Heading3"/>
    <w:next w:val="C-PLR-BodyText"/>
    <w:rsid w:val="00B108E2"/>
    <w:pPr>
      <w:numPr>
        <w:ilvl w:val="0"/>
        <w:numId w:val="0"/>
      </w:numPr>
      <w:ind w:left="720" w:hanging="720"/>
    </w:pPr>
  </w:style>
  <w:style w:type="paragraph" w:customStyle="1" w:styleId="C-PLR-Heading4">
    <w:name w:val="C-PLR-Heading 4"/>
    <w:next w:val="C-PLR-BodyText"/>
    <w:rsid w:val="00E0693B"/>
    <w:pPr>
      <w:numPr>
        <w:ilvl w:val="3"/>
        <w:numId w:val="12"/>
      </w:numPr>
      <w:tabs>
        <w:tab w:val="clear" w:pos="1080"/>
        <w:tab w:val="left" w:pos="720"/>
      </w:tabs>
      <w:spacing w:after="0" w:line="240" w:lineRule="auto"/>
      <w:outlineLvl w:val="3"/>
    </w:pPr>
    <w:rPr>
      <w:rFonts w:ascii="Times New Roman Bold" w:eastAsia="Times New Roman" w:hAnsi="Times New Roman Bold" w:cs="Arial"/>
      <w:sz w:val="16"/>
      <w:szCs w:val="20"/>
    </w:rPr>
  </w:style>
  <w:style w:type="paragraph" w:customStyle="1" w:styleId="C-PLR-Heading4non-numbered">
    <w:name w:val="C-PLR-Heading 4 (non-numbered)"/>
    <w:basedOn w:val="C-PLR-Heading4"/>
    <w:next w:val="C-PLR-BodyText"/>
    <w:rsid w:val="00B108E2"/>
    <w:pPr>
      <w:numPr>
        <w:ilvl w:val="0"/>
        <w:numId w:val="0"/>
      </w:numPr>
      <w:ind w:left="720" w:hanging="720"/>
    </w:pPr>
  </w:style>
  <w:style w:type="paragraph" w:customStyle="1" w:styleId="C-PLR-Heading5">
    <w:name w:val="C-PLR-Heading 5"/>
    <w:next w:val="C-PLR-BodyText"/>
    <w:rsid w:val="00E0693B"/>
    <w:pPr>
      <w:numPr>
        <w:ilvl w:val="4"/>
        <w:numId w:val="12"/>
      </w:numPr>
      <w:tabs>
        <w:tab w:val="clear" w:pos="1080"/>
        <w:tab w:val="left" w:pos="720"/>
      </w:tabs>
      <w:spacing w:after="0" w:line="240" w:lineRule="auto"/>
      <w:outlineLvl w:val="4"/>
    </w:pPr>
    <w:rPr>
      <w:rFonts w:ascii="Times New Roman Bold" w:eastAsia="Times New Roman" w:hAnsi="Times New Roman Bold" w:cs="Arial"/>
      <w:sz w:val="16"/>
      <w:szCs w:val="20"/>
    </w:rPr>
  </w:style>
  <w:style w:type="paragraph" w:customStyle="1" w:styleId="C-PLR-Heading5non-numbered">
    <w:name w:val="C-PLR-Heading 5 (non-numbered)"/>
    <w:basedOn w:val="C-PLR-Heading5"/>
    <w:next w:val="C-PLR-BodyText"/>
    <w:rsid w:val="00B108E2"/>
    <w:pPr>
      <w:numPr>
        <w:ilvl w:val="0"/>
        <w:numId w:val="0"/>
      </w:numPr>
      <w:ind w:left="720" w:hanging="720"/>
    </w:pPr>
  </w:style>
  <w:style w:type="paragraph" w:customStyle="1" w:styleId="C-PLR-Heading6">
    <w:name w:val="C-PLR-Heading 6"/>
    <w:next w:val="C-PLR-BodyText"/>
    <w:rsid w:val="00E0693B"/>
    <w:pPr>
      <w:numPr>
        <w:ilvl w:val="5"/>
        <w:numId w:val="12"/>
      </w:numPr>
      <w:tabs>
        <w:tab w:val="clear" w:pos="1080"/>
        <w:tab w:val="left" w:pos="864"/>
      </w:tabs>
      <w:spacing w:after="0" w:line="240" w:lineRule="auto"/>
      <w:outlineLvl w:val="5"/>
    </w:pPr>
    <w:rPr>
      <w:rFonts w:ascii="Times New Roman Bold" w:eastAsia="Times New Roman" w:hAnsi="Times New Roman Bold" w:cs="Arial"/>
      <w:sz w:val="16"/>
      <w:szCs w:val="20"/>
    </w:rPr>
  </w:style>
  <w:style w:type="paragraph" w:customStyle="1" w:styleId="C-PLR-Heading6non-numbered">
    <w:name w:val="C-PLR-Heading 6 (non-numbered)"/>
    <w:basedOn w:val="C-PLR-Heading6"/>
    <w:next w:val="C-PLR-BodyText"/>
    <w:rsid w:val="00B108E2"/>
    <w:pPr>
      <w:numPr>
        <w:ilvl w:val="0"/>
        <w:numId w:val="0"/>
      </w:numPr>
      <w:ind w:left="864" w:hanging="864"/>
    </w:pPr>
  </w:style>
  <w:style w:type="paragraph" w:customStyle="1" w:styleId="C-PLR-InstructionText">
    <w:name w:val="C-PLR-Instruction Text"/>
    <w:rsid w:val="00B108E2"/>
    <w:pPr>
      <w:spacing w:after="0" w:line="240" w:lineRule="auto"/>
    </w:pPr>
    <w:rPr>
      <w:rFonts w:ascii="Times New Roman Bold" w:eastAsia="Times New Roman" w:hAnsi="Times New Roman Bold" w:cs="Arial"/>
      <w:vanish/>
      <w:color w:val="FF0000"/>
      <w:sz w:val="16"/>
      <w:szCs w:val="20"/>
    </w:rPr>
  </w:style>
  <w:style w:type="paragraph" w:customStyle="1" w:styleId="C-PLR-TOC3">
    <w:name w:val="C-PLR-TOC 3"/>
    <w:basedOn w:val="C-PLR-TOC1"/>
    <w:next w:val="C-PLR-BodyText"/>
    <w:rsid w:val="00B108E2"/>
    <w:pPr>
      <w:tabs>
        <w:tab w:val="left" w:pos="432"/>
      </w:tabs>
      <w:ind w:left="864"/>
    </w:pPr>
    <w:rPr>
      <w:rFonts w:ascii="Times New Roman" w:hAnsi="Times New Roman"/>
      <w:b w:val="0"/>
      <w:caps w:val="0"/>
    </w:rPr>
  </w:style>
  <w:style w:type="paragraph" w:customStyle="1" w:styleId="C-PLR-TOC4">
    <w:name w:val="C-PLR-TOC 4"/>
    <w:basedOn w:val="C-PLR-TOC1"/>
    <w:next w:val="C-PLR-BodyText"/>
    <w:rsid w:val="00B108E2"/>
    <w:pPr>
      <w:tabs>
        <w:tab w:val="left" w:pos="432"/>
      </w:tabs>
      <w:ind w:left="864"/>
    </w:pPr>
    <w:rPr>
      <w:rFonts w:ascii="Times New Roman" w:hAnsi="Times New Roman"/>
      <w:b w:val="0"/>
      <w:caps w:val="0"/>
    </w:rPr>
  </w:style>
  <w:style w:type="paragraph" w:customStyle="1" w:styleId="C-PLR-Heading1non-numbered">
    <w:name w:val="C-PLR-Heading 1 (non-numbered)"/>
    <w:basedOn w:val="C-PLR-Heading1"/>
    <w:next w:val="C-PLR-BodyText"/>
    <w:rsid w:val="00B108E2"/>
    <w:pPr>
      <w:numPr>
        <w:numId w:val="0"/>
      </w:numPr>
      <w:ind w:left="720" w:hanging="720"/>
    </w:pPr>
  </w:style>
  <w:style w:type="paragraph" w:customStyle="1" w:styleId="C-AppendixNumbered">
    <w:name w:val="C-Appendix (Numbered)"/>
    <w:basedOn w:val="C-Appendix"/>
    <w:next w:val="C-BodyText"/>
    <w:rsid w:val="00B108E2"/>
    <w:pPr>
      <w:numPr>
        <w:numId w:val="15"/>
      </w:numPr>
      <w:tabs>
        <w:tab w:val="left" w:pos="1987"/>
      </w:tabs>
      <w:ind w:left="1987" w:hanging="1987"/>
    </w:pPr>
  </w:style>
  <w:style w:type="numbering" w:customStyle="1" w:styleId="SPNumberedTabs">
    <w:name w:val="SP Numbered Tabs"/>
    <w:rsid w:val="00B108E2"/>
    <w:pPr>
      <w:numPr>
        <w:numId w:val="16"/>
      </w:numPr>
    </w:pPr>
  </w:style>
  <w:style w:type="numbering" w:customStyle="1" w:styleId="SPBulletTabs">
    <w:name w:val="SP Bullet Tabs"/>
    <w:rsid w:val="00B108E2"/>
    <w:pPr>
      <w:numPr>
        <w:numId w:val="17"/>
      </w:numPr>
    </w:pPr>
  </w:style>
  <w:style w:type="paragraph" w:customStyle="1" w:styleId="C-Alphabetic">
    <w:name w:val="C-Alphabetic"/>
    <w:basedOn w:val="C-Heading1"/>
    <w:next w:val="C-BodyText"/>
    <w:link w:val="C-AlphabeticChar"/>
    <w:qFormat/>
    <w:rsid w:val="00B108E2"/>
    <w:pPr>
      <w:numPr>
        <w:numId w:val="19"/>
      </w:numPr>
      <w:tabs>
        <w:tab w:val="left" w:pos="1080"/>
      </w:tabs>
      <w:ind w:left="1080" w:hanging="1080"/>
    </w:pPr>
  </w:style>
  <w:style w:type="paragraph" w:customStyle="1" w:styleId="C-Footnote">
    <w:name w:val="C-Footnote"/>
    <w:basedOn w:val="C-TableFootnote"/>
    <w:qFormat/>
    <w:rsid w:val="00B108E2"/>
    <w:pPr>
      <w:ind w:left="0" w:firstLine="0"/>
    </w:pPr>
  </w:style>
  <w:style w:type="character" w:customStyle="1" w:styleId="C-Heading1Char">
    <w:name w:val="C-Heading 1 Char"/>
    <w:link w:val="C-Heading1"/>
    <w:rsid w:val="00B108E2"/>
    <w:rPr>
      <w:rFonts w:ascii="Times New Roman" w:eastAsia="Times New Roman" w:hAnsi="Times New Roman" w:cs="Times New Roman"/>
      <w:b/>
      <w:caps/>
      <w:sz w:val="28"/>
      <w:szCs w:val="20"/>
    </w:rPr>
  </w:style>
  <w:style w:type="character" w:customStyle="1" w:styleId="C-AlphabeticChar">
    <w:name w:val="C-Alphabetic Char"/>
    <w:basedOn w:val="C-Heading1Char"/>
    <w:link w:val="C-Alphabetic"/>
    <w:rsid w:val="00B108E2"/>
    <w:rPr>
      <w:rFonts w:ascii="Times New Roman" w:eastAsia="Times New Roman" w:hAnsi="Times New Roman" w:cs="Times New Roman"/>
      <w:b/>
      <w:caps/>
      <w:sz w:val="28"/>
      <w:szCs w:val="20"/>
    </w:rPr>
  </w:style>
  <w:style w:type="paragraph" w:customStyle="1" w:styleId="C-PLR-TableText">
    <w:name w:val="C-PLR-Table Text"/>
    <w:rsid w:val="00B108E2"/>
    <w:pPr>
      <w:spacing w:after="0" w:line="240" w:lineRule="auto"/>
    </w:pPr>
    <w:rPr>
      <w:rFonts w:ascii="Times New Roman" w:eastAsia="Times New Roman" w:hAnsi="Times New Roman" w:cs="Times New Roman"/>
      <w:sz w:val="16"/>
      <w:szCs w:val="20"/>
    </w:rPr>
  </w:style>
  <w:style w:type="character" w:customStyle="1" w:styleId="C-BodyTextChar">
    <w:name w:val="C-Body Text Char"/>
    <w:link w:val="C-BodyText"/>
    <w:rsid w:val="00455290"/>
    <w:rPr>
      <w:rFonts w:ascii="Times New Roman" w:eastAsia="Times New Roman" w:hAnsi="Times New Roman" w:cs="Times New Roman"/>
      <w:sz w:val="24"/>
      <w:szCs w:val="20"/>
    </w:rPr>
  </w:style>
  <w:style w:type="character" w:customStyle="1" w:styleId="C-TableTextChar">
    <w:name w:val="C-Table Text Char"/>
    <w:link w:val="C-TableText"/>
    <w:locked/>
    <w:rsid w:val="00455290"/>
    <w:rPr>
      <w:rFonts w:ascii="Times New Roman" w:eastAsia="Times New Roman" w:hAnsi="Times New Roman" w:cs="Times New Roman"/>
      <w:szCs w:val="20"/>
    </w:rPr>
  </w:style>
  <w:style w:type="character" w:customStyle="1" w:styleId="CaptionChar">
    <w:name w:val="Caption Char"/>
    <w:link w:val="Caption"/>
    <w:locked/>
    <w:rsid w:val="00455290"/>
    <w:rPr>
      <w:rFonts w:ascii="Times New Roman" w:eastAsia="Times New Roman" w:hAnsi="Times New Roman" w:cs="Times New Roman"/>
      <w:b/>
      <w:bCs/>
      <w:sz w:val="24"/>
      <w:szCs w:val="24"/>
    </w:rPr>
  </w:style>
  <w:style w:type="paragraph" w:customStyle="1" w:styleId="Space">
    <w:name w:val="Space"/>
    <w:basedOn w:val="Normal"/>
    <w:rsid w:val="00C84591"/>
    <w:pPr>
      <w:widowControl w:val="0"/>
    </w:pPr>
    <w:rPr>
      <w:rFonts w:ascii="Arial" w:hAnsi="Arial" w:cs="Times New Roman"/>
      <w:sz w:val="22"/>
      <w:szCs w:val="24"/>
    </w:rPr>
  </w:style>
  <w:style w:type="paragraph" w:customStyle="1" w:styleId="TableTextLeft">
    <w:name w:val="Table Text Left"/>
    <w:basedOn w:val="Normal"/>
    <w:rsid w:val="004F7D5A"/>
    <w:pPr>
      <w:keepNext/>
      <w:spacing w:before="50" w:after="50"/>
    </w:pPr>
    <w:rPr>
      <w:rFonts w:ascii="Arial" w:hAnsi="Arial" w:cs="Times New Roman"/>
      <w:sz w:val="20"/>
      <w:szCs w:val="24"/>
    </w:rPr>
  </w:style>
  <w:style w:type="paragraph" w:customStyle="1" w:styleId="TableTextBullet">
    <w:name w:val="Table Text Bullet"/>
    <w:basedOn w:val="TableTextLeft"/>
    <w:rsid w:val="005057AF"/>
    <w:pPr>
      <w:numPr>
        <w:numId w:val="24"/>
      </w:numPr>
    </w:pPr>
  </w:style>
  <w:style w:type="paragraph" w:customStyle="1" w:styleId="Default">
    <w:name w:val="Default"/>
    <w:rsid w:val="005057AF"/>
    <w:pPr>
      <w:autoSpaceDE w:val="0"/>
      <w:autoSpaceDN w:val="0"/>
      <w:adjustRightInd w:val="0"/>
      <w:spacing w:after="0" w:line="240" w:lineRule="auto"/>
    </w:pPr>
    <w:rPr>
      <w:rFonts w:ascii="Gotham Bold" w:hAnsi="Gotham Bold" w:cs="Gotham Bold"/>
      <w:color w:val="000000"/>
      <w:sz w:val="24"/>
      <w:szCs w:val="24"/>
    </w:rPr>
  </w:style>
  <w:style w:type="paragraph" w:customStyle="1" w:styleId="TableLeft">
    <w:name w:val="Table Left"/>
    <w:rsid w:val="00A557C5"/>
    <w:pPr>
      <w:spacing w:after="60" w:line="240" w:lineRule="auto"/>
    </w:pPr>
    <w:rPr>
      <w:rFonts w:ascii="Times New Roman" w:eastAsia="Times New Roman" w:hAnsi="Times New Roman" w:cs="Times New Roman"/>
      <w:sz w:val="24"/>
      <w:szCs w:val="20"/>
    </w:rPr>
  </w:style>
  <w:style w:type="paragraph" w:customStyle="1" w:styleId="C-Appendixnon-numbered">
    <w:name w:val="C-Appendix (non-numbered)"/>
    <w:basedOn w:val="C-AppendixNumbered"/>
    <w:next w:val="C-BodyText"/>
    <w:rsid w:val="00961AE7"/>
    <w:pPr>
      <w:numPr>
        <w:numId w:val="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74655">
      <w:bodyDiv w:val="1"/>
      <w:marLeft w:val="0"/>
      <w:marRight w:val="0"/>
      <w:marTop w:val="0"/>
      <w:marBottom w:val="0"/>
      <w:divBdr>
        <w:top w:val="none" w:sz="0" w:space="0" w:color="auto"/>
        <w:left w:val="none" w:sz="0" w:space="0" w:color="auto"/>
        <w:bottom w:val="none" w:sz="0" w:space="0" w:color="auto"/>
        <w:right w:val="none" w:sz="0" w:space="0" w:color="auto"/>
      </w:divBdr>
    </w:div>
    <w:div w:id="50737520">
      <w:bodyDiv w:val="1"/>
      <w:marLeft w:val="0"/>
      <w:marRight w:val="0"/>
      <w:marTop w:val="0"/>
      <w:marBottom w:val="0"/>
      <w:divBdr>
        <w:top w:val="none" w:sz="0" w:space="0" w:color="auto"/>
        <w:left w:val="none" w:sz="0" w:space="0" w:color="auto"/>
        <w:bottom w:val="none" w:sz="0" w:space="0" w:color="auto"/>
        <w:right w:val="none" w:sz="0" w:space="0" w:color="auto"/>
      </w:divBdr>
    </w:div>
    <w:div w:id="51658914">
      <w:bodyDiv w:val="1"/>
      <w:marLeft w:val="0"/>
      <w:marRight w:val="0"/>
      <w:marTop w:val="0"/>
      <w:marBottom w:val="0"/>
      <w:divBdr>
        <w:top w:val="none" w:sz="0" w:space="0" w:color="auto"/>
        <w:left w:val="none" w:sz="0" w:space="0" w:color="auto"/>
        <w:bottom w:val="none" w:sz="0" w:space="0" w:color="auto"/>
        <w:right w:val="none" w:sz="0" w:space="0" w:color="auto"/>
      </w:divBdr>
    </w:div>
    <w:div w:id="55202406">
      <w:bodyDiv w:val="1"/>
      <w:marLeft w:val="0"/>
      <w:marRight w:val="0"/>
      <w:marTop w:val="0"/>
      <w:marBottom w:val="0"/>
      <w:divBdr>
        <w:top w:val="none" w:sz="0" w:space="0" w:color="auto"/>
        <w:left w:val="none" w:sz="0" w:space="0" w:color="auto"/>
        <w:bottom w:val="none" w:sz="0" w:space="0" w:color="auto"/>
        <w:right w:val="none" w:sz="0" w:space="0" w:color="auto"/>
      </w:divBdr>
    </w:div>
    <w:div w:id="87046183">
      <w:bodyDiv w:val="1"/>
      <w:marLeft w:val="0"/>
      <w:marRight w:val="0"/>
      <w:marTop w:val="0"/>
      <w:marBottom w:val="0"/>
      <w:divBdr>
        <w:top w:val="none" w:sz="0" w:space="0" w:color="auto"/>
        <w:left w:val="none" w:sz="0" w:space="0" w:color="auto"/>
        <w:bottom w:val="none" w:sz="0" w:space="0" w:color="auto"/>
        <w:right w:val="none" w:sz="0" w:space="0" w:color="auto"/>
      </w:divBdr>
    </w:div>
    <w:div w:id="138159061">
      <w:bodyDiv w:val="1"/>
      <w:marLeft w:val="0"/>
      <w:marRight w:val="0"/>
      <w:marTop w:val="0"/>
      <w:marBottom w:val="0"/>
      <w:divBdr>
        <w:top w:val="none" w:sz="0" w:space="0" w:color="auto"/>
        <w:left w:val="none" w:sz="0" w:space="0" w:color="auto"/>
        <w:bottom w:val="none" w:sz="0" w:space="0" w:color="auto"/>
        <w:right w:val="none" w:sz="0" w:space="0" w:color="auto"/>
      </w:divBdr>
    </w:div>
    <w:div w:id="149060676">
      <w:bodyDiv w:val="1"/>
      <w:marLeft w:val="0"/>
      <w:marRight w:val="0"/>
      <w:marTop w:val="0"/>
      <w:marBottom w:val="0"/>
      <w:divBdr>
        <w:top w:val="none" w:sz="0" w:space="0" w:color="auto"/>
        <w:left w:val="none" w:sz="0" w:space="0" w:color="auto"/>
        <w:bottom w:val="none" w:sz="0" w:space="0" w:color="auto"/>
        <w:right w:val="none" w:sz="0" w:space="0" w:color="auto"/>
      </w:divBdr>
    </w:div>
    <w:div w:id="171461307">
      <w:bodyDiv w:val="1"/>
      <w:marLeft w:val="0"/>
      <w:marRight w:val="0"/>
      <w:marTop w:val="0"/>
      <w:marBottom w:val="0"/>
      <w:divBdr>
        <w:top w:val="none" w:sz="0" w:space="0" w:color="auto"/>
        <w:left w:val="none" w:sz="0" w:space="0" w:color="auto"/>
        <w:bottom w:val="none" w:sz="0" w:space="0" w:color="auto"/>
        <w:right w:val="none" w:sz="0" w:space="0" w:color="auto"/>
      </w:divBdr>
    </w:div>
    <w:div w:id="177930852">
      <w:bodyDiv w:val="1"/>
      <w:marLeft w:val="0"/>
      <w:marRight w:val="0"/>
      <w:marTop w:val="0"/>
      <w:marBottom w:val="0"/>
      <w:divBdr>
        <w:top w:val="none" w:sz="0" w:space="0" w:color="auto"/>
        <w:left w:val="none" w:sz="0" w:space="0" w:color="auto"/>
        <w:bottom w:val="none" w:sz="0" w:space="0" w:color="auto"/>
        <w:right w:val="none" w:sz="0" w:space="0" w:color="auto"/>
      </w:divBdr>
    </w:div>
    <w:div w:id="246503843">
      <w:bodyDiv w:val="1"/>
      <w:marLeft w:val="0"/>
      <w:marRight w:val="0"/>
      <w:marTop w:val="0"/>
      <w:marBottom w:val="0"/>
      <w:divBdr>
        <w:top w:val="none" w:sz="0" w:space="0" w:color="auto"/>
        <w:left w:val="none" w:sz="0" w:space="0" w:color="auto"/>
        <w:bottom w:val="none" w:sz="0" w:space="0" w:color="auto"/>
        <w:right w:val="none" w:sz="0" w:space="0" w:color="auto"/>
      </w:divBdr>
    </w:div>
    <w:div w:id="268045607">
      <w:bodyDiv w:val="1"/>
      <w:marLeft w:val="0"/>
      <w:marRight w:val="0"/>
      <w:marTop w:val="0"/>
      <w:marBottom w:val="0"/>
      <w:divBdr>
        <w:top w:val="none" w:sz="0" w:space="0" w:color="auto"/>
        <w:left w:val="none" w:sz="0" w:space="0" w:color="auto"/>
        <w:bottom w:val="none" w:sz="0" w:space="0" w:color="auto"/>
        <w:right w:val="none" w:sz="0" w:space="0" w:color="auto"/>
      </w:divBdr>
    </w:div>
    <w:div w:id="499349344">
      <w:bodyDiv w:val="1"/>
      <w:marLeft w:val="0"/>
      <w:marRight w:val="0"/>
      <w:marTop w:val="0"/>
      <w:marBottom w:val="0"/>
      <w:divBdr>
        <w:top w:val="none" w:sz="0" w:space="0" w:color="auto"/>
        <w:left w:val="none" w:sz="0" w:space="0" w:color="auto"/>
        <w:bottom w:val="none" w:sz="0" w:space="0" w:color="auto"/>
        <w:right w:val="none" w:sz="0" w:space="0" w:color="auto"/>
      </w:divBdr>
    </w:div>
    <w:div w:id="545022714">
      <w:bodyDiv w:val="1"/>
      <w:marLeft w:val="0"/>
      <w:marRight w:val="0"/>
      <w:marTop w:val="0"/>
      <w:marBottom w:val="0"/>
      <w:divBdr>
        <w:top w:val="none" w:sz="0" w:space="0" w:color="auto"/>
        <w:left w:val="none" w:sz="0" w:space="0" w:color="auto"/>
        <w:bottom w:val="none" w:sz="0" w:space="0" w:color="auto"/>
        <w:right w:val="none" w:sz="0" w:space="0" w:color="auto"/>
      </w:divBdr>
    </w:div>
    <w:div w:id="560753782">
      <w:bodyDiv w:val="1"/>
      <w:marLeft w:val="0"/>
      <w:marRight w:val="0"/>
      <w:marTop w:val="0"/>
      <w:marBottom w:val="0"/>
      <w:divBdr>
        <w:top w:val="none" w:sz="0" w:space="0" w:color="auto"/>
        <w:left w:val="none" w:sz="0" w:space="0" w:color="auto"/>
        <w:bottom w:val="none" w:sz="0" w:space="0" w:color="auto"/>
        <w:right w:val="none" w:sz="0" w:space="0" w:color="auto"/>
      </w:divBdr>
    </w:div>
    <w:div w:id="564336764">
      <w:bodyDiv w:val="1"/>
      <w:marLeft w:val="0"/>
      <w:marRight w:val="0"/>
      <w:marTop w:val="0"/>
      <w:marBottom w:val="0"/>
      <w:divBdr>
        <w:top w:val="none" w:sz="0" w:space="0" w:color="auto"/>
        <w:left w:val="none" w:sz="0" w:space="0" w:color="auto"/>
        <w:bottom w:val="none" w:sz="0" w:space="0" w:color="auto"/>
        <w:right w:val="none" w:sz="0" w:space="0" w:color="auto"/>
      </w:divBdr>
    </w:div>
    <w:div w:id="620306154">
      <w:bodyDiv w:val="1"/>
      <w:marLeft w:val="0"/>
      <w:marRight w:val="0"/>
      <w:marTop w:val="0"/>
      <w:marBottom w:val="0"/>
      <w:divBdr>
        <w:top w:val="none" w:sz="0" w:space="0" w:color="auto"/>
        <w:left w:val="none" w:sz="0" w:space="0" w:color="auto"/>
        <w:bottom w:val="none" w:sz="0" w:space="0" w:color="auto"/>
        <w:right w:val="none" w:sz="0" w:space="0" w:color="auto"/>
      </w:divBdr>
    </w:div>
    <w:div w:id="659427862">
      <w:bodyDiv w:val="1"/>
      <w:marLeft w:val="0"/>
      <w:marRight w:val="0"/>
      <w:marTop w:val="0"/>
      <w:marBottom w:val="0"/>
      <w:divBdr>
        <w:top w:val="none" w:sz="0" w:space="0" w:color="auto"/>
        <w:left w:val="none" w:sz="0" w:space="0" w:color="auto"/>
        <w:bottom w:val="none" w:sz="0" w:space="0" w:color="auto"/>
        <w:right w:val="none" w:sz="0" w:space="0" w:color="auto"/>
      </w:divBdr>
    </w:div>
    <w:div w:id="726146433">
      <w:bodyDiv w:val="1"/>
      <w:marLeft w:val="0"/>
      <w:marRight w:val="0"/>
      <w:marTop w:val="0"/>
      <w:marBottom w:val="0"/>
      <w:divBdr>
        <w:top w:val="none" w:sz="0" w:space="0" w:color="auto"/>
        <w:left w:val="none" w:sz="0" w:space="0" w:color="auto"/>
        <w:bottom w:val="none" w:sz="0" w:space="0" w:color="auto"/>
        <w:right w:val="none" w:sz="0" w:space="0" w:color="auto"/>
      </w:divBdr>
    </w:div>
    <w:div w:id="738140885">
      <w:bodyDiv w:val="1"/>
      <w:marLeft w:val="0"/>
      <w:marRight w:val="0"/>
      <w:marTop w:val="0"/>
      <w:marBottom w:val="0"/>
      <w:divBdr>
        <w:top w:val="none" w:sz="0" w:space="0" w:color="auto"/>
        <w:left w:val="none" w:sz="0" w:space="0" w:color="auto"/>
        <w:bottom w:val="none" w:sz="0" w:space="0" w:color="auto"/>
        <w:right w:val="none" w:sz="0" w:space="0" w:color="auto"/>
      </w:divBdr>
    </w:div>
    <w:div w:id="786123065">
      <w:bodyDiv w:val="1"/>
      <w:marLeft w:val="0"/>
      <w:marRight w:val="0"/>
      <w:marTop w:val="0"/>
      <w:marBottom w:val="0"/>
      <w:divBdr>
        <w:top w:val="none" w:sz="0" w:space="0" w:color="auto"/>
        <w:left w:val="none" w:sz="0" w:space="0" w:color="auto"/>
        <w:bottom w:val="none" w:sz="0" w:space="0" w:color="auto"/>
        <w:right w:val="none" w:sz="0" w:space="0" w:color="auto"/>
      </w:divBdr>
    </w:div>
    <w:div w:id="898516789">
      <w:bodyDiv w:val="1"/>
      <w:marLeft w:val="0"/>
      <w:marRight w:val="0"/>
      <w:marTop w:val="0"/>
      <w:marBottom w:val="0"/>
      <w:divBdr>
        <w:top w:val="none" w:sz="0" w:space="0" w:color="auto"/>
        <w:left w:val="none" w:sz="0" w:space="0" w:color="auto"/>
        <w:bottom w:val="none" w:sz="0" w:space="0" w:color="auto"/>
        <w:right w:val="none" w:sz="0" w:space="0" w:color="auto"/>
      </w:divBdr>
    </w:div>
    <w:div w:id="943809236">
      <w:bodyDiv w:val="1"/>
      <w:marLeft w:val="0"/>
      <w:marRight w:val="0"/>
      <w:marTop w:val="0"/>
      <w:marBottom w:val="0"/>
      <w:divBdr>
        <w:top w:val="none" w:sz="0" w:space="0" w:color="auto"/>
        <w:left w:val="none" w:sz="0" w:space="0" w:color="auto"/>
        <w:bottom w:val="none" w:sz="0" w:space="0" w:color="auto"/>
        <w:right w:val="none" w:sz="0" w:space="0" w:color="auto"/>
      </w:divBdr>
    </w:div>
    <w:div w:id="985007418">
      <w:bodyDiv w:val="1"/>
      <w:marLeft w:val="0"/>
      <w:marRight w:val="0"/>
      <w:marTop w:val="0"/>
      <w:marBottom w:val="0"/>
      <w:divBdr>
        <w:top w:val="none" w:sz="0" w:space="0" w:color="auto"/>
        <w:left w:val="none" w:sz="0" w:space="0" w:color="auto"/>
        <w:bottom w:val="none" w:sz="0" w:space="0" w:color="auto"/>
        <w:right w:val="none" w:sz="0" w:space="0" w:color="auto"/>
      </w:divBdr>
    </w:div>
    <w:div w:id="1021394990">
      <w:bodyDiv w:val="1"/>
      <w:marLeft w:val="0"/>
      <w:marRight w:val="0"/>
      <w:marTop w:val="0"/>
      <w:marBottom w:val="0"/>
      <w:divBdr>
        <w:top w:val="none" w:sz="0" w:space="0" w:color="auto"/>
        <w:left w:val="none" w:sz="0" w:space="0" w:color="auto"/>
        <w:bottom w:val="none" w:sz="0" w:space="0" w:color="auto"/>
        <w:right w:val="none" w:sz="0" w:space="0" w:color="auto"/>
      </w:divBdr>
    </w:div>
    <w:div w:id="1127552556">
      <w:bodyDiv w:val="1"/>
      <w:marLeft w:val="0"/>
      <w:marRight w:val="0"/>
      <w:marTop w:val="0"/>
      <w:marBottom w:val="0"/>
      <w:divBdr>
        <w:top w:val="none" w:sz="0" w:space="0" w:color="auto"/>
        <w:left w:val="none" w:sz="0" w:space="0" w:color="auto"/>
        <w:bottom w:val="none" w:sz="0" w:space="0" w:color="auto"/>
        <w:right w:val="none" w:sz="0" w:space="0" w:color="auto"/>
      </w:divBdr>
    </w:div>
    <w:div w:id="1137725877">
      <w:bodyDiv w:val="1"/>
      <w:marLeft w:val="0"/>
      <w:marRight w:val="0"/>
      <w:marTop w:val="0"/>
      <w:marBottom w:val="0"/>
      <w:divBdr>
        <w:top w:val="none" w:sz="0" w:space="0" w:color="auto"/>
        <w:left w:val="none" w:sz="0" w:space="0" w:color="auto"/>
        <w:bottom w:val="none" w:sz="0" w:space="0" w:color="auto"/>
        <w:right w:val="none" w:sz="0" w:space="0" w:color="auto"/>
      </w:divBdr>
    </w:div>
    <w:div w:id="1189638329">
      <w:bodyDiv w:val="1"/>
      <w:marLeft w:val="0"/>
      <w:marRight w:val="0"/>
      <w:marTop w:val="0"/>
      <w:marBottom w:val="0"/>
      <w:divBdr>
        <w:top w:val="none" w:sz="0" w:space="0" w:color="auto"/>
        <w:left w:val="none" w:sz="0" w:space="0" w:color="auto"/>
        <w:bottom w:val="none" w:sz="0" w:space="0" w:color="auto"/>
        <w:right w:val="none" w:sz="0" w:space="0" w:color="auto"/>
      </w:divBdr>
    </w:div>
    <w:div w:id="1201212560">
      <w:bodyDiv w:val="1"/>
      <w:marLeft w:val="0"/>
      <w:marRight w:val="0"/>
      <w:marTop w:val="0"/>
      <w:marBottom w:val="0"/>
      <w:divBdr>
        <w:top w:val="none" w:sz="0" w:space="0" w:color="auto"/>
        <w:left w:val="none" w:sz="0" w:space="0" w:color="auto"/>
        <w:bottom w:val="none" w:sz="0" w:space="0" w:color="auto"/>
        <w:right w:val="none" w:sz="0" w:space="0" w:color="auto"/>
      </w:divBdr>
    </w:div>
    <w:div w:id="1201239056">
      <w:bodyDiv w:val="1"/>
      <w:marLeft w:val="0"/>
      <w:marRight w:val="0"/>
      <w:marTop w:val="0"/>
      <w:marBottom w:val="0"/>
      <w:divBdr>
        <w:top w:val="none" w:sz="0" w:space="0" w:color="auto"/>
        <w:left w:val="none" w:sz="0" w:space="0" w:color="auto"/>
        <w:bottom w:val="none" w:sz="0" w:space="0" w:color="auto"/>
        <w:right w:val="none" w:sz="0" w:space="0" w:color="auto"/>
      </w:divBdr>
    </w:div>
    <w:div w:id="1294864780">
      <w:bodyDiv w:val="1"/>
      <w:marLeft w:val="0"/>
      <w:marRight w:val="0"/>
      <w:marTop w:val="0"/>
      <w:marBottom w:val="0"/>
      <w:divBdr>
        <w:top w:val="none" w:sz="0" w:space="0" w:color="auto"/>
        <w:left w:val="none" w:sz="0" w:space="0" w:color="auto"/>
        <w:bottom w:val="none" w:sz="0" w:space="0" w:color="auto"/>
        <w:right w:val="none" w:sz="0" w:space="0" w:color="auto"/>
      </w:divBdr>
    </w:div>
    <w:div w:id="1304969145">
      <w:bodyDiv w:val="1"/>
      <w:marLeft w:val="0"/>
      <w:marRight w:val="0"/>
      <w:marTop w:val="0"/>
      <w:marBottom w:val="0"/>
      <w:divBdr>
        <w:top w:val="none" w:sz="0" w:space="0" w:color="auto"/>
        <w:left w:val="none" w:sz="0" w:space="0" w:color="auto"/>
        <w:bottom w:val="none" w:sz="0" w:space="0" w:color="auto"/>
        <w:right w:val="none" w:sz="0" w:space="0" w:color="auto"/>
      </w:divBdr>
    </w:div>
    <w:div w:id="1312712996">
      <w:bodyDiv w:val="1"/>
      <w:marLeft w:val="0"/>
      <w:marRight w:val="0"/>
      <w:marTop w:val="0"/>
      <w:marBottom w:val="0"/>
      <w:divBdr>
        <w:top w:val="none" w:sz="0" w:space="0" w:color="auto"/>
        <w:left w:val="none" w:sz="0" w:space="0" w:color="auto"/>
        <w:bottom w:val="none" w:sz="0" w:space="0" w:color="auto"/>
        <w:right w:val="none" w:sz="0" w:space="0" w:color="auto"/>
      </w:divBdr>
    </w:div>
    <w:div w:id="1317687870">
      <w:bodyDiv w:val="1"/>
      <w:marLeft w:val="0"/>
      <w:marRight w:val="0"/>
      <w:marTop w:val="0"/>
      <w:marBottom w:val="0"/>
      <w:divBdr>
        <w:top w:val="none" w:sz="0" w:space="0" w:color="auto"/>
        <w:left w:val="none" w:sz="0" w:space="0" w:color="auto"/>
        <w:bottom w:val="none" w:sz="0" w:space="0" w:color="auto"/>
        <w:right w:val="none" w:sz="0" w:space="0" w:color="auto"/>
      </w:divBdr>
    </w:div>
    <w:div w:id="1379864778">
      <w:bodyDiv w:val="1"/>
      <w:marLeft w:val="0"/>
      <w:marRight w:val="0"/>
      <w:marTop w:val="0"/>
      <w:marBottom w:val="0"/>
      <w:divBdr>
        <w:top w:val="none" w:sz="0" w:space="0" w:color="auto"/>
        <w:left w:val="none" w:sz="0" w:space="0" w:color="auto"/>
        <w:bottom w:val="none" w:sz="0" w:space="0" w:color="auto"/>
        <w:right w:val="none" w:sz="0" w:space="0" w:color="auto"/>
      </w:divBdr>
      <w:divsChild>
        <w:div w:id="203831047">
          <w:marLeft w:val="850"/>
          <w:marRight w:val="0"/>
          <w:marTop w:val="58"/>
          <w:marBottom w:val="0"/>
          <w:divBdr>
            <w:top w:val="none" w:sz="0" w:space="0" w:color="auto"/>
            <w:left w:val="none" w:sz="0" w:space="0" w:color="auto"/>
            <w:bottom w:val="none" w:sz="0" w:space="0" w:color="auto"/>
            <w:right w:val="none" w:sz="0" w:space="0" w:color="auto"/>
          </w:divBdr>
        </w:div>
        <w:div w:id="214119687">
          <w:marLeft w:val="216"/>
          <w:marRight w:val="0"/>
          <w:marTop w:val="77"/>
          <w:marBottom w:val="0"/>
          <w:divBdr>
            <w:top w:val="none" w:sz="0" w:space="0" w:color="auto"/>
            <w:left w:val="none" w:sz="0" w:space="0" w:color="auto"/>
            <w:bottom w:val="none" w:sz="0" w:space="0" w:color="auto"/>
            <w:right w:val="none" w:sz="0" w:space="0" w:color="auto"/>
          </w:divBdr>
        </w:div>
        <w:div w:id="686516591">
          <w:marLeft w:val="850"/>
          <w:marRight w:val="0"/>
          <w:marTop w:val="58"/>
          <w:marBottom w:val="0"/>
          <w:divBdr>
            <w:top w:val="none" w:sz="0" w:space="0" w:color="auto"/>
            <w:left w:val="none" w:sz="0" w:space="0" w:color="auto"/>
            <w:bottom w:val="none" w:sz="0" w:space="0" w:color="auto"/>
            <w:right w:val="none" w:sz="0" w:space="0" w:color="auto"/>
          </w:divBdr>
        </w:div>
        <w:div w:id="909316019">
          <w:marLeft w:val="216"/>
          <w:marRight w:val="0"/>
          <w:marTop w:val="77"/>
          <w:marBottom w:val="0"/>
          <w:divBdr>
            <w:top w:val="none" w:sz="0" w:space="0" w:color="auto"/>
            <w:left w:val="none" w:sz="0" w:space="0" w:color="auto"/>
            <w:bottom w:val="none" w:sz="0" w:space="0" w:color="auto"/>
            <w:right w:val="none" w:sz="0" w:space="0" w:color="auto"/>
          </w:divBdr>
        </w:div>
        <w:div w:id="989402319">
          <w:marLeft w:val="850"/>
          <w:marRight w:val="0"/>
          <w:marTop w:val="58"/>
          <w:marBottom w:val="0"/>
          <w:divBdr>
            <w:top w:val="none" w:sz="0" w:space="0" w:color="auto"/>
            <w:left w:val="none" w:sz="0" w:space="0" w:color="auto"/>
            <w:bottom w:val="none" w:sz="0" w:space="0" w:color="auto"/>
            <w:right w:val="none" w:sz="0" w:space="0" w:color="auto"/>
          </w:divBdr>
        </w:div>
      </w:divsChild>
    </w:div>
    <w:div w:id="1454254619">
      <w:bodyDiv w:val="1"/>
      <w:marLeft w:val="0"/>
      <w:marRight w:val="0"/>
      <w:marTop w:val="0"/>
      <w:marBottom w:val="0"/>
      <w:divBdr>
        <w:top w:val="none" w:sz="0" w:space="0" w:color="auto"/>
        <w:left w:val="none" w:sz="0" w:space="0" w:color="auto"/>
        <w:bottom w:val="none" w:sz="0" w:space="0" w:color="auto"/>
        <w:right w:val="none" w:sz="0" w:space="0" w:color="auto"/>
      </w:divBdr>
    </w:div>
    <w:div w:id="1460296308">
      <w:bodyDiv w:val="1"/>
      <w:marLeft w:val="0"/>
      <w:marRight w:val="0"/>
      <w:marTop w:val="0"/>
      <w:marBottom w:val="0"/>
      <w:divBdr>
        <w:top w:val="none" w:sz="0" w:space="0" w:color="auto"/>
        <w:left w:val="none" w:sz="0" w:space="0" w:color="auto"/>
        <w:bottom w:val="none" w:sz="0" w:space="0" w:color="auto"/>
        <w:right w:val="none" w:sz="0" w:space="0" w:color="auto"/>
      </w:divBdr>
    </w:div>
    <w:div w:id="1473867695">
      <w:bodyDiv w:val="1"/>
      <w:marLeft w:val="0"/>
      <w:marRight w:val="0"/>
      <w:marTop w:val="0"/>
      <w:marBottom w:val="0"/>
      <w:divBdr>
        <w:top w:val="none" w:sz="0" w:space="0" w:color="auto"/>
        <w:left w:val="none" w:sz="0" w:space="0" w:color="auto"/>
        <w:bottom w:val="none" w:sz="0" w:space="0" w:color="auto"/>
        <w:right w:val="none" w:sz="0" w:space="0" w:color="auto"/>
      </w:divBdr>
    </w:div>
    <w:div w:id="1669477386">
      <w:bodyDiv w:val="1"/>
      <w:marLeft w:val="0"/>
      <w:marRight w:val="0"/>
      <w:marTop w:val="0"/>
      <w:marBottom w:val="0"/>
      <w:divBdr>
        <w:top w:val="none" w:sz="0" w:space="0" w:color="auto"/>
        <w:left w:val="none" w:sz="0" w:space="0" w:color="auto"/>
        <w:bottom w:val="none" w:sz="0" w:space="0" w:color="auto"/>
        <w:right w:val="none" w:sz="0" w:space="0" w:color="auto"/>
      </w:divBdr>
    </w:div>
    <w:div w:id="1786728866">
      <w:bodyDiv w:val="1"/>
      <w:marLeft w:val="0"/>
      <w:marRight w:val="0"/>
      <w:marTop w:val="0"/>
      <w:marBottom w:val="0"/>
      <w:divBdr>
        <w:top w:val="none" w:sz="0" w:space="0" w:color="auto"/>
        <w:left w:val="none" w:sz="0" w:space="0" w:color="auto"/>
        <w:bottom w:val="none" w:sz="0" w:space="0" w:color="auto"/>
        <w:right w:val="none" w:sz="0" w:space="0" w:color="auto"/>
      </w:divBdr>
    </w:div>
    <w:div w:id="1829787947">
      <w:bodyDiv w:val="1"/>
      <w:marLeft w:val="0"/>
      <w:marRight w:val="0"/>
      <w:marTop w:val="0"/>
      <w:marBottom w:val="0"/>
      <w:divBdr>
        <w:top w:val="none" w:sz="0" w:space="0" w:color="auto"/>
        <w:left w:val="none" w:sz="0" w:space="0" w:color="auto"/>
        <w:bottom w:val="none" w:sz="0" w:space="0" w:color="auto"/>
        <w:right w:val="none" w:sz="0" w:space="0" w:color="auto"/>
      </w:divBdr>
    </w:div>
    <w:div w:id="1869291947">
      <w:bodyDiv w:val="1"/>
      <w:marLeft w:val="0"/>
      <w:marRight w:val="0"/>
      <w:marTop w:val="0"/>
      <w:marBottom w:val="0"/>
      <w:divBdr>
        <w:top w:val="none" w:sz="0" w:space="0" w:color="auto"/>
        <w:left w:val="none" w:sz="0" w:space="0" w:color="auto"/>
        <w:bottom w:val="none" w:sz="0" w:space="0" w:color="auto"/>
        <w:right w:val="none" w:sz="0" w:space="0" w:color="auto"/>
      </w:divBdr>
    </w:div>
    <w:div w:id="1878925512">
      <w:bodyDiv w:val="1"/>
      <w:marLeft w:val="0"/>
      <w:marRight w:val="0"/>
      <w:marTop w:val="0"/>
      <w:marBottom w:val="0"/>
      <w:divBdr>
        <w:top w:val="none" w:sz="0" w:space="0" w:color="auto"/>
        <w:left w:val="none" w:sz="0" w:space="0" w:color="auto"/>
        <w:bottom w:val="none" w:sz="0" w:space="0" w:color="auto"/>
        <w:right w:val="none" w:sz="0" w:space="0" w:color="auto"/>
      </w:divBdr>
    </w:div>
    <w:div w:id="1957254196">
      <w:bodyDiv w:val="1"/>
      <w:marLeft w:val="0"/>
      <w:marRight w:val="0"/>
      <w:marTop w:val="0"/>
      <w:marBottom w:val="0"/>
      <w:divBdr>
        <w:top w:val="none" w:sz="0" w:space="0" w:color="auto"/>
        <w:left w:val="none" w:sz="0" w:space="0" w:color="auto"/>
        <w:bottom w:val="none" w:sz="0" w:space="0" w:color="auto"/>
        <w:right w:val="none" w:sz="0" w:space="0" w:color="auto"/>
      </w:divBdr>
    </w:div>
    <w:div w:id="2007131209">
      <w:bodyDiv w:val="1"/>
      <w:marLeft w:val="0"/>
      <w:marRight w:val="0"/>
      <w:marTop w:val="0"/>
      <w:marBottom w:val="0"/>
      <w:divBdr>
        <w:top w:val="none" w:sz="0" w:space="0" w:color="auto"/>
        <w:left w:val="none" w:sz="0" w:space="0" w:color="auto"/>
        <w:bottom w:val="none" w:sz="0" w:space="0" w:color="auto"/>
        <w:right w:val="none" w:sz="0" w:space="0" w:color="auto"/>
      </w:divBdr>
    </w:div>
    <w:div w:id="2015300065">
      <w:bodyDiv w:val="1"/>
      <w:marLeft w:val="0"/>
      <w:marRight w:val="0"/>
      <w:marTop w:val="0"/>
      <w:marBottom w:val="0"/>
      <w:divBdr>
        <w:top w:val="none" w:sz="0" w:space="0" w:color="auto"/>
        <w:left w:val="none" w:sz="0" w:space="0" w:color="auto"/>
        <w:bottom w:val="none" w:sz="0" w:space="0" w:color="auto"/>
        <w:right w:val="none" w:sz="0" w:space="0" w:color="auto"/>
      </w:divBdr>
    </w:div>
    <w:div w:id="2046325325">
      <w:bodyDiv w:val="1"/>
      <w:marLeft w:val="0"/>
      <w:marRight w:val="0"/>
      <w:marTop w:val="0"/>
      <w:marBottom w:val="0"/>
      <w:divBdr>
        <w:top w:val="none" w:sz="0" w:space="0" w:color="auto"/>
        <w:left w:val="none" w:sz="0" w:space="0" w:color="auto"/>
        <w:bottom w:val="none" w:sz="0" w:space="0" w:color="auto"/>
        <w:right w:val="none" w:sz="0" w:space="0" w:color="auto"/>
      </w:divBdr>
    </w:div>
    <w:div w:id="2060083408">
      <w:bodyDiv w:val="1"/>
      <w:marLeft w:val="0"/>
      <w:marRight w:val="0"/>
      <w:marTop w:val="0"/>
      <w:marBottom w:val="0"/>
      <w:divBdr>
        <w:top w:val="none" w:sz="0" w:space="0" w:color="auto"/>
        <w:left w:val="none" w:sz="0" w:space="0" w:color="auto"/>
        <w:bottom w:val="none" w:sz="0" w:space="0" w:color="auto"/>
        <w:right w:val="none" w:sz="0" w:space="0" w:color="auto"/>
      </w:divBdr>
    </w:div>
    <w:div w:id="2127430082">
      <w:bodyDiv w:val="1"/>
      <w:marLeft w:val="0"/>
      <w:marRight w:val="0"/>
      <w:marTop w:val="0"/>
      <w:marBottom w:val="0"/>
      <w:divBdr>
        <w:top w:val="none" w:sz="0" w:space="0" w:color="auto"/>
        <w:left w:val="none" w:sz="0" w:space="0" w:color="auto"/>
        <w:bottom w:val="none" w:sz="0" w:space="0" w:color="auto"/>
        <w:right w:val="none" w:sz="0" w:space="0" w:color="auto"/>
      </w:divBdr>
    </w:div>
    <w:div w:id="212808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documenttasks/documenttasks1.xml><?xml version="1.0" encoding="utf-8"?>
<t:Tasks xmlns:t="http://schemas.microsoft.com/office/tasks/2019/documenttasks" xmlns:oel="http://schemas.microsoft.com/office/2019/extlst">
  <t:Task id="{E41E9D49-C8E2-4346-9881-5B7EF054323C}">
    <t:Anchor>
      <t:Comment id="601341010"/>
    </t:Anchor>
    <t:History>
      <t:Event id="{20E46A19-7E87-4823-84DF-36DC072A22AE}" time="2021-02-18T00:09:20Z">
        <t:Attribution userId="S::sdevost@sierraoncology.com::804a43b8-5187-4a72-b80a-e00ebd942f47" userProvider="AD" userName="Sylvie Devost"/>
        <t:Anchor>
          <t:Comment id="1414605175"/>
        </t:Anchor>
        <t:Create/>
      </t:Event>
      <t:Event id="{D43158A9-FDC6-4756-A15D-EACEB358FAE2}" time="2021-02-18T00:09:20Z">
        <t:Attribution userId="S::sdevost@sierraoncology.com::804a43b8-5187-4a72-b80a-e00ebd942f47" userProvider="AD" userName="Sylvie Devost"/>
        <t:Anchor>
          <t:Comment id="1414605175"/>
        </t:Anchor>
        <t:Assign userId="S::mbond@sierraoncology.com::6f7c8a28-7606-4e57-a62b-f151aeb891e8" userProvider="AD" userName="Martha Bond"/>
      </t:Event>
      <t:Event id="{D073A2A0-0050-4330-841F-4FAA4BAE9292}" time="2021-02-18T00:09:20Z">
        <t:Attribution userId="S::sdevost@sierraoncology.com::804a43b8-5187-4a72-b80a-e00ebd942f47" userProvider="AD" userName="Sylvie Devost"/>
        <t:Anchor>
          <t:Comment id="1414605175"/>
        </t:Anchor>
        <t:SetTitle title="@Martha Bond I do not believe that we initiated any sites in Canada, did we?"/>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7C5E31A18A2574190EC642A0403A015" ma:contentTypeVersion="9" ma:contentTypeDescription="Create a new document." ma:contentTypeScope="" ma:versionID="98259928aabba9da1fd91fd872b4ae8d">
  <xsd:schema xmlns:xsd="http://www.w3.org/2001/XMLSchema" xmlns:xs="http://www.w3.org/2001/XMLSchema" xmlns:p="http://schemas.microsoft.com/office/2006/metadata/properties" xmlns:ns2="1aaa8edc-a1e1-43ea-8dc3-ceb061abc20d" targetNamespace="http://schemas.microsoft.com/office/2006/metadata/properties" ma:root="true" ma:fieldsID="ab96433cb2a47a8a03b3fd8d9ddf9d8c" ns2:_="">
    <xsd:import namespace="1aaa8edc-a1e1-43ea-8dc3-ceb061abc20d"/>
    <xsd:element name="properties">
      <xsd:complexType>
        <xsd:sequence>
          <xsd:element name="documentManagement">
            <xsd:complexType>
              <xsd:all>
                <xsd:element ref="ns2:MigrationWizId" minOccurs="0"/>
                <xsd:element ref="ns2:MigrationWizIdPermissions" minOccurs="0"/>
                <xsd:element ref="ns2:MigrationWizIdPermissionLevels" minOccurs="0"/>
                <xsd:element ref="ns2:MigrationWizIdDocumentLibraryPermissions" minOccurs="0"/>
                <xsd:element ref="ns2:MigrationWizIdSecurityGroups" minOccurs="0"/>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aa8edc-a1e1-43ea-8dc3-ceb061abc20d" elementFormDefault="qualified">
    <xsd:import namespace="http://schemas.microsoft.com/office/2006/documentManagement/types"/>
    <xsd:import namespace="http://schemas.microsoft.com/office/infopath/2007/PartnerControls"/>
    <xsd:element name="MigrationWizId" ma:index="8" nillable="true" ma:displayName="MigrationWizId" ma:internalName="MigrationWizId">
      <xsd:simpleType>
        <xsd:restriction base="dms:Text"/>
      </xsd:simpleType>
    </xsd:element>
    <xsd:element name="MigrationWizIdPermissions" ma:index="9" nillable="true" ma:displayName="MigrationWizIdPermissions" ma:internalName="MigrationWizIdPermissions">
      <xsd:simpleType>
        <xsd:restriction base="dms:Text"/>
      </xsd:simpleType>
    </xsd:element>
    <xsd:element name="MigrationWizIdPermissionLevels" ma:index="10" nillable="true" ma:displayName="MigrationWizIdPermissionLevels" ma:internalName="MigrationWizIdPermissionLevels">
      <xsd:simpleType>
        <xsd:restriction base="dms:Text"/>
      </xsd:simpleType>
    </xsd:element>
    <xsd:element name="MigrationWizIdDocumentLibraryPermissions" ma:index="11" nillable="true" ma:displayName="MigrationWizIdDocumentLibraryPermissions" ma:internalName="MigrationWizIdDocumentLibraryPermissions">
      <xsd:simpleType>
        <xsd:restriction base="dms:Text"/>
      </xsd:simpleType>
    </xsd:element>
    <xsd:element name="MigrationWizIdSecurityGroups" ma:index="12" nillable="true" ma:displayName="MigrationWizIdSecurityGroups" ma:internalName="MigrationWizIdSecurityGroups">
      <xsd:simpleType>
        <xsd:restriction base="dms:Text"/>
      </xsd:simpleType>
    </xsd:element>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igrationWizIdPermissionLevels xmlns="1aaa8edc-a1e1-43ea-8dc3-ceb061abc20d" xsi:nil="true"/>
    <MigrationWizIdDocumentLibraryPermissions xmlns="1aaa8edc-a1e1-43ea-8dc3-ceb061abc20d" xsi:nil="true"/>
    <MigrationWizIdSecurityGroups xmlns="1aaa8edc-a1e1-43ea-8dc3-ceb061abc20d" xsi:nil="true"/>
    <MigrationWizId xmlns="1aaa8edc-a1e1-43ea-8dc3-ceb061abc20d" xsi:nil="true"/>
    <MigrationWizIdPermissions xmlns="1aaa8edc-a1e1-43ea-8dc3-ceb061abc20d"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217DCD-AE79-4DC4-8492-E294E3988B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aa8edc-a1e1-43ea-8dc3-ceb061abc2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739DBC-5D9D-42C7-BBDB-F3FD34BC838F}">
  <ds:schemaRefs>
    <ds:schemaRef ds:uri="http://schemas.microsoft.com/sharepoint/v3/contenttype/forms"/>
  </ds:schemaRefs>
</ds:datastoreItem>
</file>

<file path=customXml/itemProps3.xml><?xml version="1.0" encoding="utf-8"?>
<ds:datastoreItem xmlns:ds="http://schemas.openxmlformats.org/officeDocument/2006/customXml" ds:itemID="{0E3F1642-2BA4-400C-9C80-91AF9C5DB2CB}">
  <ds:schemaRef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dcmitype/"/>
    <ds:schemaRef ds:uri="http://schemas.microsoft.com/office/2006/documentManagement/types"/>
    <ds:schemaRef ds:uri="1aaa8edc-a1e1-43ea-8dc3-ceb061abc20d"/>
    <ds:schemaRef ds:uri="http://www.w3.org/XML/1998/namespace"/>
    <ds:schemaRef ds:uri="http://purl.org/dc/terms/"/>
  </ds:schemaRefs>
</ds:datastoreItem>
</file>

<file path=customXml/itemProps4.xml><?xml version="1.0" encoding="utf-8"?>
<ds:datastoreItem xmlns:ds="http://schemas.openxmlformats.org/officeDocument/2006/customXml" ds:itemID="{B3663ECF-C314-4F09-8DDA-BD4649D1F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14</Pages>
  <Words>4951</Words>
  <Characters>28225</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SIerra Oncology, Inc.</Company>
  <LinksUpToDate>false</LinksUpToDate>
  <CharactersWithSpaces>33110</CharactersWithSpaces>
  <SharedDoc>false</SharedDoc>
  <HLinks>
    <vt:vector size="996" baseType="variant">
      <vt:variant>
        <vt:i4>6750236</vt:i4>
      </vt:variant>
      <vt:variant>
        <vt:i4>1017</vt:i4>
      </vt:variant>
      <vt:variant>
        <vt:i4>0</vt:i4>
      </vt:variant>
      <vt:variant>
        <vt:i4>5</vt:i4>
      </vt:variant>
      <vt:variant>
        <vt:lpwstr/>
      </vt:variant>
      <vt:variant>
        <vt:lpwstr>Kaplan_1958</vt:lpwstr>
      </vt:variant>
      <vt:variant>
        <vt:i4>7798802</vt:i4>
      </vt:variant>
      <vt:variant>
        <vt:i4>1014</vt:i4>
      </vt:variant>
      <vt:variant>
        <vt:i4>0</vt:i4>
      </vt:variant>
      <vt:variant>
        <vt:i4>5</vt:i4>
      </vt:variant>
      <vt:variant>
        <vt:lpwstr/>
      </vt:variant>
      <vt:variant>
        <vt:lpwstr>Wilson_1927</vt:lpwstr>
      </vt:variant>
      <vt:variant>
        <vt:i4>6226026</vt:i4>
      </vt:variant>
      <vt:variant>
        <vt:i4>1011</vt:i4>
      </vt:variant>
      <vt:variant>
        <vt:i4>0</vt:i4>
      </vt:variant>
      <vt:variant>
        <vt:i4>5</vt:i4>
      </vt:variant>
      <vt:variant>
        <vt:lpwstr/>
      </vt:variant>
      <vt:variant>
        <vt:lpwstr>Scher_2016</vt:lpwstr>
      </vt:variant>
      <vt:variant>
        <vt:i4>7798790</vt:i4>
      </vt:variant>
      <vt:variant>
        <vt:i4>1008</vt:i4>
      </vt:variant>
      <vt:variant>
        <vt:i4>0</vt:i4>
      </vt:variant>
      <vt:variant>
        <vt:i4>5</vt:i4>
      </vt:variant>
      <vt:variant>
        <vt:lpwstr/>
      </vt:variant>
      <vt:variant>
        <vt:lpwstr>Cheson_2007</vt:lpwstr>
      </vt:variant>
      <vt:variant>
        <vt:i4>6357011</vt:i4>
      </vt:variant>
      <vt:variant>
        <vt:i4>1005</vt:i4>
      </vt:variant>
      <vt:variant>
        <vt:i4>0</vt:i4>
      </vt:variant>
      <vt:variant>
        <vt:i4>5</vt:i4>
      </vt:variant>
      <vt:variant>
        <vt:lpwstr/>
      </vt:variant>
      <vt:variant>
        <vt:lpwstr>Eisenhauer_2009</vt:lpwstr>
      </vt:variant>
      <vt:variant>
        <vt:i4>6226026</vt:i4>
      </vt:variant>
      <vt:variant>
        <vt:i4>984</vt:i4>
      </vt:variant>
      <vt:variant>
        <vt:i4>0</vt:i4>
      </vt:variant>
      <vt:variant>
        <vt:i4>5</vt:i4>
      </vt:variant>
      <vt:variant>
        <vt:lpwstr/>
      </vt:variant>
      <vt:variant>
        <vt:lpwstr>Scher_2016</vt:lpwstr>
      </vt:variant>
      <vt:variant>
        <vt:i4>7798790</vt:i4>
      </vt:variant>
      <vt:variant>
        <vt:i4>981</vt:i4>
      </vt:variant>
      <vt:variant>
        <vt:i4>0</vt:i4>
      </vt:variant>
      <vt:variant>
        <vt:i4>5</vt:i4>
      </vt:variant>
      <vt:variant>
        <vt:lpwstr/>
      </vt:variant>
      <vt:variant>
        <vt:lpwstr>Cheson_2007</vt:lpwstr>
      </vt:variant>
      <vt:variant>
        <vt:i4>6357011</vt:i4>
      </vt:variant>
      <vt:variant>
        <vt:i4>978</vt:i4>
      </vt:variant>
      <vt:variant>
        <vt:i4>0</vt:i4>
      </vt:variant>
      <vt:variant>
        <vt:i4>5</vt:i4>
      </vt:variant>
      <vt:variant>
        <vt:lpwstr/>
      </vt:variant>
      <vt:variant>
        <vt:lpwstr>Eisenhauer_2009</vt:lpwstr>
      </vt:variant>
      <vt:variant>
        <vt:i4>6226038</vt:i4>
      </vt:variant>
      <vt:variant>
        <vt:i4>930</vt:i4>
      </vt:variant>
      <vt:variant>
        <vt:i4>0</vt:i4>
      </vt:variant>
      <vt:variant>
        <vt:i4>5</vt:i4>
      </vt:variant>
      <vt:variant>
        <vt:lpwstr/>
      </vt:variant>
      <vt:variant>
        <vt:lpwstr>Ledermann_2013</vt:lpwstr>
      </vt:variant>
      <vt:variant>
        <vt:i4>4522080</vt:i4>
      </vt:variant>
      <vt:variant>
        <vt:i4>876</vt:i4>
      </vt:variant>
      <vt:variant>
        <vt:i4>0</vt:i4>
      </vt:variant>
      <vt:variant>
        <vt:i4>5</vt:i4>
      </vt:variant>
      <vt:variant>
        <vt:lpwstr/>
      </vt:variant>
      <vt:variant>
        <vt:lpwstr>Julie_2016</vt:lpwstr>
      </vt:variant>
      <vt:variant>
        <vt:i4>8060930</vt:i4>
      </vt:variant>
      <vt:variant>
        <vt:i4>873</vt:i4>
      </vt:variant>
      <vt:variant>
        <vt:i4>0</vt:i4>
      </vt:variant>
      <vt:variant>
        <vt:i4>5</vt:i4>
      </vt:variant>
      <vt:variant>
        <vt:lpwstr/>
      </vt:variant>
      <vt:variant>
        <vt:lpwstr>Nelson_2013</vt:lpwstr>
      </vt:variant>
      <vt:variant>
        <vt:i4>65660</vt:i4>
      </vt:variant>
      <vt:variant>
        <vt:i4>870</vt:i4>
      </vt:variant>
      <vt:variant>
        <vt:i4>0</vt:i4>
      </vt:variant>
      <vt:variant>
        <vt:i4>5</vt:i4>
      </vt:variant>
      <vt:variant>
        <vt:lpwstr/>
      </vt:variant>
      <vt:variant>
        <vt:lpwstr>TCGA_2012</vt:lpwstr>
      </vt:variant>
      <vt:variant>
        <vt:i4>65660</vt:i4>
      </vt:variant>
      <vt:variant>
        <vt:i4>867</vt:i4>
      </vt:variant>
      <vt:variant>
        <vt:i4>0</vt:i4>
      </vt:variant>
      <vt:variant>
        <vt:i4>5</vt:i4>
      </vt:variant>
      <vt:variant>
        <vt:lpwstr/>
      </vt:variant>
      <vt:variant>
        <vt:lpwstr>TCGA_2012</vt:lpwstr>
      </vt:variant>
      <vt:variant>
        <vt:i4>917617</vt:i4>
      </vt:variant>
      <vt:variant>
        <vt:i4>864</vt:i4>
      </vt:variant>
      <vt:variant>
        <vt:i4>0</vt:i4>
      </vt:variant>
      <vt:variant>
        <vt:i4>5</vt:i4>
      </vt:variant>
      <vt:variant>
        <vt:lpwstr/>
      </vt:variant>
      <vt:variant>
        <vt:lpwstr>Geethakumari_2016</vt:lpwstr>
      </vt:variant>
      <vt:variant>
        <vt:i4>7143450</vt:i4>
      </vt:variant>
      <vt:variant>
        <vt:i4>861</vt:i4>
      </vt:variant>
      <vt:variant>
        <vt:i4>0</vt:i4>
      </vt:variant>
      <vt:variant>
        <vt:i4>5</vt:i4>
      </vt:variant>
      <vt:variant>
        <vt:lpwstr/>
      </vt:variant>
      <vt:variant>
        <vt:lpwstr>Grasso_2012</vt:lpwstr>
      </vt:variant>
      <vt:variant>
        <vt:i4>65660</vt:i4>
      </vt:variant>
      <vt:variant>
        <vt:i4>858</vt:i4>
      </vt:variant>
      <vt:variant>
        <vt:i4>0</vt:i4>
      </vt:variant>
      <vt:variant>
        <vt:i4>5</vt:i4>
      </vt:variant>
      <vt:variant>
        <vt:lpwstr/>
      </vt:variant>
      <vt:variant>
        <vt:lpwstr>TCGA_2011</vt:lpwstr>
      </vt:variant>
      <vt:variant>
        <vt:i4>5701740</vt:i4>
      </vt:variant>
      <vt:variant>
        <vt:i4>855</vt:i4>
      </vt:variant>
      <vt:variant>
        <vt:i4>0</vt:i4>
      </vt:variant>
      <vt:variant>
        <vt:i4>5</vt:i4>
      </vt:variant>
      <vt:variant>
        <vt:lpwstr/>
      </vt:variant>
      <vt:variant>
        <vt:lpwstr>Gilad_2010</vt:lpwstr>
      </vt:variant>
      <vt:variant>
        <vt:i4>1638503</vt:i4>
      </vt:variant>
      <vt:variant>
        <vt:i4>852</vt:i4>
      </vt:variant>
      <vt:variant>
        <vt:i4>0</vt:i4>
      </vt:variant>
      <vt:variant>
        <vt:i4>5</vt:i4>
      </vt:variant>
      <vt:variant>
        <vt:lpwstr/>
      </vt:variant>
      <vt:variant>
        <vt:lpwstr>Deitlein_2015</vt:lpwstr>
      </vt:variant>
      <vt:variant>
        <vt:i4>3932170</vt:i4>
      </vt:variant>
      <vt:variant>
        <vt:i4>849</vt:i4>
      </vt:variant>
      <vt:variant>
        <vt:i4>0</vt:i4>
      </vt:variant>
      <vt:variant>
        <vt:i4>5</vt:i4>
      </vt:variant>
      <vt:variant>
        <vt:lpwstr/>
      </vt:variant>
      <vt:variant>
        <vt:lpwstr>Lee_2016</vt:lpwstr>
      </vt:variant>
      <vt:variant>
        <vt:i4>2490378</vt:i4>
      </vt:variant>
      <vt:variant>
        <vt:i4>846</vt:i4>
      </vt:variant>
      <vt:variant>
        <vt:i4>0</vt:i4>
      </vt:variant>
      <vt:variant>
        <vt:i4>5</vt:i4>
      </vt:variant>
      <vt:variant>
        <vt:lpwstr/>
      </vt:variant>
      <vt:variant>
        <vt:lpwstr>Negrini_2010</vt:lpwstr>
      </vt:variant>
      <vt:variant>
        <vt:i4>4128771</vt:i4>
      </vt:variant>
      <vt:variant>
        <vt:i4>843</vt:i4>
      </vt:variant>
      <vt:variant>
        <vt:i4>0</vt:i4>
      </vt:variant>
      <vt:variant>
        <vt:i4>5</vt:i4>
      </vt:variant>
      <vt:variant>
        <vt:lpwstr/>
      </vt:variant>
      <vt:variant>
        <vt:lpwstr>Hanahan_2011</vt:lpwstr>
      </vt:variant>
      <vt:variant>
        <vt:i4>5898340</vt:i4>
      </vt:variant>
      <vt:variant>
        <vt:i4>840</vt:i4>
      </vt:variant>
      <vt:variant>
        <vt:i4>0</vt:i4>
      </vt:variant>
      <vt:variant>
        <vt:i4>5</vt:i4>
      </vt:variant>
      <vt:variant>
        <vt:lpwstr/>
      </vt:variant>
      <vt:variant>
        <vt:lpwstr>Weber_2015</vt:lpwstr>
      </vt:variant>
      <vt:variant>
        <vt:i4>5898340</vt:i4>
      </vt:variant>
      <vt:variant>
        <vt:i4>837</vt:i4>
      </vt:variant>
      <vt:variant>
        <vt:i4>0</vt:i4>
      </vt:variant>
      <vt:variant>
        <vt:i4>5</vt:i4>
      </vt:variant>
      <vt:variant>
        <vt:lpwstr/>
      </vt:variant>
      <vt:variant>
        <vt:lpwstr>Weber_2015</vt:lpwstr>
      </vt:variant>
      <vt:variant>
        <vt:i4>2490378</vt:i4>
      </vt:variant>
      <vt:variant>
        <vt:i4>834</vt:i4>
      </vt:variant>
      <vt:variant>
        <vt:i4>0</vt:i4>
      </vt:variant>
      <vt:variant>
        <vt:i4>5</vt:i4>
      </vt:variant>
      <vt:variant>
        <vt:lpwstr/>
      </vt:variant>
      <vt:variant>
        <vt:lpwstr>Negrini_2010</vt:lpwstr>
      </vt:variant>
      <vt:variant>
        <vt:i4>1376305</vt:i4>
      </vt:variant>
      <vt:variant>
        <vt:i4>827</vt:i4>
      </vt:variant>
      <vt:variant>
        <vt:i4>0</vt:i4>
      </vt:variant>
      <vt:variant>
        <vt:i4>5</vt:i4>
      </vt:variant>
      <vt:variant>
        <vt:lpwstr/>
      </vt:variant>
      <vt:variant>
        <vt:lpwstr>_Toc78213279</vt:lpwstr>
      </vt:variant>
      <vt:variant>
        <vt:i4>1310769</vt:i4>
      </vt:variant>
      <vt:variant>
        <vt:i4>821</vt:i4>
      </vt:variant>
      <vt:variant>
        <vt:i4>0</vt:i4>
      </vt:variant>
      <vt:variant>
        <vt:i4>5</vt:i4>
      </vt:variant>
      <vt:variant>
        <vt:lpwstr/>
      </vt:variant>
      <vt:variant>
        <vt:lpwstr>_Toc78213278</vt:lpwstr>
      </vt:variant>
      <vt:variant>
        <vt:i4>1769521</vt:i4>
      </vt:variant>
      <vt:variant>
        <vt:i4>815</vt:i4>
      </vt:variant>
      <vt:variant>
        <vt:i4>0</vt:i4>
      </vt:variant>
      <vt:variant>
        <vt:i4>5</vt:i4>
      </vt:variant>
      <vt:variant>
        <vt:lpwstr/>
      </vt:variant>
      <vt:variant>
        <vt:lpwstr>_Toc78213277</vt:lpwstr>
      </vt:variant>
      <vt:variant>
        <vt:i4>1703985</vt:i4>
      </vt:variant>
      <vt:variant>
        <vt:i4>806</vt:i4>
      </vt:variant>
      <vt:variant>
        <vt:i4>0</vt:i4>
      </vt:variant>
      <vt:variant>
        <vt:i4>5</vt:i4>
      </vt:variant>
      <vt:variant>
        <vt:lpwstr/>
      </vt:variant>
      <vt:variant>
        <vt:lpwstr>_Toc78213276</vt:lpwstr>
      </vt:variant>
      <vt:variant>
        <vt:i4>1638449</vt:i4>
      </vt:variant>
      <vt:variant>
        <vt:i4>800</vt:i4>
      </vt:variant>
      <vt:variant>
        <vt:i4>0</vt:i4>
      </vt:variant>
      <vt:variant>
        <vt:i4>5</vt:i4>
      </vt:variant>
      <vt:variant>
        <vt:lpwstr/>
      </vt:variant>
      <vt:variant>
        <vt:lpwstr>_Toc78213275</vt:lpwstr>
      </vt:variant>
      <vt:variant>
        <vt:i4>1572913</vt:i4>
      </vt:variant>
      <vt:variant>
        <vt:i4>794</vt:i4>
      </vt:variant>
      <vt:variant>
        <vt:i4>0</vt:i4>
      </vt:variant>
      <vt:variant>
        <vt:i4>5</vt:i4>
      </vt:variant>
      <vt:variant>
        <vt:lpwstr/>
      </vt:variant>
      <vt:variant>
        <vt:lpwstr>_Toc78213274</vt:lpwstr>
      </vt:variant>
      <vt:variant>
        <vt:i4>2031665</vt:i4>
      </vt:variant>
      <vt:variant>
        <vt:i4>788</vt:i4>
      </vt:variant>
      <vt:variant>
        <vt:i4>0</vt:i4>
      </vt:variant>
      <vt:variant>
        <vt:i4>5</vt:i4>
      </vt:variant>
      <vt:variant>
        <vt:lpwstr/>
      </vt:variant>
      <vt:variant>
        <vt:lpwstr>_Toc78213273</vt:lpwstr>
      </vt:variant>
      <vt:variant>
        <vt:i4>1966129</vt:i4>
      </vt:variant>
      <vt:variant>
        <vt:i4>782</vt:i4>
      </vt:variant>
      <vt:variant>
        <vt:i4>0</vt:i4>
      </vt:variant>
      <vt:variant>
        <vt:i4>5</vt:i4>
      </vt:variant>
      <vt:variant>
        <vt:lpwstr/>
      </vt:variant>
      <vt:variant>
        <vt:lpwstr>_Toc78213272</vt:lpwstr>
      </vt:variant>
      <vt:variant>
        <vt:i4>1900593</vt:i4>
      </vt:variant>
      <vt:variant>
        <vt:i4>776</vt:i4>
      </vt:variant>
      <vt:variant>
        <vt:i4>0</vt:i4>
      </vt:variant>
      <vt:variant>
        <vt:i4>5</vt:i4>
      </vt:variant>
      <vt:variant>
        <vt:lpwstr/>
      </vt:variant>
      <vt:variant>
        <vt:lpwstr>_Toc78213271</vt:lpwstr>
      </vt:variant>
      <vt:variant>
        <vt:i4>1835057</vt:i4>
      </vt:variant>
      <vt:variant>
        <vt:i4>770</vt:i4>
      </vt:variant>
      <vt:variant>
        <vt:i4>0</vt:i4>
      </vt:variant>
      <vt:variant>
        <vt:i4>5</vt:i4>
      </vt:variant>
      <vt:variant>
        <vt:lpwstr/>
      </vt:variant>
      <vt:variant>
        <vt:lpwstr>_Toc78213270</vt:lpwstr>
      </vt:variant>
      <vt:variant>
        <vt:i4>1376304</vt:i4>
      </vt:variant>
      <vt:variant>
        <vt:i4>764</vt:i4>
      </vt:variant>
      <vt:variant>
        <vt:i4>0</vt:i4>
      </vt:variant>
      <vt:variant>
        <vt:i4>5</vt:i4>
      </vt:variant>
      <vt:variant>
        <vt:lpwstr/>
      </vt:variant>
      <vt:variant>
        <vt:lpwstr>_Toc78213269</vt:lpwstr>
      </vt:variant>
      <vt:variant>
        <vt:i4>1310768</vt:i4>
      </vt:variant>
      <vt:variant>
        <vt:i4>758</vt:i4>
      </vt:variant>
      <vt:variant>
        <vt:i4>0</vt:i4>
      </vt:variant>
      <vt:variant>
        <vt:i4>5</vt:i4>
      </vt:variant>
      <vt:variant>
        <vt:lpwstr/>
      </vt:variant>
      <vt:variant>
        <vt:lpwstr>_Toc78213268</vt:lpwstr>
      </vt:variant>
      <vt:variant>
        <vt:i4>1769520</vt:i4>
      </vt:variant>
      <vt:variant>
        <vt:i4>752</vt:i4>
      </vt:variant>
      <vt:variant>
        <vt:i4>0</vt:i4>
      </vt:variant>
      <vt:variant>
        <vt:i4>5</vt:i4>
      </vt:variant>
      <vt:variant>
        <vt:lpwstr/>
      </vt:variant>
      <vt:variant>
        <vt:lpwstr>_Toc78213267</vt:lpwstr>
      </vt:variant>
      <vt:variant>
        <vt:i4>1703984</vt:i4>
      </vt:variant>
      <vt:variant>
        <vt:i4>746</vt:i4>
      </vt:variant>
      <vt:variant>
        <vt:i4>0</vt:i4>
      </vt:variant>
      <vt:variant>
        <vt:i4>5</vt:i4>
      </vt:variant>
      <vt:variant>
        <vt:lpwstr/>
      </vt:variant>
      <vt:variant>
        <vt:lpwstr>_Toc78213266</vt:lpwstr>
      </vt:variant>
      <vt:variant>
        <vt:i4>1638448</vt:i4>
      </vt:variant>
      <vt:variant>
        <vt:i4>740</vt:i4>
      </vt:variant>
      <vt:variant>
        <vt:i4>0</vt:i4>
      </vt:variant>
      <vt:variant>
        <vt:i4>5</vt:i4>
      </vt:variant>
      <vt:variant>
        <vt:lpwstr/>
      </vt:variant>
      <vt:variant>
        <vt:lpwstr>_Toc78213265</vt:lpwstr>
      </vt:variant>
      <vt:variant>
        <vt:i4>1572912</vt:i4>
      </vt:variant>
      <vt:variant>
        <vt:i4>734</vt:i4>
      </vt:variant>
      <vt:variant>
        <vt:i4>0</vt:i4>
      </vt:variant>
      <vt:variant>
        <vt:i4>5</vt:i4>
      </vt:variant>
      <vt:variant>
        <vt:lpwstr/>
      </vt:variant>
      <vt:variant>
        <vt:lpwstr>_Toc78213264</vt:lpwstr>
      </vt:variant>
      <vt:variant>
        <vt:i4>2031664</vt:i4>
      </vt:variant>
      <vt:variant>
        <vt:i4>728</vt:i4>
      </vt:variant>
      <vt:variant>
        <vt:i4>0</vt:i4>
      </vt:variant>
      <vt:variant>
        <vt:i4>5</vt:i4>
      </vt:variant>
      <vt:variant>
        <vt:lpwstr/>
      </vt:variant>
      <vt:variant>
        <vt:lpwstr>_Toc78213263</vt:lpwstr>
      </vt:variant>
      <vt:variant>
        <vt:i4>1966128</vt:i4>
      </vt:variant>
      <vt:variant>
        <vt:i4>722</vt:i4>
      </vt:variant>
      <vt:variant>
        <vt:i4>0</vt:i4>
      </vt:variant>
      <vt:variant>
        <vt:i4>5</vt:i4>
      </vt:variant>
      <vt:variant>
        <vt:lpwstr/>
      </vt:variant>
      <vt:variant>
        <vt:lpwstr>_Toc78213262</vt:lpwstr>
      </vt:variant>
      <vt:variant>
        <vt:i4>1900592</vt:i4>
      </vt:variant>
      <vt:variant>
        <vt:i4>716</vt:i4>
      </vt:variant>
      <vt:variant>
        <vt:i4>0</vt:i4>
      </vt:variant>
      <vt:variant>
        <vt:i4>5</vt:i4>
      </vt:variant>
      <vt:variant>
        <vt:lpwstr/>
      </vt:variant>
      <vt:variant>
        <vt:lpwstr>_Toc78213261</vt:lpwstr>
      </vt:variant>
      <vt:variant>
        <vt:i4>1835056</vt:i4>
      </vt:variant>
      <vt:variant>
        <vt:i4>710</vt:i4>
      </vt:variant>
      <vt:variant>
        <vt:i4>0</vt:i4>
      </vt:variant>
      <vt:variant>
        <vt:i4>5</vt:i4>
      </vt:variant>
      <vt:variant>
        <vt:lpwstr/>
      </vt:variant>
      <vt:variant>
        <vt:lpwstr>_Toc78213260</vt:lpwstr>
      </vt:variant>
      <vt:variant>
        <vt:i4>1376307</vt:i4>
      </vt:variant>
      <vt:variant>
        <vt:i4>704</vt:i4>
      </vt:variant>
      <vt:variant>
        <vt:i4>0</vt:i4>
      </vt:variant>
      <vt:variant>
        <vt:i4>5</vt:i4>
      </vt:variant>
      <vt:variant>
        <vt:lpwstr/>
      </vt:variant>
      <vt:variant>
        <vt:lpwstr>_Toc78213259</vt:lpwstr>
      </vt:variant>
      <vt:variant>
        <vt:i4>1310771</vt:i4>
      </vt:variant>
      <vt:variant>
        <vt:i4>698</vt:i4>
      </vt:variant>
      <vt:variant>
        <vt:i4>0</vt:i4>
      </vt:variant>
      <vt:variant>
        <vt:i4>5</vt:i4>
      </vt:variant>
      <vt:variant>
        <vt:lpwstr/>
      </vt:variant>
      <vt:variant>
        <vt:lpwstr>_Toc78213258</vt:lpwstr>
      </vt:variant>
      <vt:variant>
        <vt:i4>1769523</vt:i4>
      </vt:variant>
      <vt:variant>
        <vt:i4>692</vt:i4>
      </vt:variant>
      <vt:variant>
        <vt:i4>0</vt:i4>
      </vt:variant>
      <vt:variant>
        <vt:i4>5</vt:i4>
      </vt:variant>
      <vt:variant>
        <vt:lpwstr/>
      </vt:variant>
      <vt:variant>
        <vt:lpwstr>_Toc78213257</vt:lpwstr>
      </vt:variant>
      <vt:variant>
        <vt:i4>1703987</vt:i4>
      </vt:variant>
      <vt:variant>
        <vt:i4>686</vt:i4>
      </vt:variant>
      <vt:variant>
        <vt:i4>0</vt:i4>
      </vt:variant>
      <vt:variant>
        <vt:i4>5</vt:i4>
      </vt:variant>
      <vt:variant>
        <vt:lpwstr/>
      </vt:variant>
      <vt:variant>
        <vt:lpwstr>_Toc78213256</vt:lpwstr>
      </vt:variant>
      <vt:variant>
        <vt:i4>1638451</vt:i4>
      </vt:variant>
      <vt:variant>
        <vt:i4>680</vt:i4>
      </vt:variant>
      <vt:variant>
        <vt:i4>0</vt:i4>
      </vt:variant>
      <vt:variant>
        <vt:i4>5</vt:i4>
      </vt:variant>
      <vt:variant>
        <vt:lpwstr/>
      </vt:variant>
      <vt:variant>
        <vt:lpwstr>_Toc78213255</vt:lpwstr>
      </vt:variant>
      <vt:variant>
        <vt:i4>1572915</vt:i4>
      </vt:variant>
      <vt:variant>
        <vt:i4>674</vt:i4>
      </vt:variant>
      <vt:variant>
        <vt:i4>0</vt:i4>
      </vt:variant>
      <vt:variant>
        <vt:i4>5</vt:i4>
      </vt:variant>
      <vt:variant>
        <vt:lpwstr/>
      </vt:variant>
      <vt:variant>
        <vt:lpwstr>_Toc78213254</vt:lpwstr>
      </vt:variant>
      <vt:variant>
        <vt:i4>2031667</vt:i4>
      </vt:variant>
      <vt:variant>
        <vt:i4>665</vt:i4>
      </vt:variant>
      <vt:variant>
        <vt:i4>0</vt:i4>
      </vt:variant>
      <vt:variant>
        <vt:i4>5</vt:i4>
      </vt:variant>
      <vt:variant>
        <vt:lpwstr/>
      </vt:variant>
      <vt:variant>
        <vt:lpwstr>_Toc78213253</vt:lpwstr>
      </vt:variant>
      <vt:variant>
        <vt:i4>1966131</vt:i4>
      </vt:variant>
      <vt:variant>
        <vt:i4>659</vt:i4>
      </vt:variant>
      <vt:variant>
        <vt:i4>0</vt:i4>
      </vt:variant>
      <vt:variant>
        <vt:i4>5</vt:i4>
      </vt:variant>
      <vt:variant>
        <vt:lpwstr/>
      </vt:variant>
      <vt:variant>
        <vt:lpwstr>_Toc78213252</vt:lpwstr>
      </vt:variant>
      <vt:variant>
        <vt:i4>1900595</vt:i4>
      </vt:variant>
      <vt:variant>
        <vt:i4>653</vt:i4>
      </vt:variant>
      <vt:variant>
        <vt:i4>0</vt:i4>
      </vt:variant>
      <vt:variant>
        <vt:i4>5</vt:i4>
      </vt:variant>
      <vt:variant>
        <vt:lpwstr/>
      </vt:variant>
      <vt:variant>
        <vt:lpwstr>_Toc78213251</vt:lpwstr>
      </vt:variant>
      <vt:variant>
        <vt:i4>1835059</vt:i4>
      </vt:variant>
      <vt:variant>
        <vt:i4>647</vt:i4>
      </vt:variant>
      <vt:variant>
        <vt:i4>0</vt:i4>
      </vt:variant>
      <vt:variant>
        <vt:i4>5</vt:i4>
      </vt:variant>
      <vt:variant>
        <vt:lpwstr/>
      </vt:variant>
      <vt:variant>
        <vt:lpwstr>_Toc78213250</vt:lpwstr>
      </vt:variant>
      <vt:variant>
        <vt:i4>1376306</vt:i4>
      </vt:variant>
      <vt:variant>
        <vt:i4>641</vt:i4>
      </vt:variant>
      <vt:variant>
        <vt:i4>0</vt:i4>
      </vt:variant>
      <vt:variant>
        <vt:i4>5</vt:i4>
      </vt:variant>
      <vt:variant>
        <vt:lpwstr/>
      </vt:variant>
      <vt:variant>
        <vt:lpwstr>_Toc78213249</vt:lpwstr>
      </vt:variant>
      <vt:variant>
        <vt:i4>1310770</vt:i4>
      </vt:variant>
      <vt:variant>
        <vt:i4>635</vt:i4>
      </vt:variant>
      <vt:variant>
        <vt:i4>0</vt:i4>
      </vt:variant>
      <vt:variant>
        <vt:i4>5</vt:i4>
      </vt:variant>
      <vt:variant>
        <vt:lpwstr/>
      </vt:variant>
      <vt:variant>
        <vt:lpwstr>_Toc78213248</vt:lpwstr>
      </vt:variant>
      <vt:variant>
        <vt:i4>1769522</vt:i4>
      </vt:variant>
      <vt:variant>
        <vt:i4>629</vt:i4>
      </vt:variant>
      <vt:variant>
        <vt:i4>0</vt:i4>
      </vt:variant>
      <vt:variant>
        <vt:i4>5</vt:i4>
      </vt:variant>
      <vt:variant>
        <vt:lpwstr/>
      </vt:variant>
      <vt:variant>
        <vt:lpwstr>_Toc78213247</vt:lpwstr>
      </vt:variant>
      <vt:variant>
        <vt:i4>1703986</vt:i4>
      </vt:variant>
      <vt:variant>
        <vt:i4>623</vt:i4>
      </vt:variant>
      <vt:variant>
        <vt:i4>0</vt:i4>
      </vt:variant>
      <vt:variant>
        <vt:i4>5</vt:i4>
      </vt:variant>
      <vt:variant>
        <vt:lpwstr/>
      </vt:variant>
      <vt:variant>
        <vt:lpwstr>_Toc78213246</vt:lpwstr>
      </vt:variant>
      <vt:variant>
        <vt:i4>1638450</vt:i4>
      </vt:variant>
      <vt:variant>
        <vt:i4>617</vt:i4>
      </vt:variant>
      <vt:variant>
        <vt:i4>0</vt:i4>
      </vt:variant>
      <vt:variant>
        <vt:i4>5</vt:i4>
      </vt:variant>
      <vt:variant>
        <vt:lpwstr/>
      </vt:variant>
      <vt:variant>
        <vt:lpwstr>_Toc78213245</vt:lpwstr>
      </vt:variant>
      <vt:variant>
        <vt:i4>1572914</vt:i4>
      </vt:variant>
      <vt:variant>
        <vt:i4>611</vt:i4>
      </vt:variant>
      <vt:variant>
        <vt:i4>0</vt:i4>
      </vt:variant>
      <vt:variant>
        <vt:i4>5</vt:i4>
      </vt:variant>
      <vt:variant>
        <vt:lpwstr/>
      </vt:variant>
      <vt:variant>
        <vt:lpwstr>_Toc78213244</vt:lpwstr>
      </vt:variant>
      <vt:variant>
        <vt:i4>2031666</vt:i4>
      </vt:variant>
      <vt:variant>
        <vt:i4>605</vt:i4>
      </vt:variant>
      <vt:variant>
        <vt:i4>0</vt:i4>
      </vt:variant>
      <vt:variant>
        <vt:i4>5</vt:i4>
      </vt:variant>
      <vt:variant>
        <vt:lpwstr/>
      </vt:variant>
      <vt:variant>
        <vt:lpwstr>_Toc78213243</vt:lpwstr>
      </vt:variant>
      <vt:variant>
        <vt:i4>1966130</vt:i4>
      </vt:variant>
      <vt:variant>
        <vt:i4>599</vt:i4>
      </vt:variant>
      <vt:variant>
        <vt:i4>0</vt:i4>
      </vt:variant>
      <vt:variant>
        <vt:i4>5</vt:i4>
      </vt:variant>
      <vt:variant>
        <vt:lpwstr/>
      </vt:variant>
      <vt:variant>
        <vt:lpwstr>_Toc78213242</vt:lpwstr>
      </vt:variant>
      <vt:variant>
        <vt:i4>1900594</vt:i4>
      </vt:variant>
      <vt:variant>
        <vt:i4>593</vt:i4>
      </vt:variant>
      <vt:variant>
        <vt:i4>0</vt:i4>
      </vt:variant>
      <vt:variant>
        <vt:i4>5</vt:i4>
      </vt:variant>
      <vt:variant>
        <vt:lpwstr/>
      </vt:variant>
      <vt:variant>
        <vt:lpwstr>_Toc78213241</vt:lpwstr>
      </vt:variant>
      <vt:variant>
        <vt:i4>1835058</vt:i4>
      </vt:variant>
      <vt:variant>
        <vt:i4>587</vt:i4>
      </vt:variant>
      <vt:variant>
        <vt:i4>0</vt:i4>
      </vt:variant>
      <vt:variant>
        <vt:i4>5</vt:i4>
      </vt:variant>
      <vt:variant>
        <vt:lpwstr/>
      </vt:variant>
      <vt:variant>
        <vt:lpwstr>_Toc78213240</vt:lpwstr>
      </vt:variant>
      <vt:variant>
        <vt:i4>1376309</vt:i4>
      </vt:variant>
      <vt:variant>
        <vt:i4>581</vt:i4>
      </vt:variant>
      <vt:variant>
        <vt:i4>0</vt:i4>
      </vt:variant>
      <vt:variant>
        <vt:i4>5</vt:i4>
      </vt:variant>
      <vt:variant>
        <vt:lpwstr/>
      </vt:variant>
      <vt:variant>
        <vt:lpwstr>_Toc78213239</vt:lpwstr>
      </vt:variant>
      <vt:variant>
        <vt:i4>1310773</vt:i4>
      </vt:variant>
      <vt:variant>
        <vt:i4>575</vt:i4>
      </vt:variant>
      <vt:variant>
        <vt:i4>0</vt:i4>
      </vt:variant>
      <vt:variant>
        <vt:i4>5</vt:i4>
      </vt:variant>
      <vt:variant>
        <vt:lpwstr/>
      </vt:variant>
      <vt:variant>
        <vt:lpwstr>_Toc78213238</vt:lpwstr>
      </vt:variant>
      <vt:variant>
        <vt:i4>1769525</vt:i4>
      </vt:variant>
      <vt:variant>
        <vt:i4>569</vt:i4>
      </vt:variant>
      <vt:variant>
        <vt:i4>0</vt:i4>
      </vt:variant>
      <vt:variant>
        <vt:i4>5</vt:i4>
      </vt:variant>
      <vt:variant>
        <vt:lpwstr/>
      </vt:variant>
      <vt:variant>
        <vt:lpwstr>_Toc78213237</vt:lpwstr>
      </vt:variant>
      <vt:variant>
        <vt:i4>1703989</vt:i4>
      </vt:variant>
      <vt:variant>
        <vt:i4>563</vt:i4>
      </vt:variant>
      <vt:variant>
        <vt:i4>0</vt:i4>
      </vt:variant>
      <vt:variant>
        <vt:i4>5</vt:i4>
      </vt:variant>
      <vt:variant>
        <vt:lpwstr/>
      </vt:variant>
      <vt:variant>
        <vt:lpwstr>_Toc78213236</vt:lpwstr>
      </vt:variant>
      <vt:variant>
        <vt:i4>1638453</vt:i4>
      </vt:variant>
      <vt:variant>
        <vt:i4>557</vt:i4>
      </vt:variant>
      <vt:variant>
        <vt:i4>0</vt:i4>
      </vt:variant>
      <vt:variant>
        <vt:i4>5</vt:i4>
      </vt:variant>
      <vt:variant>
        <vt:lpwstr/>
      </vt:variant>
      <vt:variant>
        <vt:lpwstr>_Toc78213235</vt:lpwstr>
      </vt:variant>
      <vt:variant>
        <vt:i4>1572917</vt:i4>
      </vt:variant>
      <vt:variant>
        <vt:i4>551</vt:i4>
      </vt:variant>
      <vt:variant>
        <vt:i4>0</vt:i4>
      </vt:variant>
      <vt:variant>
        <vt:i4>5</vt:i4>
      </vt:variant>
      <vt:variant>
        <vt:lpwstr/>
      </vt:variant>
      <vt:variant>
        <vt:lpwstr>_Toc78213234</vt:lpwstr>
      </vt:variant>
      <vt:variant>
        <vt:i4>2031669</vt:i4>
      </vt:variant>
      <vt:variant>
        <vt:i4>545</vt:i4>
      </vt:variant>
      <vt:variant>
        <vt:i4>0</vt:i4>
      </vt:variant>
      <vt:variant>
        <vt:i4>5</vt:i4>
      </vt:variant>
      <vt:variant>
        <vt:lpwstr/>
      </vt:variant>
      <vt:variant>
        <vt:lpwstr>_Toc78213233</vt:lpwstr>
      </vt:variant>
      <vt:variant>
        <vt:i4>1966133</vt:i4>
      </vt:variant>
      <vt:variant>
        <vt:i4>539</vt:i4>
      </vt:variant>
      <vt:variant>
        <vt:i4>0</vt:i4>
      </vt:variant>
      <vt:variant>
        <vt:i4>5</vt:i4>
      </vt:variant>
      <vt:variant>
        <vt:lpwstr/>
      </vt:variant>
      <vt:variant>
        <vt:lpwstr>_Toc78213232</vt:lpwstr>
      </vt:variant>
      <vt:variant>
        <vt:i4>1900597</vt:i4>
      </vt:variant>
      <vt:variant>
        <vt:i4>533</vt:i4>
      </vt:variant>
      <vt:variant>
        <vt:i4>0</vt:i4>
      </vt:variant>
      <vt:variant>
        <vt:i4>5</vt:i4>
      </vt:variant>
      <vt:variant>
        <vt:lpwstr/>
      </vt:variant>
      <vt:variant>
        <vt:lpwstr>_Toc78213231</vt:lpwstr>
      </vt:variant>
      <vt:variant>
        <vt:i4>1835061</vt:i4>
      </vt:variant>
      <vt:variant>
        <vt:i4>527</vt:i4>
      </vt:variant>
      <vt:variant>
        <vt:i4>0</vt:i4>
      </vt:variant>
      <vt:variant>
        <vt:i4>5</vt:i4>
      </vt:variant>
      <vt:variant>
        <vt:lpwstr/>
      </vt:variant>
      <vt:variant>
        <vt:lpwstr>_Toc78213230</vt:lpwstr>
      </vt:variant>
      <vt:variant>
        <vt:i4>1376308</vt:i4>
      </vt:variant>
      <vt:variant>
        <vt:i4>521</vt:i4>
      </vt:variant>
      <vt:variant>
        <vt:i4>0</vt:i4>
      </vt:variant>
      <vt:variant>
        <vt:i4>5</vt:i4>
      </vt:variant>
      <vt:variant>
        <vt:lpwstr/>
      </vt:variant>
      <vt:variant>
        <vt:lpwstr>_Toc78213229</vt:lpwstr>
      </vt:variant>
      <vt:variant>
        <vt:i4>1310772</vt:i4>
      </vt:variant>
      <vt:variant>
        <vt:i4>515</vt:i4>
      </vt:variant>
      <vt:variant>
        <vt:i4>0</vt:i4>
      </vt:variant>
      <vt:variant>
        <vt:i4>5</vt:i4>
      </vt:variant>
      <vt:variant>
        <vt:lpwstr/>
      </vt:variant>
      <vt:variant>
        <vt:lpwstr>_Toc78213228</vt:lpwstr>
      </vt:variant>
      <vt:variant>
        <vt:i4>1769524</vt:i4>
      </vt:variant>
      <vt:variant>
        <vt:i4>509</vt:i4>
      </vt:variant>
      <vt:variant>
        <vt:i4>0</vt:i4>
      </vt:variant>
      <vt:variant>
        <vt:i4>5</vt:i4>
      </vt:variant>
      <vt:variant>
        <vt:lpwstr/>
      </vt:variant>
      <vt:variant>
        <vt:lpwstr>_Toc78213227</vt:lpwstr>
      </vt:variant>
      <vt:variant>
        <vt:i4>1703988</vt:i4>
      </vt:variant>
      <vt:variant>
        <vt:i4>503</vt:i4>
      </vt:variant>
      <vt:variant>
        <vt:i4>0</vt:i4>
      </vt:variant>
      <vt:variant>
        <vt:i4>5</vt:i4>
      </vt:variant>
      <vt:variant>
        <vt:lpwstr/>
      </vt:variant>
      <vt:variant>
        <vt:lpwstr>_Toc78213226</vt:lpwstr>
      </vt:variant>
      <vt:variant>
        <vt:i4>1638452</vt:i4>
      </vt:variant>
      <vt:variant>
        <vt:i4>497</vt:i4>
      </vt:variant>
      <vt:variant>
        <vt:i4>0</vt:i4>
      </vt:variant>
      <vt:variant>
        <vt:i4>5</vt:i4>
      </vt:variant>
      <vt:variant>
        <vt:lpwstr/>
      </vt:variant>
      <vt:variant>
        <vt:lpwstr>_Toc78213225</vt:lpwstr>
      </vt:variant>
      <vt:variant>
        <vt:i4>1572916</vt:i4>
      </vt:variant>
      <vt:variant>
        <vt:i4>491</vt:i4>
      </vt:variant>
      <vt:variant>
        <vt:i4>0</vt:i4>
      </vt:variant>
      <vt:variant>
        <vt:i4>5</vt:i4>
      </vt:variant>
      <vt:variant>
        <vt:lpwstr/>
      </vt:variant>
      <vt:variant>
        <vt:lpwstr>_Toc78213224</vt:lpwstr>
      </vt:variant>
      <vt:variant>
        <vt:i4>2031668</vt:i4>
      </vt:variant>
      <vt:variant>
        <vt:i4>485</vt:i4>
      </vt:variant>
      <vt:variant>
        <vt:i4>0</vt:i4>
      </vt:variant>
      <vt:variant>
        <vt:i4>5</vt:i4>
      </vt:variant>
      <vt:variant>
        <vt:lpwstr/>
      </vt:variant>
      <vt:variant>
        <vt:lpwstr>_Toc78213223</vt:lpwstr>
      </vt:variant>
      <vt:variant>
        <vt:i4>1966132</vt:i4>
      </vt:variant>
      <vt:variant>
        <vt:i4>479</vt:i4>
      </vt:variant>
      <vt:variant>
        <vt:i4>0</vt:i4>
      </vt:variant>
      <vt:variant>
        <vt:i4>5</vt:i4>
      </vt:variant>
      <vt:variant>
        <vt:lpwstr/>
      </vt:variant>
      <vt:variant>
        <vt:lpwstr>_Toc78213222</vt:lpwstr>
      </vt:variant>
      <vt:variant>
        <vt:i4>1900596</vt:i4>
      </vt:variant>
      <vt:variant>
        <vt:i4>473</vt:i4>
      </vt:variant>
      <vt:variant>
        <vt:i4>0</vt:i4>
      </vt:variant>
      <vt:variant>
        <vt:i4>5</vt:i4>
      </vt:variant>
      <vt:variant>
        <vt:lpwstr/>
      </vt:variant>
      <vt:variant>
        <vt:lpwstr>_Toc78213221</vt:lpwstr>
      </vt:variant>
      <vt:variant>
        <vt:i4>1835060</vt:i4>
      </vt:variant>
      <vt:variant>
        <vt:i4>467</vt:i4>
      </vt:variant>
      <vt:variant>
        <vt:i4>0</vt:i4>
      </vt:variant>
      <vt:variant>
        <vt:i4>5</vt:i4>
      </vt:variant>
      <vt:variant>
        <vt:lpwstr/>
      </vt:variant>
      <vt:variant>
        <vt:lpwstr>_Toc78213220</vt:lpwstr>
      </vt:variant>
      <vt:variant>
        <vt:i4>1376311</vt:i4>
      </vt:variant>
      <vt:variant>
        <vt:i4>461</vt:i4>
      </vt:variant>
      <vt:variant>
        <vt:i4>0</vt:i4>
      </vt:variant>
      <vt:variant>
        <vt:i4>5</vt:i4>
      </vt:variant>
      <vt:variant>
        <vt:lpwstr/>
      </vt:variant>
      <vt:variant>
        <vt:lpwstr>_Toc78213219</vt:lpwstr>
      </vt:variant>
      <vt:variant>
        <vt:i4>1310775</vt:i4>
      </vt:variant>
      <vt:variant>
        <vt:i4>455</vt:i4>
      </vt:variant>
      <vt:variant>
        <vt:i4>0</vt:i4>
      </vt:variant>
      <vt:variant>
        <vt:i4>5</vt:i4>
      </vt:variant>
      <vt:variant>
        <vt:lpwstr/>
      </vt:variant>
      <vt:variant>
        <vt:lpwstr>_Toc78213218</vt:lpwstr>
      </vt:variant>
      <vt:variant>
        <vt:i4>1769527</vt:i4>
      </vt:variant>
      <vt:variant>
        <vt:i4>449</vt:i4>
      </vt:variant>
      <vt:variant>
        <vt:i4>0</vt:i4>
      </vt:variant>
      <vt:variant>
        <vt:i4>5</vt:i4>
      </vt:variant>
      <vt:variant>
        <vt:lpwstr/>
      </vt:variant>
      <vt:variant>
        <vt:lpwstr>_Toc78213217</vt:lpwstr>
      </vt:variant>
      <vt:variant>
        <vt:i4>1703991</vt:i4>
      </vt:variant>
      <vt:variant>
        <vt:i4>443</vt:i4>
      </vt:variant>
      <vt:variant>
        <vt:i4>0</vt:i4>
      </vt:variant>
      <vt:variant>
        <vt:i4>5</vt:i4>
      </vt:variant>
      <vt:variant>
        <vt:lpwstr/>
      </vt:variant>
      <vt:variant>
        <vt:lpwstr>_Toc78213216</vt:lpwstr>
      </vt:variant>
      <vt:variant>
        <vt:i4>1638455</vt:i4>
      </vt:variant>
      <vt:variant>
        <vt:i4>437</vt:i4>
      </vt:variant>
      <vt:variant>
        <vt:i4>0</vt:i4>
      </vt:variant>
      <vt:variant>
        <vt:i4>5</vt:i4>
      </vt:variant>
      <vt:variant>
        <vt:lpwstr/>
      </vt:variant>
      <vt:variant>
        <vt:lpwstr>_Toc78213215</vt:lpwstr>
      </vt:variant>
      <vt:variant>
        <vt:i4>1572919</vt:i4>
      </vt:variant>
      <vt:variant>
        <vt:i4>431</vt:i4>
      </vt:variant>
      <vt:variant>
        <vt:i4>0</vt:i4>
      </vt:variant>
      <vt:variant>
        <vt:i4>5</vt:i4>
      </vt:variant>
      <vt:variant>
        <vt:lpwstr/>
      </vt:variant>
      <vt:variant>
        <vt:lpwstr>_Toc78213214</vt:lpwstr>
      </vt:variant>
      <vt:variant>
        <vt:i4>2031671</vt:i4>
      </vt:variant>
      <vt:variant>
        <vt:i4>425</vt:i4>
      </vt:variant>
      <vt:variant>
        <vt:i4>0</vt:i4>
      </vt:variant>
      <vt:variant>
        <vt:i4>5</vt:i4>
      </vt:variant>
      <vt:variant>
        <vt:lpwstr/>
      </vt:variant>
      <vt:variant>
        <vt:lpwstr>_Toc78213213</vt:lpwstr>
      </vt:variant>
      <vt:variant>
        <vt:i4>1966135</vt:i4>
      </vt:variant>
      <vt:variant>
        <vt:i4>419</vt:i4>
      </vt:variant>
      <vt:variant>
        <vt:i4>0</vt:i4>
      </vt:variant>
      <vt:variant>
        <vt:i4>5</vt:i4>
      </vt:variant>
      <vt:variant>
        <vt:lpwstr/>
      </vt:variant>
      <vt:variant>
        <vt:lpwstr>_Toc78213212</vt:lpwstr>
      </vt:variant>
      <vt:variant>
        <vt:i4>1900599</vt:i4>
      </vt:variant>
      <vt:variant>
        <vt:i4>413</vt:i4>
      </vt:variant>
      <vt:variant>
        <vt:i4>0</vt:i4>
      </vt:variant>
      <vt:variant>
        <vt:i4>5</vt:i4>
      </vt:variant>
      <vt:variant>
        <vt:lpwstr/>
      </vt:variant>
      <vt:variant>
        <vt:lpwstr>_Toc78213211</vt:lpwstr>
      </vt:variant>
      <vt:variant>
        <vt:i4>1835063</vt:i4>
      </vt:variant>
      <vt:variant>
        <vt:i4>407</vt:i4>
      </vt:variant>
      <vt:variant>
        <vt:i4>0</vt:i4>
      </vt:variant>
      <vt:variant>
        <vt:i4>5</vt:i4>
      </vt:variant>
      <vt:variant>
        <vt:lpwstr/>
      </vt:variant>
      <vt:variant>
        <vt:lpwstr>_Toc78213210</vt:lpwstr>
      </vt:variant>
      <vt:variant>
        <vt:i4>1376310</vt:i4>
      </vt:variant>
      <vt:variant>
        <vt:i4>401</vt:i4>
      </vt:variant>
      <vt:variant>
        <vt:i4>0</vt:i4>
      </vt:variant>
      <vt:variant>
        <vt:i4>5</vt:i4>
      </vt:variant>
      <vt:variant>
        <vt:lpwstr/>
      </vt:variant>
      <vt:variant>
        <vt:lpwstr>_Toc78213209</vt:lpwstr>
      </vt:variant>
      <vt:variant>
        <vt:i4>1310774</vt:i4>
      </vt:variant>
      <vt:variant>
        <vt:i4>395</vt:i4>
      </vt:variant>
      <vt:variant>
        <vt:i4>0</vt:i4>
      </vt:variant>
      <vt:variant>
        <vt:i4>5</vt:i4>
      </vt:variant>
      <vt:variant>
        <vt:lpwstr/>
      </vt:variant>
      <vt:variant>
        <vt:lpwstr>_Toc78213208</vt:lpwstr>
      </vt:variant>
      <vt:variant>
        <vt:i4>1769526</vt:i4>
      </vt:variant>
      <vt:variant>
        <vt:i4>389</vt:i4>
      </vt:variant>
      <vt:variant>
        <vt:i4>0</vt:i4>
      </vt:variant>
      <vt:variant>
        <vt:i4>5</vt:i4>
      </vt:variant>
      <vt:variant>
        <vt:lpwstr/>
      </vt:variant>
      <vt:variant>
        <vt:lpwstr>_Toc78213207</vt:lpwstr>
      </vt:variant>
      <vt:variant>
        <vt:i4>1703990</vt:i4>
      </vt:variant>
      <vt:variant>
        <vt:i4>383</vt:i4>
      </vt:variant>
      <vt:variant>
        <vt:i4>0</vt:i4>
      </vt:variant>
      <vt:variant>
        <vt:i4>5</vt:i4>
      </vt:variant>
      <vt:variant>
        <vt:lpwstr/>
      </vt:variant>
      <vt:variant>
        <vt:lpwstr>_Toc78213206</vt:lpwstr>
      </vt:variant>
      <vt:variant>
        <vt:i4>1638454</vt:i4>
      </vt:variant>
      <vt:variant>
        <vt:i4>377</vt:i4>
      </vt:variant>
      <vt:variant>
        <vt:i4>0</vt:i4>
      </vt:variant>
      <vt:variant>
        <vt:i4>5</vt:i4>
      </vt:variant>
      <vt:variant>
        <vt:lpwstr/>
      </vt:variant>
      <vt:variant>
        <vt:lpwstr>_Toc78213205</vt:lpwstr>
      </vt:variant>
      <vt:variant>
        <vt:i4>1572918</vt:i4>
      </vt:variant>
      <vt:variant>
        <vt:i4>371</vt:i4>
      </vt:variant>
      <vt:variant>
        <vt:i4>0</vt:i4>
      </vt:variant>
      <vt:variant>
        <vt:i4>5</vt:i4>
      </vt:variant>
      <vt:variant>
        <vt:lpwstr/>
      </vt:variant>
      <vt:variant>
        <vt:lpwstr>_Toc78213204</vt:lpwstr>
      </vt:variant>
      <vt:variant>
        <vt:i4>2031670</vt:i4>
      </vt:variant>
      <vt:variant>
        <vt:i4>365</vt:i4>
      </vt:variant>
      <vt:variant>
        <vt:i4>0</vt:i4>
      </vt:variant>
      <vt:variant>
        <vt:i4>5</vt:i4>
      </vt:variant>
      <vt:variant>
        <vt:lpwstr/>
      </vt:variant>
      <vt:variant>
        <vt:lpwstr>_Toc78213203</vt:lpwstr>
      </vt:variant>
      <vt:variant>
        <vt:i4>1966134</vt:i4>
      </vt:variant>
      <vt:variant>
        <vt:i4>359</vt:i4>
      </vt:variant>
      <vt:variant>
        <vt:i4>0</vt:i4>
      </vt:variant>
      <vt:variant>
        <vt:i4>5</vt:i4>
      </vt:variant>
      <vt:variant>
        <vt:lpwstr/>
      </vt:variant>
      <vt:variant>
        <vt:lpwstr>_Toc78213202</vt:lpwstr>
      </vt:variant>
      <vt:variant>
        <vt:i4>1900598</vt:i4>
      </vt:variant>
      <vt:variant>
        <vt:i4>353</vt:i4>
      </vt:variant>
      <vt:variant>
        <vt:i4>0</vt:i4>
      </vt:variant>
      <vt:variant>
        <vt:i4>5</vt:i4>
      </vt:variant>
      <vt:variant>
        <vt:lpwstr/>
      </vt:variant>
      <vt:variant>
        <vt:lpwstr>_Toc78213201</vt:lpwstr>
      </vt:variant>
      <vt:variant>
        <vt:i4>1835062</vt:i4>
      </vt:variant>
      <vt:variant>
        <vt:i4>347</vt:i4>
      </vt:variant>
      <vt:variant>
        <vt:i4>0</vt:i4>
      </vt:variant>
      <vt:variant>
        <vt:i4>5</vt:i4>
      </vt:variant>
      <vt:variant>
        <vt:lpwstr/>
      </vt:variant>
      <vt:variant>
        <vt:lpwstr>_Toc78213200</vt:lpwstr>
      </vt:variant>
      <vt:variant>
        <vt:i4>1441855</vt:i4>
      </vt:variant>
      <vt:variant>
        <vt:i4>341</vt:i4>
      </vt:variant>
      <vt:variant>
        <vt:i4>0</vt:i4>
      </vt:variant>
      <vt:variant>
        <vt:i4>5</vt:i4>
      </vt:variant>
      <vt:variant>
        <vt:lpwstr/>
      </vt:variant>
      <vt:variant>
        <vt:lpwstr>_Toc78213199</vt:lpwstr>
      </vt:variant>
      <vt:variant>
        <vt:i4>1507391</vt:i4>
      </vt:variant>
      <vt:variant>
        <vt:i4>335</vt:i4>
      </vt:variant>
      <vt:variant>
        <vt:i4>0</vt:i4>
      </vt:variant>
      <vt:variant>
        <vt:i4>5</vt:i4>
      </vt:variant>
      <vt:variant>
        <vt:lpwstr/>
      </vt:variant>
      <vt:variant>
        <vt:lpwstr>_Toc78213198</vt:lpwstr>
      </vt:variant>
      <vt:variant>
        <vt:i4>1572927</vt:i4>
      </vt:variant>
      <vt:variant>
        <vt:i4>329</vt:i4>
      </vt:variant>
      <vt:variant>
        <vt:i4>0</vt:i4>
      </vt:variant>
      <vt:variant>
        <vt:i4>5</vt:i4>
      </vt:variant>
      <vt:variant>
        <vt:lpwstr/>
      </vt:variant>
      <vt:variant>
        <vt:lpwstr>_Toc78213197</vt:lpwstr>
      </vt:variant>
      <vt:variant>
        <vt:i4>1638463</vt:i4>
      </vt:variant>
      <vt:variant>
        <vt:i4>323</vt:i4>
      </vt:variant>
      <vt:variant>
        <vt:i4>0</vt:i4>
      </vt:variant>
      <vt:variant>
        <vt:i4>5</vt:i4>
      </vt:variant>
      <vt:variant>
        <vt:lpwstr/>
      </vt:variant>
      <vt:variant>
        <vt:lpwstr>_Toc78213196</vt:lpwstr>
      </vt:variant>
      <vt:variant>
        <vt:i4>1703999</vt:i4>
      </vt:variant>
      <vt:variant>
        <vt:i4>317</vt:i4>
      </vt:variant>
      <vt:variant>
        <vt:i4>0</vt:i4>
      </vt:variant>
      <vt:variant>
        <vt:i4>5</vt:i4>
      </vt:variant>
      <vt:variant>
        <vt:lpwstr/>
      </vt:variant>
      <vt:variant>
        <vt:lpwstr>_Toc78213195</vt:lpwstr>
      </vt:variant>
      <vt:variant>
        <vt:i4>1769535</vt:i4>
      </vt:variant>
      <vt:variant>
        <vt:i4>311</vt:i4>
      </vt:variant>
      <vt:variant>
        <vt:i4>0</vt:i4>
      </vt:variant>
      <vt:variant>
        <vt:i4>5</vt:i4>
      </vt:variant>
      <vt:variant>
        <vt:lpwstr/>
      </vt:variant>
      <vt:variant>
        <vt:lpwstr>_Toc78213194</vt:lpwstr>
      </vt:variant>
      <vt:variant>
        <vt:i4>1835071</vt:i4>
      </vt:variant>
      <vt:variant>
        <vt:i4>305</vt:i4>
      </vt:variant>
      <vt:variant>
        <vt:i4>0</vt:i4>
      </vt:variant>
      <vt:variant>
        <vt:i4>5</vt:i4>
      </vt:variant>
      <vt:variant>
        <vt:lpwstr/>
      </vt:variant>
      <vt:variant>
        <vt:lpwstr>_Toc78213193</vt:lpwstr>
      </vt:variant>
      <vt:variant>
        <vt:i4>1900607</vt:i4>
      </vt:variant>
      <vt:variant>
        <vt:i4>299</vt:i4>
      </vt:variant>
      <vt:variant>
        <vt:i4>0</vt:i4>
      </vt:variant>
      <vt:variant>
        <vt:i4>5</vt:i4>
      </vt:variant>
      <vt:variant>
        <vt:lpwstr/>
      </vt:variant>
      <vt:variant>
        <vt:lpwstr>_Toc78213192</vt:lpwstr>
      </vt:variant>
      <vt:variant>
        <vt:i4>1966143</vt:i4>
      </vt:variant>
      <vt:variant>
        <vt:i4>293</vt:i4>
      </vt:variant>
      <vt:variant>
        <vt:i4>0</vt:i4>
      </vt:variant>
      <vt:variant>
        <vt:i4>5</vt:i4>
      </vt:variant>
      <vt:variant>
        <vt:lpwstr/>
      </vt:variant>
      <vt:variant>
        <vt:lpwstr>_Toc78213191</vt:lpwstr>
      </vt:variant>
      <vt:variant>
        <vt:i4>2031679</vt:i4>
      </vt:variant>
      <vt:variant>
        <vt:i4>287</vt:i4>
      </vt:variant>
      <vt:variant>
        <vt:i4>0</vt:i4>
      </vt:variant>
      <vt:variant>
        <vt:i4>5</vt:i4>
      </vt:variant>
      <vt:variant>
        <vt:lpwstr/>
      </vt:variant>
      <vt:variant>
        <vt:lpwstr>_Toc78213190</vt:lpwstr>
      </vt:variant>
      <vt:variant>
        <vt:i4>1441854</vt:i4>
      </vt:variant>
      <vt:variant>
        <vt:i4>281</vt:i4>
      </vt:variant>
      <vt:variant>
        <vt:i4>0</vt:i4>
      </vt:variant>
      <vt:variant>
        <vt:i4>5</vt:i4>
      </vt:variant>
      <vt:variant>
        <vt:lpwstr/>
      </vt:variant>
      <vt:variant>
        <vt:lpwstr>_Toc78213189</vt:lpwstr>
      </vt:variant>
      <vt:variant>
        <vt:i4>1507390</vt:i4>
      </vt:variant>
      <vt:variant>
        <vt:i4>275</vt:i4>
      </vt:variant>
      <vt:variant>
        <vt:i4>0</vt:i4>
      </vt:variant>
      <vt:variant>
        <vt:i4>5</vt:i4>
      </vt:variant>
      <vt:variant>
        <vt:lpwstr/>
      </vt:variant>
      <vt:variant>
        <vt:lpwstr>_Toc78213188</vt:lpwstr>
      </vt:variant>
      <vt:variant>
        <vt:i4>1572926</vt:i4>
      </vt:variant>
      <vt:variant>
        <vt:i4>269</vt:i4>
      </vt:variant>
      <vt:variant>
        <vt:i4>0</vt:i4>
      </vt:variant>
      <vt:variant>
        <vt:i4>5</vt:i4>
      </vt:variant>
      <vt:variant>
        <vt:lpwstr/>
      </vt:variant>
      <vt:variant>
        <vt:lpwstr>_Toc78213187</vt:lpwstr>
      </vt:variant>
      <vt:variant>
        <vt:i4>1638462</vt:i4>
      </vt:variant>
      <vt:variant>
        <vt:i4>263</vt:i4>
      </vt:variant>
      <vt:variant>
        <vt:i4>0</vt:i4>
      </vt:variant>
      <vt:variant>
        <vt:i4>5</vt:i4>
      </vt:variant>
      <vt:variant>
        <vt:lpwstr/>
      </vt:variant>
      <vt:variant>
        <vt:lpwstr>_Toc78213186</vt:lpwstr>
      </vt:variant>
      <vt:variant>
        <vt:i4>1703998</vt:i4>
      </vt:variant>
      <vt:variant>
        <vt:i4>257</vt:i4>
      </vt:variant>
      <vt:variant>
        <vt:i4>0</vt:i4>
      </vt:variant>
      <vt:variant>
        <vt:i4>5</vt:i4>
      </vt:variant>
      <vt:variant>
        <vt:lpwstr/>
      </vt:variant>
      <vt:variant>
        <vt:lpwstr>_Toc78213185</vt:lpwstr>
      </vt:variant>
      <vt:variant>
        <vt:i4>1769534</vt:i4>
      </vt:variant>
      <vt:variant>
        <vt:i4>251</vt:i4>
      </vt:variant>
      <vt:variant>
        <vt:i4>0</vt:i4>
      </vt:variant>
      <vt:variant>
        <vt:i4>5</vt:i4>
      </vt:variant>
      <vt:variant>
        <vt:lpwstr/>
      </vt:variant>
      <vt:variant>
        <vt:lpwstr>_Toc78213184</vt:lpwstr>
      </vt:variant>
      <vt:variant>
        <vt:i4>1835070</vt:i4>
      </vt:variant>
      <vt:variant>
        <vt:i4>245</vt:i4>
      </vt:variant>
      <vt:variant>
        <vt:i4>0</vt:i4>
      </vt:variant>
      <vt:variant>
        <vt:i4>5</vt:i4>
      </vt:variant>
      <vt:variant>
        <vt:lpwstr/>
      </vt:variant>
      <vt:variant>
        <vt:lpwstr>_Toc78213183</vt:lpwstr>
      </vt:variant>
      <vt:variant>
        <vt:i4>1900606</vt:i4>
      </vt:variant>
      <vt:variant>
        <vt:i4>239</vt:i4>
      </vt:variant>
      <vt:variant>
        <vt:i4>0</vt:i4>
      </vt:variant>
      <vt:variant>
        <vt:i4>5</vt:i4>
      </vt:variant>
      <vt:variant>
        <vt:lpwstr/>
      </vt:variant>
      <vt:variant>
        <vt:lpwstr>_Toc78213182</vt:lpwstr>
      </vt:variant>
      <vt:variant>
        <vt:i4>1966142</vt:i4>
      </vt:variant>
      <vt:variant>
        <vt:i4>233</vt:i4>
      </vt:variant>
      <vt:variant>
        <vt:i4>0</vt:i4>
      </vt:variant>
      <vt:variant>
        <vt:i4>5</vt:i4>
      </vt:variant>
      <vt:variant>
        <vt:lpwstr/>
      </vt:variant>
      <vt:variant>
        <vt:lpwstr>_Toc78213181</vt:lpwstr>
      </vt:variant>
      <vt:variant>
        <vt:i4>2031678</vt:i4>
      </vt:variant>
      <vt:variant>
        <vt:i4>227</vt:i4>
      </vt:variant>
      <vt:variant>
        <vt:i4>0</vt:i4>
      </vt:variant>
      <vt:variant>
        <vt:i4>5</vt:i4>
      </vt:variant>
      <vt:variant>
        <vt:lpwstr/>
      </vt:variant>
      <vt:variant>
        <vt:lpwstr>_Toc78213180</vt:lpwstr>
      </vt:variant>
      <vt:variant>
        <vt:i4>1441841</vt:i4>
      </vt:variant>
      <vt:variant>
        <vt:i4>221</vt:i4>
      </vt:variant>
      <vt:variant>
        <vt:i4>0</vt:i4>
      </vt:variant>
      <vt:variant>
        <vt:i4>5</vt:i4>
      </vt:variant>
      <vt:variant>
        <vt:lpwstr/>
      </vt:variant>
      <vt:variant>
        <vt:lpwstr>_Toc78213179</vt:lpwstr>
      </vt:variant>
      <vt:variant>
        <vt:i4>1507377</vt:i4>
      </vt:variant>
      <vt:variant>
        <vt:i4>215</vt:i4>
      </vt:variant>
      <vt:variant>
        <vt:i4>0</vt:i4>
      </vt:variant>
      <vt:variant>
        <vt:i4>5</vt:i4>
      </vt:variant>
      <vt:variant>
        <vt:lpwstr/>
      </vt:variant>
      <vt:variant>
        <vt:lpwstr>_Toc78213178</vt:lpwstr>
      </vt:variant>
      <vt:variant>
        <vt:i4>1572913</vt:i4>
      </vt:variant>
      <vt:variant>
        <vt:i4>209</vt:i4>
      </vt:variant>
      <vt:variant>
        <vt:i4>0</vt:i4>
      </vt:variant>
      <vt:variant>
        <vt:i4>5</vt:i4>
      </vt:variant>
      <vt:variant>
        <vt:lpwstr/>
      </vt:variant>
      <vt:variant>
        <vt:lpwstr>_Toc78213177</vt:lpwstr>
      </vt:variant>
      <vt:variant>
        <vt:i4>1638449</vt:i4>
      </vt:variant>
      <vt:variant>
        <vt:i4>203</vt:i4>
      </vt:variant>
      <vt:variant>
        <vt:i4>0</vt:i4>
      </vt:variant>
      <vt:variant>
        <vt:i4>5</vt:i4>
      </vt:variant>
      <vt:variant>
        <vt:lpwstr/>
      </vt:variant>
      <vt:variant>
        <vt:lpwstr>_Toc78213176</vt:lpwstr>
      </vt:variant>
      <vt:variant>
        <vt:i4>1703985</vt:i4>
      </vt:variant>
      <vt:variant>
        <vt:i4>197</vt:i4>
      </vt:variant>
      <vt:variant>
        <vt:i4>0</vt:i4>
      </vt:variant>
      <vt:variant>
        <vt:i4>5</vt:i4>
      </vt:variant>
      <vt:variant>
        <vt:lpwstr/>
      </vt:variant>
      <vt:variant>
        <vt:lpwstr>_Toc78213175</vt:lpwstr>
      </vt:variant>
      <vt:variant>
        <vt:i4>1769521</vt:i4>
      </vt:variant>
      <vt:variant>
        <vt:i4>191</vt:i4>
      </vt:variant>
      <vt:variant>
        <vt:i4>0</vt:i4>
      </vt:variant>
      <vt:variant>
        <vt:i4>5</vt:i4>
      </vt:variant>
      <vt:variant>
        <vt:lpwstr/>
      </vt:variant>
      <vt:variant>
        <vt:lpwstr>_Toc78213174</vt:lpwstr>
      </vt:variant>
      <vt:variant>
        <vt:i4>1835057</vt:i4>
      </vt:variant>
      <vt:variant>
        <vt:i4>185</vt:i4>
      </vt:variant>
      <vt:variant>
        <vt:i4>0</vt:i4>
      </vt:variant>
      <vt:variant>
        <vt:i4>5</vt:i4>
      </vt:variant>
      <vt:variant>
        <vt:lpwstr/>
      </vt:variant>
      <vt:variant>
        <vt:lpwstr>_Toc78213173</vt:lpwstr>
      </vt:variant>
      <vt:variant>
        <vt:i4>1900593</vt:i4>
      </vt:variant>
      <vt:variant>
        <vt:i4>179</vt:i4>
      </vt:variant>
      <vt:variant>
        <vt:i4>0</vt:i4>
      </vt:variant>
      <vt:variant>
        <vt:i4>5</vt:i4>
      </vt:variant>
      <vt:variant>
        <vt:lpwstr/>
      </vt:variant>
      <vt:variant>
        <vt:lpwstr>_Toc78213172</vt:lpwstr>
      </vt:variant>
      <vt:variant>
        <vt:i4>1966129</vt:i4>
      </vt:variant>
      <vt:variant>
        <vt:i4>173</vt:i4>
      </vt:variant>
      <vt:variant>
        <vt:i4>0</vt:i4>
      </vt:variant>
      <vt:variant>
        <vt:i4>5</vt:i4>
      </vt:variant>
      <vt:variant>
        <vt:lpwstr/>
      </vt:variant>
      <vt:variant>
        <vt:lpwstr>_Toc78213171</vt:lpwstr>
      </vt:variant>
      <vt:variant>
        <vt:i4>2031665</vt:i4>
      </vt:variant>
      <vt:variant>
        <vt:i4>167</vt:i4>
      </vt:variant>
      <vt:variant>
        <vt:i4>0</vt:i4>
      </vt:variant>
      <vt:variant>
        <vt:i4>5</vt:i4>
      </vt:variant>
      <vt:variant>
        <vt:lpwstr/>
      </vt:variant>
      <vt:variant>
        <vt:lpwstr>_Toc78213170</vt:lpwstr>
      </vt:variant>
      <vt:variant>
        <vt:i4>1441840</vt:i4>
      </vt:variant>
      <vt:variant>
        <vt:i4>161</vt:i4>
      </vt:variant>
      <vt:variant>
        <vt:i4>0</vt:i4>
      </vt:variant>
      <vt:variant>
        <vt:i4>5</vt:i4>
      </vt:variant>
      <vt:variant>
        <vt:lpwstr/>
      </vt:variant>
      <vt:variant>
        <vt:lpwstr>_Toc78213169</vt:lpwstr>
      </vt:variant>
      <vt:variant>
        <vt:i4>1507376</vt:i4>
      </vt:variant>
      <vt:variant>
        <vt:i4>155</vt:i4>
      </vt:variant>
      <vt:variant>
        <vt:i4>0</vt:i4>
      </vt:variant>
      <vt:variant>
        <vt:i4>5</vt:i4>
      </vt:variant>
      <vt:variant>
        <vt:lpwstr/>
      </vt:variant>
      <vt:variant>
        <vt:lpwstr>_Toc78213168</vt:lpwstr>
      </vt:variant>
      <vt:variant>
        <vt:i4>1572912</vt:i4>
      </vt:variant>
      <vt:variant>
        <vt:i4>149</vt:i4>
      </vt:variant>
      <vt:variant>
        <vt:i4>0</vt:i4>
      </vt:variant>
      <vt:variant>
        <vt:i4>5</vt:i4>
      </vt:variant>
      <vt:variant>
        <vt:lpwstr/>
      </vt:variant>
      <vt:variant>
        <vt:lpwstr>_Toc78213167</vt:lpwstr>
      </vt:variant>
      <vt:variant>
        <vt:i4>1638448</vt:i4>
      </vt:variant>
      <vt:variant>
        <vt:i4>143</vt:i4>
      </vt:variant>
      <vt:variant>
        <vt:i4>0</vt:i4>
      </vt:variant>
      <vt:variant>
        <vt:i4>5</vt:i4>
      </vt:variant>
      <vt:variant>
        <vt:lpwstr/>
      </vt:variant>
      <vt:variant>
        <vt:lpwstr>_Toc78213166</vt:lpwstr>
      </vt:variant>
      <vt:variant>
        <vt:i4>1703984</vt:i4>
      </vt:variant>
      <vt:variant>
        <vt:i4>137</vt:i4>
      </vt:variant>
      <vt:variant>
        <vt:i4>0</vt:i4>
      </vt:variant>
      <vt:variant>
        <vt:i4>5</vt:i4>
      </vt:variant>
      <vt:variant>
        <vt:lpwstr/>
      </vt:variant>
      <vt:variant>
        <vt:lpwstr>_Toc78213165</vt:lpwstr>
      </vt:variant>
      <vt:variant>
        <vt:i4>1769520</vt:i4>
      </vt:variant>
      <vt:variant>
        <vt:i4>131</vt:i4>
      </vt:variant>
      <vt:variant>
        <vt:i4>0</vt:i4>
      </vt:variant>
      <vt:variant>
        <vt:i4>5</vt:i4>
      </vt:variant>
      <vt:variant>
        <vt:lpwstr/>
      </vt:variant>
      <vt:variant>
        <vt:lpwstr>_Toc78213164</vt:lpwstr>
      </vt:variant>
      <vt:variant>
        <vt:i4>1835056</vt:i4>
      </vt:variant>
      <vt:variant>
        <vt:i4>125</vt:i4>
      </vt:variant>
      <vt:variant>
        <vt:i4>0</vt:i4>
      </vt:variant>
      <vt:variant>
        <vt:i4>5</vt:i4>
      </vt:variant>
      <vt:variant>
        <vt:lpwstr/>
      </vt:variant>
      <vt:variant>
        <vt:lpwstr>_Toc78213163</vt:lpwstr>
      </vt:variant>
      <vt:variant>
        <vt:i4>1900592</vt:i4>
      </vt:variant>
      <vt:variant>
        <vt:i4>119</vt:i4>
      </vt:variant>
      <vt:variant>
        <vt:i4>0</vt:i4>
      </vt:variant>
      <vt:variant>
        <vt:i4>5</vt:i4>
      </vt:variant>
      <vt:variant>
        <vt:lpwstr/>
      </vt:variant>
      <vt:variant>
        <vt:lpwstr>_Toc78213162</vt:lpwstr>
      </vt:variant>
      <vt:variant>
        <vt:i4>1966128</vt:i4>
      </vt:variant>
      <vt:variant>
        <vt:i4>113</vt:i4>
      </vt:variant>
      <vt:variant>
        <vt:i4>0</vt:i4>
      </vt:variant>
      <vt:variant>
        <vt:i4>5</vt:i4>
      </vt:variant>
      <vt:variant>
        <vt:lpwstr/>
      </vt:variant>
      <vt:variant>
        <vt:lpwstr>_Toc78213161</vt:lpwstr>
      </vt:variant>
      <vt:variant>
        <vt:i4>2031664</vt:i4>
      </vt:variant>
      <vt:variant>
        <vt:i4>107</vt:i4>
      </vt:variant>
      <vt:variant>
        <vt:i4>0</vt:i4>
      </vt:variant>
      <vt:variant>
        <vt:i4>5</vt:i4>
      </vt:variant>
      <vt:variant>
        <vt:lpwstr/>
      </vt:variant>
      <vt:variant>
        <vt:lpwstr>_Toc78213160</vt:lpwstr>
      </vt:variant>
      <vt:variant>
        <vt:i4>1441843</vt:i4>
      </vt:variant>
      <vt:variant>
        <vt:i4>101</vt:i4>
      </vt:variant>
      <vt:variant>
        <vt:i4>0</vt:i4>
      </vt:variant>
      <vt:variant>
        <vt:i4>5</vt:i4>
      </vt:variant>
      <vt:variant>
        <vt:lpwstr/>
      </vt:variant>
      <vt:variant>
        <vt:lpwstr>_Toc78213159</vt:lpwstr>
      </vt:variant>
      <vt:variant>
        <vt:i4>1507379</vt:i4>
      </vt:variant>
      <vt:variant>
        <vt:i4>95</vt:i4>
      </vt:variant>
      <vt:variant>
        <vt:i4>0</vt:i4>
      </vt:variant>
      <vt:variant>
        <vt:i4>5</vt:i4>
      </vt:variant>
      <vt:variant>
        <vt:lpwstr/>
      </vt:variant>
      <vt:variant>
        <vt:lpwstr>_Toc78213158</vt:lpwstr>
      </vt:variant>
      <vt:variant>
        <vt:i4>1572915</vt:i4>
      </vt:variant>
      <vt:variant>
        <vt:i4>89</vt:i4>
      </vt:variant>
      <vt:variant>
        <vt:i4>0</vt:i4>
      </vt:variant>
      <vt:variant>
        <vt:i4>5</vt:i4>
      </vt:variant>
      <vt:variant>
        <vt:lpwstr/>
      </vt:variant>
      <vt:variant>
        <vt:lpwstr>_Toc78213157</vt:lpwstr>
      </vt:variant>
      <vt:variant>
        <vt:i4>1638451</vt:i4>
      </vt:variant>
      <vt:variant>
        <vt:i4>83</vt:i4>
      </vt:variant>
      <vt:variant>
        <vt:i4>0</vt:i4>
      </vt:variant>
      <vt:variant>
        <vt:i4>5</vt:i4>
      </vt:variant>
      <vt:variant>
        <vt:lpwstr/>
      </vt:variant>
      <vt:variant>
        <vt:lpwstr>_Toc78213156</vt:lpwstr>
      </vt:variant>
      <vt:variant>
        <vt:i4>1703987</vt:i4>
      </vt:variant>
      <vt:variant>
        <vt:i4>77</vt:i4>
      </vt:variant>
      <vt:variant>
        <vt:i4>0</vt:i4>
      </vt:variant>
      <vt:variant>
        <vt:i4>5</vt:i4>
      </vt:variant>
      <vt:variant>
        <vt:lpwstr/>
      </vt:variant>
      <vt:variant>
        <vt:lpwstr>_Toc78213155</vt:lpwstr>
      </vt:variant>
      <vt:variant>
        <vt:i4>1769523</vt:i4>
      </vt:variant>
      <vt:variant>
        <vt:i4>71</vt:i4>
      </vt:variant>
      <vt:variant>
        <vt:i4>0</vt:i4>
      </vt:variant>
      <vt:variant>
        <vt:i4>5</vt:i4>
      </vt:variant>
      <vt:variant>
        <vt:lpwstr/>
      </vt:variant>
      <vt:variant>
        <vt:lpwstr>_Toc78213154</vt:lpwstr>
      </vt:variant>
      <vt:variant>
        <vt:i4>1835059</vt:i4>
      </vt:variant>
      <vt:variant>
        <vt:i4>65</vt:i4>
      </vt:variant>
      <vt:variant>
        <vt:i4>0</vt:i4>
      </vt:variant>
      <vt:variant>
        <vt:i4>5</vt:i4>
      </vt:variant>
      <vt:variant>
        <vt:lpwstr/>
      </vt:variant>
      <vt:variant>
        <vt:lpwstr>_Toc78213153</vt:lpwstr>
      </vt:variant>
      <vt:variant>
        <vt:i4>1900595</vt:i4>
      </vt:variant>
      <vt:variant>
        <vt:i4>59</vt:i4>
      </vt:variant>
      <vt:variant>
        <vt:i4>0</vt:i4>
      </vt:variant>
      <vt:variant>
        <vt:i4>5</vt:i4>
      </vt:variant>
      <vt:variant>
        <vt:lpwstr/>
      </vt:variant>
      <vt:variant>
        <vt:lpwstr>_Toc78213152</vt:lpwstr>
      </vt:variant>
      <vt:variant>
        <vt:i4>1966131</vt:i4>
      </vt:variant>
      <vt:variant>
        <vt:i4>53</vt:i4>
      </vt:variant>
      <vt:variant>
        <vt:i4>0</vt:i4>
      </vt:variant>
      <vt:variant>
        <vt:i4>5</vt:i4>
      </vt:variant>
      <vt:variant>
        <vt:lpwstr/>
      </vt:variant>
      <vt:variant>
        <vt:lpwstr>_Toc78213151</vt:lpwstr>
      </vt:variant>
      <vt:variant>
        <vt:i4>2031667</vt:i4>
      </vt:variant>
      <vt:variant>
        <vt:i4>47</vt:i4>
      </vt:variant>
      <vt:variant>
        <vt:i4>0</vt:i4>
      </vt:variant>
      <vt:variant>
        <vt:i4>5</vt:i4>
      </vt:variant>
      <vt:variant>
        <vt:lpwstr/>
      </vt:variant>
      <vt:variant>
        <vt:lpwstr>_Toc78213150</vt:lpwstr>
      </vt:variant>
      <vt:variant>
        <vt:i4>1441842</vt:i4>
      </vt:variant>
      <vt:variant>
        <vt:i4>41</vt:i4>
      </vt:variant>
      <vt:variant>
        <vt:i4>0</vt:i4>
      </vt:variant>
      <vt:variant>
        <vt:i4>5</vt:i4>
      </vt:variant>
      <vt:variant>
        <vt:lpwstr/>
      </vt:variant>
      <vt:variant>
        <vt:lpwstr>_Toc78213149</vt:lpwstr>
      </vt:variant>
      <vt:variant>
        <vt:i4>1507378</vt:i4>
      </vt:variant>
      <vt:variant>
        <vt:i4>35</vt:i4>
      </vt:variant>
      <vt:variant>
        <vt:i4>0</vt:i4>
      </vt:variant>
      <vt:variant>
        <vt:i4>5</vt:i4>
      </vt:variant>
      <vt:variant>
        <vt:lpwstr/>
      </vt:variant>
      <vt:variant>
        <vt:lpwstr>_Toc78213148</vt:lpwstr>
      </vt:variant>
      <vt:variant>
        <vt:i4>1572914</vt:i4>
      </vt:variant>
      <vt:variant>
        <vt:i4>29</vt:i4>
      </vt:variant>
      <vt:variant>
        <vt:i4>0</vt:i4>
      </vt:variant>
      <vt:variant>
        <vt:i4>5</vt:i4>
      </vt:variant>
      <vt:variant>
        <vt:lpwstr/>
      </vt:variant>
      <vt:variant>
        <vt:lpwstr>_Toc78213147</vt:lpwstr>
      </vt:variant>
      <vt:variant>
        <vt:i4>1638450</vt:i4>
      </vt:variant>
      <vt:variant>
        <vt:i4>23</vt:i4>
      </vt:variant>
      <vt:variant>
        <vt:i4>0</vt:i4>
      </vt:variant>
      <vt:variant>
        <vt:i4>5</vt:i4>
      </vt:variant>
      <vt:variant>
        <vt:lpwstr/>
      </vt:variant>
      <vt:variant>
        <vt:lpwstr>_Toc78213146</vt:lpwstr>
      </vt:variant>
      <vt:variant>
        <vt:i4>1703986</vt:i4>
      </vt:variant>
      <vt:variant>
        <vt:i4>17</vt:i4>
      </vt:variant>
      <vt:variant>
        <vt:i4>0</vt:i4>
      </vt:variant>
      <vt:variant>
        <vt:i4>5</vt:i4>
      </vt:variant>
      <vt:variant>
        <vt:lpwstr/>
      </vt:variant>
      <vt:variant>
        <vt:lpwstr>_Toc78213145</vt:lpwstr>
      </vt:variant>
      <vt:variant>
        <vt:i4>1769522</vt:i4>
      </vt:variant>
      <vt:variant>
        <vt:i4>11</vt:i4>
      </vt:variant>
      <vt:variant>
        <vt:i4>0</vt:i4>
      </vt:variant>
      <vt:variant>
        <vt:i4>5</vt:i4>
      </vt:variant>
      <vt:variant>
        <vt:lpwstr/>
      </vt:variant>
      <vt:variant>
        <vt:lpwstr>_Toc78213144</vt:lpwstr>
      </vt:variant>
      <vt:variant>
        <vt:i4>6226026</vt:i4>
      </vt:variant>
      <vt:variant>
        <vt:i4>6</vt:i4>
      </vt:variant>
      <vt:variant>
        <vt:i4>0</vt:i4>
      </vt:variant>
      <vt:variant>
        <vt:i4>5</vt:i4>
      </vt:variant>
      <vt:variant>
        <vt:lpwstr/>
      </vt:variant>
      <vt:variant>
        <vt:lpwstr>Scher_2016</vt:lpwstr>
      </vt:variant>
      <vt:variant>
        <vt:i4>7798790</vt:i4>
      </vt:variant>
      <vt:variant>
        <vt:i4>3</vt:i4>
      </vt:variant>
      <vt:variant>
        <vt:i4>0</vt:i4>
      </vt:variant>
      <vt:variant>
        <vt:i4>5</vt:i4>
      </vt:variant>
      <vt:variant>
        <vt:lpwstr/>
      </vt:variant>
      <vt:variant>
        <vt:lpwstr>Cheson_2007</vt:lpwstr>
      </vt:variant>
      <vt:variant>
        <vt:i4>6357011</vt:i4>
      </vt:variant>
      <vt:variant>
        <vt:i4>0</vt:i4>
      </vt:variant>
      <vt:variant>
        <vt:i4>0</vt:i4>
      </vt:variant>
      <vt:variant>
        <vt:i4>5</vt:i4>
      </vt:variant>
      <vt:variant>
        <vt:lpwstr/>
      </vt:variant>
      <vt:variant>
        <vt:lpwstr>Eisenhauer_2009</vt:lpwstr>
      </vt:variant>
      <vt:variant>
        <vt:i4>6160511</vt:i4>
      </vt:variant>
      <vt:variant>
        <vt:i4>6</vt:i4>
      </vt:variant>
      <vt:variant>
        <vt:i4>0</vt:i4>
      </vt:variant>
      <vt:variant>
        <vt:i4>5</vt:i4>
      </vt:variant>
      <vt:variant>
        <vt:lpwstr>mailto:kmosher@sierraoncology.com</vt:lpwstr>
      </vt:variant>
      <vt:variant>
        <vt:lpwstr/>
      </vt:variant>
      <vt:variant>
        <vt:i4>6160511</vt:i4>
      </vt:variant>
      <vt:variant>
        <vt:i4>3</vt:i4>
      </vt:variant>
      <vt:variant>
        <vt:i4>0</vt:i4>
      </vt:variant>
      <vt:variant>
        <vt:i4>5</vt:i4>
      </vt:variant>
      <vt:variant>
        <vt:lpwstr>mailto:kmosher@sierraoncology.com</vt:lpwstr>
      </vt:variant>
      <vt:variant>
        <vt:lpwstr/>
      </vt:variant>
      <vt:variant>
        <vt:i4>6160511</vt:i4>
      </vt:variant>
      <vt:variant>
        <vt:i4>0</vt:i4>
      </vt:variant>
      <vt:variant>
        <vt:i4>0</vt:i4>
      </vt:variant>
      <vt:variant>
        <vt:i4>5</vt:i4>
      </vt:variant>
      <vt:variant>
        <vt:lpwstr>mailto:kmosher@sierraoncology.com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Tina Ippolito</dc:creator>
  <cp:keywords/>
  <cp:lastModifiedBy>Andrew Dye</cp:lastModifiedBy>
  <cp:revision>6</cp:revision>
  <cp:lastPrinted>2021-03-06T08:25:00Z</cp:lastPrinted>
  <dcterms:created xsi:type="dcterms:W3CDTF">2021-08-03T19:31:00Z</dcterms:created>
  <dcterms:modified xsi:type="dcterms:W3CDTF">2021-08-17T19:00:00Z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3.0</vt:lpwstr>
  </property>
  <property fmtid="{D5CDD505-2E9C-101B-9397-08002B2CF9AE}" pid="3" name="Document Type">
    <vt:lpwstr>CSR</vt:lpwstr>
  </property>
  <property fmtid="{D5CDD505-2E9C-101B-9397-08002B2CF9AE}" pid="4" name="ContentTypeId">
    <vt:lpwstr>0x01010047C5E31A18A2574190EC642A0403A015</vt:lpwstr>
  </property>
  <property fmtid="{D5CDD505-2E9C-101B-9397-08002B2CF9AE}" pid="5" name="_dlc_DocIdItemGuid">
    <vt:lpwstr>b54d1162-f941-4fff-be0f-5c3b43af385e</vt:lpwstr>
  </property>
  <property fmtid="{D5CDD505-2E9C-101B-9397-08002B2CF9AE}" pid="6" name="Order">
    <vt:r8>956300</vt:r8>
  </property>
  <property fmtid="{D5CDD505-2E9C-101B-9397-08002B2CF9AE}" pid="7" name="xd_Signature">
    <vt:bool>false</vt:bool>
  </property>
  <property fmtid="{D5CDD505-2E9C-101B-9397-08002B2CF9AE}" pid="8" name="xd_ProgID">
    <vt:lpwstr/>
  </property>
  <property fmtid="{D5CDD505-2E9C-101B-9397-08002B2CF9AE}" pid="9" name="TemplateUrl">
    <vt:lpwstr/>
  </property>
  <property fmtid="{D5CDD505-2E9C-101B-9397-08002B2CF9AE}" pid="10" name="ComplianceAssetId">
    <vt:lpwstr/>
  </property>
  <property fmtid="{D5CDD505-2E9C-101B-9397-08002B2CF9AE}" pid="11" name="Mendeley Recent Style Id 0_1">
    <vt:lpwstr>http://www.zotero.org/styles/american-medical-association</vt:lpwstr>
  </property>
  <property fmtid="{D5CDD505-2E9C-101B-9397-08002B2CF9AE}" pid="12" name="Mendeley Recent Style Name 0_1">
    <vt:lpwstr>American Medical Association</vt:lpwstr>
  </property>
  <property fmtid="{D5CDD505-2E9C-101B-9397-08002B2CF9AE}" pid="13" name="Mendeley Recent Style Id 1_1">
    <vt:lpwstr>http://www.zotero.org/styles/american-physiological-society</vt:lpwstr>
  </property>
  <property fmtid="{D5CDD505-2E9C-101B-9397-08002B2CF9AE}" pid="14" name="Mendeley Recent Style Name 1_1">
    <vt:lpwstr>American Physiological Society</vt:lpwstr>
  </property>
  <property fmtid="{D5CDD505-2E9C-101B-9397-08002B2CF9AE}" pid="15" name="Mendeley Recent Style Id 2_1">
    <vt:lpwstr>http://www.zotero.org/styles/apa</vt:lpwstr>
  </property>
  <property fmtid="{D5CDD505-2E9C-101B-9397-08002B2CF9AE}" pid="16" name="Mendeley Recent Style Name 2_1">
    <vt:lpwstr>American Psychological Association 6th edition</vt:lpwstr>
  </property>
  <property fmtid="{D5CDD505-2E9C-101B-9397-08002B2CF9AE}" pid="17" name="Mendeley Recent Style Id 3_1">
    <vt:lpwstr>http://www.zotero.org/styles/american-sociological-association</vt:lpwstr>
  </property>
  <property fmtid="{D5CDD505-2E9C-101B-9397-08002B2CF9AE}" pid="18" name="Mendeley Recent Style Name 3_1">
    <vt:lpwstr>American Sociological Association</vt:lpwstr>
  </property>
  <property fmtid="{D5CDD505-2E9C-101B-9397-08002B2CF9AE}" pid="19" name="Mendeley Recent Style Id 4_1">
    <vt:lpwstr>http://www.zotero.org/styles/chicago-author-date</vt:lpwstr>
  </property>
  <property fmtid="{D5CDD505-2E9C-101B-9397-08002B2CF9AE}" pid="20" name="Mendeley Recent Style Name 4_1">
    <vt:lpwstr>Chicago Manual of Style 17th edition (author-date)</vt:lpwstr>
  </property>
  <property fmtid="{D5CDD505-2E9C-101B-9397-08002B2CF9AE}" pid="21" name="Mendeley Recent Style Id 5_1">
    <vt:lpwstr>http://www.zotero.org/styles/chicago-fullnote-bibliography</vt:lpwstr>
  </property>
  <property fmtid="{D5CDD505-2E9C-101B-9397-08002B2CF9AE}" pid="22" name="Mendeley Recent Style Name 5_1">
    <vt:lpwstr>Chicago Manual of Style 17th edition (full note)</vt:lpwstr>
  </property>
  <property fmtid="{D5CDD505-2E9C-101B-9397-08002B2CF9AE}" pid="23" name="Mendeley Recent Style Id 6_1">
    <vt:lpwstr>http://www.zotero.org/styles/future-oncology</vt:lpwstr>
  </property>
  <property fmtid="{D5CDD505-2E9C-101B-9397-08002B2CF9AE}" pid="24" name="Mendeley Recent Style Name 6_1">
    <vt:lpwstr>Future Oncology</vt:lpwstr>
  </property>
  <property fmtid="{D5CDD505-2E9C-101B-9397-08002B2CF9AE}" pid="25" name="Mendeley Recent Style Id 7_1">
    <vt:lpwstr>http://www.zotero.org/styles/ieee</vt:lpwstr>
  </property>
  <property fmtid="{D5CDD505-2E9C-101B-9397-08002B2CF9AE}" pid="26" name="Mendeley Recent Style Name 7_1">
    <vt:lpwstr>IEEE</vt:lpwstr>
  </property>
  <property fmtid="{D5CDD505-2E9C-101B-9397-08002B2CF9AE}" pid="27" name="Mendeley Recent Style Id 8_1">
    <vt:lpwstr>http://www.zotero.org/styles/nature</vt:lpwstr>
  </property>
  <property fmtid="{D5CDD505-2E9C-101B-9397-08002B2CF9AE}" pid="28" name="Mendeley Recent Style Name 8_1">
    <vt:lpwstr>Nature</vt:lpwstr>
  </property>
  <property fmtid="{D5CDD505-2E9C-101B-9397-08002B2CF9AE}" pid="29" name="Mendeley Recent Style Id 9_1">
    <vt:lpwstr>http://csl.mendeley.com/styles/500193281/SierraO</vt:lpwstr>
  </property>
  <property fmtid="{D5CDD505-2E9C-101B-9397-08002B2CF9AE}" pid="30" name="Mendeley Recent Style Name 9_1">
    <vt:lpwstr>Sierra Oncology -  Andrew Dye</vt:lpwstr>
  </property>
  <property fmtid="{D5CDD505-2E9C-101B-9397-08002B2CF9AE}" pid="31" name="Table and figure numbering style">
    <vt:lpwstr>Document</vt:lpwstr>
  </property>
</Properties>
</file>