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460CED">
        <w:rPr>
          <w:rFonts w:ascii="Times New Roman" w:eastAsia="MS Mincho" w:hAnsi="Times New Roman" w:cs="Times New Roman"/>
          <w:sz w:val="24"/>
          <w:szCs w:val="24"/>
          <w:lang w:val="en-GB" w:eastAsia="el-GR"/>
        </w:rPr>
        <w:t>Zoledronic Acid to Maintain Bone Mass After Denosumab Discontinuation (</w:t>
      </w:r>
      <w:proofErr w:type="spellStart"/>
      <w:r w:rsidRPr="00460CED">
        <w:rPr>
          <w:rFonts w:ascii="Times New Roman" w:eastAsia="MS Mincho" w:hAnsi="Times New Roman" w:cs="Times New Roman"/>
          <w:sz w:val="24"/>
          <w:szCs w:val="24"/>
          <w:lang w:val="en-GB" w:eastAsia="el-GR"/>
        </w:rPr>
        <w:t>AfterDmab</w:t>
      </w:r>
      <w:proofErr w:type="spellEnd"/>
      <w:r w:rsidRPr="00460CED">
        <w:rPr>
          <w:rFonts w:ascii="Times New Roman" w:eastAsia="MS Mincho" w:hAnsi="Times New Roman" w:cs="Times New Roman"/>
          <w:sz w:val="24"/>
          <w:szCs w:val="24"/>
          <w:lang w:val="en-GB" w:eastAsia="el-GR"/>
        </w:rPr>
        <w:t xml:space="preserve">)” is a 2-year parallel assignment, open label, </w:t>
      </w:r>
      <w:proofErr w:type="spellStart"/>
      <w:r w:rsidRPr="00460CED">
        <w:rPr>
          <w:rFonts w:ascii="Times New Roman" w:eastAsia="MS Mincho" w:hAnsi="Times New Roman" w:cs="Times New Roman"/>
          <w:sz w:val="24"/>
          <w:szCs w:val="24"/>
          <w:lang w:val="en-GB" w:eastAsia="el-GR"/>
        </w:rPr>
        <w:t>multicenter</w:t>
      </w:r>
      <w:proofErr w:type="spellEnd"/>
      <w:r w:rsidRPr="00460CED">
        <w:rPr>
          <w:rFonts w:ascii="Times New Roman" w:eastAsia="MS Mincho" w:hAnsi="Times New Roman" w:cs="Times New Roman"/>
          <w:sz w:val="24"/>
          <w:szCs w:val="24"/>
          <w:lang w:val="en-GB" w:eastAsia="el-GR"/>
        </w:rPr>
        <w:t xml:space="preserve">, randomized, efficacy study (NCT02499237). Treatment-naïve ambulatory women, ≥50 years old, with postmenopausal osteoporosis who were treated with 6-monthly injections of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and</w:t>
      </w:r>
      <w:r>
        <w:rPr>
          <w:rFonts w:ascii="Times New Roman" w:eastAsia="MS Mincho" w:hAnsi="Times New Roman" w:cs="Times New Roman"/>
          <w:sz w:val="24"/>
          <w:szCs w:val="24"/>
          <w:lang w:val="en-GB" w:eastAsia="el-GR"/>
        </w:rPr>
        <w:t xml:space="preserve"> achieved </w:t>
      </w:r>
      <w:r w:rsidRPr="00460CED">
        <w:rPr>
          <w:rFonts w:ascii="Times New Roman" w:eastAsia="MS Mincho" w:hAnsi="Times New Roman" w:cs="Times New Roman"/>
          <w:sz w:val="24"/>
          <w:szCs w:val="24"/>
          <w:lang w:val="en-GB" w:eastAsia="el-GR"/>
        </w:rPr>
        <w:t xml:space="preserve">non-osteoporotic BMD T-scores (&gt;-2.5 and ≤-1) at the hip or the spine were randomized (1:1) to receive a single iv infusion of ZOL 5 mg (given 6 months after the last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injection with a 3-week window) or to continue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and receive two additional 6-monthly injections. Following either the ZOL infusion or the last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injection, all women received no treatment and were followed until 2 years from randomization. All women were also given vitamin D (cholecalciferol 800 IU/d) and calcium carbonate (500 mg </w:t>
      </w:r>
      <w:proofErr w:type="spellStart"/>
      <w:r w:rsidRPr="00460CED">
        <w:rPr>
          <w:rFonts w:ascii="Times New Roman" w:eastAsia="MS Mincho" w:hAnsi="Times New Roman" w:cs="Times New Roman"/>
          <w:sz w:val="24"/>
          <w:szCs w:val="24"/>
          <w:lang w:val="en-GB" w:eastAsia="el-GR"/>
        </w:rPr>
        <w:t>b.i.d</w:t>
      </w:r>
      <w:proofErr w:type="spellEnd"/>
      <w:r w:rsidRPr="00460CED">
        <w:rPr>
          <w:rFonts w:ascii="Times New Roman" w:eastAsia="MS Mincho" w:hAnsi="Times New Roman" w:cs="Times New Roman"/>
          <w:sz w:val="24"/>
          <w:szCs w:val="24"/>
          <w:lang w:val="en-GB" w:eastAsia="el-GR"/>
        </w:rPr>
        <w:t>) supplements. Use of other medications affecting bone metabolism during the last 3 years, a bone disease other than postmenopausal osteoporosis, creatinine clearance &lt;60 ml/min/1.73m</w:t>
      </w:r>
      <w:r w:rsidRPr="002249B3">
        <w:rPr>
          <w:rFonts w:ascii="Times New Roman" w:eastAsia="MS Mincho" w:hAnsi="Times New Roman" w:cs="Times New Roman"/>
          <w:sz w:val="24"/>
          <w:szCs w:val="24"/>
          <w:vertAlign w:val="superscript"/>
          <w:lang w:val="en-GB" w:eastAsia="el-GR"/>
        </w:rPr>
        <w:t>2</w:t>
      </w:r>
      <w:r w:rsidRPr="00460CED">
        <w:rPr>
          <w:rFonts w:ascii="Times New Roman" w:eastAsia="MS Mincho" w:hAnsi="Times New Roman" w:cs="Times New Roman"/>
          <w:sz w:val="24"/>
          <w:szCs w:val="24"/>
          <w:lang w:val="en-GB" w:eastAsia="el-GR"/>
        </w:rPr>
        <w:t xml:space="preserve"> and serum 25-</w:t>
      </w:r>
      <w:r>
        <w:rPr>
          <w:rFonts w:ascii="Times New Roman" w:eastAsia="MS Mincho" w:hAnsi="Times New Roman" w:cs="Times New Roman"/>
          <w:sz w:val="24"/>
          <w:szCs w:val="24"/>
          <w:lang w:val="en-GB" w:eastAsia="el-GR"/>
        </w:rPr>
        <w:t>hydroxy vitamin D (25-OHD) concentrations</w:t>
      </w:r>
      <w:r w:rsidRPr="00460CED">
        <w:rPr>
          <w:rFonts w:ascii="Times New Roman" w:eastAsia="MS Mincho" w:hAnsi="Times New Roman" w:cs="Times New Roman"/>
          <w:sz w:val="24"/>
          <w:szCs w:val="24"/>
          <w:lang w:val="en-GB" w:eastAsia="el-GR"/>
        </w:rPr>
        <w:t xml:space="preserve"> lower than 20 ng/ml </w:t>
      </w:r>
      <w:r>
        <w:rPr>
          <w:rFonts w:ascii="Times New Roman" w:eastAsia="MS Mincho" w:hAnsi="Times New Roman" w:cs="Times New Roman"/>
          <w:sz w:val="24"/>
          <w:szCs w:val="24"/>
          <w:lang w:val="en-GB" w:eastAsia="el-GR"/>
        </w:rPr>
        <w:t xml:space="preserve">(50 nmol/l) </w:t>
      </w:r>
      <w:r w:rsidRPr="00460CED">
        <w:rPr>
          <w:rFonts w:ascii="Times New Roman" w:eastAsia="MS Mincho" w:hAnsi="Times New Roman" w:cs="Times New Roman"/>
          <w:sz w:val="24"/>
          <w:szCs w:val="24"/>
          <w:lang w:val="en-GB" w:eastAsia="el-GR"/>
        </w:rPr>
        <w:t>were the main exclusion criteria; additional exclusion criteria were any type of cancer, uncontrolled endocrine diseases and liver failure.</w:t>
      </w:r>
      <w:r>
        <w:rPr>
          <w:rFonts w:ascii="Times New Roman" w:eastAsia="MS Mincho" w:hAnsi="Times New Roman" w:cs="Times New Roman"/>
          <w:sz w:val="24"/>
          <w:szCs w:val="24"/>
          <w:lang w:val="en-GB" w:eastAsia="el-GR"/>
        </w:rPr>
        <w:t xml:space="preserve"> </w:t>
      </w:r>
      <w:r w:rsidRPr="00460CED">
        <w:rPr>
          <w:rFonts w:ascii="Times New Roman" w:eastAsia="MS Mincho" w:hAnsi="Times New Roman" w:cs="Times New Roman"/>
          <w:sz w:val="24"/>
          <w:szCs w:val="24"/>
          <w:lang w:val="en-GB" w:eastAsia="el-GR"/>
        </w:rPr>
        <w:t>Patients were seen in the clinic at baseline and at 6, 12, 15, 18 and 24 months. During these visits pre</w:t>
      </w:r>
      <w:r>
        <w:rPr>
          <w:rFonts w:ascii="Times New Roman" w:eastAsia="MS Mincho" w:hAnsi="Times New Roman" w:cs="Times New Roman"/>
          <w:sz w:val="24"/>
          <w:szCs w:val="24"/>
          <w:lang w:val="en-GB" w:eastAsia="el-GR"/>
        </w:rPr>
        <w:t>-</w:t>
      </w:r>
      <w:r w:rsidRPr="00460CED">
        <w:rPr>
          <w:rFonts w:ascii="Times New Roman" w:eastAsia="MS Mincho" w:hAnsi="Times New Roman" w:cs="Times New Roman"/>
          <w:sz w:val="24"/>
          <w:szCs w:val="24"/>
          <w:lang w:val="en-GB" w:eastAsia="el-GR"/>
        </w:rPr>
        <w:t xml:space="preserve">dose, fasting morning blood samples for the measurement of bone turnover markers (BTMs) were obtained and stored at -30°.  The design of the study allows for the first time the </w:t>
      </w:r>
      <w:r>
        <w:rPr>
          <w:rFonts w:ascii="Times New Roman" w:eastAsia="MS Mincho" w:hAnsi="Times New Roman" w:cs="Times New Roman"/>
          <w:sz w:val="24"/>
          <w:szCs w:val="24"/>
          <w:lang w:val="en-GB" w:eastAsia="el-GR"/>
        </w:rPr>
        <w:t xml:space="preserve">prospective </w:t>
      </w:r>
      <w:r w:rsidRPr="00460CED">
        <w:rPr>
          <w:rFonts w:ascii="Times New Roman" w:eastAsia="MS Mincho" w:hAnsi="Times New Roman" w:cs="Times New Roman"/>
          <w:sz w:val="24"/>
          <w:szCs w:val="24"/>
          <w:lang w:val="en-GB" w:eastAsia="el-GR"/>
        </w:rPr>
        <w:t>evaluation of the following</w:t>
      </w:r>
      <w:r>
        <w:rPr>
          <w:rFonts w:ascii="Times New Roman" w:eastAsia="MS Mincho" w:hAnsi="Times New Roman" w:cs="Times New Roman"/>
          <w:sz w:val="24"/>
          <w:szCs w:val="24"/>
          <w:lang w:val="en-GB" w:eastAsia="el-GR"/>
        </w:rPr>
        <w:t xml:space="preserve"> </w:t>
      </w:r>
      <w:r w:rsidRPr="00460CED">
        <w:rPr>
          <w:rFonts w:ascii="Times New Roman" w:eastAsia="MS Mincho" w:hAnsi="Times New Roman" w:cs="Times New Roman"/>
          <w:sz w:val="24"/>
          <w:szCs w:val="24"/>
          <w:lang w:val="en-GB" w:eastAsia="el-GR"/>
        </w:rPr>
        <w:t xml:space="preserve">endpoints: firstly, the effect of a single ZOL infusion, given 6 months after the last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injection, on BMD and BTMs in the following 2 years; secondly, the direct comparison of ZOL with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treatment over 12 months in patients previously treated with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thirdly, the comparison of the long-term changes of BMD and BMTs following the single ZOL infusion (24 months) or the last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injection (18 months); finally, the assessment of the </w:t>
      </w:r>
      <w:r>
        <w:rPr>
          <w:rFonts w:ascii="Times New Roman" w:eastAsia="MS Mincho" w:hAnsi="Times New Roman" w:cs="Times New Roman"/>
          <w:sz w:val="24"/>
          <w:szCs w:val="24"/>
          <w:lang w:val="en-GB" w:eastAsia="el-GR"/>
        </w:rPr>
        <w:t>incidence of</w:t>
      </w:r>
      <w:r w:rsidRPr="00460CED">
        <w:rPr>
          <w:rFonts w:ascii="Times New Roman" w:eastAsia="MS Mincho" w:hAnsi="Times New Roman" w:cs="Times New Roman"/>
          <w:sz w:val="24"/>
          <w:szCs w:val="24"/>
          <w:lang w:val="en-GB" w:eastAsia="el-GR"/>
        </w:rPr>
        <w:t xml:space="preserve"> multiple vertebral fractures following the discontinuation of </w:t>
      </w:r>
      <w:proofErr w:type="spellStart"/>
      <w:r w:rsidRPr="00460CED">
        <w:rPr>
          <w:rFonts w:ascii="Times New Roman" w:eastAsia="MS Mincho" w:hAnsi="Times New Roman" w:cs="Times New Roman"/>
          <w:sz w:val="24"/>
          <w:szCs w:val="24"/>
          <w:lang w:val="en-GB" w:eastAsia="el-GR"/>
        </w:rPr>
        <w:t>Dmab</w:t>
      </w:r>
      <w:proofErr w:type="spellEnd"/>
      <w:r w:rsidRPr="00460CED">
        <w:rPr>
          <w:rFonts w:ascii="Times New Roman" w:eastAsia="MS Mincho" w:hAnsi="Times New Roman" w:cs="Times New Roman"/>
          <w:sz w:val="24"/>
          <w:szCs w:val="24"/>
          <w:lang w:val="en-GB" w:eastAsia="el-GR"/>
        </w:rPr>
        <w:t xml:space="preserve">, among patients never treated with any other </w:t>
      </w:r>
      <w:r w:rsidRPr="00460CED">
        <w:rPr>
          <w:rFonts w:ascii="Times New Roman" w:eastAsia="MS Mincho" w:hAnsi="Times New Roman" w:cs="Times New Roman"/>
          <w:sz w:val="24"/>
          <w:szCs w:val="24"/>
          <w:lang w:val="en-GB" w:eastAsia="el-GR"/>
        </w:rPr>
        <w:lastRenderedPageBreak/>
        <w:t>osteoporosis medication. The study was approved by the local Medical Ethical Committees, and all patients provided written informed consent.</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p>
    <w:p w:rsidR="00E66E06" w:rsidRDefault="00E66E06" w:rsidP="00E66E06">
      <w:pPr>
        <w:spacing w:after="0" w:line="480" w:lineRule="auto"/>
        <w:jc w:val="both"/>
        <w:rPr>
          <w:rFonts w:ascii="Times New Roman" w:eastAsia="MS Mincho" w:hAnsi="Times New Roman" w:cs="Times New Roman"/>
          <w:i/>
          <w:sz w:val="24"/>
          <w:szCs w:val="24"/>
          <w:lang w:val="en-GB" w:eastAsia="el-GR"/>
        </w:rPr>
      </w:pPr>
      <w:r w:rsidRPr="00D74F67">
        <w:rPr>
          <w:rFonts w:ascii="Times New Roman" w:eastAsia="MS Mincho" w:hAnsi="Times New Roman" w:cs="Times New Roman"/>
          <w:i/>
          <w:sz w:val="24"/>
          <w:szCs w:val="24"/>
          <w:lang w:val="en-GB" w:eastAsia="el-GR"/>
        </w:rPr>
        <w:t>Methods</w:t>
      </w:r>
    </w:p>
    <w:p w:rsidR="00E66E06" w:rsidRPr="002E5F65" w:rsidRDefault="00E66E06" w:rsidP="00E66E06">
      <w:pPr>
        <w:spacing w:after="0" w:line="480" w:lineRule="auto"/>
        <w:jc w:val="both"/>
        <w:rPr>
          <w:rFonts w:ascii="Times New Roman" w:eastAsia="MS Mincho" w:hAnsi="Times New Roman" w:cs="Times New Roman"/>
          <w:i/>
          <w:sz w:val="24"/>
          <w:szCs w:val="24"/>
          <w:lang w:val="en-GB" w:eastAsia="el-GR"/>
        </w:rPr>
      </w:pPr>
      <w:r w:rsidRPr="00460CED">
        <w:rPr>
          <w:rFonts w:ascii="Times New Roman" w:eastAsia="MS Mincho" w:hAnsi="Times New Roman" w:cs="Times New Roman"/>
          <w:sz w:val="24"/>
          <w:szCs w:val="24"/>
          <w:lang w:val="en-GB" w:eastAsia="el-GR"/>
        </w:rPr>
        <w:t>Areal BMD of the Lumbar Spine (LS; L1-L4) and Femoral Neck (FN) of the non-dominant hip were measured at baseline, 12 and 24 months by dual energy X-ray absorptiometry (DXA) (Lunar Corporation, Madison, WI, USA) and changes were calculated. We considered least significant changes (LSC) ≥ 5% at the spine and ≥</w:t>
      </w:r>
      <w:r>
        <w:rPr>
          <w:rFonts w:ascii="Times New Roman" w:eastAsia="MS Mincho" w:hAnsi="Times New Roman" w:cs="Times New Roman"/>
          <w:sz w:val="24"/>
          <w:szCs w:val="24"/>
          <w:lang w:val="en-GB" w:eastAsia="el-GR"/>
        </w:rPr>
        <w:t xml:space="preserve"> </w:t>
      </w:r>
      <w:r w:rsidRPr="00460CED">
        <w:rPr>
          <w:rFonts w:ascii="Times New Roman" w:eastAsia="MS Mincho" w:hAnsi="Times New Roman" w:cs="Times New Roman"/>
          <w:sz w:val="24"/>
          <w:szCs w:val="24"/>
          <w:lang w:val="en-GB" w:eastAsia="el-GR"/>
        </w:rPr>
        <w:t xml:space="preserve">4% at the </w:t>
      </w:r>
      <w:r>
        <w:rPr>
          <w:rFonts w:ascii="Times New Roman" w:eastAsia="MS Mincho" w:hAnsi="Times New Roman" w:cs="Times New Roman"/>
          <w:sz w:val="24"/>
          <w:szCs w:val="24"/>
          <w:lang w:val="en-GB" w:eastAsia="el-GR"/>
        </w:rPr>
        <w:t>FN</w:t>
      </w:r>
      <w:r w:rsidRPr="00460CED">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as</w:t>
      </w:r>
      <w:r w:rsidRPr="00460CED">
        <w:rPr>
          <w:rFonts w:ascii="Times New Roman" w:eastAsia="MS Mincho" w:hAnsi="Times New Roman" w:cs="Times New Roman"/>
          <w:sz w:val="24"/>
          <w:szCs w:val="24"/>
          <w:lang w:val="en-GB" w:eastAsia="el-GR"/>
        </w:rPr>
        <w:t xml:space="preserve"> proposed by the International Foundation for Osteoporosis and the National Osteoporosis Foundation USA and applied in studies of discontinuation of bisphosphonate </w:t>
      </w:r>
      <w:r>
        <w:rPr>
          <w:rFonts w:ascii="Times New Roman" w:eastAsia="MS Mincho" w:hAnsi="Times New Roman" w:cs="Times New Roman"/>
          <w:sz w:val="24"/>
          <w:szCs w:val="24"/>
          <w:lang w:val="en-GB" w:eastAsia="el-GR"/>
        </w:rPr>
        <w:t>therapy.</w:t>
      </w:r>
      <w:r w:rsidRPr="00460CED">
        <w:rPr>
          <w:rFonts w:ascii="Times New Roman" w:eastAsia="MS Mincho" w:hAnsi="Times New Roman" w:cs="Times New Roman"/>
          <w:sz w:val="24"/>
          <w:szCs w:val="24"/>
          <w:lang w:val="en-GB" w:eastAsia="el-GR"/>
        </w:rPr>
        <w:t xml:space="preserve">  Lateral radiographs of the spine were </w:t>
      </w:r>
      <w:r>
        <w:rPr>
          <w:rFonts w:ascii="Times New Roman" w:eastAsia="MS Mincho" w:hAnsi="Times New Roman" w:cs="Times New Roman"/>
          <w:sz w:val="24"/>
          <w:szCs w:val="24"/>
          <w:lang w:val="en-GB" w:eastAsia="el-GR"/>
        </w:rPr>
        <w:t xml:space="preserve">also </w:t>
      </w:r>
      <w:r w:rsidRPr="00460CED">
        <w:rPr>
          <w:rFonts w:ascii="Times New Roman" w:eastAsia="MS Mincho" w:hAnsi="Times New Roman" w:cs="Times New Roman"/>
          <w:sz w:val="24"/>
          <w:szCs w:val="24"/>
          <w:lang w:val="en-GB" w:eastAsia="el-GR"/>
        </w:rPr>
        <w:t xml:space="preserve">performed </w:t>
      </w:r>
      <w:r>
        <w:rPr>
          <w:rFonts w:ascii="Times New Roman" w:eastAsia="MS Mincho" w:hAnsi="Times New Roman" w:cs="Times New Roman"/>
          <w:sz w:val="24"/>
          <w:szCs w:val="24"/>
          <w:lang w:val="en-GB" w:eastAsia="el-GR"/>
        </w:rPr>
        <w:t>annually</w:t>
      </w:r>
      <w:r w:rsidRPr="00460CED">
        <w:rPr>
          <w:rFonts w:ascii="Times New Roman" w:eastAsia="MS Mincho" w:hAnsi="Times New Roman" w:cs="Times New Roman"/>
          <w:sz w:val="24"/>
          <w:szCs w:val="24"/>
          <w:lang w:val="en-GB" w:eastAsia="el-GR"/>
        </w:rPr>
        <w:t xml:space="preserve">. All radiographs were examined by a skeletal radiologist who had no knowledge of the patients’ treatment assignment. New vertebral fractures were considered those with grade 2 or greater deformity using the </w:t>
      </w:r>
      <w:proofErr w:type="spellStart"/>
      <w:r w:rsidRPr="00460CED">
        <w:rPr>
          <w:rFonts w:ascii="Times New Roman" w:eastAsia="MS Mincho" w:hAnsi="Times New Roman" w:cs="Times New Roman"/>
          <w:sz w:val="24"/>
          <w:szCs w:val="24"/>
          <w:lang w:val="en-GB" w:eastAsia="el-GR"/>
        </w:rPr>
        <w:t>Genant</w:t>
      </w:r>
      <w:proofErr w:type="spellEnd"/>
      <w:r w:rsidRPr="00460CED">
        <w:rPr>
          <w:rFonts w:ascii="Times New Roman" w:eastAsia="MS Mincho" w:hAnsi="Times New Roman" w:cs="Times New Roman"/>
          <w:sz w:val="24"/>
          <w:szCs w:val="24"/>
          <w:lang w:val="en-GB" w:eastAsia="el-GR"/>
        </w:rPr>
        <w:t xml:space="preserve"> semiquantitative method. A worsening of a vertebral fracture was defined as an increase of</w:t>
      </w:r>
      <w:r>
        <w:rPr>
          <w:rFonts w:ascii="Times New Roman" w:eastAsia="MS Mincho" w:hAnsi="Times New Roman" w:cs="Times New Roman"/>
          <w:sz w:val="24"/>
          <w:szCs w:val="24"/>
          <w:lang w:val="en-GB" w:eastAsia="el-GR"/>
        </w:rPr>
        <w:t xml:space="preserve"> </w:t>
      </w:r>
      <w:r w:rsidRPr="00460CED">
        <w:rPr>
          <w:rFonts w:ascii="Times New Roman" w:eastAsia="MS Mincho" w:hAnsi="Times New Roman" w:cs="Times New Roman"/>
          <w:sz w:val="24"/>
          <w:szCs w:val="24"/>
          <w:lang w:val="en-GB" w:eastAsia="el-GR"/>
        </w:rPr>
        <w:t xml:space="preserve">≥ 1 grade from baseline. Procollagen type 1 N-terminal </w:t>
      </w:r>
      <w:proofErr w:type="spellStart"/>
      <w:r w:rsidRPr="00460CED">
        <w:rPr>
          <w:rFonts w:ascii="Times New Roman" w:eastAsia="MS Mincho" w:hAnsi="Times New Roman" w:cs="Times New Roman"/>
          <w:sz w:val="24"/>
          <w:szCs w:val="24"/>
          <w:lang w:val="en-GB" w:eastAsia="el-GR"/>
        </w:rPr>
        <w:t>propeptide</w:t>
      </w:r>
      <w:proofErr w:type="spellEnd"/>
      <w:r w:rsidRPr="00460CED">
        <w:rPr>
          <w:rFonts w:ascii="Times New Roman" w:eastAsia="MS Mincho" w:hAnsi="Times New Roman" w:cs="Times New Roman"/>
          <w:sz w:val="24"/>
          <w:szCs w:val="24"/>
          <w:lang w:val="en-GB" w:eastAsia="el-GR"/>
        </w:rPr>
        <w:t xml:space="preserve"> (P1NP), and C-terminal telopeptide of type 1 collagen (CTX) were measured in stored serum samples after the end of the study and samples of individual patients were assayed in the same run. Serum P1NP and CTX were measured by electrochemiluminescence immunoassays “ECLIA” on </w:t>
      </w:r>
      <w:proofErr w:type="spellStart"/>
      <w:r w:rsidRPr="00460CED">
        <w:rPr>
          <w:rFonts w:ascii="Times New Roman" w:eastAsia="MS Mincho" w:hAnsi="Times New Roman" w:cs="Times New Roman"/>
          <w:sz w:val="24"/>
          <w:szCs w:val="24"/>
          <w:lang w:val="en-GB" w:eastAsia="el-GR"/>
        </w:rPr>
        <w:t>cobase</w:t>
      </w:r>
      <w:proofErr w:type="spellEnd"/>
      <w:r w:rsidRPr="00460CED">
        <w:rPr>
          <w:rFonts w:ascii="Times New Roman" w:eastAsia="MS Mincho" w:hAnsi="Times New Roman" w:cs="Times New Roman"/>
          <w:sz w:val="24"/>
          <w:szCs w:val="24"/>
          <w:lang w:val="en-GB" w:eastAsia="el-GR"/>
        </w:rPr>
        <w:t xml:space="preserve"> 411 </w:t>
      </w:r>
      <w:proofErr w:type="spellStart"/>
      <w:r w:rsidRPr="00460CED">
        <w:rPr>
          <w:rFonts w:ascii="Times New Roman" w:eastAsia="MS Mincho" w:hAnsi="Times New Roman" w:cs="Times New Roman"/>
          <w:sz w:val="24"/>
          <w:szCs w:val="24"/>
          <w:lang w:val="en-GB" w:eastAsia="el-GR"/>
        </w:rPr>
        <w:t>analyzer</w:t>
      </w:r>
      <w:proofErr w:type="spellEnd"/>
      <w:r w:rsidRPr="00460CED">
        <w:rPr>
          <w:rFonts w:ascii="Times New Roman" w:eastAsia="MS Mincho" w:hAnsi="Times New Roman" w:cs="Times New Roman"/>
          <w:sz w:val="24"/>
          <w:szCs w:val="24"/>
          <w:lang w:val="en-GB" w:eastAsia="el-GR"/>
        </w:rPr>
        <w:t xml:space="preserve"> (Roche Diagnostics, Mannheim, Germany; P1NP intra-assay CV ≤ 2.3%, inter-assay CV ≤ 3.0%;</w:t>
      </w:r>
      <w:r>
        <w:rPr>
          <w:rFonts w:ascii="Times New Roman" w:eastAsia="MS Mincho" w:hAnsi="Times New Roman" w:cs="Times New Roman"/>
          <w:sz w:val="24"/>
          <w:szCs w:val="24"/>
          <w:lang w:val="en-GB" w:eastAsia="el-GR"/>
        </w:rPr>
        <w:t xml:space="preserve"> </w:t>
      </w:r>
      <w:r w:rsidRPr="00460CED">
        <w:rPr>
          <w:rFonts w:ascii="Times New Roman" w:eastAsia="MS Mincho" w:hAnsi="Times New Roman" w:cs="Times New Roman"/>
          <w:sz w:val="24"/>
          <w:szCs w:val="24"/>
          <w:lang w:val="en-GB" w:eastAsia="el-GR"/>
        </w:rPr>
        <w:t xml:space="preserve">CTX intra-assay CV ≤ 2.5%, inter-assay CV ≤ 4.6%; upper limit of </w:t>
      </w:r>
      <w:r>
        <w:rPr>
          <w:rFonts w:ascii="Times New Roman" w:eastAsia="MS Mincho" w:hAnsi="Times New Roman" w:cs="Times New Roman"/>
          <w:sz w:val="24"/>
          <w:szCs w:val="24"/>
          <w:lang w:val="en-GB" w:eastAsia="el-GR"/>
        </w:rPr>
        <w:t>normal</w:t>
      </w:r>
      <w:r w:rsidRPr="00460CED">
        <w:rPr>
          <w:rFonts w:ascii="Times New Roman" w:eastAsia="MS Mincho" w:hAnsi="Times New Roman" w:cs="Times New Roman"/>
          <w:sz w:val="24"/>
          <w:szCs w:val="24"/>
          <w:lang w:val="en-GB" w:eastAsia="el-GR"/>
        </w:rPr>
        <w:t xml:space="preserve"> range</w:t>
      </w:r>
      <w:r>
        <w:rPr>
          <w:rFonts w:ascii="Times New Roman" w:eastAsia="MS Mincho" w:hAnsi="Times New Roman" w:cs="Times New Roman"/>
          <w:sz w:val="24"/>
          <w:szCs w:val="24"/>
          <w:lang w:val="en-GB" w:eastAsia="el-GR"/>
        </w:rPr>
        <w:t xml:space="preserve"> for postmenopausal women,</w:t>
      </w:r>
      <w:r w:rsidRPr="00460CED">
        <w:rPr>
          <w:rFonts w:ascii="Times New Roman" w:eastAsia="MS Mincho" w:hAnsi="Times New Roman" w:cs="Times New Roman"/>
          <w:sz w:val="24"/>
          <w:szCs w:val="24"/>
          <w:lang w:val="en-GB" w:eastAsia="el-GR"/>
        </w:rPr>
        <w:t xml:space="preserve"> P1NP 76 ng/ml, CTX 1.0 ng/ml and </w:t>
      </w:r>
      <w:r>
        <w:rPr>
          <w:rFonts w:ascii="Times New Roman" w:eastAsia="MS Mincho" w:hAnsi="Times New Roman" w:cs="Times New Roman"/>
          <w:sz w:val="24"/>
          <w:szCs w:val="24"/>
          <w:lang w:val="en-GB" w:eastAsia="el-GR"/>
        </w:rPr>
        <w:t xml:space="preserve">for premenopausal women, </w:t>
      </w:r>
      <w:r w:rsidRPr="00460CED">
        <w:rPr>
          <w:rFonts w:ascii="Times New Roman" w:eastAsia="MS Mincho" w:hAnsi="Times New Roman" w:cs="Times New Roman"/>
          <w:sz w:val="24"/>
          <w:szCs w:val="24"/>
          <w:lang w:val="en-GB" w:eastAsia="el-GR"/>
        </w:rPr>
        <w:t>56 ng/ml and 0.57 ng/ml, respectively.</w:t>
      </w:r>
    </w:p>
    <w:p w:rsidR="00E66E06" w:rsidRDefault="00E66E06" w:rsidP="00E66E06">
      <w:pPr>
        <w:spacing w:after="0" w:line="480" w:lineRule="auto"/>
        <w:jc w:val="both"/>
        <w:rPr>
          <w:rFonts w:ascii="Times New Roman" w:eastAsia="MS Mincho" w:hAnsi="Times New Roman" w:cs="Times New Roman"/>
          <w:i/>
          <w:sz w:val="24"/>
          <w:szCs w:val="24"/>
          <w:lang w:val="en-GB" w:eastAsia="el-GR"/>
        </w:rPr>
      </w:pPr>
    </w:p>
    <w:p w:rsidR="00E66E06" w:rsidRPr="00D74F67" w:rsidRDefault="00E66E06" w:rsidP="00E66E06">
      <w:pPr>
        <w:spacing w:after="0" w:line="480" w:lineRule="auto"/>
        <w:jc w:val="both"/>
        <w:rPr>
          <w:rFonts w:ascii="Times New Roman" w:eastAsia="MS Mincho" w:hAnsi="Times New Roman" w:cs="Times New Roman"/>
          <w:i/>
          <w:sz w:val="24"/>
          <w:szCs w:val="24"/>
          <w:lang w:val="en-GB" w:eastAsia="el-GR"/>
        </w:rPr>
      </w:pPr>
      <w:r w:rsidRPr="00D74F67">
        <w:rPr>
          <w:rFonts w:ascii="Times New Roman" w:eastAsia="MS Mincho" w:hAnsi="Times New Roman" w:cs="Times New Roman"/>
          <w:i/>
          <w:sz w:val="24"/>
          <w:szCs w:val="24"/>
          <w:lang w:val="en-GB" w:eastAsia="el-GR"/>
        </w:rPr>
        <w:t>Treatment outcomes</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086270">
        <w:rPr>
          <w:rFonts w:ascii="Times New Roman" w:eastAsia="MS Mincho" w:hAnsi="Times New Roman" w:cs="Times New Roman"/>
          <w:sz w:val="24"/>
          <w:szCs w:val="24"/>
          <w:lang w:val="en-GB" w:eastAsia="el-GR"/>
        </w:rPr>
        <w:lastRenderedPageBreak/>
        <w:t>The primary endpoint of the study was the difference in LS-BMD changes between the two groups from 12 to 24 months. Secondary endpoints included: the difference in FN-BMD changes between the two groups from 12 to 24months; the difference in LS-BMD and FN-BMD changes between the two groups at 12 months</w:t>
      </w:r>
      <w:r>
        <w:rPr>
          <w:rFonts w:ascii="Times New Roman" w:eastAsia="MS Mincho" w:hAnsi="Times New Roman" w:cs="Times New Roman"/>
          <w:sz w:val="24"/>
          <w:szCs w:val="24"/>
          <w:lang w:val="en-GB" w:eastAsia="el-GR"/>
        </w:rPr>
        <w:t>;</w:t>
      </w:r>
      <w:r w:rsidRPr="00086270">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the differences in serum B</w:t>
      </w:r>
      <w:r w:rsidRPr="00086270">
        <w:rPr>
          <w:rFonts w:ascii="Times New Roman" w:eastAsia="MS Mincho" w:hAnsi="Times New Roman" w:cs="Times New Roman"/>
          <w:sz w:val="24"/>
          <w:szCs w:val="24"/>
          <w:lang w:val="en-GB" w:eastAsia="el-GR"/>
        </w:rPr>
        <w:t>T</w:t>
      </w:r>
      <w:r>
        <w:rPr>
          <w:rFonts w:ascii="Times New Roman" w:eastAsia="MS Mincho" w:hAnsi="Times New Roman" w:cs="Times New Roman"/>
          <w:sz w:val="24"/>
          <w:szCs w:val="24"/>
          <w:lang w:val="en-GB" w:eastAsia="el-GR"/>
        </w:rPr>
        <w:t>M</w:t>
      </w:r>
      <w:r w:rsidRPr="00086270">
        <w:rPr>
          <w:rFonts w:ascii="Times New Roman" w:eastAsia="MS Mincho" w:hAnsi="Times New Roman" w:cs="Times New Roman"/>
          <w:sz w:val="24"/>
          <w:szCs w:val="24"/>
          <w:lang w:val="en-GB" w:eastAsia="el-GR"/>
        </w:rPr>
        <w:t xml:space="preserve"> levels between the two groups throughout the study and the relationship between serum BTM levels and BMD changes</w:t>
      </w:r>
      <w:r>
        <w:rPr>
          <w:rFonts w:ascii="Times New Roman" w:eastAsia="MS Mincho" w:hAnsi="Times New Roman" w:cs="Times New Roman"/>
          <w:sz w:val="24"/>
          <w:szCs w:val="24"/>
          <w:lang w:val="en-GB" w:eastAsia="el-GR"/>
        </w:rPr>
        <w:t>.</w:t>
      </w:r>
      <w:r w:rsidRPr="00086270">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T</w:t>
      </w:r>
      <w:r w:rsidRPr="00086270">
        <w:rPr>
          <w:rFonts w:ascii="Times New Roman" w:eastAsia="MS Mincho" w:hAnsi="Times New Roman" w:cs="Times New Roman"/>
          <w:sz w:val="24"/>
          <w:szCs w:val="24"/>
          <w:lang w:val="en-GB" w:eastAsia="el-GR"/>
        </w:rPr>
        <w:t>he difference in LS-BMD and FN-BMD changes between the two groups 24 and 1</w:t>
      </w:r>
      <w:r>
        <w:rPr>
          <w:rFonts w:ascii="Times New Roman" w:eastAsia="MS Mincho" w:hAnsi="Times New Roman" w:cs="Times New Roman"/>
          <w:sz w:val="24"/>
          <w:szCs w:val="24"/>
          <w:lang w:val="en-GB" w:eastAsia="el-GR"/>
        </w:rPr>
        <w:t>2</w:t>
      </w:r>
      <w:r w:rsidRPr="00086270">
        <w:rPr>
          <w:rFonts w:ascii="Times New Roman" w:eastAsia="MS Mincho" w:hAnsi="Times New Roman" w:cs="Times New Roman"/>
          <w:sz w:val="24"/>
          <w:szCs w:val="24"/>
          <w:lang w:val="en-GB" w:eastAsia="el-GR"/>
        </w:rPr>
        <w:t xml:space="preserve"> months after discontinuation</w:t>
      </w:r>
      <w:r>
        <w:rPr>
          <w:rFonts w:ascii="Times New Roman" w:eastAsia="MS Mincho" w:hAnsi="Times New Roman" w:cs="Times New Roman"/>
          <w:sz w:val="24"/>
          <w:szCs w:val="24"/>
          <w:lang w:val="en-GB" w:eastAsia="el-GR"/>
        </w:rPr>
        <w:t xml:space="preserve"> (6 months after the last injection) </w:t>
      </w:r>
      <w:r w:rsidRPr="00086270">
        <w:rPr>
          <w:rFonts w:ascii="Times New Roman" w:eastAsia="MS Mincho" w:hAnsi="Times New Roman" w:cs="Times New Roman"/>
          <w:sz w:val="24"/>
          <w:szCs w:val="24"/>
          <w:lang w:val="en-GB" w:eastAsia="el-GR"/>
        </w:rPr>
        <w:t xml:space="preserve">of </w:t>
      </w:r>
      <w:proofErr w:type="spellStart"/>
      <w:r w:rsidRPr="00086270">
        <w:rPr>
          <w:rFonts w:ascii="Times New Roman" w:eastAsia="MS Mincho" w:hAnsi="Times New Roman" w:cs="Times New Roman"/>
          <w:sz w:val="24"/>
          <w:szCs w:val="24"/>
          <w:lang w:val="en-GB" w:eastAsia="el-GR"/>
        </w:rPr>
        <w:t>Dmab</w:t>
      </w:r>
      <w:proofErr w:type="spellEnd"/>
      <w:r w:rsidRPr="00086270">
        <w:rPr>
          <w:rFonts w:ascii="Times New Roman" w:eastAsia="MS Mincho" w:hAnsi="Times New Roman" w:cs="Times New Roman"/>
          <w:sz w:val="24"/>
          <w:szCs w:val="24"/>
          <w:lang w:val="en-GB" w:eastAsia="el-GR"/>
        </w:rPr>
        <w:t xml:space="preserve"> for the ZOL and </w:t>
      </w:r>
      <w:proofErr w:type="spellStart"/>
      <w:r w:rsidRPr="00086270">
        <w:rPr>
          <w:rFonts w:ascii="Times New Roman" w:eastAsia="MS Mincho" w:hAnsi="Times New Roman" w:cs="Times New Roman"/>
          <w:sz w:val="24"/>
          <w:szCs w:val="24"/>
          <w:lang w:val="en-GB" w:eastAsia="el-GR"/>
        </w:rPr>
        <w:t>Dmab</w:t>
      </w:r>
      <w:proofErr w:type="spellEnd"/>
      <w:r w:rsidRPr="00086270">
        <w:rPr>
          <w:rFonts w:ascii="Times New Roman" w:eastAsia="MS Mincho" w:hAnsi="Times New Roman" w:cs="Times New Roman"/>
          <w:sz w:val="24"/>
          <w:szCs w:val="24"/>
          <w:lang w:val="en-GB" w:eastAsia="el-GR"/>
        </w:rPr>
        <w:t xml:space="preserve"> groups, respectively</w:t>
      </w:r>
      <w:r>
        <w:rPr>
          <w:rFonts w:ascii="Times New Roman" w:eastAsia="MS Mincho" w:hAnsi="Times New Roman" w:cs="Times New Roman"/>
          <w:sz w:val="24"/>
          <w:szCs w:val="24"/>
          <w:lang w:val="en-GB" w:eastAsia="el-GR"/>
        </w:rPr>
        <w:t>, and t</w:t>
      </w:r>
      <w:r w:rsidRPr="00086270">
        <w:rPr>
          <w:rFonts w:ascii="Times New Roman" w:eastAsia="MS Mincho" w:hAnsi="Times New Roman" w:cs="Times New Roman"/>
          <w:sz w:val="24"/>
          <w:szCs w:val="24"/>
          <w:lang w:val="en-GB" w:eastAsia="el-GR"/>
        </w:rPr>
        <w:t>he incidence of new vertebral fractures (clinical and morphometric) and other fragility fractures</w:t>
      </w:r>
      <w:r>
        <w:rPr>
          <w:rFonts w:ascii="Times New Roman" w:eastAsia="MS Mincho" w:hAnsi="Times New Roman" w:cs="Times New Roman"/>
          <w:sz w:val="24"/>
          <w:szCs w:val="24"/>
          <w:lang w:val="en-GB" w:eastAsia="el-GR"/>
        </w:rPr>
        <w:t xml:space="preserve"> were exploratory endpoints</w:t>
      </w:r>
      <w:r w:rsidRPr="00086270">
        <w:rPr>
          <w:rFonts w:ascii="Times New Roman" w:eastAsia="MS Mincho" w:hAnsi="Times New Roman" w:cs="Times New Roman"/>
          <w:sz w:val="24"/>
          <w:szCs w:val="24"/>
          <w:lang w:val="en-GB" w:eastAsia="el-GR"/>
        </w:rPr>
        <w:t>.</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p>
    <w:p w:rsidR="00E66E06" w:rsidRPr="00B83304" w:rsidRDefault="00E66E06" w:rsidP="00E66E06">
      <w:pPr>
        <w:spacing w:after="0" w:line="480" w:lineRule="auto"/>
        <w:jc w:val="both"/>
        <w:rPr>
          <w:rFonts w:ascii="Times New Roman" w:eastAsia="MS Mincho" w:hAnsi="Times New Roman" w:cs="Times New Roman"/>
          <w:i/>
          <w:sz w:val="24"/>
          <w:szCs w:val="24"/>
          <w:lang w:val="en-GB" w:eastAsia="el-GR"/>
        </w:rPr>
      </w:pPr>
      <w:r w:rsidRPr="00B83304">
        <w:rPr>
          <w:rFonts w:ascii="Times New Roman" w:eastAsia="MS Mincho" w:hAnsi="Times New Roman" w:cs="Times New Roman"/>
          <w:i/>
          <w:sz w:val="24"/>
          <w:szCs w:val="24"/>
          <w:lang w:val="en-GB" w:eastAsia="el-GR"/>
        </w:rPr>
        <w:t>Statistical analysis</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A32526">
        <w:rPr>
          <w:rFonts w:ascii="Times New Roman" w:eastAsia="Times New Roman" w:hAnsi="Times New Roman" w:cs="Times New Roman"/>
          <w:color w:val="000000"/>
          <w:sz w:val="24"/>
          <w:szCs w:val="24"/>
        </w:rPr>
        <w:t>The</w:t>
      </w:r>
      <w:r w:rsidRPr="00A32526">
        <w:rPr>
          <w:rFonts w:ascii="Calibri" w:eastAsia="Times New Roman" w:hAnsi="Calibri" w:cs="Arial"/>
          <w:color w:val="222222"/>
          <w:sz w:val="18"/>
          <w:szCs w:val="18"/>
        </w:rPr>
        <w:t> </w:t>
      </w:r>
      <w:r w:rsidRPr="00A32526">
        <w:rPr>
          <w:rFonts w:ascii="Times New Roman" w:eastAsia="Times New Roman" w:hAnsi="Times New Roman" w:cs="Times New Roman"/>
          <w:color w:val="222222"/>
          <w:sz w:val="24"/>
          <w:szCs w:val="24"/>
        </w:rPr>
        <w:t>trial required 56 patients to have a power of 95% to detect a 6% difference in LS-BMD between the two treatment groups with a two-sided </w:t>
      </w:r>
      <w:r w:rsidRPr="00A32526">
        <w:rPr>
          <w:rFonts w:ascii="Times New Roman" w:eastAsia="Times New Roman" w:hAnsi="Times New Roman" w:cs="Times New Roman"/>
          <w:bCs/>
          <w:color w:val="222222"/>
          <w:sz w:val="24"/>
          <w:szCs w:val="24"/>
        </w:rPr>
        <w:t>error </w:t>
      </w:r>
      <w:r w:rsidRPr="00A32526">
        <w:rPr>
          <w:rFonts w:ascii="Times New Roman" w:eastAsia="Times New Roman" w:hAnsi="Times New Roman" w:cs="Times New Roman"/>
          <w:bCs/>
          <w:color w:val="222222"/>
          <w:sz w:val="24"/>
          <w:szCs w:val="24"/>
          <w:lang w:val="el-GR"/>
        </w:rPr>
        <w:t>α</w:t>
      </w:r>
      <w:r w:rsidRPr="009E0C7F">
        <w:rPr>
          <w:rFonts w:ascii="Times New Roman" w:eastAsia="Times New Roman" w:hAnsi="Times New Roman" w:cs="Times New Roman"/>
          <w:bCs/>
          <w:color w:val="222222"/>
          <w:sz w:val="24"/>
          <w:szCs w:val="24"/>
        </w:rPr>
        <w:t> </w:t>
      </w:r>
      <w:r w:rsidRPr="00A32526">
        <w:rPr>
          <w:rFonts w:ascii="Times New Roman" w:eastAsia="Times New Roman" w:hAnsi="Times New Roman" w:cs="Times New Roman"/>
          <w:bCs/>
          <w:color w:val="222222"/>
          <w:sz w:val="24"/>
          <w:szCs w:val="24"/>
        </w:rPr>
        <w:t>probability </w:t>
      </w:r>
      <w:r w:rsidRPr="00A32526">
        <w:rPr>
          <w:rFonts w:ascii="Times New Roman" w:eastAsia="Times New Roman" w:hAnsi="Times New Roman" w:cs="Times New Roman"/>
          <w:color w:val="222222"/>
          <w:sz w:val="24"/>
          <w:szCs w:val="24"/>
        </w:rPr>
        <w:t>of 0.05</w:t>
      </w:r>
      <w:r>
        <w:rPr>
          <w:rFonts w:ascii="Times New Roman" w:eastAsia="Times New Roman" w:hAnsi="Times New Roman" w:cs="Times New Roman"/>
          <w:color w:val="222222"/>
          <w:sz w:val="24"/>
          <w:szCs w:val="24"/>
        </w:rPr>
        <w:t xml:space="preserve">. </w:t>
      </w:r>
      <w:r w:rsidRPr="004B79B9">
        <w:rPr>
          <w:rFonts w:ascii="Times New Roman" w:eastAsia="Times New Roman" w:hAnsi="Times New Roman" w:cs="Times New Roman"/>
          <w:color w:val="222222"/>
          <w:sz w:val="24"/>
          <w:szCs w:val="24"/>
        </w:rPr>
        <w:t>D</w:t>
      </w:r>
      <w:r w:rsidRPr="004B79B9">
        <w:rPr>
          <w:rStyle w:val="Verwijzingopmerking"/>
          <w:rFonts w:ascii="Times New Roman" w:hAnsi="Times New Roman" w:cs="Times New Roman"/>
          <w:sz w:val="24"/>
          <w:szCs w:val="24"/>
        </w:rPr>
        <w:t>a</w:t>
      </w:r>
      <w:r w:rsidRPr="004B79B9">
        <w:rPr>
          <w:rFonts w:ascii="Times New Roman" w:eastAsia="MS Mincho" w:hAnsi="Times New Roman" w:cs="Times New Roman"/>
          <w:sz w:val="24"/>
          <w:szCs w:val="24"/>
          <w:lang w:val="en-GB" w:eastAsia="el-GR"/>
        </w:rPr>
        <w:t>ta</w:t>
      </w:r>
      <w:r w:rsidRPr="009029FF">
        <w:rPr>
          <w:rFonts w:ascii="Times New Roman" w:eastAsia="MS Mincho" w:hAnsi="Times New Roman" w:cs="Times New Roman"/>
          <w:sz w:val="24"/>
          <w:szCs w:val="24"/>
          <w:lang w:val="en-GB" w:eastAsia="el-GR"/>
        </w:rPr>
        <w:t xml:space="preserve"> for continuous variables are presented as mean ± standard error of the mean (SEM). Data for categorical variables are presented as number and/or frequencies. Kolmogorov-Smirnov test was used to test the normality of distribution of continuous variables. Within group comparisons of continuous variables were performed with repeated measures analysis of variance (ANOVA) or Friedman test. In case of statistically significant trend, multiple pairwise comparisons were performed with Bonferroni post-hoc adjustment.  Independent T</w:t>
      </w:r>
      <w:r>
        <w:rPr>
          <w:rFonts w:ascii="Times New Roman" w:eastAsia="MS Mincho" w:hAnsi="Times New Roman" w:cs="Times New Roman"/>
          <w:sz w:val="24"/>
          <w:szCs w:val="24"/>
          <w:lang w:val="en-GB" w:eastAsia="el-GR"/>
        </w:rPr>
        <w:t xml:space="preserve">-test or Mann-Whitney test were </w:t>
      </w:r>
      <w:r w:rsidRPr="009029FF">
        <w:rPr>
          <w:rFonts w:ascii="Times New Roman" w:eastAsia="MS Mincho" w:hAnsi="Times New Roman" w:cs="Times New Roman"/>
          <w:sz w:val="24"/>
          <w:szCs w:val="24"/>
          <w:lang w:val="en-GB" w:eastAsia="el-GR"/>
        </w:rPr>
        <w:t>used to compare continuous variables between groups. Chi-square or Fischer’s exact test were used for comparisons of categorical variables between groups. Spearman’s (</w:t>
      </w:r>
      <w:proofErr w:type="spellStart"/>
      <w:r w:rsidRPr="009029FF">
        <w:rPr>
          <w:rFonts w:ascii="Times New Roman" w:eastAsia="MS Mincho" w:hAnsi="Times New Roman" w:cs="Times New Roman"/>
          <w:sz w:val="24"/>
          <w:szCs w:val="24"/>
          <w:lang w:val="en-GB" w:eastAsia="el-GR"/>
        </w:rPr>
        <w:t>rs</w:t>
      </w:r>
      <w:proofErr w:type="spellEnd"/>
      <w:r w:rsidRPr="009029FF">
        <w:rPr>
          <w:rFonts w:ascii="Times New Roman" w:eastAsia="MS Mincho" w:hAnsi="Times New Roman" w:cs="Times New Roman"/>
          <w:sz w:val="24"/>
          <w:szCs w:val="24"/>
          <w:lang w:val="en-GB" w:eastAsia="el-GR"/>
        </w:rPr>
        <w:t xml:space="preserve">) coefficient of correlation was used for bivariate correlations between continuous variables. Analysis of primary efficacy endpoint was by intention-to-treat; missing values were </w:t>
      </w:r>
      <w:r>
        <w:rPr>
          <w:rFonts w:ascii="Times New Roman" w:eastAsia="MS Mincho" w:hAnsi="Times New Roman" w:cs="Times New Roman"/>
          <w:sz w:val="24"/>
          <w:szCs w:val="24"/>
          <w:lang w:val="en-GB" w:eastAsia="el-GR"/>
        </w:rPr>
        <w:t>handled</w:t>
      </w:r>
      <w:r w:rsidRPr="009029FF">
        <w:rPr>
          <w:rFonts w:ascii="Times New Roman" w:eastAsia="MS Mincho" w:hAnsi="Times New Roman" w:cs="Times New Roman"/>
          <w:sz w:val="24"/>
          <w:szCs w:val="24"/>
          <w:lang w:val="en-GB" w:eastAsia="el-GR"/>
        </w:rPr>
        <w:t xml:space="preserve"> with the last-observation-carried-forward method. A two-sided p-value of </w:t>
      </w:r>
      <w:r w:rsidRPr="009029FF">
        <w:rPr>
          <w:rFonts w:ascii="Times New Roman" w:eastAsia="MS Mincho" w:hAnsi="Times New Roman" w:cs="Times New Roman"/>
          <w:sz w:val="24"/>
          <w:szCs w:val="24"/>
          <w:lang w:val="en-GB" w:eastAsia="el-GR"/>
        </w:rPr>
        <w:lastRenderedPageBreak/>
        <w:t>less than 0.05 was considered statistically significant in all the above tests. Statistical analysis was performed with SPSS for Macintosh, version 21.0 (IBM Corporation, New York, USA).</w:t>
      </w:r>
    </w:p>
    <w:p w:rsidR="00E66E06" w:rsidRPr="00677D9B" w:rsidRDefault="00E66E06" w:rsidP="00E66E06">
      <w:pPr>
        <w:spacing w:after="0" w:line="480" w:lineRule="auto"/>
        <w:jc w:val="both"/>
        <w:rPr>
          <w:rFonts w:ascii="Times New Roman" w:eastAsia="Times New Roman" w:hAnsi="Times New Roman" w:cs="Times New Roman"/>
          <w:sz w:val="24"/>
          <w:szCs w:val="24"/>
        </w:rPr>
      </w:pPr>
    </w:p>
    <w:p w:rsidR="00E66E06" w:rsidRPr="009F4631" w:rsidRDefault="00E66E06" w:rsidP="00E66E06">
      <w:pPr>
        <w:spacing w:after="0" w:line="480" w:lineRule="auto"/>
        <w:jc w:val="both"/>
        <w:rPr>
          <w:rFonts w:ascii="Times New Roman" w:eastAsia="MS Mincho" w:hAnsi="Times New Roman" w:cs="Times New Roman"/>
          <w:sz w:val="24"/>
          <w:szCs w:val="24"/>
          <w:lang w:val="en-GB" w:eastAsia="el-GR"/>
        </w:rPr>
      </w:pPr>
      <w:r w:rsidRPr="009F4631">
        <w:rPr>
          <w:rFonts w:ascii="Times New Roman" w:eastAsia="MS Mincho" w:hAnsi="Times New Roman" w:cs="Times New Roman"/>
          <w:sz w:val="24"/>
          <w:szCs w:val="24"/>
          <w:lang w:val="en-GB" w:eastAsia="el-GR"/>
        </w:rPr>
        <w:t xml:space="preserve">women were randomly </w:t>
      </w:r>
      <w:proofErr w:type="gramStart"/>
      <w:r w:rsidRPr="009F4631">
        <w:rPr>
          <w:rFonts w:ascii="Times New Roman" w:eastAsia="MS Mincho" w:hAnsi="Times New Roman" w:cs="Times New Roman"/>
          <w:sz w:val="24"/>
          <w:szCs w:val="24"/>
          <w:lang w:val="en-GB" w:eastAsia="el-GR"/>
        </w:rPr>
        <w:t>assigned  (</w:t>
      </w:r>
      <w:proofErr w:type="gramEnd"/>
      <w:r w:rsidRPr="009F4631">
        <w:rPr>
          <w:rFonts w:ascii="Times New Roman" w:eastAsia="MS Mincho" w:hAnsi="Times New Roman" w:cs="Times New Roman"/>
          <w:sz w:val="24"/>
          <w:szCs w:val="24"/>
          <w:lang w:val="en-GB" w:eastAsia="el-GR"/>
        </w:rPr>
        <w:t xml:space="preserve">1:1) to continue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or to receive ZOL; of the latter, 3 women withdrew their consent before the start of the study and did not receive treatment. Thus, 30 women received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and 27 ZOL. Three women discontinued the study: one in each group following clinical vertebral fractures</w:t>
      </w:r>
      <w:r>
        <w:rPr>
          <w:rFonts w:ascii="Times New Roman" w:eastAsia="MS Mincho" w:hAnsi="Times New Roman" w:cs="Times New Roman"/>
          <w:sz w:val="24"/>
          <w:szCs w:val="24"/>
          <w:lang w:val="en-GB" w:eastAsia="el-GR"/>
        </w:rPr>
        <w:t>,</w:t>
      </w:r>
      <w:r w:rsidRPr="009F4631">
        <w:rPr>
          <w:rFonts w:ascii="Times New Roman" w:eastAsia="MS Mincho" w:hAnsi="Times New Roman" w:cs="Times New Roman"/>
          <w:sz w:val="24"/>
          <w:szCs w:val="24"/>
          <w:lang w:val="en-GB" w:eastAsia="el-GR"/>
        </w:rPr>
        <w:t xml:space="preserve"> and one in the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group withdrew her consent.</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9F4631">
        <w:rPr>
          <w:rFonts w:ascii="Times New Roman" w:eastAsia="MS Mincho" w:hAnsi="Times New Roman" w:cs="Times New Roman"/>
          <w:sz w:val="24"/>
          <w:szCs w:val="24"/>
          <w:lang w:val="en-GB" w:eastAsia="el-GR"/>
        </w:rPr>
        <w:t>Baseline clinical, radiological and biochemical characteristics were similar between the two groups</w:t>
      </w:r>
      <w:r w:rsidR="0086206C">
        <w:rPr>
          <w:rFonts w:ascii="Times New Roman" w:eastAsia="MS Mincho" w:hAnsi="Times New Roman" w:cs="Times New Roman"/>
          <w:sz w:val="24"/>
          <w:szCs w:val="24"/>
          <w:lang w:val="en-GB" w:eastAsia="el-GR"/>
        </w:rPr>
        <w:t>.</w:t>
      </w:r>
      <w:r w:rsidRPr="009F4631">
        <w:rPr>
          <w:rFonts w:ascii="Times New Roman" w:eastAsia="MS Mincho" w:hAnsi="Times New Roman" w:cs="Times New Roman"/>
          <w:sz w:val="24"/>
          <w:szCs w:val="24"/>
          <w:lang w:val="en-GB" w:eastAsia="el-GR"/>
        </w:rPr>
        <w:t xml:space="preserve"> Mean age was 64.8 and 65.2 years and duration of previous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therapy was 2.0 and 2.4 years in the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and ZOL groups, respectively (Table 1). </w:t>
      </w:r>
      <w:r>
        <w:rPr>
          <w:rFonts w:ascii="Times New Roman" w:eastAsia="MS Mincho" w:hAnsi="Times New Roman" w:cs="Times New Roman"/>
          <w:sz w:val="24"/>
          <w:szCs w:val="24"/>
          <w:lang w:val="en-GB" w:eastAsia="el-GR"/>
        </w:rPr>
        <w:t xml:space="preserve">More patients in the ZOL group had prevalent vertebral fractures but the difference with the </w:t>
      </w:r>
      <w:proofErr w:type="spellStart"/>
      <w:r>
        <w:rPr>
          <w:rFonts w:ascii="Times New Roman" w:eastAsia="MS Mincho" w:hAnsi="Times New Roman" w:cs="Times New Roman"/>
          <w:sz w:val="24"/>
          <w:szCs w:val="24"/>
          <w:lang w:val="en-GB" w:eastAsia="el-GR"/>
        </w:rPr>
        <w:t>Dmab</w:t>
      </w:r>
      <w:proofErr w:type="spellEnd"/>
      <w:r>
        <w:rPr>
          <w:rFonts w:ascii="Times New Roman" w:eastAsia="MS Mincho" w:hAnsi="Times New Roman" w:cs="Times New Roman"/>
          <w:sz w:val="24"/>
          <w:szCs w:val="24"/>
          <w:lang w:val="en-GB" w:eastAsia="el-GR"/>
        </w:rPr>
        <w:t xml:space="preserve"> group was not significant.</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p>
    <w:p w:rsidR="00E66E06" w:rsidRPr="00D74F67" w:rsidRDefault="00E66E06" w:rsidP="00E66E06">
      <w:pPr>
        <w:spacing w:after="0" w:line="480" w:lineRule="auto"/>
        <w:jc w:val="both"/>
        <w:rPr>
          <w:rFonts w:ascii="Times New Roman" w:eastAsia="MS Mincho" w:hAnsi="Times New Roman" w:cs="Times New Roman"/>
          <w:i/>
          <w:sz w:val="24"/>
          <w:szCs w:val="24"/>
          <w:lang w:val="en-GB" w:eastAsia="el-GR"/>
        </w:rPr>
      </w:pPr>
      <w:r w:rsidRPr="00D74F67">
        <w:rPr>
          <w:rFonts w:ascii="Times New Roman" w:eastAsia="MS Mincho" w:hAnsi="Times New Roman" w:cs="Times New Roman"/>
          <w:i/>
          <w:sz w:val="24"/>
          <w:szCs w:val="24"/>
          <w:lang w:val="en-GB" w:eastAsia="el-GR"/>
        </w:rPr>
        <w:t>Bone Mineral Density</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4A7669">
        <w:rPr>
          <w:rFonts w:ascii="Times New Roman" w:eastAsia="MS Mincho" w:hAnsi="Times New Roman" w:cs="Times New Roman"/>
          <w:sz w:val="24"/>
          <w:szCs w:val="24"/>
          <w:lang w:val="en-GB" w:eastAsia="el-GR"/>
        </w:rPr>
        <w:t>Compared to baseline, LS-BMD increased, but not significantly, in both groups at 12 months (ZOL 1.7 ± 1.1%</w:t>
      </w:r>
      <w:r>
        <w:rPr>
          <w:rFonts w:ascii="Times New Roman" w:eastAsia="MS Mincho" w:hAnsi="Times New Roman" w:cs="Times New Roman"/>
          <w:sz w:val="24"/>
          <w:szCs w:val="24"/>
          <w:lang w:val="en-GB" w:eastAsia="el-GR"/>
        </w:rPr>
        <w:t>,</w:t>
      </w:r>
      <w:r w:rsidRPr="004A7669">
        <w:rPr>
          <w:rFonts w:ascii="Times New Roman" w:eastAsia="MS Mincho" w:hAnsi="Times New Roman" w:cs="Times New Roman"/>
          <w:sz w:val="24"/>
          <w:szCs w:val="24"/>
          <w:lang w:val="en-GB" w:eastAsia="el-GR"/>
        </w:rPr>
        <w:t xml:space="preserve"> p=0.384; </w:t>
      </w:r>
      <w:proofErr w:type="spellStart"/>
      <w:r w:rsidRPr="004A7669">
        <w:rPr>
          <w:rFonts w:ascii="Times New Roman" w:eastAsia="MS Mincho" w:hAnsi="Times New Roman" w:cs="Times New Roman"/>
          <w:sz w:val="24"/>
          <w:szCs w:val="24"/>
          <w:lang w:val="en-GB" w:eastAsia="el-GR"/>
        </w:rPr>
        <w:t>Dmab</w:t>
      </w:r>
      <w:proofErr w:type="spellEnd"/>
      <w:r w:rsidRPr="004A7669">
        <w:rPr>
          <w:rFonts w:ascii="Times New Roman" w:eastAsia="MS Mincho" w:hAnsi="Times New Roman" w:cs="Times New Roman"/>
          <w:sz w:val="24"/>
          <w:szCs w:val="24"/>
          <w:lang w:val="en-GB" w:eastAsia="el-GR"/>
        </w:rPr>
        <w:t xml:space="preserve"> 2.1 ± 1.0</w:t>
      </w:r>
      <w:r w:rsidRPr="00586D5E">
        <w:rPr>
          <w:rFonts w:ascii="Times New Roman" w:eastAsia="MS Mincho" w:hAnsi="Times New Roman" w:cs="Times New Roman"/>
          <w:sz w:val="24"/>
          <w:szCs w:val="24"/>
          <w:lang w:val="en-GB" w:eastAsia="el-GR"/>
        </w:rPr>
        <w:t>%, p=0.150).</w:t>
      </w:r>
      <w:r w:rsidRPr="009F4631">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T</w:t>
      </w:r>
      <w:r w:rsidRPr="009F4631">
        <w:rPr>
          <w:rFonts w:ascii="Times New Roman" w:eastAsia="MS Mincho" w:hAnsi="Times New Roman" w:cs="Times New Roman"/>
          <w:sz w:val="24"/>
          <w:szCs w:val="24"/>
          <w:lang w:val="en-GB" w:eastAsia="el-GR"/>
        </w:rPr>
        <w:t>he difference in LS-BMD increases between the two groups was</w:t>
      </w:r>
      <w:r>
        <w:rPr>
          <w:rFonts w:ascii="Times New Roman" w:eastAsia="MS Mincho" w:hAnsi="Times New Roman" w:cs="Times New Roman"/>
          <w:sz w:val="24"/>
          <w:szCs w:val="24"/>
          <w:lang w:val="en-GB" w:eastAsia="el-GR"/>
        </w:rPr>
        <w:t xml:space="preserve"> also</w:t>
      </w:r>
      <w:r w:rsidRPr="009F4631">
        <w:rPr>
          <w:rFonts w:ascii="Times New Roman" w:eastAsia="MS Mincho" w:hAnsi="Times New Roman" w:cs="Times New Roman"/>
          <w:sz w:val="24"/>
          <w:szCs w:val="24"/>
          <w:lang w:val="en-GB" w:eastAsia="el-GR"/>
        </w:rPr>
        <w:t xml:space="preserve"> not significant (p=0.</w:t>
      </w:r>
      <w:r>
        <w:rPr>
          <w:rFonts w:ascii="Times New Roman" w:eastAsia="MS Mincho" w:hAnsi="Times New Roman" w:cs="Times New Roman"/>
          <w:sz w:val="24"/>
          <w:szCs w:val="24"/>
          <w:lang w:val="en-GB" w:eastAsia="el-GR"/>
        </w:rPr>
        <w:t>643</w:t>
      </w:r>
      <w:r w:rsidRPr="009F4631">
        <w:rPr>
          <w:rFonts w:ascii="Times New Roman" w:eastAsia="MS Mincho" w:hAnsi="Times New Roman" w:cs="Times New Roman"/>
          <w:sz w:val="24"/>
          <w:szCs w:val="24"/>
          <w:lang w:val="en-GB" w:eastAsia="el-GR"/>
        </w:rPr>
        <w:t>)</w:t>
      </w:r>
      <w:r>
        <w:rPr>
          <w:rFonts w:ascii="Times New Roman" w:eastAsia="MS Mincho" w:hAnsi="Times New Roman" w:cs="Times New Roman"/>
          <w:sz w:val="24"/>
          <w:szCs w:val="24"/>
          <w:lang w:val="en-GB" w:eastAsia="el-GR"/>
        </w:rPr>
        <w:t xml:space="preserve">. </w:t>
      </w:r>
      <w:r w:rsidRPr="009F4631">
        <w:rPr>
          <w:rFonts w:ascii="Times New Roman" w:eastAsia="MS Mincho" w:hAnsi="Times New Roman" w:cs="Times New Roman"/>
          <w:sz w:val="24"/>
          <w:szCs w:val="24"/>
          <w:lang w:val="en-GB" w:eastAsia="el-GR"/>
        </w:rPr>
        <w:t xml:space="preserve">At 24 months LS-BMD returned to baseline in the ZOL group (compared to baseline: 0.1 ± 1.2%; </w:t>
      </w:r>
      <w:r>
        <w:rPr>
          <w:rFonts w:ascii="Times New Roman" w:eastAsia="MS Mincho" w:hAnsi="Times New Roman" w:cs="Times New Roman"/>
          <w:sz w:val="24"/>
          <w:szCs w:val="24"/>
          <w:lang w:val="en-GB" w:eastAsia="el-GR"/>
        </w:rPr>
        <w:t>p=0.203</w:t>
      </w:r>
      <w:r w:rsidRPr="009F4631">
        <w:rPr>
          <w:rFonts w:ascii="Times New Roman" w:eastAsia="MS Mincho" w:hAnsi="Times New Roman" w:cs="Times New Roman"/>
          <w:sz w:val="24"/>
          <w:szCs w:val="24"/>
          <w:lang w:val="en-GB" w:eastAsia="el-GR"/>
        </w:rPr>
        <w:t>), but decreased significantly</w:t>
      </w:r>
      <w:r>
        <w:rPr>
          <w:rFonts w:ascii="Times New Roman" w:eastAsia="MS Mincho" w:hAnsi="Times New Roman" w:cs="Times New Roman"/>
          <w:sz w:val="24"/>
          <w:szCs w:val="24"/>
          <w:lang w:val="en-GB" w:eastAsia="el-GR"/>
        </w:rPr>
        <w:t xml:space="preserve"> </w:t>
      </w:r>
      <w:r w:rsidRPr="009F4631">
        <w:rPr>
          <w:rFonts w:ascii="Times New Roman" w:eastAsia="MS Mincho" w:hAnsi="Times New Roman" w:cs="Times New Roman"/>
          <w:sz w:val="24"/>
          <w:szCs w:val="24"/>
          <w:lang w:val="en-GB" w:eastAsia="el-GR"/>
        </w:rPr>
        <w:t xml:space="preserve">in the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group by</w:t>
      </w:r>
      <w:r>
        <w:rPr>
          <w:rFonts w:ascii="Times New Roman" w:eastAsia="MS Mincho" w:hAnsi="Times New Roman" w:cs="Times New Roman"/>
          <w:sz w:val="24"/>
          <w:szCs w:val="24"/>
          <w:lang w:val="en-GB" w:eastAsia="el-GR"/>
        </w:rPr>
        <w:t xml:space="preserve"> 4.82 ± 0.7% </w:t>
      </w:r>
      <w:r w:rsidRPr="003C3692">
        <w:rPr>
          <w:rFonts w:ascii="Times New Roman" w:eastAsia="MS Mincho" w:hAnsi="Times New Roman" w:cs="Times New Roman"/>
          <w:sz w:val="24"/>
          <w:szCs w:val="24"/>
          <w:lang w:val="en-GB" w:eastAsia="el-GR"/>
        </w:rPr>
        <w:t>(p&lt;0.0</w:t>
      </w:r>
      <w:r>
        <w:rPr>
          <w:rFonts w:ascii="Times New Roman" w:eastAsia="MS Mincho" w:hAnsi="Times New Roman" w:cs="Times New Roman"/>
          <w:sz w:val="24"/>
          <w:szCs w:val="24"/>
          <w:lang w:val="en-GB" w:eastAsia="el-GR"/>
        </w:rPr>
        <w:t>0</w:t>
      </w:r>
      <w:r w:rsidRPr="003C3692">
        <w:rPr>
          <w:rFonts w:ascii="Times New Roman" w:eastAsia="MS Mincho" w:hAnsi="Times New Roman" w:cs="Times New Roman"/>
          <w:sz w:val="24"/>
          <w:szCs w:val="24"/>
          <w:lang w:val="en-GB" w:eastAsia="el-GR"/>
        </w:rPr>
        <w:t>1)</w:t>
      </w:r>
      <w:r>
        <w:rPr>
          <w:rFonts w:ascii="Times New Roman" w:eastAsia="MS Mincho" w:hAnsi="Times New Roman" w:cs="Times New Roman"/>
          <w:sz w:val="24"/>
          <w:szCs w:val="24"/>
          <w:lang w:val="en-GB" w:eastAsia="el-GR"/>
        </w:rPr>
        <w:t xml:space="preserve"> from the 12-month value </w:t>
      </w:r>
      <w:r w:rsidRPr="009F4631">
        <w:rPr>
          <w:rFonts w:ascii="Times New Roman" w:eastAsia="MS Mincho" w:hAnsi="Times New Roman" w:cs="Times New Roman"/>
          <w:sz w:val="24"/>
          <w:szCs w:val="24"/>
          <w:lang w:val="en-GB" w:eastAsia="el-GR"/>
        </w:rPr>
        <w:t>reaching values that were also significantly (p</w:t>
      </w:r>
      <w:r>
        <w:rPr>
          <w:rFonts w:ascii="Times New Roman" w:eastAsia="MS Mincho" w:hAnsi="Times New Roman" w:cs="Times New Roman"/>
          <w:sz w:val="24"/>
          <w:szCs w:val="24"/>
          <w:lang w:val="en-GB" w:eastAsia="el-GR"/>
        </w:rPr>
        <w:t>=0.021</w:t>
      </w:r>
      <w:r w:rsidRPr="009F4631">
        <w:rPr>
          <w:rFonts w:ascii="Times New Roman" w:eastAsia="MS Mincho" w:hAnsi="Times New Roman" w:cs="Times New Roman"/>
          <w:sz w:val="24"/>
          <w:szCs w:val="24"/>
          <w:lang w:val="en-GB" w:eastAsia="el-GR"/>
        </w:rPr>
        <w:t>)</w:t>
      </w:r>
      <w:r>
        <w:rPr>
          <w:rFonts w:ascii="Times New Roman" w:eastAsia="MS Mincho" w:hAnsi="Times New Roman" w:cs="Times New Roman"/>
          <w:sz w:val="24"/>
          <w:szCs w:val="24"/>
          <w:lang w:val="en-GB" w:eastAsia="el-GR"/>
        </w:rPr>
        <w:t xml:space="preserve"> </w:t>
      </w:r>
      <w:r w:rsidRPr="009F4631">
        <w:rPr>
          <w:rFonts w:ascii="Times New Roman" w:eastAsia="MS Mincho" w:hAnsi="Times New Roman" w:cs="Times New Roman"/>
          <w:sz w:val="24"/>
          <w:szCs w:val="24"/>
          <w:lang w:val="en-GB" w:eastAsia="el-GR"/>
        </w:rPr>
        <w:t xml:space="preserve">lower than </w:t>
      </w:r>
      <w:r>
        <w:rPr>
          <w:rFonts w:ascii="Times New Roman" w:eastAsia="MS Mincho" w:hAnsi="Times New Roman" w:cs="Times New Roman"/>
          <w:sz w:val="24"/>
          <w:szCs w:val="24"/>
          <w:lang w:val="en-GB" w:eastAsia="el-GR"/>
        </w:rPr>
        <w:t xml:space="preserve">the </w:t>
      </w:r>
      <w:r w:rsidRPr="009F4631">
        <w:rPr>
          <w:rFonts w:ascii="Times New Roman" w:eastAsia="MS Mincho" w:hAnsi="Times New Roman" w:cs="Times New Roman"/>
          <w:sz w:val="24"/>
          <w:szCs w:val="24"/>
          <w:lang w:val="en-GB" w:eastAsia="el-GR"/>
        </w:rPr>
        <w:t xml:space="preserve">baseline values. The difference </w:t>
      </w:r>
      <w:r>
        <w:rPr>
          <w:rFonts w:ascii="Times New Roman" w:eastAsia="MS Mincho" w:hAnsi="Times New Roman" w:cs="Times New Roman"/>
          <w:sz w:val="24"/>
          <w:szCs w:val="24"/>
          <w:lang w:val="en-GB" w:eastAsia="el-GR"/>
        </w:rPr>
        <w:t xml:space="preserve">of </w:t>
      </w:r>
      <w:r w:rsidRPr="009F4631">
        <w:rPr>
          <w:rFonts w:ascii="Times New Roman" w:eastAsia="MS Mincho" w:hAnsi="Times New Roman" w:cs="Times New Roman"/>
          <w:sz w:val="24"/>
          <w:szCs w:val="24"/>
          <w:lang w:val="en-GB" w:eastAsia="el-GR"/>
        </w:rPr>
        <w:t>LS-BMD changes</w:t>
      </w:r>
      <w:r>
        <w:rPr>
          <w:rFonts w:ascii="Times New Roman" w:eastAsia="MS Mincho" w:hAnsi="Times New Roman" w:cs="Times New Roman"/>
          <w:sz w:val="24"/>
          <w:szCs w:val="24"/>
          <w:lang w:val="en-GB" w:eastAsia="el-GR"/>
        </w:rPr>
        <w:t xml:space="preserve"> </w:t>
      </w:r>
      <w:r w:rsidRPr="009F4631">
        <w:rPr>
          <w:rFonts w:ascii="Times New Roman" w:eastAsia="MS Mincho" w:hAnsi="Times New Roman" w:cs="Times New Roman"/>
          <w:sz w:val="24"/>
          <w:szCs w:val="24"/>
          <w:lang w:val="en-GB" w:eastAsia="el-GR"/>
        </w:rPr>
        <w:t>between the two groups from month 12 to month 24, the primary outcome of the study, was significant (p=</w:t>
      </w:r>
      <w:r>
        <w:rPr>
          <w:rFonts w:ascii="Times New Roman" w:eastAsia="MS Mincho" w:hAnsi="Times New Roman" w:cs="Times New Roman"/>
          <w:sz w:val="24"/>
          <w:szCs w:val="24"/>
          <w:lang w:val="en-GB" w:eastAsia="el-GR"/>
        </w:rPr>
        <w:t xml:space="preserve">0.025) as was also the difference in changes of </w:t>
      </w:r>
      <w:r w:rsidRPr="009F4631">
        <w:rPr>
          <w:rFonts w:ascii="Times New Roman" w:eastAsia="MS Mincho" w:hAnsi="Times New Roman" w:cs="Times New Roman"/>
          <w:sz w:val="24"/>
          <w:szCs w:val="24"/>
          <w:lang w:val="en-GB" w:eastAsia="el-GR"/>
        </w:rPr>
        <w:t xml:space="preserve">FN-BMD </w:t>
      </w:r>
      <w:r>
        <w:rPr>
          <w:rFonts w:ascii="Times New Roman" w:eastAsia="MS Mincho" w:hAnsi="Times New Roman" w:cs="Times New Roman"/>
          <w:sz w:val="24"/>
          <w:szCs w:val="24"/>
          <w:lang w:val="en-GB" w:eastAsia="el-GR"/>
        </w:rPr>
        <w:t>(p=0.005</w:t>
      </w:r>
      <w:proofErr w:type="gramStart"/>
      <w:r>
        <w:rPr>
          <w:rFonts w:ascii="Times New Roman" w:eastAsia="MS Mincho" w:hAnsi="Times New Roman" w:cs="Times New Roman"/>
          <w:sz w:val="24"/>
          <w:szCs w:val="24"/>
          <w:lang w:val="en-GB" w:eastAsia="el-GR"/>
        </w:rPr>
        <w:t xml:space="preserve">) </w:t>
      </w:r>
      <w:r w:rsidR="0086206C">
        <w:rPr>
          <w:rFonts w:ascii="Times New Roman" w:eastAsia="MS Mincho" w:hAnsi="Times New Roman" w:cs="Times New Roman"/>
          <w:sz w:val="24"/>
          <w:szCs w:val="24"/>
          <w:lang w:val="en-GB" w:eastAsia="el-GR"/>
        </w:rPr>
        <w:t>.</w:t>
      </w:r>
      <w:proofErr w:type="gramEnd"/>
    </w:p>
    <w:p w:rsidR="00E66E06" w:rsidRPr="009F4631" w:rsidRDefault="00E66E06" w:rsidP="00E66E06">
      <w:pPr>
        <w:spacing w:after="0" w:line="480" w:lineRule="auto"/>
        <w:jc w:val="both"/>
        <w:rPr>
          <w:rFonts w:ascii="Times New Roman" w:eastAsia="MS Mincho" w:hAnsi="Times New Roman" w:cs="Times New Roman"/>
          <w:sz w:val="24"/>
          <w:szCs w:val="24"/>
          <w:lang w:val="en-GB" w:eastAsia="el-GR"/>
        </w:rPr>
      </w:pPr>
      <w:r>
        <w:rPr>
          <w:rFonts w:ascii="Times New Roman" w:eastAsia="MS Mincho" w:hAnsi="Times New Roman" w:cs="Times New Roman"/>
          <w:sz w:val="24"/>
          <w:szCs w:val="24"/>
          <w:lang w:val="en-GB" w:eastAsia="el-GR"/>
        </w:rPr>
        <w:t>T</w:t>
      </w:r>
      <w:r w:rsidRPr="00086270">
        <w:rPr>
          <w:rFonts w:ascii="Times New Roman" w:eastAsia="MS Mincho" w:hAnsi="Times New Roman" w:cs="Times New Roman"/>
          <w:sz w:val="24"/>
          <w:szCs w:val="24"/>
          <w:lang w:val="en-GB" w:eastAsia="el-GR"/>
        </w:rPr>
        <w:t>he difference</w:t>
      </w:r>
      <w:r>
        <w:rPr>
          <w:rFonts w:ascii="Times New Roman" w:eastAsia="MS Mincho" w:hAnsi="Times New Roman" w:cs="Times New Roman"/>
          <w:sz w:val="24"/>
          <w:szCs w:val="24"/>
          <w:lang w:val="en-GB" w:eastAsia="el-GR"/>
        </w:rPr>
        <w:t xml:space="preserve">s in BMD </w:t>
      </w:r>
      <w:r w:rsidRPr="00086270">
        <w:rPr>
          <w:rFonts w:ascii="Times New Roman" w:eastAsia="MS Mincho" w:hAnsi="Times New Roman" w:cs="Times New Roman"/>
          <w:sz w:val="24"/>
          <w:szCs w:val="24"/>
          <w:lang w:val="en-GB" w:eastAsia="el-GR"/>
        </w:rPr>
        <w:t xml:space="preserve">changes </w:t>
      </w:r>
      <w:r>
        <w:rPr>
          <w:rFonts w:ascii="Times New Roman" w:eastAsia="MS Mincho" w:hAnsi="Times New Roman" w:cs="Times New Roman"/>
          <w:sz w:val="24"/>
          <w:szCs w:val="24"/>
          <w:lang w:val="en-GB" w:eastAsia="el-GR"/>
        </w:rPr>
        <w:t>between the two groups 24 and 12</w:t>
      </w:r>
      <w:r w:rsidRPr="00086270">
        <w:rPr>
          <w:rFonts w:ascii="Times New Roman" w:eastAsia="MS Mincho" w:hAnsi="Times New Roman" w:cs="Times New Roman"/>
          <w:sz w:val="24"/>
          <w:szCs w:val="24"/>
          <w:lang w:val="en-GB" w:eastAsia="el-GR"/>
        </w:rPr>
        <w:t xml:space="preserve"> months after discontinuation</w:t>
      </w:r>
      <w:r>
        <w:rPr>
          <w:rFonts w:ascii="Times New Roman" w:eastAsia="MS Mincho" w:hAnsi="Times New Roman" w:cs="Times New Roman"/>
          <w:sz w:val="24"/>
          <w:szCs w:val="24"/>
          <w:lang w:val="en-GB" w:eastAsia="el-GR"/>
        </w:rPr>
        <w:t xml:space="preserve"> </w:t>
      </w:r>
      <w:r w:rsidRPr="00086270">
        <w:rPr>
          <w:rFonts w:ascii="Times New Roman" w:eastAsia="MS Mincho" w:hAnsi="Times New Roman" w:cs="Times New Roman"/>
          <w:sz w:val="24"/>
          <w:szCs w:val="24"/>
          <w:lang w:val="en-GB" w:eastAsia="el-GR"/>
        </w:rPr>
        <w:t xml:space="preserve">of </w:t>
      </w:r>
      <w:proofErr w:type="spellStart"/>
      <w:r w:rsidRPr="00086270">
        <w:rPr>
          <w:rFonts w:ascii="Times New Roman" w:eastAsia="MS Mincho" w:hAnsi="Times New Roman" w:cs="Times New Roman"/>
          <w:sz w:val="24"/>
          <w:szCs w:val="24"/>
          <w:lang w:val="en-GB" w:eastAsia="el-GR"/>
        </w:rPr>
        <w:t>Dmab</w:t>
      </w:r>
      <w:proofErr w:type="spellEnd"/>
      <w:r w:rsidRPr="00086270">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(6 months after the last injection)</w:t>
      </w:r>
      <w:r w:rsidRPr="00086270">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 xml:space="preserve">for the ZOL and </w:t>
      </w:r>
      <w:proofErr w:type="spellStart"/>
      <w:r>
        <w:rPr>
          <w:rFonts w:ascii="Times New Roman" w:eastAsia="MS Mincho" w:hAnsi="Times New Roman" w:cs="Times New Roman"/>
          <w:sz w:val="24"/>
          <w:szCs w:val="24"/>
          <w:lang w:val="en-GB" w:eastAsia="el-GR"/>
        </w:rPr>
        <w:t>Dmab</w:t>
      </w:r>
      <w:proofErr w:type="spellEnd"/>
      <w:r>
        <w:rPr>
          <w:rFonts w:ascii="Times New Roman" w:eastAsia="MS Mincho" w:hAnsi="Times New Roman" w:cs="Times New Roman"/>
          <w:sz w:val="24"/>
          <w:szCs w:val="24"/>
          <w:lang w:val="en-GB" w:eastAsia="el-GR"/>
        </w:rPr>
        <w:t xml:space="preserve"> group</w:t>
      </w:r>
      <w:r w:rsidRPr="00086270">
        <w:rPr>
          <w:rFonts w:ascii="Times New Roman" w:eastAsia="MS Mincho" w:hAnsi="Times New Roman" w:cs="Times New Roman"/>
          <w:sz w:val="24"/>
          <w:szCs w:val="24"/>
          <w:lang w:val="en-GB" w:eastAsia="el-GR"/>
        </w:rPr>
        <w:t xml:space="preserve">, </w:t>
      </w:r>
      <w:r w:rsidRPr="00086270">
        <w:rPr>
          <w:rFonts w:ascii="Times New Roman" w:eastAsia="MS Mincho" w:hAnsi="Times New Roman" w:cs="Times New Roman"/>
          <w:sz w:val="24"/>
          <w:szCs w:val="24"/>
          <w:lang w:val="en-GB" w:eastAsia="el-GR"/>
        </w:rPr>
        <w:lastRenderedPageBreak/>
        <w:t>respectively</w:t>
      </w:r>
      <w:r>
        <w:rPr>
          <w:rFonts w:ascii="Times New Roman" w:eastAsia="MS Mincho" w:hAnsi="Times New Roman" w:cs="Times New Roman"/>
          <w:sz w:val="24"/>
          <w:szCs w:val="24"/>
          <w:lang w:val="en-GB" w:eastAsia="el-GR"/>
        </w:rPr>
        <w:t>, were also statistically significant both at the LS-BMD (p=0.003) and the FN-BMD (p=0.007</w:t>
      </w:r>
      <w:proofErr w:type="gramStart"/>
      <w:r>
        <w:rPr>
          <w:rFonts w:ascii="Times New Roman" w:eastAsia="MS Mincho" w:hAnsi="Times New Roman" w:cs="Times New Roman"/>
          <w:sz w:val="24"/>
          <w:szCs w:val="24"/>
          <w:lang w:val="en-GB" w:eastAsia="el-GR"/>
        </w:rPr>
        <w:t>) .</w:t>
      </w:r>
      <w:proofErr w:type="gramEnd"/>
      <w:r>
        <w:rPr>
          <w:rFonts w:ascii="Times New Roman" w:eastAsia="MS Mincho" w:hAnsi="Times New Roman" w:cs="Times New Roman"/>
          <w:sz w:val="24"/>
          <w:szCs w:val="24"/>
          <w:lang w:val="en-GB" w:eastAsia="el-GR"/>
        </w:rPr>
        <w:t xml:space="preserve"> </w:t>
      </w:r>
    </w:p>
    <w:p w:rsidR="00E66E06" w:rsidRPr="009F4631" w:rsidRDefault="00E66E06" w:rsidP="00E66E06">
      <w:pPr>
        <w:spacing w:after="0" w:line="480" w:lineRule="auto"/>
        <w:jc w:val="both"/>
        <w:rPr>
          <w:rFonts w:ascii="Times New Roman" w:eastAsia="MS Mincho" w:hAnsi="Times New Roman" w:cs="Times New Roman"/>
          <w:sz w:val="24"/>
          <w:szCs w:val="24"/>
          <w:lang w:val="en-GB" w:eastAsia="el-GR"/>
        </w:rPr>
      </w:pPr>
      <w:r w:rsidRPr="009F4631">
        <w:rPr>
          <w:rFonts w:ascii="Times New Roman" w:eastAsia="MS Mincho" w:hAnsi="Times New Roman" w:cs="Times New Roman"/>
          <w:sz w:val="24"/>
          <w:szCs w:val="24"/>
          <w:lang w:val="en-GB" w:eastAsia="el-GR"/>
        </w:rPr>
        <w:t xml:space="preserve">There was no relationship between the number of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injections and LS-BMD changes (month 12 to 24) in either group of women; in the </w:t>
      </w:r>
      <w:proofErr w:type="spellStart"/>
      <w:r w:rsidRPr="009F4631">
        <w:rPr>
          <w:rFonts w:ascii="Times New Roman" w:eastAsia="MS Mincho" w:hAnsi="Times New Roman" w:cs="Times New Roman"/>
          <w:sz w:val="24"/>
          <w:szCs w:val="24"/>
          <w:lang w:val="en-GB" w:eastAsia="el-GR"/>
        </w:rPr>
        <w:t>Dmab</w:t>
      </w:r>
      <w:proofErr w:type="spellEnd"/>
      <w:r w:rsidRPr="009F4631">
        <w:rPr>
          <w:rFonts w:ascii="Times New Roman" w:eastAsia="MS Mincho" w:hAnsi="Times New Roman" w:cs="Times New Roman"/>
          <w:sz w:val="24"/>
          <w:szCs w:val="24"/>
          <w:lang w:val="en-GB" w:eastAsia="el-GR"/>
        </w:rPr>
        <w:t xml:space="preserve"> group, the correlation coefficient (</w:t>
      </w:r>
      <w:proofErr w:type="spellStart"/>
      <w:r w:rsidRPr="009F4631">
        <w:rPr>
          <w:rFonts w:ascii="Times New Roman" w:eastAsia="MS Mincho" w:hAnsi="Times New Roman" w:cs="Times New Roman"/>
          <w:sz w:val="24"/>
          <w:szCs w:val="24"/>
          <w:lang w:val="en-GB" w:eastAsia="el-GR"/>
        </w:rPr>
        <w:t>rs</w:t>
      </w:r>
      <w:proofErr w:type="spellEnd"/>
      <w:r w:rsidRPr="009F4631">
        <w:rPr>
          <w:rFonts w:ascii="Times New Roman" w:eastAsia="MS Mincho" w:hAnsi="Times New Roman" w:cs="Times New Roman"/>
          <w:sz w:val="24"/>
          <w:szCs w:val="24"/>
          <w:lang w:val="en-GB" w:eastAsia="el-GR"/>
        </w:rPr>
        <w:t xml:space="preserve">) between changes in LS-BMD and number of denosumab injections (4 to 10) was -0.155 (p=0.415). In the ZOL group, the respective </w:t>
      </w:r>
      <w:proofErr w:type="spellStart"/>
      <w:r w:rsidRPr="009F4631">
        <w:rPr>
          <w:rFonts w:ascii="Times New Roman" w:eastAsia="MS Mincho" w:hAnsi="Times New Roman" w:cs="Times New Roman"/>
          <w:sz w:val="24"/>
          <w:szCs w:val="24"/>
          <w:lang w:val="en-GB" w:eastAsia="el-GR"/>
        </w:rPr>
        <w:t>rs</w:t>
      </w:r>
      <w:proofErr w:type="spellEnd"/>
      <w:r w:rsidRPr="009F4631">
        <w:rPr>
          <w:rFonts w:ascii="Times New Roman" w:eastAsia="MS Mincho" w:hAnsi="Times New Roman" w:cs="Times New Roman"/>
          <w:sz w:val="24"/>
          <w:szCs w:val="24"/>
          <w:lang w:val="en-GB" w:eastAsia="el-GR"/>
        </w:rPr>
        <w:t xml:space="preserve"> was -0.002 (p=0.991). </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9F4631">
        <w:rPr>
          <w:rFonts w:ascii="Times New Roman" w:eastAsia="MS Mincho" w:hAnsi="Times New Roman" w:cs="Times New Roman"/>
          <w:sz w:val="24"/>
          <w:szCs w:val="24"/>
          <w:lang w:val="en-GB" w:eastAsia="el-GR"/>
        </w:rPr>
        <w:t xml:space="preserve">Responses, however, of individual patients to ZOL were variable and in 3 women decreases of LS-BMD </w:t>
      </w:r>
      <w:r>
        <w:rPr>
          <w:rFonts w:ascii="Times New Roman" w:eastAsia="MS Mincho" w:hAnsi="Times New Roman" w:cs="Times New Roman"/>
          <w:sz w:val="24"/>
          <w:szCs w:val="24"/>
          <w:lang w:val="en-GB" w:eastAsia="el-GR"/>
        </w:rPr>
        <w:t>greater than</w:t>
      </w:r>
      <w:r w:rsidRPr="009F4631">
        <w:rPr>
          <w:rFonts w:ascii="Times New Roman" w:eastAsia="MS Mincho" w:hAnsi="Times New Roman" w:cs="Times New Roman"/>
          <w:sz w:val="24"/>
          <w:szCs w:val="24"/>
          <w:lang w:val="en-GB" w:eastAsia="el-GR"/>
        </w:rPr>
        <w:t xml:space="preserve"> the </w:t>
      </w:r>
      <w:r>
        <w:rPr>
          <w:rFonts w:ascii="Times New Roman" w:eastAsia="MS Mincho" w:hAnsi="Times New Roman" w:cs="Times New Roman"/>
          <w:sz w:val="24"/>
          <w:szCs w:val="24"/>
          <w:lang w:val="en-GB" w:eastAsia="el-GR"/>
        </w:rPr>
        <w:t>LSC</w:t>
      </w:r>
      <w:r w:rsidRPr="009F4631">
        <w:rPr>
          <w:rFonts w:ascii="Times New Roman" w:eastAsia="MS Mincho" w:hAnsi="Times New Roman" w:cs="Times New Roman"/>
          <w:sz w:val="24"/>
          <w:szCs w:val="24"/>
          <w:lang w:val="en-GB" w:eastAsia="el-GR"/>
        </w:rPr>
        <w:t xml:space="preserve"> were observed at 24 months</w:t>
      </w:r>
      <w:r>
        <w:rPr>
          <w:rFonts w:ascii="Times New Roman" w:eastAsia="MS Mincho" w:hAnsi="Times New Roman" w:cs="Times New Roman"/>
          <w:sz w:val="24"/>
          <w:szCs w:val="24"/>
          <w:lang w:val="en-GB" w:eastAsia="el-GR"/>
        </w:rPr>
        <w:t xml:space="preserve"> (Figure 3); in 4 women FN-BMD loss exceeded LSC.</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p>
    <w:p w:rsidR="00E66E06" w:rsidRPr="00E62EBD" w:rsidRDefault="00E66E06" w:rsidP="00E66E06">
      <w:pPr>
        <w:spacing w:after="0" w:line="480" w:lineRule="auto"/>
        <w:jc w:val="both"/>
        <w:rPr>
          <w:rFonts w:ascii="Times New Roman" w:eastAsia="MS Mincho" w:hAnsi="Times New Roman" w:cs="Times New Roman"/>
          <w:sz w:val="24"/>
          <w:szCs w:val="24"/>
          <w:lang w:val="en-GB" w:eastAsia="el-GR"/>
        </w:rPr>
      </w:pPr>
      <w:r w:rsidRPr="00DC30AB">
        <w:rPr>
          <w:rFonts w:ascii="Times New Roman" w:eastAsia="MS Mincho" w:hAnsi="Times New Roman" w:cs="Times New Roman"/>
          <w:i/>
          <w:sz w:val="24"/>
          <w:szCs w:val="24"/>
          <w:lang w:val="en-GB" w:eastAsia="el-GR"/>
        </w:rPr>
        <w:t xml:space="preserve">Bone turnover markers </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F22B8D">
        <w:rPr>
          <w:rFonts w:ascii="Times New Roman" w:eastAsia="MS Mincho" w:hAnsi="Times New Roman" w:cs="Times New Roman"/>
          <w:sz w:val="24"/>
          <w:szCs w:val="24"/>
          <w:lang w:val="en-GB" w:eastAsia="el-GR"/>
        </w:rPr>
        <w:t xml:space="preserve">At study entry (6 months after the last </w:t>
      </w:r>
      <w:proofErr w:type="spellStart"/>
      <w:r w:rsidRPr="00F22B8D">
        <w:rPr>
          <w:rFonts w:ascii="Times New Roman" w:eastAsia="MS Mincho" w:hAnsi="Times New Roman" w:cs="Times New Roman"/>
          <w:sz w:val="24"/>
          <w:szCs w:val="24"/>
          <w:lang w:val="en-GB" w:eastAsia="el-GR"/>
        </w:rPr>
        <w:t>Dmab</w:t>
      </w:r>
      <w:proofErr w:type="spellEnd"/>
      <w:r w:rsidRPr="00F22B8D">
        <w:rPr>
          <w:rFonts w:ascii="Times New Roman" w:eastAsia="MS Mincho" w:hAnsi="Times New Roman" w:cs="Times New Roman"/>
          <w:sz w:val="24"/>
          <w:szCs w:val="24"/>
          <w:lang w:val="en-GB" w:eastAsia="el-GR"/>
        </w:rPr>
        <w:t xml:space="preserve"> injection) serum P1NP levels were above the upper limit of the reference range in 4 patients (3 above postmenopausal and 1 above premenopausal values); no patient had serum CTX values above postmenopausal reference range but in 4</w:t>
      </w:r>
      <w:r>
        <w:rPr>
          <w:rFonts w:ascii="Times New Roman" w:eastAsia="MS Mincho" w:hAnsi="Times New Roman" w:cs="Times New Roman"/>
          <w:sz w:val="24"/>
          <w:szCs w:val="24"/>
          <w:lang w:val="en-GB" w:eastAsia="el-GR"/>
        </w:rPr>
        <w:t xml:space="preserve"> </w:t>
      </w:r>
      <w:proofErr w:type="gramStart"/>
      <w:r>
        <w:rPr>
          <w:rFonts w:ascii="Times New Roman" w:eastAsia="MS Mincho" w:hAnsi="Times New Roman" w:cs="Times New Roman"/>
          <w:sz w:val="24"/>
          <w:szCs w:val="24"/>
          <w:lang w:val="en-GB" w:eastAsia="el-GR"/>
        </w:rPr>
        <w:t>patients</w:t>
      </w:r>
      <w:proofErr w:type="gramEnd"/>
      <w:r w:rsidRPr="00F22B8D">
        <w:rPr>
          <w:rFonts w:ascii="Times New Roman" w:eastAsia="MS Mincho" w:hAnsi="Times New Roman" w:cs="Times New Roman"/>
          <w:sz w:val="24"/>
          <w:szCs w:val="24"/>
          <w:lang w:val="en-GB" w:eastAsia="el-GR"/>
        </w:rPr>
        <w:t xml:space="preserve"> values were above the upper limit of normal of the premenopausal range. The ZOL infusion was followed by a small but significant increase in serum CTX and P1NP values during the first year and stabilization thereafter. At 24 months, serum P1NP levels were above the upper limit of normal postmenopausal values in 2 patients (7.4%) and in another 4 patients these were above the premenopausal reference range. Serum CTX values at 24 months were increased (premenopausal range) in 2 patients. Thus, a single ZOL infusion though highly efficacious could not completely retain BTM levels within the reference range following </w:t>
      </w:r>
      <w:proofErr w:type="spellStart"/>
      <w:r w:rsidRPr="00F22B8D">
        <w:rPr>
          <w:rFonts w:ascii="Times New Roman" w:eastAsia="MS Mincho" w:hAnsi="Times New Roman" w:cs="Times New Roman"/>
          <w:sz w:val="24"/>
          <w:szCs w:val="24"/>
          <w:lang w:val="en-GB" w:eastAsia="el-GR"/>
        </w:rPr>
        <w:t>Dmab</w:t>
      </w:r>
      <w:proofErr w:type="spellEnd"/>
      <w:r w:rsidRPr="00F22B8D">
        <w:rPr>
          <w:rFonts w:ascii="Times New Roman" w:eastAsia="MS Mincho" w:hAnsi="Times New Roman" w:cs="Times New Roman"/>
          <w:sz w:val="24"/>
          <w:szCs w:val="24"/>
          <w:lang w:val="en-GB" w:eastAsia="el-GR"/>
        </w:rPr>
        <w:t xml:space="preserve"> discontinuation over 2 years. In patients treated with </w:t>
      </w:r>
      <w:proofErr w:type="spellStart"/>
      <w:r w:rsidRPr="00F22B8D">
        <w:rPr>
          <w:rFonts w:ascii="Times New Roman" w:eastAsia="MS Mincho" w:hAnsi="Times New Roman" w:cs="Times New Roman"/>
          <w:sz w:val="24"/>
          <w:szCs w:val="24"/>
          <w:lang w:val="en-GB" w:eastAsia="el-GR"/>
        </w:rPr>
        <w:t>Dmab</w:t>
      </w:r>
      <w:proofErr w:type="spellEnd"/>
      <w:r w:rsidRPr="00F22B8D">
        <w:rPr>
          <w:rFonts w:ascii="Times New Roman" w:eastAsia="MS Mincho" w:hAnsi="Times New Roman" w:cs="Times New Roman"/>
          <w:sz w:val="24"/>
          <w:szCs w:val="24"/>
          <w:lang w:val="en-GB" w:eastAsia="el-GR"/>
        </w:rPr>
        <w:t xml:space="preserve">, there was no change in mean values of both BTMs during the first 12 months and </w:t>
      </w:r>
      <w:r>
        <w:rPr>
          <w:rFonts w:ascii="Times New Roman" w:eastAsia="MS Mincho" w:hAnsi="Times New Roman" w:cs="Times New Roman"/>
          <w:sz w:val="24"/>
          <w:szCs w:val="24"/>
          <w:lang w:val="en-GB" w:eastAsia="el-GR"/>
        </w:rPr>
        <w:t>no patient</w:t>
      </w:r>
      <w:r w:rsidRPr="00F22B8D">
        <w:rPr>
          <w:rFonts w:ascii="Times New Roman" w:eastAsia="MS Mincho" w:hAnsi="Times New Roman" w:cs="Times New Roman"/>
          <w:sz w:val="24"/>
          <w:szCs w:val="24"/>
          <w:lang w:val="en-GB" w:eastAsia="el-GR"/>
        </w:rPr>
        <w:t xml:space="preserve"> had serum values above the upper limit of the reference range. At month 15 (9 months after the last </w:t>
      </w:r>
      <w:proofErr w:type="spellStart"/>
      <w:r w:rsidRPr="00F22B8D">
        <w:rPr>
          <w:rFonts w:ascii="Times New Roman" w:eastAsia="MS Mincho" w:hAnsi="Times New Roman" w:cs="Times New Roman"/>
          <w:sz w:val="24"/>
          <w:szCs w:val="24"/>
          <w:lang w:val="en-GB" w:eastAsia="el-GR"/>
        </w:rPr>
        <w:t>Dmab</w:t>
      </w:r>
      <w:proofErr w:type="spellEnd"/>
      <w:r w:rsidRPr="00F22B8D">
        <w:rPr>
          <w:rFonts w:ascii="Times New Roman" w:eastAsia="MS Mincho" w:hAnsi="Times New Roman" w:cs="Times New Roman"/>
          <w:sz w:val="24"/>
          <w:szCs w:val="24"/>
          <w:lang w:val="en-GB" w:eastAsia="el-GR"/>
        </w:rPr>
        <w:t xml:space="preserve"> injection) serum P1NP and CTX values increased significantly reaching levels that were also significantly higher than </w:t>
      </w:r>
      <w:r w:rsidRPr="00F22B8D">
        <w:rPr>
          <w:rFonts w:ascii="Times New Roman" w:eastAsia="MS Mincho" w:hAnsi="Times New Roman" w:cs="Times New Roman"/>
          <w:sz w:val="24"/>
          <w:szCs w:val="24"/>
          <w:lang w:val="en-GB" w:eastAsia="el-GR"/>
        </w:rPr>
        <w:lastRenderedPageBreak/>
        <w:t>those of the ZOL group. At 24 months only 2 patients had serum P1NP values within the premenopausal range; serum CTX values within this range were measured in 12 patients. Thus, independently of the definition of the refe</w:t>
      </w:r>
      <w:r>
        <w:rPr>
          <w:rFonts w:ascii="Times New Roman" w:eastAsia="MS Mincho" w:hAnsi="Times New Roman" w:cs="Times New Roman"/>
          <w:sz w:val="24"/>
          <w:szCs w:val="24"/>
          <w:lang w:val="en-GB" w:eastAsia="el-GR"/>
        </w:rPr>
        <w:t>re</w:t>
      </w:r>
      <w:r w:rsidRPr="00F22B8D">
        <w:rPr>
          <w:rFonts w:ascii="Times New Roman" w:eastAsia="MS Mincho" w:hAnsi="Times New Roman" w:cs="Times New Roman"/>
          <w:sz w:val="24"/>
          <w:szCs w:val="24"/>
          <w:lang w:val="en-GB" w:eastAsia="el-GR"/>
        </w:rPr>
        <w:t xml:space="preserve">nce range, high levels of BTMs persisted 18 months after the last </w:t>
      </w:r>
      <w:proofErr w:type="spellStart"/>
      <w:r w:rsidRPr="00F22B8D">
        <w:rPr>
          <w:rFonts w:ascii="Times New Roman" w:eastAsia="MS Mincho" w:hAnsi="Times New Roman" w:cs="Times New Roman"/>
          <w:sz w:val="24"/>
          <w:szCs w:val="24"/>
          <w:lang w:val="en-GB" w:eastAsia="el-GR"/>
        </w:rPr>
        <w:t>Dmab</w:t>
      </w:r>
      <w:proofErr w:type="spellEnd"/>
      <w:r w:rsidRPr="00F22B8D">
        <w:rPr>
          <w:rFonts w:ascii="Times New Roman" w:eastAsia="MS Mincho" w:hAnsi="Times New Roman" w:cs="Times New Roman"/>
          <w:sz w:val="24"/>
          <w:szCs w:val="24"/>
          <w:lang w:val="en-GB" w:eastAsia="el-GR"/>
        </w:rPr>
        <w:t xml:space="preserve"> injection in the majority of studied patients.</w:t>
      </w:r>
    </w:p>
    <w:p w:rsidR="00E66E06" w:rsidRPr="00B83304" w:rsidRDefault="00E66E06" w:rsidP="00E66E06">
      <w:pPr>
        <w:tabs>
          <w:tab w:val="left" w:pos="6120"/>
        </w:tabs>
        <w:spacing w:after="0" w:line="480" w:lineRule="auto"/>
        <w:jc w:val="both"/>
        <w:rPr>
          <w:rFonts w:ascii="Times New Roman" w:eastAsia="MS Mincho" w:hAnsi="Times New Roman" w:cs="Times New Roman"/>
          <w:i/>
          <w:sz w:val="24"/>
          <w:szCs w:val="24"/>
          <w:lang w:val="en-GB" w:eastAsia="el-GR"/>
        </w:rPr>
      </w:pPr>
      <w:r w:rsidRPr="00B83304">
        <w:rPr>
          <w:rFonts w:ascii="Times New Roman" w:eastAsia="MS Mincho" w:hAnsi="Times New Roman" w:cs="Times New Roman"/>
          <w:i/>
          <w:sz w:val="24"/>
          <w:szCs w:val="24"/>
          <w:lang w:val="en-GB" w:eastAsia="el-GR"/>
        </w:rPr>
        <w:t>Fractures</w:t>
      </w:r>
    </w:p>
    <w:p w:rsidR="00E66E06" w:rsidRDefault="00E66E06" w:rsidP="00E66E06">
      <w:pPr>
        <w:spacing w:after="0" w:line="480" w:lineRule="auto"/>
        <w:jc w:val="both"/>
        <w:rPr>
          <w:rFonts w:ascii="Times New Roman" w:eastAsia="MS Mincho" w:hAnsi="Times New Roman" w:cs="Times New Roman"/>
          <w:sz w:val="24"/>
          <w:szCs w:val="24"/>
          <w:lang w:val="en-GB" w:eastAsia="el-GR"/>
        </w:rPr>
      </w:pPr>
      <w:r w:rsidRPr="001877A0">
        <w:rPr>
          <w:rFonts w:ascii="Times New Roman" w:eastAsia="MS Mincho" w:hAnsi="Times New Roman" w:cs="Times New Roman"/>
          <w:sz w:val="24"/>
          <w:szCs w:val="24"/>
          <w:lang w:val="en-GB" w:eastAsia="el-GR"/>
        </w:rPr>
        <w:t xml:space="preserve">During the study three patients sustained clinical vertebral fractures, one in the ZOL group (3.7%) and two in the </w:t>
      </w:r>
      <w:proofErr w:type="spellStart"/>
      <w:r w:rsidRPr="001877A0">
        <w:rPr>
          <w:rFonts w:ascii="Times New Roman" w:eastAsia="MS Mincho" w:hAnsi="Times New Roman" w:cs="Times New Roman"/>
          <w:sz w:val="24"/>
          <w:szCs w:val="24"/>
          <w:lang w:val="en-GB" w:eastAsia="el-GR"/>
        </w:rPr>
        <w:t>Dmab</w:t>
      </w:r>
      <w:proofErr w:type="spellEnd"/>
      <w:r w:rsidRPr="001877A0">
        <w:rPr>
          <w:rFonts w:ascii="Times New Roman" w:eastAsia="MS Mincho" w:hAnsi="Times New Roman" w:cs="Times New Roman"/>
          <w:sz w:val="24"/>
          <w:szCs w:val="24"/>
          <w:lang w:val="en-GB" w:eastAsia="el-GR"/>
        </w:rPr>
        <w:t xml:space="preserve"> group (6.7%). In the first patient, these occurred 12 months after the ZOL infusion</w:t>
      </w:r>
      <w:r>
        <w:rPr>
          <w:rFonts w:ascii="Times New Roman" w:eastAsia="MS Mincho" w:hAnsi="Times New Roman" w:cs="Times New Roman"/>
          <w:sz w:val="24"/>
          <w:szCs w:val="24"/>
          <w:lang w:val="en-GB" w:eastAsia="el-GR"/>
        </w:rPr>
        <w:t xml:space="preserve"> - 18 months after the last </w:t>
      </w:r>
      <w:proofErr w:type="spellStart"/>
      <w:r>
        <w:rPr>
          <w:rFonts w:ascii="Times New Roman" w:eastAsia="MS Mincho" w:hAnsi="Times New Roman" w:cs="Times New Roman"/>
          <w:sz w:val="24"/>
          <w:szCs w:val="24"/>
          <w:lang w:val="en-GB" w:eastAsia="el-GR"/>
        </w:rPr>
        <w:t>Dmab</w:t>
      </w:r>
      <w:proofErr w:type="spellEnd"/>
      <w:r>
        <w:rPr>
          <w:rFonts w:ascii="Times New Roman" w:eastAsia="MS Mincho" w:hAnsi="Times New Roman" w:cs="Times New Roman"/>
          <w:sz w:val="24"/>
          <w:szCs w:val="24"/>
          <w:lang w:val="en-GB" w:eastAsia="el-GR"/>
        </w:rPr>
        <w:t xml:space="preserve"> injection -</w:t>
      </w:r>
      <w:r w:rsidRPr="001877A0">
        <w:rPr>
          <w:rFonts w:ascii="Times New Roman" w:eastAsia="MS Mincho" w:hAnsi="Times New Roman" w:cs="Times New Roman"/>
          <w:sz w:val="24"/>
          <w:szCs w:val="24"/>
          <w:lang w:val="en-GB" w:eastAsia="el-GR"/>
        </w:rPr>
        <w:t xml:space="preserve"> (one new and one worsening of a pre-existing vertebral deformity); in the other two patients, these occurred 9 and 12 months after the last </w:t>
      </w:r>
      <w:proofErr w:type="spellStart"/>
      <w:r w:rsidRPr="001877A0">
        <w:rPr>
          <w:rFonts w:ascii="Times New Roman" w:eastAsia="MS Mincho" w:hAnsi="Times New Roman" w:cs="Times New Roman"/>
          <w:sz w:val="24"/>
          <w:szCs w:val="24"/>
          <w:lang w:val="en-GB" w:eastAsia="el-GR"/>
        </w:rPr>
        <w:t>Dmab</w:t>
      </w:r>
      <w:proofErr w:type="spellEnd"/>
      <w:r w:rsidRPr="001877A0">
        <w:rPr>
          <w:rFonts w:ascii="Times New Roman" w:eastAsia="MS Mincho" w:hAnsi="Times New Roman" w:cs="Times New Roman"/>
          <w:sz w:val="24"/>
          <w:szCs w:val="24"/>
          <w:lang w:val="en-GB" w:eastAsia="el-GR"/>
        </w:rPr>
        <w:t xml:space="preserve"> injection and consisted of one new and worsening of two prevalent vertebral deformities in the first patient and one new and one worsening in the second patient. In the ZOL-treated patient the vertebral fractures were associated with a profound loss of hip BMD at 12 months that was not related with increases in BTMs above the upper limit of normal, immobilization or a previously unrecognized, underlying disease (Suppl</w:t>
      </w:r>
      <w:r>
        <w:rPr>
          <w:rFonts w:ascii="Times New Roman" w:eastAsia="MS Mincho" w:hAnsi="Times New Roman" w:cs="Times New Roman"/>
          <w:sz w:val="24"/>
          <w:szCs w:val="24"/>
          <w:lang w:val="en-GB" w:eastAsia="el-GR"/>
        </w:rPr>
        <w:t>ementary</w:t>
      </w:r>
      <w:r w:rsidRPr="001877A0">
        <w:rPr>
          <w:rFonts w:ascii="Times New Roman" w:eastAsia="MS Mincho" w:hAnsi="Times New Roman" w:cs="Times New Roman"/>
          <w:sz w:val="24"/>
          <w:szCs w:val="24"/>
          <w:lang w:val="en-GB" w:eastAsia="el-GR"/>
        </w:rPr>
        <w:t xml:space="preserve"> Fig</w:t>
      </w:r>
      <w:r>
        <w:rPr>
          <w:rFonts w:ascii="Times New Roman" w:eastAsia="MS Mincho" w:hAnsi="Times New Roman" w:cs="Times New Roman"/>
          <w:sz w:val="24"/>
          <w:szCs w:val="24"/>
          <w:lang w:val="en-GB" w:eastAsia="el-GR"/>
        </w:rPr>
        <w:t>ure</w:t>
      </w:r>
      <w:r w:rsidRPr="001877A0">
        <w:rPr>
          <w:rFonts w:ascii="Times New Roman" w:eastAsia="MS Mincho" w:hAnsi="Times New Roman" w:cs="Times New Roman"/>
          <w:sz w:val="24"/>
          <w:szCs w:val="24"/>
          <w:lang w:val="en-GB" w:eastAsia="el-GR"/>
        </w:rPr>
        <w:t xml:space="preserve"> </w:t>
      </w:r>
      <w:r>
        <w:rPr>
          <w:rFonts w:ascii="Times New Roman" w:eastAsia="MS Mincho" w:hAnsi="Times New Roman" w:cs="Times New Roman"/>
          <w:sz w:val="24"/>
          <w:szCs w:val="24"/>
          <w:lang w:val="en-GB" w:eastAsia="el-GR"/>
        </w:rPr>
        <w:t>1</w:t>
      </w:r>
      <w:r w:rsidRPr="001877A0">
        <w:rPr>
          <w:rFonts w:ascii="Times New Roman" w:eastAsia="MS Mincho" w:hAnsi="Times New Roman" w:cs="Times New Roman"/>
          <w:sz w:val="24"/>
          <w:szCs w:val="24"/>
          <w:lang w:val="en-GB" w:eastAsia="el-GR"/>
        </w:rPr>
        <w:t xml:space="preserve">). In addition, in an asymptomatic patient with a prevalent vertebral fracture in the </w:t>
      </w:r>
      <w:proofErr w:type="spellStart"/>
      <w:r w:rsidRPr="001877A0">
        <w:rPr>
          <w:rFonts w:ascii="Times New Roman" w:eastAsia="MS Mincho" w:hAnsi="Times New Roman" w:cs="Times New Roman"/>
          <w:sz w:val="24"/>
          <w:szCs w:val="24"/>
          <w:lang w:val="en-GB" w:eastAsia="el-GR"/>
        </w:rPr>
        <w:t>Dmab</w:t>
      </w:r>
      <w:proofErr w:type="spellEnd"/>
      <w:r w:rsidRPr="001877A0">
        <w:rPr>
          <w:rFonts w:ascii="Times New Roman" w:eastAsia="MS Mincho" w:hAnsi="Times New Roman" w:cs="Times New Roman"/>
          <w:sz w:val="24"/>
          <w:szCs w:val="24"/>
          <w:lang w:val="en-GB" w:eastAsia="el-GR"/>
        </w:rPr>
        <w:t xml:space="preserve"> group, a new morphometric vertebral fracture was observed on spine radiographs at 24 months. </w:t>
      </w:r>
      <w:r>
        <w:rPr>
          <w:rFonts w:ascii="Times New Roman" w:eastAsia="MS Mincho" w:hAnsi="Times New Roman" w:cs="Times New Roman"/>
          <w:sz w:val="24"/>
          <w:szCs w:val="24"/>
          <w:lang w:val="en-GB" w:eastAsia="el-GR"/>
        </w:rPr>
        <w:t>Both groups of patients lost height during the study (</w:t>
      </w:r>
      <w:proofErr w:type="spellStart"/>
      <w:r>
        <w:rPr>
          <w:rFonts w:ascii="Times New Roman" w:eastAsia="MS Mincho" w:hAnsi="Times New Roman" w:cs="Times New Roman"/>
          <w:sz w:val="24"/>
          <w:szCs w:val="24"/>
          <w:lang w:val="en-GB" w:eastAsia="el-GR"/>
        </w:rPr>
        <w:t>Dmab</w:t>
      </w:r>
      <w:proofErr w:type="spellEnd"/>
      <w:r>
        <w:rPr>
          <w:rFonts w:ascii="Times New Roman" w:eastAsia="MS Mincho" w:hAnsi="Times New Roman" w:cs="Times New Roman"/>
          <w:sz w:val="24"/>
          <w:szCs w:val="24"/>
          <w:lang w:val="en-GB" w:eastAsia="el-GR"/>
        </w:rPr>
        <w:t xml:space="preserve"> group 2 cm, ZOL group 1 cm) but the difference between them was not </w:t>
      </w:r>
      <w:proofErr w:type="spellStart"/>
      <w:r>
        <w:rPr>
          <w:rFonts w:ascii="Times New Roman" w:eastAsia="MS Mincho" w:hAnsi="Times New Roman" w:cs="Times New Roman"/>
          <w:sz w:val="24"/>
          <w:szCs w:val="24"/>
          <w:lang w:val="en-GB" w:eastAsia="el-GR"/>
        </w:rPr>
        <w:t>significan</w:t>
      </w:r>
      <w:proofErr w:type="spellEnd"/>
      <w:r>
        <w:rPr>
          <w:rFonts w:ascii="Times New Roman" w:eastAsia="MS Mincho" w:hAnsi="Times New Roman" w:cs="Times New Roman"/>
          <w:sz w:val="24"/>
          <w:szCs w:val="24"/>
          <w:lang w:val="en-GB" w:eastAsia="el-GR"/>
        </w:rPr>
        <w:t xml:space="preserve">.  </w:t>
      </w:r>
      <w:r w:rsidRPr="001877A0">
        <w:rPr>
          <w:rFonts w:ascii="Times New Roman" w:eastAsia="MS Mincho" w:hAnsi="Times New Roman" w:cs="Times New Roman"/>
          <w:sz w:val="24"/>
          <w:szCs w:val="24"/>
          <w:lang w:val="en-GB" w:eastAsia="el-GR"/>
        </w:rPr>
        <w:t xml:space="preserve">Except for a fracture of the 5th metatarsal bone that occurred 17 months after the last </w:t>
      </w:r>
      <w:proofErr w:type="spellStart"/>
      <w:r w:rsidRPr="001877A0">
        <w:rPr>
          <w:rFonts w:ascii="Times New Roman" w:eastAsia="MS Mincho" w:hAnsi="Times New Roman" w:cs="Times New Roman"/>
          <w:sz w:val="24"/>
          <w:szCs w:val="24"/>
          <w:lang w:val="en-GB" w:eastAsia="el-GR"/>
        </w:rPr>
        <w:t>Dmab</w:t>
      </w:r>
      <w:proofErr w:type="spellEnd"/>
      <w:r w:rsidRPr="001877A0">
        <w:rPr>
          <w:rFonts w:ascii="Times New Roman" w:eastAsia="MS Mincho" w:hAnsi="Times New Roman" w:cs="Times New Roman"/>
          <w:sz w:val="24"/>
          <w:szCs w:val="24"/>
          <w:lang w:val="en-GB" w:eastAsia="el-GR"/>
        </w:rPr>
        <w:t xml:space="preserve"> injection in a patient without prevalent fractures, no other non-vertebral fractures were observed in either group of patients during the study. </w:t>
      </w:r>
    </w:p>
    <w:p w:rsidR="00E66E06" w:rsidRPr="001877A0" w:rsidRDefault="00E66E06" w:rsidP="00E66E06">
      <w:pPr>
        <w:spacing w:after="0" w:line="480" w:lineRule="auto"/>
        <w:jc w:val="both"/>
        <w:rPr>
          <w:rFonts w:ascii="Times New Roman" w:eastAsia="MS Mincho" w:hAnsi="Times New Roman" w:cs="Times New Roman"/>
          <w:i/>
          <w:sz w:val="24"/>
          <w:szCs w:val="24"/>
          <w:lang w:val="en-GB" w:eastAsia="el-GR"/>
        </w:rPr>
      </w:pPr>
      <w:r w:rsidRPr="001877A0">
        <w:rPr>
          <w:rFonts w:ascii="Times New Roman" w:eastAsia="MS Mincho" w:hAnsi="Times New Roman" w:cs="Times New Roman"/>
          <w:i/>
          <w:sz w:val="24"/>
          <w:szCs w:val="24"/>
          <w:lang w:val="en-GB" w:eastAsia="el-GR"/>
        </w:rPr>
        <w:t>Adverse events</w:t>
      </w:r>
    </w:p>
    <w:p w:rsidR="00E66E06" w:rsidRPr="001877A0" w:rsidRDefault="00E66E06" w:rsidP="00E66E06">
      <w:pPr>
        <w:spacing w:after="0" w:line="480" w:lineRule="auto"/>
        <w:jc w:val="both"/>
        <w:rPr>
          <w:rFonts w:ascii="Times New Roman" w:eastAsia="MS Mincho" w:hAnsi="Times New Roman" w:cs="Times New Roman"/>
          <w:sz w:val="24"/>
          <w:szCs w:val="24"/>
          <w:lang w:val="en-GB" w:eastAsia="el-GR"/>
        </w:rPr>
      </w:pPr>
      <w:r w:rsidRPr="001877A0">
        <w:rPr>
          <w:rFonts w:ascii="Times New Roman" w:eastAsia="MS Mincho" w:hAnsi="Times New Roman" w:cs="Times New Roman"/>
          <w:sz w:val="24"/>
          <w:szCs w:val="24"/>
          <w:lang w:val="en-GB" w:eastAsia="el-GR"/>
        </w:rPr>
        <w:t xml:space="preserve">Eighteen (66.7%) of the 27 women in the ZOL group developed symptoms compatible with a transient acute phase reaction that was treated with paracetamol. No adverse events were recorded in the </w:t>
      </w:r>
      <w:proofErr w:type="spellStart"/>
      <w:r w:rsidRPr="001877A0">
        <w:rPr>
          <w:rFonts w:ascii="Times New Roman" w:eastAsia="MS Mincho" w:hAnsi="Times New Roman" w:cs="Times New Roman"/>
          <w:sz w:val="24"/>
          <w:szCs w:val="24"/>
          <w:lang w:val="en-GB" w:eastAsia="el-GR"/>
        </w:rPr>
        <w:t>Dmab</w:t>
      </w:r>
      <w:proofErr w:type="spellEnd"/>
      <w:r w:rsidRPr="001877A0">
        <w:rPr>
          <w:rFonts w:ascii="Times New Roman" w:eastAsia="MS Mincho" w:hAnsi="Times New Roman" w:cs="Times New Roman"/>
          <w:sz w:val="24"/>
          <w:szCs w:val="24"/>
          <w:lang w:val="en-GB" w:eastAsia="el-GR"/>
        </w:rPr>
        <w:t xml:space="preserve"> group of women. No cases of osteonecrosis of the jaw or atypical femoral fracture were observed. </w:t>
      </w:r>
    </w:p>
    <w:p w:rsidR="00452F79" w:rsidRPr="00E66E06" w:rsidRDefault="0078110B">
      <w:pPr>
        <w:rPr>
          <w:lang w:val="en-GB"/>
        </w:rPr>
      </w:pPr>
    </w:p>
    <w:sectPr w:rsidR="00452F79" w:rsidRPr="00E66E06" w:rsidSect="007821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E06"/>
    <w:rsid w:val="00095703"/>
    <w:rsid w:val="000B5A9B"/>
    <w:rsid w:val="0023354A"/>
    <w:rsid w:val="0060506B"/>
    <w:rsid w:val="00686430"/>
    <w:rsid w:val="006E39C1"/>
    <w:rsid w:val="0078110B"/>
    <w:rsid w:val="00782178"/>
    <w:rsid w:val="0086206C"/>
    <w:rsid w:val="008F7896"/>
    <w:rsid w:val="009E2086"/>
    <w:rsid w:val="00B62A56"/>
    <w:rsid w:val="00BA0211"/>
    <w:rsid w:val="00CD49E8"/>
    <w:rsid w:val="00DB0EF4"/>
    <w:rsid w:val="00E66E06"/>
    <w:rsid w:val="00ED284C"/>
    <w:rsid w:val="00FA3E72"/>
    <w:rsid w:val="00FD57C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02FF6959"/>
  <w15:chartTrackingRefBased/>
  <w15:docId w15:val="{D0536B0B-D3F6-9045-A8C2-B143E1D7D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66E06"/>
    <w:pPr>
      <w:spacing w:after="160" w:line="259" w:lineRule="auto"/>
    </w:pPr>
    <w:rPr>
      <w:sz w:val="22"/>
      <w:szCs w:val="2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66E06"/>
    <w:pPr>
      <w:spacing w:after="0" w:line="240" w:lineRule="auto"/>
    </w:pPr>
    <w:rPr>
      <w:rFonts w:ascii="Times New Roman" w:hAnsi="Times New Roman" w:cs="Times New Roman"/>
      <w:sz w:val="18"/>
      <w:szCs w:val="18"/>
      <w:lang w:val="nl-NL"/>
    </w:rPr>
  </w:style>
  <w:style w:type="character" w:customStyle="1" w:styleId="BallontekstChar">
    <w:name w:val="Ballontekst Char"/>
    <w:basedOn w:val="Standaardalinea-lettertype"/>
    <w:link w:val="Ballontekst"/>
    <w:uiPriority w:val="99"/>
    <w:semiHidden/>
    <w:rsid w:val="00E66E06"/>
    <w:rPr>
      <w:rFonts w:ascii="Times New Roman" w:hAnsi="Times New Roman" w:cs="Times New Roman"/>
      <w:sz w:val="18"/>
      <w:szCs w:val="18"/>
    </w:rPr>
  </w:style>
  <w:style w:type="character" w:styleId="Verwijzingopmerking">
    <w:name w:val="annotation reference"/>
    <w:basedOn w:val="Standaardalinea-lettertype"/>
    <w:semiHidden/>
    <w:unhideWhenUsed/>
    <w:rsid w:val="00E66E0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1788</Words>
  <Characters>9837</Characters>
  <Application>Microsoft Office Word</Application>
  <DocSecurity>0</DocSecurity>
  <Lines>81</Lines>
  <Paragraphs>23</Paragraphs>
  <ScaleCrop>false</ScaleCrop>
  <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Appelman</dc:creator>
  <cp:keywords/>
  <dc:description/>
  <cp:lastModifiedBy>Natasha Appelman</cp:lastModifiedBy>
  <cp:revision>3</cp:revision>
  <dcterms:created xsi:type="dcterms:W3CDTF">2021-01-28T21:29:00Z</dcterms:created>
  <dcterms:modified xsi:type="dcterms:W3CDTF">2021-01-28T21:41:00Z</dcterms:modified>
</cp:coreProperties>
</file>