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C7305" w14:textId="5D767576" w:rsidR="00B76671" w:rsidRDefault="00B76671" w:rsidP="00B76671">
      <w:pPr>
        <w:rPr>
          <w:rFonts w:ascii="Times New Roman" w:eastAsia="Times New Roman" w:hAnsi="Times New Roman" w:cs="Times New Roman"/>
          <w:lang w:eastAsia="en-GB"/>
        </w:rPr>
      </w:pPr>
    </w:p>
    <w:p w14:paraId="793C16A5" w14:textId="73D8A623" w:rsidR="00B76671" w:rsidRDefault="00B76671" w:rsidP="00B76671">
      <w:pPr>
        <w:rPr>
          <w:rFonts w:ascii="Times New Roman" w:eastAsia="Times New Roman" w:hAnsi="Times New Roman" w:cs="Times New Roman"/>
          <w:lang w:eastAsia="en-GB"/>
        </w:rPr>
      </w:pPr>
      <w:r w:rsidRPr="00B76671">
        <w:rPr>
          <w:rFonts w:ascii="Times New Roman" w:eastAsia="Times New Roman" w:hAnsi="Times New Roman" w:cs="Times New Roman"/>
          <w:lang w:eastAsia="en-GB"/>
        </w:rPr>
        <w:t xml:space="preserve">This study was designed to assess the feasibility of using an intranasal naloxone spray to treat GD. </w:t>
      </w:r>
      <w:proofErr w:type="spellStart"/>
      <w:r>
        <w:rPr>
          <w:rFonts w:ascii="Times New Roman" w:eastAsia="Times New Roman" w:hAnsi="Times New Roman" w:cs="Times New Roman"/>
          <w:lang w:val="fi-FI" w:eastAsia="en-GB"/>
        </w:rPr>
        <w:t>This</w:t>
      </w:r>
      <w:proofErr w:type="spellEnd"/>
      <w:r>
        <w:rPr>
          <w:rFonts w:ascii="Times New Roman" w:eastAsia="Times New Roman" w:hAnsi="Times New Roman" w:cs="Times New Roman"/>
          <w:lang w:val="fi-FI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fi-FI" w:eastAsia="en-GB"/>
        </w:rPr>
        <w:t>was</w:t>
      </w:r>
      <w:proofErr w:type="spellEnd"/>
      <w:r>
        <w:rPr>
          <w:rFonts w:ascii="Times New Roman" w:eastAsia="Times New Roman" w:hAnsi="Times New Roman" w:cs="Times New Roman"/>
          <w:lang w:val="fi-FI" w:eastAsia="en-GB"/>
        </w:rPr>
        <w:t xml:space="preserve"> a</w:t>
      </w:r>
      <w:r w:rsidRPr="00B76671">
        <w:rPr>
          <w:rFonts w:ascii="Times New Roman" w:eastAsia="Times New Roman" w:hAnsi="Times New Roman" w:cs="Times New Roman"/>
          <w:lang w:eastAsia="en-GB"/>
        </w:rPr>
        <w:t xml:space="preserve">n 8-week, open-label pilot study. </w:t>
      </w:r>
    </w:p>
    <w:p w14:paraId="3F0153B9" w14:textId="2D22AED4" w:rsidR="00B76671" w:rsidRDefault="00B76671" w:rsidP="00B76671">
      <w:pPr>
        <w:rPr>
          <w:rFonts w:ascii="Times New Roman" w:eastAsia="Times New Roman" w:hAnsi="Times New Roman" w:cs="Times New Roman"/>
          <w:lang w:eastAsia="en-GB"/>
        </w:rPr>
      </w:pPr>
      <w:r w:rsidRPr="00B76671">
        <w:rPr>
          <w:rFonts w:ascii="Times New Roman" w:eastAsia="Times New Roman" w:hAnsi="Times New Roman" w:cs="Times New Roman"/>
          <w:lang w:eastAsia="en-GB"/>
        </w:rPr>
        <w:t xml:space="preserve">Twenty problem gamblers (nine men) were randomised into two groups. Group A (n=10) took one dose into one nostril (2mg naloxone), as needed, with a maximum of 4 doses/day (max. 8mg/day). Group B (n=10) took one dose into each nostril (4mg naloxone) as needed, with a maximum of 4 doses/day (max. 16mg/day). </w:t>
      </w:r>
    </w:p>
    <w:p w14:paraId="53EFC59E" w14:textId="596A7FF4" w:rsidR="00B76671" w:rsidRPr="00B76671" w:rsidRDefault="00B76671" w:rsidP="00B76671">
      <w:pPr>
        <w:rPr>
          <w:rFonts w:ascii="Times New Roman" w:eastAsia="Times New Roman" w:hAnsi="Times New Roman" w:cs="Times New Roman"/>
          <w:lang w:eastAsia="en-GB"/>
        </w:rPr>
      </w:pPr>
      <w:r w:rsidRPr="00B76671">
        <w:rPr>
          <w:rFonts w:ascii="Times New Roman" w:eastAsia="Times New Roman" w:hAnsi="Times New Roman" w:cs="Times New Roman"/>
          <w:lang w:eastAsia="en-GB"/>
        </w:rPr>
        <w:t xml:space="preserve">Acceptability and feasibility of the intervention were assessed. Use of study medication, adverse events, gambling frequency and gambling expenditure were recorded in a mobile diary. Problem gambling: South Oaks Gambling Screen (SOGS), depressive symptoms: Beck Depression Inventory (BDI) and alcohol use: Alcohol Use Disorders Identification Test were recorded. Study completion rate was 90%. Acceptability and feasibility scores were high. Group B used intranasal naloxone more frequently than group A, used more naloxone. No serious adverse events were reported. The postintervention SOGS scores were lower (median=4 (IQR=3.75) versus preintervention scores (median=12 (IQR=4.75). Depressive symptoms were reduced during the trial (preintervention BDI median=9, IQR=9 vs postintervention BDI median=6, IQR=6). The acceptability and feasibility of using intranasal naloxone were high, and no serious adverse events were reported. </w:t>
      </w:r>
    </w:p>
    <w:p w14:paraId="1FCCB296" w14:textId="307D3277" w:rsidR="00B76671" w:rsidRPr="00B76671" w:rsidRDefault="00B76671" w:rsidP="00B76671">
      <w:pPr>
        <w:rPr>
          <w:rFonts w:ascii="Times New Roman" w:eastAsia="Times New Roman" w:hAnsi="Times New Roman" w:cs="Times New Roman"/>
          <w:lang w:eastAsia="en-GB"/>
        </w:rPr>
      </w:pPr>
    </w:p>
    <w:p w14:paraId="5993F4A9" w14:textId="77777777" w:rsidR="0069192F" w:rsidRDefault="0069192F"/>
    <w:sectPr w:rsidR="006919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671"/>
    <w:rsid w:val="000E6957"/>
    <w:rsid w:val="00596E91"/>
    <w:rsid w:val="0069192F"/>
    <w:rsid w:val="00B76671"/>
    <w:rsid w:val="00EE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34C0A4A"/>
  <w15:chartTrackingRefBased/>
  <w15:docId w15:val="{FA81E386-0B06-3B41-85AD-9F5223C28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Sari Castrén</dc:creator>
  <cp:keywords/>
  <dc:description/>
  <cp:lastModifiedBy>Sari Castrén</cp:lastModifiedBy>
  <cp:revision>1</cp:revision>
  <dcterms:created xsi:type="dcterms:W3CDTF">2022-05-06T15:16:00Z</dcterms:created>
  <dcterms:modified xsi:type="dcterms:W3CDTF">2022-05-06T15:25:00Z</dcterms:modified>
</cp:coreProperties>
</file>