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550" w:rsidRPr="00124DBA" w:rsidRDefault="00124DBA" w:rsidP="005D33B2">
      <w:pPr>
        <w:spacing w:before="100" w:beforeAutospacing="1" w:after="100" w:afterAutospacing="1" w:line="48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val="en-US"/>
        </w:rPr>
      </w:pPr>
      <w:r w:rsidRPr="00124DBA">
        <w:rPr>
          <w:rFonts w:ascii="Arial" w:eastAsia="Times New Roman" w:hAnsi="Arial" w:cs="Arial"/>
          <w:b/>
          <w:bCs/>
          <w:sz w:val="28"/>
          <w:szCs w:val="28"/>
          <w:lang w:val="en-US"/>
        </w:rPr>
        <w:t>Summary</w:t>
      </w:r>
    </w:p>
    <w:p w:rsidR="00124DBA" w:rsidRPr="005D33B2" w:rsidRDefault="00124DBA" w:rsidP="00124DBA">
      <w:pPr>
        <w:spacing w:before="100" w:beforeAutospacing="1" w:after="100" w:afterAutospacing="1" w:line="48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D33B2">
        <w:rPr>
          <w:rFonts w:ascii="Arial" w:eastAsia="Times New Roman" w:hAnsi="Arial" w:cs="Arial"/>
          <w:b/>
          <w:bCs/>
          <w:sz w:val="20"/>
          <w:szCs w:val="20"/>
          <w:lang w:val="en-US"/>
        </w:rPr>
        <w:t xml:space="preserve">Methods and study design </w:t>
      </w:r>
    </w:p>
    <w:p w:rsidR="00124DBA" w:rsidRPr="005D33B2" w:rsidRDefault="00124DBA" w:rsidP="00124DBA">
      <w:pPr>
        <w:spacing w:after="0" w:line="48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5D33B2">
        <w:rPr>
          <w:rFonts w:ascii="Arial" w:hAnsi="Arial" w:cs="Arial"/>
          <w:i/>
          <w:iCs/>
          <w:sz w:val="20"/>
          <w:szCs w:val="20"/>
        </w:rPr>
        <w:t>Patient cohort</w:t>
      </w:r>
    </w:p>
    <w:p w:rsidR="00124DBA" w:rsidRPr="005D33B2" w:rsidRDefault="00124DBA" w:rsidP="00124DBA">
      <w:pPr>
        <w:pStyle w:val="Default"/>
        <w:spacing w:line="480" w:lineRule="auto"/>
        <w:jc w:val="both"/>
        <w:rPr>
          <w:color w:val="auto"/>
          <w:sz w:val="20"/>
          <w:szCs w:val="20"/>
          <w:lang w:val="en-US"/>
        </w:rPr>
      </w:pPr>
      <w:r w:rsidRPr="005D33B2">
        <w:rPr>
          <w:color w:val="auto"/>
          <w:sz w:val="20"/>
          <w:szCs w:val="20"/>
          <w:lang w:val="en-US"/>
        </w:rPr>
        <w:t xml:space="preserve">In total, we enrolled 12 RDEB patients with a diagnosed </w:t>
      </w:r>
      <w:r w:rsidRPr="005D33B2">
        <w:rPr>
          <w:i/>
          <w:iCs/>
          <w:color w:val="auto"/>
          <w:sz w:val="20"/>
          <w:szCs w:val="20"/>
          <w:lang w:val="en-US"/>
        </w:rPr>
        <w:t>COL7A1</w:t>
      </w:r>
      <w:r w:rsidRPr="005D33B2">
        <w:rPr>
          <w:color w:val="auto"/>
          <w:sz w:val="20"/>
          <w:szCs w:val="20"/>
          <w:lang w:val="en-US"/>
        </w:rPr>
        <w:t xml:space="preserve"> gene mutation, of which </w:t>
      </w:r>
      <w:proofErr w:type="gramStart"/>
      <w:r w:rsidRPr="005D33B2">
        <w:rPr>
          <w:color w:val="auto"/>
          <w:sz w:val="20"/>
          <w:szCs w:val="20"/>
          <w:lang w:val="en-US"/>
        </w:rPr>
        <w:t>9</w:t>
      </w:r>
      <w:proofErr w:type="gramEnd"/>
      <w:r w:rsidRPr="005D33B2">
        <w:rPr>
          <w:color w:val="auto"/>
          <w:sz w:val="20"/>
          <w:szCs w:val="20"/>
          <w:lang w:val="en-US"/>
        </w:rPr>
        <w:t xml:space="preserve"> completed both intervention phases. </w:t>
      </w:r>
      <w:proofErr w:type="gramStart"/>
      <w:r w:rsidRPr="005D33B2">
        <w:rPr>
          <w:color w:val="auto"/>
          <w:sz w:val="20"/>
          <w:szCs w:val="20"/>
          <w:lang w:val="en-US"/>
        </w:rPr>
        <w:t>6</w:t>
      </w:r>
      <w:proofErr w:type="gramEnd"/>
      <w:r w:rsidRPr="005D33B2">
        <w:rPr>
          <w:color w:val="auto"/>
          <w:sz w:val="20"/>
          <w:szCs w:val="20"/>
          <w:lang w:val="en-US"/>
        </w:rPr>
        <w:t xml:space="preserve"> patients were included into the final </w:t>
      </w:r>
      <w:r w:rsidRPr="005B0122">
        <w:rPr>
          <w:color w:val="auto"/>
          <w:sz w:val="20"/>
          <w:szCs w:val="20"/>
          <w:lang w:val="en-US"/>
        </w:rPr>
        <w:t>analysis (Supplementary Figure 1</w:t>
      </w:r>
      <w:r w:rsidR="006B0369">
        <w:rPr>
          <w:color w:val="auto"/>
          <w:sz w:val="20"/>
          <w:szCs w:val="20"/>
          <w:lang w:val="en-US"/>
        </w:rPr>
        <w:t>)</w:t>
      </w:r>
      <w:r w:rsidRPr="005B0122">
        <w:rPr>
          <w:color w:val="auto"/>
          <w:sz w:val="20"/>
          <w:szCs w:val="20"/>
          <w:lang w:val="en-US"/>
        </w:rPr>
        <w:t>. All patients gave written informed consent to participate</w:t>
      </w:r>
      <w:r w:rsidRPr="005D33B2">
        <w:rPr>
          <w:color w:val="auto"/>
          <w:sz w:val="20"/>
          <w:szCs w:val="20"/>
          <w:lang w:val="en-US"/>
        </w:rPr>
        <w:t xml:space="preserve"> in the trial. Exclusion criteria included pregnancy, </w:t>
      </w:r>
      <w:proofErr w:type="gramStart"/>
      <w:r w:rsidRPr="005D33B2">
        <w:rPr>
          <w:color w:val="auto"/>
          <w:sz w:val="20"/>
          <w:szCs w:val="20"/>
          <w:lang w:val="en-US"/>
        </w:rPr>
        <w:t>breast feeding</w:t>
      </w:r>
      <w:proofErr w:type="gramEnd"/>
      <w:r w:rsidRPr="005D33B2">
        <w:rPr>
          <w:color w:val="auto"/>
          <w:sz w:val="20"/>
          <w:szCs w:val="20"/>
          <w:lang w:val="en-US"/>
        </w:rPr>
        <w:t xml:space="preserve">, participation in other clinical trials, known impaired kidney or liver dysfunction, known disorders of calcium metabolism, or systemic treatment with corticosteroids, immunosuppressive drugs or antibiotics. </w:t>
      </w:r>
    </w:p>
    <w:p w:rsidR="00124DBA" w:rsidRPr="005D33B2" w:rsidRDefault="00124DBA" w:rsidP="00124DBA">
      <w:pPr>
        <w:pStyle w:val="Default"/>
        <w:spacing w:line="480" w:lineRule="auto"/>
        <w:jc w:val="both"/>
        <w:rPr>
          <w:bCs/>
          <w:i/>
          <w:color w:val="auto"/>
          <w:sz w:val="20"/>
          <w:szCs w:val="20"/>
          <w:lang w:val="en-US"/>
        </w:rPr>
      </w:pPr>
    </w:p>
    <w:p w:rsidR="00124DBA" w:rsidRPr="001F35B4" w:rsidRDefault="00124DBA" w:rsidP="00124DBA">
      <w:pPr>
        <w:pStyle w:val="Default"/>
        <w:spacing w:line="480" w:lineRule="auto"/>
        <w:jc w:val="both"/>
        <w:rPr>
          <w:bCs/>
          <w:i/>
          <w:color w:val="000000" w:themeColor="text1"/>
          <w:sz w:val="20"/>
          <w:szCs w:val="20"/>
          <w:lang w:val="en-US"/>
        </w:rPr>
      </w:pPr>
      <w:r w:rsidRPr="005D33B2">
        <w:rPr>
          <w:bCs/>
          <w:i/>
          <w:color w:val="auto"/>
          <w:sz w:val="20"/>
          <w:szCs w:val="20"/>
          <w:lang w:val="en-US"/>
        </w:rPr>
        <w:t>Study medication</w:t>
      </w:r>
    </w:p>
    <w:p w:rsidR="00124DBA" w:rsidRPr="001F35B4" w:rsidRDefault="00124DBA" w:rsidP="00124DBA">
      <w:pPr>
        <w:spacing w:line="48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1F35B4">
        <w:rPr>
          <w:rFonts w:ascii="Arial" w:hAnsi="Arial" w:cs="Arial"/>
          <w:color w:val="000000" w:themeColor="text1"/>
          <w:sz w:val="20"/>
          <w:szCs w:val="20"/>
        </w:rPr>
        <w:t>Psorcutan</w:t>
      </w:r>
      <w:proofErr w:type="spellEnd"/>
      <w:r w:rsidRPr="001F35B4">
        <w:rPr>
          <w:rFonts w:ascii="Arial" w:hAnsi="Arial" w:cs="Arial"/>
          <w:color w:val="000000" w:themeColor="text1"/>
          <w:sz w:val="20"/>
          <w:szCs w:val="20"/>
          <w:vertAlign w:val="superscript"/>
        </w:rPr>
        <w:t>®</w:t>
      </w:r>
      <w:r w:rsidRPr="001F35B4">
        <w:rPr>
          <w:rFonts w:ascii="Arial" w:hAnsi="Arial" w:cs="Arial"/>
          <w:color w:val="000000" w:themeColor="text1"/>
          <w:sz w:val="20"/>
          <w:szCs w:val="20"/>
        </w:rPr>
        <w:t xml:space="preserve"> ointment containing 50 µg/g </w:t>
      </w:r>
      <w:proofErr w:type="spellStart"/>
      <w:r w:rsidRPr="001F35B4">
        <w:rPr>
          <w:rFonts w:ascii="Arial" w:hAnsi="Arial" w:cs="Arial"/>
          <w:color w:val="000000" w:themeColor="text1"/>
          <w:sz w:val="20"/>
          <w:szCs w:val="20"/>
        </w:rPr>
        <w:t>calcipotriol</w:t>
      </w:r>
      <w:proofErr w:type="spellEnd"/>
      <w:r w:rsidRPr="001F35B4">
        <w:rPr>
          <w:rFonts w:ascii="Arial" w:hAnsi="Arial" w:cs="Arial"/>
          <w:color w:val="000000" w:themeColor="text1"/>
          <w:sz w:val="20"/>
          <w:szCs w:val="20"/>
        </w:rPr>
        <w:t xml:space="preserve"> (LEO Pharma, Vienna, Austria) was diluted 1:1000 in </w:t>
      </w:r>
      <w:proofErr w:type="spellStart"/>
      <w:r w:rsidRPr="001F35B4">
        <w:rPr>
          <w:rFonts w:ascii="Arial" w:hAnsi="Arial" w:cs="Arial"/>
          <w:color w:val="000000" w:themeColor="text1"/>
          <w:sz w:val="20"/>
          <w:szCs w:val="20"/>
        </w:rPr>
        <w:t>Ultraphil</w:t>
      </w:r>
      <w:proofErr w:type="spellEnd"/>
      <w:r w:rsidRPr="001F35B4">
        <w:rPr>
          <w:rFonts w:ascii="Arial" w:hAnsi="Arial" w:cs="Arial"/>
          <w:color w:val="000000" w:themeColor="text1"/>
          <w:sz w:val="20"/>
          <w:szCs w:val="20"/>
          <w:vertAlign w:val="superscript"/>
        </w:rPr>
        <w:t xml:space="preserve">® </w:t>
      </w:r>
      <w:r w:rsidRPr="001F35B4">
        <w:rPr>
          <w:rFonts w:ascii="Arial" w:hAnsi="Arial" w:cs="Arial"/>
          <w:color w:val="000000" w:themeColor="text1"/>
          <w:sz w:val="20"/>
          <w:szCs w:val="20"/>
        </w:rPr>
        <w:t xml:space="preserve">(Bayer, Vienna, Austria), reaching a therapeutic concentration of 0.05 µg/g (~121 nM) </w:t>
      </w:r>
      <w:proofErr w:type="spellStart"/>
      <w:r w:rsidRPr="001F35B4">
        <w:rPr>
          <w:rFonts w:ascii="Arial" w:hAnsi="Arial" w:cs="Arial"/>
          <w:color w:val="000000" w:themeColor="text1"/>
          <w:sz w:val="20"/>
          <w:szCs w:val="20"/>
        </w:rPr>
        <w:t>calcipotriol</w:t>
      </w:r>
      <w:proofErr w:type="spellEnd"/>
      <w:r w:rsidRPr="001F35B4">
        <w:rPr>
          <w:rFonts w:ascii="Arial" w:hAnsi="Arial" w:cs="Arial"/>
          <w:color w:val="000000" w:themeColor="text1"/>
          <w:sz w:val="20"/>
          <w:szCs w:val="20"/>
        </w:rPr>
        <w:t xml:space="preserve"> as assessed in our single-patient observation </w:t>
      </w:r>
      <w:r w:rsidRPr="001F35B4">
        <w:rPr>
          <w:rFonts w:ascii="Arial" w:hAnsi="Arial" w:cs="Arial"/>
          <w:noProof/>
          <w:color w:val="000000" w:themeColor="text1"/>
          <w:sz w:val="20"/>
          <w:szCs w:val="20"/>
        </w:rPr>
        <w:t>(7)</w:t>
      </w:r>
      <w:r w:rsidRPr="001F35B4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Pr="001F35B4">
        <w:rPr>
          <w:rFonts w:ascii="Arial" w:hAnsi="Arial" w:cs="Arial"/>
          <w:color w:val="000000" w:themeColor="text1"/>
          <w:sz w:val="20"/>
          <w:szCs w:val="20"/>
        </w:rPr>
        <w:t>Ultraphil</w:t>
      </w:r>
      <w:proofErr w:type="spellEnd"/>
      <w:r w:rsidRPr="001F35B4">
        <w:rPr>
          <w:rFonts w:ascii="Arial" w:hAnsi="Arial" w:cs="Arial"/>
          <w:color w:val="000000" w:themeColor="text1"/>
          <w:sz w:val="20"/>
          <w:szCs w:val="20"/>
          <w:vertAlign w:val="superscript"/>
        </w:rPr>
        <w:t>®</w:t>
      </w:r>
      <w:r w:rsidRPr="001F35B4">
        <w:rPr>
          <w:rFonts w:ascii="Arial" w:hAnsi="Arial" w:cs="Arial"/>
          <w:color w:val="000000" w:themeColor="text1"/>
          <w:sz w:val="20"/>
          <w:szCs w:val="20"/>
        </w:rPr>
        <w:t xml:space="preserve"> base alone served as placebo control. </w:t>
      </w:r>
      <w:proofErr w:type="gramStart"/>
      <w:r w:rsidRPr="001F35B4">
        <w:rPr>
          <w:rFonts w:ascii="Arial" w:hAnsi="Arial" w:cs="Arial"/>
          <w:color w:val="000000" w:themeColor="text1"/>
          <w:sz w:val="20"/>
          <w:szCs w:val="20"/>
        </w:rPr>
        <w:t>Production and blinding of study medication was performed by the Good Manufacturing Practice (GMP)-certified drug production department of the hospital pharmacy according to EU GMP guidelines</w:t>
      </w:r>
      <w:proofErr w:type="gramEnd"/>
      <w:r w:rsidRPr="001F35B4"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124DBA" w:rsidRPr="005D33B2" w:rsidRDefault="00124DBA" w:rsidP="00124DBA">
      <w:pPr>
        <w:spacing w:after="0" w:line="480" w:lineRule="auto"/>
        <w:jc w:val="both"/>
        <w:rPr>
          <w:rFonts w:ascii="Arial" w:hAnsi="Arial" w:cs="Arial"/>
          <w:i/>
          <w:sz w:val="20"/>
          <w:szCs w:val="20"/>
        </w:rPr>
      </w:pPr>
      <w:r w:rsidRPr="005D33B2">
        <w:rPr>
          <w:rFonts w:ascii="Arial" w:hAnsi="Arial" w:cs="Arial"/>
          <w:i/>
          <w:sz w:val="20"/>
          <w:szCs w:val="20"/>
        </w:rPr>
        <w:t>Treatment</w:t>
      </w:r>
    </w:p>
    <w:p w:rsidR="00124DBA" w:rsidRPr="005D33B2" w:rsidRDefault="00124DBA" w:rsidP="00124DBA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5D33B2">
        <w:rPr>
          <w:rFonts w:ascii="Arial" w:hAnsi="Arial" w:cs="Arial"/>
          <w:sz w:val="20"/>
          <w:szCs w:val="20"/>
        </w:rPr>
        <w:t xml:space="preserve">Patients were randomized into two treatment arms and instructed to apply 1g of either </w:t>
      </w:r>
      <w:proofErr w:type="spellStart"/>
      <w:r w:rsidRPr="005D33B2">
        <w:rPr>
          <w:rFonts w:ascii="Arial" w:hAnsi="Arial" w:cs="Arial"/>
          <w:sz w:val="20"/>
          <w:szCs w:val="20"/>
        </w:rPr>
        <w:t>verum</w:t>
      </w:r>
      <w:proofErr w:type="spellEnd"/>
      <w:r w:rsidRPr="005D33B2">
        <w:rPr>
          <w:rFonts w:ascii="Arial" w:hAnsi="Arial" w:cs="Arial"/>
          <w:sz w:val="20"/>
          <w:szCs w:val="20"/>
        </w:rPr>
        <w:t xml:space="preserve">- (active ingredient: </w:t>
      </w:r>
      <w:proofErr w:type="spellStart"/>
      <w:r w:rsidRPr="005D33B2">
        <w:rPr>
          <w:rFonts w:ascii="Arial" w:hAnsi="Arial" w:cs="Arial"/>
          <w:sz w:val="20"/>
          <w:szCs w:val="20"/>
        </w:rPr>
        <w:t>calcipotriol</w:t>
      </w:r>
      <w:proofErr w:type="spellEnd"/>
      <w:r w:rsidRPr="005D33B2">
        <w:rPr>
          <w:rFonts w:ascii="Arial" w:hAnsi="Arial" w:cs="Arial"/>
          <w:sz w:val="20"/>
          <w:szCs w:val="20"/>
        </w:rPr>
        <w:t xml:space="preserve"> 0.05 µg/g) or placebo-containing ointment topically onto two designated target wounds (≥ 6 cm² each) daily over a period of four weeks. No other changes to standard of care of the patients </w:t>
      </w:r>
      <w:proofErr w:type="gramStart"/>
      <w:r w:rsidRPr="005D33B2">
        <w:rPr>
          <w:rFonts w:ascii="Arial" w:hAnsi="Arial" w:cs="Arial"/>
          <w:sz w:val="20"/>
          <w:szCs w:val="20"/>
        </w:rPr>
        <w:t>were applied</w:t>
      </w:r>
      <w:proofErr w:type="gramEnd"/>
      <w:r w:rsidRPr="005D33B2">
        <w:rPr>
          <w:rFonts w:ascii="Arial" w:hAnsi="Arial" w:cs="Arial"/>
          <w:sz w:val="20"/>
          <w:szCs w:val="20"/>
        </w:rPr>
        <w:t xml:space="preserve">. Thus, while patients </w:t>
      </w:r>
      <w:proofErr w:type="gramStart"/>
      <w:r w:rsidRPr="005D33B2">
        <w:rPr>
          <w:rFonts w:ascii="Arial" w:hAnsi="Arial" w:cs="Arial"/>
          <w:sz w:val="20"/>
          <w:szCs w:val="20"/>
        </w:rPr>
        <w:t>were instructed</w:t>
      </w:r>
      <w:proofErr w:type="gramEnd"/>
      <w:r w:rsidRPr="005D33B2">
        <w:rPr>
          <w:rFonts w:ascii="Arial" w:hAnsi="Arial" w:cs="Arial"/>
          <w:sz w:val="20"/>
          <w:szCs w:val="20"/>
        </w:rPr>
        <w:t xml:space="preserve"> not to apply any other topical substances onto the designated target wounds, all other EB lesions were continued to be concurrently treated with the previous local wound dressings. </w:t>
      </w:r>
    </w:p>
    <w:p w:rsidR="00124DBA" w:rsidRDefault="00124DBA" w:rsidP="00124DBA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5D33B2">
        <w:rPr>
          <w:rFonts w:ascii="Arial" w:hAnsi="Arial" w:cs="Arial"/>
          <w:sz w:val="20"/>
          <w:szCs w:val="20"/>
        </w:rPr>
        <w:t xml:space="preserve">After a two-month wash out-phase, patients crossed over into the other treatment arm. Wounds were photographed, measured and swabbed for microbiome profiling at study visits (V) on day 0 (V1/V4), 14 (V2/V5) and 28 (V3/V6) during each treatment period. </w:t>
      </w:r>
    </w:p>
    <w:p w:rsidR="00124DBA" w:rsidRDefault="00124DBA" w:rsidP="00124DBA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</w:p>
    <w:p w:rsidR="00124DBA" w:rsidRPr="005D33B2" w:rsidRDefault="00124DBA" w:rsidP="00124DBA">
      <w:pPr>
        <w:spacing w:after="0" w:line="480" w:lineRule="auto"/>
        <w:jc w:val="both"/>
        <w:rPr>
          <w:rFonts w:ascii="Arial" w:hAnsi="Arial" w:cs="Arial"/>
          <w:i/>
          <w:sz w:val="20"/>
          <w:szCs w:val="20"/>
        </w:rPr>
      </w:pPr>
      <w:r w:rsidRPr="006E48B7">
        <w:rPr>
          <w:rFonts w:ascii="Arial" w:hAnsi="Arial" w:cs="Arial"/>
          <w:sz w:val="20"/>
          <w:szCs w:val="20"/>
        </w:rPr>
        <w:t xml:space="preserve">Blood drawing was optional for the patient and </w:t>
      </w:r>
      <w:proofErr w:type="gramStart"/>
      <w:r w:rsidRPr="006E48B7">
        <w:rPr>
          <w:rFonts w:ascii="Arial" w:hAnsi="Arial" w:cs="Arial"/>
          <w:sz w:val="20"/>
          <w:szCs w:val="20"/>
        </w:rPr>
        <w:t>was performed</w:t>
      </w:r>
      <w:proofErr w:type="gramEnd"/>
      <w:r w:rsidRPr="006E48B7">
        <w:rPr>
          <w:rFonts w:ascii="Arial" w:hAnsi="Arial" w:cs="Arial"/>
          <w:sz w:val="20"/>
          <w:szCs w:val="20"/>
        </w:rPr>
        <w:t xml:space="preserve"> </w:t>
      </w:r>
      <w:r w:rsidRPr="005D33B2">
        <w:rPr>
          <w:rFonts w:ascii="Arial" w:hAnsi="Arial" w:cs="Arial"/>
          <w:sz w:val="20"/>
          <w:szCs w:val="20"/>
        </w:rPr>
        <w:t>at the beginning and end of each treatment phase to assess serum calcium levels. </w:t>
      </w:r>
    </w:p>
    <w:p w:rsidR="00124DBA" w:rsidRPr="005D33B2" w:rsidRDefault="00124DBA" w:rsidP="00124DBA">
      <w:pPr>
        <w:spacing w:after="0" w:line="480" w:lineRule="auto"/>
        <w:jc w:val="both"/>
        <w:rPr>
          <w:rFonts w:ascii="Arial" w:hAnsi="Arial" w:cs="Arial"/>
          <w:i/>
          <w:sz w:val="20"/>
          <w:szCs w:val="20"/>
        </w:rPr>
      </w:pPr>
      <w:r w:rsidRPr="005D33B2">
        <w:rPr>
          <w:rFonts w:ascii="Arial" w:hAnsi="Arial" w:cs="Arial"/>
          <w:i/>
          <w:sz w:val="20"/>
          <w:szCs w:val="20"/>
        </w:rPr>
        <w:lastRenderedPageBreak/>
        <w:t>Wound area measurement</w:t>
      </w:r>
    </w:p>
    <w:p w:rsidR="00124DBA" w:rsidRPr="005D33B2" w:rsidRDefault="00124DBA" w:rsidP="00124DBA">
      <w:pPr>
        <w:spacing w:line="480" w:lineRule="auto"/>
        <w:jc w:val="both"/>
        <w:rPr>
          <w:rFonts w:ascii="Arial" w:hAnsi="Arial" w:cs="Arial"/>
          <w:i/>
          <w:sz w:val="20"/>
          <w:szCs w:val="20"/>
        </w:rPr>
      </w:pPr>
      <w:r w:rsidRPr="005D33B2">
        <w:rPr>
          <w:rFonts w:ascii="Arial" w:hAnsi="Arial" w:cs="Arial"/>
          <w:sz w:val="20"/>
          <w:szCs w:val="20"/>
        </w:rPr>
        <w:t xml:space="preserve">Wound area </w:t>
      </w:r>
      <w:proofErr w:type="gramStart"/>
      <w:r w:rsidRPr="005D33B2">
        <w:rPr>
          <w:rFonts w:ascii="Arial" w:hAnsi="Arial" w:cs="Arial"/>
          <w:sz w:val="20"/>
          <w:szCs w:val="20"/>
        </w:rPr>
        <w:t>was assessed</w:t>
      </w:r>
      <w:proofErr w:type="gramEnd"/>
      <w:r w:rsidRPr="005D33B2">
        <w:rPr>
          <w:rFonts w:ascii="Arial" w:hAnsi="Arial" w:cs="Arial"/>
          <w:sz w:val="20"/>
          <w:szCs w:val="20"/>
        </w:rPr>
        <w:t xml:space="preserve"> by overlaying a transparent gridded foil onto the wound and tracing the wound edges with a permanent pen. Drawings were scanned and wound area was calculated (in cm</w:t>
      </w:r>
      <w:r w:rsidRPr="005D33B2">
        <w:rPr>
          <w:rFonts w:ascii="Arial" w:hAnsi="Arial" w:cs="Arial"/>
          <w:sz w:val="20"/>
          <w:szCs w:val="20"/>
          <w:vertAlign w:val="superscript"/>
        </w:rPr>
        <w:t>2</w:t>
      </w:r>
      <w:r w:rsidRPr="005D33B2">
        <w:rPr>
          <w:rFonts w:ascii="Arial" w:hAnsi="Arial" w:cs="Arial"/>
          <w:sz w:val="20"/>
          <w:szCs w:val="20"/>
        </w:rPr>
        <w:t xml:space="preserve">) by three independent, blinded investigators using </w:t>
      </w:r>
      <w:proofErr w:type="spellStart"/>
      <w:r w:rsidRPr="005D33B2">
        <w:rPr>
          <w:rFonts w:ascii="Arial" w:hAnsi="Arial" w:cs="Arial"/>
          <w:sz w:val="20"/>
          <w:szCs w:val="20"/>
        </w:rPr>
        <w:t>ImageJ</w:t>
      </w:r>
      <w:proofErr w:type="spellEnd"/>
      <w:r w:rsidRPr="005D33B2">
        <w:rPr>
          <w:rFonts w:ascii="Arial" w:hAnsi="Arial" w:cs="Arial"/>
          <w:sz w:val="20"/>
          <w:szCs w:val="20"/>
        </w:rPr>
        <w:t xml:space="preserve"> </w:t>
      </w:r>
      <w:r w:rsidR="006B0369">
        <w:rPr>
          <w:rFonts w:ascii="Arial" w:hAnsi="Arial" w:cs="Arial"/>
          <w:sz w:val="20"/>
          <w:szCs w:val="20"/>
        </w:rPr>
        <w:t>software</w:t>
      </w:r>
      <w:r w:rsidRPr="005D33B2">
        <w:rPr>
          <w:rFonts w:ascii="Arial" w:hAnsi="Arial" w:cs="Arial"/>
          <w:sz w:val="20"/>
          <w:szCs w:val="20"/>
        </w:rPr>
        <w:t xml:space="preserve">. Statistical analysis was performed on mean wound area measurements. Pruritus and pain scores were assessed using a visual </w:t>
      </w:r>
      <w:proofErr w:type="spellStart"/>
      <w:r w:rsidRPr="005D33B2">
        <w:rPr>
          <w:rFonts w:ascii="Arial" w:hAnsi="Arial" w:cs="Arial"/>
          <w:sz w:val="20"/>
          <w:szCs w:val="20"/>
        </w:rPr>
        <w:t>analog</w:t>
      </w:r>
      <w:proofErr w:type="spellEnd"/>
      <w:r w:rsidRPr="005D33B2">
        <w:rPr>
          <w:rFonts w:ascii="Arial" w:hAnsi="Arial" w:cs="Arial"/>
          <w:sz w:val="20"/>
          <w:szCs w:val="20"/>
        </w:rPr>
        <w:t xml:space="preserve"> scale ranging from </w:t>
      </w:r>
      <w:proofErr w:type="gramStart"/>
      <w:r w:rsidRPr="005D33B2">
        <w:rPr>
          <w:rFonts w:ascii="Arial" w:hAnsi="Arial" w:cs="Arial"/>
          <w:sz w:val="20"/>
          <w:szCs w:val="20"/>
        </w:rPr>
        <w:t>0</w:t>
      </w:r>
      <w:proofErr w:type="gramEnd"/>
      <w:r w:rsidRPr="005D33B2">
        <w:rPr>
          <w:rFonts w:ascii="Arial" w:hAnsi="Arial" w:cs="Arial"/>
          <w:sz w:val="20"/>
          <w:szCs w:val="20"/>
        </w:rPr>
        <w:t xml:space="preserve"> (no itch/pain) to 10 (maximum itch/pain) at every study visit. </w:t>
      </w:r>
    </w:p>
    <w:p w:rsidR="00124DBA" w:rsidRPr="005D33B2" w:rsidRDefault="00614F02" w:rsidP="00124DBA">
      <w:pPr>
        <w:spacing w:after="0" w:line="480" w:lineRule="auto"/>
        <w:jc w:val="both"/>
        <w:rPr>
          <w:rFonts w:ascii="Arial" w:hAnsi="Arial" w:cs="Arial"/>
          <w:bCs/>
          <w:i/>
          <w:sz w:val="20"/>
          <w:szCs w:val="20"/>
        </w:rPr>
      </w:pPr>
      <w:r>
        <w:rPr>
          <w:rFonts w:ascii="Arial" w:hAnsi="Arial" w:cs="Arial"/>
          <w:bCs/>
          <w:i/>
          <w:sz w:val="20"/>
          <w:szCs w:val="20"/>
        </w:rPr>
        <w:t>Microbiome sampling</w:t>
      </w:r>
    </w:p>
    <w:p w:rsidR="00124DBA" w:rsidRPr="005D33B2" w:rsidRDefault="00124DBA" w:rsidP="00124DBA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5D33B2">
        <w:rPr>
          <w:rFonts w:ascii="Arial" w:hAnsi="Arial" w:cs="Arial"/>
          <w:sz w:val="20"/>
          <w:szCs w:val="20"/>
        </w:rPr>
        <w:t xml:space="preserve">Sterile cotton swabs (Catch-All Sample collection Swab) were pre-moistened in sterile SCF-1 buffer (50 </w:t>
      </w:r>
      <w:proofErr w:type="spellStart"/>
      <w:r w:rsidRPr="005D33B2">
        <w:rPr>
          <w:rFonts w:ascii="Arial" w:hAnsi="Arial" w:cs="Arial"/>
          <w:sz w:val="20"/>
          <w:szCs w:val="20"/>
        </w:rPr>
        <w:t>mM</w:t>
      </w:r>
      <w:proofErr w:type="spellEnd"/>
      <w:r w:rsidRPr="005D33B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D33B2">
        <w:rPr>
          <w:rFonts w:ascii="Arial" w:hAnsi="Arial" w:cs="Arial"/>
          <w:sz w:val="20"/>
          <w:szCs w:val="20"/>
        </w:rPr>
        <w:t>Tris</w:t>
      </w:r>
      <w:proofErr w:type="spellEnd"/>
      <w:r w:rsidRPr="005D33B2">
        <w:rPr>
          <w:rFonts w:ascii="Arial" w:hAnsi="Arial" w:cs="Arial"/>
          <w:sz w:val="20"/>
          <w:szCs w:val="20"/>
        </w:rPr>
        <w:t xml:space="preserve"> buffer [pH 7.6], 1mM EDTA [pH 8], 0.5% Tween 20</w:t>
      </w:r>
      <w:r>
        <w:rPr>
          <w:rFonts w:ascii="Arial" w:hAnsi="Arial" w:cs="Arial"/>
          <w:sz w:val="20"/>
          <w:szCs w:val="20"/>
        </w:rPr>
        <w:t>)</w:t>
      </w:r>
      <w:r w:rsidRPr="005D33B2">
        <w:rPr>
          <w:rFonts w:ascii="Arial" w:hAnsi="Arial" w:cs="Arial"/>
          <w:sz w:val="20"/>
          <w:szCs w:val="20"/>
        </w:rPr>
        <w:t xml:space="preserve">, manufactured by the Hospital Pharmacy, Salzburg, </w:t>
      </w:r>
      <w:r w:rsidRPr="001F35B4">
        <w:rPr>
          <w:rFonts w:ascii="Arial" w:hAnsi="Arial" w:cs="Arial"/>
          <w:color w:val="000000" w:themeColor="text1"/>
          <w:sz w:val="20"/>
          <w:szCs w:val="20"/>
        </w:rPr>
        <w:t xml:space="preserve">Department of Production and immediately applied to the body site. Each target wound and the corresponding intact skin on the opposite site of the body </w:t>
      </w:r>
      <w:proofErr w:type="gramStart"/>
      <w:r w:rsidRPr="001F35B4">
        <w:rPr>
          <w:rFonts w:ascii="Arial" w:hAnsi="Arial" w:cs="Arial"/>
          <w:color w:val="000000" w:themeColor="text1"/>
          <w:sz w:val="20"/>
          <w:szCs w:val="20"/>
        </w:rPr>
        <w:t>was sampled</w:t>
      </w:r>
      <w:proofErr w:type="gramEnd"/>
      <w:r w:rsidRPr="001F35B4">
        <w:rPr>
          <w:rFonts w:ascii="Arial" w:hAnsi="Arial" w:cs="Arial"/>
          <w:color w:val="000000" w:themeColor="text1"/>
          <w:sz w:val="20"/>
          <w:szCs w:val="20"/>
        </w:rPr>
        <w:t xml:space="preserve"> according the </w:t>
      </w:r>
      <w:proofErr w:type="spellStart"/>
      <w:r w:rsidRPr="001F35B4">
        <w:rPr>
          <w:rFonts w:ascii="Arial" w:hAnsi="Arial" w:cs="Arial"/>
          <w:color w:val="000000" w:themeColor="text1"/>
          <w:sz w:val="20"/>
          <w:szCs w:val="20"/>
        </w:rPr>
        <w:t>Essener</w:t>
      </w:r>
      <w:proofErr w:type="spellEnd"/>
      <w:r w:rsidRPr="001F35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1F35B4">
        <w:rPr>
          <w:rFonts w:ascii="Arial" w:hAnsi="Arial" w:cs="Arial"/>
          <w:color w:val="000000" w:themeColor="text1"/>
          <w:sz w:val="20"/>
          <w:szCs w:val="20"/>
        </w:rPr>
        <w:t>Kreisl</w:t>
      </w:r>
      <w:proofErr w:type="spellEnd"/>
      <w:r w:rsidRPr="001F35B4">
        <w:rPr>
          <w:rFonts w:ascii="Arial" w:hAnsi="Arial" w:cs="Arial"/>
          <w:color w:val="000000" w:themeColor="text1"/>
          <w:sz w:val="20"/>
          <w:szCs w:val="20"/>
        </w:rPr>
        <w:t xml:space="preserve"> technique </w:t>
      </w:r>
      <w:r w:rsidRPr="001F35B4">
        <w:rPr>
          <w:rFonts w:ascii="Arial" w:hAnsi="Arial" w:cs="Arial"/>
          <w:noProof/>
          <w:color w:val="000000" w:themeColor="text1"/>
          <w:sz w:val="20"/>
          <w:szCs w:val="20"/>
        </w:rPr>
        <w:t>(24)</w:t>
      </w:r>
      <w:r w:rsidRPr="001F35B4">
        <w:rPr>
          <w:rFonts w:ascii="Arial" w:hAnsi="Arial" w:cs="Arial"/>
          <w:color w:val="000000" w:themeColor="text1"/>
          <w:sz w:val="20"/>
          <w:szCs w:val="20"/>
        </w:rPr>
        <w:t xml:space="preserve"> at each study visit. The head of the swab </w:t>
      </w:r>
      <w:proofErr w:type="gramStart"/>
      <w:r w:rsidRPr="001F35B4">
        <w:rPr>
          <w:rFonts w:ascii="Arial" w:hAnsi="Arial" w:cs="Arial"/>
          <w:color w:val="000000" w:themeColor="text1"/>
          <w:sz w:val="20"/>
          <w:szCs w:val="20"/>
        </w:rPr>
        <w:t xml:space="preserve">was cut </w:t>
      </w:r>
      <w:r w:rsidRPr="005D33B2">
        <w:rPr>
          <w:rFonts w:ascii="Arial" w:hAnsi="Arial" w:cs="Arial"/>
          <w:sz w:val="20"/>
          <w:szCs w:val="20"/>
        </w:rPr>
        <w:t>off</w:t>
      </w:r>
      <w:proofErr w:type="gramEnd"/>
      <w:r w:rsidRPr="005D33B2">
        <w:rPr>
          <w:rFonts w:ascii="Arial" w:hAnsi="Arial" w:cs="Arial"/>
          <w:sz w:val="20"/>
          <w:szCs w:val="20"/>
        </w:rPr>
        <w:t xml:space="preserve"> with sterile scissors, placed into sterile tubes containing SCF-1 buffer and stored at -80°C until further processing.</w:t>
      </w:r>
    </w:p>
    <w:p w:rsidR="00FB09A5" w:rsidRPr="005D33B2" w:rsidRDefault="00FB09A5" w:rsidP="00FB09A5">
      <w:pPr>
        <w:spacing w:after="0" w:line="48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5D33B2">
        <w:rPr>
          <w:rFonts w:ascii="Arial" w:hAnsi="Arial" w:cs="Arial"/>
          <w:bCs/>
          <w:i/>
          <w:sz w:val="20"/>
          <w:szCs w:val="20"/>
        </w:rPr>
        <w:t>Statistical analysis</w:t>
      </w:r>
    </w:p>
    <w:p w:rsidR="00FB09A5" w:rsidRPr="005D33B2" w:rsidRDefault="00FB09A5" w:rsidP="00FB09A5">
      <w:pPr>
        <w:spacing w:line="480" w:lineRule="auto"/>
        <w:jc w:val="both"/>
        <w:rPr>
          <w:rFonts w:ascii="Arial" w:eastAsiaTheme="minorHAnsi" w:hAnsi="Arial" w:cs="Arial"/>
          <w:color w:val="000000"/>
          <w:sz w:val="20"/>
          <w:szCs w:val="20"/>
        </w:rPr>
      </w:pPr>
      <w:r w:rsidRPr="005D33B2">
        <w:rPr>
          <w:rFonts w:ascii="Arial" w:hAnsi="Arial" w:cs="Arial"/>
          <w:color w:val="000000"/>
          <w:sz w:val="20"/>
          <w:szCs w:val="20"/>
        </w:rPr>
        <w:t xml:space="preserve">Data </w:t>
      </w:r>
      <w:proofErr w:type="gramStart"/>
      <w:r w:rsidRPr="005D33B2">
        <w:rPr>
          <w:rFonts w:ascii="Arial" w:hAnsi="Arial" w:cs="Arial"/>
          <w:color w:val="000000"/>
          <w:sz w:val="20"/>
          <w:szCs w:val="20"/>
        </w:rPr>
        <w:t>were checked</w:t>
      </w:r>
      <w:proofErr w:type="gramEnd"/>
      <w:r w:rsidRPr="005D33B2">
        <w:rPr>
          <w:rFonts w:ascii="Arial" w:hAnsi="Arial" w:cs="Arial"/>
          <w:color w:val="000000"/>
          <w:sz w:val="20"/>
          <w:szCs w:val="20"/>
        </w:rPr>
        <w:t xml:space="preserve"> for consistency and normality. Generalized estimating equation models based on gamma and Poisson distributions </w:t>
      </w:r>
      <w:proofErr w:type="gramStart"/>
      <w:r w:rsidRPr="005D33B2">
        <w:rPr>
          <w:rFonts w:ascii="Arial" w:hAnsi="Arial" w:cs="Arial"/>
          <w:color w:val="000000"/>
          <w:sz w:val="20"/>
          <w:szCs w:val="20"/>
        </w:rPr>
        <w:t>were used</w:t>
      </w:r>
      <w:proofErr w:type="gramEnd"/>
      <w:r w:rsidRPr="005D33B2">
        <w:rPr>
          <w:rFonts w:ascii="Arial" w:hAnsi="Arial" w:cs="Arial"/>
          <w:color w:val="000000"/>
          <w:sz w:val="20"/>
          <w:szCs w:val="20"/>
        </w:rPr>
        <w:t>.</w:t>
      </w:r>
      <w:r w:rsidRPr="005D33B2">
        <w:rPr>
          <w:rFonts w:ascii="Arial" w:hAnsi="Arial" w:cs="Arial"/>
          <w:sz w:val="20"/>
          <w:szCs w:val="20"/>
        </w:rPr>
        <w:t xml:space="preserve"> </w:t>
      </w:r>
      <w:r w:rsidRPr="005D33B2">
        <w:rPr>
          <w:rFonts w:ascii="Arial" w:hAnsi="Arial" w:cs="Arial"/>
          <w:color w:val="000000"/>
          <w:sz w:val="20"/>
          <w:szCs w:val="20"/>
        </w:rPr>
        <w:t xml:space="preserve">Least significant difference tests </w:t>
      </w:r>
      <w:proofErr w:type="gramStart"/>
      <w:r w:rsidRPr="005D33B2">
        <w:rPr>
          <w:rFonts w:ascii="Arial" w:hAnsi="Arial" w:cs="Arial"/>
          <w:color w:val="000000"/>
          <w:sz w:val="20"/>
          <w:szCs w:val="20"/>
        </w:rPr>
        <w:t>were used</w:t>
      </w:r>
      <w:proofErr w:type="gramEnd"/>
      <w:r w:rsidRPr="005D33B2">
        <w:rPr>
          <w:rFonts w:ascii="Arial" w:hAnsi="Arial" w:cs="Arial"/>
          <w:color w:val="000000"/>
          <w:sz w:val="20"/>
          <w:szCs w:val="20"/>
        </w:rPr>
        <w:t xml:space="preserve"> for pairwise comparisons. All reported tests were two-sided, and p-values &lt; 0.05 </w:t>
      </w:r>
      <w:proofErr w:type="gramStart"/>
      <w:r w:rsidRPr="005D33B2">
        <w:rPr>
          <w:rFonts w:ascii="Arial" w:hAnsi="Arial" w:cs="Arial"/>
          <w:color w:val="000000"/>
          <w:sz w:val="20"/>
          <w:szCs w:val="20"/>
        </w:rPr>
        <w:t>were considered</w:t>
      </w:r>
      <w:proofErr w:type="gramEnd"/>
      <w:r w:rsidRPr="005D33B2">
        <w:rPr>
          <w:rFonts w:ascii="Arial" w:hAnsi="Arial" w:cs="Arial"/>
          <w:color w:val="000000"/>
          <w:sz w:val="20"/>
          <w:szCs w:val="20"/>
        </w:rPr>
        <w:t xml:space="preserve"> statistically significant. All statistical analyses were performed by using PASW 24 (IBM SPSS Statistics for Win</w:t>
      </w:r>
      <w:r>
        <w:rPr>
          <w:rFonts w:ascii="Arial" w:hAnsi="Arial" w:cs="Arial"/>
          <w:color w:val="000000"/>
          <w:sz w:val="20"/>
          <w:szCs w:val="20"/>
        </w:rPr>
        <w:t xml:space="preserve">dows, Version 21.0, Armonk, NY) and </w:t>
      </w:r>
      <w:proofErr w:type="spellStart"/>
      <w:r w:rsidRPr="00614F02">
        <w:rPr>
          <w:rFonts w:ascii="Arial" w:hAnsi="Arial" w:cs="Arial"/>
          <w:color w:val="000000"/>
          <w:sz w:val="20"/>
          <w:szCs w:val="20"/>
        </w:rPr>
        <w:t>GraphPad</w:t>
      </w:r>
      <w:proofErr w:type="spellEnd"/>
      <w:r w:rsidRPr="00614F02">
        <w:rPr>
          <w:rFonts w:ascii="Arial" w:hAnsi="Arial" w:cs="Arial"/>
          <w:color w:val="000000"/>
          <w:sz w:val="20"/>
          <w:szCs w:val="20"/>
        </w:rPr>
        <w:t xml:space="preserve"> Prism </w:t>
      </w:r>
      <w:r>
        <w:rPr>
          <w:rFonts w:ascii="Arial" w:hAnsi="Arial" w:cs="Arial"/>
          <w:color w:val="000000"/>
          <w:sz w:val="20"/>
          <w:szCs w:val="20"/>
        </w:rPr>
        <w:t xml:space="preserve">version 9.0 </w:t>
      </w:r>
      <w:r w:rsidRPr="00614F02"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Pr="00614F02">
        <w:rPr>
          <w:rFonts w:ascii="Arial" w:hAnsi="Arial" w:cs="Arial"/>
          <w:color w:val="000000"/>
          <w:sz w:val="20"/>
          <w:szCs w:val="20"/>
        </w:rPr>
        <w:t>GraphPad</w:t>
      </w:r>
      <w:proofErr w:type="spellEnd"/>
      <w:r w:rsidRPr="00614F02">
        <w:rPr>
          <w:rFonts w:ascii="Arial" w:hAnsi="Arial" w:cs="Arial"/>
          <w:color w:val="000000"/>
          <w:sz w:val="20"/>
          <w:szCs w:val="20"/>
        </w:rPr>
        <w:t xml:space="preserve"> Software, Inc., CA, US</w:t>
      </w:r>
    </w:p>
    <w:p w:rsidR="00377550" w:rsidRDefault="00377550" w:rsidP="005D33B2">
      <w:pPr>
        <w:spacing w:before="100" w:beforeAutospacing="1" w:after="100" w:afterAutospacing="1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n-US"/>
        </w:rPr>
      </w:pPr>
    </w:p>
    <w:p w:rsidR="00FB09A5" w:rsidRDefault="00FB09A5" w:rsidP="005D33B2">
      <w:pPr>
        <w:spacing w:before="100" w:beforeAutospacing="1" w:after="100" w:afterAutospacing="1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n-US"/>
        </w:rPr>
      </w:pPr>
    </w:p>
    <w:p w:rsidR="00FB09A5" w:rsidRDefault="00FB09A5" w:rsidP="005D33B2">
      <w:pPr>
        <w:spacing w:before="100" w:beforeAutospacing="1" w:after="100" w:afterAutospacing="1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n-US"/>
        </w:rPr>
      </w:pPr>
    </w:p>
    <w:p w:rsidR="00FB09A5" w:rsidRDefault="00FB09A5" w:rsidP="005D33B2">
      <w:pPr>
        <w:spacing w:before="100" w:beforeAutospacing="1" w:after="100" w:afterAutospacing="1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n-US"/>
        </w:rPr>
      </w:pPr>
    </w:p>
    <w:p w:rsidR="00FB09A5" w:rsidRDefault="00FB09A5" w:rsidP="005D33B2">
      <w:pPr>
        <w:spacing w:before="100" w:beforeAutospacing="1" w:after="100" w:afterAutospacing="1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n-US"/>
        </w:rPr>
      </w:pPr>
    </w:p>
    <w:p w:rsidR="00FB09A5" w:rsidRDefault="00FB09A5" w:rsidP="005D33B2">
      <w:pPr>
        <w:spacing w:before="100" w:beforeAutospacing="1" w:after="100" w:afterAutospacing="1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n-US"/>
        </w:rPr>
      </w:pPr>
    </w:p>
    <w:p w:rsidR="00FB09A5" w:rsidRDefault="00FB09A5" w:rsidP="005D33B2">
      <w:pPr>
        <w:spacing w:before="100" w:beforeAutospacing="1" w:after="100" w:afterAutospacing="1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n-US"/>
        </w:rPr>
      </w:pPr>
    </w:p>
    <w:p w:rsidR="00377550" w:rsidRPr="005D33B2" w:rsidRDefault="00377550" w:rsidP="005D33B2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D33B2">
        <w:rPr>
          <w:rFonts w:ascii="Arial" w:eastAsia="Times New Roman" w:hAnsi="Arial" w:cs="Arial"/>
          <w:b/>
          <w:bCs/>
          <w:sz w:val="20"/>
          <w:szCs w:val="20"/>
          <w:lang w:val="en-US"/>
        </w:rPr>
        <w:lastRenderedPageBreak/>
        <w:t xml:space="preserve">Results </w:t>
      </w:r>
    </w:p>
    <w:p w:rsidR="00377550" w:rsidRPr="005D33B2" w:rsidRDefault="00377550" w:rsidP="005D33B2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D33B2">
        <w:rPr>
          <w:rFonts w:ascii="Arial" w:eastAsia="Times New Roman" w:hAnsi="Arial" w:cs="Arial"/>
          <w:i/>
          <w:iCs/>
          <w:sz w:val="20"/>
          <w:szCs w:val="20"/>
          <w:lang w:val="en-US"/>
        </w:rPr>
        <w:t>Patients</w:t>
      </w:r>
    </w:p>
    <w:p w:rsidR="00377550" w:rsidRPr="005D33B2" w:rsidRDefault="00377550" w:rsidP="005D33B2">
      <w:pPr>
        <w:spacing w:after="100" w:afterAutospacing="1" w:line="48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D33B2">
        <w:rPr>
          <w:rFonts w:ascii="Arial" w:eastAsia="Times New Roman" w:hAnsi="Arial" w:cs="Arial"/>
          <w:sz w:val="20"/>
          <w:szCs w:val="20"/>
          <w:lang w:val="en-US"/>
        </w:rPr>
        <w:t xml:space="preserve">In total, 12 DEB patients </w:t>
      </w:r>
      <w:proofErr w:type="gramStart"/>
      <w:r w:rsidRPr="005D33B2">
        <w:rPr>
          <w:rFonts w:ascii="Arial" w:eastAsia="Times New Roman" w:hAnsi="Arial" w:cs="Arial"/>
          <w:sz w:val="20"/>
          <w:szCs w:val="20"/>
          <w:lang w:val="en-US"/>
        </w:rPr>
        <w:t>were enrolled</w:t>
      </w:r>
      <w:proofErr w:type="gramEnd"/>
      <w:r w:rsidRPr="005D33B2">
        <w:rPr>
          <w:rFonts w:ascii="Arial" w:eastAsia="Times New Roman" w:hAnsi="Arial" w:cs="Arial"/>
          <w:sz w:val="20"/>
          <w:szCs w:val="20"/>
          <w:lang w:val="en-US"/>
        </w:rPr>
        <w:t xml:space="preserve"> into the study. However, three patients did not fulfill the inclusion criteria (two wounds &gt; 6 cm²) and were excluded from the analysis. A further two patients could not enter the second intervention phase because they received additional medication prohibited by the protocol during the two-month wash out phase. One patient was not included into the analysis because of incorrect follow-up of the target wounds. As a result, </w:t>
      </w:r>
      <w:proofErr w:type="gramStart"/>
      <w:r w:rsidRPr="005D33B2">
        <w:rPr>
          <w:rFonts w:ascii="Arial" w:eastAsia="Times New Roman" w:hAnsi="Arial" w:cs="Arial"/>
          <w:sz w:val="20"/>
          <w:szCs w:val="20"/>
          <w:lang w:val="en-US"/>
        </w:rPr>
        <w:t>6</w:t>
      </w:r>
      <w:proofErr w:type="gramEnd"/>
      <w:r w:rsidRPr="005D33B2">
        <w:rPr>
          <w:rFonts w:ascii="Arial" w:eastAsia="Times New Roman" w:hAnsi="Arial" w:cs="Arial"/>
          <w:sz w:val="20"/>
          <w:szCs w:val="20"/>
          <w:lang w:val="en-US"/>
        </w:rPr>
        <w:t xml:space="preserve"> patients were included into the final data </w:t>
      </w:r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 xml:space="preserve">analysis (see Flow chart, Supplementary </w:t>
      </w:r>
      <w:r w:rsidRPr="005D33B2">
        <w:rPr>
          <w:rFonts w:ascii="Arial" w:eastAsia="Times New Roman" w:hAnsi="Arial" w:cs="Arial"/>
          <w:sz w:val="20"/>
          <w:szCs w:val="20"/>
          <w:lang w:val="en-US"/>
        </w:rPr>
        <w:t>Figure 1).</w:t>
      </w:r>
    </w:p>
    <w:p w:rsidR="00377550" w:rsidRPr="005D33B2" w:rsidRDefault="00377550" w:rsidP="005D33B2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D33B2">
        <w:rPr>
          <w:rFonts w:ascii="Arial" w:eastAsia="Times New Roman" w:hAnsi="Arial" w:cs="Arial"/>
          <w:i/>
          <w:iCs/>
          <w:sz w:val="20"/>
          <w:szCs w:val="20"/>
          <w:lang w:val="en-US"/>
        </w:rPr>
        <w:t>Efficacy of treatment on wound closure</w:t>
      </w:r>
    </w:p>
    <w:p w:rsidR="00377550" w:rsidRPr="00AF5C7D" w:rsidRDefault="00377550" w:rsidP="005D33B2">
      <w:pPr>
        <w:spacing w:after="0" w:line="48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</w:pPr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 xml:space="preserve">The clinical trial was designed as a cross-over study, wherein patients were randomized into one of two treatment arms in the first phase and, after a wash-out phase, crossed over into the other treatment arm in the second phase (Figure 1). Accordingly, a patient who received placebo in the first phase crossed over into the </w:t>
      </w:r>
      <w:proofErr w:type="spellStart"/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>calcipotriol</w:t>
      </w:r>
      <w:proofErr w:type="spellEnd"/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 xml:space="preserve"> group in the second phase, and vice-versa. In total, twenty-four wounds</w:t>
      </w:r>
      <w:r w:rsidRPr="00AF5C7D">
        <w:rPr>
          <w:rFonts w:ascii="Arial" w:hAnsi="Arial" w:cs="Arial"/>
          <w:color w:val="000000" w:themeColor="text1"/>
          <w:sz w:val="20"/>
          <w:szCs w:val="20"/>
          <w:lang w:val="en-US"/>
        </w:rPr>
        <w:t xml:space="preserve"> </w:t>
      </w:r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 xml:space="preserve">(12 per intervention phase) </w:t>
      </w:r>
      <w:proofErr w:type="gramStart"/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>were treated</w:t>
      </w:r>
      <w:proofErr w:type="gramEnd"/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 xml:space="preserve"> equally in a ratio of 1:1 with either </w:t>
      </w:r>
      <w:proofErr w:type="spellStart"/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>calcipotriol</w:t>
      </w:r>
      <w:proofErr w:type="spellEnd"/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 xml:space="preserve"> ointment or placebo</w:t>
      </w:r>
      <w:r w:rsidRPr="005D33B2">
        <w:rPr>
          <w:rFonts w:ascii="Arial" w:eastAsia="Times New Roman" w:hAnsi="Arial" w:cs="Arial"/>
          <w:sz w:val="20"/>
          <w:szCs w:val="20"/>
          <w:lang w:val="en-US"/>
        </w:rPr>
        <w:t xml:space="preserve">. Average wound sizes at the beginning of each treatment were 16.41 cm² and 15.67 cm² in the </w:t>
      </w:r>
      <w:proofErr w:type="spellStart"/>
      <w:r w:rsidRPr="005D33B2">
        <w:rPr>
          <w:rFonts w:ascii="Arial" w:eastAsia="Times New Roman" w:hAnsi="Arial" w:cs="Arial"/>
          <w:sz w:val="20"/>
          <w:szCs w:val="20"/>
          <w:lang w:val="en-US"/>
        </w:rPr>
        <w:t>calcipotriol</w:t>
      </w:r>
      <w:proofErr w:type="spellEnd"/>
      <w:r w:rsidRPr="005D33B2">
        <w:rPr>
          <w:rFonts w:ascii="Arial" w:eastAsia="Times New Roman" w:hAnsi="Arial" w:cs="Arial"/>
          <w:sz w:val="20"/>
          <w:szCs w:val="20"/>
          <w:lang w:val="en-US"/>
        </w:rPr>
        <w:t xml:space="preserve"> and placebo arms, respectively (Figure 2A and C). We observed a significant 88.4% reduction in wound size with </w:t>
      </w:r>
      <w:proofErr w:type="spellStart"/>
      <w:r w:rsidRPr="005D33B2">
        <w:rPr>
          <w:rFonts w:ascii="Arial" w:eastAsia="Times New Roman" w:hAnsi="Arial" w:cs="Arial"/>
          <w:sz w:val="20"/>
          <w:szCs w:val="20"/>
          <w:lang w:val="en-US"/>
        </w:rPr>
        <w:t>calcipotriol</w:t>
      </w:r>
      <w:proofErr w:type="spellEnd"/>
      <w:r w:rsidRPr="005D33B2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>treatment versus 65.6% with placebo (</w:t>
      </w:r>
      <w:r w:rsidRPr="00AF5C7D">
        <w:rPr>
          <w:rFonts w:ascii="Arial" w:eastAsia="Times New Roman" w:hAnsi="Arial" w:cs="Arial"/>
          <w:i/>
          <w:color w:val="000000" w:themeColor="text1"/>
          <w:sz w:val="20"/>
          <w:szCs w:val="20"/>
          <w:lang w:val="en-US"/>
        </w:rPr>
        <w:t>P</w:t>
      </w:r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 xml:space="preserve"> = 0.006; generalized estimation equation model) at day 14. At that time point, </w:t>
      </w:r>
      <w:proofErr w:type="spellStart"/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>calcipotriol</w:t>
      </w:r>
      <w:proofErr w:type="spellEnd"/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 xml:space="preserve"> reduced wound size to &lt;10% of baseline in 9/12 wounds, as compared to </w:t>
      </w:r>
      <w:r w:rsidR="00FB2AEB" w:rsidRPr="006B0369">
        <w:rPr>
          <w:rFonts w:ascii="Arial" w:eastAsia="Times New Roman" w:hAnsi="Arial" w:cs="Arial"/>
          <w:sz w:val="20"/>
          <w:szCs w:val="20"/>
          <w:lang w:val="en-US"/>
        </w:rPr>
        <w:t>5</w:t>
      </w:r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 xml:space="preserve">/12 which received the placebo. Both treatment and placebo resulted in the same number of wounds (8/12) with sizes &lt;10% of baseline after 28 days (Figure 2B). Notably the fraction of wounds that were completely closed was higher in the </w:t>
      </w:r>
      <w:proofErr w:type="spellStart"/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>calcipotriol</w:t>
      </w:r>
      <w:proofErr w:type="spellEnd"/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 xml:space="preserve"> group compared to placebo although this did not reach statistical significance (</w:t>
      </w:r>
      <w:proofErr w:type="gramStart"/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>7</w:t>
      </w:r>
      <w:proofErr w:type="gramEnd"/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 xml:space="preserve"> vs 4, 58.3% vs 33.3%; </w:t>
      </w:r>
      <w:r w:rsidRPr="00AF5C7D">
        <w:rPr>
          <w:rFonts w:ascii="Arial" w:eastAsia="Times New Roman" w:hAnsi="Arial" w:cs="Arial"/>
          <w:color w:val="000000" w:themeColor="text1"/>
          <w:sz w:val="20"/>
          <w:szCs w:val="20"/>
        </w:rPr>
        <w:t>Fisher’s exact t</w:t>
      </w:r>
      <w:proofErr w:type="spellStart"/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>est</w:t>
      </w:r>
      <w:proofErr w:type="spellEnd"/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 xml:space="preserve">, </w:t>
      </w:r>
      <w:r w:rsidRPr="00AF5C7D">
        <w:rPr>
          <w:rFonts w:ascii="Arial" w:eastAsia="Times New Roman" w:hAnsi="Arial" w:cs="Arial"/>
          <w:i/>
          <w:color w:val="000000" w:themeColor="text1"/>
          <w:sz w:val="20"/>
          <w:szCs w:val="20"/>
          <w:lang w:val="en-US"/>
        </w:rPr>
        <w:t>P = 0.4136</w:t>
      </w:r>
      <w:r w:rsidR="006B0369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>).</w:t>
      </w:r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 xml:space="preserve"> </w:t>
      </w:r>
    </w:p>
    <w:p w:rsidR="00377550" w:rsidRPr="005D33B2" w:rsidRDefault="00377550" w:rsidP="005D33B2">
      <w:pPr>
        <w:spacing w:after="0" w:line="48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val="en-US"/>
        </w:rPr>
      </w:pPr>
    </w:p>
    <w:p w:rsidR="00377550" w:rsidRPr="005D33B2" w:rsidRDefault="00377550" w:rsidP="005D33B2">
      <w:pPr>
        <w:spacing w:after="0" w:line="48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val="en-US"/>
        </w:rPr>
      </w:pPr>
      <w:r w:rsidRPr="005D33B2">
        <w:rPr>
          <w:rFonts w:ascii="Arial" w:eastAsia="Times New Roman" w:hAnsi="Arial" w:cs="Arial"/>
          <w:i/>
          <w:iCs/>
          <w:sz w:val="20"/>
          <w:szCs w:val="20"/>
          <w:lang w:val="en-US"/>
        </w:rPr>
        <w:t>Itch and Pain</w:t>
      </w:r>
    </w:p>
    <w:p w:rsidR="00377550" w:rsidRPr="005D33B2" w:rsidRDefault="00377550" w:rsidP="005D33B2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>Pruritus and pain rank high among reported patient-relevant complications associated with DEB</w:t>
      </w:r>
      <w:proofErr w:type="gramStart"/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>.</w:t>
      </w:r>
      <w:r w:rsidRPr="00AF5C7D">
        <w:rPr>
          <w:rFonts w:ascii="Arial" w:eastAsia="Times New Roman" w:hAnsi="Arial" w:cs="Arial"/>
          <w:noProof/>
          <w:color w:val="000000" w:themeColor="text1"/>
          <w:sz w:val="20"/>
          <w:szCs w:val="20"/>
          <w:lang w:val="en-US"/>
        </w:rPr>
        <w:t>(</w:t>
      </w:r>
      <w:proofErr w:type="gramEnd"/>
      <w:r w:rsidRPr="00AF5C7D">
        <w:rPr>
          <w:rFonts w:ascii="Arial" w:eastAsia="Times New Roman" w:hAnsi="Arial" w:cs="Arial"/>
          <w:noProof/>
          <w:color w:val="000000" w:themeColor="text1"/>
          <w:sz w:val="20"/>
          <w:szCs w:val="20"/>
          <w:lang w:val="en-US"/>
        </w:rPr>
        <w:t>9)</w:t>
      </w:r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 xml:space="preserve"> Therefore, we assessed the impact of treatment on patient quality of life by evaluating itch and pain using a visual analog scale. Patients reported a significant and steady reduction in itch over the entire treatment course in the </w:t>
      </w:r>
      <w:proofErr w:type="spellStart"/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>calcipotriol</w:t>
      </w:r>
      <w:proofErr w:type="spellEnd"/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 xml:space="preserve"> arm (Figure 3A). No change in itch </w:t>
      </w:r>
      <w:proofErr w:type="gramStart"/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>was recorded</w:t>
      </w:r>
      <w:proofErr w:type="gramEnd"/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 xml:space="preserve"> in the placebo arm. Both treatments resulted in reduced pain. While significantly improved pain scores </w:t>
      </w:r>
      <w:r w:rsidRPr="005D33B2">
        <w:rPr>
          <w:rFonts w:ascii="Arial" w:eastAsia="Times New Roman" w:hAnsi="Arial" w:cs="Arial"/>
          <w:sz w:val="20"/>
          <w:szCs w:val="20"/>
          <w:lang w:val="en-US"/>
        </w:rPr>
        <w:t xml:space="preserve">were reported with </w:t>
      </w:r>
      <w:r w:rsidRPr="005D33B2">
        <w:rPr>
          <w:rFonts w:ascii="Arial" w:eastAsia="Times New Roman" w:hAnsi="Arial" w:cs="Arial"/>
          <w:sz w:val="20"/>
          <w:szCs w:val="20"/>
          <w:lang w:val="en-US"/>
        </w:rPr>
        <w:lastRenderedPageBreak/>
        <w:t xml:space="preserve">placebo on day 14 (Figure 3B), no significant differences </w:t>
      </w:r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 xml:space="preserve">between both treatment </w:t>
      </w:r>
      <w:r w:rsidRPr="005D33B2">
        <w:rPr>
          <w:rFonts w:ascii="Arial" w:eastAsia="Times New Roman" w:hAnsi="Arial" w:cs="Arial"/>
          <w:sz w:val="20"/>
          <w:szCs w:val="20"/>
          <w:lang w:val="en-US"/>
        </w:rPr>
        <w:t>arms were observed at day 28.</w:t>
      </w:r>
    </w:p>
    <w:p w:rsidR="00377550" w:rsidRPr="005D33B2" w:rsidRDefault="00377550" w:rsidP="005D33B2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377550" w:rsidRPr="005D33B2" w:rsidRDefault="00377550" w:rsidP="005D33B2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D33B2">
        <w:rPr>
          <w:rFonts w:ascii="Arial" w:eastAsia="Times New Roman" w:hAnsi="Arial" w:cs="Arial"/>
          <w:i/>
          <w:iCs/>
          <w:sz w:val="20"/>
          <w:szCs w:val="20"/>
          <w:lang w:val="en-US"/>
        </w:rPr>
        <w:t>Safety assessment</w:t>
      </w:r>
    </w:p>
    <w:p w:rsidR="00377550" w:rsidRDefault="00377550" w:rsidP="005D33B2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D33B2">
        <w:rPr>
          <w:rFonts w:ascii="Arial" w:eastAsia="Times New Roman" w:hAnsi="Arial" w:cs="Arial"/>
          <w:sz w:val="20"/>
          <w:szCs w:val="20"/>
          <w:lang w:val="en-US"/>
        </w:rPr>
        <w:t>No drug-related adverse reaction</w:t>
      </w:r>
      <w:r>
        <w:rPr>
          <w:rFonts w:ascii="Arial" w:eastAsia="Times New Roman" w:hAnsi="Arial" w:cs="Arial"/>
          <w:sz w:val="20"/>
          <w:szCs w:val="20"/>
          <w:lang w:val="en-US"/>
        </w:rPr>
        <w:t>s</w:t>
      </w:r>
      <w:r w:rsidRPr="005D33B2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gramStart"/>
      <w:r w:rsidRPr="005D33B2">
        <w:rPr>
          <w:rFonts w:ascii="Arial" w:eastAsia="Times New Roman" w:hAnsi="Arial" w:cs="Arial"/>
          <w:sz w:val="20"/>
          <w:szCs w:val="20"/>
          <w:lang w:val="en-US"/>
        </w:rPr>
        <w:t>w</w:t>
      </w:r>
      <w:r>
        <w:rPr>
          <w:rFonts w:ascii="Arial" w:eastAsia="Times New Roman" w:hAnsi="Arial" w:cs="Arial"/>
          <w:sz w:val="20"/>
          <w:szCs w:val="20"/>
          <w:lang w:val="en-US"/>
        </w:rPr>
        <w:t>ere</w:t>
      </w:r>
      <w:r w:rsidRPr="005D33B2">
        <w:rPr>
          <w:rFonts w:ascii="Arial" w:eastAsia="Times New Roman" w:hAnsi="Arial" w:cs="Arial"/>
          <w:sz w:val="20"/>
          <w:szCs w:val="20"/>
          <w:lang w:val="en-US"/>
        </w:rPr>
        <w:t xml:space="preserve"> observed</w:t>
      </w:r>
      <w:proofErr w:type="gramEnd"/>
      <w:r w:rsidRPr="005D33B2">
        <w:rPr>
          <w:rFonts w:ascii="Arial" w:eastAsia="Times New Roman" w:hAnsi="Arial" w:cs="Arial"/>
          <w:sz w:val="20"/>
          <w:szCs w:val="20"/>
          <w:lang w:val="en-US"/>
        </w:rPr>
        <w:t xml:space="preserve"> with </w:t>
      </w:r>
      <w:proofErr w:type="spellStart"/>
      <w:r w:rsidRPr="005D33B2">
        <w:rPr>
          <w:rFonts w:ascii="Arial" w:eastAsia="Times New Roman" w:hAnsi="Arial" w:cs="Arial"/>
          <w:sz w:val="20"/>
          <w:szCs w:val="20"/>
          <w:lang w:val="en-US"/>
        </w:rPr>
        <w:t>calcipotriol</w:t>
      </w:r>
      <w:proofErr w:type="spellEnd"/>
      <w:r w:rsidRPr="005D33B2">
        <w:rPr>
          <w:rFonts w:ascii="Arial" w:eastAsia="Times New Roman" w:hAnsi="Arial" w:cs="Arial"/>
          <w:sz w:val="20"/>
          <w:szCs w:val="20"/>
          <w:lang w:val="en-US"/>
        </w:rPr>
        <w:t xml:space="preserve"> treatment</w:t>
      </w:r>
      <w:r>
        <w:rPr>
          <w:rFonts w:ascii="Arial" w:eastAsia="Times New Roman" w:hAnsi="Arial" w:cs="Arial"/>
          <w:sz w:val="20"/>
          <w:szCs w:val="20"/>
          <w:lang w:val="en-US"/>
        </w:rPr>
        <w:t>. Tw</w:t>
      </w:r>
      <w:r w:rsidRPr="005D33B2">
        <w:rPr>
          <w:rFonts w:ascii="Arial" w:eastAsia="Times New Roman" w:hAnsi="Arial" w:cs="Arial"/>
          <w:sz w:val="20"/>
          <w:szCs w:val="20"/>
          <w:lang w:val="en-US"/>
        </w:rPr>
        <w:t>o patients (</w:t>
      </w:r>
      <w:r w:rsidRPr="005D33B2">
        <w:rPr>
          <w:rFonts w:ascii="Arial" w:eastAsia="Times New Roman" w:hAnsi="Arial" w:cs="Arial"/>
          <w:i/>
          <w:iCs/>
          <w:sz w:val="20"/>
          <w:szCs w:val="20"/>
          <w:lang w:val="en-US"/>
        </w:rPr>
        <w:t>P03</w:t>
      </w:r>
      <w:r w:rsidRPr="005D33B2">
        <w:rPr>
          <w:rFonts w:ascii="Arial" w:eastAsia="Times New Roman" w:hAnsi="Arial" w:cs="Arial"/>
          <w:sz w:val="20"/>
          <w:szCs w:val="20"/>
          <w:lang w:val="en-US"/>
        </w:rPr>
        <w:t xml:space="preserve"> and </w:t>
      </w:r>
      <w:r w:rsidRPr="005D33B2">
        <w:rPr>
          <w:rFonts w:ascii="Arial" w:eastAsia="Times New Roman" w:hAnsi="Arial" w:cs="Arial"/>
          <w:i/>
          <w:iCs/>
          <w:sz w:val="20"/>
          <w:szCs w:val="20"/>
          <w:lang w:val="en-US"/>
        </w:rPr>
        <w:t>P09</w:t>
      </w:r>
      <w:r w:rsidRPr="005D33B2">
        <w:rPr>
          <w:rFonts w:ascii="Arial" w:eastAsia="Times New Roman" w:hAnsi="Arial" w:cs="Arial"/>
          <w:sz w:val="20"/>
          <w:szCs w:val="20"/>
          <w:lang w:val="en-US"/>
        </w:rPr>
        <w:t xml:space="preserve">) gave consent for blood sampling for evaluation of serum calcium levels to exclude hypercalcemia. Neither treatment affected serum calcium levels, which remained within the reference range of 2.13 – 2.63 </w:t>
      </w:r>
      <w:proofErr w:type="spellStart"/>
      <w:r w:rsidRPr="005D33B2">
        <w:rPr>
          <w:rFonts w:ascii="Arial" w:eastAsia="Times New Roman" w:hAnsi="Arial" w:cs="Arial"/>
          <w:sz w:val="20"/>
          <w:szCs w:val="20"/>
          <w:lang w:val="en-US"/>
        </w:rPr>
        <w:t>m</w:t>
      </w:r>
      <w:r w:rsidR="006B0369">
        <w:rPr>
          <w:rFonts w:ascii="Arial" w:eastAsia="Times New Roman" w:hAnsi="Arial" w:cs="Arial"/>
          <w:sz w:val="20"/>
          <w:szCs w:val="20"/>
          <w:lang w:val="en-US"/>
        </w:rPr>
        <w:t>mol</w:t>
      </w:r>
      <w:proofErr w:type="spellEnd"/>
      <w:r w:rsidR="006B0369">
        <w:rPr>
          <w:rFonts w:ascii="Arial" w:eastAsia="Times New Roman" w:hAnsi="Arial" w:cs="Arial"/>
          <w:sz w:val="20"/>
          <w:szCs w:val="20"/>
          <w:lang w:val="en-US"/>
        </w:rPr>
        <w:t>/l at the time points tested.</w:t>
      </w:r>
    </w:p>
    <w:p w:rsidR="00377550" w:rsidRPr="005D33B2" w:rsidRDefault="00377550" w:rsidP="005D33B2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377550" w:rsidRPr="005D33B2" w:rsidRDefault="00377550" w:rsidP="005D33B2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D33B2">
        <w:rPr>
          <w:rFonts w:ascii="Arial" w:eastAsia="Times New Roman" w:hAnsi="Arial" w:cs="Arial"/>
          <w:i/>
          <w:iCs/>
          <w:sz w:val="20"/>
          <w:szCs w:val="20"/>
          <w:lang w:val="en-US"/>
        </w:rPr>
        <w:t>Microbiome analysis</w:t>
      </w:r>
    </w:p>
    <w:p w:rsidR="00377550" w:rsidRDefault="00377550" w:rsidP="005D33B2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5D33B2">
        <w:rPr>
          <w:rFonts w:ascii="Arial" w:eastAsia="Times New Roman" w:hAnsi="Arial" w:cs="Arial"/>
          <w:sz w:val="20"/>
          <w:szCs w:val="20"/>
          <w:lang w:val="en-US"/>
        </w:rPr>
        <w:t xml:space="preserve">We evaluated the impact of treatment on wound microbiota by shotgun whole-metagenomics sequencing from </w:t>
      </w:r>
      <w:proofErr w:type="gramStart"/>
      <w:r w:rsidRPr="005D33B2">
        <w:rPr>
          <w:rFonts w:ascii="Arial" w:eastAsia="Times New Roman" w:hAnsi="Arial" w:cs="Arial"/>
          <w:sz w:val="20"/>
          <w:szCs w:val="20"/>
          <w:lang w:val="en-US"/>
        </w:rPr>
        <w:t>5</w:t>
      </w:r>
      <w:proofErr w:type="gramEnd"/>
      <w:r w:rsidRPr="005D33B2">
        <w:rPr>
          <w:rFonts w:ascii="Arial" w:eastAsia="Times New Roman" w:hAnsi="Arial" w:cs="Arial"/>
          <w:sz w:val="20"/>
          <w:szCs w:val="20"/>
          <w:lang w:val="en-US"/>
        </w:rPr>
        <w:t xml:space="preserve"> patients (</w:t>
      </w:r>
      <w:r w:rsidRPr="005D33B2">
        <w:rPr>
          <w:rFonts w:ascii="Arial" w:eastAsia="Times New Roman" w:hAnsi="Arial" w:cs="Arial"/>
          <w:i/>
          <w:iCs/>
          <w:sz w:val="20"/>
          <w:szCs w:val="20"/>
          <w:lang w:val="en-US"/>
        </w:rPr>
        <w:t>P03, P06, P08, P09, P12</w:t>
      </w:r>
      <w:r w:rsidRPr="005D33B2">
        <w:rPr>
          <w:rFonts w:ascii="Arial" w:eastAsia="Times New Roman" w:hAnsi="Arial" w:cs="Arial"/>
          <w:sz w:val="20"/>
          <w:szCs w:val="20"/>
          <w:lang w:val="en-US"/>
        </w:rPr>
        <w:t xml:space="preserve">). Wounded areas showed reduced microbial diversity and increased abundance of </w:t>
      </w:r>
      <w:r w:rsidRPr="005D33B2">
        <w:rPr>
          <w:rFonts w:ascii="Arial" w:eastAsia="Times New Roman" w:hAnsi="Arial" w:cs="Arial"/>
          <w:i/>
          <w:iCs/>
          <w:sz w:val="20"/>
          <w:szCs w:val="20"/>
          <w:lang w:val="en-US"/>
        </w:rPr>
        <w:t>Staphylococcus aureus</w:t>
      </w:r>
      <w:r w:rsidRPr="005D33B2">
        <w:rPr>
          <w:rFonts w:ascii="Arial" w:eastAsia="Times New Roman" w:hAnsi="Arial" w:cs="Arial"/>
          <w:sz w:val="20"/>
          <w:szCs w:val="20"/>
          <w:lang w:val="en-US"/>
        </w:rPr>
        <w:t xml:space="preserve"> compared to control intact skin (Figure 4A and B), confirming previous observations</w:t>
      </w:r>
      <w:r w:rsidR="006B0369">
        <w:rPr>
          <w:rFonts w:ascii="Arial" w:eastAsia="Times New Roman" w:hAnsi="Arial" w:cs="Arial"/>
          <w:sz w:val="20"/>
          <w:szCs w:val="20"/>
          <w:lang w:val="en-US"/>
        </w:rPr>
        <w:t>.</w:t>
      </w:r>
      <w:bookmarkStart w:id="0" w:name="_GoBack"/>
      <w:bookmarkEnd w:id="0"/>
      <w:r w:rsidRPr="005D33B2">
        <w:rPr>
          <w:rFonts w:ascii="Arial" w:eastAsia="Times New Roman" w:hAnsi="Arial" w:cs="Arial"/>
          <w:sz w:val="20"/>
          <w:szCs w:val="20"/>
          <w:lang w:val="en-US"/>
        </w:rPr>
        <w:t xml:space="preserve"> Three out of 5 patients showed increased species richness upon </w:t>
      </w:r>
      <w:proofErr w:type="spellStart"/>
      <w:r w:rsidRPr="005D33B2">
        <w:rPr>
          <w:rFonts w:ascii="Arial" w:eastAsia="Times New Roman" w:hAnsi="Arial" w:cs="Arial"/>
          <w:sz w:val="20"/>
          <w:szCs w:val="20"/>
          <w:lang w:val="en-US"/>
        </w:rPr>
        <w:t>calcipotriol</w:t>
      </w:r>
      <w:proofErr w:type="spellEnd"/>
      <w:r w:rsidRPr="005D33B2">
        <w:rPr>
          <w:rFonts w:ascii="Arial" w:eastAsia="Times New Roman" w:hAnsi="Arial" w:cs="Arial"/>
          <w:sz w:val="20"/>
          <w:szCs w:val="20"/>
          <w:lang w:val="en-US"/>
        </w:rPr>
        <w:t xml:space="preserve"> on day 14 compared to placebo (Figure 4C), but no general effect on </w:t>
      </w:r>
      <w:r w:rsidRPr="005D33B2">
        <w:rPr>
          <w:rFonts w:ascii="Arial" w:eastAsia="Times New Roman" w:hAnsi="Arial" w:cs="Arial"/>
          <w:i/>
          <w:iCs/>
          <w:sz w:val="20"/>
          <w:szCs w:val="20"/>
          <w:lang w:val="en-US"/>
        </w:rPr>
        <w:t>S. aureus</w:t>
      </w:r>
      <w:r w:rsidRPr="005D33B2">
        <w:rPr>
          <w:rFonts w:ascii="Arial" w:eastAsia="Times New Roman" w:hAnsi="Arial" w:cs="Arial"/>
          <w:sz w:val="20"/>
          <w:szCs w:val="20"/>
          <w:lang w:val="en-US"/>
        </w:rPr>
        <w:t xml:space="preserve"> abundance was observed (data not shown). Thus, while a tendency towards improved wound microbiome was observed in </w:t>
      </w:r>
      <w:proofErr w:type="spellStart"/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>calcipotriol</w:t>
      </w:r>
      <w:proofErr w:type="spellEnd"/>
      <w:r w:rsidRPr="00AF5C7D">
        <w:rPr>
          <w:rFonts w:ascii="Arial" w:eastAsia="Times New Roman" w:hAnsi="Arial" w:cs="Arial"/>
          <w:color w:val="000000" w:themeColor="text1"/>
          <w:sz w:val="20"/>
          <w:szCs w:val="20"/>
          <w:lang w:val="en-US"/>
        </w:rPr>
        <w:t xml:space="preserve">-treated closed wounds at day 14 and day 28 </w:t>
      </w:r>
      <w:r w:rsidRPr="005D33B2">
        <w:rPr>
          <w:rFonts w:ascii="Arial" w:eastAsia="Times New Roman" w:hAnsi="Arial" w:cs="Arial"/>
          <w:sz w:val="20"/>
          <w:szCs w:val="20"/>
          <w:lang w:val="en-US"/>
        </w:rPr>
        <w:t xml:space="preserve">compared to placebo, this did not reach statistical significance (Figure 4D). </w:t>
      </w:r>
    </w:p>
    <w:p w:rsidR="00595014" w:rsidRDefault="00595014">
      <w:pPr>
        <w:rPr>
          <w:rFonts w:ascii="Arial" w:hAnsi="Arial" w:cs="Arial"/>
          <w:b/>
          <w:sz w:val="20"/>
          <w:szCs w:val="20"/>
          <w:lang w:val="en-US"/>
        </w:rPr>
      </w:pPr>
    </w:p>
    <w:sectPr w:rsidR="00595014" w:rsidSect="004500BB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8B4" w:rsidRDefault="00FB2AEB">
      <w:pPr>
        <w:spacing w:after="0" w:line="240" w:lineRule="auto"/>
      </w:pPr>
      <w:r>
        <w:separator/>
      </w:r>
    </w:p>
  </w:endnote>
  <w:endnote w:type="continuationSeparator" w:id="0">
    <w:p w:rsidR="002738B4" w:rsidRDefault="00FB2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0565639"/>
      <w:docPartObj>
        <w:docPartGallery w:val="Page Numbers (Top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4500BB" w:rsidRPr="00787AB2" w:rsidRDefault="00595014" w:rsidP="004500BB">
        <w:pPr>
          <w:pStyle w:val="Kopfzeile"/>
          <w:jc w:val="right"/>
          <w:rPr>
            <w:rFonts w:ascii="Arial" w:hAnsi="Arial" w:cs="Arial"/>
            <w:sz w:val="20"/>
            <w:szCs w:val="20"/>
          </w:rPr>
        </w:pPr>
        <w:r w:rsidRPr="00787AB2">
          <w:rPr>
            <w:rFonts w:ascii="Arial" w:hAnsi="Arial" w:cs="Arial"/>
            <w:sz w:val="20"/>
            <w:szCs w:val="20"/>
          </w:rPr>
          <w:t xml:space="preserve">p. </w:t>
        </w:r>
        <w:r w:rsidRPr="00787AB2">
          <w:rPr>
            <w:rFonts w:ascii="Arial" w:hAnsi="Arial" w:cs="Arial"/>
            <w:sz w:val="20"/>
            <w:szCs w:val="20"/>
          </w:rPr>
          <w:fldChar w:fldCharType="begin"/>
        </w:r>
        <w:r w:rsidRPr="00787AB2">
          <w:rPr>
            <w:rFonts w:ascii="Arial" w:hAnsi="Arial" w:cs="Arial"/>
            <w:sz w:val="20"/>
            <w:szCs w:val="20"/>
          </w:rPr>
          <w:instrText>PAGE   \* MERGEFORMAT</w:instrText>
        </w:r>
        <w:r w:rsidRPr="00787AB2">
          <w:rPr>
            <w:rFonts w:ascii="Arial" w:hAnsi="Arial" w:cs="Arial"/>
            <w:sz w:val="20"/>
            <w:szCs w:val="20"/>
          </w:rPr>
          <w:fldChar w:fldCharType="separate"/>
        </w:r>
        <w:r w:rsidR="006B0369" w:rsidRPr="006B0369">
          <w:rPr>
            <w:rFonts w:ascii="Arial" w:hAnsi="Arial" w:cs="Arial"/>
            <w:noProof/>
            <w:sz w:val="20"/>
            <w:szCs w:val="20"/>
            <w:lang w:val="de-DE"/>
          </w:rPr>
          <w:t>4</w:t>
        </w:r>
        <w:r w:rsidRPr="00787AB2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8B4" w:rsidRDefault="00FB2AEB">
      <w:pPr>
        <w:spacing w:after="0" w:line="240" w:lineRule="auto"/>
      </w:pPr>
      <w:r>
        <w:separator/>
      </w:r>
    </w:p>
  </w:footnote>
  <w:footnote w:type="continuationSeparator" w:id="0">
    <w:p w:rsidR="002738B4" w:rsidRDefault="00FB2A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A13BB"/>
    <w:multiLevelType w:val="hybridMultilevel"/>
    <w:tmpl w:val="7D745046"/>
    <w:lvl w:ilvl="0" w:tplc="B6D6A124">
      <w:start w:val="14"/>
      <w:numFmt w:val="bullet"/>
      <w:lvlText w:val="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076B54"/>
    <w:multiLevelType w:val="multilevel"/>
    <w:tmpl w:val="A37EA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251A61"/>
    <w:multiLevelType w:val="hybridMultilevel"/>
    <w:tmpl w:val="E320F65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8380A"/>
    <w:multiLevelType w:val="hybridMultilevel"/>
    <w:tmpl w:val="78D877B0"/>
    <w:lvl w:ilvl="0" w:tplc="C8166F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B7CE2"/>
    <w:multiLevelType w:val="hybridMultilevel"/>
    <w:tmpl w:val="4E5C74D0"/>
    <w:lvl w:ilvl="0" w:tplc="E84A0A96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974FE1"/>
    <w:multiLevelType w:val="hybridMultilevel"/>
    <w:tmpl w:val="71960010"/>
    <w:lvl w:ilvl="0" w:tplc="B2AC16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B887D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C453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1A8B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BC3C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987A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466F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7257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CE83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77A54569"/>
    <w:multiLevelType w:val="multilevel"/>
    <w:tmpl w:val="113EC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046527"/>
    <w:multiLevelType w:val="hybridMultilevel"/>
    <w:tmpl w:val="25300844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>
      <w:start w:val="1"/>
      <w:numFmt w:val="lowerRoman"/>
      <w:lvlText w:val="%3."/>
      <w:lvlJc w:val="right"/>
      <w:pPr>
        <w:ind w:left="2160" w:hanging="180"/>
      </w:pPr>
    </w:lvl>
    <w:lvl w:ilvl="3" w:tplc="0C07000F">
      <w:start w:val="1"/>
      <w:numFmt w:val="decimal"/>
      <w:lvlText w:val="%4."/>
      <w:lvlJc w:val="left"/>
      <w:pPr>
        <w:ind w:left="2880" w:hanging="360"/>
      </w:pPr>
    </w:lvl>
    <w:lvl w:ilvl="4" w:tplc="0C070019">
      <w:start w:val="1"/>
      <w:numFmt w:val="lowerLetter"/>
      <w:lvlText w:val="%5."/>
      <w:lvlJc w:val="left"/>
      <w:pPr>
        <w:ind w:left="3600" w:hanging="360"/>
      </w:pPr>
    </w:lvl>
    <w:lvl w:ilvl="5" w:tplc="0C07001B">
      <w:start w:val="1"/>
      <w:numFmt w:val="lowerRoman"/>
      <w:lvlText w:val="%6."/>
      <w:lvlJc w:val="right"/>
      <w:pPr>
        <w:ind w:left="4320" w:hanging="180"/>
      </w:pPr>
    </w:lvl>
    <w:lvl w:ilvl="6" w:tplc="0C07000F">
      <w:start w:val="1"/>
      <w:numFmt w:val="decimal"/>
      <w:lvlText w:val="%7."/>
      <w:lvlJc w:val="left"/>
      <w:pPr>
        <w:ind w:left="5040" w:hanging="360"/>
      </w:pPr>
    </w:lvl>
    <w:lvl w:ilvl="7" w:tplc="0C070019">
      <w:start w:val="1"/>
      <w:numFmt w:val="lowerLetter"/>
      <w:lvlText w:val="%8."/>
      <w:lvlJc w:val="left"/>
      <w:pPr>
        <w:ind w:left="5760" w:hanging="360"/>
      </w:pPr>
    </w:lvl>
    <w:lvl w:ilvl="8" w:tplc="0C0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377550"/>
    <w:rsid w:val="00040410"/>
    <w:rsid w:val="00055803"/>
    <w:rsid w:val="00124DBA"/>
    <w:rsid w:val="001D44EB"/>
    <w:rsid w:val="001F06E0"/>
    <w:rsid w:val="001F35B4"/>
    <w:rsid w:val="00204918"/>
    <w:rsid w:val="002738B4"/>
    <w:rsid w:val="00377550"/>
    <w:rsid w:val="00427EE7"/>
    <w:rsid w:val="004B50FB"/>
    <w:rsid w:val="004C02AD"/>
    <w:rsid w:val="004C2605"/>
    <w:rsid w:val="004D61C7"/>
    <w:rsid w:val="005363B1"/>
    <w:rsid w:val="00595014"/>
    <w:rsid w:val="00614F02"/>
    <w:rsid w:val="00646739"/>
    <w:rsid w:val="006B0369"/>
    <w:rsid w:val="007E46A4"/>
    <w:rsid w:val="009147CB"/>
    <w:rsid w:val="009479AB"/>
    <w:rsid w:val="00961D9B"/>
    <w:rsid w:val="00A46B61"/>
    <w:rsid w:val="00AF5C7D"/>
    <w:rsid w:val="00BC4F6F"/>
    <w:rsid w:val="00BE0394"/>
    <w:rsid w:val="00BE30DB"/>
    <w:rsid w:val="00C555E9"/>
    <w:rsid w:val="00C91758"/>
    <w:rsid w:val="00C95727"/>
    <w:rsid w:val="00DE2D7E"/>
    <w:rsid w:val="00EB3CE1"/>
    <w:rsid w:val="00EF63B9"/>
    <w:rsid w:val="00F20AB4"/>
    <w:rsid w:val="00FB09A5"/>
    <w:rsid w:val="00FB2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92588"/>
  <w15:chartTrackingRefBased/>
  <w15:docId w15:val="{1466F01B-C648-41E1-ABE6-8757CDC19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77550"/>
    <w:rPr>
      <w:rFonts w:ascii="Calibri" w:eastAsia="Calibri" w:hAnsi="Calibri" w:cs="Times New Roman"/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775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77550"/>
    <w:rPr>
      <w:rFonts w:ascii="Segoe UI" w:eastAsia="Calibri" w:hAnsi="Segoe UI" w:cs="Segoe UI"/>
      <w:sz w:val="18"/>
      <w:szCs w:val="18"/>
      <w:lang w:val="en-GB"/>
    </w:rPr>
  </w:style>
  <w:style w:type="paragraph" w:customStyle="1" w:styleId="Default">
    <w:name w:val="Default"/>
    <w:rsid w:val="0037755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de-AT"/>
    </w:rPr>
  </w:style>
  <w:style w:type="paragraph" w:styleId="StandardWeb">
    <w:name w:val="Normal (Web)"/>
    <w:basedOn w:val="Standard"/>
    <w:uiPriority w:val="99"/>
    <w:unhideWhenUsed/>
    <w:rsid w:val="003775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de-AT" w:eastAsia="de-AT"/>
    </w:rPr>
  </w:style>
  <w:style w:type="paragraph" w:customStyle="1" w:styleId="para">
    <w:name w:val="para"/>
    <w:basedOn w:val="Standard"/>
    <w:rsid w:val="003775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de-DE" w:eastAsia="de-DE"/>
    </w:rPr>
  </w:style>
  <w:style w:type="character" w:styleId="Hyperlink">
    <w:name w:val="Hyperlink"/>
    <w:basedOn w:val="Absatz-Standardschriftart"/>
    <w:uiPriority w:val="99"/>
    <w:unhideWhenUsed/>
    <w:rsid w:val="00377550"/>
    <w:rPr>
      <w:color w:val="0000FF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37755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37755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377550"/>
    <w:rPr>
      <w:rFonts w:ascii="Calibri" w:eastAsia="Calibri" w:hAnsi="Calibri" w:cs="Times New Roman"/>
      <w:sz w:val="20"/>
      <w:szCs w:val="20"/>
      <w:lang w:val="en-GB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7755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77550"/>
    <w:rPr>
      <w:rFonts w:ascii="Calibri" w:eastAsia="Calibri" w:hAnsi="Calibri" w:cs="Times New Roman"/>
      <w:b/>
      <w:bCs/>
      <w:sz w:val="20"/>
      <w:szCs w:val="20"/>
      <w:lang w:val="en-GB"/>
    </w:rPr>
  </w:style>
  <w:style w:type="character" w:customStyle="1" w:styleId="UnresolvedMention1">
    <w:name w:val="Unresolved Mention1"/>
    <w:basedOn w:val="Absatz-Standardschriftart"/>
    <w:uiPriority w:val="99"/>
    <w:semiHidden/>
    <w:unhideWhenUsed/>
    <w:rsid w:val="00377550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377550"/>
    <w:pPr>
      <w:ind w:left="720"/>
      <w:contextualSpacing/>
    </w:pPr>
  </w:style>
  <w:style w:type="character" w:styleId="Zeilennummer">
    <w:name w:val="line number"/>
    <w:basedOn w:val="Absatz-Standardschriftart"/>
    <w:uiPriority w:val="99"/>
    <w:semiHidden/>
    <w:unhideWhenUsed/>
    <w:rsid w:val="00377550"/>
  </w:style>
  <w:style w:type="paragraph" w:styleId="Kopfzeile">
    <w:name w:val="header"/>
    <w:basedOn w:val="Standard"/>
    <w:link w:val="KopfzeileZchn"/>
    <w:uiPriority w:val="99"/>
    <w:unhideWhenUsed/>
    <w:rsid w:val="003775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77550"/>
    <w:rPr>
      <w:rFonts w:ascii="Calibri" w:eastAsia="Calibri" w:hAnsi="Calibri" w:cs="Times New Roman"/>
      <w:lang w:val="en-GB"/>
    </w:rPr>
  </w:style>
  <w:style w:type="paragraph" w:styleId="Fuzeile">
    <w:name w:val="footer"/>
    <w:basedOn w:val="Standard"/>
    <w:link w:val="FuzeileZchn"/>
    <w:uiPriority w:val="99"/>
    <w:unhideWhenUsed/>
    <w:rsid w:val="003775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77550"/>
    <w:rPr>
      <w:rFonts w:ascii="Calibri" w:eastAsia="Calibri" w:hAnsi="Calibri" w:cs="Times New Roman"/>
      <w:lang w:val="en-GB"/>
    </w:rPr>
  </w:style>
  <w:style w:type="paragraph" w:styleId="berarbeitung">
    <w:name w:val="Revision"/>
    <w:hidden/>
    <w:uiPriority w:val="99"/>
    <w:semiHidden/>
    <w:rsid w:val="00377550"/>
    <w:pPr>
      <w:spacing w:after="0" w:line="240" w:lineRule="auto"/>
    </w:pPr>
    <w:rPr>
      <w:rFonts w:ascii="Calibri" w:eastAsia="Calibri" w:hAnsi="Calibri" w:cs="Times New Roman"/>
      <w:lang w:val="en-GB"/>
    </w:rPr>
  </w:style>
  <w:style w:type="character" w:customStyle="1" w:styleId="id-label">
    <w:name w:val="id-label"/>
    <w:basedOn w:val="Absatz-Standardschriftart"/>
    <w:rsid w:val="00377550"/>
  </w:style>
  <w:style w:type="character" w:styleId="Fett">
    <w:name w:val="Strong"/>
    <w:basedOn w:val="Absatz-Standardschriftart"/>
    <w:uiPriority w:val="22"/>
    <w:qFormat/>
    <w:rsid w:val="00377550"/>
    <w:rPr>
      <w:b/>
      <w:bCs/>
    </w:rPr>
  </w:style>
  <w:style w:type="character" w:customStyle="1" w:styleId="identifier">
    <w:name w:val="identifier"/>
    <w:basedOn w:val="Absatz-Standardschriftart"/>
    <w:rsid w:val="00377550"/>
  </w:style>
  <w:style w:type="paragraph" w:customStyle="1" w:styleId="EndNoteBibliographyTitle">
    <w:name w:val="EndNote Bibliography Title"/>
    <w:basedOn w:val="Standard"/>
    <w:link w:val="EndNoteBibliographyTitleZchn"/>
    <w:rsid w:val="00377550"/>
    <w:pPr>
      <w:spacing w:after="0"/>
      <w:jc w:val="center"/>
    </w:pPr>
    <w:rPr>
      <w:rFonts w:cs="Calibri"/>
      <w:noProof/>
      <w:lang w:val="en-US"/>
    </w:rPr>
  </w:style>
  <w:style w:type="character" w:customStyle="1" w:styleId="EndNoteBibliographyTitleZchn">
    <w:name w:val="EndNote Bibliography Title Zchn"/>
    <w:basedOn w:val="Absatz-Standardschriftart"/>
    <w:link w:val="EndNoteBibliographyTitle"/>
    <w:rsid w:val="00377550"/>
    <w:rPr>
      <w:rFonts w:ascii="Calibri" w:eastAsia="Calibri" w:hAnsi="Calibri" w:cs="Calibri"/>
      <w:noProof/>
      <w:lang w:val="en-US"/>
    </w:rPr>
  </w:style>
  <w:style w:type="paragraph" w:customStyle="1" w:styleId="EndNoteBibliography">
    <w:name w:val="EndNote Bibliography"/>
    <w:basedOn w:val="Standard"/>
    <w:link w:val="EndNoteBibliographyZchn"/>
    <w:rsid w:val="00377550"/>
    <w:pPr>
      <w:spacing w:line="240" w:lineRule="auto"/>
    </w:pPr>
    <w:rPr>
      <w:rFonts w:cs="Calibri"/>
      <w:noProof/>
      <w:lang w:val="en-US"/>
    </w:rPr>
  </w:style>
  <w:style w:type="character" w:customStyle="1" w:styleId="EndNoteBibliographyZchn">
    <w:name w:val="EndNote Bibliography Zchn"/>
    <w:basedOn w:val="Absatz-Standardschriftart"/>
    <w:link w:val="EndNoteBibliography"/>
    <w:rsid w:val="00377550"/>
    <w:rPr>
      <w:rFonts w:ascii="Calibri" w:eastAsia="Calibri" w:hAnsi="Calibri" w:cs="Calibri"/>
      <w:noProof/>
      <w:lang w:val="en-US"/>
    </w:rPr>
  </w:style>
  <w:style w:type="character" w:customStyle="1" w:styleId="fm-vol-iss-date">
    <w:name w:val="fm-vol-iss-date"/>
    <w:basedOn w:val="Absatz-Standardschriftart"/>
    <w:rsid w:val="00377550"/>
  </w:style>
  <w:style w:type="character" w:customStyle="1" w:styleId="doi">
    <w:name w:val="doi"/>
    <w:basedOn w:val="Absatz-Standardschriftart"/>
    <w:rsid w:val="00377550"/>
  </w:style>
  <w:style w:type="character" w:styleId="Hervorhebung">
    <w:name w:val="Emphasis"/>
    <w:basedOn w:val="Absatz-Standardschriftart"/>
    <w:uiPriority w:val="20"/>
    <w:qFormat/>
    <w:rsid w:val="0037755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1013</Words>
  <Characters>6385</Characters>
  <Application>Microsoft Office Word</Application>
  <DocSecurity>0</DocSecurity>
  <Lines>53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Salzburger Landeskliniken</Company>
  <LinksUpToDate>false</LinksUpToDate>
  <CharactersWithSpaces>7384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 Roland</dc:creator>
  <cp:keywords/>
  <dc:description/>
  <cp:lastModifiedBy>Lang Roland</cp:lastModifiedBy>
  <cp:revision>4</cp:revision>
  <cp:lastPrinted>2021-07-14T12:12:00Z</cp:lastPrinted>
  <dcterms:created xsi:type="dcterms:W3CDTF">2021-09-09T08:18:00Z</dcterms:created>
  <dcterms:modified xsi:type="dcterms:W3CDTF">2021-09-09T09:16:00Z</dcterms:modified>
</cp:coreProperties>
</file>