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8866" w14:textId="77777777" w:rsidR="004B614B" w:rsidRPr="00B16CDD" w:rsidRDefault="004B614B" w:rsidP="004B614B">
      <w:pPr>
        <w:pStyle w:val="Para"/>
        <w:spacing w:after="0"/>
      </w:pPr>
    </w:p>
    <w:p w14:paraId="19E6A113" w14:textId="77777777" w:rsidR="004B614B" w:rsidRPr="006A076A" w:rsidRDefault="004B614B" w:rsidP="004B614B">
      <w:pPr>
        <w:pStyle w:val="Heading1notoc"/>
        <w:rPr>
          <w:lang w:val="en-US"/>
        </w:rPr>
      </w:pPr>
      <w:r w:rsidRPr="006A076A">
        <w:rPr>
          <w:lang w:val="en-US"/>
        </w:rPr>
        <w:t>CLINICAL STUDY REPORT</w:t>
      </w:r>
    </w:p>
    <w:tbl>
      <w:tblPr>
        <w:tblW w:w="9416" w:type="dxa"/>
        <w:tblLayout w:type="fixed"/>
        <w:tblCellMar>
          <w:left w:w="56" w:type="dxa"/>
          <w:right w:w="56" w:type="dxa"/>
        </w:tblCellMar>
        <w:tblLook w:val="0000" w:firstRow="0" w:lastRow="0" w:firstColumn="0" w:lastColumn="0" w:noHBand="0" w:noVBand="0"/>
      </w:tblPr>
      <w:tblGrid>
        <w:gridCol w:w="2936"/>
        <w:gridCol w:w="6480"/>
      </w:tblGrid>
      <w:tr w:rsidR="004B614B" w:rsidRPr="006A076A" w14:paraId="6972FFFB" w14:textId="77777777" w:rsidTr="00D80CA6">
        <w:trPr>
          <w:trHeight w:val="666"/>
        </w:trPr>
        <w:tc>
          <w:tcPr>
            <w:tcW w:w="2936" w:type="dxa"/>
          </w:tcPr>
          <w:p w14:paraId="3FBE1EA8" w14:textId="77777777" w:rsidR="004B614B" w:rsidRPr="006A076A" w:rsidRDefault="004B614B" w:rsidP="00D80CA6">
            <w:pPr>
              <w:pStyle w:val="CoverTextList"/>
            </w:pPr>
            <w:r w:rsidRPr="006A076A">
              <w:t>Study Title:</w:t>
            </w:r>
          </w:p>
        </w:tc>
        <w:tc>
          <w:tcPr>
            <w:tcW w:w="6480" w:type="dxa"/>
          </w:tcPr>
          <w:p w14:paraId="7BAAFB2E" w14:textId="77777777" w:rsidR="004B614B" w:rsidRPr="006A076A" w:rsidRDefault="004B614B" w:rsidP="00D80CA6">
            <w:pPr>
              <w:pStyle w:val="CoverTextList"/>
              <w:rPr>
                <w:b w:val="0"/>
              </w:rPr>
            </w:pPr>
            <w:bookmarkStart w:id="0" w:name="_Hlk75243158"/>
            <w:r w:rsidRPr="00D22CFD">
              <w:rPr>
                <w:b w:val="0"/>
              </w:rPr>
              <w:t xml:space="preserve">A </w:t>
            </w:r>
            <w:proofErr w:type="gramStart"/>
            <w:r w:rsidRPr="00D22CFD">
              <w:rPr>
                <w:b w:val="0"/>
              </w:rPr>
              <w:t>Two Part</w:t>
            </w:r>
            <w:proofErr w:type="gramEnd"/>
            <w:r w:rsidRPr="00D22CFD">
              <w:rPr>
                <w:b w:val="0"/>
              </w:rPr>
              <w:t xml:space="preserve"> Study to Assess the Safety, Pharmacokinetics and Pharmacodynamics of SBT-020 in Patients with Early Stage Huntington’s Disease</w:t>
            </w:r>
            <w:bookmarkEnd w:id="0"/>
          </w:p>
        </w:tc>
      </w:tr>
      <w:tr w:rsidR="004B614B" w:rsidRPr="006A076A" w14:paraId="2FD48320" w14:textId="77777777" w:rsidTr="00D80CA6">
        <w:trPr>
          <w:trHeight w:val="374"/>
        </w:trPr>
        <w:tc>
          <w:tcPr>
            <w:tcW w:w="2936" w:type="dxa"/>
          </w:tcPr>
          <w:p w14:paraId="7BD32C27" w14:textId="77777777" w:rsidR="004B614B" w:rsidRPr="006A076A" w:rsidRDefault="004B614B" w:rsidP="00D80CA6">
            <w:pPr>
              <w:pStyle w:val="CoverTextList"/>
            </w:pPr>
            <w:r w:rsidRPr="006A076A">
              <w:t>Investigational Product:</w:t>
            </w:r>
          </w:p>
        </w:tc>
        <w:tc>
          <w:tcPr>
            <w:tcW w:w="6480" w:type="dxa"/>
          </w:tcPr>
          <w:p w14:paraId="6F51CA8D" w14:textId="77777777" w:rsidR="004B614B" w:rsidRPr="006A076A" w:rsidRDefault="004B614B" w:rsidP="00D80CA6">
            <w:pPr>
              <w:pStyle w:val="CoverTextList"/>
              <w:rPr>
                <w:b w:val="0"/>
              </w:rPr>
            </w:pPr>
            <w:r>
              <w:rPr>
                <w:b w:val="0"/>
              </w:rPr>
              <w:t>SBT-020</w:t>
            </w:r>
          </w:p>
        </w:tc>
      </w:tr>
      <w:tr w:rsidR="004B614B" w:rsidRPr="006A076A" w14:paraId="1BED1DD0" w14:textId="77777777" w:rsidTr="00D80CA6">
        <w:trPr>
          <w:trHeight w:val="374"/>
        </w:trPr>
        <w:tc>
          <w:tcPr>
            <w:tcW w:w="2936" w:type="dxa"/>
          </w:tcPr>
          <w:p w14:paraId="06B73EDE" w14:textId="77777777" w:rsidR="004B614B" w:rsidRPr="006A076A" w:rsidRDefault="004B614B" w:rsidP="00D80CA6">
            <w:pPr>
              <w:pStyle w:val="CoverTextList"/>
            </w:pPr>
            <w:r w:rsidRPr="006A076A">
              <w:t>Indication Studied:</w:t>
            </w:r>
          </w:p>
        </w:tc>
        <w:tc>
          <w:tcPr>
            <w:tcW w:w="6480" w:type="dxa"/>
          </w:tcPr>
          <w:p w14:paraId="3EF36EC4" w14:textId="77777777" w:rsidR="004B614B" w:rsidRPr="006A076A" w:rsidRDefault="004B614B" w:rsidP="00D80CA6">
            <w:pPr>
              <w:pStyle w:val="CoverTextList"/>
              <w:rPr>
                <w:b w:val="0"/>
              </w:rPr>
            </w:pPr>
            <w:proofErr w:type="gramStart"/>
            <w:r>
              <w:rPr>
                <w:b w:val="0"/>
              </w:rPr>
              <w:t>Early stage</w:t>
            </w:r>
            <w:proofErr w:type="gramEnd"/>
            <w:r>
              <w:rPr>
                <w:b w:val="0"/>
              </w:rPr>
              <w:t xml:space="preserve"> Huntington’s Disease</w:t>
            </w:r>
          </w:p>
        </w:tc>
      </w:tr>
      <w:tr w:rsidR="004B614B" w:rsidRPr="006A076A" w14:paraId="554684AE" w14:textId="77777777" w:rsidTr="00D80CA6">
        <w:trPr>
          <w:trHeight w:val="374"/>
        </w:trPr>
        <w:tc>
          <w:tcPr>
            <w:tcW w:w="2936" w:type="dxa"/>
          </w:tcPr>
          <w:p w14:paraId="729D6869" w14:textId="77777777" w:rsidR="004B614B" w:rsidRPr="006A076A" w:rsidRDefault="004B614B" w:rsidP="00D80CA6">
            <w:pPr>
              <w:pStyle w:val="CoverTextList"/>
            </w:pPr>
            <w:r w:rsidRPr="005C747F">
              <w:t>Description of Study:</w:t>
            </w:r>
          </w:p>
        </w:tc>
        <w:tc>
          <w:tcPr>
            <w:tcW w:w="6480" w:type="dxa"/>
          </w:tcPr>
          <w:p w14:paraId="1BBB78A9" w14:textId="77777777" w:rsidR="004B614B" w:rsidRPr="00D22CFD" w:rsidRDefault="004B614B" w:rsidP="00D80CA6">
            <w:pPr>
              <w:pStyle w:val="CoverTextList"/>
              <w:rPr>
                <w:b w:val="0"/>
              </w:rPr>
            </w:pPr>
            <w:r w:rsidRPr="00D22CFD">
              <w:rPr>
                <w:b w:val="0"/>
              </w:rPr>
              <w:t xml:space="preserve">Part 1: A randomized, double-blind, placebo-controlled, repeat dose study of SBT-020 </w:t>
            </w:r>
            <w:r>
              <w:rPr>
                <w:b w:val="0"/>
              </w:rPr>
              <w:t xml:space="preserve">(5 mg, 15 mg or 25 mg) </w:t>
            </w:r>
            <w:r w:rsidRPr="00D22CFD">
              <w:rPr>
                <w:b w:val="0"/>
              </w:rPr>
              <w:t xml:space="preserve">administered subcutaneously for 7 </w:t>
            </w:r>
            <w:r>
              <w:rPr>
                <w:b w:val="0"/>
              </w:rPr>
              <w:t>d</w:t>
            </w:r>
            <w:r w:rsidRPr="00D22CFD">
              <w:rPr>
                <w:b w:val="0"/>
              </w:rPr>
              <w:t>ays</w:t>
            </w:r>
            <w:r>
              <w:rPr>
                <w:b w:val="0"/>
              </w:rPr>
              <w:t xml:space="preserve">, assessing the safety and pharmacokinetics of study medication in patients with </w:t>
            </w:r>
            <w:proofErr w:type="gramStart"/>
            <w:r>
              <w:rPr>
                <w:b w:val="0"/>
              </w:rPr>
              <w:t>early stage</w:t>
            </w:r>
            <w:proofErr w:type="gramEnd"/>
            <w:r>
              <w:rPr>
                <w:b w:val="0"/>
              </w:rPr>
              <w:t xml:space="preserve"> Huntington’s Disease.</w:t>
            </w:r>
          </w:p>
          <w:p w14:paraId="0210B042" w14:textId="77777777" w:rsidR="004B614B" w:rsidRPr="00DD43BB" w:rsidRDefault="004B614B" w:rsidP="00D80CA6">
            <w:pPr>
              <w:pStyle w:val="CoverTextList"/>
              <w:rPr>
                <w:b w:val="0"/>
              </w:rPr>
            </w:pPr>
            <w:r w:rsidRPr="00D22CFD">
              <w:rPr>
                <w:b w:val="0"/>
              </w:rPr>
              <w:t xml:space="preserve">Part 2: A randomized, double-blind, placebo-controlled, repeat dose study of SBT-020 </w:t>
            </w:r>
            <w:r>
              <w:rPr>
                <w:b w:val="0"/>
              </w:rPr>
              <w:t xml:space="preserve">(25 mg) </w:t>
            </w:r>
            <w:r w:rsidRPr="00D22CFD">
              <w:rPr>
                <w:b w:val="0"/>
              </w:rPr>
              <w:t xml:space="preserve">administered subcutaneously for 28 </w:t>
            </w:r>
            <w:r>
              <w:rPr>
                <w:b w:val="0"/>
              </w:rPr>
              <w:t>d</w:t>
            </w:r>
            <w:r w:rsidRPr="00D22CFD">
              <w:rPr>
                <w:b w:val="0"/>
              </w:rPr>
              <w:t>ays</w:t>
            </w:r>
            <w:r>
              <w:rPr>
                <w:b w:val="0"/>
              </w:rPr>
              <w:t xml:space="preserve">, assessing the safety, pharmacokinetics and pharmacodynamics of study medication in </w:t>
            </w:r>
            <w:proofErr w:type="gramStart"/>
            <w:r>
              <w:rPr>
                <w:b w:val="0"/>
              </w:rPr>
              <w:t>early stage</w:t>
            </w:r>
            <w:proofErr w:type="gramEnd"/>
            <w:r>
              <w:rPr>
                <w:b w:val="0"/>
              </w:rPr>
              <w:t xml:space="preserve"> Huntington’s Disease.  Pharmacodynamics were primarily assessed through mitochondrial function by analysis of phosphocreatine recovery time during </w:t>
            </w:r>
            <w:r w:rsidRPr="00D22CFD">
              <w:rPr>
                <w:b w:val="0"/>
                <w:vertAlign w:val="superscript"/>
              </w:rPr>
              <w:t>31</w:t>
            </w:r>
            <w:r>
              <w:rPr>
                <w:b w:val="0"/>
              </w:rPr>
              <w:t>P-MRS and in PBMCs. Additional pharmacodynamic endpoints in neurocognitive, motor function and UHDRS were assessed.</w:t>
            </w:r>
          </w:p>
        </w:tc>
      </w:tr>
      <w:tr w:rsidR="004B614B" w:rsidRPr="006A076A" w14:paraId="386761A9" w14:textId="77777777" w:rsidTr="00D80CA6">
        <w:trPr>
          <w:trHeight w:val="374"/>
        </w:trPr>
        <w:tc>
          <w:tcPr>
            <w:tcW w:w="2936" w:type="dxa"/>
          </w:tcPr>
          <w:p w14:paraId="0D5CE39A" w14:textId="77777777" w:rsidR="004B614B" w:rsidRPr="006A076A" w:rsidRDefault="004B614B" w:rsidP="00D80CA6">
            <w:pPr>
              <w:pStyle w:val="CoverTextList"/>
            </w:pPr>
            <w:r w:rsidRPr="006A076A">
              <w:t>Name of Sponsor:</w:t>
            </w:r>
          </w:p>
        </w:tc>
        <w:tc>
          <w:tcPr>
            <w:tcW w:w="6480" w:type="dxa"/>
          </w:tcPr>
          <w:p w14:paraId="3F945400" w14:textId="77777777" w:rsidR="004B614B" w:rsidRPr="006A076A" w:rsidRDefault="004B614B" w:rsidP="00D80CA6">
            <w:pPr>
              <w:pStyle w:val="CoverTextList"/>
              <w:rPr>
                <w:b w:val="0"/>
              </w:rPr>
            </w:pPr>
            <w:r w:rsidRPr="00CD5448">
              <w:rPr>
                <w:b w:val="0"/>
              </w:rPr>
              <w:t xml:space="preserve">Stealth </w:t>
            </w:r>
            <w:proofErr w:type="spellStart"/>
            <w:r w:rsidRPr="00CD5448">
              <w:rPr>
                <w:b w:val="0"/>
              </w:rPr>
              <w:t>BioTherapeutics</w:t>
            </w:r>
            <w:proofErr w:type="spellEnd"/>
            <w:r w:rsidRPr="00CD5448">
              <w:rPr>
                <w:b w:val="0"/>
              </w:rPr>
              <w:t xml:space="preserve"> Inc.</w:t>
            </w:r>
          </w:p>
        </w:tc>
      </w:tr>
      <w:tr w:rsidR="004B614B" w:rsidRPr="006A076A" w14:paraId="45EB0324" w14:textId="77777777" w:rsidTr="00D80CA6">
        <w:trPr>
          <w:trHeight w:val="374"/>
        </w:trPr>
        <w:tc>
          <w:tcPr>
            <w:tcW w:w="2936" w:type="dxa"/>
          </w:tcPr>
          <w:p w14:paraId="711A6C2E" w14:textId="77777777" w:rsidR="004B614B" w:rsidRPr="006A076A" w:rsidRDefault="004B614B" w:rsidP="00D80CA6">
            <w:pPr>
              <w:pStyle w:val="CoverTextList"/>
            </w:pPr>
            <w:r w:rsidRPr="006A076A">
              <w:t>Protocol Number:</w:t>
            </w:r>
          </w:p>
        </w:tc>
        <w:tc>
          <w:tcPr>
            <w:tcW w:w="6480" w:type="dxa"/>
          </w:tcPr>
          <w:p w14:paraId="1DB50E1C" w14:textId="77777777" w:rsidR="004B614B" w:rsidRPr="006A076A" w:rsidRDefault="004B614B" w:rsidP="00D80CA6">
            <w:pPr>
              <w:pStyle w:val="CoverTextList"/>
              <w:rPr>
                <w:b w:val="0"/>
              </w:rPr>
            </w:pPr>
            <w:r>
              <w:rPr>
                <w:b w:val="0"/>
              </w:rPr>
              <w:t>SBT20-102</w:t>
            </w:r>
          </w:p>
        </w:tc>
      </w:tr>
      <w:tr w:rsidR="004B614B" w:rsidRPr="006A076A" w14:paraId="43FF2A1E" w14:textId="77777777" w:rsidTr="00D80CA6">
        <w:trPr>
          <w:trHeight w:val="374"/>
        </w:trPr>
        <w:tc>
          <w:tcPr>
            <w:tcW w:w="2936" w:type="dxa"/>
          </w:tcPr>
          <w:p w14:paraId="63E4540B" w14:textId="77777777" w:rsidR="004B614B" w:rsidRPr="006A076A" w:rsidRDefault="004B614B" w:rsidP="00D80CA6">
            <w:pPr>
              <w:pStyle w:val="CoverTextList"/>
            </w:pPr>
            <w:r>
              <w:t xml:space="preserve">EudraCT </w:t>
            </w:r>
            <w:r w:rsidRPr="006A076A">
              <w:t>Number:</w:t>
            </w:r>
          </w:p>
        </w:tc>
        <w:tc>
          <w:tcPr>
            <w:tcW w:w="6480" w:type="dxa"/>
          </w:tcPr>
          <w:p w14:paraId="49790D47" w14:textId="77777777" w:rsidR="004B614B" w:rsidRPr="006A076A" w:rsidRDefault="004B614B" w:rsidP="00D80CA6">
            <w:pPr>
              <w:pStyle w:val="CoverTextList"/>
              <w:rPr>
                <w:b w:val="0"/>
              </w:rPr>
            </w:pPr>
            <w:r w:rsidRPr="00394860">
              <w:rPr>
                <w:b w:val="0"/>
                <w:lang w:val="de-DE"/>
              </w:rPr>
              <w:t>20</w:t>
            </w:r>
            <w:r>
              <w:rPr>
                <w:b w:val="0"/>
                <w:lang w:val="de-DE"/>
              </w:rPr>
              <w:t>16-003730-25</w:t>
            </w:r>
          </w:p>
        </w:tc>
      </w:tr>
      <w:tr w:rsidR="004B614B" w:rsidRPr="006A076A" w14:paraId="05958AE8" w14:textId="77777777" w:rsidTr="00D80CA6">
        <w:trPr>
          <w:trHeight w:val="374"/>
        </w:trPr>
        <w:tc>
          <w:tcPr>
            <w:tcW w:w="2936" w:type="dxa"/>
          </w:tcPr>
          <w:p w14:paraId="2EFFAC1F" w14:textId="77777777" w:rsidR="004B614B" w:rsidRDefault="004B614B" w:rsidP="00D80CA6">
            <w:pPr>
              <w:pStyle w:val="CoverTextList"/>
            </w:pPr>
            <w:proofErr w:type="spellStart"/>
            <w:r w:rsidRPr="003A5115">
              <w:t>Toetsing</w:t>
            </w:r>
            <w:proofErr w:type="spellEnd"/>
            <w:r w:rsidRPr="003A5115">
              <w:t xml:space="preserve"> Online </w:t>
            </w:r>
            <w:r>
              <w:t>N</w:t>
            </w:r>
            <w:r w:rsidRPr="003A5115">
              <w:t>umber</w:t>
            </w:r>
            <w:r>
              <w:t>:</w:t>
            </w:r>
          </w:p>
        </w:tc>
        <w:tc>
          <w:tcPr>
            <w:tcW w:w="6480" w:type="dxa"/>
          </w:tcPr>
          <w:p w14:paraId="217AF855" w14:textId="77777777" w:rsidR="004B614B" w:rsidRPr="00394860" w:rsidRDefault="004B614B" w:rsidP="00D80CA6">
            <w:pPr>
              <w:pStyle w:val="CoverTextList"/>
              <w:rPr>
                <w:b w:val="0"/>
                <w:lang w:val="de-DE"/>
              </w:rPr>
            </w:pPr>
            <w:r w:rsidRPr="003A5115">
              <w:rPr>
                <w:b w:val="0"/>
                <w:lang w:val="de-DE"/>
              </w:rPr>
              <w:t>NL59198.056.16</w:t>
            </w:r>
          </w:p>
        </w:tc>
      </w:tr>
      <w:tr w:rsidR="004B614B" w:rsidRPr="006A076A" w14:paraId="5BC3A445" w14:textId="77777777" w:rsidTr="00D80CA6">
        <w:trPr>
          <w:trHeight w:val="374"/>
        </w:trPr>
        <w:tc>
          <w:tcPr>
            <w:tcW w:w="2936" w:type="dxa"/>
          </w:tcPr>
          <w:p w14:paraId="54FE9855" w14:textId="77777777" w:rsidR="004B614B" w:rsidRPr="006A076A" w:rsidRDefault="004B614B" w:rsidP="00D80CA6">
            <w:pPr>
              <w:pStyle w:val="CoverTextList"/>
            </w:pPr>
            <w:r w:rsidRPr="006A076A">
              <w:t>Development Phase:</w:t>
            </w:r>
          </w:p>
        </w:tc>
        <w:tc>
          <w:tcPr>
            <w:tcW w:w="6480" w:type="dxa"/>
          </w:tcPr>
          <w:p w14:paraId="4626DB9B" w14:textId="77777777" w:rsidR="004B614B" w:rsidRPr="006A076A" w:rsidRDefault="004B614B" w:rsidP="00D80CA6">
            <w:pPr>
              <w:pStyle w:val="CoverTextList"/>
              <w:rPr>
                <w:b w:val="0"/>
              </w:rPr>
            </w:pPr>
            <w:r>
              <w:rPr>
                <w:b w:val="0"/>
              </w:rPr>
              <w:t>Phase 1/2</w:t>
            </w:r>
          </w:p>
        </w:tc>
      </w:tr>
      <w:tr w:rsidR="004B614B" w:rsidRPr="006A076A" w14:paraId="6A3FCE62" w14:textId="77777777" w:rsidTr="00D80CA6">
        <w:trPr>
          <w:trHeight w:val="374"/>
        </w:trPr>
        <w:tc>
          <w:tcPr>
            <w:tcW w:w="2936" w:type="dxa"/>
          </w:tcPr>
          <w:p w14:paraId="7B81D889" w14:textId="77777777" w:rsidR="004B614B" w:rsidRPr="006A076A" w:rsidRDefault="004B614B" w:rsidP="00D80CA6">
            <w:pPr>
              <w:pStyle w:val="CoverTextList"/>
            </w:pPr>
            <w:r w:rsidRPr="006A076A">
              <w:t>First Subject Enrolled:</w:t>
            </w:r>
          </w:p>
        </w:tc>
        <w:tc>
          <w:tcPr>
            <w:tcW w:w="6480" w:type="dxa"/>
          </w:tcPr>
          <w:p w14:paraId="3F5CE812" w14:textId="77777777" w:rsidR="004B614B" w:rsidRPr="006A076A" w:rsidRDefault="004B614B" w:rsidP="00D80CA6">
            <w:pPr>
              <w:pStyle w:val="CoverTextList"/>
              <w:rPr>
                <w:b w:val="0"/>
              </w:rPr>
            </w:pPr>
            <w:r>
              <w:rPr>
                <w:b w:val="0"/>
              </w:rPr>
              <w:t>14 April 2017</w:t>
            </w:r>
          </w:p>
        </w:tc>
      </w:tr>
      <w:tr w:rsidR="004B614B" w:rsidRPr="006A076A" w14:paraId="57721946" w14:textId="77777777" w:rsidTr="00D80CA6">
        <w:trPr>
          <w:trHeight w:val="374"/>
        </w:trPr>
        <w:tc>
          <w:tcPr>
            <w:tcW w:w="2936" w:type="dxa"/>
          </w:tcPr>
          <w:p w14:paraId="2CDD6942" w14:textId="77777777" w:rsidR="004B614B" w:rsidRPr="006A076A" w:rsidRDefault="004B614B" w:rsidP="00D80CA6">
            <w:pPr>
              <w:pStyle w:val="CoverTextList"/>
            </w:pPr>
            <w:r w:rsidRPr="006A076A">
              <w:t>Last Subject Completed:</w:t>
            </w:r>
          </w:p>
        </w:tc>
        <w:tc>
          <w:tcPr>
            <w:tcW w:w="6480" w:type="dxa"/>
          </w:tcPr>
          <w:p w14:paraId="451BD2C8" w14:textId="77777777" w:rsidR="004B614B" w:rsidRPr="006A076A" w:rsidRDefault="004B614B" w:rsidP="00D80CA6">
            <w:pPr>
              <w:pStyle w:val="CoverTextList"/>
              <w:rPr>
                <w:b w:val="0"/>
              </w:rPr>
            </w:pPr>
            <w:r>
              <w:rPr>
                <w:b w:val="0"/>
              </w:rPr>
              <w:t>21 December 2017</w:t>
            </w:r>
          </w:p>
        </w:tc>
      </w:tr>
      <w:tr w:rsidR="004B614B" w:rsidRPr="006A076A" w14:paraId="13153D7A" w14:textId="77777777" w:rsidTr="00D80CA6">
        <w:trPr>
          <w:trHeight w:val="374"/>
        </w:trPr>
        <w:tc>
          <w:tcPr>
            <w:tcW w:w="2936" w:type="dxa"/>
          </w:tcPr>
          <w:p w14:paraId="4F406B5E" w14:textId="77777777" w:rsidR="004B614B" w:rsidRPr="006A076A" w:rsidRDefault="004B614B" w:rsidP="00D80CA6">
            <w:pPr>
              <w:pStyle w:val="CoverTextList"/>
            </w:pPr>
            <w:r w:rsidRPr="001811B3">
              <w:t>Principal In</w:t>
            </w:r>
            <w:r w:rsidRPr="006A076A">
              <w:t>vestigator:</w:t>
            </w:r>
          </w:p>
        </w:tc>
        <w:tc>
          <w:tcPr>
            <w:tcW w:w="6480" w:type="dxa"/>
          </w:tcPr>
          <w:p w14:paraId="7563E64A" w14:textId="77777777" w:rsidR="004B614B" w:rsidRPr="003A5115" w:rsidRDefault="004B614B" w:rsidP="00D80CA6">
            <w:pPr>
              <w:pStyle w:val="CoverTextList"/>
              <w:spacing w:after="0"/>
              <w:rPr>
                <w:b w:val="0"/>
              </w:rPr>
            </w:pPr>
            <w:r w:rsidRPr="003A5115">
              <w:rPr>
                <w:b w:val="0"/>
              </w:rPr>
              <w:t xml:space="preserve">G.J. Groeneveld, MD, PhD </w:t>
            </w:r>
          </w:p>
          <w:p w14:paraId="1486895D" w14:textId="77777777" w:rsidR="004B614B" w:rsidRPr="003A5115" w:rsidRDefault="004B614B" w:rsidP="00D80CA6">
            <w:pPr>
              <w:pStyle w:val="CoverTextList"/>
              <w:spacing w:after="0"/>
              <w:rPr>
                <w:b w:val="0"/>
              </w:rPr>
            </w:pPr>
            <w:r w:rsidRPr="003A5115">
              <w:rPr>
                <w:b w:val="0"/>
              </w:rPr>
              <w:t xml:space="preserve">Centre for Human Drug Research </w:t>
            </w:r>
          </w:p>
          <w:p w14:paraId="08507E98" w14:textId="77777777" w:rsidR="004B614B" w:rsidRPr="006A076A" w:rsidRDefault="004B614B" w:rsidP="00D80CA6">
            <w:pPr>
              <w:pStyle w:val="CoverTextList"/>
              <w:spacing w:after="0"/>
              <w:rPr>
                <w:b w:val="0"/>
              </w:rPr>
            </w:pPr>
            <w:proofErr w:type="spellStart"/>
            <w:r w:rsidRPr="003A5115">
              <w:rPr>
                <w:b w:val="0"/>
              </w:rPr>
              <w:t>Zernikedreef</w:t>
            </w:r>
            <w:proofErr w:type="spellEnd"/>
            <w:r w:rsidRPr="003A5115">
              <w:rPr>
                <w:b w:val="0"/>
              </w:rPr>
              <w:t xml:space="preserve"> 8 Leiden 2333 CL, the Netherlands</w:t>
            </w:r>
          </w:p>
        </w:tc>
      </w:tr>
      <w:tr w:rsidR="004B614B" w:rsidRPr="005C2582" w14:paraId="39035E51" w14:textId="77777777" w:rsidTr="00D80CA6">
        <w:trPr>
          <w:trHeight w:val="374"/>
        </w:trPr>
        <w:tc>
          <w:tcPr>
            <w:tcW w:w="2936" w:type="dxa"/>
          </w:tcPr>
          <w:p w14:paraId="30E423E6" w14:textId="77777777" w:rsidR="004B614B" w:rsidRPr="005C2582" w:rsidRDefault="004B614B" w:rsidP="00D80CA6">
            <w:pPr>
              <w:pStyle w:val="CoverTextList"/>
            </w:pPr>
            <w:r w:rsidRPr="005C2582">
              <w:t>Sponsor Signatory:</w:t>
            </w:r>
          </w:p>
        </w:tc>
        <w:tc>
          <w:tcPr>
            <w:tcW w:w="6480" w:type="dxa"/>
          </w:tcPr>
          <w:p w14:paraId="3B41F955" w14:textId="77777777" w:rsidR="004B614B" w:rsidRPr="005C2582" w:rsidRDefault="004B614B" w:rsidP="00D80CA6">
            <w:pPr>
              <w:pStyle w:val="CoverTextList"/>
              <w:spacing w:after="0"/>
              <w:rPr>
                <w:b w:val="0"/>
              </w:rPr>
            </w:pPr>
            <w:r w:rsidRPr="005C2582">
              <w:rPr>
                <w:b w:val="0"/>
              </w:rPr>
              <w:t xml:space="preserve">Jim </w:t>
            </w:r>
            <w:proofErr w:type="spellStart"/>
            <w:r w:rsidRPr="005C2582">
              <w:rPr>
                <w:b w:val="0"/>
              </w:rPr>
              <w:t>Carr</w:t>
            </w:r>
            <w:proofErr w:type="spellEnd"/>
            <w:r w:rsidRPr="005C2582">
              <w:rPr>
                <w:b w:val="0"/>
              </w:rPr>
              <w:t>, PharmD</w:t>
            </w:r>
          </w:p>
          <w:p w14:paraId="6D07165B" w14:textId="77777777" w:rsidR="004B614B" w:rsidRPr="005C2582" w:rsidRDefault="004B614B" w:rsidP="00D80CA6">
            <w:pPr>
              <w:pStyle w:val="CoverTextList"/>
              <w:spacing w:after="0"/>
              <w:rPr>
                <w:b w:val="0"/>
              </w:rPr>
            </w:pPr>
            <w:r w:rsidRPr="005C2582">
              <w:rPr>
                <w:b w:val="0"/>
              </w:rPr>
              <w:t>Chief Clinical Development Officer</w:t>
            </w:r>
          </w:p>
          <w:p w14:paraId="43F19127" w14:textId="77777777" w:rsidR="004B614B" w:rsidRPr="005C2582" w:rsidRDefault="004B614B" w:rsidP="00D80CA6">
            <w:pPr>
              <w:pStyle w:val="CoverTextList"/>
              <w:spacing w:after="0"/>
              <w:rPr>
                <w:b w:val="0"/>
              </w:rPr>
            </w:pPr>
            <w:r w:rsidRPr="005C2582">
              <w:rPr>
                <w:b w:val="0"/>
              </w:rPr>
              <w:t xml:space="preserve">Stealth </w:t>
            </w:r>
            <w:proofErr w:type="spellStart"/>
            <w:r w:rsidRPr="005C2582">
              <w:rPr>
                <w:b w:val="0"/>
              </w:rPr>
              <w:t>BioTherapeutics</w:t>
            </w:r>
            <w:proofErr w:type="spellEnd"/>
            <w:r w:rsidRPr="005C2582">
              <w:rPr>
                <w:b w:val="0"/>
              </w:rPr>
              <w:t>, Inc.</w:t>
            </w:r>
          </w:p>
          <w:p w14:paraId="255A54D2" w14:textId="77777777" w:rsidR="004B614B" w:rsidRPr="00A063B2" w:rsidRDefault="004B614B" w:rsidP="00D80CA6">
            <w:pPr>
              <w:pStyle w:val="CoverTextList"/>
              <w:spacing w:after="0"/>
              <w:rPr>
                <w:b w:val="0"/>
              </w:rPr>
            </w:pPr>
            <w:r w:rsidRPr="00A063B2">
              <w:rPr>
                <w:b w:val="0"/>
              </w:rPr>
              <w:t>140 Kendrick St., Building C-West</w:t>
            </w:r>
          </w:p>
          <w:p w14:paraId="1574B2FD" w14:textId="77777777" w:rsidR="004B614B" w:rsidRPr="005C2582" w:rsidRDefault="004B614B" w:rsidP="00D80CA6">
            <w:pPr>
              <w:pStyle w:val="CoverTextList"/>
              <w:spacing w:after="0"/>
              <w:rPr>
                <w:b w:val="0"/>
              </w:rPr>
            </w:pPr>
            <w:r w:rsidRPr="00A063B2">
              <w:rPr>
                <w:b w:val="0"/>
              </w:rPr>
              <w:t>Needham, MA 02494</w:t>
            </w:r>
          </w:p>
        </w:tc>
      </w:tr>
      <w:tr w:rsidR="004B614B" w:rsidRPr="006A076A" w14:paraId="6ED3D694" w14:textId="77777777" w:rsidTr="00D80CA6">
        <w:trPr>
          <w:trHeight w:val="374"/>
        </w:trPr>
        <w:tc>
          <w:tcPr>
            <w:tcW w:w="2936" w:type="dxa"/>
          </w:tcPr>
          <w:p w14:paraId="51460B10" w14:textId="77777777" w:rsidR="004B614B" w:rsidRPr="006A076A" w:rsidRDefault="004B614B" w:rsidP="00D80CA6">
            <w:pPr>
              <w:pStyle w:val="CoverTextList"/>
            </w:pPr>
            <w:r w:rsidRPr="006A076A">
              <w:t>GCP Compliance:</w:t>
            </w:r>
          </w:p>
        </w:tc>
        <w:tc>
          <w:tcPr>
            <w:tcW w:w="6480" w:type="dxa"/>
          </w:tcPr>
          <w:p w14:paraId="07234327" w14:textId="77777777" w:rsidR="004B614B" w:rsidRPr="006A076A" w:rsidRDefault="004B614B" w:rsidP="00D80CA6">
            <w:pPr>
              <w:pStyle w:val="CoverTextList"/>
              <w:rPr>
                <w:b w:val="0"/>
              </w:rPr>
            </w:pPr>
            <w:r w:rsidRPr="006A076A">
              <w:rPr>
                <w:b w:val="0"/>
              </w:rPr>
              <w:t xml:space="preserve">This study was performed in compliance with International Council for </w:t>
            </w:r>
            <w:proofErr w:type="spellStart"/>
            <w:r w:rsidRPr="006A076A">
              <w:rPr>
                <w:b w:val="0"/>
              </w:rPr>
              <w:t>Harmonisation</w:t>
            </w:r>
            <w:proofErr w:type="spellEnd"/>
            <w:r w:rsidRPr="006A076A">
              <w:rPr>
                <w:b w:val="0"/>
              </w:rPr>
              <w:t xml:space="preserve"> (ICH) Good Clinical Practices (GCP), including the archiving of essential documents as well as the ethical principles of the Declaration of Helsinki</w:t>
            </w:r>
          </w:p>
        </w:tc>
      </w:tr>
      <w:tr w:rsidR="004B614B" w:rsidRPr="006A076A" w14:paraId="0065000D" w14:textId="77777777" w:rsidTr="00D80CA6">
        <w:trPr>
          <w:trHeight w:val="374"/>
        </w:trPr>
        <w:tc>
          <w:tcPr>
            <w:tcW w:w="2936" w:type="dxa"/>
          </w:tcPr>
          <w:p w14:paraId="4FDBDA6F" w14:textId="77777777" w:rsidR="004B614B" w:rsidRPr="006A076A" w:rsidRDefault="004B614B" w:rsidP="00D80CA6">
            <w:pPr>
              <w:pStyle w:val="CoverTextList"/>
            </w:pPr>
            <w:r w:rsidRPr="006A076A">
              <w:t>Report Version and Date:</w:t>
            </w:r>
          </w:p>
        </w:tc>
        <w:tc>
          <w:tcPr>
            <w:tcW w:w="6480" w:type="dxa"/>
          </w:tcPr>
          <w:p w14:paraId="4057B91A" w14:textId="77777777" w:rsidR="004B614B" w:rsidRPr="00BD32D2" w:rsidRDefault="004B614B" w:rsidP="00D80CA6">
            <w:pPr>
              <w:pStyle w:val="CoverTextList"/>
              <w:rPr>
                <w:b w:val="0"/>
              </w:rPr>
            </w:pPr>
            <w:r>
              <w:rPr>
                <w:b w:val="0"/>
              </w:rPr>
              <w:t>Final, 05</w:t>
            </w:r>
            <w:r w:rsidRPr="00BD32D2">
              <w:rPr>
                <w:b w:val="0"/>
              </w:rPr>
              <w:t xml:space="preserve"> </w:t>
            </w:r>
            <w:r>
              <w:rPr>
                <w:b w:val="0"/>
              </w:rPr>
              <w:t>October</w:t>
            </w:r>
            <w:r w:rsidRPr="00BD32D2">
              <w:rPr>
                <w:b w:val="0"/>
              </w:rPr>
              <w:t xml:space="preserve"> 202</w:t>
            </w:r>
            <w:r>
              <w:rPr>
                <w:b w:val="0"/>
              </w:rPr>
              <w:t>1</w:t>
            </w:r>
          </w:p>
        </w:tc>
      </w:tr>
    </w:tbl>
    <w:p w14:paraId="3DBFB1E3" w14:textId="77777777" w:rsidR="004B614B" w:rsidRPr="006A076A" w:rsidRDefault="004B614B" w:rsidP="004B614B">
      <w:pPr>
        <w:pStyle w:val="ConfidentialityHeading"/>
      </w:pPr>
      <w:r w:rsidRPr="006A076A">
        <w:t>CONFIDENTIAL</w:t>
      </w:r>
    </w:p>
    <w:p w14:paraId="7E183006" w14:textId="77777777" w:rsidR="004B614B" w:rsidRPr="006A076A" w:rsidRDefault="004B614B" w:rsidP="004B614B">
      <w:pPr>
        <w:pStyle w:val="Para"/>
        <w:sectPr w:rsidR="004B614B" w:rsidRPr="006A076A" w:rsidSect="00286729">
          <w:footerReference w:type="default" r:id="rId7"/>
          <w:footerReference w:type="first" r:id="rId8"/>
          <w:endnotePr>
            <w:numFmt w:val="decimal"/>
          </w:endnotePr>
          <w:pgSz w:w="12240" w:h="15840" w:code="1"/>
          <w:pgMar w:top="1440" w:right="1440" w:bottom="1440" w:left="1800" w:header="1152" w:footer="576" w:gutter="0"/>
          <w:cols w:space="720"/>
          <w:noEndnote/>
          <w:titlePg/>
          <w:docGrid w:linePitch="326"/>
        </w:sectPr>
      </w:pPr>
    </w:p>
    <w:p w14:paraId="00F74740" w14:textId="77777777" w:rsidR="004B614B" w:rsidRDefault="004B614B" w:rsidP="004B614B">
      <w:pPr>
        <w:pStyle w:val="Heading1"/>
      </w:pPr>
      <w:bookmarkStart w:id="1" w:name="_Toc84312138"/>
      <w:r>
        <w:lastRenderedPageBreak/>
        <w:t>Synopsis</w:t>
      </w:r>
      <w:bookmarkEnd w:id="1"/>
    </w:p>
    <w:tbl>
      <w:tblPr>
        <w:tblW w:w="93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691"/>
        <w:gridCol w:w="2609"/>
      </w:tblGrid>
      <w:tr w:rsidR="004B614B" w:rsidRPr="00220848" w14:paraId="655EDE85" w14:textId="77777777" w:rsidTr="00D80CA6">
        <w:trPr>
          <w:tblHeader/>
        </w:trPr>
        <w:tc>
          <w:tcPr>
            <w:tcW w:w="9303" w:type="dxa"/>
            <w:gridSpan w:val="2"/>
            <w:tcBorders>
              <w:top w:val="single" w:sz="4" w:space="0" w:color="auto"/>
              <w:left w:val="single" w:sz="4" w:space="0" w:color="auto"/>
              <w:bottom w:val="single" w:sz="4" w:space="0" w:color="auto"/>
              <w:right w:val="single" w:sz="4" w:space="0" w:color="auto"/>
            </w:tcBorders>
            <w:hideMark/>
          </w:tcPr>
          <w:p w14:paraId="29751979" w14:textId="77777777" w:rsidR="004B614B" w:rsidRPr="00220848" w:rsidRDefault="004B614B" w:rsidP="00D80CA6">
            <w:pPr>
              <w:suppressAutoHyphens w:val="0"/>
              <w:spacing w:before="60" w:after="60" w:line="256" w:lineRule="auto"/>
              <w:rPr>
                <w:b/>
                <w:sz w:val="20"/>
                <w:szCs w:val="24"/>
              </w:rPr>
            </w:pPr>
            <w:r w:rsidRPr="00220848">
              <w:rPr>
                <w:b/>
                <w:sz w:val="20"/>
                <w:szCs w:val="24"/>
              </w:rPr>
              <w:t xml:space="preserve">Name of Sponsor/Company: Stealth </w:t>
            </w:r>
            <w:proofErr w:type="spellStart"/>
            <w:r w:rsidRPr="00220848">
              <w:rPr>
                <w:b/>
                <w:sz w:val="20"/>
                <w:szCs w:val="24"/>
              </w:rPr>
              <w:t>BioTherapeutics</w:t>
            </w:r>
            <w:proofErr w:type="spellEnd"/>
            <w:r w:rsidRPr="00220848">
              <w:rPr>
                <w:b/>
                <w:sz w:val="20"/>
                <w:szCs w:val="24"/>
              </w:rPr>
              <w:t xml:space="preserve"> Inc.</w:t>
            </w:r>
          </w:p>
          <w:p w14:paraId="0C5F0BC8" w14:textId="77777777" w:rsidR="004B614B" w:rsidRPr="00220848" w:rsidRDefault="004B614B" w:rsidP="00D80CA6">
            <w:pPr>
              <w:suppressAutoHyphens w:val="0"/>
              <w:spacing w:before="60" w:after="60" w:line="256" w:lineRule="auto"/>
              <w:rPr>
                <w:b/>
                <w:sz w:val="20"/>
                <w:szCs w:val="24"/>
              </w:rPr>
            </w:pPr>
            <w:r w:rsidRPr="00220848">
              <w:rPr>
                <w:b/>
                <w:sz w:val="20"/>
                <w:szCs w:val="24"/>
              </w:rPr>
              <w:t xml:space="preserve">Name of </w:t>
            </w:r>
            <w:r>
              <w:rPr>
                <w:b/>
                <w:sz w:val="20"/>
                <w:szCs w:val="24"/>
              </w:rPr>
              <w:t>Investigational Medicinal Product</w:t>
            </w:r>
            <w:r w:rsidRPr="00220848">
              <w:rPr>
                <w:b/>
                <w:sz w:val="20"/>
                <w:szCs w:val="24"/>
              </w:rPr>
              <w:t xml:space="preserve">: </w:t>
            </w:r>
            <w:r>
              <w:rPr>
                <w:b/>
                <w:sz w:val="20"/>
                <w:szCs w:val="24"/>
              </w:rPr>
              <w:t>SBT-020</w:t>
            </w:r>
          </w:p>
          <w:p w14:paraId="3553A7F3" w14:textId="77777777" w:rsidR="004B614B" w:rsidRPr="00220848" w:rsidRDefault="004B614B" w:rsidP="00D80CA6">
            <w:pPr>
              <w:suppressAutoHyphens w:val="0"/>
              <w:spacing w:before="60" w:after="60" w:line="256" w:lineRule="auto"/>
              <w:rPr>
                <w:b/>
                <w:sz w:val="20"/>
                <w:szCs w:val="24"/>
              </w:rPr>
            </w:pPr>
            <w:r>
              <w:rPr>
                <w:b/>
                <w:sz w:val="20"/>
                <w:szCs w:val="24"/>
              </w:rPr>
              <w:t>Study Number: SBT020-102</w:t>
            </w:r>
          </w:p>
        </w:tc>
      </w:tr>
      <w:tr w:rsidR="004B614B" w:rsidRPr="00220848" w14:paraId="5F0B6235" w14:textId="77777777" w:rsidTr="00D80CA6">
        <w:tc>
          <w:tcPr>
            <w:tcW w:w="9303" w:type="dxa"/>
            <w:gridSpan w:val="2"/>
            <w:tcBorders>
              <w:top w:val="single" w:sz="4" w:space="0" w:color="auto"/>
              <w:left w:val="single" w:sz="4" w:space="0" w:color="auto"/>
              <w:bottom w:val="single" w:sz="4" w:space="0" w:color="auto"/>
              <w:right w:val="single" w:sz="4" w:space="0" w:color="auto"/>
            </w:tcBorders>
            <w:hideMark/>
          </w:tcPr>
          <w:p w14:paraId="038B7038" w14:textId="77777777" w:rsidR="004B614B" w:rsidRPr="00220848" w:rsidRDefault="004B614B" w:rsidP="00D80CA6">
            <w:pPr>
              <w:suppressAutoHyphens w:val="0"/>
              <w:spacing w:before="60" w:after="60" w:line="256" w:lineRule="auto"/>
              <w:rPr>
                <w:b/>
                <w:sz w:val="20"/>
                <w:szCs w:val="24"/>
              </w:rPr>
            </w:pPr>
            <w:r w:rsidRPr="00220848">
              <w:rPr>
                <w:b/>
                <w:sz w:val="20"/>
                <w:szCs w:val="24"/>
              </w:rPr>
              <w:t>Title of Study:</w:t>
            </w:r>
          </w:p>
          <w:p w14:paraId="175CD2B0" w14:textId="77777777" w:rsidR="004B614B" w:rsidRPr="00220848" w:rsidRDefault="004B614B" w:rsidP="00D80CA6">
            <w:pPr>
              <w:suppressAutoHyphens w:val="0"/>
              <w:spacing w:before="60" w:after="60" w:line="256" w:lineRule="auto"/>
              <w:rPr>
                <w:sz w:val="20"/>
                <w:szCs w:val="24"/>
              </w:rPr>
            </w:pPr>
            <w:r w:rsidRPr="00220848">
              <w:rPr>
                <w:sz w:val="20"/>
                <w:szCs w:val="24"/>
              </w:rPr>
              <w:t xml:space="preserve">A </w:t>
            </w:r>
            <w:proofErr w:type="gramStart"/>
            <w:r w:rsidRPr="00220848">
              <w:rPr>
                <w:sz w:val="20"/>
                <w:szCs w:val="24"/>
              </w:rPr>
              <w:t>Two Part</w:t>
            </w:r>
            <w:proofErr w:type="gramEnd"/>
            <w:r w:rsidRPr="00220848">
              <w:rPr>
                <w:sz w:val="20"/>
                <w:szCs w:val="24"/>
              </w:rPr>
              <w:t xml:space="preserve"> Study to Assess the Safety, Pharmacokinetics and Pharmacodynamics of SBT-020 in Patients with Early Stage Huntington’s Disease</w:t>
            </w:r>
          </w:p>
        </w:tc>
      </w:tr>
      <w:tr w:rsidR="004B614B" w:rsidRPr="00220848" w14:paraId="5BD2EBA5" w14:textId="77777777" w:rsidTr="00D80CA6">
        <w:tc>
          <w:tcPr>
            <w:tcW w:w="9303" w:type="dxa"/>
            <w:gridSpan w:val="2"/>
            <w:tcBorders>
              <w:top w:val="single" w:sz="4" w:space="0" w:color="auto"/>
              <w:left w:val="single" w:sz="4" w:space="0" w:color="auto"/>
              <w:bottom w:val="single" w:sz="4" w:space="0" w:color="auto"/>
              <w:right w:val="single" w:sz="4" w:space="0" w:color="auto"/>
            </w:tcBorders>
            <w:hideMark/>
          </w:tcPr>
          <w:p w14:paraId="52C374E7" w14:textId="77777777" w:rsidR="004B614B" w:rsidRPr="00220848" w:rsidRDefault="004B614B" w:rsidP="00D80CA6">
            <w:pPr>
              <w:suppressAutoHyphens w:val="0"/>
              <w:spacing w:before="60" w:after="60" w:line="256" w:lineRule="auto"/>
              <w:rPr>
                <w:b/>
                <w:sz w:val="20"/>
                <w:szCs w:val="24"/>
              </w:rPr>
            </w:pPr>
            <w:r>
              <w:rPr>
                <w:b/>
                <w:sz w:val="20"/>
                <w:szCs w:val="24"/>
              </w:rPr>
              <w:t xml:space="preserve">Principal </w:t>
            </w:r>
            <w:r w:rsidRPr="00220848">
              <w:rPr>
                <w:b/>
                <w:sz w:val="20"/>
                <w:szCs w:val="24"/>
              </w:rPr>
              <w:t>Investigators:</w:t>
            </w:r>
          </w:p>
          <w:p w14:paraId="2F68A01B" w14:textId="77777777" w:rsidR="004B614B" w:rsidRPr="00220848" w:rsidRDefault="004B614B" w:rsidP="00D80CA6">
            <w:pPr>
              <w:suppressAutoHyphens w:val="0"/>
              <w:spacing w:before="60" w:after="60" w:line="256" w:lineRule="auto"/>
              <w:rPr>
                <w:sz w:val="20"/>
                <w:szCs w:val="24"/>
              </w:rPr>
            </w:pPr>
            <w:r w:rsidRPr="00220848">
              <w:rPr>
                <w:sz w:val="20"/>
                <w:szCs w:val="24"/>
              </w:rPr>
              <w:t xml:space="preserve">G.J. Groeneveld, MD, PhD </w:t>
            </w:r>
          </w:p>
        </w:tc>
      </w:tr>
      <w:tr w:rsidR="004B614B" w:rsidRPr="00220848" w14:paraId="7517517B" w14:textId="77777777" w:rsidTr="00D80CA6">
        <w:tc>
          <w:tcPr>
            <w:tcW w:w="9303" w:type="dxa"/>
            <w:gridSpan w:val="2"/>
            <w:tcBorders>
              <w:top w:val="single" w:sz="4" w:space="0" w:color="auto"/>
              <w:left w:val="single" w:sz="4" w:space="0" w:color="auto"/>
              <w:bottom w:val="single" w:sz="4" w:space="0" w:color="auto"/>
              <w:right w:val="single" w:sz="4" w:space="0" w:color="auto"/>
            </w:tcBorders>
            <w:hideMark/>
          </w:tcPr>
          <w:p w14:paraId="45A70FDA" w14:textId="77777777" w:rsidR="004B614B" w:rsidRPr="00220848" w:rsidRDefault="004B614B" w:rsidP="00D80CA6">
            <w:pPr>
              <w:suppressAutoHyphens w:val="0"/>
              <w:spacing w:before="60" w:after="60" w:line="256" w:lineRule="auto"/>
              <w:rPr>
                <w:b/>
                <w:sz w:val="20"/>
                <w:szCs w:val="24"/>
              </w:rPr>
            </w:pPr>
            <w:r w:rsidRPr="00220848">
              <w:rPr>
                <w:b/>
                <w:sz w:val="20"/>
                <w:szCs w:val="24"/>
              </w:rPr>
              <w:t>Study Cente</w:t>
            </w:r>
            <w:r>
              <w:rPr>
                <w:b/>
                <w:sz w:val="20"/>
                <w:szCs w:val="24"/>
              </w:rPr>
              <w:t>r</w:t>
            </w:r>
            <w:r w:rsidRPr="00220848">
              <w:rPr>
                <w:b/>
                <w:sz w:val="20"/>
                <w:szCs w:val="24"/>
              </w:rPr>
              <w:t>:</w:t>
            </w:r>
          </w:p>
          <w:p w14:paraId="35180227" w14:textId="77777777" w:rsidR="004B614B" w:rsidRPr="00220848" w:rsidRDefault="004B614B" w:rsidP="00D80CA6">
            <w:pPr>
              <w:suppressAutoHyphens w:val="0"/>
              <w:spacing w:before="60" w:after="60" w:line="256" w:lineRule="auto"/>
              <w:rPr>
                <w:sz w:val="20"/>
                <w:szCs w:val="24"/>
              </w:rPr>
            </w:pPr>
            <w:r w:rsidRPr="00220848">
              <w:rPr>
                <w:sz w:val="20"/>
                <w:szCs w:val="24"/>
              </w:rPr>
              <w:t xml:space="preserve">Centre for Human Drug Research </w:t>
            </w:r>
            <w:r>
              <w:rPr>
                <w:sz w:val="20"/>
                <w:szCs w:val="24"/>
              </w:rPr>
              <w:t xml:space="preserve">(CHDR), </w:t>
            </w:r>
            <w:proofErr w:type="spellStart"/>
            <w:r w:rsidRPr="00220848">
              <w:rPr>
                <w:sz w:val="20"/>
                <w:szCs w:val="24"/>
              </w:rPr>
              <w:t>Zernikedreef</w:t>
            </w:r>
            <w:proofErr w:type="spellEnd"/>
            <w:r w:rsidRPr="00220848">
              <w:rPr>
                <w:sz w:val="20"/>
                <w:szCs w:val="24"/>
              </w:rPr>
              <w:t xml:space="preserve"> 8 Leiden 2333 CL, the Netherlands</w:t>
            </w:r>
          </w:p>
        </w:tc>
      </w:tr>
      <w:tr w:rsidR="004B614B" w:rsidRPr="00220848" w14:paraId="454FE60D" w14:textId="77777777" w:rsidTr="00D80CA6">
        <w:tc>
          <w:tcPr>
            <w:tcW w:w="9303" w:type="dxa"/>
            <w:gridSpan w:val="2"/>
            <w:tcBorders>
              <w:top w:val="single" w:sz="4" w:space="0" w:color="auto"/>
              <w:left w:val="single" w:sz="4" w:space="0" w:color="auto"/>
              <w:bottom w:val="single" w:sz="4" w:space="0" w:color="auto"/>
              <w:right w:val="single" w:sz="4" w:space="0" w:color="auto"/>
            </w:tcBorders>
            <w:hideMark/>
          </w:tcPr>
          <w:p w14:paraId="1A9DC82F" w14:textId="77777777" w:rsidR="004B614B" w:rsidRPr="00865933" w:rsidRDefault="004B614B" w:rsidP="00D80CA6">
            <w:pPr>
              <w:suppressAutoHyphens w:val="0"/>
              <w:spacing w:before="60" w:after="60" w:line="256" w:lineRule="auto"/>
              <w:rPr>
                <w:b/>
                <w:sz w:val="20"/>
                <w:szCs w:val="24"/>
                <w:lang w:val="nl-NL"/>
              </w:rPr>
            </w:pPr>
            <w:proofErr w:type="spellStart"/>
            <w:r w:rsidRPr="00865933">
              <w:rPr>
                <w:b/>
                <w:sz w:val="20"/>
                <w:szCs w:val="24"/>
                <w:lang w:val="nl-NL"/>
              </w:rPr>
              <w:t>Publication</w:t>
            </w:r>
            <w:proofErr w:type="spellEnd"/>
            <w:r w:rsidRPr="00865933">
              <w:rPr>
                <w:b/>
                <w:sz w:val="20"/>
                <w:szCs w:val="24"/>
                <w:lang w:val="nl-NL"/>
              </w:rPr>
              <w:t xml:space="preserve"> (Reference):</w:t>
            </w:r>
          </w:p>
          <w:p w14:paraId="32156727" w14:textId="77777777" w:rsidR="004B614B" w:rsidRPr="00865933" w:rsidRDefault="004B614B" w:rsidP="00D80CA6">
            <w:pPr>
              <w:suppressAutoHyphens w:val="0"/>
              <w:spacing w:before="60" w:after="60" w:line="256" w:lineRule="auto"/>
              <w:rPr>
                <w:sz w:val="20"/>
                <w:szCs w:val="24"/>
                <w:lang w:val="nl-NL"/>
              </w:rPr>
            </w:pPr>
            <w:r w:rsidRPr="00865933">
              <w:rPr>
                <w:sz w:val="20"/>
                <w:szCs w:val="24"/>
                <w:lang w:val="nl-NL"/>
              </w:rPr>
              <w:t xml:space="preserve">Marcus P.J. van Diemen, Ellen P. Hart, Anthony </w:t>
            </w:r>
            <w:proofErr w:type="spellStart"/>
            <w:r w:rsidRPr="00865933">
              <w:rPr>
                <w:sz w:val="20"/>
                <w:szCs w:val="24"/>
                <w:lang w:val="nl-NL"/>
              </w:rPr>
              <w:t>Abbruscato</w:t>
            </w:r>
            <w:proofErr w:type="spellEnd"/>
            <w:r w:rsidRPr="00865933">
              <w:rPr>
                <w:sz w:val="20"/>
                <w:szCs w:val="24"/>
                <w:lang w:val="nl-NL"/>
              </w:rPr>
              <w:t xml:space="preserve">, Liz Mead4, Ilse van Beelen, | </w:t>
            </w:r>
            <w:proofErr w:type="spellStart"/>
            <w:r w:rsidRPr="00865933">
              <w:rPr>
                <w:sz w:val="20"/>
                <w:szCs w:val="24"/>
                <w:lang w:val="nl-NL"/>
              </w:rPr>
              <w:t>Sandrin</w:t>
            </w:r>
            <w:proofErr w:type="spellEnd"/>
            <w:r w:rsidRPr="00865933">
              <w:rPr>
                <w:sz w:val="20"/>
                <w:szCs w:val="24"/>
                <w:lang w:val="nl-NL"/>
              </w:rPr>
              <w:t xml:space="preserve"> C. </w:t>
            </w:r>
            <w:proofErr w:type="spellStart"/>
            <w:r w:rsidRPr="00865933">
              <w:rPr>
                <w:sz w:val="20"/>
                <w:szCs w:val="24"/>
                <w:lang w:val="nl-NL"/>
              </w:rPr>
              <w:t>Bergheanu</w:t>
            </w:r>
            <w:proofErr w:type="spellEnd"/>
            <w:r w:rsidRPr="00865933">
              <w:rPr>
                <w:sz w:val="20"/>
                <w:szCs w:val="24"/>
                <w:lang w:val="nl-NL"/>
              </w:rPr>
              <w:t xml:space="preserve">, Pieter W. Hameeteman, Emma </w:t>
            </w:r>
            <w:proofErr w:type="spellStart"/>
            <w:r w:rsidRPr="00865933">
              <w:rPr>
                <w:sz w:val="20"/>
                <w:szCs w:val="24"/>
                <w:lang w:val="nl-NL"/>
              </w:rPr>
              <w:t>Coppen</w:t>
            </w:r>
            <w:proofErr w:type="spellEnd"/>
            <w:r w:rsidRPr="00865933">
              <w:rPr>
                <w:sz w:val="20"/>
                <w:szCs w:val="24"/>
                <w:lang w:val="nl-NL"/>
              </w:rPr>
              <w:t xml:space="preserve">, Jessica Y. Winder, Matthijs Moerland, Hermien Kan, Jeroen van der Grond, Andrew Webb, </w:t>
            </w:r>
            <w:proofErr w:type="spellStart"/>
            <w:r w:rsidRPr="00865933">
              <w:rPr>
                <w:sz w:val="20"/>
                <w:szCs w:val="24"/>
                <w:lang w:val="nl-NL"/>
              </w:rPr>
              <w:t>Raymund</w:t>
            </w:r>
            <w:proofErr w:type="spellEnd"/>
            <w:r w:rsidRPr="00865933">
              <w:rPr>
                <w:sz w:val="20"/>
                <w:szCs w:val="24"/>
                <w:lang w:val="nl-NL"/>
              </w:rPr>
              <w:t xml:space="preserve"> A.C. Roos, Geert Jan Groeneveld</w:t>
            </w:r>
          </w:p>
          <w:p w14:paraId="7A22FFDB" w14:textId="77777777" w:rsidR="004B614B" w:rsidRDefault="004B614B" w:rsidP="00D80CA6">
            <w:pPr>
              <w:suppressAutoHyphens w:val="0"/>
              <w:spacing w:before="60" w:after="60" w:line="256" w:lineRule="auto"/>
              <w:rPr>
                <w:sz w:val="20"/>
                <w:szCs w:val="24"/>
              </w:rPr>
            </w:pPr>
            <w:r w:rsidRPr="00220848">
              <w:rPr>
                <w:sz w:val="20"/>
                <w:szCs w:val="24"/>
              </w:rPr>
              <w:t>Safety, pharmacokinetics and pharmacodynamics of SBT-020</w:t>
            </w:r>
            <w:r>
              <w:rPr>
                <w:sz w:val="20"/>
                <w:szCs w:val="24"/>
              </w:rPr>
              <w:t xml:space="preserve"> </w:t>
            </w:r>
            <w:r w:rsidRPr="00220848">
              <w:rPr>
                <w:sz w:val="20"/>
                <w:szCs w:val="24"/>
              </w:rPr>
              <w:t xml:space="preserve">in patients with </w:t>
            </w:r>
            <w:proofErr w:type="gramStart"/>
            <w:r w:rsidRPr="00220848">
              <w:rPr>
                <w:sz w:val="20"/>
                <w:szCs w:val="24"/>
              </w:rPr>
              <w:t>early stage</w:t>
            </w:r>
            <w:proofErr w:type="gramEnd"/>
            <w:r w:rsidRPr="00220848">
              <w:rPr>
                <w:sz w:val="20"/>
                <w:szCs w:val="24"/>
              </w:rPr>
              <w:t xml:space="preserve"> Huntington's disease, a 2-part</w:t>
            </w:r>
            <w:r>
              <w:rPr>
                <w:sz w:val="20"/>
                <w:szCs w:val="24"/>
              </w:rPr>
              <w:t xml:space="preserve"> </w:t>
            </w:r>
            <w:r w:rsidRPr="00220848">
              <w:rPr>
                <w:sz w:val="20"/>
                <w:szCs w:val="24"/>
              </w:rPr>
              <w:t>study</w:t>
            </w:r>
          </w:p>
          <w:p w14:paraId="2BBE79B5" w14:textId="77777777" w:rsidR="004B614B" w:rsidRPr="00220848" w:rsidRDefault="004B614B" w:rsidP="00D80CA6">
            <w:pPr>
              <w:suppressAutoHyphens w:val="0"/>
              <w:spacing w:before="60" w:after="60" w:line="256" w:lineRule="auto"/>
              <w:rPr>
                <w:sz w:val="20"/>
                <w:szCs w:val="24"/>
              </w:rPr>
            </w:pPr>
            <w:r w:rsidRPr="00220848">
              <w:rPr>
                <w:sz w:val="20"/>
                <w:szCs w:val="24"/>
              </w:rPr>
              <w:t xml:space="preserve">Br J Clin </w:t>
            </w:r>
            <w:proofErr w:type="spellStart"/>
            <w:r w:rsidRPr="00220848">
              <w:rPr>
                <w:sz w:val="20"/>
                <w:szCs w:val="24"/>
              </w:rPr>
              <w:t>Pharmacol</w:t>
            </w:r>
            <w:proofErr w:type="spellEnd"/>
            <w:r w:rsidRPr="00220848">
              <w:rPr>
                <w:sz w:val="20"/>
                <w:szCs w:val="24"/>
              </w:rPr>
              <w:t>. 2020;1–13.</w:t>
            </w:r>
          </w:p>
        </w:tc>
      </w:tr>
      <w:tr w:rsidR="004B614B" w:rsidRPr="00220848" w14:paraId="283A235B" w14:textId="77777777" w:rsidTr="00D80CA6">
        <w:tc>
          <w:tcPr>
            <w:tcW w:w="6693" w:type="dxa"/>
            <w:tcBorders>
              <w:top w:val="single" w:sz="4" w:space="0" w:color="auto"/>
              <w:left w:val="single" w:sz="4" w:space="0" w:color="auto"/>
              <w:bottom w:val="single" w:sz="4" w:space="0" w:color="auto"/>
              <w:right w:val="single" w:sz="4" w:space="0" w:color="auto"/>
            </w:tcBorders>
            <w:hideMark/>
          </w:tcPr>
          <w:p w14:paraId="25395DA3" w14:textId="77777777" w:rsidR="004B614B" w:rsidRPr="00220848" w:rsidRDefault="004B614B" w:rsidP="00D80CA6">
            <w:pPr>
              <w:suppressAutoHyphens w:val="0"/>
              <w:spacing w:before="60" w:after="60" w:line="256" w:lineRule="auto"/>
              <w:rPr>
                <w:b/>
                <w:sz w:val="20"/>
                <w:szCs w:val="24"/>
              </w:rPr>
            </w:pPr>
            <w:r w:rsidRPr="00220848">
              <w:rPr>
                <w:b/>
                <w:sz w:val="20"/>
                <w:szCs w:val="24"/>
              </w:rPr>
              <w:t>Study Period:</w:t>
            </w:r>
          </w:p>
          <w:p w14:paraId="24C9F2AF" w14:textId="77777777" w:rsidR="004B614B" w:rsidRPr="004F3DA8" w:rsidRDefault="004B614B" w:rsidP="00D80CA6">
            <w:pPr>
              <w:suppressAutoHyphens w:val="0"/>
              <w:spacing w:before="60" w:after="60" w:line="256" w:lineRule="auto"/>
              <w:rPr>
                <w:sz w:val="20"/>
                <w:szCs w:val="24"/>
              </w:rPr>
            </w:pPr>
            <w:r w:rsidRPr="004F3DA8">
              <w:rPr>
                <w:sz w:val="20"/>
                <w:szCs w:val="24"/>
              </w:rPr>
              <w:t>First subject, first dose: 14 Apr 2017</w:t>
            </w:r>
          </w:p>
          <w:p w14:paraId="726FED73" w14:textId="77777777" w:rsidR="004B614B" w:rsidRPr="00220848" w:rsidRDefault="004B614B" w:rsidP="00D80CA6">
            <w:pPr>
              <w:suppressAutoHyphens w:val="0"/>
              <w:spacing w:before="60" w:after="60" w:line="256" w:lineRule="auto"/>
              <w:rPr>
                <w:sz w:val="20"/>
                <w:szCs w:val="24"/>
              </w:rPr>
            </w:pPr>
            <w:r w:rsidRPr="004F3DA8">
              <w:rPr>
                <w:sz w:val="20"/>
                <w:szCs w:val="24"/>
              </w:rPr>
              <w:t>Last subject, last visit: 21 Dec 2017</w:t>
            </w:r>
          </w:p>
        </w:tc>
        <w:tc>
          <w:tcPr>
            <w:tcW w:w="2610" w:type="dxa"/>
            <w:tcBorders>
              <w:top w:val="single" w:sz="4" w:space="0" w:color="auto"/>
              <w:left w:val="single" w:sz="4" w:space="0" w:color="auto"/>
              <w:bottom w:val="single" w:sz="4" w:space="0" w:color="auto"/>
              <w:right w:val="single" w:sz="4" w:space="0" w:color="auto"/>
            </w:tcBorders>
            <w:hideMark/>
          </w:tcPr>
          <w:p w14:paraId="4AF558BA" w14:textId="77777777" w:rsidR="004B614B" w:rsidRPr="00220848" w:rsidRDefault="004B614B" w:rsidP="00D80CA6">
            <w:pPr>
              <w:suppressAutoHyphens w:val="0"/>
              <w:spacing w:before="60" w:after="60" w:line="256" w:lineRule="auto"/>
              <w:rPr>
                <w:b/>
                <w:sz w:val="20"/>
                <w:szCs w:val="24"/>
              </w:rPr>
            </w:pPr>
            <w:r w:rsidRPr="00220848">
              <w:rPr>
                <w:b/>
                <w:sz w:val="20"/>
                <w:szCs w:val="24"/>
              </w:rPr>
              <w:t>Phase of Development:</w:t>
            </w:r>
          </w:p>
          <w:p w14:paraId="4159AC77" w14:textId="77777777" w:rsidR="004B614B" w:rsidRPr="00220848" w:rsidRDefault="004B614B" w:rsidP="00D80CA6">
            <w:pPr>
              <w:suppressAutoHyphens w:val="0"/>
              <w:spacing w:before="60" w:after="60" w:line="256" w:lineRule="auto"/>
              <w:rPr>
                <w:sz w:val="20"/>
                <w:szCs w:val="24"/>
              </w:rPr>
            </w:pPr>
            <w:r>
              <w:rPr>
                <w:sz w:val="20"/>
                <w:szCs w:val="24"/>
              </w:rPr>
              <w:t>1/2</w:t>
            </w:r>
          </w:p>
        </w:tc>
      </w:tr>
      <w:tr w:rsidR="004B614B" w:rsidRPr="00220848" w14:paraId="4FAF0F76" w14:textId="77777777" w:rsidTr="00D80CA6">
        <w:tc>
          <w:tcPr>
            <w:tcW w:w="9303" w:type="dxa"/>
            <w:gridSpan w:val="2"/>
            <w:tcBorders>
              <w:top w:val="single" w:sz="4" w:space="0" w:color="auto"/>
              <w:left w:val="single" w:sz="4" w:space="0" w:color="auto"/>
              <w:bottom w:val="single" w:sz="4" w:space="0" w:color="auto"/>
              <w:right w:val="single" w:sz="4" w:space="0" w:color="auto"/>
            </w:tcBorders>
            <w:hideMark/>
          </w:tcPr>
          <w:p w14:paraId="596B1088" w14:textId="77777777" w:rsidR="004B614B" w:rsidRPr="00220848" w:rsidRDefault="004B614B" w:rsidP="00D80CA6">
            <w:pPr>
              <w:suppressAutoHyphens w:val="0"/>
              <w:spacing w:before="60" w:after="60" w:line="256" w:lineRule="auto"/>
              <w:rPr>
                <w:b/>
                <w:sz w:val="20"/>
                <w:szCs w:val="24"/>
              </w:rPr>
            </w:pPr>
            <w:r w:rsidRPr="00220848">
              <w:rPr>
                <w:b/>
                <w:sz w:val="20"/>
                <w:szCs w:val="24"/>
              </w:rPr>
              <w:t xml:space="preserve">Background and Rationale for the Study: </w:t>
            </w:r>
          </w:p>
          <w:p w14:paraId="7B660D44" w14:textId="77777777" w:rsidR="004B614B" w:rsidRPr="00537BE2" w:rsidRDefault="004B614B" w:rsidP="00D80CA6">
            <w:pPr>
              <w:suppressAutoHyphens w:val="0"/>
              <w:spacing w:before="60" w:after="60" w:line="256" w:lineRule="auto"/>
              <w:rPr>
                <w:sz w:val="20"/>
                <w:szCs w:val="24"/>
              </w:rPr>
            </w:pPr>
            <w:r w:rsidRPr="00537BE2">
              <w:rPr>
                <w:sz w:val="20"/>
                <w:szCs w:val="24"/>
              </w:rPr>
              <w:t>Huntington’s disease (HD) is an autosomal dominant inherited neurodegenerative disorder characterized by a triad of symptoms including motor disturbances, cognitive dysfunction and psychiatric symptoms. There is strong evidence that mitochondrial dysfunction is Part of the pathogenesis of HD. Pharmacologically inhibiting succinate dehydrogenase in rodent and primates, thereby inhibiting complex II of the mitochondrial electron transport chain, resulted in pathology and symptomatology resembling HD. Furthermore, in vitro research has shown that mutant huntingtin inhibits the import of nuclear coded mitochondrial proteins and down regulates the activity of peroxisome-activated receptor gamma (</w:t>
            </w:r>
            <w:proofErr w:type="spellStart"/>
            <w:r w:rsidRPr="00537BE2">
              <w:rPr>
                <w:sz w:val="20"/>
                <w:szCs w:val="24"/>
              </w:rPr>
              <w:t>PPARɣ</w:t>
            </w:r>
            <w:proofErr w:type="spellEnd"/>
            <w:r w:rsidRPr="00537BE2">
              <w:rPr>
                <w:sz w:val="20"/>
                <w:szCs w:val="24"/>
              </w:rPr>
              <w:t>), required for mitochondrial biogenesis. Using in vivo 31 phosphorus Magnetic Resonance Spectroscopy (</w:t>
            </w:r>
            <w:r w:rsidRPr="00537BE2">
              <w:rPr>
                <w:sz w:val="20"/>
                <w:szCs w:val="24"/>
                <w:vertAlign w:val="superscript"/>
              </w:rPr>
              <w:t>31</w:t>
            </w:r>
            <w:r w:rsidRPr="00537BE2">
              <w:rPr>
                <w:sz w:val="20"/>
                <w:szCs w:val="24"/>
              </w:rPr>
              <w:t>P-MRS) in the calf muscles it has been shown that HD patients exhibit a prolonged phosphocreatine (</w:t>
            </w:r>
            <w:proofErr w:type="spellStart"/>
            <w:r w:rsidRPr="00537BE2">
              <w:rPr>
                <w:sz w:val="20"/>
                <w:szCs w:val="24"/>
              </w:rPr>
              <w:t>PCr</w:t>
            </w:r>
            <w:proofErr w:type="spellEnd"/>
            <w:r w:rsidRPr="00537BE2">
              <w:rPr>
                <w:sz w:val="20"/>
                <w:szCs w:val="24"/>
              </w:rPr>
              <w:t>) recovery time (</w:t>
            </w:r>
            <w:proofErr w:type="spellStart"/>
            <w:r w:rsidRPr="00537BE2">
              <w:rPr>
                <w:sz w:val="20"/>
                <w:szCs w:val="24"/>
              </w:rPr>
              <w:t>τPCr</w:t>
            </w:r>
            <w:proofErr w:type="spellEnd"/>
            <w:r w:rsidRPr="00537BE2">
              <w:rPr>
                <w:sz w:val="20"/>
                <w:szCs w:val="24"/>
              </w:rPr>
              <w:t xml:space="preserve">) compared to healthy controls, which can be translated into a declined mitochondrial function in HD patients. Mitochondrial function in the brain, measured by levels of </w:t>
            </w:r>
            <w:proofErr w:type="spellStart"/>
            <w:r w:rsidRPr="00537BE2">
              <w:rPr>
                <w:sz w:val="20"/>
                <w:szCs w:val="24"/>
              </w:rPr>
              <w:t>PCr</w:t>
            </w:r>
            <w:proofErr w:type="spellEnd"/>
            <w:r w:rsidRPr="00537BE2">
              <w:rPr>
                <w:sz w:val="20"/>
                <w:szCs w:val="24"/>
              </w:rPr>
              <w:t xml:space="preserve"> and inorganic phosphate (Pi) before, during, and after a visual stimulus, also has been shown to be impaired in HD patients. In healthy controls, an increase in the Pi/</w:t>
            </w:r>
            <w:proofErr w:type="spellStart"/>
            <w:r w:rsidRPr="00537BE2">
              <w:rPr>
                <w:sz w:val="20"/>
                <w:szCs w:val="24"/>
              </w:rPr>
              <w:t>PCr</w:t>
            </w:r>
            <w:proofErr w:type="spellEnd"/>
            <w:r w:rsidRPr="00537BE2">
              <w:rPr>
                <w:sz w:val="20"/>
                <w:szCs w:val="24"/>
              </w:rPr>
              <w:t xml:space="preserve"> ratio was shown to be induced by visual stimulation (indicating a normal bioenergetics profile), but the healthy subject response was not present in HD patients. Improving mitochondrial function in HD patients might therefore be beneficial for </w:t>
            </w:r>
            <w:r>
              <w:rPr>
                <w:sz w:val="20"/>
                <w:szCs w:val="24"/>
              </w:rPr>
              <w:t>delaying</w:t>
            </w:r>
            <w:r w:rsidRPr="00537BE2">
              <w:rPr>
                <w:sz w:val="20"/>
                <w:szCs w:val="24"/>
              </w:rPr>
              <w:t xml:space="preserve"> disease progression by maintaining the energy level inside the striatum cells and thus preventing cell death.</w:t>
            </w:r>
          </w:p>
          <w:p w14:paraId="1517DE12" w14:textId="77777777" w:rsidR="004B614B" w:rsidRPr="00220848" w:rsidRDefault="004B614B" w:rsidP="00D80CA6">
            <w:pPr>
              <w:suppressAutoHyphens w:val="0"/>
              <w:spacing w:before="60" w:after="60" w:line="256" w:lineRule="auto"/>
              <w:rPr>
                <w:sz w:val="20"/>
                <w:szCs w:val="24"/>
              </w:rPr>
            </w:pPr>
            <w:r w:rsidRPr="00537BE2">
              <w:rPr>
                <w:sz w:val="20"/>
                <w:szCs w:val="24"/>
              </w:rPr>
              <w:t>SBT-020 is an experimental mitochondrial function enhancing agent, which has showed promising results in pre-clinical animal models. While the exact mechanism of action is not completely understood, it is hypothesized that the compound can improve the mitochondrial function in HD patients, thereby slowing neuronal degeneration and disease progression. The pharmacokinetics, safety and tolerability of SBT-020 have been evaluated in a first-in-man study and SBT-020 was well tolerated in all dose levels investigated. There is no information yet on efficacy in humans</w:t>
            </w:r>
            <w:r>
              <w:rPr>
                <w:sz w:val="20"/>
                <w:szCs w:val="24"/>
              </w:rPr>
              <w:t>.</w:t>
            </w:r>
          </w:p>
        </w:tc>
      </w:tr>
      <w:tr w:rsidR="004B614B" w:rsidRPr="00220848" w14:paraId="04F2212B" w14:textId="77777777" w:rsidTr="00D80CA6">
        <w:tc>
          <w:tcPr>
            <w:tcW w:w="9303" w:type="dxa"/>
            <w:gridSpan w:val="2"/>
            <w:tcBorders>
              <w:top w:val="single" w:sz="4" w:space="0" w:color="auto"/>
              <w:left w:val="single" w:sz="4" w:space="0" w:color="auto"/>
              <w:bottom w:val="single" w:sz="4" w:space="0" w:color="auto"/>
              <w:right w:val="single" w:sz="4" w:space="0" w:color="auto"/>
            </w:tcBorders>
            <w:hideMark/>
          </w:tcPr>
          <w:p w14:paraId="09F1012E" w14:textId="77777777" w:rsidR="004B614B" w:rsidRPr="00220848" w:rsidRDefault="004B614B" w:rsidP="00D80CA6">
            <w:pPr>
              <w:suppressAutoHyphens w:val="0"/>
              <w:spacing w:before="60" w:after="60" w:line="256" w:lineRule="auto"/>
              <w:rPr>
                <w:b/>
                <w:sz w:val="20"/>
                <w:szCs w:val="24"/>
              </w:rPr>
            </w:pPr>
            <w:r w:rsidRPr="00220848">
              <w:rPr>
                <w:b/>
                <w:sz w:val="20"/>
                <w:szCs w:val="24"/>
              </w:rPr>
              <w:t>Objectives:</w:t>
            </w:r>
          </w:p>
          <w:p w14:paraId="7DC6F6FB" w14:textId="77777777" w:rsidR="004B614B" w:rsidRPr="000125DE" w:rsidRDefault="004B614B" w:rsidP="00D80CA6">
            <w:pPr>
              <w:suppressAutoHyphens w:val="0"/>
              <w:spacing w:before="60" w:after="60" w:line="256" w:lineRule="auto"/>
              <w:rPr>
                <w:b/>
                <w:sz w:val="20"/>
                <w:szCs w:val="24"/>
                <w:u w:val="single"/>
              </w:rPr>
            </w:pPr>
            <w:r w:rsidRPr="000125DE">
              <w:rPr>
                <w:b/>
                <w:sz w:val="20"/>
                <w:szCs w:val="24"/>
                <w:u w:val="single"/>
              </w:rPr>
              <w:t>Part 1</w:t>
            </w:r>
          </w:p>
          <w:p w14:paraId="54FE0101" w14:textId="77777777" w:rsidR="004B614B" w:rsidRPr="00220848" w:rsidRDefault="004B614B" w:rsidP="00D80CA6">
            <w:pPr>
              <w:suppressAutoHyphens w:val="0"/>
              <w:spacing w:before="60" w:after="60" w:line="256" w:lineRule="auto"/>
              <w:rPr>
                <w:b/>
                <w:sz w:val="20"/>
                <w:szCs w:val="24"/>
              </w:rPr>
            </w:pPr>
            <w:r w:rsidRPr="00220848">
              <w:rPr>
                <w:b/>
                <w:sz w:val="20"/>
                <w:szCs w:val="24"/>
              </w:rPr>
              <w:t>Primary:</w:t>
            </w:r>
          </w:p>
          <w:p w14:paraId="2F796D17" w14:textId="77777777" w:rsidR="004B614B" w:rsidRPr="00220848" w:rsidRDefault="004B614B" w:rsidP="00D80CA6">
            <w:pPr>
              <w:suppressAutoHyphens w:val="0"/>
              <w:spacing w:before="60" w:after="60" w:line="256" w:lineRule="auto"/>
              <w:rPr>
                <w:sz w:val="20"/>
                <w:szCs w:val="24"/>
              </w:rPr>
            </w:pPr>
            <w:r w:rsidRPr="00220848">
              <w:rPr>
                <w:sz w:val="20"/>
                <w:szCs w:val="24"/>
              </w:rPr>
              <w:lastRenderedPageBreak/>
              <w:t>To</w:t>
            </w:r>
            <w:r>
              <w:rPr>
                <w:sz w:val="20"/>
                <w:szCs w:val="24"/>
              </w:rPr>
              <w:t xml:space="preserve"> assess the safety and tolerability of SBT-020 in </w:t>
            </w:r>
            <w:proofErr w:type="gramStart"/>
            <w:r>
              <w:rPr>
                <w:sz w:val="20"/>
                <w:szCs w:val="24"/>
              </w:rPr>
              <w:t>early stage</w:t>
            </w:r>
            <w:proofErr w:type="gramEnd"/>
            <w:r>
              <w:rPr>
                <w:sz w:val="20"/>
                <w:szCs w:val="24"/>
              </w:rPr>
              <w:t xml:space="preserve"> HD patients</w:t>
            </w:r>
            <w:r w:rsidRPr="00220848">
              <w:rPr>
                <w:sz w:val="20"/>
                <w:szCs w:val="24"/>
              </w:rPr>
              <w:t>.</w:t>
            </w:r>
          </w:p>
          <w:p w14:paraId="605ACA25" w14:textId="77777777" w:rsidR="004B614B" w:rsidRPr="00220848" w:rsidRDefault="004B614B" w:rsidP="00D80CA6">
            <w:pPr>
              <w:suppressAutoHyphens w:val="0"/>
              <w:spacing w:before="60" w:after="60" w:line="256" w:lineRule="auto"/>
              <w:rPr>
                <w:b/>
                <w:sz w:val="20"/>
                <w:szCs w:val="24"/>
              </w:rPr>
            </w:pPr>
            <w:r w:rsidRPr="00220848">
              <w:rPr>
                <w:b/>
                <w:sz w:val="20"/>
                <w:szCs w:val="24"/>
              </w:rPr>
              <w:t>Secondary:</w:t>
            </w:r>
          </w:p>
          <w:p w14:paraId="1609CF87" w14:textId="77777777" w:rsidR="004B614B" w:rsidRPr="000125DE" w:rsidRDefault="004B614B" w:rsidP="004B614B">
            <w:pPr>
              <w:numPr>
                <w:ilvl w:val="0"/>
                <w:numId w:val="2"/>
              </w:numPr>
              <w:suppressAutoHyphens w:val="0"/>
              <w:spacing w:before="60" w:after="60" w:line="256" w:lineRule="auto"/>
              <w:rPr>
                <w:sz w:val="20"/>
                <w:szCs w:val="24"/>
              </w:rPr>
            </w:pPr>
            <w:r w:rsidRPr="000125DE">
              <w:rPr>
                <w:sz w:val="20"/>
                <w:szCs w:val="24"/>
              </w:rPr>
              <w:t xml:space="preserve">To investigate the effect of SBT-020 on mitochondrial function, measured by dynamic </w:t>
            </w:r>
            <w:r w:rsidRPr="000125DE">
              <w:rPr>
                <w:sz w:val="20"/>
                <w:szCs w:val="24"/>
                <w:vertAlign w:val="superscript"/>
              </w:rPr>
              <w:t>31</w:t>
            </w:r>
            <w:r w:rsidRPr="000125DE">
              <w:rPr>
                <w:sz w:val="20"/>
                <w:szCs w:val="24"/>
              </w:rPr>
              <w:t xml:space="preserve">P-MRS in the calf muscles of </w:t>
            </w:r>
            <w:proofErr w:type="gramStart"/>
            <w:r w:rsidRPr="000125DE">
              <w:rPr>
                <w:sz w:val="20"/>
                <w:szCs w:val="24"/>
              </w:rPr>
              <w:t>early stage</w:t>
            </w:r>
            <w:proofErr w:type="gramEnd"/>
            <w:r w:rsidRPr="000125DE">
              <w:rPr>
                <w:sz w:val="20"/>
                <w:szCs w:val="24"/>
              </w:rPr>
              <w:t xml:space="preserve"> HD patients.</w:t>
            </w:r>
          </w:p>
          <w:p w14:paraId="116B189B" w14:textId="77777777" w:rsidR="004B614B" w:rsidRPr="000125DE" w:rsidRDefault="004B614B" w:rsidP="004B614B">
            <w:pPr>
              <w:numPr>
                <w:ilvl w:val="0"/>
                <w:numId w:val="2"/>
              </w:numPr>
              <w:suppressAutoHyphens w:val="0"/>
              <w:spacing w:before="60" w:after="60" w:line="256" w:lineRule="auto"/>
              <w:rPr>
                <w:sz w:val="20"/>
                <w:szCs w:val="24"/>
              </w:rPr>
            </w:pPr>
            <w:r w:rsidRPr="000125DE">
              <w:rPr>
                <w:sz w:val="20"/>
                <w:szCs w:val="24"/>
              </w:rPr>
              <w:t xml:space="preserve">To assess the pharmacokinetics of SBT-020 and SBT-020-related component (SBT-127) in plasma in </w:t>
            </w:r>
            <w:proofErr w:type="gramStart"/>
            <w:r w:rsidRPr="000125DE">
              <w:rPr>
                <w:sz w:val="20"/>
                <w:szCs w:val="24"/>
              </w:rPr>
              <w:t>early stage</w:t>
            </w:r>
            <w:proofErr w:type="gramEnd"/>
            <w:r w:rsidRPr="000125DE">
              <w:rPr>
                <w:sz w:val="20"/>
                <w:szCs w:val="24"/>
              </w:rPr>
              <w:t xml:space="preserve"> HD patients. </w:t>
            </w:r>
          </w:p>
          <w:p w14:paraId="549BAC61" w14:textId="77777777" w:rsidR="004B614B" w:rsidRPr="000125DE" w:rsidRDefault="004B614B" w:rsidP="004B614B">
            <w:pPr>
              <w:numPr>
                <w:ilvl w:val="0"/>
                <w:numId w:val="2"/>
              </w:numPr>
              <w:suppressAutoHyphens w:val="0"/>
              <w:spacing w:before="60" w:after="60" w:line="256" w:lineRule="auto"/>
              <w:rPr>
                <w:sz w:val="20"/>
                <w:szCs w:val="24"/>
              </w:rPr>
            </w:pPr>
            <w:r w:rsidRPr="000125DE">
              <w:rPr>
                <w:sz w:val="20"/>
                <w:szCs w:val="24"/>
              </w:rPr>
              <w:t xml:space="preserve">To assess the pharmacokinetics of SBT-020 and SBT-020-related components (SBT-127 and SBT-098) in urine in </w:t>
            </w:r>
            <w:proofErr w:type="gramStart"/>
            <w:r w:rsidRPr="000125DE">
              <w:rPr>
                <w:sz w:val="20"/>
                <w:szCs w:val="24"/>
              </w:rPr>
              <w:t>early stage</w:t>
            </w:r>
            <w:proofErr w:type="gramEnd"/>
            <w:r w:rsidRPr="000125DE">
              <w:rPr>
                <w:sz w:val="20"/>
                <w:szCs w:val="24"/>
              </w:rPr>
              <w:t xml:space="preserve"> HD patients.</w:t>
            </w:r>
          </w:p>
          <w:p w14:paraId="7330D64F" w14:textId="77777777" w:rsidR="004B614B" w:rsidRPr="00220848" w:rsidRDefault="004B614B" w:rsidP="004B614B">
            <w:pPr>
              <w:numPr>
                <w:ilvl w:val="0"/>
                <w:numId w:val="2"/>
              </w:numPr>
              <w:suppressAutoHyphens w:val="0"/>
              <w:spacing w:before="60" w:after="60" w:line="256" w:lineRule="auto"/>
              <w:rPr>
                <w:sz w:val="20"/>
                <w:szCs w:val="24"/>
              </w:rPr>
            </w:pPr>
            <w:r w:rsidRPr="000125DE">
              <w:rPr>
                <w:sz w:val="20"/>
                <w:szCs w:val="24"/>
              </w:rPr>
              <w:t>To investigate the effect of SBT-020 on mitochondrial function, by measuring the mitochondrial membrane potential (MMP) in isolated peripheral blood mononuclear cells (PBMCs)</w:t>
            </w:r>
            <w:r w:rsidRPr="00220848">
              <w:rPr>
                <w:sz w:val="20"/>
                <w:szCs w:val="24"/>
              </w:rPr>
              <w:t>.</w:t>
            </w:r>
          </w:p>
          <w:p w14:paraId="339A8312" w14:textId="77777777" w:rsidR="004B614B" w:rsidRPr="000125DE" w:rsidRDefault="004B614B" w:rsidP="00D80CA6">
            <w:pPr>
              <w:suppressAutoHyphens w:val="0"/>
              <w:spacing w:before="60" w:after="60" w:line="256" w:lineRule="auto"/>
              <w:rPr>
                <w:b/>
                <w:sz w:val="20"/>
                <w:szCs w:val="24"/>
                <w:u w:val="single"/>
              </w:rPr>
            </w:pPr>
            <w:r w:rsidRPr="000125DE">
              <w:rPr>
                <w:b/>
                <w:sz w:val="20"/>
                <w:szCs w:val="24"/>
                <w:u w:val="single"/>
              </w:rPr>
              <w:t xml:space="preserve">Part </w:t>
            </w:r>
            <w:r>
              <w:rPr>
                <w:b/>
                <w:sz w:val="20"/>
                <w:szCs w:val="24"/>
                <w:u w:val="single"/>
              </w:rPr>
              <w:t>2</w:t>
            </w:r>
          </w:p>
          <w:p w14:paraId="49A31272" w14:textId="77777777" w:rsidR="004B614B" w:rsidRPr="000125DE" w:rsidRDefault="004B614B" w:rsidP="00D80CA6">
            <w:pPr>
              <w:suppressAutoHyphens w:val="0"/>
              <w:spacing w:before="60" w:after="60" w:line="256" w:lineRule="auto"/>
              <w:rPr>
                <w:b/>
                <w:sz w:val="20"/>
                <w:szCs w:val="24"/>
              </w:rPr>
            </w:pPr>
            <w:r w:rsidRPr="000125DE">
              <w:rPr>
                <w:b/>
                <w:sz w:val="20"/>
                <w:szCs w:val="24"/>
              </w:rPr>
              <w:t>Primary:</w:t>
            </w:r>
          </w:p>
          <w:p w14:paraId="10076F24" w14:textId="77777777" w:rsidR="004B614B" w:rsidRPr="000125DE" w:rsidRDefault="004B614B" w:rsidP="00D80CA6">
            <w:pPr>
              <w:suppressAutoHyphens w:val="0"/>
              <w:spacing w:before="60" w:after="60" w:line="256" w:lineRule="auto"/>
              <w:rPr>
                <w:sz w:val="20"/>
                <w:szCs w:val="24"/>
              </w:rPr>
            </w:pPr>
            <w:r w:rsidRPr="000125DE">
              <w:rPr>
                <w:sz w:val="20"/>
                <w:szCs w:val="24"/>
              </w:rPr>
              <w:t xml:space="preserve">To assess the safety and tolerability of </w:t>
            </w:r>
            <w:r>
              <w:rPr>
                <w:sz w:val="20"/>
                <w:szCs w:val="24"/>
              </w:rPr>
              <w:t xml:space="preserve">longer-term treatment with </w:t>
            </w:r>
            <w:r w:rsidRPr="000125DE">
              <w:rPr>
                <w:sz w:val="20"/>
                <w:szCs w:val="24"/>
              </w:rPr>
              <w:t xml:space="preserve">SBT-020 in </w:t>
            </w:r>
            <w:proofErr w:type="gramStart"/>
            <w:r w:rsidRPr="000125DE">
              <w:rPr>
                <w:sz w:val="20"/>
                <w:szCs w:val="24"/>
              </w:rPr>
              <w:t>early stage</w:t>
            </w:r>
            <w:proofErr w:type="gramEnd"/>
            <w:r w:rsidRPr="000125DE">
              <w:rPr>
                <w:sz w:val="20"/>
                <w:szCs w:val="24"/>
              </w:rPr>
              <w:t xml:space="preserve"> HD patients.</w:t>
            </w:r>
          </w:p>
          <w:p w14:paraId="083F75BF" w14:textId="77777777" w:rsidR="004B614B" w:rsidRPr="000125DE" w:rsidRDefault="004B614B" w:rsidP="00D80CA6">
            <w:pPr>
              <w:suppressAutoHyphens w:val="0"/>
              <w:spacing w:before="60" w:after="60" w:line="256" w:lineRule="auto"/>
              <w:rPr>
                <w:b/>
                <w:sz w:val="20"/>
                <w:szCs w:val="24"/>
              </w:rPr>
            </w:pPr>
            <w:r w:rsidRPr="000125DE">
              <w:rPr>
                <w:b/>
                <w:sz w:val="20"/>
                <w:szCs w:val="24"/>
              </w:rPr>
              <w:t>Secondary:</w:t>
            </w:r>
          </w:p>
          <w:p w14:paraId="0594E6AC" w14:textId="77777777" w:rsidR="004B614B" w:rsidRDefault="004B614B" w:rsidP="004B614B">
            <w:pPr>
              <w:numPr>
                <w:ilvl w:val="0"/>
                <w:numId w:val="2"/>
              </w:numPr>
              <w:suppressAutoHyphens w:val="0"/>
              <w:spacing w:before="60" w:after="60" w:line="256" w:lineRule="auto"/>
              <w:rPr>
                <w:sz w:val="20"/>
                <w:szCs w:val="24"/>
              </w:rPr>
            </w:pPr>
            <w:r w:rsidRPr="000125DE">
              <w:rPr>
                <w:sz w:val="20"/>
                <w:szCs w:val="24"/>
              </w:rPr>
              <w:t xml:space="preserve">To investigate the effect of SBT-020 on mitochondrial function, measured by dynamic </w:t>
            </w:r>
            <w:r w:rsidRPr="000125DE">
              <w:rPr>
                <w:sz w:val="20"/>
                <w:szCs w:val="24"/>
                <w:vertAlign w:val="superscript"/>
              </w:rPr>
              <w:t>31</w:t>
            </w:r>
            <w:r w:rsidRPr="000125DE">
              <w:rPr>
                <w:sz w:val="20"/>
                <w:szCs w:val="24"/>
              </w:rPr>
              <w:t xml:space="preserve">P-MRS in the calf muscles of </w:t>
            </w:r>
            <w:proofErr w:type="gramStart"/>
            <w:r w:rsidRPr="000125DE">
              <w:rPr>
                <w:sz w:val="20"/>
                <w:szCs w:val="24"/>
              </w:rPr>
              <w:t>early stage</w:t>
            </w:r>
            <w:proofErr w:type="gramEnd"/>
            <w:r w:rsidRPr="000125DE">
              <w:rPr>
                <w:sz w:val="20"/>
                <w:szCs w:val="24"/>
              </w:rPr>
              <w:t xml:space="preserve"> HD patients.</w:t>
            </w:r>
          </w:p>
          <w:p w14:paraId="3C62167F" w14:textId="77777777" w:rsidR="004B614B" w:rsidRPr="000125DE" w:rsidRDefault="004B614B" w:rsidP="004B614B">
            <w:pPr>
              <w:numPr>
                <w:ilvl w:val="0"/>
                <w:numId w:val="2"/>
              </w:numPr>
              <w:suppressAutoHyphens w:val="0"/>
              <w:spacing w:before="60" w:after="60" w:line="256" w:lineRule="auto"/>
              <w:rPr>
                <w:sz w:val="20"/>
                <w:szCs w:val="24"/>
              </w:rPr>
            </w:pPr>
            <w:r w:rsidRPr="000125DE">
              <w:rPr>
                <w:sz w:val="20"/>
                <w:szCs w:val="24"/>
              </w:rPr>
              <w:t xml:space="preserve">To investigate the effect of SBT-020 on the bioenergetic profile, measured by </w:t>
            </w:r>
            <w:r w:rsidRPr="000125DE">
              <w:rPr>
                <w:sz w:val="20"/>
                <w:szCs w:val="24"/>
                <w:vertAlign w:val="superscript"/>
              </w:rPr>
              <w:t>31</w:t>
            </w:r>
            <w:r w:rsidRPr="000125DE">
              <w:rPr>
                <w:sz w:val="20"/>
                <w:szCs w:val="24"/>
              </w:rPr>
              <w:t xml:space="preserve">P-MRS in the brain of </w:t>
            </w:r>
            <w:proofErr w:type="gramStart"/>
            <w:r w:rsidRPr="000125DE">
              <w:rPr>
                <w:sz w:val="20"/>
                <w:szCs w:val="24"/>
              </w:rPr>
              <w:t>early stage</w:t>
            </w:r>
            <w:proofErr w:type="gramEnd"/>
            <w:r w:rsidRPr="000125DE">
              <w:rPr>
                <w:sz w:val="20"/>
                <w:szCs w:val="24"/>
              </w:rPr>
              <w:t xml:space="preserve"> HD patients.</w:t>
            </w:r>
          </w:p>
          <w:p w14:paraId="1A05E0F4" w14:textId="77777777" w:rsidR="004B614B" w:rsidRPr="000125DE" w:rsidRDefault="004B614B" w:rsidP="004B614B">
            <w:pPr>
              <w:numPr>
                <w:ilvl w:val="0"/>
                <w:numId w:val="2"/>
              </w:numPr>
              <w:suppressAutoHyphens w:val="0"/>
              <w:spacing w:before="60" w:after="60" w:line="256" w:lineRule="auto"/>
              <w:rPr>
                <w:sz w:val="20"/>
                <w:szCs w:val="24"/>
              </w:rPr>
            </w:pPr>
            <w:r w:rsidRPr="000125DE">
              <w:rPr>
                <w:sz w:val="20"/>
                <w:szCs w:val="24"/>
              </w:rPr>
              <w:t xml:space="preserve">To assess the pharmacokinetics of SBT-020 and SBT-020-related component (SBT-127) in plasma in </w:t>
            </w:r>
            <w:proofErr w:type="gramStart"/>
            <w:r w:rsidRPr="000125DE">
              <w:rPr>
                <w:sz w:val="20"/>
                <w:szCs w:val="24"/>
              </w:rPr>
              <w:t>early stage</w:t>
            </w:r>
            <w:proofErr w:type="gramEnd"/>
            <w:r w:rsidRPr="000125DE">
              <w:rPr>
                <w:sz w:val="20"/>
                <w:szCs w:val="24"/>
              </w:rPr>
              <w:t xml:space="preserve"> HD patients. </w:t>
            </w:r>
          </w:p>
          <w:p w14:paraId="6E93A9CF" w14:textId="77777777" w:rsidR="004B614B" w:rsidRDefault="004B614B" w:rsidP="004B614B">
            <w:pPr>
              <w:numPr>
                <w:ilvl w:val="0"/>
                <w:numId w:val="2"/>
              </w:numPr>
              <w:suppressAutoHyphens w:val="0"/>
              <w:spacing w:before="60" w:after="60" w:line="256" w:lineRule="auto"/>
              <w:rPr>
                <w:sz w:val="20"/>
                <w:szCs w:val="24"/>
              </w:rPr>
            </w:pPr>
            <w:r w:rsidRPr="000125DE">
              <w:rPr>
                <w:sz w:val="20"/>
                <w:szCs w:val="24"/>
              </w:rPr>
              <w:t>To investigate the effect of SBT-020 on mitochondrial function, by measuring the MMP in isolated PBMCs.</w:t>
            </w:r>
          </w:p>
          <w:p w14:paraId="31E65ABE" w14:textId="77777777" w:rsidR="004B614B" w:rsidRPr="000125DE" w:rsidRDefault="004B614B" w:rsidP="004B614B">
            <w:pPr>
              <w:numPr>
                <w:ilvl w:val="0"/>
                <w:numId w:val="2"/>
              </w:numPr>
              <w:suppressAutoHyphens w:val="0"/>
              <w:spacing w:before="60" w:after="60" w:line="256" w:lineRule="auto"/>
              <w:rPr>
                <w:sz w:val="20"/>
                <w:szCs w:val="24"/>
              </w:rPr>
            </w:pPr>
            <w:r w:rsidRPr="000125DE">
              <w:rPr>
                <w:sz w:val="20"/>
                <w:szCs w:val="24"/>
              </w:rPr>
              <w:t xml:space="preserve">To investigate the effect of SBT-020 on an exploratory set of urinary and plasma biomarkers related to mitochondrial function in </w:t>
            </w:r>
            <w:proofErr w:type="gramStart"/>
            <w:r w:rsidRPr="000125DE">
              <w:rPr>
                <w:sz w:val="20"/>
                <w:szCs w:val="24"/>
              </w:rPr>
              <w:t>early stage</w:t>
            </w:r>
            <w:proofErr w:type="gramEnd"/>
            <w:r w:rsidRPr="000125DE">
              <w:rPr>
                <w:sz w:val="20"/>
                <w:szCs w:val="24"/>
              </w:rPr>
              <w:t xml:space="preserve"> HD patients.</w:t>
            </w:r>
          </w:p>
          <w:p w14:paraId="6D33FE44" w14:textId="77777777" w:rsidR="004B614B" w:rsidRPr="000125DE" w:rsidRDefault="004B614B" w:rsidP="004B614B">
            <w:pPr>
              <w:numPr>
                <w:ilvl w:val="0"/>
                <w:numId w:val="2"/>
              </w:numPr>
              <w:suppressAutoHyphens w:val="0"/>
              <w:spacing w:before="60" w:after="60" w:line="256" w:lineRule="auto"/>
              <w:rPr>
                <w:sz w:val="20"/>
                <w:szCs w:val="24"/>
              </w:rPr>
            </w:pPr>
            <w:r w:rsidRPr="000125DE">
              <w:rPr>
                <w:sz w:val="20"/>
                <w:szCs w:val="24"/>
              </w:rPr>
              <w:t xml:space="preserve">To investigate effects of SBT-020 on cognition and other CNS functions, using the </w:t>
            </w:r>
            <w:proofErr w:type="spellStart"/>
            <w:r w:rsidRPr="000125DE">
              <w:rPr>
                <w:sz w:val="20"/>
                <w:szCs w:val="24"/>
              </w:rPr>
              <w:t>NeuroCart</w:t>
            </w:r>
            <w:proofErr w:type="spellEnd"/>
            <w:r w:rsidRPr="000125DE">
              <w:rPr>
                <w:sz w:val="20"/>
                <w:szCs w:val="24"/>
              </w:rPr>
              <w:t xml:space="preserve"> test battery.</w:t>
            </w:r>
          </w:p>
          <w:p w14:paraId="7EAE6F56" w14:textId="77777777" w:rsidR="004B614B" w:rsidRPr="00220848" w:rsidRDefault="004B614B" w:rsidP="004B614B">
            <w:pPr>
              <w:numPr>
                <w:ilvl w:val="0"/>
                <w:numId w:val="2"/>
              </w:numPr>
              <w:suppressAutoHyphens w:val="0"/>
              <w:spacing w:before="60" w:after="60" w:line="256" w:lineRule="auto"/>
              <w:rPr>
                <w:sz w:val="20"/>
                <w:szCs w:val="24"/>
              </w:rPr>
            </w:pPr>
            <w:r w:rsidRPr="000125DE">
              <w:rPr>
                <w:sz w:val="20"/>
                <w:szCs w:val="24"/>
              </w:rPr>
              <w:t xml:space="preserve">To investigate effects of SBT-020 on motor functioning, using the </w:t>
            </w:r>
            <w:proofErr w:type="spellStart"/>
            <w:r w:rsidRPr="000125DE">
              <w:rPr>
                <w:sz w:val="20"/>
                <w:szCs w:val="24"/>
              </w:rPr>
              <w:t>NeuroCart</w:t>
            </w:r>
            <w:proofErr w:type="spellEnd"/>
            <w:r w:rsidRPr="000125DE">
              <w:rPr>
                <w:sz w:val="20"/>
                <w:szCs w:val="24"/>
              </w:rPr>
              <w:t xml:space="preserve"> test battery and unified Huntington’s disease rating scale.</w:t>
            </w:r>
          </w:p>
        </w:tc>
      </w:tr>
      <w:tr w:rsidR="004B614B" w:rsidRPr="00220848" w14:paraId="563B3A38" w14:textId="77777777" w:rsidTr="00D80CA6">
        <w:tc>
          <w:tcPr>
            <w:tcW w:w="9303" w:type="dxa"/>
            <w:gridSpan w:val="2"/>
            <w:tcBorders>
              <w:top w:val="single" w:sz="4" w:space="0" w:color="auto"/>
              <w:left w:val="single" w:sz="4" w:space="0" w:color="auto"/>
              <w:bottom w:val="single" w:sz="4" w:space="0" w:color="auto"/>
              <w:right w:val="single" w:sz="4" w:space="0" w:color="auto"/>
            </w:tcBorders>
          </w:tcPr>
          <w:p w14:paraId="57EF29E3" w14:textId="77777777" w:rsidR="004B614B" w:rsidRPr="00220848" w:rsidRDefault="004B614B" w:rsidP="00D80CA6">
            <w:pPr>
              <w:suppressAutoHyphens w:val="0"/>
              <w:spacing w:before="60" w:after="60" w:line="256" w:lineRule="auto"/>
              <w:rPr>
                <w:b/>
                <w:sz w:val="20"/>
                <w:szCs w:val="24"/>
              </w:rPr>
            </w:pPr>
            <w:r w:rsidRPr="00220848">
              <w:rPr>
                <w:b/>
                <w:sz w:val="20"/>
                <w:szCs w:val="24"/>
              </w:rPr>
              <w:lastRenderedPageBreak/>
              <w:t>Methodology:</w:t>
            </w:r>
          </w:p>
          <w:p w14:paraId="0D26DD4F" w14:textId="77777777" w:rsidR="004B614B" w:rsidRPr="00110A6A" w:rsidRDefault="004B614B" w:rsidP="00D80CA6">
            <w:pPr>
              <w:suppressAutoHyphens w:val="0"/>
              <w:spacing w:before="60" w:after="60" w:line="256" w:lineRule="auto"/>
              <w:rPr>
                <w:sz w:val="20"/>
                <w:szCs w:val="24"/>
              </w:rPr>
            </w:pPr>
            <w:r w:rsidRPr="00110A6A">
              <w:rPr>
                <w:sz w:val="20"/>
                <w:szCs w:val="24"/>
              </w:rPr>
              <w:t>This study was a single-center, randomized, double-blind, placebo-controlled, 2 Part study, in which Part 1 was a multiple ascending dose finding study and Part 2 was a multiple dose study. The total duration of the study for each subject was approximately 181 days divided</w:t>
            </w:r>
            <w:r>
              <w:rPr>
                <w:sz w:val="20"/>
                <w:szCs w:val="24"/>
              </w:rPr>
              <w:t xml:space="preserve"> over two parts.</w:t>
            </w:r>
          </w:p>
          <w:p w14:paraId="2704CC22" w14:textId="77777777" w:rsidR="004B614B" w:rsidRPr="00110A6A" w:rsidRDefault="004B614B" w:rsidP="00D80CA6">
            <w:pPr>
              <w:suppressAutoHyphens w:val="0"/>
              <w:spacing w:before="60" w:after="60" w:line="256" w:lineRule="auto"/>
              <w:rPr>
                <w:sz w:val="20"/>
                <w:szCs w:val="24"/>
              </w:rPr>
            </w:pPr>
            <w:r w:rsidRPr="00110A6A">
              <w:rPr>
                <w:b/>
                <w:bCs/>
                <w:sz w:val="20"/>
                <w:szCs w:val="24"/>
                <w:u w:val="single"/>
              </w:rPr>
              <w:t>Part 1</w:t>
            </w:r>
            <w:r w:rsidRPr="00110A6A">
              <w:rPr>
                <w:sz w:val="20"/>
                <w:szCs w:val="24"/>
              </w:rPr>
              <w:t>:</w:t>
            </w:r>
          </w:p>
          <w:p w14:paraId="7E18032C" w14:textId="77777777" w:rsidR="004B614B" w:rsidRDefault="004B614B" w:rsidP="00D80CA6">
            <w:pPr>
              <w:suppressAutoHyphens w:val="0"/>
              <w:spacing w:before="60" w:after="60" w:line="256" w:lineRule="auto"/>
              <w:rPr>
                <w:sz w:val="20"/>
                <w:szCs w:val="24"/>
              </w:rPr>
            </w:pPr>
            <w:r w:rsidRPr="00110A6A">
              <w:rPr>
                <w:sz w:val="20"/>
                <w:szCs w:val="24"/>
              </w:rPr>
              <w:t xml:space="preserve">24 mild to moderate HD patients, dose levels of 5 mg/day, 15 mg/day and 25 mg/day were administered once daily for 7 days (6 active and 2 </w:t>
            </w:r>
            <w:proofErr w:type="gramStart"/>
            <w:r w:rsidRPr="00110A6A">
              <w:rPr>
                <w:sz w:val="20"/>
                <w:szCs w:val="24"/>
              </w:rPr>
              <w:t>placebo</w:t>
            </w:r>
            <w:proofErr w:type="gramEnd"/>
            <w:r w:rsidRPr="00110A6A">
              <w:rPr>
                <w:sz w:val="20"/>
                <w:szCs w:val="24"/>
              </w:rPr>
              <w:t xml:space="preserve"> per cohort).</w:t>
            </w:r>
            <w:r>
              <w:rPr>
                <w:sz w:val="20"/>
                <w:szCs w:val="24"/>
              </w:rPr>
              <w:t xml:space="preserve"> Screening (including eligibility checks, safety assessments and </w:t>
            </w:r>
            <w:r w:rsidRPr="00E57D8B">
              <w:rPr>
                <w:sz w:val="20"/>
                <w:szCs w:val="24"/>
                <w:vertAlign w:val="superscript"/>
              </w:rPr>
              <w:t>31</w:t>
            </w:r>
            <w:r>
              <w:rPr>
                <w:sz w:val="20"/>
                <w:szCs w:val="24"/>
              </w:rPr>
              <w:t xml:space="preserve">P-MRS) was conducted between Day -90 and -1. Subjects were randomized on Day 1 of the study and were administered daily SC injections between Day 1 and Day 7 by a qualified medical professional, either in-patient or at the subject’s home. Safety assessments were conducted on all dosing days, including recording of adverse events. Full </w:t>
            </w:r>
            <w:proofErr w:type="gramStart"/>
            <w:r>
              <w:rPr>
                <w:sz w:val="20"/>
                <w:szCs w:val="24"/>
              </w:rPr>
              <w:t>24 hour</w:t>
            </w:r>
            <w:proofErr w:type="gramEnd"/>
            <w:r>
              <w:rPr>
                <w:sz w:val="20"/>
                <w:szCs w:val="24"/>
              </w:rPr>
              <w:t xml:space="preserve"> PK profiles (plasma and urine) were conducted on Days 1 and 7 and additional blood samples for clinical safety laboratory panels and harvesting of PBMCs (for assessment of MMP) were taken at the same timepoints. Subjects attended for a post-dose </w:t>
            </w:r>
            <w:r w:rsidRPr="00E57D8B">
              <w:rPr>
                <w:sz w:val="20"/>
                <w:szCs w:val="24"/>
                <w:vertAlign w:val="superscript"/>
              </w:rPr>
              <w:t>31</w:t>
            </w:r>
            <w:r>
              <w:rPr>
                <w:sz w:val="20"/>
                <w:szCs w:val="24"/>
              </w:rPr>
              <w:t>P-MRS on Day 7. A follow-up visit was conducted at Day 21 and concluded the subject’s participation in Part 1.</w:t>
            </w:r>
          </w:p>
          <w:p w14:paraId="7A3EB27B" w14:textId="77777777" w:rsidR="004B614B" w:rsidRDefault="004B614B" w:rsidP="00D80CA6">
            <w:pPr>
              <w:suppressAutoHyphens w:val="0"/>
              <w:spacing w:before="60" w:after="60" w:line="256" w:lineRule="auto"/>
              <w:rPr>
                <w:sz w:val="20"/>
                <w:szCs w:val="24"/>
              </w:rPr>
            </w:pPr>
            <w:r w:rsidRPr="00110A6A">
              <w:rPr>
                <w:sz w:val="20"/>
                <w:szCs w:val="24"/>
              </w:rPr>
              <w:t>The wash-out period between Part 1 and 2 was at least 28 days</w:t>
            </w:r>
            <w:r>
              <w:rPr>
                <w:sz w:val="20"/>
                <w:szCs w:val="24"/>
              </w:rPr>
              <w:t>.</w:t>
            </w:r>
          </w:p>
          <w:p w14:paraId="5252107E" w14:textId="77777777" w:rsidR="004B614B" w:rsidRPr="00110A6A" w:rsidRDefault="004B614B" w:rsidP="00D80CA6">
            <w:pPr>
              <w:suppressAutoHyphens w:val="0"/>
              <w:spacing w:before="60" w:after="60" w:line="256" w:lineRule="auto"/>
              <w:rPr>
                <w:sz w:val="20"/>
                <w:szCs w:val="24"/>
              </w:rPr>
            </w:pPr>
            <w:r>
              <w:rPr>
                <w:b/>
                <w:bCs/>
                <w:sz w:val="20"/>
                <w:szCs w:val="24"/>
                <w:u w:val="single"/>
              </w:rPr>
              <w:t>Pa</w:t>
            </w:r>
            <w:r w:rsidRPr="00110A6A">
              <w:rPr>
                <w:b/>
                <w:bCs/>
                <w:sz w:val="20"/>
                <w:szCs w:val="24"/>
                <w:u w:val="single"/>
              </w:rPr>
              <w:t>rt 2</w:t>
            </w:r>
            <w:r w:rsidRPr="00110A6A">
              <w:rPr>
                <w:sz w:val="20"/>
                <w:szCs w:val="24"/>
              </w:rPr>
              <w:t>:</w:t>
            </w:r>
          </w:p>
          <w:p w14:paraId="314F9CB3" w14:textId="77777777" w:rsidR="004B614B" w:rsidRPr="00220848" w:rsidRDefault="004B614B" w:rsidP="00D80CA6">
            <w:pPr>
              <w:suppressAutoHyphens w:val="0"/>
              <w:spacing w:before="60" w:after="60" w:line="256" w:lineRule="auto"/>
              <w:rPr>
                <w:sz w:val="20"/>
                <w:szCs w:val="24"/>
              </w:rPr>
            </w:pPr>
            <w:r w:rsidRPr="00110A6A">
              <w:rPr>
                <w:sz w:val="20"/>
                <w:szCs w:val="24"/>
              </w:rPr>
              <w:t xml:space="preserve">23 mild to moderate HD patients who </w:t>
            </w:r>
            <w:r>
              <w:rPr>
                <w:sz w:val="20"/>
                <w:szCs w:val="24"/>
              </w:rPr>
              <w:t>p</w:t>
            </w:r>
            <w:r w:rsidRPr="00110A6A">
              <w:rPr>
                <w:sz w:val="20"/>
                <w:szCs w:val="24"/>
              </w:rPr>
              <w:t>articipated in Part 1, a dose level of 25mg/day was administered once daily for 28 days (11 active and 12 placebo)</w:t>
            </w:r>
            <w:r>
              <w:rPr>
                <w:sz w:val="20"/>
                <w:szCs w:val="24"/>
              </w:rPr>
              <w:t xml:space="preserve">. On Day -1 of Part 2, subjects were reassessed for continuing eligibility (including safety assessments and </w:t>
            </w:r>
            <w:r w:rsidRPr="00E57D8B">
              <w:rPr>
                <w:sz w:val="20"/>
                <w:szCs w:val="24"/>
                <w:vertAlign w:val="superscript"/>
              </w:rPr>
              <w:t>31</w:t>
            </w:r>
            <w:r>
              <w:rPr>
                <w:sz w:val="20"/>
                <w:szCs w:val="24"/>
              </w:rPr>
              <w:t xml:space="preserve">P-MRS). Subjects were randomized on Day 1 of Part 2 and were administered daily SC injections between Day 1 and Day 28 by a qualified medical professional, either in-patient or at the </w:t>
            </w:r>
            <w:r>
              <w:rPr>
                <w:sz w:val="20"/>
                <w:szCs w:val="24"/>
              </w:rPr>
              <w:lastRenderedPageBreak/>
              <w:t xml:space="preserve">subject’s home. Safety assessments were conducted on all dosing days, including recording of adverse events. Peak and trough plasma PK samples were collected on Days 1, 7, 14 and 21 and additional blood samples for clinical safety laboratory panels were taken on the same days. Subjects attended as in-patients on Days 27 and 28 full safety and PD assessments including </w:t>
            </w:r>
            <w:r w:rsidRPr="00E57D8B">
              <w:rPr>
                <w:sz w:val="20"/>
                <w:szCs w:val="24"/>
                <w:vertAlign w:val="superscript"/>
              </w:rPr>
              <w:t>31</w:t>
            </w:r>
            <w:r>
              <w:rPr>
                <w:sz w:val="20"/>
                <w:szCs w:val="24"/>
              </w:rPr>
              <w:t>P-MRS. A follow-up visit was conducted at Day 42 and concluded the subject’s participation in the study.</w:t>
            </w:r>
          </w:p>
        </w:tc>
      </w:tr>
      <w:tr w:rsidR="004B614B" w:rsidRPr="00220848" w14:paraId="2B511806" w14:textId="77777777" w:rsidTr="00D80CA6">
        <w:tc>
          <w:tcPr>
            <w:tcW w:w="9303" w:type="dxa"/>
            <w:gridSpan w:val="2"/>
            <w:tcBorders>
              <w:top w:val="single" w:sz="4" w:space="0" w:color="auto"/>
              <w:left w:val="single" w:sz="4" w:space="0" w:color="auto"/>
              <w:bottom w:val="single" w:sz="4" w:space="0" w:color="auto"/>
              <w:right w:val="single" w:sz="4" w:space="0" w:color="auto"/>
            </w:tcBorders>
            <w:hideMark/>
          </w:tcPr>
          <w:p w14:paraId="39356337" w14:textId="77777777" w:rsidR="004B614B" w:rsidRPr="00220848" w:rsidRDefault="004B614B" w:rsidP="00D80CA6">
            <w:pPr>
              <w:suppressAutoHyphens w:val="0"/>
              <w:spacing w:before="60" w:after="60" w:line="256" w:lineRule="auto"/>
              <w:rPr>
                <w:b/>
                <w:sz w:val="20"/>
                <w:szCs w:val="24"/>
              </w:rPr>
            </w:pPr>
            <w:r w:rsidRPr="00220848">
              <w:rPr>
                <w:b/>
                <w:sz w:val="20"/>
                <w:szCs w:val="24"/>
              </w:rPr>
              <w:lastRenderedPageBreak/>
              <w:t>Number of Subjects (Planned and Analyzed):</w:t>
            </w:r>
          </w:p>
          <w:p w14:paraId="502C0BE6" w14:textId="77777777" w:rsidR="004B614B" w:rsidRDefault="004B614B" w:rsidP="00D80CA6">
            <w:pPr>
              <w:suppressAutoHyphens w:val="0"/>
              <w:spacing w:before="60" w:after="60" w:line="256" w:lineRule="auto"/>
              <w:rPr>
                <w:sz w:val="20"/>
                <w:szCs w:val="24"/>
              </w:rPr>
            </w:pPr>
            <w:r>
              <w:rPr>
                <w:sz w:val="20"/>
                <w:szCs w:val="24"/>
              </w:rPr>
              <w:t>Part 1: A total of 24 subjects were randomized to 3 dosing cohorts.</w:t>
            </w:r>
          </w:p>
          <w:p w14:paraId="44D14501" w14:textId="77777777" w:rsidR="004B614B" w:rsidRPr="00220848" w:rsidRDefault="004B614B" w:rsidP="00D80CA6">
            <w:pPr>
              <w:suppressAutoHyphens w:val="0"/>
              <w:spacing w:before="60" w:after="60" w:line="256" w:lineRule="auto"/>
              <w:rPr>
                <w:sz w:val="20"/>
                <w:szCs w:val="24"/>
              </w:rPr>
            </w:pPr>
            <w:r>
              <w:rPr>
                <w:sz w:val="20"/>
                <w:szCs w:val="24"/>
              </w:rPr>
              <w:t xml:space="preserve">Part 2: </w:t>
            </w:r>
            <w:r w:rsidRPr="00220848">
              <w:rPr>
                <w:sz w:val="20"/>
                <w:szCs w:val="24"/>
              </w:rPr>
              <w:t xml:space="preserve">A total of </w:t>
            </w:r>
            <w:r>
              <w:rPr>
                <w:sz w:val="20"/>
                <w:szCs w:val="24"/>
              </w:rPr>
              <w:t>24</w:t>
            </w:r>
            <w:r w:rsidRPr="00220848">
              <w:rPr>
                <w:sz w:val="20"/>
                <w:szCs w:val="24"/>
              </w:rPr>
              <w:t xml:space="preserve"> subjects were </w:t>
            </w:r>
            <w:r>
              <w:rPr>
                <w:sz w:val="20"/>
                <w:szCs w:val="24"/>
              </w:rPr>
              <w:t xml:space="preserve">to be enrolled in Part 2 however, one subject did not continue into the second part of the study. 23 subjects were </w:t>
            </w:r>
            <w:r w:rsidRPr="00220848">
              <w:rPr>
                <w:sz w:val="20"/>
                <w:szCs w:val="24"/>
              </w:rPr>
              <w:t>analyzed</w:t>
            </w:r>
            <w:r>
              <w:rPr>
                <w:sz w:val="20"/>
                <w:szCs w:val="24"/>
              </w:rPr>
              <w:t xml:space="preserve"> in Part 2.</w:t>
            </w:r>
          </w:p>
        </w:tc>
      </w:tr>
      <w:tr w:rsidR="004B614B" w:rsidRPr="00220848" w14:paraId="4E2FB411" w14:textId="77777777" w:rsidTr="00D80CA6">
        <w:tc>
          <w:tcPr>
            <w:tcW w:w="9303" w:type="dxa"/>
            <w:gridSpan w:val="2"/>
            <w:tcBorders>
              <w:top w:val="single" w:sz="4" w:space="0" w:color="auto"/>
              <w:left w:val="single" w:sz="4" w:space="0" w:color="auto"/>
              <w:bottom w:val="single" w:sz="4" w:space="0" w:color="auto"/>
              <w:right w:val="single" w:sz="4" w:space="0" w:color="auto"/>
            </w:tcBorders>
            <w:hideMark/>
          </w:tcPr>
          <w:p w14:paraId="61135DCB" w14:textId="77777777" w:rsidR="004B614B" w:rsidRPr="00220848" w:rsidRDefault="004B614B" w:rsidP="00D80CA6">
            <w:pPr>
              <w:suppressAutoHyphens w:val="0"/>
              <w:spacing w:before="60" w:after="60" w:line="256" w:lineRule="auto"/>
              <w:rPr>
                <w:b/>
                <w:sz w:val="20"/>
                <w:szCs w:val="24"/>
              </w:rPr>
            </w:pPr>
            <w:r w:rsidRPr="00220848">
              <w:rPr>
                <w:b/>
                <w:sz w:val="20"/>
                <w:szCs w:val="24"/>
              </w:rPr>
              <w:t>Diagnosis and Main Criteria for Inclusion and Exclusion:</w:t>
            </w:r>
          </w:p>
          <w:p w14:paraId="3F0216C1" w14:textId="77777777" w:rsidR="004B614B" w:rsidRPr="00220848" w:rsidRDefault="004B614B" w:rsidP="00D80CA6">
            <w:pPr>
              <w:suppressAutoHyphens w:val="0"/>
              <w:spacing w:before="60" w:after="60" w:line="256" w:lineRule="auto"/>
              <w:rPr>
                <w:sz w:val="20"/>
                <w:szCs w:val="24"/>
              </w:rPr>
            </w:pPr>
            <w:r w:rsidRPr="00220848">
              <w:rPr>
                <w:sz w:val="20"/>
                <w:szCs w:val="24"/>
              </w:rPr>
              <w:t xml:space="preserve">Male and female subjects aged </w:t>
            </w:r>
            <w:r>
              <w:rPr>
                <w:sz w:val="20"/>
                <w:szCs w:val="24"/>
              </w:rPr>
              <w:t>at least 18</w:t>
            </w:r>
            <w:r w:rsidRPr="00220848">
              <w:rPr>
                <w:sz w:val="20"/>
                <w:szCs w:val="24"/>
              </w:rPr>
              <w:t xml:space="preserve"> years with </w:t>
            </w:r>
            <w:r>
              <w:rPr>
                <w:sz w:val="20"/>
                <w:szCs w:val="24"/>
              </w:rPr>
              <w:t xml:space="preserve">a DNA confirmed diagnosis (CAG expansion of 36 or more repeats in the HTT gene) of HD. HD was to be considered early stage (Unified Huntington’s Disease Rating Scale [UHDRS] Total Motor Score ≥ 5, UHDRS Total Functional Capacity Score ≥ 7, </w:t>
            </w:r>
            <w:r w:rsidRPr="00445943">
              <w:rPr>
                <w:sz w:val="20"/>
                <w:szCs w:val="24"/>
              </w:rPr>
              <w:sym w:font="Symbol" w:char="F074"/>
            </w:r>
            <w:proofErr w:type="spellStart"/>
            <w:r w:rsidRPr="00445943">
              <w:rPr>
                <w:sz w:val="20"/>
                <w:szCs w:val="24"/>
              </w:rPr>
              <w:t>PCr</w:t>
            </w:r>
            <w:proofErr w:type="spellEnd"/>
            <w:r w:rsidRPr="00445943">
              <w:rPr>
                <w:sz w:val="20"/>
                <w:szCs w:val="24"/>
              </w:rPr>
              <w:t xml:space="preserve"> </w:t>
            </w:r>
            <w:r>
              <w:rPr>
                <w:sz w:val="20"/>
                <w:szCs w:val="24"/>
              </w:rPr>
              <w:t xml:space="preserve">≥ 32.4 s by </w:t>
            </w:r>
            <w:r w:rsidRPr="005B58B2">
              <w:rPr>
                <w:sz w:val="20"/>
                <w:szCs w:val="24"/>
                <w:vertAlign w:val="superscript"/>
              </w:rPr>
              <w:t>31</w:t>
            </w:r>
            <w:r>
              <w:rPr>
                <w:sz w:val="20"/>
                <w:szCs w:val="24"/>
              </w:rPr>
              <w:t>P-MRS of skeletal muscle). Other eligibility criteria focused on the general well-being of the subjects and their suitability for participation in a clinical study.</w:t>
            </w:r>
          </w:p>
        </w:tc>
      </w:tr>
      <w:tr w:rsidR="004B614B" w:rsidRPr="00220848" w14:paraId="02A425BC" w14:textId="77777777" w:rsidTr="00D80CA6">
        <w:tc>
          <w:tcPr>
            <w:tcW w:w="9303" w:type="dxa"/>
            <w:gridSpan w:val="2"/>
            <w:tcBorders>
              <w:top w:val="single" w:sz="4" w:space="0" w:color="auto"/>
              <w:left w:val="single" w:sz="4" w:space="0" w:color="auto"/>
              <w:bottom w:val="single" w:sz="4" w:space="0" w:color="auto"/>
              <w:right w:val="single" w:sz="4" w:space="0" w:color="auto"/>
            </w:tcBorders>
            <w:hideMark/>
          </w:tcPr>
          <w:p w14:paraId="171BD4BB" w14:textId="77777777" w:rsidR="004B614B" w:rsidRPr="00220848" w:rsidRDefault="004B614B" w:rsidP="00D80CA6">
            <w:pPr>
              <w:suppressAutoHyphens w:val="0"/>
              <w:spacing w:before="60" w:after="60" w:line="256" w:lineRule="auto"/>
              <w:rPr>
                <w:b/>
                <w:sz w:val="20"/>
                <w:szCs w:val="24"/>
              </w:rPr>
            </w:pPr>
            <w:r w:rsidRPr="00220848">
              <w:rPr>
                <w:b/>
                <w:sz w:val="20"/>
                <w:szCs w:val="24"/>
              </w:rPr>
              <w:t>Investigational Medicinal Product (IMP), Dose and Mode of Administration, Batch Number:</w:t>
            </w:r>
          </w:p>
          <w:p w14:paraId="21BCDAA2" w14:textId="77777777" w:rsidR="004B614B" w:rsidRDefault="004B614B" w:rsidP="00D80CA6">
            <w:pPr>
              <w:suppressAutoHyphens w:val="0"/>
              <w:spacing w:before="60" w:after="60" w:line="256" w:lineRule="auto"/>
              <w:rPr>
                <w:sz w:val="20"/>
                <w:szCs w:val="24"/>
              </w:rPr>
            </w:pPr>
            <w:r>
              <w:rPr>
                <w:sz w:val="20"/>
                <w:szCs w:val="24"/>
              </w:rPr>
              <w:t>SBT-020: S</w:t>
            </w:r>
            <w:r w:rsidRPr="00220848">
              <w:rPr>
                <w:sz w:val="20"/>
                <w:szCs w:val="24"/>
              </w:rPr>
              <w:t xml:space="preserve">upplied as </w:t>
            </w:r>
            <w:r>
              <w:rPr>
                <w:sz w:val="20"/>
                <w:szCs w:val="24"/>
              </w:rPr>
              <w:t>lyophilized powder (44 mg/vial) for reconstitution with sterile saline for injection</w:t>
            </w:r>
            <w:r w:rsidRPr="00220848">
              <w:rPr>
                <w:sz w:val="20"/>
                <w:szCs w:val="24"/>
              </w:rPr>
              <w:t>.</w:t>
            </w:r>
          </w:p>
          <w:p w14:paraId="651C4461" w14:textId="77777777" w:rsidR="004B614B" w:rsidRPr="00220848" w:rsidRDefault="004B614B" w:rsidP="00D80CA6">
            <w:pPr>
              <w:suppressAutoHyphens w:val="0"/>
              <w:spacing w:before="60" w:after="60" w:line="256" w:lineRule="auto"/>
              <w:rPr>
                <w:sz w:val="20"/>
                <w:szCs w:val="24"/>
              </w:rPr>
            </w:pPr>
            <w:r>
              <w:rPr>
                <w:sz w:val="20"/>
                <w:szCs w:val="24"/>
              </w:rPr>
              <w:t>SBT-020 was</w:t>
            </w:r>
            <w:r w:rsidRPr="00220848">
              <w:rPr>
                <w:sz w:val="20"/>
                <w:szCs w:val="24"/>
              </w:rPr>
              <w:t xml:space="preserve"> administered as a once daily SC injection.</w:t>
            </w:r>
          </w:p>
          <w:p w14:paraId="08781AAD" w14:textId="77777777" w:rsidR="004B614B" w:rsidRPr="00220848" w:rsidRDefault="004B614B" w:rsidP="00D80CA6">
            <w:pPr>
              <w:suppressAutoHyphens w:val="0"/>
              <w:spacing w:before="60" w:after="60" w:line="256" w:lineRule="auto"/>
              <w:rPr>
                <w:sz w:val="20"/>
                <w:szCs w:val="24"/>
              </w:rPr>
            </w:pPr>
            <w:r>
              <w:rPr>
                <w:sz w:val="20"/>
                <w:szCs w:val="24"/>
              </w:rPr>
              <w:t xml:space="preserve">SBT-020 </w:t>
            </w:r>
            <w:r w:rsidRPr="00220848">
              <w:rPr>
                <w:sz w:val="20"/>
                <w:szCs w:val="24"/>
              </w:rPr>
              <w:t xml:space="preserve">Lot number: </w:t>
            </w:r>
            <w:r>
              <w:rPr>
                <w:sz w:val="20"/>
                <w:szCs w:val="24"/>
              </w:rPr>
              <w:t>P04915</w:t>
            </w:r>
          </w:p>
        </w:tc>
      </w:tr>
      <w:tr w:rsidR="004B614B" w:rsidRPr="00220848" w14:paraId="6650AAD0" w14:textId="77777777" w:rsidTr="00D80CA6">
        <w:tc>
          <w:tcPr>
            <w:tcW w:w="9303" w:type="dxa"/>
            <w:gridSpan w:val="2"/>
            <w:tcBorders>
              <w:top w:val="single" w:sz="4" w:space="0" w:color="auto"/>
              <w:left w:val="single" w:sz="4" w:space="0" w:color="auto"/>
              <w:bottom w:val="single" w:sz="4" w:space="0" w:color="auto"/>
              <w:right w:val="single" w:sz="4" w:space="0" w:color="auto"/>
            </w:tcBorders>
            <w:hideMark/>
          </w:tcPr>
          <w:p w14:paraId="6E484A54" w14:textId="77777777" w:rsidR="004B614B" w:rsidRPr="00220848" w:rsidRDefault="004B614B" w:rsidP="00D80CA6">
            <w:pPr>
              <w:keepNext/>
              <w:suppressAutoHyphens w:val="0"/>
              <w:spacing w:before="60" w:after="60" w:line="256" w:lineRule="auto"/>
              <w:rPr>
                <w:b/>
                <w:sz w:val="20"/>
                <w:szCs w:val="24"/>
              </w:rPr>
            </w:pPr>
            <w:r w:rsidRPr="00220848">
              <w:rPr>
                <w:b/>
                <w:sz w:val="20"/>
                <w:szCs w:val="24"/>
              </w:rPr>
              <w:t>Placebo, Dose and Mode of Administration, Batch Number:</w:t>
            </w:r>
          </w:p>
          <w:p w14:paraId="665858B9" w14:textId="77777777" w:rsidR="004B614B" w:rsidRPr="00220848" w:rsidRDefault="004B614B" w:rsidP="00D80CA6">
            <w:pPr>
              <w:keepNext/>
              <w:suppressAutoHyphens w:val="0"/>
              <w:spacing w:before="60" w:after="60" w:line="256" w:lineRule="auto"/>
              <w:rPr>
                <w:sz w:val="20"/>
                <w:szCs w:val="24"/>
              </w:rPr>
            </w:pPr>
            <w:r w:rsidRPr="00220848">
              <w:rPr>
                <w:sz w:val="20"/>
                <w:szCs w:val="24"/>
              </w:rPr>
              <w:t xml:space="preserve">The placebo for this trial was composed of </w:t>
            </w:r>
            <w:r>
              <w:rPr>
                <w:sz w:val="20"/>
                <w:szCs w:val="24"/>
              </w:rPr>
              <w:t>sterile saline for injection</w:t>
            </w:r>
            <w:r w:rsidRPr="00220848">
              <w:rPr>
                <w:sz w:val="20"/>
                <w:szCs w:val="24"/>
              </w:rPr>
              <w:t>. The placebo was handled and administered identically to the active drug.</w:t>
            </w:r>
          </w:p>
        </w:tc>
      </w:tr>
      <w:tr w:rsidR="004B614B" w:rsidRPr="00220848" w14:paraId="63AA28CE" w14:textId="77777777" w:rsidTr="00D80CA6">
        <w:tc>
          <w:tcPr>
            <w:tcW w:w="9303" w:type="dxa"/>
            <w:gridSpan w:val="2"/>
            <w:tcBorders>
              <w:top w:val="single" w:sz="4" w:space="0" w:color="auto"/>
              <w:left w:val="single" w:sz="4" w:space="0" w:color="auto"/>
              <w:bottom w:val="single" w:sz="4" w:space="0" w:color="auto"/>
              <w:right w:val="single" w:sz="4" w:space="0" w:color="auto"/>
            </w:tcBorders>
            <w:hideMark/>
          </w:tcPr>
          <w:p w14:paraId="3FB5E633" w14:textId="77777777" w:rsidR="004B614B" w:rsidRPr="00220848" w:rsidRDefault="004B614B" w:rsidP="00D80CA6">
            <w:pPr>
              <w:suppressAutoHyphens w:val="0"/>
              <w:spacing w:before="60" w:after="60" w:line="256" w:lineRule="auto"/>
              <w:rPr>
                <w:b/>
                <w:sz w:val="20"/>
                <w:szCs w:val="24"/>
              </w:rPr>
            </w:pPr>
            <w:r w:rsidRPr="00220848">
              <w:rPr>
                <w:b/>
                <w:sz w:val="20"/>
                <w:szCs w:val="24"/>
              </w:rPr>
              <w:t>Duration of Treatment:</w:t>
            </w:r>
          </w:p>
          <w:p w14:paraId="404CF6F0" w14:textId="77777777" w:rsidR="004B614B" w:rsidRPr="00220848" w:rsidRDefault="004B614B" w:rsidP="00D80CA6">
            <w:pPr>
              <w:suppressAutoHyphens w:val="0"/>
              <w:spacing w:before="60" w:after="60" w:line="256" w:lineRule="auto"/>
              <w:rPr>
                <w:b/>
                <w:sz w:val="20"/>
                <w:szCs w:val="24"/>
              </w:rPr>
            </w:pPr>
            <w:r>
              <w:rPr>
                <w:sz w:val="20"/>
                <w:szCs w:val="24"/>
              </w:rPr>
              <w:t xml:space="preserve">Part 1: 7 </w:t>
            </w:r>
            <w:proofErr w:type="gramStart"/>
            <w:r>
              <w:rPr>
                <w:sz w:val="20"/>
                <w:szCs w:val="24"/>
              </w:rPr>
              <w:t>days  Part</w:t>
            </w:r>
            <w:proofErr w:type="gramEnd"/>
            <w:r>
              <w:rPr>
                <w:sz w:val="20"/>
                <w:szCs w:val="24"/>
              </w:rPr>
              <w:t xml:space="preserve"> 2: </w:t>
            </w:r>
            <w:r w:rsidRPr="00220848">
              <w:rPr>
                <w:sz w:val="20"/>
                <w:szCs w:val="24"/>
              </w:rPr>
              <w:t>28 days</w:t>
            </w:r>
          </w:p>
        </w:tc>
      </w:tr>
      <w:tr w:rsidR="004B614B" w:rsidRPr="00220848" w14:paraId="1AD602DF" w14:textId="77777777" w:rsidTr="00D80CA6">
        <w:tc>
          <w:tcPr>
            <w:tcW w:w="9303" w:type="dxa"/>
            <w:gridSpan w:val="2"/>
            <w:tcBorders>
              <w:top w:val="single" w:sz="4" w:space="0" w:color="auto"/>
              <w:left w:val="single" w:sz="4" w:space="0" w:color="auto"/>
              <w:bottom w:val="single" w:sz="4" w:space="0" w:color="auto"/>
              <w:right w:val="single" w:sz="4" w:space="0" w:color="auto"/>
            </w:tcBorders>
            <w:hideMark/>
          </w:tcPr>
          <w:p w14:paraId="11EC5BF4" w14:textId="77777777" w:rsidR="004B614B" w:rsidRPr="00220848" w:rsidRDefault="004B614B" w:rsidP="00D80CA6">
            <w:pPr>
              <w:suppressAutoHyphens w:val="0"/>
              <w:spacing w:before="60" w:after="60" w:line="256" w:lineRule="auto"/>
              <w:rPr>
                <w:b/>
                <w:sz w:val="20"/>
                <w:szCs w:val="24"/>
              </w:rPr>
            </w:pPr>
            <w:r w:rsidRPr="00220848">
              <w:rPr>
                <w:sz w:val="20"/>
                <w:szCs w:val="24"/>
              </w:rPr>
              <w:br w:type="page"/>
            </w:r>
            <w:r w:rsidRPr="00220848">
              <w:rPr>
                <w:b/>
                <w:sz w:val="20"/>
                <w:szCs w:val="24"/>
              </w:rPr>
              <w:t>Criteria for Evaluation/Endpoints:</w:t>
            </w:r>
          </w:p>
          <w:p w14:paraId="33904F72" w14:textId="77777777" w:rsidR="004B614B" w:rsidRPr="00220848" w:rsidRDefault="004B614B" w:rsidP="00D80CA6">
            <w:pPr>
              <w:suppressAutoHyphens w:val="0"/>
              <w:spacing w:before="60" w:after="60" w:line="256" w:lineRule="auto"/>
              <w:rPr>
                <w:b/>
                <w:sz w:val="20"/>
                <w:szCs w:val="24"/>
              </w:rPr>
            </w:pPr>
            <w:r>
              <w:rPr>
                <w:b/>
                <w:sz w:val="20"/>
                <w:szCs w:val="24"/>
              </w:rPr>
              <w:t>Safety</w:t>
            </w:r>
            <w:r w:rsidRPr="00220848">
              <w:rPr>
                <w:b/>
                <w:sz w:val="20"/>
                <w:szCs w:val="24"/>
              </w:rPr>
              <w:t xml:space="preserve"> Endpoint</w:t>
            </w:r>
            <w:r>
              <w:rPr>
                <w:b/>
                <w:sz w:val="20"/>
                <w:szCs w:val="24"/>
              </w:rPr>
              <w:t>s</w:t>
            </w:r>
          </w:p>
          <w:p w14:paraId="42449DE8" w14:textId="77777777" w:rsidR="004B614B" w:rsidRPr="00530261" w:rsidRDefault="004B614B" w:rsidP="00D80CA6">
            <w:pPr>
              <w:suppressAutoHyphens w:val="0"/>
              <w:spacing w:before="60" w:after="60" w:line="256" w:lineRule="auto"/>
              <w:ind w:left="270" w:hanging="270"/>
              <w:rPr>
                <w:sz w:val="20"/>
                <w:szCs w:val="24"/>
              </w:rPr>
            </w:pPr>
            <w:r w:rsidRPr="00530261">
              <w:rPr>
                <w:sz w:val="20"/>
                <w:szCs w:val="24"/>
              </w:rPr>
              <w:t>•</w:t>
            </w:r>
            <w:r w:rsidRPr="00530261">
              <w:rPr>
                <w:sz w:val="20"/>
                <w:szCs w:val="24"/>
              </w:rPr>
              <w:tab/>
              <w:t>Treatment emergent AEs</w:t>
            </w:r>
          </w:p>
          <w:p w14:paraId="5D6AB0C9" w14:textId="77777777" w:rsidR="004B614B" w:rsidRPr="00530261" w:rsidRDefault="004B614B" w:rsidP="00D80CA6">
            <w:pPr>
              <w:suppressAutoHyphens w:val="0"/>
              <w:spacing w:before="60" w:after="60" w:line="256" w:lineRule="auto"/>
              <w:ind w:left="270" w:hanging="270"/>
              <w:rPr>
                <w:sz w:val="20"/>
                <w:szCs w:val="24"/>
              </w:rPr>
            </w:pPr>
            <w:r w:rsidRPr="00530261">
              <w:rPr>
                <w:sz w:val="20"/>
                <w:szCs w:val="24"/>
              </w:rPr>
              <w:t>•</w:t>
            </w:r>
            <w:r w:rsidRPr="00530261">
              <w:rPr>
                <w:sz w:val="20"/>
                <w:szCs w:val="24"/>
              </w:rPr>
              <w:tab/>
              <w:t>Concomitant medication</w:t>
            </w:r>
          </w:p>
          <w:p w14:paraId="610CF140" w14:textId="77777777" w:rsidR="004B614B" w:rsidRPr="00530261" w:rsidRDefault="004B614B" w:rsidP="00D80CA6">
            <w:pPr>
              <w:suppressAutoHyphens w:val="0"/>
              <w:spacing w:before="60" w:after="60" w:line="256" w:lineRule="auto"/>
              <w:ind w:left="270" w:hanging="270"/>
              <w:rPr>
                <w:sz w:val="20"/>
                <w:szCs w:val="24"/>
              </w:rPr>
            </w:pPr>
            <w:r w:rsidRPr="00530261">
              <w:rPr>
                <w:sz w:val="20"/>
                <w:szCs w:val="24"/>
              </w:rPr>
              <w:t>•</w:t>
            </w:r>
            <w:r w:rsidRPr="00530261">
              <w:rPr>
                <w:sz w:val="20"/>
                <w:szCs w:val="24"/>
              </w:rPr>
              <w:tab/>
              <w:t>Change from baseline in clinical laboratory tests</w:t>
            </w:r>
          </w:p>
          <w:p w14:paraId="4890031C" w14:textId="77777777" w:rsidR="004B614B" w:rsidRPr="00530261" w:rsidRDefault="004B614B" w:rsidP="00D80CA6">
            <w:pPr>
              <w:suppressAutoHyphens w:val="0"/>
              <w:spacing w:before="60" w:after="60" w:line="256" w:lineRule="auto"/>
              <w:ind w:left="270" w:hanging="270"/>
              <w:rPr>
                <w:sz w:val="20"/>
                <w:szCs w:val="24"/>
              </w:rPr>
            </w:pPr>
            <w:r w:rsidRPr="00530261">
              <w:rPr>
                <w:sz w:val="20"/>
                <w:szCs w:val="24"/>
              </w:rPr>
              <w:t>•</w:t>
            </w:r>
            <w:r w:rsidRPr="00530261">
              <w:rPr>
                <w:sz w:val="20"/>
                <w:szCs w:val="24"/>
              </w:rPr>
              <w:tab/>
              <w:t>Change from baseline in vital signs parameters</w:t>
            </w:r>
          </w:p>
          <w:p w14:paraId="57D4215D" w14:textId="77777777" w:rsidR="004B614B" w:rsidRPr="00220848" w:rsidRDefault="004B614B" w:rsidP="00D80CA6">
            <w:pPr>
              <w:suppressAutoHyphens w:val="0"/>
              <w:spacing w:before="60" w:after="60" w:line="256" w:lineRule="auto"/>
              <w:ind w:left="270" w:hanging="270"/>
              <w:rPr>
                <w:sz w:val="20"/>
                <w:szCs w:val="24"/>
              </w:rPr>
            </w:pPr>
            <w:r w:rsidRPr="00530261">
              <w:rPr>
                <w:sz w:val="20"/>
                <w:szCs w:val="24"/>
              </w:rPr>
              <w:t>•</w:t>
            </w:r>
            <w:r w:rsidRPr="00530261">
              <w:rPr>
                <w:sz w:val="20"/>
                <w:szCs w:val="24"/>
              </w:rPr>
              <w:tab/>
              <w:t>Change from baseline in ECG parameters</w:t>
            </w:r>
          </w:p>
          <w:p w14:paraId="0010BE9C" w14:textId="77777777" w:rsidR="004B614B" w:rsidRDefault="004B614B" w:rsidP="00D80CA6">
            <w:pPr>
              <w:suppressAutoHyphens w:val="0"/>
              <w:spacing w:before="60" w:after="60" w:line="256" w:lineRule="auto"/>
              <w:rPr>
                <w:b/>
                <w:sz w:val="20"/>
                <w:szCs w:val="24"/>
              </w:rPr>
            </w:pPr>
            <w:r w:rsidRPr="00220848">
              <w:rPr>
                <w:b/>
                <w:sz w:val="20"/>
                <w:szCs w:val="24"/>
              </w:rPr>
              <w:t xml:space="preserve"> </w:t>
            </w:r>
            <w:r>
              <w:rPr>
                <w:b/>
                <w:sz w:val="20"/>
                <w:szCs w:val="24"/>
              </w:rPr>
              <w:t xml:space="preserve">Pharmacokinetic </w:t>
            </w:r>
            <w:r w:rsidRPr="00220848">
              <w:rPr>
                <w:b/>
                <w:sz w:val="20"/>
                <w:szCs w:val="24"/>
              </w:rPr>
              <w:t>Endpoints</w:t>
            </w:r>
          </w:p>
          <w:p w14:paraId="1D6D27A3" w14:textId="77777777" w:rsidR="004B614B" w:rsidRPr="00530261" w:rsidRDefault="004B614B" w:rsidP="00D80CA6">
            <w:pPr>
              <w:suppressAutoHyphens w:val="0"/>
              <w:spacing w:before="60" w:after="60" w:line="256" w:lineRule="auto"/>
              <w:ind w:left="270" w:hanging="270"/>
              <w:rPr>
                <w:bCs/>
                <w:sz w:val="20"/>
                <w:szCs w:val="24"/>
              </w:rPr>
            </w:pPr>
            <w:r w:rsidRPr="00530261">
              <w:rPr>
                <w:b/>
                <w:sz w:val="20"/>
                <w:szCs w:val="24"/>
              </w:rPr>
              <w:t>•</w:t>
            </w:r>
            <w:r w:rsidRPr="00530261">
              <w:rPr>
                <w:b/>
                <w:sz w:val="20"/>
                <w:szCs w:val="24"/>
              </w:rPr>
              <w:tab/>
            </w:r>
            <w:r w:rsidRPr="00530261">
              <w:rPr>
                <w:bCs/>
                <w:sz w:val="20"/>
                <w:szCs w:val="24"/>
              </w:rPr>
              <w:t xml:space="preserve">Plasma concentrations and PK parameters of SBT-020 and SBT-127 (tripeptide SBT-020-related component; </w:t>
            </w:r>
            <w:proofErr w:type="spellStart"/>
            <w:r w:rsidRPr="00530261">
              <w:rPr>
                <w:bCs/>
                <w:sz w:val="20"/>
                <w:szCs w:val="24"/>
              </w:rPr>
              <w:t>Phe</w:t>
            </w:r>
            <w:proofErr w:type="spellEnd"/>
            <w:r w:rsidRPr="00530261">
              <w:rPr>
                <w:bCs/>
                <w:sz w:val="20"/>
                <w:szCs w:val="24"/>
              </w:rPr>
              <w:t>-D-</w:t>
            </w:r>
            <w:proofErr w:type="spellStart"/>
            <w:r w:rsidRPr="00530261">
              <w:rPr>
                <w:bCs/>
                <w:sz w:val="20"/>
                <w:szCs w:val="24"/>
              </w:rPr>
              <w:t>Arg</w:t>
            </w:r>
            <w:proofErr w:type="spellEnd"/>
            <w:r w:rsidRPr="00530261">
              <w:rPr>
                <w:bCs/>
                <w:sz w:val="20"/>
                <w:szCs w:val="24"/>
              </w:rPr>
              <w:t>-</w:t>
            </w:r>
            <w:proofErr w:type="spellStart"/>
            <w:r w:rsidRPr="00530261">
              <w:rPr>
                <w:bCs/>
                <w:sz w:val="20"/>
                <w:szCs w:val="24"/>
              </w:rPr>
              <w:t>Phe</w:t>
            </w:r>
            <w:proofErr w:type="spellEnd"/>
            <w:r w:rsidRPr="00530261">
              <w:rPr>
                <w:bCs/>
                <w:sz w:val="20"/>
                <w:szCs w:val="24"/>
              </w:rPr>
              <w:t>-OH)</w:t>
            </w:r>
          </w:p>
          <w:p w14:paraId="7F965E32" w14:textId="77777777" w:rsidR="004B614B" w:rsidRPr="00220848" w:rsidRDefault="004B614B" w:rsidP="00D80CA6">
            <w:pPr>
              <w:suppressAutoHyphens w:val="0"/>
              <w:spacing w:before="60" w:after="60" w:line="256" w:lineRule="auto"/>
              <w:ind w:left="270" w:hanging="270"/>
              <w:rPr>
                <w:bCs/>
                <w:sz w:val="20"/>
                <w:szCs w:val="24"/>
              </w:rPr>
            </w:pPr>
            <w:r w:rsidRPr="00530261">
              <w:rPr>
                <w:bCs/>
                <w:sz w:val="20"/>
                <w:szCs w:val="24"/>
              </w:rPr>
              <w:t>•</w:t>
            </w:r>
            <w:r w:rsidRPr="00530261">
              <w:rPr>
                <w:bCs/>
                <w:sz w:val="20"/>
                <w:szCs w:val="24"/>
              </w:rPr>
              <w:tab/>
              <w:t xml:space="preserve">Urine concentrations and PK parameters of SBT-020 and SBT-098 (tetrapeptide SBT-020-related component; </w:t>
            </w:r>
            <w:proofErr w:type="spellStart"/>
            <w:r w:rsidRPr="00530261">
              <w:rPr>
                <w:bCs/>
                <w:sz w:val="20"/>
                <w:szCs w:val="24"/>
              </w:rPr>
              <w:t>Phe</w:t>
            </w:r>
            <w:proofErr w:type="spellEnd"/>
            <w:r w:rsidRPr="00530261">
              <w:rPr>
                <w:bCs/>
                <w:sz w:val="20"/>
                <w:szCs w:val="24"/>
              </w:rPr>
              <w:t>-D-</w:t>
            </w:r>
            <w:proofErr w:type="spellStart"/>
            <w:r w:rsidRPr="00530261">
              <w:rPr>
                <w:bCs/>
                <w:sz w:val="20"/>
                <w:szCs w:val="24"/>
              </w:rPr>
              <w:t>Arg</w:t>
            </w:r>
            <w:proofErr w:type="spellEnd"/>
            <w:r w:rsidRPr="00530261">
              <w:rPr>
                <w:bCs/>
                <w:sz w:val="20"/>
                <w:szCs w:val="24"/>
              </w:rPr>
              <w:t>-</w:t>
            </w:r>
            <w:proofErr w:type="spellStart"/>
            <w:r w:rsidRPr="00530261">
              <w:rPr>
                <w:bCs/>
                <w:sz w:val="20"/>
                <w:szCs w:val="24"/>
              </w:rPr>
              <w:t>Phe</w:t>
            </w:r>
            <w:proofErr w:type="spellEnd"/>
            <w:r w:rsidRPr="00530261">
              <w:rPr>
                <w:bCs/>
                <w:sz w:val="20"/>
                <w:szCs w:val="24"/>
              </w:rPr>
              <w:t>-Lys-OH)</w:t>
            </w:r>
          </w:p>
          <w:p w14:paraId="46A8A4AA" w14:textId="77777777" w:rsidR="004B614B" w:rsidRPr="00220848" w:rsidRDefault="004B614B" w:rsidP="00D80CA6">
            <w:pPr>
              <w:suppressAutoHyphens w:val="0"/>
              <w:spacing w:before="60" w:after="60" w:line="256" w:lineRule="auto"/>
              <w:rPr>
                <w:b/>
                <w:sz w:val="20"/>
                <w:szCs w:val="24"/>
              </w:rPr>
            </w:pPr>
            <w:r>
              <w:rPr>
                <w:b/>
                <w:sz w:val="20"/>
                <w:szCs w:val="24"/>
              </w:rPr>
              <w:t>Pharmacodynamic</w:t>
            </w:r>
            <w:r w:rsidRPr="00220848">
              <w:rPr>
                <w:b/>
                <w:sz w:val="20"/>
                <w:szCs w:val="24"/>
              </w:rPr>
              <w:t xml:space="preserve"> Endpoints</w:t>
            </w:r>
          </w:p>
          <w:p w14:paraId="4EC1FB61" w14:textId="77777777" w:rsidR="004B614B" w:rsidRPr="00220848" w:rsidRDefault="004B614B" w:rsidP="00D80CA6">
            <w:pPr>
              <w:suppressAutoHyphens w:val="0"/>
              <w:spacing w:before="60" w:after="60" w:line="256" w:lineRule="auto"/>
              <w:rPr>
                <w:sz w:val="20"/>
                <w:szCs w:val="24"/>
              </w:rPr>
            </w:pPr>
            <w:r w:rsidRPr="00220848">
              <w:rPr>
                <w:sz w:val="20"/>
                <w:szCs w:val="24"/>
              </w:rPr>
              <w:t>Changes from baseline in:</w:t>
            </w:r>
          </w:p>
          <w:p w14:paraId="02D5881E" w14:textId="77777777" w:rsidR="004B614B" w:rsidRPr="00530261" w:rsidRDefault="004B614B" w:rsidP="004B614B">
            <w:pPr>
              <w:numPr>
                <w:ilvl w:val="0"/>
                <w:numId w:val="3"/>
              </w:numPr>
              <w:suppressAutoHyphens w:val="0"/>
              <w:spacing w:before="60" w:after="60" w:line="256" w:lineRule="auto"/>
              <w:rPr>
                <w:sz w:val="20"/>
                <w:szCs w:val="24"/>
              </w:rPr>
            </w:pPr>
            <w:r w:rsidRPr="00530261">
              <w:rPr>
                <w:sz w:val="20"/>
                <w:szCs w:val="24"/>
              </w:rPr>
              <w:t>Phosphocreatine recovery time (seconds), measured by 31P-MRS in calf muscles</w:t>
            </w:r>
          </w:p>
          <w:p w14:paraId="54D38C23" w14:textId="77777777" w:rsidR="004B614B" w:rsidRPr="00530261" w:rsidRDefault="004B614B" w:rsidP="004B614B">
            <w:pPr>
              <w:numPr>
                <w:ilvl w:val="0"/>
                <w:numId w:val="3"/>
              </w:numPr>
              <w:suppressAutoHyphens w:val="0"/>
              <w:spacing w:before="60" w:after="60" w:line="256" w:lineRule="auto"/>
              <w:rPr>
                <w:sz w:val="20"/>
                <w:szCs w:val="24"/>
              </w:rPr>
            </w:pPr>
            <w:r w:rsidRPr="00530261">
              <w:rPr>
                <w:sz w:val="20"/>
                <w:szCs w:val="24"/>
              </w:rPr>
              <w:t>Difference between Pi/</w:t>
            </w:r>
            <w:proofErr w:type="spellStart"/>
            <w:r w:rsidRPr="00530261">
              <w:rPr>
                <w:sz w:val="20"/>
                <w:szCs w:val="24"/>
              </w:rPr>
              <w:t>PCr</w:t>
            </w:r>
            <w:proofErr w:type="spellEnd"/>
            <w:r w:rsidRPr="00530261">
              <w:rPr>
                <w:sz w:val="20"/>
                <w:szCs w:val="24"/>
              </w:rPr>
              <w:t xml:space="preserve"> ratio before and after visual stimulation, measured by 31P-MRS in the brain (Part 2 only)</w:t>
            </w:r>
          </w:p>
          <w:p w14:paraId="52B3FF1F" w14:textId="77777777" w:rsidR="004B614B" w:rsidRDefault="004B614B" w:rsidP="004B614B">
            <w:pPr>
              <w:numPr>
                <w:ilvl w:val="0"/>
                <w:numId w:val="3"/>
              </w:numPr>
              <w:suppressAutoHyphens w:val="0"/>
              <w:spacing w:before="60" w:after="60" w:line="256" w:lineRule="auto"/>
              <w:rPr>
                <w:sz w:val="20"/>
                <w:szCs w:val="24"/>
              </w:rPr>
            </w:pPr>
            <w:r w:rsidRPr="00530261">
              <w:rPr>
                <w:sz w:val="20"/>
                <w:szCs w:val="24"/>
              </w:rPr>
              <w:t xml:space="preserve">Intensity of red-green fluorescence, measured by flow-cytometry in PBMCs </w:t>
            </w:r>
          </w:p>
          <w:p w14:paraId="5E4F2206" w14:textId="77777777" w:rsidR="004B614B" w:rsidRPr="00530261" w:rsidRDefault="004B614B" w:rsidP="004B614B">
            <w:pPr>
              <w:numPr>
                <w:ilvl w:val="0"/>
                <w:numId w:val="3"/>
              </w:numPr>
              <w:suppressAutoHyphens w:val="0"/>
              <w:spacing w:before="60" w:after="60" w:line="256" w:lineRule="auto"/>
              <w:rPr>
                <w:sz w:val="20"/>
                <w:szCs w:val="24"/>
              </w:rPr>
            </w:pPr>
            <w:r>
              <w:rPr>
                <w:sz w:val="20"/>
                <w:szCs w:val="24"/>
              </w:rPr>
              <w:t>Mitochondrial membrane potential (</w:t>
            </w:r>
            <w:proofErr w:type="spellStart"/>
            <w:r w:rsidRPr="00530261">
              <w:rPr>
                <w:sz w:val="20"/>
                <w:szCs w:val="24"/>
              </w:rPr>
              <w:t>ΔΨm</w:t>
            </w:r>
            <w:proofErr w:type="spellEnd"/>
            <w:r>
              <w:rPr>
                <w:sz w:val="20"/>
                <w:szCs w:val="24"/>
              </w:rPr>
              <w:t>)</w:t>
            </w:r>
          </w:p>
          <w:p w14:paraId="1CD93140" w14:textId="77777777" w:rsidR="004B614B" w:rsidRPr="00530261" w:rsidRDefault="004B614B" w:rsidP="004B614B">
            <w:pPr>
              <w:numPr>
                <w:ilvl w:val="0"/>
                <w:numId w:val="3"/>
              </w:numPr>
              <w:suppressAutoHyphens w:val="0"/>
              <w:spacing w:before="60" w:after="60" w:line="256" w:lineRule="auto"/>
              <w:rPr>
                <w:sz w:val="20"/>
                <w:szCs w:val="24"/>
              </w:rPr>
            </w:pPr>
            <w:r w:rsidRPr="00530261">
              <w:rPr>
                <w:sz w:val="20"/>
                <w:szCs w:val="24"/>
              </w:rPr>
              <w:lastRenderedPageBreak/>
              <w:t>Neuropsychological function (Part 2 only)</w:t>
            </w:r>
          </w:p>
          <w:p w14:paraId="53431B65" w14:textId="77777777" w:rsidR="004B614B" w:rsidRDefault="004B614B" w:rsidP="004B614B">
            <w:pPr>
              <w:pStyle w:val="ListParagraph"/>
              <w:numPr>
                <w:ilvl w:val="1"/>
                <w:numId w:val="3"/>
              </w:numPr>
              <w:spacing w:before="60" w:after="60" w:line="256" w:lineRule="auto"/>
              <w:rPr>
                <w:sz w:val="20"/>
                <w:szCs w:val="24"/>
              </w:rPr>
            </w:pPr>
            <w:r w:rsidRPr="001C400C">
              <w:rPr>
                <w:sz w:val="20"/>
                <w:szCs w:val="24"/>
              </w:rPr>
              <w:t>Symbol Digit Modality Test (SDMT)</w:t>
            </w:r>
            <w:r>
              <w:rPr>
                <w:sz w:val="20"/>
                <w:szCs w:val="24"/>
              </w:rPr>
              <w:t xml:space="preserve">: </w:t>
            </w:r>
            <w:r w:rsidRPr="001C400C">
              <w:rPr>
                <w:sz w:val="20"/>
                <w:szCs w:val="24"/>
              </w:rPr>
              <w:t xml:space="preserve"> Total number of correct responses in 90 seconds, Stroop color word interference test, Total number of correct responses in 45 seconds per trial</w:t>
            </w:r>
          </w:p>
          <w:p w14:paraId="507EE5E8" w14:textId="77777777" w:rsidR="004B614B" w:rsidRPr="001C400C" w:rsidRDefault="004B614B" w:rsidP="004B614B">
            <w:pPr>
              <w:pStyle w:val="ListParagraph"/>
              <w:numPr>
                <w:ilvl w:val="1"/>
                <w:numId w:val="3"/>
              </w:numPr>
              <w:spacing w:before="60" w:after="60" w:line="256" w:lineRule="auto"/>
              <w:rPr>
                <w:sz w:val="20"/>
                <w:szCs w:val="24"/>
              </w:rPr>
            </w:pPr>
            <w:r w:rsidRPr="001C400C">
              <w:rPr>
                <w:sz w:val="20"/>
                <w:szCs w:val="24"/>
              </w:rPr>
              <w:t>Trail Making Test (TMT):  Completion time in seconds per trial, Number of errors for each trial</w:t>
            </w:r>
            <w:r>
              <w:rPr>
                <w:sz w:val="20"/>
                <w:szCs w:val="24"/>
              </w:rPr>
              <w:t xml:space="preserve">, </w:t>
            </w:r>
          </w:p>
          <w:p w14:paraId="2F46C48F" w14:textId="77777777" w:rsidR="004B614B" w:rsidRPr="001C400C" w:rsidRDefault="004B614B" w:rsidP="004B614B">
            <w:pPr>
              <w:numPr>
                <w:ilvl w:val="1"/>
                <w:numId w:val="3"/>
              </w:numPr>
              <w:suppressAutoHyphens w:val="0"/>
              <w:spacing w:before="60" w:after="60" w:line="256" w:lineRule="auto"/>
              <w:rPr>
                <w:sz w:val="20"/>
                <w:szCs w:val="24"/>
              </w:rPr>
            </w:pPr>
            <w:r w:rsidRPr="001C400C">
              <w:rPr>
                <w:sz w:val="20"/>
                <w:szCs w:val="24"/>
              </w:rPr>
              <w:t>Visual Verbal Learning Test (VVLT) memory testing:  Immediate recall 1 (number correct), Immediate recall 2 (number correct), Immediate recall 3 (number correct), Delayed recall (number correct), Delayed recognition (number correct), and Delayed recognition (average reaction time correct) (msec).</w:t>
            </w:r>
          </w:p>
          <w:p w14:paraId="48EF5C2B" w14:textId="77777777" w:rsidR="004B614B" w:rsidRPr="001C400C" w:rsidRDefault="004B614B" w:rsidP="004B614B">
            <w:pPr>
              <w:numPr>
                <w:ilvl w:val="1"/>
                <w:numId w:val="3"/>
              </w:numPr>
              <w:suppressAutoHyphens w:val="0"/>
              <w:spacing w:before="60" w:after="60" w:line="256" w:lineRule="auto"/>
              <w:rPr>
                <w:sz w:val="20"/>
                <w:szCs w:val="24"/>
              </w:rPr>
            </w:pPr>
            <w:r w:rsidRPr="001C400C">
              <w:rPr>
                <w:sz w:val="20"/>
                <w:szCs w:val="24"/>
              </w:rPr>
              <w:t>Sustained Attention to Response Task (SART) test:  Total number of (commission and omission) errors, Mean reaction time of all correct response trials</w:t>
            </w:r>
          </w:p>
          <w:p w14:paraId="21AFBCA2" w14:textId="77777777" w:rsidR="004B614B" w:rsidRPr="001C400C" w:rsidRDefault="004B614B" w:rsidP="004B614B">
            <w:pPr>
              <w:numPr>
                <w:ilvl w:val="1"/>
                <w:numId w:val="3"/>
              </w:numPr>
              <w:suppressAutoHyphens w:val="0"/>
              <w:spacing w:before="60" w:after="60" w:line="256" w:lineRule="auto"/>
              <w:rPr>
                <w:sz w:val="20"/>
                <w:szCs w:val="24"/>
              </w:rPr>
            </w:pPr>
            <w:r w:rsidRPr="001C400C">
              <w:rPr>
                <w:sz w:val="20"/>
                <w:szCs w:val="24"/>
              </w:rPr>
              <w:t xml:space="preserve">Adaptive tracking:  </w:t>
            </w:r>
            <w:r>
              <w:rPr>
                <w:sz w:val="20"/>
                <w:szCs w:val="24"/>
              </w:rPr>
              <w:t>A</w:t>
            </w:r>
            <w:r w:rsidRPr="001C400C">
              <w:rPr>
                <w:sz w:val="20"/>
                <w:szCs w:val="24"/>
              </w:rPr>
              <w:t>verage performance (%);</w:t>
            </w:r>
          </w:p>
          <w:p w14:paraId="6DE4529D" w14:textId="77777777" w:rsidR="004B614B" w:rsidRPr="00530261" w:rsidRDefault="004B614B" w:rsidP="004B614B">
            <w:pPr>
              <w:numPr>
                <w:ilvl w:val="0"/>
                <w:numId w:val="3"/>
              </w:numPr>
              <w:suppressAutoHyphens w:val="0"/>
              <w:spacing w:before="60" w:after="60" w:line="256" w:lineRule="auto"/>
              <w:rPr>
                <w:sz w:val="20"/>
                <w:szCs w:val="24"/>
              </w:rPr>
            </w:pPr>
            <w:r w:rsidRPr="00530261">
              <w:rPr>
                <w:sz w:val="20"/>
                <w:szCs w:val="24"/>
              </w:rPr>
              <w:t>Motor function (Part 2 only)</w:t>
            </w:r>
          </w:p>
          <w:p w14:paraId="6B4240FA" w14:textId="77777777" w:rsidR="004B614B" w:rsidRPr="00530261" w:rsidRDefault="004B614B" w:rsidP="004B614B">
            <w:pPr>
              <w:numPr>
                <w:ilvl w:val="1"/>
                <w:numId w:val="3"/>
              </w:numPr>
              <w:suppressAutoHyphens w:val="0"/>
              <w:spacing w:before="60" w:after="60" w:line="256" w:lineRule="auto"/>
              <w:rPr>
                <w:sz w:val="20"/>
                <w:szCs w:val="24"/>
              </w:rPr>
            </w:pPr>
            <w:r w:rsidRPr="00530261">
              <w:rPr>
                <w:sz w:val="20"/>
                <w:szCs w:val="24"/>
              </w:rPr>
              <w:t xml:space="preserve">Unified Huntington Disease Rating Scale (UHDRS) </w:t>
            </w:r>
          </w:p>
          <w:p w14:paraId="67C39F0B" w14:textId="77777777" w:rsidR="004B614B" w:rsidRPr="001C400C" w:rsidRDefault="004B614B" w:rsidP="004B614B">
            <w:pPr>
              <w:numPr>
                <w:ilvl w:val="1"/>
                <w:numId w:val="3"/>
              </w:numPr>
              <w:suppressAutoHyphens w:val="0"/>
              <w:spacing w:before="60" w:after="60" w:line="256" w:lineRule="auto"/>
              <w:rPr>
                <w:sz w:val="20"/>
                <w:szCs w:val="24"/>
              </w:rPr>
            </w:pPr>
            <w:r w:rsidRPr="001C400C">
              <w:rPr>
                <w:sz w:val="20"/>
                <w:szCs w:val="24"/>
              </w:rPr>
              <w:t>Total motor score (TMS)</w:t>
            </w:r>
            <w:r>
              <w:rPr>
                <w:sz w:val="20"/>
                <w:szCs w:val="24"/>
              </w:rPr>
              <w:t>:</w:t>
            </w:r>
            <w:r w:rsidRPr="001C400C">
              <w:rPr>
                <w:sz w:val="20"/>
                <w:szCs w:val="24"/>
              </w:rPr>
              <w:t xml:space="preserve"> </w:t>
            </w:r>
            <w:r>
              <w:rPr>
                <w:sz w:val="20"/>
                <w:szCs w:val="24"/>
              </w:rPr>
              <w:t xml:space="preserve"> </w:t>
            </w:r>
            <w:r w:rsidRPr="001C400C">
              <w:rPr>
                <w:sz w:val="20"/>
                <w:szCs w:val="24"/>
              </w:rPr>
              <w:t>Total functional capacity score (TFC)</w:t>
            </w:r>
          </w:p>
          <w:p w14:paraId="56B95C4F" w14:textId="77777777" w:rsidR="004B614B" w:rsidRPr="001C400C" w:rsidRDefault="004B614B" w:rsidP="004B614B">
            <w:pPr>
              <w:numPr>
                <w:ilvl w:val="1"/>
                <w:numId w:val="3"/>
              </w:numPr>
              <w:suppressAutoHyphens w:val="0"/>
              <w:spacing w:before="60" w:after="60" w:line="256" w:lineRule="auto"/>
              <w:rPr>
                <w:sz w:val="20"/>
                <w:szCs w:val="24"/>
              </w:rPr>
            </w:pPr>
            <w:r w:rsidRPr="001C400C">
              <w:rPr>
                <w:sz w:val="20"/>
                <w:szCs w:val="24"/>
              </w:rPr>
              <w:t>Finger tapping test:  Mean tapping rate (taps per second) and standard deviation</w:t>
            </w:r>
            <w:r>
              <w:rPr>
                <w:sz w:val="20"/>
                <w:szCs w:val="24"/>
              </w:rPr>
              <w:t xml:space="preserve">, </w:t>
            </w:r>
          </w:p>
          <w:p w14:paraId="20173172" w14:textId="77777777" w:rsidR="004B614B" w:rsidRPr="001C400C" w:rsidRDefault="004B614B" w:rsidP="004B614B">
            <w:pPr>
              <w:numPr>
                <w:ilvl w:val="1"/>
                <w:numId w:val="3"/>
              </w:numPr>
              <w:suppressAutoHyphens w:val="0"/>
              <w:spacing w:before="60" w:after="60" w:line="256" w:lineRule="auto"/>
              <w:rPr>
                <w:sz w:val="20"/>
                <w:szCs w:val="24"/>
              </w:rPr>
            </w:pPr>
            <w:r w:rsidRPr="001C400C">
              <w:rPr>
                <w:sz w:val="20"/>
                <w:szCs w:val="24"/>
              </w:rPr>
              <w:t>Saccadic eye movements:  Saccadic reaction time (second), Saccadic peak velocity (degrees/second), and</w:t>
            </w:r>
            <w:r>
              <w:rPr>
                <w:sz w:val="20"/>
                <w:szCs w:val="24"/>
              </w:rPr>
              <w:t xml:space="preserve"> </w:t>
            </w:r>
            <w:r w:rsidRPr="001C400C">
              <w:rPr>
                <w:sz w:val="20"/>
                <w:szCs w:val="24"/>
              </w:rPr>
              <w:t xml:space="preserve">Saccadic inaccuracy (%); </w:t>
            </w:r>
          </w:p>
          <w:p w14:paraId="34D0A7B9" w14:textId="77777777" w:rsidR="004B614B" w:rsidRPr="001C400C" w:rsidRDefault="004B614B" w:rsidP="004B614B">
            <w:pPr>
              <w:numPr>
                <w:ilvl w:val="1"/>
                <w:numId w:val="3"/>
              </w:numPr>
              <w:suppressAutoHyphens w:val="0"/>
              <w:spacing w:before="60" w:after="60" w:line="256" w:lineRule="auto"/>
              <w:rPr>
                <w:sz w:val="20"/>
                <w:szCs w:val="24"/>
              </w:rPr>
            </w:pPr>
            <w:r w:rsidRPr="001C400C">
              <w:rPr>
                <w:sz w:val="20"/>
                <w:szCs w:val="24"/>
              </w:rPr>
              <w:t>Smooth pursuit eye movements: Percentage of time the eyes of the subjects are in smooth pursuit of the target (%)</w:t>
            </w:r>
          </w:p>
          <w:p w14:paraId="43BF3EB8" w14:textId="77777777" w:rsidR="004B614B" w:rsidRPr="00220848" w:rsidRDefault="004B614B" w:rsidP="004B614B">
            <w:pPr>
              <w:numPr>
                <w:ilvl w:val="1"/>
                <w:numId w:val="3"/>
              </w:numPr>
              <w:suppressAutoHyphens w:val="0"/>
              <w:spacing w:before="60" w:after="60" w:line="256" w:lineRule="auto"/>
              <w:rPr>
                <w:sz w:val="20"/>
                <w:szCs w:val="24"/>
              </w:rPr>
            </w:pPr>
            <w:r w:rsidRPr="001C400C">
              <w:rPr>
                <w:sz w:val="20"/>
                <w:szCs w:val="24"/>
              </w:rPr>
              <w:t>Body sway: Antero-posterior sway (mm)</w:t>
            </w:r>
          </w:p>
        </w:tc>
      </w:tr>
      <w:tr w:rsidR="004B614B" w:rsidRPr="00220848" w14:paraId="41DF914A" w14:textId="77777777" w:rsidTr="00D80CA6">
        <w:tc>
          <w:tcPr>
            <w:tcW w:w="9303" w:type="dxa"/>
            <w:gridSpan w:val="2"/>
            <w:tcBorders>
              <w:top w:val="single" w:sz="4" w:space="0" w:color="auto"/>
              <w:left w:val="single" w:sz="4" w:space="0" w:color="auto"/>
              <w:bottom w:val="single" w:sz="4" w:space="0" w:color="auto"/>
              <w:right w:val="single" w:sz="4" w:space="0" w:color="auto"/>
            </w:tcBorders>
            <w:hideMark/>
          </w:tcPr>
          <w:p w14:paraId="1F38D950" w14:textId="77777777" w:rsidR="004B614B" w:rsidRPr="00220848" w:rsidRDefault="004B614B" w:rsidP="00D80CA6">
            <w:pPr>
              <w:suppressAutoHyphens w:val="0"/>
              <w:spacing w:before="60" w:after="60" w:line="256" w:lineRule="auto"/>
              <w:rPr>
                <w:b/>
                <w:sz w:val="20"/>
                <w:szCs w:val="24"/>
              </w:rPr>
            </w:pPr>
            <w:r w:rsidRPr="00220848">
              <w:rPr>
                <w:b/>
                <w:sz w:val="20"/>
                <w:szCs w:val="24"/>
              </w:rPr>
              <w:lastRenderedPageBreak/>
              <w:t>Statistical Methods:</w:t>
            </w:r>
          </w:p>
          <w:p w14:paraId="62F5A3A8" w14:textId="77777777" w:rsidR="004B614B" w:rsidRPr="00D0018B" w:rsidRDefault="004B614B" w:rsidP="00D80CA6">
            <w:pPr>
              <w:suppressAutoHyphens w:val="0"/>
              <w:spacing w:before="60" w:after="60" w:line="256" w:lineRule="auto"/>
              <w:rPr>
                <w:sz w:val="20"/>
                <w:szCs w:val="24"/>
              </w:rPr>
            </w:pPr>
            <w:r w:rsidRPr="00D0018B">
              <w:rPr>
                <w:sz w:val="20"/>
                <w:szCs w:val="24"/>
              </w:rPr>
              <w:t>The following analysis populations were defined:</w:t>
            </w:r>
          </w:p>
          <w:p w14:paraId="04945CD2" w14:textId="77777777" w:rsidR="004B614B" w:rsidRPr="00D0018B" w:rsidRDefault="004B614B" w:rsidP="00D80CA6">
            <w:pPr>
              <w:suppressAutoHyphens w:val="0"/>
              <w:spacing w:before="60" w:after="60" w:line="256" w:lineRule="auto"/>
              <w:ind w:left="720" w:hanging="360"/>
              <w:rPr>
                <w:sz w:val="20"/>
                <w:szCs w:val="24"/>
              </w:rPr>
            </w:pPr>
            <w:r w:rsidRPr="00D0018B">
              <w:rPr>
                <w:sz w:val="20"/>
                <w:szCs w:val="24"/>
              </w:rPr>
              <w:t>•</w:t>
            </w:r>
            <w:r w:rsidRPr="00D0018B">
              <w:rPr>
                <w:sz w:val="20"/>
                <w:szCs w:val="24"/>
              </w:rPr>
              <w:tab/>
              <w:t>Safety population: all study subjects who received at least one dose of study medication (subjects were analyzed according to the treatment they received).</w:t>
            </w:r>
          </w:p>
          <w:p w14:paraId="4AB99046" w14:textId="77777777" w:rsidR="004B614B" w:rsidRPr="00D0018B" w:rsidRDefault="004B614B" w:rsidP="00D80CA6">
            <w:pPr>
              <w:suppressAutoHyphens w:val="0"/>
              <w:spacing w:before="60" w:after="60" w:line="256" w:lineRule="auto"/>
              <w:ind w:left="720" w:hanging="360"/>
              <w:rPr>
                <w:sz w:val="20"/>
                <w:szCs w:val="24"/>
              </w:rPr>
            </w:pPr>
            <w:r w:rsidRPr="00D0018B">
              <w:rPr>
                <w:sz w:val="20"/>
                <w:szCs w:val="24"/>
              </w:rPr>
              <w:t>•</w:t>
            </w:r>
            <w:r w:rsidRPr="00D0018B">
              <w:rPr>
                <w:sz w:val="20"/>
                <w:szCs w:val="24"/>
              </w:rPr>
              <w:tab/>
              <w:t>Pharmacokinetic population: all study subjects who received at least one dose of study medication and had at least one measurable drug concentration in samples analyzed.</w:t>
            </w:r>
          </w:p>
          <w:p w14:paraId="4BE098CF" w14:textId="77777777" w:rsidR="004B614B" w:rsidRDefault="004B614B" w:rsidP="00D80CA6">
            <w:pPr>
              <w:suppressAutoHyphens w:val="0"/>
              <w:spacing w:before="60" w:after="60" w:line="256" w:lineRule="auto"/>
              <w:ind w:left="720" w:hanging="360"/>
              <w:rPr>
                <w:sz w:val="20"/>
                <w:szCs w:val="24"/>
              </w:rPr>
            </w:pPr>
            <w:r w:rsidRPr="00D0018B">
              <w:rPr>
                <w:sz w:val="20"/>
                <w:szCs w:val="24"/>
              </w:rPr>
              <w:t>•</w:t>
            </w:r>
            <w:r w:rsidRPr="00D0018B">
              <w:rPr>
                <w:sz w:val="20"/>
                <w:szCs w:val="24"/>
              </w:rPr>
              <w:tab/>
              <w:t>Pharmacodynamic population: all study subjects who received at least one dose of study medication and had at least one post-baseline assessment of the parameter reported.</w:t>
            </w:r>
          </w:p>
          <w:p w14:paraId="02530CB4" w14:textId="77777777" w:rsidR="004B614B" w:rsidRDefault="004B614B" w:rsidP="00D80CA6">
            <w:pPr>
              <w:suppressAutoHyphens w:val="0"/>
              <w:spacing w:before="60" w:after="60" w:line="256" w:lineRule="auto"/>
              <w:rPr>
                <w:sz w:val="20"/>
                <w:szCs w:val="24"/>
              </w:rPr>
            </w:pPr>
            <w:r>
              <w:rPr>
                <w:sz w:val="20"/>
                <w:szCs w:val="24"/>
              </w:rPr>
              <w:t>All subjects treated in Part 1 (24 subjects) and Part 2 (23 subjects) were included in all analysis populations.</w:t>
            </w:r>
          </w:p>
          <w:p w14:paraId="471AFE27" w14:textId="77777777" w:rsidR="004B614B" w:rsidRPr="00220848" w:rsidRDefault="004B614B" w:rsidP="00D80CA6">
            <w:pPr>
              <w:suppressAutoHyphens w:val="0"/>
              <w:spacing w:before="60" w:after="60" w:line="256" w:lineRule="auto"/>
              <w:rPr>
                <w:sz w:val="20"/>
                <w:szCs w:val="24"/>
              </w:rPr>
            </w:pPr>
            <w:r>
              <w:rPr>
                <w:sz w:val="20"/>
                <w:szCs w:val="24"/>
              </w:rPr>
              <w:t>Generally, d</w:t>
            </w:r>
            <w:r w:rsidRPr="00D0018B">
              <w:rPr>
                <w:sz w:val="20"/>
                <w:szCs w:val="24"/>
              </w:rPr>
              <w:t>ata were summarized using descriptive statistics (number of subjects, mean, median, standard deviation, minimum, and maximum) for continuous variables, and using frequencies and percentages for categorical variables. Data were presented by treatment group, as appropriate. Inferential testing, when performed, was 2-sided and tested at the alpha = 0.05 level of significance. All p-values, except for the primary analysis of the primary endpoint, were considered non-confirmatory.</w:t>
            </w:r>
          </w:p>
          <w:p w14:paraId="7194F0D0" w14:textId="77777777" w:rsidR="004B614B" w:rsidRPr="00220848" w:rsidRDefault="004B614B" w:rsidP="00D80CA6">
            <w:pPr>
              <w:suppressAutoHyphens w:val="0"/>
              <w:spacing w:before="60" w:after="60" w:line="256" w:lineRule="auto"/>
              <w:rPr>
                <w:sz w:val="20"/>
                <w:szCs w:val="24"/>
              </w:rPr>
            </w:pPr>
            <w:r w:rsidRPr="002D69CF">
              <w:rPr>
                <w:sz w:val="20"/>
                <w:szCs w:val="24"/>
              </w:rPr>
              <w:t>To establish whether significant treatment effects was detected on the repeatedly measured PD parameters, each parameter has been analyzed with a mixed model analysis of covariance (ANCOVA) with treatment, time, and treatment by time as fixed factors, subject as a random factor and the baseline measurement as a covariate. Single measured PD parameters were analyzed with a mixed model ANCOVA with treatment as a fixed factor and the baseline measurement as a covariate.</w:t>
            </w:r>
            <w:r>
              <w:rPr>
                <w:sz w:val="20"/>
                <w:szCs w:val="24"/>
              </w:rPr>
              <w:t xml:space="preserve"> </w:t>
            </w:r>
            <w:r w:rsidRPr="002D69CF">
              <w:rPr>
                <w:sz w:val="20"/>
                <w:szCs w:val="24"/>
              </w:rPr>
              <w:t>The Kenward-Roger approximation was used to estimate denominator degrees of freedom and model parameters were estimated using the restricted maximum likelihood method</w:t>
            </w:r>
            <w:r>
              <w:rPr>
                <w:sz w:val="20"/>
                <w:szCs w:val="24"/>
              </w:rPr>
              <w:t xml:space="preserve">. </w:t>
            </w:r>
            <w:r w:rsidRPr="002D69CF">
              <w:rPr>
                <w:sz w:val="20"/>
                <w:szCs w:val="24"/>
              </w:rPr>
              <w:t>The general treatment effect and specific contrasts was reported with the estimated difference and the 95% confidence interval, the least square mean estimates and the p-value. Graphs of the Least Squares Means (LSM) estimates over time by treatment were presented with 95% confidence intervals as error bars, as well as change from baseline LSM estimates</w:t>
            </w:r>
            <w:r>
              <w:rPr>
                <w:sz w:val="20"/>
                <w:szCs w:val="24"/>
              </w:rPr>
              <w:t>.</w:t>
            </w:r>
          </w:p>
          <w:p w14:paraId="79E759D0" w14:textId="77777777" w:rsidR="004B614B" w:rsidRPr="002D69CF" w:rsidRDefault="004B614B" w:rsidP="00D80CA6">
            <w:pPr>
              <w:suppressAutoHyphens w:val="0"/>
              <w:spacing w:before="60" w:after="60" w:line="256" w:lineRule="auto"/>
              <w:rPr>
                <w:sz w:val="20"/>
                <w:szCs w:val="24"/>
                <w:lang w:val="de-DE"/>
              </w:rPr>
            </w:pPr>
            <w:r w:rsidRPr="002D69CF">
              <w:rPr>
                <w:sz w:val="20"/>
                <w:szCs w:val="24"/>
                <w:lang w:val="de-DE"/>
              </w:rPr>
              <w:t xml:space="preserve">Plasma </w:t>
            </w:r>
            <w:proofErr w:type="spellStart"/>
            <w:r w:rsidRPr="002D69CF">
              <w:rPr>
                <w:sz w:val="20"/>
                <w:szCs w:val="24"/>
                <w:lang w:val="de-DE"/>
              </w:rPr>
              <w:t>pharmacokinetic</w:t>
            </w:r>
            <w:proofErr w:type="spellEnd"/>
            <w:r w:rsidRPr="002D69CF">
              <w:rPr>
                <w:sz w:val="20"/>
                <w:szCs w:val="24"/>
                <w:lang w:val="de-DE"/>
              </w:rPr>
              <w:t xml:space="preserve"> </w:t>
            </w:r>
            <w:proofErr w:type="spellStart"/>
            <w:r w:rsidRPr="002D69CF">
              <w:rPr>
                <w:sz w:val="20"/>
                <w:szCs w:val="24"/>
                <w:lang w:val="de-DE"/>
              </w:rPr>
              <w:t>parameters</w:t>
            </w:r>
            <w:proofErr w:type="spellEnd"/>
            <w:r w:rsidRPr="002D69CF">
              <w:rPr>
                <w:sz w:val="20"/>
                <w:szCs w:val="24"/>
                <w:lang w:val="de-DE"/>
              </w:rPr>
              <w:t xml:space="preserve"> </w:t>
            </w:r>
            <w:proofErr w:type="spellStart"/>
            <w:r w:rsidRPr="002D69CF">
              <w:rPr>
                <w:sz w:val="20"/>
                <w:szCs w:val="24"/>
                <w:lang w:val="de-DE"/>
              </w:rPr>
              <w:t>were</w:t>
            </w:r>
            <w:proofErr w:type="spellEnd"/>
            <w:r w:rsidRPr="002D69CF">
              <w:rPr>
                <w:sz w:val="20"/>
                <w:szCs w:val="24"/>
                <w:lang w:val="de-DE"/>
              </w:rPr>
              <w:t xml:space="preserve"> </w:t>
            </w:r>
            <w:proofErr w:type="spellStart"/>
            <w:r w:rsidRPr="002D69CF">
              <w:rPr>
                <w:sz w:val="20"/>
                <w:szCs w:val="24"/>
                <w:lang w:val="de-DE"/>
              </w:rPr>
              <w:t>derived</w:t>
            </w:r>
            <w:proofErr w:type="spellEnd"/>
            <w:r w:rsidRPr="002D69CF">
              <w:rPr>
                <w:sz w:val="20"/>
                <w:szCs w:val="24"/>
                <w:lang w:val="de-DE"/>
              </w:rPr>
              <w:t xml:space="preserve"> </w:t>
            </w:r>
            <w:proofErr w:type="spellStart"/>
            <w:r w:rsidRPr="002D69CF">
              <w:rPr>
                <w:sz w:val="20"/>
                <w:szCs w:val="24"/>
                <w:lang w:val="de-DE"/>
              </w:rPr>
              <w:t>by</w:t>
            </w:r>
            <w:proofErr w:type="spellEnd"/>
            <w:r w:rsidRPr="002D69CF">
              <w:rPr>
                <w:sz w:val="20"/>
                <w:szCs w:val="24"/>
                <w:lang w:val="de-DE"/>
              </w:rPr>
              <w:t xml:space="preserve"> non-</w:t>
            </w:r>
            <w:proofErr w:type="spellStart"/>
            <w:r w:rsidRPr="002D69CF">
              <w:rPr>
                <w:sz w:val="20"/>
                <w:szCs w:val="24"/>
                <w:lang w:val="de-DE"/>
              </w:rPr>
              <w:t>compartmental</w:t>
            </w:r>
            <w:proofErr w:type="spellEnd"/>
            <w:r w:rsidRPr="002D69CF">
              <w:rPr>
                <w:sz w:val="20"/>
                <w:szCs w:val="24"/>
                <w:lang w:val="de-DE"/>
              </w:rPr>
              <w:t xml:space="preserve"> </w:t>
            </w:r>
            <w:proofErr w:type="spellStart"/>
            <w:r w:rsidRPr="002D69CF">
              <w:rPr>
                <w:sz w:val="20"/>
                <w:szCs w:val="24"/>
                <w:lang w:val="de-DE"/>
              </w:rPr>
              <w:t>analysis</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plasma</w:t>
            </w:r>
            <w:proofErr w:type="spellEnd"/>
            <w:r w:rsidRPr="002D69CF">
              <w:rPr>
                <w:sz w:val="20"/>
                <w:szCs w:val="24"/>
                <w:lang w:val="de-DE"/>
              </w:rPr>
              <w:t xml:space="preserve"> </w:t>
            </w:r>
            <w:proofErr w:type="spellStart"/>
            <w:r w:rsidRPr="002D69CF">
              <w:rPr>
                <w:sz w:val="20"/>
                <w:szCs w:val="24"/>
                <w:lang w:val="de-DE"/>
              </w:rPr>
              <w:t>concentration</w:t>
            </w:r>
            <w:proofErr w:type="spellEnd"/>
            <w:r w:rsidRPr="002D69CF">
              <w:rPr>
                <w:sz w:val="20"/>
                <w:szCs w:val="24"/>
                <w:lang w:val="de-DE"/>
              </w:rPr>
              <w:t xml:space="preserve"> </w:t>
            </w:r>
            <w:proofErr w:type="spellStart"/>
            <w:r w:rsidRPr="002D69CF">
              <w:rPr>
                <w:sz w:val="20"/>
                <w:szCs w:val="24"/>
                <w:lang w:val="de-DE"/>
              </w:rPr>
              <w:t>data</w:t>
            </w:r>
            <w:proofErr w:type="spellEnd"/>
            <w:r w:rsidRPr="002D69CF">
              <w:rPr>
                <w:sz w:val="20"/>
                <w:szCs w:val="24"/>
                <w:lang w:val="de-DE"/>
              </w:rPr>
              <w:t xml:space="preserve"> </w:t>
            </w:r>
            <w:proofErr w:type="spellStart"/>
            <w:r w:rsidRPr="002D69CF">
              <w:rPr>
                <w:sz w:val="20"/>
                <w:szCs w:val="24"/>
                <w:lang w:val="de-DE"/>
              </w:rPr>
              <w:t>wherever</w:t>
            </w:r>
            <w:proofErr w:type="spellEnd"/>
            <w:r w:rsidRPr="002D69CF">
              <w:rPr>
                <w:sz w:val="20"/>
                <w:szCs w:val="24"/>
                <w:lang w:val="de-DE"/>
              </w:rPr>
              <w:t xml:space="preserve"> </w:t>
            </w:r>
            <w:proofErr w:type="spellStart"/>
            <w:r w:rsidRPr="002D69CF">
              <w:rPr>
                <w:sz w:val="20"/>
                <w:szCs w:val="24"/>
                <w:lang w:val="de-DE"/>
              </w:rPr>
              <w:t>appropriate</w:t>
            </w:r>
            <w:proofErr w:type="spellEnd"/>
            <w:r w:rsidRPr="002D69CF">
              <w:rPr>
                <w:sz w:val="20"/>
                <w:szCs w:val="24"/>
                <w:lang w:val="de-DE"/>
              </w:rPr>
              <w:t>:</w:t>
            </w:r>
          </w:p>
          <w:p w14:paraId="3B6D8350" w14:textId="77777777" w:rsidR="004B614B" w:rsidRPr="002D69CF" w:rsidRDefault="004B614B" w:rsidP="00D80CA6">
            <w:pPr>
              <w:suppressAutoHyphens w:val="0"/>
              <w:spacing w:before="60" w:after="60" w:line="256" w:lineRule="auto"/>
              <w:rPr>
                <w:sz w:val="20"/>
                <w:szCs w:val="24"/>
                <w:lang w:val="de-DE"/>
              </w:rPr>
            </w:pPr>
            <w:r w:rsidRPr="002D69CF">
              <w:rPr>
                <w:sz w:val="20"/>
                <w:szCs w:val="24"/>
                <w:lang w:val="de-DE"/>
              </w:rPr>
              <w:t>Part 1, Day 1:</w:t>
            </w:r>
          </w:p>
          <w:p w14:paraId="73536C8D"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lastRenderedPageBreak/>
              <w:t>•</w:t>
            </w:r>
            <w:r w:rsidRPr="002D69CF">
              <w:rPr>
                <w:sz w:val="20"/>
                <w:szCs w:val="24"/>
                <w:lang w:val="de-DE"/>
              </w:rPr>
              <w:tab/>
            </w:r>
            <w:proofErr w:type="spellStart"/>
            <w:r w:rsidRPr="002D69CF">
              <w:rPr>
                <w:sz w:val="20"/>
                <w:szCs w:val="24"/>
                <w:lang w:val="de-DE"/>
              </w:rPr>
              <w:t>Cmax</w:t>
            </w:r>
            <w:proofErr w:type="spellEnd"/>
            <w:r w:rsidRPr="002D69CF">
              <w:rPr>
                <w:sz w:val="20"/>
                <w:szCs w:val="24"/>
                <w:lang w:val="de-DE"/>
              </w:rPr>
              <w:t xml:space="preserve">: </w:t>
            </w:r>
            <w:proofErr w:type="spellStart"/>
            <w:r w:rsidRPr="002D69CF">
              <w:rPr>
                <w:sz w:val="20"/>
                <w:szCs w:val="24"/>
                <w:lang w:val="de-DE"/>
              </w:rPr>
              <w:t>maximum</w:t>
            </w:r>
            <w:proofErr w:type="spellEnd"/>
            <w:r w:rsidRPr="002D69CF">
              <w:rPr>
                <w:sz w:val="20"/>
                <w:szCs w:val="24"/>
                <w:lang w:val="de-DE"/>
              </w:rPr>
              <w:t xml:space="preserve"> </w:t>
            </w:r>
            <w:proofErr w:type="spellStart"/>
            <w:r w:rsidRPr="002D69CF">
              <w:rPr>
                <w:sz w:val="20"/>
                <w:szCs w:val="24"/>
                <w:lang w:val="de-DE"/>
              </w:rPr>
              <w:t>observed</w:t>
            </w:r>
            <w:proofErr w:type="spellEnd"/>
            <w:r w:rsidRPr="002D69CF">
              <w:rPr>
                <w:sz w:val="20"/>
                <w:szCs w:val="24"/>
                <w:lang w:val="de-DE"/>
              </w:rPr>
              <w:t xml:space="preserve"> </w:t>
            </w:r>
            <w:proofErr w:type="spellStart"/>
            <w:r w:rsidRPr="002D69CF">
              <w:rPr>
                <w:sz w:val="20"/>
                <w:szCs w:val="24"/>
                <w:lang w:val="de-DE"/>
              </w:rPr>
              <w:t>concentration</w:t>
            </w:r>
            <w:proofErr w:type="spellEnd"/>
          </w:p>
          <w:p w14:paraId="62784AEA"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r>
            <w:proofErr w:type="spellStart"/>
            <w:r w:rsidRPr="002D69CF">
              <w:rPr>
                <w:sz w:val="20"/>
                <w:szCs w:val="24"/>
                <w:lang w:val="de-DE"/>
              </w:rPr>
              <w:t>Tlag</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elapsed</w:t>
            </w:r>
            <w:proofErr w:type="spellEnd"/>
            <w:r w:rsidRPr="002D69CF">
              <w:rPr>
                <w:sz w:val="20"/>
                <w:szCs w:val="24"/>
                <w:lang w:val="de-DE"/>
              </w:rPr>
              <w:t xml:space="preserve"> time </w:t>
            </w:r>
            <w:proofErr w:type="spellStart"/>
            <w:r w:rsidRPr="002D69CF">
              <w:rPr>
                <w:sz w:val="20"/>
                <w:szCs w:val="24"/>
                <w:lang w:val="de-DE"/>
              </w:rPr>
              <w:t>from</w:t>
            </w:r>
            <w:proofErr w:type="spellEnd"/>
            <w:r w:rsidRPr="002D69CF">
              <w:rPr>
                <w:sz w:val="20"/>
                <w:szCs w:val="24"/>
                <w:lang w:val="de-DE"/>
              </w:rPr>
              <w:t xml:space="preserve"> </w:t>
            </w:r>
            <w:proofErr w:type="spellStart"/>
            <w:r w:rsidRPr="002D69CF">
              <w:rPr>
                <w:sz w:val="20"/>
                <w:szCs w:val="24"/>
                <w:lang w:val="de-DE"/>
              </w:rPr>
              <w:t>dosing</w:t>
            </w:r>
            <w:proofErr w:type="spellEnd"/>
            <w:r w:rsidRPr="002D69CF">
              <w:rPr>
                <w:sz w:val="20"/>
                <w:szCs w:val="24"/>
                <w:lang w:val="de-DE"/>
              </w:rPr>
              <w:t xml:space="preserve"> at </w:t>
            </w:r>
            <w:proofErr w:type="spellStart"/>
            <w:r w:rsidRPr="002D69CF">
              <w:rPr>
                <w:sz w:val="20"/>
                <w:szCs w:val="24"/>
                <w:lang w:val="de-DE"/>
              </w:rPr>
              <w:t>which</w:t>
            </w:r>
            <w:proofErr w:type="spellEnd"/>
            <w:r w:rsidRPr="002D69CF">
              <w:rPr>
                <w:sz w:val="20"/>
                <w:szCs w:val="24"/>
                <w:lang w:val="de-DE"/>
              </w:rPr>
              <w:t xml:space="preserve"> SBT-020 </w:t>
            </w:r>
            <w:proofErr w:type="spellStart"/>
            <w:r w:rsidRPr="002D69CF">
              <w:rPr>
                <w:sz w:val="20"/>
                <w:szCs w:val="24"/>
                <w:lang w:val="de-DE"/>
              </w:rPr>
              <w:t>is</w:t>
            </w:r>
            <w:proofErr w:type="spellEnd"/>
            <w:r w:rsidRPr="002D69CF">
              <w:rPr>
                <w:sz w:val="20"/>
                <w:szCs w:val="24"/>
                <w:lang w:val="de-DE"/>
              </w:rPr>
              <w:t xml:space="preserve"> </w:t>
            </w:r>
            <w:proofErr w:type="spellStart"/>
            <w:r w:rsidRPr="002D69CF">
              <w:rPr>
                <w:sz w:val="20"/>
                <w:szCs w:val="24"/>
                <w:lang w:val="de-DE"/>
              </w:rPr>
              <w:t>first</w:t>
            </w:r>
            <w:proofErr w:type="spellEnd"/>
            <w:r w:rsidRPr="002D69CF">
              <w:rPr>
                <w:sz w:val="20"/>
                <w:szCs w:val="24"/>
                <w:lang w:val="de-DE"/>
              </w:rPr>
              <w:t xml:space="preserve"> </w:t>
            </w:r>
            <w:proofErr w:type="spellStart"/>
            <w:r w:rsidRPr="002D69CF">
              <w:rPr>
                <w:sz w:val="20"/>
                <w:szCs w:val="24"/>
                <w:lang w:val="de-DE"/>
              </w:rPr>
              <w:t>quantifiable</w:t>
            </w:r>
            <w:proofErr w:type="spellEnd"/>
            <w:r w:rsidRPr="002D69CF">
              <w:rPr>
                <w:sz w:val="20"/>
                <w:szCs w:val="24"/>
                <w:lang w:val="de-DE"/>
              </w:rPr>
              <w:t xml:space="preserve"> in a </w:t>
            </w:r>
            <w:proofErr w:type="spellStart"/>
            <w:r w:rsidRPr="002D69CF">
              <w:rPr>
                <w:sz w:val="20"/>
                <w:szCs w:val="24"/>
                <w:lang w:val="de-DE"/>
              </w:rPr>
              <w:t>concentration</w:t>
            </w:r>
            <w:proofErr w:type="spellEnd"/>
            <w:r w:rsidRPr="002D69CF">
              <w:rPr>
                <w:sz w:val="20"/>
                <w:szCs w:val="24"/>
                <w:lang w:val="de-DE"/>
              </w:rPr>
              <w:t xml:space="preserve"> </w:t>
            </w:r>
            <w:proofErr w:type="spellStart"/>
            <w:r w:rsidRPr="002D69CF">
              <w:rPr>
                <w:sz w:val="20"/>
                <w:szCs w:val="24"/>
                <w:lang w:val="de-DE"/>
              </w:rPr>
              <w:t>vs</w:t>
            </w:r>
            <w:proofErr w:type="spellEnd"/>
            <w:r w:rsidRPr="002D69CF">
              <w:rPr>
                <w:sz w:val="20"/>
                <w:szCs w:val="24"/>
                <w:lang w:val="de-DE"/>
              </w:rPr>
              <w:t xml:space="preserve"> time </w:t>
            </w:r>
            <w:proofErr w:type="spellStart"/>
            <w:r w:rsidRPr="002D69CF">
              <w:rPr>
                <w:sz w:val="20"/>
                <w:szCs w:val="24"/>
                <w:lang w:val="de-DE"/>
              </w:rPr>
              <w:t>profile</w:t>
            </w:r>
            <w:proofErr w:type="spellEnd"/>
          </w:p>
          <w:p w14:paraId="3BDEF037"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r>
            <w:proofErr w:type="spellStart"/>
            <w:r w:rsidRPr="002D69CF">
              <w:rPr>
                <w:sz w:val="20"/>
                <w:szCs w:val="24"/>
                <w:lang w:val="de-DE"/>
              </w:rPr>
              <w:t>Tmax</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time </w:t>
            </w:r>
            <w:proofErr w:type="spellStart"/>
            <w:r w:rsidRPr="002D69CF">
              <w:rPr>
                <w:sz w:val="20"/>
                <w:szCs w:val="24"/>
                <w:lang w:val="de-DE"/>
              </w:rPr>
              <w:t>from</w:t>
            </w:r>
            <w:proofErr w:type="spellEnd"/>
            <w:r w:rsidRPr="002D69CF">
              <w:rPr>
                <w:sz w:val="20"/>
                <w:szCs w:val="24"/>
                <w:lang w:val="de-DE"/>
              </w:rPr>
              <w:t xml:space="preserve"> </w:t>
            </w:r>
            <w:proofErr w:type="spellStart"/>
            <w:r w:rsidRPr="002D69CF">
              <w:rPr>
                <w:sz w:val="20"/>
                <w:szCs w:val="24"/>
                <w:lang w:val="de-DE"/>
              </w:rPr>
              <w:t>dosing</w:t>
            </w:r>
            <w:proofErr w:type="spellEnd"/>
            <w:r w:rsidRPr="002D69CF">
              <w:rPr>
                <w:sz w:val="20"/>
                <w:szCs w:val="24"/>
                <w:lang w:val="de-DE"/>
              </w:rPr>
              <w:t xml:space="preserve"> at </w:t>
            </w:r>
            <w:proofErr w:type="spellStart"/>
            <w:r w:rsidRPr="002D69CF">
              <w:rPr>
                <w:sz w:val="20"/>
                <w:szCs w:val="24"/>
                <w:lang w:val="de-DE"/>
              </w:rPr>
              <w:t>which</w:t>
            </w:r>
            <w:proofErr w:type="spellEnd"/>
            <w:r w:rsidRPr="002D69CF">
              <w:rPr>
                <w:sz w:val="20"/>
                <w:szCs w:val="24"/>
                <w:lang w:val="de-DE"/>
              </w:rPr>
              <w:t xml:space="preserve"> </w:t>
            </w:r>
            <w:proofErr w:type="spellStart"/>
            <w:r w:rsidRPr="002D69CF">
              <w:rPr>
                <w:sz w:val="20"/>
                <w:szCs w:val="24"/>
                <w:lang w:val="de-DE"/>
              </w:rPr>
              <w:t>Cmax</w:t>
            </w:r>
            <w:proofErr w:type="spellEnd"/>
            <w:r w:rsidRPr="002D69CF">
              <w:rPr>
                <w:sz w:val="20"/>
                <w:szCs w:val="24"/>
                <w:lang w:val="de-DE"/>
              </w:rPr>
              <w:t xml:space="preserve"> was </w:t>
            </w:r>
            <w:proofErr w:type="spellStart"/>
            <w:r w:rsidRPr="002D69CF">
              <w:rPr>
                <w:sz w:val="20"/>
                <w:szCs w:val="24"/>
                <w:lang w:val="de-DE"/>
              </w:rPr>
              <w:t>apparent</w:t>
            </w:r>
            <w:proofErr w:type="spellEnd"/>
            <w:r w:rsidRPr="002D69CF">
              <w:rPr>
                <w:sz w:val="20"/>
                <w:szCs w:val="24"/>
                <w:lang w:val="de-DE"/>
              </w:rPr>
              <w:t xml:space="preserve"> AUC(0-last) </w:t>
            </w:r>
            <w:proofErr w:type="spellStart"/>
            <w:r w:rsidRPr="002D69CF">
              <w:rPr>
                <w:sz w:val="20"/>
                <w:szCs w:val="24"/>
                <w:lang w:val="de-DE"/>
              </w:rPr>
              <w:t>area</w:t>
            </w:r>
            <w:proofErr w:type="spellEnd"/>
            <w:r w:rsidRPr="002D69CF">
              <w:rPr>
                <w:sz w:val="20"/>
                <w:szCs w:val="24"/>
                <w:lang w:val="de-DE"/>
              </w:rPr>
              <w:t xml:space="preserve"> </w:t>
            </w:r>
            <w:proofErr w:type="spellStart"/>
            <w:r w:rsidRPr="002D69CF">
              <w:rPr>
                <w:sz w:val="20"/>
                <w:szCs w:val="24"/>
                <w:lang w:val="de-DE"/>
              </w:rPr>
              <w:t>under</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plasma</w:t>
            </w:r>
            <w:proofErr w:type="spellEnd"/>
            <w:r w:rsidRPr="002D69CF">
              <w:rPr>
                <w:sz w:val="20"/>
                <w:szCs w:val="24"/>
                <w:lang w:val="de-DE"/>
              </w:rPr>
              <w:t xml:space="preserve"> </w:t>
            </w:r>
            <w:proofErr w:type="spellStart"/>
            <w:r w:rsidRPr="002D69CF">
              <w:rPr>
                <w:sz w:val="20"/>
                <w:szCs w:val="24"/>
                <w:lang w:val="de-DE"/>
              </w:rPr>
              <w:t>concentration</w:t>
            </w:r>
            <w:proofErr w:type="spellEnd"/>
            <w:r w:rsidRPr="002D69CF">
              <w:rPr>
                <w:sz w:val="20"/>
                <w:szCs w:val="24"/>
                <w:lang w:val="de-DE"/>
              </w:rPr>
              <w:t xml:space="preserve"> </w:t>
            </w:r>
            <w:proofErr w:type="spellStart"/>
            <w:r w:rsidRPr="002D69CF">
              <w:rPr>
                <w:sz w:val="20"/>
                <w:szCs w:val="24"/>
                <w:lang w:val="de-DE"/>
              </w:rPr>
              <w:t>vs</w:t>
            </w:r>
            <w:proofErr w:type="spellEnd"/>
            <w:r w:rsidRPr="002D69CF">
              <w:rPr>
                <w:sz w:val="20"/>
                <w:szCs w:val="24"/>
                <w:lang w:val="de-DE"/>
              </w:rPr>
              <w:t xml:space="preserve"> time </w:t>
            </w:r>
            <w:proofErr w:type="spellStart"/>
            <w:r w:rsidRPr="002D69CF">
              <w:rPr>
                <w:sz w:val="20"/>
                <w:szCs w:val="24"/>
                <w:lang w:val="de-DE"/>
              </w:rPr>
              <w:t>curve</w:t>
            </w:r>
            <w:proofErr w:type="spellEnd"/>
            <w:r w:rsidRPr="002D69CF">
              <w:rPr>
                <w:sz w:val="20"/>
                <w:szCs w:val="24"/>
                <w:lang w:val="de-DE"/>
              </w:rPr>
              <w:t xml:space="preserve"> </w:t>
            </w:r>
            <w:proofErr w:type="spellStart"/>
            <w:r w:rsidRPr="002D69CF">
              <w:rPr>
                <w:sz w:val="20"/>
                <w:szCs w:val="24"/>
                <w:lang w:val="de-DE"/>
              </w:rPr>
              <w:t>from</w:t>
            </w:r>
            <w:proofErr w:type="spellEnd"/>
            <w:r w:rsidRPr="002D69CF">
              <w:rPr>
                <w:sz w:val="20"/>
                <w:szCs w:val="24"/>
                <w:lang w:val="de-DE"/>
              </w:rPr>
              <w:t xml:space="preserve"> 0 time </w:t>
            </w:r>
            <w:proofErr w:type="spellStart"/>
            <w:r w:rsidRPr="002D69CF">
              <w:rPr>
                <w:sz w:val="20"/>
                <w:szCs w:val="24"/>
                <w:lang w:val="de-DE"/>
              </w:rPr>
              <w:t>to</w:t>
            </w:r>
            <w:proofErr w:type="spellEnd"/>
            <w:r w:rsidRPr="002D69CF">
              <w:rPr>
                <w:sz w:val="20"/>
                <w:szCs w:val="24"/>
                <w:lang w:val="de-DE"/>
              </w:rPr>
              <w:t xml:space="preserve"> last </w:t>
            </w:r>
            <w:proofErr w:type="spellStart"/>
            <w:r w:rsidRPr="002D69CF">
              <w:rPr>
                <w:sz w:val="20"/>
                <w:szCs w:val="24"/>
                <w:lang w:val="de-DE"/>
              </w:rPr>
              <w:t>measurable</w:t>
            </w:r>
            <w:proofErr w:type="spellEnd"/>
            <w:r w:rsidRPr="002D69CF">
              <w:rPr>
                <w:sz w:val="20"/>
                <w:szCs w:val="24"/>
                <w:lang w:val="de-DE"/>
              </w:rPr>
              <w:t xml:space="preserve"> </w:t>
            </w:r>
            <w:proofErr w:type="spellStart"/>
            <w:r w:rsidRPr="002D69CF">
              <w:rPr>
                <w:sz w:val="20"/>
                <w:szCs w:val="24"/>
                <w:lang w:val="de-DE"/>
              </w:rPr>
              <w:t>concentration</w:t>
            </w:r>
            <w:proofErr w:type="spellEnd"/>
          </w:p>
          <w:p w14:paraId="72B23576"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t xml:space="preserve">AUC(0-tau):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area</w:t>
            </w:r>
            <w:proofErr w:type="spellEnd"/>
            <w:r w:rsidRPr="002D69CF">
              <w:rPr>
                <w:sz w:val="20"/>
                <w:szCs w:val="24"/>
                <w:lang w:val="de-DE"/>
              </w:rPr>
              <w:t xml:space="preserve"> </w:t>
            </w:r>
            <w:proofErr w:type="spellStart"/>
            <w:r w:rsidRPr="002D69CF">
              <w:rPr>
                <w:sz w:val="20"/>
                <w:szCs w:val="24"/>
                <w:lang w:val="de-DE"/>
              </w:rPr>
              <w:t>under</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concentration</w:t>
            </w:r>
            <w:proofErr w:type="spellEnd"/>
            <w:r w:rsidRPr="002D69CF">
              <w:rPr>
                <w:sz w:val="20"/>
                <w:szCs w:val="24"/>
                <w:lang w:val="de-DE"/>
              </w:rPr>
              <w:t xml:space="preserve"> </w:t>
            </w:r>
            <w:proofErr w:type="spellStart"/>
            <w:r w:rsidRPr="002D69CF">
              <w:rPr>
                <w:sz w:val="20"/>
                <w:szCs w:val="24"/>
                <w:lang w:val="de-DE"/>
              </w:rPr>
              <w:t>vs</w:t>
            </w:r>
            <w:proofErr w:type="spellEnd"/>
            <w:r w:rsidRPr="002D69CF">
              <w:rPr>
                <w:sz w:val="20"/>
                <w:szCs w:val="24"/>
                <w:lang w:val="de-DE"/>
              </w:rPr>
              <w:t xml:space="preserve"> time </w:t>
            </w:r>
            <w:proofErr w:type="spellStart"/>
            <w:r w:rsidRPr="002D69CF">
              <w:rPr>
                <w:sz w:val="20"/>
                <w:szCs w:val="24"/>
                <w:lang w:val="de-DE"/>
              </w:rPr>
              <w:t>curve</w:t>
            </w:r>
            <w:proofErr w:type="spellEnd"/>
            <w:r w:rsidRPr="002D69CF">
              <w:rPr>
                <w:sz w:val="20"/>
                <w:szCs w:val="24"/>
                <w:lang w:val="de-DE"/>
              </w:rPr>
              <w:t xml:space="preserve"> </w:t>
            </w:r>
            <w:proofErr w:type="spellStart"/>
            <w:r w:rsidRPr="002D69CF">
              <w:rPr>
                <w:sz w:val="20"/>
                <w:szCs w:val="24"/>
                <w:lang w:val="de-DE"/>
              </w:rPr>
              <w:t>within</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dosing</w:t>
            </w:r>
            <w:proofErr w:type="spellEnd"/>
            <w:r w:rsidRPr="002D69CF">
              <w:rPr>
                <w:sz w:val="20"/>
                <w:szCs w:val="24"/>
                <w:lang w:val="de-DE"/>
              </w:rPr>
              <w:t xml:space="preserve"> </w:t>
            </w:r>
            <w:proofErr w:type="spellStart"/>
            <w:r w:rsidRPr="002D69CF">
              <w:rPr>
                <w:sz w:val="20"/>
                <w:szCs w:val="24"/>
                <w:lang w:val="de-DE"/>
              </w:rPr>
              <w:t>interval</w:t>
            </w:r>
            <w:proofErr w:type="spellEnd"/>
            <w:r w:rsidRPr="002D69CF">
              <w:rPr>
                <w:sz w:val="20"/>
                <w:szCs w:val="24"/>
                <w:lang w:val="de-DE"/>
              </w:rPr>
              <w:t xml:space="preserve"> </w:t>
            </w:r>
          </w:p>
          <w:p w14:paraId="39B9D4A5" w14:textId="77777777" w:rsidR="004B614B" w:rsidRPr="002D69CF" w:rsidRDefault="004B614B" w:rsidP="00D80CA6">
            <w:pPr>
              <w:suppressAutoHyphens w:val="0"/>
              <w:spacing w:before="60" w:after="60" w:line="256" w:lineRule="auto"/>
              <w:rPr>
                <w:sz w:val="20"/>
                <w:szCs w:val="24"/>
                <w:lang w:val="de-DE"/>
              </w:rPr>
            </w:pPr>
            <w:r w:rsidRPr="002D69CF">
              <w:rPr>
                <w:sz w:val="20"/>
                <w:szCs w:val="24"/>
                <w:lang w:val="de-DE"/>
              </w:rPr>
              <w:t>Part 1, Day 7:</w:t>
            </w:r>
          </w:p>
          <w:p w14:paraId="291FA39F"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r>
            <w:proofErr w:type="spellStart"/>
            <w:proofErr w:type="gramStart"/>
            <w:r w:rsidRPr="002D69CF">
              <w:rPr>
                <w:sz w:val="20"/>
                <w:szCs w:val="24"/>
                <w:lang w:val="de-DE"/>
              </w:rPr>
              <w:t>Cmin,ss</w:t>
            </w:r>
            <w:proofErr w:type="spellEnd"/>
            <w:proofErr w:type="gram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concentration</w:t>
            </w:r>
            <w:proofErr w:type="spellEnd"/>
            <w:r w:rsidRPr="002D69CF">
              <w:rPr>
                <w:sz w:val="20"/>
                <w:szCs w:val="24"/>
                <w:lang w:val="de-DE"/>
              </w:rPr>
              <w:t xml:space="preserve"> </w:t>
            </w:r>
            <w:proofErr w:type="spellStart"/>
            <w:r w:rsidRPr="002D69CF">
              <w:rPr>
                <w:sz w:val="20"/>
                <w:szCs w:val="24"/>
                <w:lang w:val="de-DE"/>
              </w:rPr>
              <w:t>minimum</w:t>
            </w:r>
            <w:proofErr w:type="spellEnd"/>
            <w:r w:rsidRPr="002D69CF">
              <w:rPr>
                <w:sz w:val="20"/>
                <w:szCs w:val="24"/>
                <w:lang w:val="de-DE"/>
              </w:rPr>
              <w:t xml:space="preserve"> </w:t>
            </w:r>
            <w:proofErr w:type="spellStart"/>
            <w:r w:rsidRPr="002D69CF">
              <w:rPr>
                <w:sz w:val="20"/>
                <w:szCs w:val="24"/>
                <w:lang w:val="de-DE"/>
              </w:rPr>
              <w:t>observed</w:t>
            </w:r>
            <w:proofErr w:type="spellEnd"/>
            <w:r w:rsidRPr="002D69CF">
              <w:rPr>
                <w:sz w:val="20"/>
                <w:szCs w:val="24"/>
                <w:lang w:val="de-DE"/>
              </w:rPr>
              <w:t xml:space="preserve"> </w:t>
            </w:r>
            <w:proofErr w:type="spellStart"/>
            <w:r w:rsidRPr="002D69CF">
              <w:rPr>
                <w:sz w:val="20"/>
                <w:szCs w:val="24"/>
                <w:lang w:val="de-DE"/>
              </w:rPr>
              <w:t>immediately</w:t>
            </w:r>
            <w:proofErr w:type="spellEnd"/>
            <w:r w:rsidRPr="002D69CF">
              <w:rPr>
                <w:sz w:val="20"/>
                <w:szCs w:val="24"/>
                <w:lang w:val="de-DE"/>
              </w:rPr>
              <w:t xml:space="preserve"> </w:t>
            </w:r>
            <w:proofErr w:type="spellStart"/>
            <w:r w:rsidRPr="002D69CF">
              <w:rPr>
                <w:sz w:val="20"/>
                <w:szCs w:val="24"/>
                <w:lang w:val="de-DE"/>
              </w:rPr>
              <w:t>prior</w:t>
            </w:r>
            <w:proofErr w:type="spellEnd"/>
            <w:r w:rsidRPr="002D69CF">
              <w:rPr>
                <w:sz w:val="20"/>
                <w:szCs w:val="24"/>
                <w:lang w:val="de-DE"/>
              </w:rPr>
              <w:t xml:space="preserve"> </w:t>
            </w:r>
            <w:proofErr w:type="spellStart"/>
            <w:r w:rsidRPr="002D69CF">
              <w:rPr>
                <w:sz w:val="20"/>
                <w:szCs w:val="24"/>
                <w:lang w:val="de-DE"/>
              </w:rPr>
              <w:t>to</w:t>
            </w:r>
            <w:proofErr w:type="spellEnd"/>
            <w:r w:rsidRPr="002D69CF">
              <w:rPr>
                <w:sz w:val="20"/>
                <w:szCs w:val="24"/>
                <w:lang w:val="de-DE"/>
              </w:rPr>
              <w:t xml:space="preserve"> dose </w:t>
            </w:r>
            <w:proofErr w:type="spellStart"/>
            <w:r w:rsidRPr="002D69CF">
              <w:rPr>
                <w:sz w:val="20"/>
                <w:szCs w:val="24"/>
                <w:lang w:val="de-DE"/>
              </w:rPr>
              <w:t>administration</w:t>
            </w:r>
            <w:proofErr w:type="spellEnd"/>
            <w:r w:rsidRPr="002D69CF">
              <w:rPr>
                <w:sz w:val="20"/>
                <w:szCs w:val="24"/>
                <w:lang w:val="de-DE"/>
              </w:rPr>
              <w:t xml:space="preserve"> </w:t>
            </w:r>
            <w:proofErr w:type="spellStart"/>
            <w:r w:rsidRPr="002D69CF">
              <w:rPr>
                <w:sz w:val="20"/>
                <w:szCs w:val="24"/>
                <w:lang w:val="de-DE"/>
              </w:rPr>
              <w:t>under</w:t>
            </w:r>
            <w:proofErr w:type="spellEnd"/>
            <w:r w:rsidRPr="002D69CF">
              <w:rPr>
                <w:sz w:val="20"/>
                <w:szCs w:val="24"/>
                <w:lang w:val="de-DE"/>
              </w:rPr>
              <w:t xml:space="preserve"> </w:t>
            </w:r>
            <w:proofErr w:type="spellStart"/>
            <w:r w:rsidRPr="002D69CF">
              <w:rPr>
                <w:sz w:val="20"/>
                <w:szCs w:val="24"/>
                <w:lang w:val="de-DE"/>
              </w:rPr>
              <w:t>steady</w:t>
            </w:r>
            <w:proofErr w:type="spellEnd"/>
            <w:r w:rsidRPr="002D69CF">
              <w:rPr>
                <w:sz w:val="20"/>
                <w:szCs w:val="24"/>
                <w:lang w:val="de-DE"/>
              </w:rPr>
              <w:t xml:space="preserve"> </w:t>
            </w:r>
            <w:proofErr w:type="spellStart"/>
            <w:r w:rsidRPr="002D69CF">
              <w:rPr>
                <w:sz w:val="20"/>
                <w:szCs w:val="24"/>
                <w:lang w:val="de-DE"/>
              </w:rPr>
              <w:t>state</w:t>
            </w:r>
            <w:proofErr w:type="spellEnd"/>
            <w:r w:rsidRPr="002D69CF">
              <w:rPr>
                <w:sz w:val="20"/>
                <w:szCs w:val="24"/>
                <w:lang w:val="de-DE"/>
              </w:rPr>
              <w:t xml:space="preserve"> </w:t>
            </w:r>
            <w:proofErr w:type="spellStart"/>
            <w:r w:rsidRPr="002D69CF">
              <w:rPr>
                <w:sz w:val="20"/>
                <w:szCs w:val="24"/>
                <w:lang w:val="de-DE"/>
              </w:rPr>
              <w:t>conditions</w:t>
            </w:r>
            <w:proofErr w:type="spellEnd"/>
          </w:p>
          <w:p w14:paraId="3DD4D0E5"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r>
            <w:proofErr w:type="spellStart"/>
            <w:proofErr w:type="gramStart"/>
            <w:r w:rsidRPr="002D69CF">
              <w:rPr>
                <w:sz w:val="20"/>
                <w:szCs w:val="24"/>
                <w:lang w:val="de-DE"/>
              </w:rPr>
              <w:t>Cmax,ss</w:t>
            </w:r>
            <w:proofErr w:type="spellEnd"/>
            <w:proofErr w:type="gramEnd"/>
            <w:r w:rsidRPr="002D69CF">
              <w:rPr>
                <w:sz w:val="20"/>
                <w:szCs w:val="24"/>
                <w:lang w:val="de-DE"/>
              </w:rPr>
              <w:t xml:space="preserve">: </w:t>
            </w:r>
            <w:proofErr w:type="spellStart"/>
            <w:r w:rsidRPr="002D69CF">
              <w:rPr>
                <w:sz w:val="20"/>
                <w:szCs w:val="24"/>
                <w:lang w:val="de-DE"/>
              </w:rPr>
              <w:t>maximum</w:t>
            </w:r>
            <w:proofErr w:type="spellEnd"/>
            <w:r w:rsidRPr="002D69CF">
              <w:rPr>
                <w:sz w:val="20"/>
                <w:szCs w:val="24"/>
                <w:lang w:val="de-DE"/>
              </w:rPr>
              <w:t xml:space="preserve"> </w:t>
            </w:r>
            <w:proofErr w:type="spellStart"/>
            <w:r w:rsidRPr="002D69CF">
              <w:rPr>
                <w:sz w:val="20"/>
                <w:szCs w:val="24"/>
                <w:lang w:val="de-DE"/>
              </w:rPr>
              <w:t>observed</w:t>
            </w:r>
            <w:proofErr w:type="spellEnd"/>
            <w:r w:rsidRPr="002D69CF">
              <w:rPr>
                <w:sz w:val="20"/>
                <w:szCs w:val="24"/>
                <w:lang w:val="de-DE"/>
              </w:rPr>
              <w:t xml:space="preserve"> </w:t>
            </w:r>
            <w:proofErr w:type="spellStart"/>
            <w:r w:rsidRPr="002D69CF">
              <w:rPr>
                <w:sz w:val="20"/>
                <w:szCs w:val="24"/>
                <w:lang w:val="de-DE"/>
              </w:rPr>
              <w:t>concentration</w:t>
            </w:r>
            <w:proofErr w:type="spellEnd"/>
            <w:r w:rsidRPr="002D69CF">
              <w:rPr>
                <w:sz w:val="20"/>
                <w:szCs w:val="24"/>
                <w:lang w:val="de-DE"/>
              </w:rPr>
              <w:t xml:space="preserve"> </w:t>
            </w:r>
            <w:proofErr w:type="spellStart"/>
            <w:r w:rsidRPr="002D69CF">
              <w:rPr>
                <w:sz w:val="20"/>
                <w:szCs w:val="24"/>
                <w:lang w:val="de-DE"/>
              </w:rPr>
              <w:t>under</w:t>
            </w:r>
            <w:proofErr w:type="spellEnd"/>
            <w:r w:rsidRPr="002D69CF">
              <w:rPr>
                <w:sz w:val="20"/>
                <w:szCs w:val="24"/>
                <w:lang w:val="de-DE"/>
              </w:rPr>
              <w:t xml:space="preserve"> </w:t>
            </w:r>
            <w:proofErr w:type="spellStart"/>
            <w:r w:rsidRPr="002D69CF">
              <w:rPr>
                <w:sz w:val="20"/>
                <w:szCs w:val="24"/>
                <w:lang w:val="de-DE"/>
              </w:rPr>
              <w:t>steady</w:t>
            </w:r>
            <w:proofErr w:type="spellEnd"/>
            <w:r w:rsidRPr="002D69CF">
              <w:rPr>
                <w:sz w:val="20"/>
                <w:szCs w:val="24"/>
                <w:lang w:val="de-DE"/>
              </w:rPr>
              <w:t xml:space="preserve"> </w:t>
            </w:r>
            <w:proofErr w:type="spellStart"/>
            <w:r w:rsidRPr="002D69CF">
              <w:rPr>
                <w:sz w:val="20"/>
                <w:szCs w:val="24"/>
                <w:lang w:val="de-DE"/>
              </w:rPr>
              <w:t>state</w:t>
            </w:r>
            <w:proofErr w:type="spellEnd"/>
            <w:r w:rsidRPr="002D69CF">
              <w:rPr>
                <w:sz w:val="20"/>
                <w:szCs w:val="24"/>
                <w:lang w:val="de-DE"/>
              </w:rPr>
              <w:t xml:space="preserve"> </w:t>
            </w:r>
            <w:proofErr w:type="spellStart"/>
            <w:r w:rsidRPr="002D69CF">
              <w:rPr>
                <w:sz w:val="20"/>
                <w:szCs w:val="24"/>
                <w:lang w:val="de-DE"/>
              </w:rPr>
              <w:t>conditions</w:t>
            </w:r>
            <w:proofErr w:type="spellEnd"/>
          </w:p>
          <w:p w14:paraId="285EBBA2"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r>
            <w:proofErr w:type="spellStart"/>
            <w:proofErr w:type="gramStart"/>
            <w:r w:rsidRPr="002D69CF">
              <w:rPr>
                <w:sz w:val="20"/>
                <w:szCs w:val="24"/>
                <w:lang w:val="de-DE"/>
              </w:rPr>
              <w:t>Cavg,ss</w:t>
            </w:r>
            <w:proofErr w:type="spellEnd"/>
            <w:proofErr w:type="gram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average</w:t>
            </w:r>
            <w:proofErr w:type="spellEnd"/>
            <w:r w:rsidRPr="002D69CF">
              <w:rPr>
                <w:sz w:val="20"/>
                <w:szCs w:val="24"/>
                <w:lang w:val="de-DE"/>
              </w:rPr>
              <w:t xml:space="preserve"> </w:t>
            </w:r>
            <w:proofErr w:type="spellStart"/>
            <w:r w:rsidRPr="002D69CF">
              <w:rPr>
                <w:sz w:val="20"/>
                <w:szCs w:val="24"/>
                <w:lang w:val="de-DE"/>
              </w:rPr>
              <w:t>concentration</w:t>
            </w:r>
            <w:proofErr w:type="spellEnd"/>
            <w:r w:rsidRPr="002D69CF">
              <w:rPr>
                <w:sz w:val="20"/>
                <w:szCs w:val="24"/>
                <w:lang w:val="de-DE"/>
              </w:rPr>
              <w:t xml:space="preserve"> </w:t>
            </w:r>
            <w:proofErr w:type="spellStart"/>
            <w:r w:rsidRPr="002D69CF">
              <w:rPr>
                <w:sz w:val="20"/>
                <w:szCs w:val="24"/>
                <w:lang w:val="de-DE"/>
              </w:rPr>
              <w:t>within</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dosing</w:t>
            </w:r>
            <w:proofErr w:type="spellEnd"/>
            <w:r w:rsidRPr="002D69CF">
              <w:rPr>
                <w:sz w:val="20"/>
                <w:szCs w:val="24"/>
                <w:lang w:val="de-DE"/>
              </w:rPr>
              <w:t xml:space="preserve"> </w:t>
            </w:r>
            <w:proofErr w:type="spellStart"/>
            <w:r w:rsidRPr="002D69CF">
              <w:rPr>
                <w:sz w:val="20"/>
                <w:szCs w:val="24"/>
                <w:lang w:val="de-DE"/>
              </w:rPr>
              <w:t>interval</w:t>
            </w:r>
            <w:proofErr w:type="spellEnd"/>
            <w:r w:rsidRPr="002D69CF">
              <w:rPr>
                <w:sz w:val="20"/>
                <w:szCs w:val="24"/>
                <w:lang w:val="de-DE"/>
              </w:rPr>
              <w:t xml:space="preserve"> at </w:t>
            </w:r>
            <w:proofErr w:type="spellStart"/>
            <w:r w:rsidRPr="002D69CF">
              <w:rPr>
                <w:sz w:val="20"/>
                <w:szCs w:val="24"/>
                <w:lang w:val="de-DE"/>
              </w:rPr>
              <w:t>steady</w:t>
            </w:r>
            <w:proofErr w:type="spellEnd"/>
            <w:r w:rsidRPr="002D69CF">
              <w:rPr>
                <w:sz w:val="20"/>
                <w:szCs w:val="24"/>
                <w:lang w:val="de-DE"/>
              </w:rPr>
              <w:t xml:space="preserve"> </w:t>
            </w:r>
            <w:proofErr w:type="spellStart"/>
            <w:r w:rsidRPr="002D69CF">
              <w:rPr>
                <w:sz w:val="20"/>
                <w:szCs w:val="24"/>
                <w:lang w:val="de-DE"/>
              </w:rPr>
              <w:t>state</w:t>
            </w:r>
            <w:proofErr w:type="spellEnd"/>
          </w:p>
          <w:p w14:paraId="5550F28B"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t>AUC(0-tau</w:t>
            </w:r>
            <w:proofErr w:type="gramStart"/>
            <w:r w:rsidRPr="002D69CF">
              <w:rPr>
                <w:sz w:val="20"/>
                <w:szCs w:val="24"/>
                <w:lang w:val="de-DE"/>
              </w:rPr>
              <w:t>),</w:t>
            </w:r>
            <w:proofErr w:type="spellStart"/>
            <w:r w:rsidRPr="002D69CF">
              <w:rPr>
                <w:sz w:val="20"/>
                <w:szCs w:val="24"/>
                <w:lang w:val="de-DE"/>
              </w:rPr>
              <w:t>ss</w:t>
            </w:r>
            <w:proofErr w:type="spellEnd"/>
            <w:proofErr w:type="gram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area</w:t>
            </w:r>
            <w:proofErr w:type="spellEnd"/>
            <w:r w:rsidRPr="002D69CF">
              <w:rPr>
                <w:sz w:val="20"/>
                <w:szCs w:val="24"/>
                <w:lang w:val="de-DE"/>
              </w:rPr>
              <w:t xml:space="preserve"> </w:t>
            </w:r>
            <w:proofErr w:type="spellStart"/>
            <w:r w:rsidRPr="002D69CF">
              <w:rPr>
                <w:sz w:val="20"/>
                <w:szCs w:val="24"/>
                <w:lang w:val="de-DE"/>
              </w:rPr>
              <w:t>under</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concentration</w:t>
            </w:r>
            <w:proofErr w:type="spellEnd"/>
            <w:r w:rsidRPr="002D69CF">
              <w:rPr>
                <w:sz w:val="20"/>
                <w:szCs w:val="24"/>
                <w:lang w:val="de-DE"/>
              </w:rPr>
              <w:t xml:space="preserve"> </w:t>
            </w:r>
            <w:proofErr w:type="spellStart"/>
            <w:r w:rsidRPr="002D69CF">
              <w:rPr>
                <w:sz w:val="20"/>
                <w:szCs w:val="24"/>
                <w:lang w:val="de-DE"/>
              </w:rPr>
              <w:t>vs</w:t>
            </w:r>
            <w:proofErr w:type="spellEnd"/>
            <w:r w:rsidRPr="002D69CF">
              <w:rPr>
                <w:sz w:val="20"/>
                <w:szCs w:val="24"/>
                <w:lang w:val="de-DE"/>
              </w:rPr>
              <w:t xml:space="preserve"> time </w:t>
            </w:r>
            <w:proofErr w:type="spellStart"/>
            <w:r w:rsidRPr="002D69CF">
              <w:rPr>
                <w:sz w:val="20"/>
                <w:szCs w:val="24"/>
                <w:lang w:val="de-DE"/>
              </w:rPr>
              <w:t>curve</w:t>
            </w:r>
            <w:proofErr w:type="spellEnd"/>
            <w:r w:rsidRPr="002D69CF">
              <w:rPr>
                <w:sz w:val="20"/>
                <w:szCs w:val="24"/>
                <w:lang w:val="de-DE"/>
              </w:rPr>
              <w:t xml:space="preserve"> </w:t>
            </w:r>
            <w:proofErr w:type="spellStart"/>
            <w:r w:rsidRPr="002D69CF">
              <w:rPr>
                <w:sz w:val="20"/>
                <w:szCs w:val="24"/>
                <w:lang w:val="de-DE"/>
              </w:rPr>
              <w:t>within</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dosing</w:t>
            </w:r>
            <w:proofErr w:type="spellEnd"/>
            <w:r w:rsidRPr="002D69CF">
              <w:rPr>
                <w:sz w:val="20"/>
                <w:szCs w:val="24"/>
                <w:lang w:val="de-DE"/>
              </w:rPr>
              <w:t xml:space="preserve"> </w:t>
            </w:r>
            <w:proofErr w:type="spellStart"/>
            <w:r w:rsidRPr="002D69CF">
              <w:rPr>
                <w:sz w:val="20"/>
                <w:szCs w:val="24"/>
                <w:lang w:val="de-DE"/>
              </w:rPr>
              <w:t>interval</w:t>
            </w:r>
            <w:proofErr w:type="spellEnd"/>
            <w:r w:rsidRPr="002D69CF">
              <w:rPr>
                <w:sz w:val="20"/>
                <w:szCs w:val="24"/>
                <w:lang w:val="de-DE"/>
              </w:rPr>
              <w:t xml:space="preserve"> </w:t>
            </w:r>
          </w:p>
          <w:p w14:paraId="1D759D48"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t>AUC(0-last</w:t>
            </w:r>
            <w:proofErr w:type="gramStart"/>
            <w:r w:rsidRPr="002D69CF">
              <w:rPr>
                <w:sz w:val="20"/>
                <w:szCs w:val="24"/>
                <w:lang w:val="de-DE"/>
              </w:rPr>
              <w:t>),</w:t>
            </w:r>
            <w:proofErr w:type="spellStart"/>
            <w:r w:rsidRPr="002D69CF">
              <w:rPr>
                <w:sz w:val="20"/>
                <w:szCs w:val="24"/>
                <w:lang w:val="de-DE"/>
              </w:rPr>
              <w:t>ss</w:t>
            </w:r>
            <w:proofErr w:type="spellEnd"/>
            <w:proofErr w:type="gramEnd"/>
            <w:r w:rsidRPr="002D69CF">
              <w:rPr>
                <w:sz w:val="20"/>
                <w:szCs w:val="24"/>
                <w:lang w:val="de-DE"/>
              </w:rPr>
              <w:t xml:space="preserve">: </w:t>
            </w:r>
            <w:proofErr w:type="spellStart"/>
            <w:r w:rsidRPr="002D69CF">
              <w:rPr>
                <w:sz w:val="20"/>
                <w:szCs w:val="24"/>
                <w:lang w:val="de-DE"/>
              </w:rPr>
              <w:t>area</w:t>
            </w:r>
            <w:proofErr w:type="spellEnd"/>
            <w:r w:rsidRPr="002D69CF">
              <w:rPr>
                <w:sz w:val="20"/>
                <w:szCs w:val="24"/>
                <w:lang w:val="de-DE"/>
              </w:rPr>
              <w:t xml:space="preserve"> </w:t>
            </w:r>
            <w:proofErr w:type="spellStart"/>
            <w:r w:rsidRPr="002D69CF">
              <w:rPr>
                <w:sz w:val="20"/>
                <w:szCs w:val="24"/>
                <w:lang w:val="de-DE"/>
              </w:rPr>
              <w:t>under</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plasma</w:t>
            </w:r>
            <w:proofErr w:type="spellEnd"/>
            <w:r w:rsidRPr="002D69CF">
              <w:rPr>
                <w:sz w:val="20"/>
                <w:szCs w:val="24"/>
                <w:lang w:val="de-DE"/>
              </w:rPr>
              <w:t xml:space="preserve"> </w:t>
            </w:r>
            <w:proofErr w:type="spellStart"/>
            <w:r w:rsidRPr="002D69CF">
              <w:rPr>
                <w:sz w:val="20"/>
                <w:szCs w:val="24"/>
                <w:lang w:val="de-DE"/>
              </w:rPr>
              <w:t>concentration</w:t>
            </w:r>
            <w:proofErr w:type="spellEnd"/>
            <w:r w:rsidRPr="002D69CF">
              <w:rPr>
                <w:sz w:val="20"/>
                <w:szCs w:val="24"/>
                <w:lang w:val="de-DE"/>
              </w:rPr>
              <w:t xml:space="preserve"> </w:t>
            </w:r>
            <w:proofErr w:type="spellStart"/>
            <w:r w:rsidRPr="002D69CF">
              <w:rPr>
                <w:sz w:val="20"/>
                <w:szCs w:val="24"/>
                <w:lang w:val="de-DE"/>
              </w:rPr>
              <w:t>vs</w:t>
            </w:r>
            <w:proofErr w:type="spellEnd"/>
            <w:r w:rsidRPr="002D69CF">
              <w:rPr>
                <w:sz w:val="20"/>
                <w:szCs w:val="24"/>
                <w:lang w:val="de-DE"/>
              </w:rPr>
              <w:t xml:space="preserve"> time </w:t>
            </w:r>
            <w:proofErr w:type="spellStart"/>
            <w:r w:rsidRPr="002D69CF">
              <w:rPr>
                <w:sz w:val="20"/>
                <w:szCs w:val="24"/>
                <w:lang w:val="de-DE"/>
              </w:rPr>
              <w:t>curve</w:t>
            </w:r>
            <w:proofErr w:type="spellEnd"/>
            <w:r w:rsidRPr="002D69CF">
              <w:rPr>
                <w:sz w:val="20"/>
                <w:szCs w:val="24"/>
                <w:lang w:val="de-DE"/>
              </w:rPr>
              <w:t xml:space="preserve"> </w:t>
            </w:r>
            <w:proofErr w:type="spellStart"/>
            <w:r w:rsidRPr="002D69CF">
              <w:rPr>
                <w:sz w:val="20"/>
                <w:szCs w:val="24"/>
                <w:lang w:val="de-DE"/>
              </w:rPr>
              <w:t>from</w:t>
            </w:r>
            <w:proofErr w:type="spellEnd"/>
            <w:r w:rsidRPr="002D69CF">
              <w:rPr>
                <w:sz w:val="20"/>
                <w:szCs w:val="24"/>
                <w:lang w:val="de-DE"/>
              </w:rPr>
              <w:t xml:space="preserve"> 0 time </w:t>
            </w:r>
            <w:proofErr w:type="spellStart"/>
            <w:r w:rsidRPr="002D69CF">
              <w:rPr>
                <w:sz w:val="20"/>
                <w:szCs w:val="24"/>
                <w:lang w:val="de-DE"/>
              </w:rPr>
              <w:t>to</w:t>
            </w:r>
            <w:proofErr w:type="spellEnd"/>
            <w:r w:rsidRPr="002D69CF">
              <w:rPr>
                <w:sz w:val="20"/>
                <w:szCs w:val="24"/>
                <w:lang w:val="de-DE"/>
              </w:rPr>
              <w:t xml:space="preserve"> last </w:t>
            </w:r>
            <w:proofErr w:type="spellStart"/>
            <w:r w:rsidRPr="002D69CF">
              <w:rPr>
                <w:sz w:val="20"/>
                <w:szCs w:val="24"/>
                <w:lang w:val="de-DE"/>
              </w:rPr>
              <w:t>measurable</w:t>
            </w:r>
            <w:proofErr w:type="spellEnd"/>
            <w:r w:rsidRPr="002D69CF">
              <w:rPr>
                <w:sz w:val="20"/>
                <w:szCs w:val="24"/>
                <w:lang w:val="de-DE"/>
              </w:rPr>
              <w:t xml:space="preserve"> </w:t>
            </w:r>
            <w:proofErr w:type="spellStart"/>
            <w:r w:rsidRPr="002D69CF">
              <w:rPr>
                <w:sz w:val="20"/>
                <w:szCs w:val="24"/>
                <w:lang w:val="de-DE"/>
              </w:rPr>
              <w:t>concentration</w:t>
            </w:r>
            <w:proofErr w:type="spellEnd"/>
          </w:p>
          <w:p w14:paraId="441FA461"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t>AUC(0-inf</w:t>
            </w:r>
            <w:proofErr w:type="gramStart"/>
            <w:r w:rsidRPr="002D69CF">
              <w:rPr>
                <w:sz w:val="20"/>
                <w:szCs w:val="24"/>
                <w:lang w:val="de-DE"/>
              </w:rPr>
              <w:t>),</w:t>
            </w:r>
            <w:proofErr w:type="spellStart"/>
            <w:r w:rsidRPr="002D69CF">
              <w:rPr>
                <w:sz w:val="20"/>
                <w:szCs w:val="24"/>
                <w:lang w:val="de-DE"/>
              </w:rPr>
              <w:t>ss</w:t>
            </w:r>
            <w:proofErr w:type="spellEnd"/>
            <w:proofErr w:type="gramEnd"/>
            <w:r w:rsidRPr="002D69CF">
              <w:rPr>
                <w:sz w:val="20"/>
                <w:szCs w:val="24"/>
                <w:lang w:val="de-DE"/>
              </w:rPr>
              <w:t xml:space="preserve">: </w:t>
            </w:r>
            <w:proofErr w:type="spellStart"/>
            <w:r w:rsidRPr="002D69CF">
              <w:rPr>
                <w:sz w:val="20"/>
                <w:szCs w:val="24"/>
                <w:lang w:val="de-DE"/>
              </w:rPr>
              <w:t>area</w:t>
            </w:r>
            <w:proofErr w:type="spellEnd"/>
            <w:r w:rsidRPr="002D69CF">
              <w:rPr>
                <w:sz w:val="20"/>
                <w:szCs w:val="24"/>
                <w:lang w:val="de-DE"/>
              </w:rPr>
              <w:t xml:space="preserve"> </w:t>
            </w:r>
            <w:proofErr w:type="spellStart"/>
            <w:r w:rsidRPr="002D69CF">
              <w:rPr>
                <w:sz w:val="20"/>
                <w:szCs w:val="24"/>
                <w:lang w:val="de-DE"/>
              </w:rPr>
              <w:t>under</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plasma</w:t>
            </w:r>
            <w:proofErr w:type="spellEnd"/>
            <w:r w:rsidRPr="002D69CF">
              <w:rPr>
                <w:sz w:val="20"/>
                <w:szCs w:val="24"/>
                <w:lang w:val="de-DE"/>
              </w:rPr>
              <w:t xml:space="preserve"> </w:t>
            </w:r>
            <w:proofErr w:type="spellStart"/>
            <w:r w:rsidRPr="002D69CF">
              <w:rPr>
                <w:sz w:val="20"/>
                <w:szCs w:val="24"/>
                <w:lang w:val="de-DE"/>
              </w:rPr>
              <w:t>concentration</w:t>
            </w:r>
            <w:proofErr w:type="spellEnd"/>
            <w:r w:rsidRPr="002D69CF">
              <w:rPr>
                <w:sz w:val="20"/>
                <w:szCs w:val="24"/>
                <w:lang w:val="de-DE"/>
              </w:rPr>
              <w:t xml:space="preserve"> </w:t>
            </w:r>
            <w:proofErr w:type="spellStart"/>
            <w:r w:rsidRPr="002D69CF">
              <w:rPr>
                <w:sz w:val="20"/>
                <w:szCs w:val="24"/>
                <w:lang w:val="de-DE"/>
              </w:rPr>
              <w:t>vs</w:t>
            </w:r>
            <w:proofErr w:type="spellEnd"/>
            <w:r w:rsidRPr="002D69CF">
              <w:rPr>
                <w:sz w:val="20"/>
                <w:szCs w:val="24"/>
                <w:lang w:val="de-DE"/>
              </w:rPr>
              <w:t xml:space="preserve"> time </w:t>
            </w:r>
            <w:proofErr w:type="spellStart"/>
            <w:r w:rsidRPr="002D69CF">
              <w:rPr>
                <w:sz w:val="20"/>
                <w:szCs w:val="24"/>
                <w:lang w:val="de-DE"/>
              </w:rPr>
              <w:t>curve</w:t>
            </w:r>
            <w:proofErr w:type="spellEnd"/>
            <w:r w:rsidRPr="002D69CF">
              <w:rPr>
                <w:sz w:val="20"/>
                <w:szCs w:val="24"/>
                <w:lang w:val="de-DE"/>
              </w:rPr>
              <w:t xml:space="preserve"> </w:t>
            </w:r>
            <w:proofErr w:type="spellStart"/>
            <w:r w:rsidRPr="002D69CF">
              <w:rPr>
                <w:sz w:val="20"/>
                <w:szCs w:val="24"/>
                <w:lang w:val="de-DE"/>
              </w:rPr>
              <w:t>from</w:t>
            </w:r>
            <w:proofErr w:type="spellEnd"/>
            <w:r w:rsidRPr="002D69CF">
              <w:rPr>
                <w:sz w:val="20"/>
                <w:szCs w:val="24"/>
                <w:lang w:val="de-DE"/>
              </w:rPr>
              <w:t xml:space="preserve"> 0 time </w:t>
            </w:r>
            <w:proofErr w:type="spellStart"/>
            <w:r w:rsidRPr="002D69CF">
              <w:rPr>
                <w:sz w:val="20"/>
                <w:szCs w:val="24"/>
                <w:lang w:val="de-DE"/>
              </w:rPr>
              <w:t>extrapolated</w:t>
            </w:r>
            <w:proofErr w:type="spellEnd"/>
            <w:r w:rsidRPr="002D69CF">
              <w:rPr>
                <w:sz w:val="20"/>
                <w:szCs w:val="24"/>
                <w:lang w:val="de-DE"/>
              </w:rPr>
              <w:t xml:space="preserve"> </w:t>
            </w:r>
            <w:proofErr w:type="spellStart"/>
            <w:r w:rsidRPr="002D69CF">
              <w:rPr>
                <w:sz w:val="20"/>
                <w:szCs w:val="24"/>
                <w:lang w:val="de-DE"/>
              </w:rPr>
              <w:t>to</w:t>
            </w:r>
            <w:proofErr w:type="spellEnd"/>
            <w:r w:rsidRPr="002D69CF">
              <w:rPr>
                <w:sz w:val="20"/>
                <w:szCs w:val="24"/>
                <w:lang w:val="de-DE"/>
              </w:rPr>
              <w:t xml:space="preserve"> </w:t>
            </w:r>
            <w:proofErr w:type="spellStart"/>
            <w:r w:rsidRPr="002D69CF">
              <w:rPr>
                <w:sz w:val="20"/>
                <w:szCs w:val="24"/>
                <w:lang w:val="de-DE"/>
              </w:rPr>
              <w:t>infinity</w:t>
            </w:r>
            <w:proofErr w:type="spellEnd"/>
          </w:p>
          <w:p w14:paraId="0CF1F32F"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r>
            <w:proofErr w:type="spellStart"/>
            <w:r w:rsidRPr="002D69CF">
              <w:rPr>
                <w:sz w:val="20"/>
                <w:szCs w:val="24"/>
                <w:lang w:val="de-DE"/>
              </w:rPr>
              <w:t>AUC%</w:t>
            </w:r>
            <w:proofErr w:type="gramStart"/>
            <w:r w:rsidRPr="002D69CF">
              <w:rPr>
                <w:sz w:val="20"/>
                <w:szCs w:val="24"/>
                <w:lang w:val="de-DE"/>
              </w:rPr>
              <w:t>extrap,ss</w:t>
            </w:r>
            <w:proofErr w:type="spellEnd"/>
            <w:proofErr w:type="gramEnd"/>
            <w:r w:rsidRPr="002D69CF">
              <w:rPr>
                <w:sz w:val="20"/>
                <w:szCs w:val="24"/>
                <w:lang w:val="de-DE"/>
              </w:rPr>
              <w:t xml:space="preserve">: </w:t>
            </w:r>
            <w:proofErr w:type="spellStart"/>
            <w:r w:rsidRPr="002D69CF">
              <w:rPr>
                <w:sz w:val="20"/>
                <w:szCs w:val="24"/>
                <w:lang w:val="de-DE"/>
              </w:rPr>
              <w:t>percentage</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AUC(0–</w:t>
            </w:r>
            <w:proofErr w:type="spellStart"/>
            <w:r w:rsidRPr="002D69CF">
              <w:rPr>
                <w:sz w:val="20"/>
                <w:szCs w:val="24"/>
                <w:lang w:val="de-DE"/>
              </w:rPr>
              <w:t>inf</w:t>
            </w:r>
            <w:proofErr w:type="spellEnd"/>
            <w:r w:rsidRPr="002D69CF">
              <w:rPr>
                <w:sz w:val="20"/>
                <w:szCs w:val="24"/>
                <w:lang w:val="de-DE"/>
              </w:rPr>
              <w:t xml:space="preserve">) </w:t>
            </w:r>
            <w:proofErr w:type="spellStart"/>
            <w:r w:rsidRPr="002D69CF">
              <w:rPr>
                <w:sz w:val="20"/>
                <w:szCs w:val="24"/>
                <w:lang w:val="de-DE"/>
              </w:rPr>
              <w:t>extrapolated</w:t>
            </w:r>
            <w:proofErr w:type="spellEnd"/>
            <w:r w:rsidRPr="002D69CF">
              <w:rPr>
                <w:sz w:val="20"/>
                <w:szCs w:val="24"/>
                <w:lang w:val="de-DE"/>
              </w:rPr>
              <w:t xml:space="preserve"> </w:t>
            </w:r>
            <w:proofErr w:type="spellStart"/>
            <w:r w:rsidRPr="002D69CF">
              <w:rPr>
                <w:sz w:val="20"/>
                <w:szCs w:val="24"/>
                <w:lang w:val="de-DE"/>
              </w:rPr>
              <w:t>beyond</w:t>
            </w:r>
            <w:proofErr w:type="spellEnd"/>
            <w:r w:rsidRPr="002D69CF">
              <w:rPr>
                <w:sz w:val="20"/>
                <w:szCs w:val="24"/>
                <w:lang w:val="de-DE"/>
              </w:rPr>
              <w:t xml:space="preserve"> last </w:t>
            </w:r>
            <w:proofErr w:type="spellStart"/>
            <w:r w:rsidRPr="002D69CF">
              <w:rPr>
                <w:sz w:val="20"/>
                <w:szCs w:val="24"/>
                <w:lang w:val="de-DE"/>
              </w:rPr>
              <w:t>measured</w:t>
            </w:r>
            <w:proofErr w:type="spellEnd"/>
            <w:r w:rsidRPr="002D69CF">
              <w:rPr>
                <w:sz w:val="20"/>
                <w:szCs w:val="24"/>
                <w:lang w:val="de-DE"/>
              </w:rPr>
              <w:t xml:space="preserve"> time </w:t>
            </w:r>
            <w:proofErr w:type="spellStart"/>
            <w:r w:rsidRPr="002D69CF">
              <w:rPr>
                <w:sz w:val="20"/>
                <w:szCs w:val="24"/>
                <w:lang w:val="de-DE"/>
              </w:rPr>
              <w:t>point</w:t>
            </w:r>
            <w:proofErr w:type="spellEnd"/>
          </w:p>
          <w:p w14:paraId="390B12AA"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r>
            <w:proofErr w:type="spellStart"/>
            <w:proofErr w:type="gramStart"/>
            <w:r w:rsidRPr="002D69CF">
              <w:rPr>
                <w:sz w:val="20"/>
                <w:szCs w:val="24"/>
                <w:lang w:val="de-DE"/>
              </w:rPr>
              <w:t>lambdaz,ss</w:t>
            </w:r>
            <w:proofErr w:type="spellEnd"/>
            <w:proofErr w:type="gram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slope</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apparent</w:t>
            </w:r>
            <w:proofErr w:type="spellEnd"/>
            <w:r w:rsidRPr="002D69CF">
              <w:rPr>
                <w:sz w:val="20"/>
                <w:szCs w:val="24"/>
                <w:lang w:val="de-DE"/>
              </w:rPr>
              <w:t xml:space="preserve"> </w:t>
            </w:r>
            <w:proofErr w:type="spellStart"/>
            <w:r w:rsidRPr="002D69CF">
              <w:rPr>
                <w:sz w:val="20"/>
                <w:szCs w:val="24"/>
                <w:lang w:val="de-DE"/>
              </w:rPr>
              <w:t>elimination</w:t>
            </w:r>
            <w:proofErr w:type="spellEnd"/>
            <w:r w:rsidRPr="002D69CF">
              <w:rPr>
                <w:sz w:val="20"/>
                <w:szCs w:val="24"/>
                <w:lang w:val="de-DE"/>
              </w:rPr>
              <w:t xml:space="preserve"> </w:t>
            </w:r>
            <w:proofErr w:type="spellStart"/>
            <w:r w:rsidRPr="002D69CF">
              <w:rPr>
                <w:sz w:val="20"/>
                <w:szCs w:val="24"/>
                <w:lang w:val="de-DE"/>
              </w:rPr>
              <w:t>phase</w:t>
            </w:r>
            <w:proofErr w:type="spellEnd"/>
          </w:p>
          <w:p w14:paraId="78D7CD42"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t>t</w:t>
            </w:r>
            <w:proofErr w:type="gramStart"/>
            <w:r w:rsidRPr="002D69CF">
              <w:rPr>
                <w:sz w:val="20"/>
                <w:szCs w:val="24"/>
                <w:lang w:val="de-DE"/>
              </w:rPr>
              <w:t>½,ss</w:t>
            </w:r>
            <w:proofErr w:type="gram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apparent</w:t>
            </w:r>
            <w:proofErr w:type="spellEnd"/>
            <w:r w:rsidRPr="002D69CF">
              <w:rPr>
                <w:sz w:val="20"/>
                <w:szCs w:val="24"/>
                <w:lang w:val="de-DE"/>
              </w:rPr>
              <w:t xml:space="preserve"> </w:t>
            </w:r>
            <w:proofErr w:type="spellStart"/>
            <w:r w:rsidRPr="002D69CF">
              <w:rPr>
                <w:sz w:val="20"/>
                <w:szCs w:val="24"/>
                <w:lang w:val="de-DE"/>
              </w:rPr>
              <w:t>elimination</w:t>
            </w:r>
            <w:proofErr w:type="spellEnd"/>
            <w:r w:rsidRPr="002D69CF">
              <w:rPr>
                <w:sz w:val="20"/>
                <w:szCs w:val="24"/>
                <w:lang w:val="de-DE"/>
              </w:rPr>
              <w:t xml:space="preserve"> half-</w:t>
            </w:r>
            <w:proofErr w:type="spellStart"/>
            <w:r w:rsidRPr="002D69CF">
              <w:rPr>
                <w:sz w:val="20"/>
                <w:szCs w:val="24"/>
                <w:lang w:val="de-DE"/>
              </w:rPr>
              <w:t>life</w:t>
            </w:r>
            <w:proofErr w:type="spellEnd"/>
          </w:p>
          <w:p w14:paraId="09EA6473"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r>
            <w:proofErr w:type="spellStart"/>
            <w:r w:rsidRPr="002D69CF">
              <w:rPr>
                <w:sz w:val="20"/>
                <w:szCs w:val="24"/>
                <w:lang w:val="de-DE"/>
              </w:rPr>
              <w:t>Vss</w:t>
            </w:r>
            <w:proofErr w:type="spellEnd"/>
            <w:r w:rsidRPr="002D69CF">
              <w:rPr>
                <w:sz w:val="20"/>
                <w:szCs w:val="24"/>
                <w:lang w:val="de-DE"/>
              </w:rPr>
              <w:t xml:space="preserve">/F: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apparent</w:t>
            </w:r>
            <w:proofErr w:type="spellEnd"/>
            <w:r w:rsidRPr="002D69CF">
              <w:rPr>
                <w:sz w:val="20"/>
                <w:szCs w:val="24"/>
                <w:lang w:val="de-DE"/>
              </w:rPr>
              <w:t xml:space="preserve"> </w:t>
            </w:r>
            <w:proofErr w:type="spellStart"/>
            <w:r w:rsidRPr="002D69CF">
              <w:rPr>
                <w:sz w:val="20"/>
                <w:szCs w:val="24"/>
                <w:lang w:val="de-DE"/>
              </w:rPr>
              <w:t>volume</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w:t>
            </w:r>
            <w:proofErr w:type="spellStart"/>
            <w:r w:rsidRPr="002D69CF">
              <w:rPr>
                <w:sz w:val="20"/>
                <w:szCs w:val="24"/>
                <w:lang w:val="de-DE"/>
              </w:rPr>
              <w:t>distribution</w:t>
            </w:r>
            <w:proofErr w:type="spellEnd"/>
            <w:r w:rsidRPr="002D69CF">
              <w:rPr>
                <w:sz w:val="20"/>
                <w:szCs w:val="24"/>
                <w:lang w:val="de-DE"/>
              </w:rPr>
              <w:t xml:space="preserve"> at </w:t>
            </w:r>
            <w:proofErr w:type="spellStart"/>
            <w:r w:rsidRPr="002D69CF">
              <w:rPr>
                <w:sz w:val="20"/>
                <w:szCs w:val="24"/>
                <w:lang w:val="de-DE"/>
              </w:rPr>
              <w:t>steady</w:t>
            </w:r>
            <w:proofErr w:type="spellEnd"/>
            <w:r w:rsidRPr="002D69CF">
              <w:rPr>
                <w:sz w:val="20"/>
                <w:szCs w:val="24"/>
                <w:lang w:val="de-DE"/>
              </w:rPr>
              <w:t xml:space="preserve"> </w:t>
            </w:r>
            <w:proofErr w:type="spellStart"/>
            <w:r w:rsidRPr="002D69CF">
              <w:rPr>
                <w:sz w:val="20"/>
                <w:szCs w:val="24"/>
                <w:lang w:val="de-DE"/>
              </w:rPr>
              <w:t>state</w:t>
            </w:r>
            <w:proofErr w:type="spellEnd"/>
            <w:r w:rsidRPr="002D69CF">
              <w:rPr>
                <w:sz w:val="20"/>
                <w:szCs w:val="24"/>
                <w:lang w:val="de-DE"/>
              </w:rPr>
              <w:t xml:space="preserve"> </w:t>
            </w:r>
            <w:proofErr w:type="spellStart"/>
            <w:r w:rsidRPr="002D69CF">
              <w:rPr>
                <w:sz w:val="20"/>
                <w:szCs w:val="24"/>
                <w:lang w:val="de-DE"/>
              </w:rPr>
              <w:t>following</w:t>
            </w:r>
            <w:proofErr w:type="spellEnd"/>
            <w:r w:rsidRPr="002D69CF">
              <w:rPr>
                <w:sz w:val="20"/>
                <w:szCs w:val="24"/>
                <w:lang w:val="de-DE"/>
              </w:rPr>
              <w:t xml:space="preserve"> an </w:t>
            </w:r>
            <w:proofErr w:type="spellStart"/>
            <w:r w:rsidRPr="002D69CF">
              <w:rPr>
                <w:sz w:val="20"/>
                <w:szCs w:val="24"/>
                <w:lang w:val="de-DE"/>
              </w:rPr>
              <w:t>extravascular</w:t>
            </w:r>
            <w:proofErr w:type="spellEnd"/>
            <w:r w:rsidRPr="002D69CF">
              <w:rPr>
                <w:sz w:val="20"/>
                <w:szCs w:val="24"/>
                <w:lang w:val="de-DE"/>
              </w:rPr>
              <w:t xml:space="preserve"> dose</w:t>
            </w:r>
          </w:p>
          <w:p w14:paraId="001C52D8" w14:textId="77777777" w:rsidR="004B614B" w:rsidRDefault="004B614B" w:rsidP="00D80CA6">
            <w:pPr>
              <w:suppressAutoHyphens w:val="0"/>
              <w:spacing w:before="60" w:after="60" w:line="256" w:lineRule="auto"/>
            </w:pPr>
            <w:r w:rsidRPr="002D69CF">
              <w:rPr>
                <w:sz w:val="20"/>
                <w:szCs w:val="24"/>
                <w:lang w:val="de-DE"/>
              </w:rPr>
              <w:t xml:space="preserve">Individual PK </w:t>
            </w:r>
            <w:proofErr w:type="spellStart"/>
            <w:r w:rsidRPr="002D69CF">
              <w:rPr>
                <w:sz w:val="20"/>
                <w:szCs w:val="24"/>
                <w:lang w:val="de-DE"/>
              </w:rPr>
              <w:t>parameter</w:t>
            </w:r>
            <w:proofErr w:type="spellEnd"/>
            <w:r w:rsidRPr="002D69CF">
              <w:rPr>
                <w:sz w:val="20"/>
                <w:szCs w:val="24"/>
                <w:lang w:val="de-DE"/>
              </w:rPr>
              <w:t xml:space="preserve"> </w:t>
            </w:r>
            <w:proofErr w:type="spellStart"/>
            <w:r w:rsidRPr="002D69CF">
              <w:rPr>
                <w:sz w:val="20"/>
                <w:szCs w:val="24"/>
                <w:lang w:val="de-DE"/>
              </w:rPr>
              <w:t>data</w:t>
            </w:r>
            <w:proofErr w:type="spellEnd"/>
            <w:r w:rsidRPr="002D69CF">
              <w:rPr>
                <w:sz w:val="20"/>
                <w:szCs w:val="24"/>
                <w:lang w:val="de-DE"/>
              </w:rPr>
              <w:t xml:space="preserve"> </w:t>
            </w:r>
            <w:proofErr w:type="spellStart"/>
            <w:r w:rsidRPr="002D69CF">
              <w:rPr>
                <w:sz w:val="20"/>
                <w:szCs w:val="24"/>
                <w:lang w:val="de-DE"/>
              </w:rPr>
              <w:t>were</w:t>
            </w:r>
            <w:proofErr w:type="spellEnd"/>
            <w:r w:rsidRPr="002D69CF">
              <w:rPr>
                <w:sz w:val="20"/>
                <w:szCs w:val="24"/>
                <w:lang w:val="de-DE"/>
              </w:rPr>
              <w:t xml:space="preserve"> </w:t>
            </w:r>
            <w:proofErr w:type="spellStart"/>
            <w:r w:rsidRPr="002D69CF">
              <w:rPr>
                <w:sz w:val="20"/>
                <w:szCs w:val="24"/>
                <w:lang w:val="de-DE"/>
              </w:rPr>
              <w:t>listed</w:t>
            </w:r>
            <w:proofErr w:type="spellEnd"/>
            <w:r w:rsidRPr="002D69CF">
              <w:rPr>
                <w:sz w:val="20"/>
                <w:szCs w:val="24"/>
                <w:lang w:val="de-DE"/>
              </w:rPr>
              <w:t xml:space="preserve"> </w:t>
            </w:r>
            <w:proofErr w:type="spellStart"/>
            <w:r w:rsidRPr="002D69CF">
              <w:rPr>
                <w:sz w:val="20"/>
                <w:szCs w:val="24"/>
                <w:lang w:val="de-DE"/>
              </w:rPr>
              <w:t>for</w:t>
            </w:r>
            <w:proofErr w:type="spellEnd"/>
            <w:r w:rsidRPr="002D69CF">
              <w:rPr>
                <w:sz w:val="20"/>
                <w:szCs w:val="24"/>
                <w:lang w:val="de-DE"/>
              </w:rPr>
              <w:t xml:space="preserve"> all individual </w:t>
            </w:r>
            <w:proofErr w:type="spellStart"/>
            <w:r w:rsidRPr="002D69CF">
              <w:rPr>
                <w:sz w:val="20"/>
                <w:szCs w:val="24"/>
                <w:lang w:val="de-DE"/>
              </w:rPr>
              <w:t>patients</w:t>
            </w:r>
            <w:proofErr w:type="spellEnd"/>
            <w:r w:rsidRPr="002D69CF">
              <w:rPr>
                <w:sz w:val="20"/>
                <w:szCs w:val="24"/>
                <w:lang w:val="de-DE"/>
              </w:rPr>
              <w:t xml:space="preserve"> </w:t>
            </w:r>
            <w:proofErr w:type="spellStart"/>
            <w:r w:rsidRPr="002D69CF">
              <w:rPr>
                <w:sz w:val="20"/>
                <w:szCs w:val="24"/>
                <w:lang w:val="de-DE"/>
              </w:rPr>
              <w:t>and</w:t>
            </w:r>
            <w:proofErr w:type="spellEnd"/>
            <w:r w:rsidRPr="002D69CF">
              <w:rPr>
                <w:sz w:val="20"/>
                <w:szCs w:val="24"/>
                <w:lang w:val="de-DE"/>
              </w:rPr>
              <w:t xml:space="preserve"> </w:t>
            </w:r>
            <w:proofErr w:type="spellStart"/>
            <w:r w:rsidRPr="002D69CF">
              <w:rPr>
                <w:sz w:val="20"/>
                <w:szCs w:val="24"/>
                <w:lang w:val="de-DE"/>
              </w:rPr>
              <w:t>summary</w:t>
            </w:r>
            <w:proofErr w:type="spellEnd"/>
            <w:r w:rsidRPr="002D69CF">
              <w:rPr>
                <w:sz w:val="20"/>
                <w:szCs w:val="24"/>
                <w:lang w:val="de-DE"/>
              </w:rPr>
              <w:t xml:space="preserve"> </w:t>
            </w:r>
            <w:proofErr w:type="spellStart"/>
            <w:r w:rsidRPr="002D69CF">
              <w:rPr>
                <w:sz w:val="20"/>
                <w:szCs w:val="24"/>
                <w:lang w:val="de-DE"/>
              </w:rPr>
              <w:t>tables</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w:t>
            </w:r>
            <w:proofErr w:type="spellStart"/>
            <w:r w:rsidRPr="002D69CF">
              <w:rPr>
                <w:sz w:val="20"/>
                <w:szCs w:val="24"/>
                <w:lang w:val="de-DE"/>
              </w:rPr>
              <w:t>parameters</w:t>
            </w:r>
            <w:proofErr w:type="spellEnd"/>
            <w:r w:rsidRPr="002D69CF">
              <w:rPr>
                <w:sz w:val="20"/>
                <w:szCs w:val="24"/>
                <w:lang w:val="de-DE"/>
              </w:rPr>
              <w:t xml:space="preserve"> </w:t>
            </w:r>
            <w:proofErr w:type="spellStart"/>
            <w:r w:rsidRPr="002D69CF">
              <w:rPr>
                <w:sz w:val="20"/>
                <w:szCs w:val="24"/>
                <w:lang w:val="de-DE"/>
              </w:rPr>
              <w:t>by</w:t>
            </w:r>
            <w:proofErr w:type="spellEnd"/>
            <w:r w:rsidRPr="002D69CF">
              <w:rPr>
                <w:sz w:val="20"/>
                <w:szCs w:val="24"/>
                <w:lang w:val="de-DE"/>
              </w:rPr>
              <w:t xml:space="preserve"> </w:t>
            </w:r>
            <w:proofErr w:type="spellStart"/>
            <w:r w:rsidRPr="002D69CF">
              <w:rPr>
                <w:sz w:val="20"/>
                <w:szCs w:val="24"/>
                <w:lang w:val="de-DE"/>
              </w:rPr>
              <w:t>treatment</w:t>
            </w:r>
            <w:proofErr w:type="spellEnd"/>
            <w:r w:rsidRPr="002D69CF">
              <w:rPr>
                <w:sz w:val="20"/>
                <w:szCs w:val="24"/>
                <w:lang w:val="de-DE"/>
              </w:rPr>
              <w:t xml:space="preserve"> </w:t>
            </w:r>
            <w:proofErr w:type="spellStart"/>
            <w:r w:rsidRPr="002D69CF">
              <w:rPr>
                <w:sz w:val="20"/>
                <w:szCs w:val="24"/>
                <w:lang w:val="de-DE"/>
              </w:rPr>
              <w:t>with</w:t>
            </w:r>
            <w:proofErr w:type="spellEnd"/>
            <w:r w:rsidRPr="002D69CF">
              <w:rPr>
                <w:sz w:val="20"/>
                <w:szCs w:val="24"/>
                <w:lang w:val="de-DE"/>
              </w:rPr>
              <w:t xml:space="preserve">, </w:t>
            </w:r>
            <w:proofErr w:type="spellStart"/>
            <w:r w:rsidRPr="002D69CF">
              <w:rPr>
                <w:sz w:val="20"/>
                <w:szCs w:val="24"/>
                <w:lang w:val="de-DE"/>
              </w:rPr>
              <w:t>by</w:t>
            </w:r>
            <w:proofErr w:type="spellEnd"/>
            <w:r w:rsidRPr="002D69CF">
              <w:rPr>
                <w:sz w:val="20"/>
                <w:szCs w:val="24"/>
                <w:lang w:val="de-DE"/>
              </w:rPr>
              <w:t xml:space="preserve"> </w:t>
            </w:r>
            <w:proofErr w:type="spellStart"/>
            <w:r w:rsidRPr="002D69CF">
              <w:rPr>
                <w:sz w:val="20"/>
                <w:szCs w:val="24"/>
                <w:lang w:val="de-DE"/>
              </w:rPr>
              <w:t>point</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w:t>
            </w:r>
            <w:proofErr w:type="spellStart"/>
            <w:r w:rsidRPr="002D69CF">
              <w:rPr>
                <w:sz w:val="20"/>
                <w:szCs w:val="24"/>
                <w:lang w:val="de-DE"/>
              </w:rPr>
              <w:t>measurement</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number</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w:t>
            </w:r>
            <w:proofErr w:type="spellStart"/>
            <w:r w:rsidRPr="002D69CF">
              <w:rPr>
                <w:sz w:val="20"/>
                <w:szCs w:val="24"/>
                <w:lang w:val="de-DE"/>
              </w:rPr>
              <w:t>observations</w:t>
            </w:r>
            <w:proofErr w:type="spellEnd"/>
            <w:r w:rsidRPr="002D69CF">
              <w:rPr>
                <w:sz w:val="20"/>
                <w:szCs w:val="24"/>
                <w:lang w:val="de-DE"/>
              </w:rPr>
              <w:t xml:space="preserve">, </w:t>
            </w:r>
            <w:proofErr w:type="spellStart"/>
            <w:r w:rsidRPr="002D69CF">
              <w:rPr>
                <w:sz w:val="20"/>
                <w:szCs w:val="24"/>
                <w:lang w:val="de-DE"/>
              </w:rPr>
              <w:t>mean</w:t>
            </w:r>
            <w:proofErr w:type="spellEnd"/>
            <w:r w:rsidRPr="002D69CF">
              <w:rPr>
                <w:sz w:val="20"/>
                <w:szCs w:val="24"/>
                <w:lang w:val="de-DE"/>
              </w:rPr>
              <w:t xml:space="preserve">, SD, median, Min, </w:t>
            </w:r>
            <w:proofErr w:type="spellStart"/>
            <w:r w:rsidRPr="002D69CF">
              <w:rPr>
                <w:sz w:val="20"/>
                <w:szCs w:val="24"/>
                <w:lang w:val="de-DE"/>
              </w:rPr>
              <w:t>and</w:t>
            </w:r>
            <w:proofErr w:type="spellEnd"/>
            <w:r w:rsidRPr="002D69CF">
              <w:rPr>
                <w:sz w:val="20"/>
                <w:szCs w:val="24"/>
                <w:lang w:val="de-DE"/>
              </w:rPr>
              <w:t xml:space="preserve"> Max, </w:t>
            </w:r>
            <w:proofErr w:type="spellStart"/>
            <w:r w:rsidRPr="002D69CF">
              <w:rPr>
                <w:sz w:val="20"/>
                <w:szCs w:val="24"/>
                <w:lang w:val="de-DE"/>
              </w:rPr>
              <w:t>were</w:t>
            </w:r>
            <w:proofErr w:type="spellEnd"/>
            <w:r w:rsidRPr="002D69CF">
              <w:rPr>
                <w:sz w:val="20"/>
                <w:szCs w:val="24"/>
                <w:lang w:val="de-DE"/>
              </w:rPr>
              <w:t xml:space="preserve"> </w:t>
            </w:r>
            <w:proofErr w:type="spellStart"/>
            <w:r w:rsidRPr="002D69CF">
              <w:rPr>
                <w:sz w:val="20"/>
                <w:szCs w:val="24"/>
                <w:lang w:val="de-DE"/>
              </w:rPr>
              <w:t>made</w:t>
            </w:r>
            <w:proofErr w:type="spellEnd"/>
            <w:r w:rsidRPr="002D69CF">
              <w:rPr>
                <w:sz w:val="20"/>
                <w:szCs w:val="24"/>
                <w:lang w:val="de-DE"/>
              </w:rPr>
              <w:t>.</w:t>
            </w:r>
          </w:p>
          <w:p w14:paraId="59A2CB62" w14:textId="77777777" w:rsidR="004B614B" w:rsidRPr="002D69CF" w:rsidRDefault="004B614B" w:rsidP="00D80CA6">
            <w:pPr>
              <w:suppressAutoHyphens w:val="0"/>
              <w:spacing w:before="60" w:after="60" w:line="256" w:lineRule="auto"/>
              <w:rPr>
                <w:sz w:val="20"/>
                <w:szCs w:val="24"/>
                <w:lang w:val="de-DE"/>
              </w:rPr>
            </w:pPr>
            <w:r w:rsidRPr="002D69CF">
              <w:rPr>
                <w:sz w:val="20"/>
                <w:szCs w:val="24"/>
                <w:lang w:val="de-DE"/>
              </w:rPr>
              <w:t xml:space="preserve">Urine </w:t>
            </w:r>
            <w:proofErr w:type="spellStart"/>
            <w:r w:rsidRPr="002D69CF">
              <w:rPr>
                <w:sz w:val="20"/>
                <w:szCs w:val="24"/>
                <w:lang w:val="de-DE"/>
              </w:rPr>
              <w:t>pharmacokinetic</w:t>
            </w:r>
            <w:proofErr w:type="spellEnd"/>
            <w:r w:rsidRPr="002D69CF">
              <w:rPr>
                <w:sz w:val="20"/>
                <w:szCs w:val="24"/>
                <w:lang w:val="de-DE"/>
              </w:rPr>
              <w:t xml:space="preserve"> </w:t>
            </w:r>
            <w:proofErr w:type="spellStart"/>
            <w:r w:rsidRPr="002D69CF">
              <w:rPr>
                <w:sz w:val="20"/>
                <w:szCs w:val="24"/>
                <w:lang w:val="de-DE"/>
              </w:rPr>
              <w:t>parameters</w:t>
            </w:r>
            <w:proofErr w:type="spellEnd"/>
            <w:r w:rsidRPr="002D69CF">
              <w:rPr>
                <w:sz w:val="20"/>
                <w:szCs w:val="24"/>
                <w:lang w:val="de-DE"/>
              </w:rPr>
              <w:t xml:space="preserve"> </w:t>
            </w:r>
            <w:proofErr w:type="spellStart"/>
            <w:r w:rsidRPr="002D69CF">
              <w:rPr>
                <w:sz w:val="20"/>
                <w:szCs w:val="24"/>
                <w:lang w:val="de-DE"/>
              </w:rPr>
              <w:t>were</w:t>
            </w:r>
            <w:proofErr w:type="spellEnd"/>
            <w:r w:rsidRPr="002D69CF">
              <w:rPr>
                <w:sz w:val="20"/>
                <w:szCs w:val="24"/>
                <w:lang w:val="de-DE"/>
              </w:rPr>
              <w:t xml:space="preserve"> </w:t>
            </w:r>
            <w:proofErr w:type="spellStart"/>
            <w:r w:rsidRPr="002D69CF">
              <w:rPr>
                <w:sz w:val="20"/>
                <w:szCs w:val="24"/>
                <w:lang w:val="de-DE"/>
              </w:rPr>
              <w:t>derived</w:t>
            </w:r>
            <w:proofErr w:type="spellEnd"/>
            <w:r w:rsidRPr="002D69CF">
              <w:rPr>
                <w:sz w:val="20"/>
                <w:szCs w:val="24"/>
                <w:lang w:val="de-DE"/>
              </w:rPr>
              <w:t xml:space="preserve">, </w:t>
            </w:r>
            <w:proofErr w:type="spellStart"/>
            <w:r w:rsidRPr="002D69CF">
              <w:rPr>
                <w:sz w:val="20"/>
                <w:szCs w:val="24"/>
                <w:lang w:val="de-DE"/>
              </w:rPr>
              <w:t>when</w:t>
            </w:r>
            <w:proofErr w:type="spellEnd"/>
            <w:r w:rsidRPr="002D69CF">
              <w:rPr>
                <w:sz w:val="20"/>
                <w:szCs w:val="24"/>
                <w:lang w:val="de-DE"/>
              </w:rPr>
              <w:t xml:space="preserve"> relevant, </w:t>
            </w:r>
            <w:proofErr w:type="spellStart"/>
            <w:r w:rsidRPr="002D69CF">
              <w:rPr>
                <w:sz w:val="20"/>
                <w:szCs w:val="24"/>
                <w:lang w:val="de-DE"/>
              </w:rPr>
              <w:t>as</w:t>
            </w:r>
            <w:proofErr w:type="spellEnd"/>
            <w:r w:rsidRPr="002D69CF">
              <w:rPr>
                <w:sz w:val="20"/>
                <w:szCs w:val="24"/>
                <w:lang w:val="de-DE"/>
              </w:rPr>
              <w:t xml:space="preserve"> </w:t>
            </w:r>
            <w:proofErr w:type="spellStart"/>
            <w:r w:rsidRPr="002D69CF">
              <w:rPr>
                <w:sz w:val="20"/>
                <w:szCs w:val="24"/>
                <w:lang w:val="de-DE"/>
              </w:rPr>
              <w:t>follows</w:t>
            </w:r>
            <w:proofErr w:type="spellEnd"/>
            <w:r w:rsidRPr="002D69CF">
              <w:rPr>
                <w:sz w:val="20"/>
                <w:szCs w:val="24"/>
                <w:lang w:val="de-DE"/>
              </w:rPr>
              <w:t>:</w:t>
            </w:r>
          </w:p>
          <w:p w14:paraId="5561612B" w14:textId="77777777" w:rsidR="004B614B" w:rsidRPr="002D69CF" w:rsidRDefault="004B614B" w:rsidP="00D80CA6">
            <w:pPr>
              <w:suppressAutoHyphens w:val="0"/>
              <w:spacing w:before="60" w:after="60" w:line="256" w:lineRule="auto"/>
              <w:rPr>
                <w:sz w:val="20"/>
                <w:szCs w:val="24"/>
                <w:lang w:val="de-DE"/>
              </w:rPr>
            </w:pPr>
            <w:r w:rsidRPr="002D69CF">
              <w:rPr>
                <w:sz w:val="20"/>
                <w:szCs w:val="24"/>
                <w:lang w:val="de-DE"/>
              </w:rPr>
              <w:t>Part 1, Day 1:</w:t>
            </w:r>
          </w:p>
          <w:p w14:paraId="13D98C6F"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r>
            <w:proofErr w:type="spellStart"/>
            <w:r w:rsidRPr="002D69CF">
              <w:rPr>
                <w:sz w:val="20"/>
                <w:szCs w:val="24"/>
                <w:lang w:val="de-DE"/>
              </w:rPr>
              <w:t>CLr</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apparent</w:t>
            </w:r>
            <w:proofErr w:type="spellEnd"/>
            <w:r w:rsidRPr="002D69CF">
              <w:rPr>
                <w:sz w:val="20"/>
                <w:szCs w:val="24"/>
                <w:lang w:val="de-DE"/>
              </w:rPr>
              <w:t xml:space="preserve"> </w:t>
            </w:r>
            <w:proofErr w:type="spellStart"/>
            <w:r w:rsidRPr="002D69CF">
              <w:rPr>
                <w:sz w:val="20"/>
                <w:szCs w:val="24"/>
                <w:lang w:val="de-DE"/>
              </w:rPr>
              <w:t>volume</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w:t>
            </w:r>
            <w:proofErr w:type="spellStart"/>
            <w:r w:rsidRPr="002D69CF">
              <w:rPr>
                <w:sz w:val="20"/>
                <w:szCs w:val="24"/>
                <w:lang w:val="de-DE"/>
              </w:rPr>
              <w:t>plasma</w:t>
            </w:r>
            <w:proofErr w:type="spellEnd"/>
            <w:r w:rsidRPr="002D69CF">
              <w:rPr>
                <w:sz w:val="20"/>
                <w:szCs w:val="24"/>
                <w:lang w:val="de-DE"/>
              </w:rPr>
              <w:t xml:space="preserve"> </w:t>
            </w:r>
            <w:proofErr w:type="spellStart"/>
            <w:r w:rsidRPr="002D69CF">
              <w:rPr>
                <w:sz w:val="20"/>
                <w:szCs w:val="24"/>
                <w:lang w:val="de-DE"/>
              </w:rPr>
              <w:t>cleared</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SBT-020 per </w:t>
            </w:r>
            <w:proofErr w:type="spellStart"/>
            <w:r w:rsidRPr="002D69CF">
              <w:rPr>
                <w:sz w:val="20"/>
                <w:szCs w:val="24"/>
                <w:lang w:val="de-DE"/>
              </w:rPr>
              <w:t>unit</w:t>
            </w:r>
            <w:proofErr w:type="spellEnd"/>
            <w:r w:rsidRPr="002D69CF">
              <w:rPr>
                <w:sz w:val="20"/>
                <w:szCs w:val="24"/>
                <w:lang w:val="de-DE"/>
              </w:rPr>
              <w:t xml:space="preserve"> time via renal </w:t>
            </w:r>
            <w:proofErr w:type="spellStart"/>
            <w:r w:rsidRPr="002D69CF">
              <w:rPr>
                <w:sz w:val="20"/>
                <w:szCs w:val="24"/>
                <w:lang w:val="de-DE"/>
              </w:rPr>
              <w:t>elimination</w:t>
            </w:r>
            <w:proofErr w:type="spellEnd"/>
          </w:p>
          <w:p w14:paraId="1BED41B0"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r>
            <w:proofErr w:type="spellStart"/>
            <w:r w:rsidRPr="002D69CF">
              <w:rPr>
                <w:sz w:val="20"/>
                <w:szCs w:val="24"/>
                <w:lang w:val="de-DE"/>
              </w:rPr>
              <w:t>Ae</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amount</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SBT-020 </w:t>
            </w:r>
            <w:proofErr w:type="spellStart"/>
            <w:r w:rsidRPr="002D69CF">
              <w:rPr>
                <w:sz w:val="20"/>
                <w:szCs w:val="24"/>
                <w:lang w:val="de-DE"/>
              </w:rPr>
              <w:t>excreted</w:t>
            </w:r>
            <w:proofErr w:type="spellEnd"/>
            <w:r w:rsidRPr="002D69CF">
              <w:rPr>
                <w:sz w:val="20"/>
                <w:szCs w:val="24"/>
                <w:lang w:val="de-DE"/>
              </w:rPr>
              <w:t xml:space="preserve"> in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urine</w:t>
            </w:r>
            <w:proofErr w:type="spellEnd"/>
          </w:p>
          <w:p w14:paraId="77FDBBB9"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r>
            <w:proofErr w:type="spellStart"/>
            <w:r w:rsidRPr="002D69CF">
              <w:rPr>
                <w:sz w:val="20"/>
                <w:szCs w:val="24"/>
                <w:lang w:val="de-DE"/>
              </w:rPr>
              <w:t>Fe</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amount</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SBT-020 </w:t>
            </w:r>
            <w:proofErr w:type="spellStart"/>
            <w:r w:rsidRPr="002D69CF">
              <w:rPr>
                <w:sz w:val="20"/>
                <w:szCs w:val="24"/>
                <w:lang w:val="de-DE"/>
              </w:rPr>
              <w:t>eliminated</w:t>
            </w:r>
            <w:proofErr w:type="spellEnd"/>
            <w:r w:rsidRPr="002D69CF">
              <w:rPr>
                <w:sz w:val="20"/>
                <w:szCs w:val="24"/>
                <w:lang w:val="de-DE"/>
              </w:rPr>
              <w:t xml:space="preserve"> in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urine</w:t>
            </w:r>
            <w:proofErr w:type="spellEnd"/>
            <w:r w:rsidRPr="002D69CF">
              <w:rPr>
                <w:sz w:val="20"/>
                <w:szCs w:val="24"/>
                <w:lang w:val="de-DE"/>
              </w:rPr>
              <w:t xml:space="preserve"> </w:t>
            </w:r>
            <w:proofErr w:type="spellStart"/>
            <w:r w:rsidRPr="002D69CF">
              <w:rPr>
                <w:sz w:val="20"/>
                <w:szCs w:val="24"/>
                <w:lang w:val="de-DE"/>
              </w:rPr>
              <w:t>over</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collection</w:t>
            </w:r>
            <w:proofErr w:type="spellEnd"/>
            <w:r w:rsidRPr="002D69CF">
              <w:rPr>
                <w:sz w:val="20"/>
                <w:szCs w:val="24"/>
                <w:lang w:val="de-DE"/>
              </w:rPr>
              <w:t xml:space="preserve"> </w:t>
            </w:r>
            <w:proofErr w:type="spellStart"/>
            <w:r w:rsidRPr="002D69CF">
              <w:rPr>
                <w:sz w:val="20"/>
                <w:szCs w:val="24"/>
                <w:lang w:val="de-DE"/>
              </w:rPr>
              <w:t>period</w:t>
            </w:r>
            <w:proofErr w:type="spellEnd"/>
            <w:r w:rsidRPr="002D69CF">
              <w:rPr>
                <w:sz w:val="20"/>
                <w:szCs w:val="24"/>
                <w:lang w:val="de-DE"/>
              </w:rPr>
              <w:t xml:space="preserve"> </w:t>
            </w:r>
            <w:proofErr w:type="spellStart"/>
            <w:r w:rsidRPr="002D69CF">
              <w:rPr>
                <w:sz w:val="20"/>
                <w:szCs w:val="24"/>
                <w:lang w:val="de-DE"/>
              </w:rPr>
              <w:t>expressed</w:t>
            </w:r>
            <w:proofErr w:type="spellEnd"/>
            <w:r w:rsidRPr="002D69CF">
              <w:rPr>
                <w:sz w:val="20"/>
                <w:szCs w:val="24"/>
                <w:lang w:val="de-DE"/>
              </w:rPr>
              <w:t xml:space="preserve"> </w:t>
            </w:r>
            <w:proofErr w:type="spellStart"/>
            <w:r w:rsidRPr="002D69CF">
              <w:rPr>
                <w:sz w:val="20"/>
                <w:szCs w:val="24"/>
                <w:lang w:val="de-DE"/>
              </w:rPr>
              <w:t>as</w:t>
            </w:r>
            <w:proofErr w:type="spellEnd"/>
            <w:r w:rsidRPr="002D69CF">
              <w:rPr>
                <w:sz w:val="20"/>
                <w:szCs w:val="24"/>
                <w:lang w:val="de-DE"/>
              </w:rPr>
              <w:t xml:space="preserve"> a </w:t>
            </w:r>
            <w:proofErr w:type="spellStart"/>
            <w:r w:rsidRPr="002D69CF">
              <w:rPr>
                <w:sz w:val="20"/>
                <w:szCs w:val="24"/>
                <w:lang w:val="de-DE"/>
              </w:rPr>
              <w:t>percentage</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administered</w:t>
            </w:r>
            <w:proofErr w:type="spellEnd"/>
            <w:r w:rsidRPr="002D69CF">
              <w:rPr>
                <w:sz w:val="20"/>
                <w:szCs w:val="24"/>
                <w:lang w:val="de-DE"/>
              </w:rPr>
              <w:t xml:space="preserve"> dose</w:t>
            </w:r>
          </w:p>
          <w:p w14:paraId="5C17B0A6" w14:textId="77777777" w:rsidR="004B614B" w:rsidRPr="002D69CF" w:rsidRDefault="004B614B" w:rsidP="00D80CA6">
            <w:pPr>
              <w:suppressAutoHyphens w:val="0"/>
              <w:spacing w:before="60" w:after="60" w:line="256" w:lineRule="auto"/>
              <w:rPr>
                <w:sz w:val="20"/>
                <w:szCs w:val="24"/>
                <w:lang w:val="de-DE"/>
              </w:rPr>
            </w:pPr>
            <w:r w:rsidRPr="002D69CF">
              <w:rPr>
                <w:sz w:val="20"/>
                <w:szCs w:val="24"/>
                <w:lang w:val="de-DE"/>
              </w:rPr>
              <w:t>Part 1, Day 7:</w:t>
            </w:r>
          </w:p>
          <w:p w14:paraId="13E0C7AB"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r>
            <w:proofErr w:type="spellStart"/>
            <w:proofErr w:type="gramStart"/>
            <w:r w:rsidRPr="002D69CF">
              <w:rPr>
                <w:sz w:val="20"/>
                <w:szCs w:val="24"/>
                <w:lang w:val="de-DE"/>
              </w:rPr>
              <w:t>CLr,ss</w:t>
            </w:r>
            <w:proofErr w:type="spellEnd"/>
            <w:proofErr w:type="gram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apparent</w:t>
            </w:r>
            <w:proofErr w:type="spellEnd"/>
            <w:r w:rsidRPr="002D69CF">
              <w:rPr>
                <w:sz w:val="20"/>
                <w:szCs w:val="24"/>
                <w:lang w:val="de-DE"/>
              </w:rPr>
              <w:t xml:space="preserve"> </w:t>
            </w:r>
            <w:proofErr w:type="spellStart"/>
            <w:r w:rsidRPr="002D69CF">
              <w:rPr>
                <w:sz w:val="20"/>
                <w:szCs w:val="24"/>
                <w:lang w:val="de-DE"/>
              </w:rPr>
              <w:t>volume</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w:t>
            </w:r>
            <w:proofErr w:type="spellStart"/>
            <w:r w:rsidRPr="002D69CF">
              <w:rPr>
                <w:sz w:val="20"/>
                <w:szCs w:val="24"/>
                <w:lang w:val="de-DE"/>
              </w:rPr>
              <w:t>plasma</w:t>
            </w:r>
            <w:proofErr w:type="spellEnd"/>
            <w:r w:rsidRPr="002D69CF">
              <w:rPr>
                <w:sz w:val="20"/>
                <w:szCs w:val="24"/>
                <w:lang w:val="de-DE"/>
              </w:rPr>
              <w:t xml:space="preserve"> </w:t>
            </w:r>
            <w:proofErr w:type="spellStart"/>
            <w:r w:rsidRPr="002D69CF">
              <w:rPr>
                <w:sz w:val="20"/>
                <w:szCs w:val="24"/>
                <w:lang w:val="de-DE"/>
              </w:rPr>
              <w:t>cleared</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SBT-020 per </w:t>
            </w:r>
            <w:proofErr w:type="spellStart"/>
            <w:r w:rsidRPr="002D69CF">
              <w:rPr>
                <w:sz w:val="20"/>
                <w:szCs w:val="24"/>
                <w:lang w:val="de-DE"/>
              </w:rPr>
              <w:t>unit</w:t>
            </w:r>
            <w:proofErr w:type="spellEnd"/>
            <w:r w:rsidRPr="002D69CF">
              <w:rPr>
                <w:sz w:val="20"/>
                <w:szCs w:val="24"/>
                <w:lang w:val="de-DE"/>
              </w:rPr>
              <w:t xml:space="preserve"> time via renal </w:t>
            </w:r>
            <w:proofErr w:type="spellStart"/>
            <w:r w:rsidRPr="002D69CF">
              <w:rPr>
                <w:sz w:val="20"/>
                <w:szCs w:val="24"/>
                <w:lang w:val="de-DE"/>
              </w:rPr>
              <w:t>elimination</w:t>
            </w:r>
            <w:proofErr w:type="spellEnd"/>
          </w:p>
          <w:p w14:paraId="3158AC29" w14:textId="77777777" w:rsidR="004B614B" w:rsidRPr="002D69CF"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r>
            <w:proofErr w:type="spellStart"/>
            <w:proofErr w:type="gramStart"/>
            <w:r w:rsidRPr="002D69CF">
              <w:rPr>
                <w:sz w:val="20"/>
                <w:szCs w:val="24"/>
                <w:lang w:val="de-DE"/>
              </w:rPr>
              <w:t>Ae,ss</w:t>
            </w:r>
            <w:proofErr w:type="spellEnd"/>
            <w:proofErr w:type="gram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amount</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SBT-020 </w:t>
            </w:r>
            <w:proofErr w:type="spellStart"/>
            <w:r w:rsidRPr="002D69CF">
              <w:rPr>
                <w:sz w:val="20"/>
                <w:szCs w:val="24"/>
                <w:lang w:val="de-DE"/>
              </w:rPr>
              <w:t>excreted</w:t>
            </w:r>
            <w:proofErr w:type="spellEnd"/>
            <w:r w:rsidRPr="002D69CF">
              <w:rPr>
                <w:sz w:val="20"/>
                <w:szCs w:val="24"/>
                <w:lang w:val="de-DE"/>
              </w:rPr>
              <w:t xml:space="preserve"> in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urine</w:t>
            </w:r>
            <w:proofErr w:type="spellEnd"/>
          </w:p>
          <w:p w14:paraId="31D16DD9" w14:textId="77777777" w:rsidR="004B614B" w:rsidRDefault="004B614B" w:rsidP="00D80CA6">
            <w:pPr>
              <w:suppressAutoHyphens w:val="0"/>
              <w:spacing w:before="60" w:after="60" w:line="256" w:lineRule="auto"/>
              <w:ind w:left="270" w:hanging="270"/>
              <w:rPr>
                <w:sz w:val="20"/>
                <w:szCs w:val="24"/>
                <w:lang w:val="de-DE"/>
              </w:rPr>
            </w:pPr>
            <w:r w:rsidRPr="002D69CF">
              <w:rPr>
                <w:sz w:val="20"/>
                <w:szCs w:val="24"/>
                <w:lang w:val="de-DE"/>
              </w:rPr>
              <w:t>•</w:t>
            </w:r>
            <w:r w:rsidRPr="002D69CF">
              <w:rPr>
                <w:sz w:val="20"/>
                <w:szCs w:val="24"/>
                <w:lang w:val="de-DE"/>
              </w:rPr>
              <w:tab/>
            </w:r>
            <w:proofErr w:type="spellStart"/>
            <w:proofErr w:type="gramStart"/>
            <w:r w:rsidRPr="002D69CF">
              <w:rPr>
                <w:sz w:val="20"/>
                <w:szCs w:val="24"/>
                <w:lang w:val="de-DE"/>
              </w:rPr>
              <w:t>Fe,ss</w:t>
            </w:r>
            <w:proofErr w:type="spellEnd"/>
            <w:proofErr w:type="gram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amount</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SBT-020 </w:t>
            </w:r>
            <w:proofErr w:type="spellStart"/>
            <w:r w:rsidRPr="002D69CF">
              <w:rPr>
                <w:sz w:val="20"/>
                <w:szCs w:val="24"/>
                <w:lang w:val="de-DE"/>
              </w:rPr>
              <w:t>eliminated</w:t>
            </w:r>
            <w:proofErr w:type="spellEnd"/>
            <w:r w:rsidRPr="002D69CF">
              <w:rPr>
                <w:sz w:val="20"/>
                <w:szCs w:val="24"/>
                <w:lang w:val="de-DE"/>
              </w:rPr>
              <w:t xml:space="preserve"> in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urine</w:t>
            </w:r>
            <w:proofErr w:type="spellEnd"/>
            <w:r w:rsidRPr="002D69CF">
              <w:rPr>
                <w:sz w:val="20"/>
                <w:szCs w:val="24"/>
                <w:lang w:val="de-DE"/>
              </w:rPr>
              <w:t xml:space="preserve"> </w:t>
            </w:r>
            <w:proofErr w:type="spellStart"/>
            <w:r w:rsidRPr="002D69CF">
              <w:rPr>
                <w:sz w:val="20"/>
                <w:szCs w:val="24"/>
                <w:lang w:val="de-DE"/>
              </w:rPr>
              <w:t>over</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collection</w:t>
            </w:r>
            <w:proofErr w:type="spellEnd"/>
            <w:r w:rsidRPr="002D69CF">
              <w:rPr>
                <w:sz w:val="20"/>
                <w:szCs w:val="24"/>
                <w:lang w:val="de-DE"/>
              </w:rPr>
              <w:t xml:space="preserve"> </w:t>
            </w:r>
            <w:proofErr w:type="spellStart"/>
            <w:r w:rsidRPr="002D69CF">
              <w:rPr>
                <w:sz w:val="20"/>
                <w:szCs w:val="24"/>
                <w:lang w:val="de-DE"/>
              </w:rPr>
              <w:t>period</w:t>
            </w:r>
            <w:proofErr w:type="spellEnd"/>
            <w:r w:rsidRPr="002D69CF">
              <w:rPr>
                <w:sz w:val="20"/>
                <w:szCs w:val="24"/>
                <w:lang w:val="de-DE"/>
              </w:rPr>
              <w:t xml:space="preserve"> </w:t>
            </w:r>
            <w:proofErr w:type="spellStart"/>
            <w:r w:rsidRPr="002D69CF">
              <w:rPr>
                <w:sz w:val="20"/>
                <w:szCs w:val="24"/>
                <w:lang w:val="de-DE"/>
              </w:rPr>
              <w:t>expressed</w:t>
            </w:r>
            <w:proofErr w:type="spellEnd"/>
            <w:r w:rsidRPr="002D69CF">
              <w:rPr>
                <w:sz w:val="20"/>
                <w:szCs w:val="24"/>
                <w:lang w:val="de-DE"/>
              </w:rPr>
              <w:t xml:space="preserve"> </w:t>
            </w:r>
            <w:proofErr w:type="spellStart"/>
            <w:r w:rsidRPr="002D69CF">
              <w:rPr>
                <w:sz w:val="20"/>
                <w:szCs w:val="24"/>
                <w:lang w:val="de-DE"/>
              </w:rPr>
              <w:t>as</w:t>
            </w:r>
            <w:proofErr w:type="spellEnd"/>
            <w:r w:rsidRPr="002D69CF">
              <w:rPr>
                <w:sz w:val="20"/>
                <w:szCs w:val="24"/>
                <w:lang w:val="de-DE"/>
              </w:rPr>
              <w:t xml:space="preserve"> a </w:t>
            </w:r>
            <w:proofErr w:type="spellStart"/>
            <w:r w:rsidRPr="002D69CF">
              <w:rPr>
                <w:sz w:val="20"/>
                <w:szCs w:val="24"/>
                <w:lang w:val="de-DE"/>
              </w:rPr>
              <w:t>percentage</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administered</w:t>
            </w:r>
            <w:proofErr w:type="spellEnd"/>
            <w:r w:rsidRPr="002D69CF">
              <w:rPr>
                <w:sz w:val="20"/>
                <w:szCs w:val="24"/>
                <w:lang w:val="de-DE"/>
              </w:rPr>
              <w:t xml:space="preserve"> dose</w:t>
            </w:r>
          </w:p>
          <w:p w14:paraId="4A6FE636" w14:textId="77777777" w:rsidR="004B614B" w:rsidRPr="00220848" w:rsidRDefault="004B614B" w:rsidP="00D80CA6">
            <w:pPr>
              <w:suppressAutoHyphens w:val="0"/>
              <w:spacing w:before="60" w:after="60" w:line="256" w:lineRule="auto"/>
              <w:rPr>
                <w:sz w:val="20"/>
                <w:szCs w:val="24"/>
                <w:lang w:val="de-DE"/>
              </w:rPr>
            </w:pPr>
            <w:r w:rsidRPr="002D69CF">
              <w:rPr>
                <w:sz w:val="20"/>
                <w:szCs w:val="24"/>
                <w:lang w:val="de-DE"/>
              </w:rPr>
              <w:t xml:space="preserve">Individual PK </w:t>
            </w:r>
            <w:proofErr w:type="spellStart"/>
            <w:r w:rsidRPr="002D69CF">
              <w:rPr>
                <w:sz w:val="20"/>
                <w:szCs w:val="24"/>
                <w:lang w:val="de-DE"/>
              </w:rPr>
              <w:t>parameter</w:t>
            </w:r>
            <w:proofErr w:type="spellEnd"/>
            <w:r w:rsidRPr="002D69CF">
              <w:rPr>
                <w:sz w:val="20"/>
                <w:szCs w:val="24"/>
                <w:lang w:val="de-DE"/>
              </w:rPr>
              <w:t xml:space="preserve"> </w:t>
            </w:r>
            <w:proofErr w:type="spellStart"/>
            <w:r w:rsidRPr="002D69CF">
              <w:rPr>
                <w:sz w:val="20"/>
                <w:szCs w:val="24"/>
                <w:lang w:val="de-DE"/>
              </w:rPr>
              <w:t>data</w:t>
            </w:r>
            <w:proofErr w:type="spellEnd"/>
            <w:r w:rsidRPr="002D69CF">
              <w:rPr>
                <w:sz w:val="20"/>
                <w:szCs w:val="24"/>
                <w:lang w:val="de-DE"/>
              </w:rPr>
              <w:t xml:space="preserve"> </w:t>
            </w:r>
            <w:proofErr w:type="spellStart"/>
            <w:r w:rsidRPr="002D69CF">
              <w:rPr>
                <w:sz w:val="20"/>
                <w:szCs w:val="24"/>
                <w:lang w:val="de-DE"/>
              </w:rPr>
              <w:t>were</w:t>
            </w:r>
            <w:proofErr w:type="spellEnd"/>
            <w:r w:rsidRPr="002D69CF">
              <w:rPr>
                <w:sz w:val="20"/>
                <w:szCs w:val="24"/>
                <w:lang w:val="de-DE"/>
              </w:rPr>
              <w:t xml:space="preserve"> </w:t>
            </w:r>
            <w:proofErr w:type="spellStart"/>
            <w:r w:rsidRPr="002D69CF">
              <w:rPr>
                <w:sz w:val="20"/>
                <w:szCs w:val="24"/>
                <w:lang w:val="de-DE"/>
              </w:rPr>
              <w:t>listed</w:t>
            </w:r>
            <w:proofErr w:type="spellEnd"/>
            <w:r w:rsidRPr="002D69CF">
              <w:rPr>
                <w:sz w:val="20"/>
                <w:szCs w:val="24"/>
                <w:lang w:val="de-DE"/>
              </w:rPr>
              <w:t xml:space="preserve"> </w:t>
            </w:r>
            <w:proofErr w:type="spellStart"/>
            <w:r w:rsidRPr="002D69CF">
              <w:rPr>
                <w:sz w:val="20"/>
                <w:szCs w:val="24"/>
                <w:lang w:val="de-DE"/>
              </w:rPr>
              <w:t>for</w:t>
            </w:r>
            <w:proofErr w:type="spellEnd"/>
            <w:r w:rsidRPr="002D69CF">
              <w:rPr>
                <w:sz w:val="20"/>
                <w:szCs w:val="24"/>
                <w:lang w:val="de-DE"/>
              </w:rPr>
              <w:t xml:space="preserve"> all individual </w:t>
            </w:r>
            <w:proofErr w:type="spellStart"/>
            <w:r w:rsidRPr="002D69CF">
              <w:rPr>
                <w:sz w:val="20"/>
                <w:szCs w:val="24"/>
                <w:lang w:val="de-DE"/>
              </w:rPr>
              <w:t>patients</w:t>
            </w:r>
            <w:proofErr w:type="spellEnd"/>
            <w:r w:rsidRPr="002D69CF">
              <w:rPr>
                <w:sz w:val="20"/>
                <w:szCs w:val="24"/>
                <w:lang w:val="de-DE"/>
              </w:rPr>
              <w:t xml:space="preserve"> </w:t>
            </w:r>
            <w:proofErr w:type="spellStart"/>
            <w:r w:rsidRPr="002D69CF">
              <w:rPr>
                <w:sz w:val="20"/>
                <w:szCs w:val="24"/>
                <w:lang w:val="de-DE"/>
              </w:rPr>
              <w:t>and</w:t>
            </w:r>
            <w:proofErr w:type="spellEnd"/>
            <w:r w:rsidRPr="002D69CF">
              <w:rPr>
                <w:sz w:val="20"/>
                <w:szCs w:val="24"/>
                <w:lang w:val="de-DE"/>
              </w:rPr>
              <w:t xml:space="preserve"> </w:t>
            </w:r>
            <w:proofErr w:type="spellStart"/>
            <w:r w:rsidRPr="002D69CF">
              <w:rPr>
                <w:sz w:val="20"/>
                <w:szCs w:val="24"/>
                <w:lang w:val="de-DE"/>
              </w:rPr>
              <w:t>summary</w:t>
            </w:r>
            <w:proofErr w:type="spellEnd"/>
            <w:r w:rsidRPr="002D69CF">
              <w:rPr>
                <w:sz w:val="20"/>
                <w:szCs w:val="24"/>
                <w:lang w:val="de-DE"/>
              </w:rPr>
              <w:t xml:space="preserve"> </w:t>
            </w:r>
            <w:proofErr w:type="spellStart"/>
            <w:r w:rsidRPr="002D69CF">
              <w:rPr>
                <w:sz w:val="20"/>
                <w:szCs w:val="24"/>
                <w:lang w:val="de-DE"/>
              </w:rPr>
              <w:t>tables</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w:t>
            </w:r>
            <w:proofErr w:type="spellStart"/>
            <w:r w:rsidRPr="002D69CF">
              <w:rPr>
                <w:sz w:val="20"/>
                <w:szCs w:val="24"/>
                <w:lang w:val="de-DE"/>
              </w:rPr>
              <w:t>parameters</w:t>
            </w:r>
            <w:proofErr w:type="spellEnd"/>
            <w:r w:rsidRPr="002D69CF">
              <w:rPr>
                <w:sz w:val="20"/>
                <w:szCs w:val="24"/>
                <w:lang w:val="de-DE"/>
              </w:rPr>
              <w:t xml:space="preserve"> </w:t>
            </w:r>
            <w:proofErr w:type="spellStart"/>
            <w:r w:rsidRPr="002D69CF">
              <w:rPr>
                <w:sz w:val="20"/>
                <w:szCs w:val="24"/>
                <w:lang w:val="de-DE"/>
              </w:rPr>
              <w:t>by</w:t>
            </w:r>
            <w:proofErr w:type="spellEnd"/>
            <w:r w:rsidRPr="002D69CF">
              <w:rPr>
                <w:sz w:val="20"/>
                <w:szCs w:val="24"/>
                <w:lang w:val="de-DE"/>
              </w:rPr>
              <w:t xml:space="preserve"> </w:t>
            </w:r>
            <w:proofErr w:type="spellStart"/>
            <w:r w:rsidRPr="002D69CF">
              <w:rPr>
                <w:sz w:val="20"/>
                <w:szCs w:val="24"/>
                <w:lang w:val="de-DE"/>
              </w:rPr>
              <w:t>treatment</w:t>
            </w:r>
            <w:proofErr w:type="spellEnd"/>
            <w:r w:rsidRPr="002D69CF">
              <w:rPr>
                <w:sz w:val="20"/>
                <w:szCs w:val="24"/>
                <w:lang w:val="de-DE"/>
              </w:rPr>
              <w:t xml:space="preserve"> </w:t>
            </w:r>
            <w:proofErr w:type="spellStart"/>
            <w:r w:rsidRPr="002D69CF">
              <w:rPr>
                <w:sz w:val="20"/>
                <w:szCs w:val="24"/>
                <w:lang w:val="de-DE"/>
              </w:rPr>
              <w:t>with</w:t>
            </w:r>
            <w:proofErr w:type="spellEnd"/>
            <w:r w:rsidRPr="002D69CF">
              <w:rPr>
                <w:sz w:val="20"/>
                <w:szCs w:val="24"/>
                <w:lang w:val="de-DE"/>
              </w:rPr>
              <w:t xml:space="preserve">, </w:t>
            </w:r>
            <w:proofErr w:type="spellStart"/>
            <w:r w:rsidRPr="002D69CF">
              <w:rPr>
                <w:sz w:val="20"/>
                <w:szCs w:val="24"/>
                <w:lang w:val="de-DE"/>
              </w:rPr>
              <w:t>by</w:t>
            </w:r>
            <w:proofErr w:type="spellEnd"/>
            <w:r w:rsidRPr="002D69CF">
              <w:rPr>
                <w:sz w:val="20"/>
                <w:szCs w:val="24"/>
                <w:lang w:val="de-DE"/>
              </w:rPr>
              <w:t xml:space="preserve"> </w:t>
            </w:r>
            <w:proofErr w:type="spellStart"/>
            <w:r w:rsidRPr="002D69CF">
              <w:rPr>
                <w:sz w:val="20"/>
                <w:szCs w:val="24"/>
                <w:lang w:val="de-DE"/>
              </w:rPr>
              <w:t>point</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w:t>
            </w:r>
            <w:proofErr w:type="spellStart"/>
            <w:r w:rsidRPr="002D69CF">
              <w:rPr>
                <w:sz w:val="20"/>
                <w:szCs w:val="24"/>
                <w:lang w:val="de-DE"/>
              </w:rPr>
              <w:t>measurement</w:t>
            </w:r>
            <w:proofErr w:type="spellEnd"/>
            <w:r w:rsidRPr="002D69CF">
              <w:rPr>
                <w:sz w:val="20"/>
                <w:szCs w:val="24"/>
                <w:lang w:val="de-DE"/>
              </w:rPr>
              <w:t xml:space="preserve">, </w:t>
            </w:r>
            <w:proofErr w:type="spellStart"/>
            <w:r w:rsidRPr="002D69CF">
              <w:rPr>
                <w:sz w:val="20"/>
                <w:szCs w:val="24"/>
                <w:lang w:val="de-DE"/>
              </w:rPr>
              <w:t>the</w:t>
            </w:r>
            <w:proofErr w:type="spellEnd"/>
            <w:r w:rsidRPr="002D69CF">
              <w:rPr>
                <w:sz w:val="20"/>
                <w:szCs w:val="24"/>
                <w:lang w:val="de-DE"/>
              </w:rPr>
              <w:t xml:space="preserve"> </w:t>
            </w:r>
            <w:proofErr w:type="spellStart"/>
            <w:r w:rsidRPr="002D69CF">
              <w:rPr>
                <w:sz w:val="20"/>
                <w:szCs w:val="24"/>
                <w:lang w:val="de-DE"/>
              </w:rPr>
              <w:t>number</w:t>
            </w:r>
            <w:proofErr w:type="spellEnd"/>
            <w:r w:rsidRPr="002D69CF">
              <w:rPr>
                <w:sz w:val="20"/>
                <w:szCs w:val="24"/>
                <w:lang w:val="de-DE"/>
              </w:rPr>
              <w:t xml:space="preserve"> </w:t>
            </w:r>
            <w:proofErr w:type="spellStart"/>
            <w:r w:rsidRPr="002D69CF">
              <w:rPr>
                <w:sz w:val="20"/>
                <w:szCs w:val="24"/>
                <w:lang w:val="de-DE"/>
              </w:rPr>
              <w:t>of</w:t>
            </w:r>
            <w:proofErr w:type="spellEnd"/>
            <w:r w:rsidRPr="002D69CF">
              <w:rPr>
                <w:sz w:val="20"/>
                <w:szCs w:val="24"/>
                <w:lang w:val="de-DE"/>
              </w:rPr>
              <w:t xml:space="preserve"> </w:t>
            </w:r>
            <w:proofErr w:type="spellStart"/>
            <w:r w:rsidRPr="002D69CF">
              <w:rPr>
                <w:sz w:val="20"/>
                <w:szCs w:val="24"/>
                <w:lang w:val="de-DE"/>
              </w:rPr>
              <w:t>observations</w:t>
            </w:r>
            <w:proofErr w:type="spellEnd"/>
            <w:r w:rsidRPr="002D69CF">
              <w:rPr>
                <w:sz w:val="20"/>
                <w:szCs w:val="24"/>
                <w:lang w:val="de-DE"/>
              </w:rPr>
              <w:t xml:space="preserve">, </w:t>
            </w:r>
            <w:proofErr w:type="spellStart"/>
            <w:r w:rsidRPr="002D69CF">
              <w:rPr>
                <w:sz w:val="20"/>
                <w:szCs w:val="24"/>
                <w:lang w:val="de-DE"/>
              </w:rPr>
              <w:t>mean</w:t>
            </w:r>
            <w:proofErr w:type="spellEnd"/>
            <w:r w:rsidRPr="002D69CF">
              <w:rPr>
                <w:sz w:val="20"/>
                <w:szCs w:val="24"/>
                <w:lang w:val="de-DE"/>
              </w:rPr>
              <w:t xml:space="preserve">, SD, median, Min, </w:t>
            </w:r>
            <w:proofErr w:type="spellStart"/>
            <w:r w:rsidRPr="002D69CF">
              <w:rPr>
                <w:sz w:val="20"/>
                <w:szCs w:val="24"/>
                <w:lang w:val="de-DE"/>
              </w:rPr>
              <w:t>and</w:t>
            </w:r>
            <w:proofErr w:type="spellEnd"/>
            <w:r w:rsidRPr="002D69CF">
              <w:rPr>
                <w:sz w:val="20"/>
                <w:szCs w:val="24"/>
                <w:lang w:val="de-DE"/>
              </w:rPr>
              <w:t xml:space="preserve"> Max, </w:t>
            </w:r>
            <w:proofErr w:type="spellStart"/>
            <w:r w:rsidRPr="002D69CF">
              <w:rPr>
                <w:sz w:val="20"/>
                <w:szCs w:val="24"/>
                <w:lang w:val="de-DE"/>
              </w:rPr>
              <w:t>were</w:t>
            </w:r>
            <w:proofErr w:type="spellEnd"/>
            <w:r w:rsidRPr="002D69CF">
              <w:rPr>
                <w:sz w:val="20"/>
                <w:szCs w:val="24"/>
                <w:lang w:val="de-DE"/>
              </w:rPr>
              <w:t xml:space="preserve"> </w:t>
            </w:r>
            <w:proofErr w:type="spellStart"/>
            <w:r w:rsidRPr="002D69CF">
              <w:rPr>
                <w:sz w:val="20"/>
                <w:szCs w:val="24"/>
                <w:lang w:val="de-DE"/>
              </w:rPr>
              <w:t>made</w:t>
            </w:r>
            <w:proofErr w:type="spellEnd"/>
            <w:r w:rsidRPr="002D69CF">
              <w:rPr>
                <w:sz w:val="20"/>
                <w:szCs w:val="24"/>
                <w:lang w:val="de-DE"/>
              </w:rPr>
              <w:t>.</w:t>
            </w:r>
          </w:p>
        </w:tc>
      </w:tr>
      <w:tr w:rsidR="004B614B" w:rsidRPr="00220848" w14:paraId="5BDFD85B" w14:textId="77777777" w:rsidTr="00D80CA6">
        <w:trPr>
          <w:trHeight w:val="620"/>
        </w:trPr>
        <w:tc>
          <w:tcPr>
            <w:tcW w:w="9303" w:type="dxa"/>
            <w:gridSpan w:val="2"/>
            <w:tcBorders>
              <w:top w:val="single" w:sz="4" w:space="0" w:color="auto"/>
              <w:left w:val="single" w:sz="4" w:space="0" w:color="auto"/>
              <w:bottom w:val="single" w:sz="4" w:space="0" w:color="auto"/>
              <w:right w:val="single" w:sz="4" w:space="0" w:color="auto"/>
            </w:tcBorders>
            <w:hideMark/>
          </w:tcPr>
          <w:p w14:paraId="38D59E66" w14:textId="77777777" w:rsidR="004B614B" w:rsidRPr="00220848" w:rsidRDefault="004B614B" w:rsidP="00D80CA6">
            <w:pPr>
              <w:suppressAutoHyphens w:val="0"/>
              <w:spacing w:before="60" w:after="60" w:line="256" w:lineRule="auto"/>
              <w:rPr>
                <w:b/>
                <w:sz w:val="20"/>
                <w:szCs w:val="24"/>
              </w:rPr>
            </w:pPr>
            <w:bookmarkStart w:id="2" w:name="_Hlk17805818"/>
            <w:r w:rsidRPr="00220848">
              <w:rPr>
                <w:b/>
                <w:sz w:val="20"/>
                <w:szCs w:val="24"/>
              </w:rPr>
              <w:lastRenderedPageBreak/>
              <w:t>Summary</w:t>
            </w:r>
            <w:r>
              <w:rPr>
                <w:b/>
                <w:sz w:val="20"/>
                <w:szCs w:val="24"/>
              </w:rPr>
              <w:t xml:space="preserve"> Results</w:t>
            </w:r>
            <w:r w:rsidRPr="00220848">
              <w:rPr>
                <w:b/>
                <w:sz w:val="20"/>
                <w:szCs w:val="24"/>
              </w:rPr>
              <w:t>:</w:t>
            </w:r>
          </w:p>
          <w:p w14:paraId="762A72B6" w14:textId="77777777" w:rsidR="004B614B" w:rsidRPr="00220848" w:rsidRDefault="004B614B" w:rsidP="00D80CA6">
            <w:pPr>
              <w:suppressAutoHyphens w:val="0"/>
              <w:spacing w:before="60" w:after="60" w:line="256" w:lineRule="auto"/>
              <w:rPr>
                <w:sz w:val="20"/>
                <w:szCs w:val="24"/>
              </w:rPr>
            </w:pPr>
            <w:r w:rsidRPr="00220848">
              <w:rPr>
                <w:sz w:val="20"/>
                <w:szCs w:val="24"/>
                <w:u w:val="single"/>
              </w:rPr>
              <w:t>Demographics and Subject Disposition:</w:t>
            </w:r>
            <w:r w:rsidRPr="00220848">
              <w:rPr>
                <w:sz w:val="20"/>
                <w:szCs w:val="24"/>
              </w:rPr>
              <w:t xml:space="preserve"> </w:t>
            </w:r>
          </w:p>
          <w:p w14:paraId="557FB125" w14:textId="77777777" w:rsidR="004B614B" w:rsidRDefault="004B614B" w:rsidP="00D80CA6">
            <w:pPr>
              <w:suppressAutoHyphens w:val="0"/>
              <w:spacing w:before="60" w:after="60" w:line="256" w:lineRule="auto"/>
              <w:rPr>
                <w:sz w:val="20"/>
                <w:szCs w:val="24"/>
              </w:rPr>
            </w:pPr>
            <w:r>
              <w:rPr>
                <w:sz w:val="20"/>
                <w:szCs w:val="24"/>
              </w:rPr>
              <w:t>Part 1:  A total of 24 subjects were enrolled (6 x 5 mg SBT-020, 6 x 15 mg SBT-020, 6 x 25 mg SBT-020 and 6 x placebo).  All subjects completed Part 1 and were included in all analyses.</w:t>
            </w:r>
          </w:p>
          <w:p w14:paraId="1EBBAA31" w14:textId="77777777" w:rsidR="004B614B" w:rsidRPr="00220848" w:rsidRDefault="004B614B" w:rsidP="00D80CA6">
            <w:pPr>
              <w:suppressAutoHyphens w:val="0"/>
              <w:spacing w:before="60" w:after="60" w:line="256" w:lineRule="auto"/>
              <w:rPr>
                <w:sz w:val="20"/>
                <w:szCs w:val="24"/>
              </w:rPr>
            </w:pPr>
            <w:r>
              <w:rPr>
                <w:sz w:val="20"/>
                <w:szCs w:val="24"/>
              </w:rPr>
              <w:t>Part 2:  A total of 23 subjects were enrolled (11 x 25 mg SBT-020 and 12 x placebo). All subjects completed Part 2 and were included in the analyses.</w:t>
            </w:r>
          </w:p>
          <w:p w14:paraId="207CD3CC" w14:textId="77777777" w:rsidR="004B614B" w:rsidRPr="00220848" w:rsidRDefault="004B614B" w:rsidP="00D80CA6">
            <w:pPr>
              <w:suppressAutoHyphens w:val="0"/>
              <w:spacing w:before="60" w:after="60" w:line="256" w:lineRule="auto"/>
              <w:rPr>
                <w:iCs/>
                <w:sz w:val="20"/>
                <w:szCs w:val="24"/>
              </w:rPr>
            </w:pPr>
            <w:r>
              <w:rPr>
                <w:sz w:val="20"/>
                <w:szCs w:val="24"/>
              </w:rPr>
              <w:t xml:space="preserve">The same subjects were entered into both Parts 1 and 2 are therefore share demographics and baseline characteristics. </w:t>
            </w:r>
            <w:r w:rsidRPr="00220848">
              <w:rPr>
                <w:sz w:val="20"/>
                <w:szCs w:val="24"/>
              </w:rPr>
              <w:t xml:space="preserve">The treatment groups were well matched overall with regards to demographic and other baseline characteristics. The median age of all subjects was </w:t>
            </w:r>
            <w:r>
              <w:rPr>
                <w:sz w:val="20"/>
                <w:szCs w:val="24"/>
              </w:rPr>
              <w:t>49</w:t>
            </w:r>
            <w:r w:rsidRPr="00220848">
              <w:rPr>
                <w:sz w:val="20"/>
                <w:szCs w:val="24"/>
              </w:rPr>
              <w:t xml:space="preserve"> years (range </w:t>
            </w:r>
            <w:r>
              <w:rPr>
                <w:sz w:val="20"/>
                <w:szCs w:val="24"/>
              </w:rPr>
              <w:t>20</w:t>
            </w:r>
            <w:r w:rsidRPr="00220848">
              <w:rPr>
                <w:sz w:val="20"/>
                <w:szCs w:val="24"/>
              </w:rPr>
              <w:t xml:space="preserve"> to </w:t>
            </w:r>
            <w:r>
              <w:rPr>
                <w:sz w:val="20"/>
                <w:szCs w:val="24"/>
              </w:rPr>
              <w:t>64</w:t>
            </w:r>
            <w:r w:rsidRPr="00220848">
              <w:rPr>
                <w:sz w:val="20"/>
                <w:szCs w:val="24"/>
              </w:rPr>
              <w:t xml:space="preserve"> years). </w:t>
            </w:r>
            <w:r>
              <w:rPr>
                <w:sz w:val="20"/>
                <w:szCs w:val="24"/>
              </w:rPr>
              <w:t xml:space="preserve">11 (45.8%) females and 13 </w:t>
            </w:r>
            <w:r>
              <w:rPr>
                <w:sz w:val="20"/>
                <w:szCs w:val="24"/>
              </w:rPr>
              <w:lastRenderedPageBreak/>
              <w:t>(54.2%) males were randomized. 23</w:t>
            </w:r>
            <w:r w:rsidRPr="00220848">
              <w:rPr>
                <w:sz w:val="20"/>
                <w:szCs w:val="24"/>
              </w:rPr>
              <w:t xml:space="preserve"> subjects (9</w:t>
            </w:r>
            <w:r>
              <w:rPr>
                <w:sz w:val="20"/>
                <w:szCs w:val="24"/>
              </w:rPr>
              <w:t>5.8</w:t>
            </w:r>
            <w:r w:rsidRPr="00220848">
              <w:rPr>
                <w:sz w:val="20"/>
                <w:szCs w:val="24"/>
              </w:rPr>
              <w:t>%) were White</w:t>
            </w:r>
            <w:r>
              <w:rPr>
                <w:sz w:val="20"/>
                <w:szCs w:val="24"/>
              </w:rPr>
              <w:t xml:space="preserve"> and </w:t>
            </w:r>
            <w:r w:rsidRPr="00220848">
              <w:rPr>
                <w:sz w:val="20"/>
                <w:szCs w:val="24"/>
              </w:rPr>
              <w:t>1 subject (</w:t>
            </w:r>
            <w:r>
              <w:rPr>
                <w:sz w:val="20"/>
                <w:szCs w:val="24"/>
              </w:rPr>
              <w:t>4</w:t>
            </w:r>
            <w:r w:rsidRPr="00220848">
              <w:rPr>
                <w:sz w:val="20"/>
                <w:szCs w:val="24"/>
              </w:rPr>
              <w:t>.</w:t>
            </w:r>
            <w:r>
              <w:rPr>
                <w:sz w:val="20"/>
                <w:szCs w:val="24"/>
              </w:rPr>
              <w:t>2</w:t>
            </w:r>
            <w:r w:rsidRPr="00220848">
              <w:rPr>
                <w:sz w:val="20"/>
                <w:szCs w:val="24"/>
              </w:rPr>
              <w:t>%) was reported as “</w:t>
            </w:r>
            <w:r>
              <w:rPr>
                <w:sz w:val="20"/>
                <w:szCs w:val="24"/>
              </w:rPr>
              <w:t>mixed</w:t>
            </w:r>
            <w:r w:rsidRPr="00220848">
              <w:rPr>
                <w:sz w:val="20"/>
                <w:szCs w:val="24"/>
              </w:rPr>
              <w:t>” race</w:t>
            </w:r>
            <w:r>
              <w:rPr>
                <w:sz w:val="20"/>
                <w:szCs w:val="24"/>
              </w:rPr>
              <w:t>. Summary statistics across treatment groups were well-matched.</w:t>
            </w:r>
          </w:p>
          <w:p w14:paraId="6FD60336" w14:textId="77777777" w:rsidR="004B614B" w:rsidRPr="00220848" w:rsidRDefault="004B614B" w:rsidP="00D80CA6">
            <w:pPr>
              <w:suppressAutoHyphens w:val="0"/>
              <w:spacing w:before="60" w:after="60" w:line="256" w:lineRule="auto"/>
              <w:rPr>
                <w:sz w:val="20"/>
                <w:szCs w:val="24"/>
              </w:rPr>
            </w:pPr>
            <w:r>
              <w:rPr>
                <w:sz w:val="20"/>
                <w:szCs w:val="24"/>
                <w:u w:val="single"/>
              </w:rPr>
              <w:t>PD</w:t>
            </w:r>
            <w:r w:rsidRPr="00220848">
              <w:rPr>
                <w:sz w:val="20"/>
                <w:szCs w:val="24"/>
                <w:u w:val="single"/>
              </w:rPr>
              <w:t xml:space="preserve"> Results:</w:t>
            </w:r>
          </w:p>
          <w:p w14:paraId="0046211D" w14:textId="77777777" w:rsidR="004B614B" w:rsidRDefault="004B614B" w:rsidP="00D80CA6">
            <w:pPr>
              <w:suppressAutoHyphens w:val="0"/>
              <w:spacing w:before="60" w:after="60" w:line="256" w:lineRule="auto"/>
              <w:rPr>
                <w:sz w:val="20"/>
                <w:szCs w:val="24"/>
              </w:rPr>
            </w:pPr>
            <w:r>
              <w:rPr>
                <w:sz w:val="20"/>
                <w:szCs w:val="24"/>
              </w:rPr>
              <w:t xml:space="preserve">Part 1: </w:t>
            </w:r>
            <w:r w:rsidRPr="00B03D42">
              <w:rPr>
                <w:sz w:val="20"/>
                <w:szCs w:val="24"/>
              </w:rPr>
              <w:t>SBT-020 at any dose level (5, 15 or 25 mg), administered once daily by SC injection for 7 days failed to demonstrate a difference (vs. placebo) in mitochondrial function assessed by 31P-MRS in skeletal muscle. A statistically significant treatment difference was observed vs. placebo (SBT-020 5 mg p = 0.0363; 15 mg p = 0.051; 25 mg p = 0.0310) in numbers of dysfunctional PBMCs.  MMP was similar or increased following SBT-020 treatment compared to placebo, achieving statistical significance at SBT-020 25 mg (p = 0.0356)</w:t>
            </w:r>
            <w:r>
              <w:rPr>
                <w:sz w:val="20"/>
                <w:szCs w:val="24"/>
              </w:rPr>
              <w:t>.</w:t>
            </w:r>
          </w:p>
          <w:p w14:paraId="1D70F7A1" w14:textId="77777777" w:rsidR="004B614B" w:rsidRDefault="004B614B" w:rsidP="00D80CA6">
            <w:pPr>
              <w:suppressAutoHyphens w:val="0"/>
              <w:spacing w:before="60" w:after="60" w:line="256" w:lineRule="auto"/>
              <w:rPr>
                <w:sz w:val="20"/>
                <w:szCs w:val="24"/>
              </w:rPr>
            </w:pPr>
            <w:r>
              <w:rPr>
                <w:sz w:val="20"/>
                <w:szCs w:val="24"/>
              </w:rPr>
              <w:t xml:space="preserve">Part 2:  </w:t>
            </w:r>
            <w:r w:rsidRPr="003D57D4">
              <w:rPr>
                <w:sz w:val="20"/>
                <w:szCs w:val="24"/>
              </w:rPr>
              <w:t>Overall, endpoints were not statistically significant where SBT-20 treatment was compared to placebo. Comparison of treatment effect in total errors in TMT visual scanning returned a p value of 0.0435 however, this is unlikely to be of clinical relevance</w:t>
            </w:r>
            <w:r>
              <w:rPr>
                <w:sz w:val="20"/>
                <w:szCs w:val="24"/>
              </w:rPr>
              <w:t>.</w:t>
            </w:r>
          </w:p>
          <w:p w14:paraId="11D8A7C5" w14:textId="77777777" w:rsidR="004B614B" w:rsidRDefault="004B614B" w:rsidP="00D80CA6">
            <w:pPr>
              <w:suppressAutoHyphens w:val="0"/>
              <w:spacing w:before="60" w:after="60" w:line="256" w:lineRule="auto"/>
              <w:rPr>
                <w:sz w:val="20"/>
                <w:szCs w:val="24"/>
              </w:rPr>
            </w:pPr>
            <w:r w:rsidRPr="00655895">
              <w:rPr>
                <w:sz w:val="20"/>
                <w:szCs w:val="24"/>
                <w:u w:val="single"/>
              </w:rPr>
              <w:t>PK Results</w:t>
            </w:r>
            <w:r w:rsidRPr="003D57D4">
              <w:rPr>
                <w:sz w:val="20"/>
                <w:szCs w:val="24"/>
              </w:rPr>
              <w:t>:</w:t>
            </w:r>
            <w:r>
              <w:rPr>
                <w:sz w:val="20"/>
                <w:szCs w:val="24"/>
              </w:rPr>
              <w:t xml:space="preserve"> Part 1 </w:t>
            </w:r>
            <w:bookmarkStart w:id="3" w:name="_Hlk11722353"/>
            <w:bookmarkEnd w:id="3"/>
            <w:r>
              <w:rPr>
                <w:sz w:val="20"/>
                <w:szCs w:val="24"/>
              </w:rPr>
              <w:t>summary SBT-020 plasma PK parameters are presented below:</w:t>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627"/>
              <w:gridCol w:w="990"/>
              <w:gridCol w:w="899"/>
              <w:gridCol w:w="1170"/>
              <w:gridCol w:w="1079"/>
              <w:gridCol w:w="990"/>
              <w:gridCol w:w="1081"/>
            </w:tblGrid>
            <w:tr w:rsidR="004B614B" w:rsidRPr="00A65B78" w14:paraId="797985D2" w14:textId="77777777" w:rsidTr="00D80CA6">
              <w:trPr>
                <w:trHeight w:hRule="exact" w:val="260"/>
                <w:tblHeader/>
              </w:trPr>
              <w:tc>
                <w:tcPr>
                  <w:tcW w:w="1161" w:type="pct"/>
                  <w:vAlign w:val="center"/>
                </w:tcPr>
                <w:p w14:paraId="3FA8EEFB" w14:textId="77777777" w:rsidR="004B614B" w:rsidRPr="00AB314A" w:rsidRDefault="004B614B" w:rsidP="00D80CA6">
                  <w:pPr>
                    <w:rPr>
                      <w:b/>
                      <w:bCs/>
                      <w:sz w:val="16"/>
                      <w:lang w:val="en-GB"/>
                    </w:rPr>
                  </w:pPr>
                  <w:r w:rsidRPr="00AB314A">
                    <w:rPr>
                      <w:b/>
                      <w:bCs/>
                      <w:sz w:val="16"/>
                      <w:lang w:val="en-GB"/>
                    </w:rPr>
                    <w:t>Parameter</w:t>
                  </w:r>
                </w:p>
              </w:tc>
              <w:tc>
                <w:tcPr>
                  <w:tcW w:w="352" w:type="pct"/>
                  <w:vAlign w:val="center"/>
                </w:tcPr>
                <w:p w14:paraId="4EE4F8C9" w14:textId="77777777" w:rsidR="004B614B" w:rsidRPr="00AB314A" w:rsidRDefault="004B614B" w:rsidP="00D80CA6">
                  <w:pPr>
                    <w:jc w:val="center"/>
                    <w:rPr>
                      <w:b/>
                      <w:bCs/>
                      <w:sz w:val="16"/>
                      <w:lang w:val="en-GB"/>
                    </w:rPr>
                  </w:pPr>
                  <w:r w:rsidRPr="00AB314A">
                    <w:rPr>
                      <w:b/>
                      <w:bCs/>
                      <w:sz w:val="16"/>
                      <w:lang w:val="en-GB"/>
                    </w:rPr>
                    <w:t>n</w:t>
                  </w:r>
                </w:p>
              </w:tc>
              <w:tc>
                <w:tcPr>
                  <w:tcW w:w="556" w:type="pct"/>
                  <w:vAlign w:val="center"/>
                </w:tcPr>
                <w:p w14:paraId="41291C8C" w14:textId="77777777" w:rsidR="004B614B" w:rsidRPr="00AB314A" w:rsidRDefault="004B614B" w:rsidP="00D80CA6">
                  <w:pPr>
                    <w:jc w:val="center"/>
                    <w:rPr>
                      <w:b/>
                      <w:bCs/>
                      <w:sz w:val="16"/>
                      <w:lang w:val="en-GB"/>
                    </w:rPr>
                  </w:pPr>
                  <w:r w:rsidRPr="00AB314A">
                    <w:rPr>
                      <w:b/>
                      <w:bCs/>
                      <w:sz w:val="16"/>
                      <w:lang w:val="en-GB"/>
                    </w:rPr>
                    <w:t>Mean</w:t>
                  </w:r>
                </w:p>
              </w:tc>
              <w:tc>
                <w:tcPr>
                  <w:tcW w:w="505" w:type="pct"/>
                  <w:vAlign w:val="center"/>
                </w:tcPr>
                <w:p w14:paraId="6139056B" w14:textId="77777777" w:rsidR="004B614B" w:rsidRPr="00AB314A" w:rsidRDefault="004B614B" w:rsidP="00D80CA6">
                  <w:pPr>
                    <w:jc w:val="center"/>
                    <w:rPr>
                      <w:b/>
                      <w:bCs/>
                      <w:sz w:val="16"/>
                      <w:lang w:val="en-GB"/>
                    </w:rPr>
                  </w:pPr>
                  <w:r w:rsidRPr="00AB314A">
                    <w:rPr>
                      <w:b/>
                      <w:bCs/>
                      <w:sz w:val="16"/>
                      <w:lang w:val="en-GB"/>
                    </w:rPr>
                    <w:t>Median</w:t>
                  </w:r>
                </w:p>
              </w:tc>
              <w:tc>
                <w:tcPr>
                  <w:tcW w:w="657" w:type="pct"/>
                  <w:vAlign w:val="center"/>
                </w:tcPr>
                <w:p w14:paraId="6391BC8D" w14:textId="77777777" w:rsidR="004B614B" w:rsidRPr="00AB314A" w:rsidRDefault="004B614B" w:rsidP="00D80CA6">
                  <w:pPr>
                    <w:jc w:val="center"/>
                    <w:rPr>
                      <w:b/>
                      <w:bCs/>
                      <w:sz w:val="16"/>
                      <w:lang w:val="en-GB"/>
                    </w:rPr>
                  </w:pPr>
                  <w:r w:rsidRPr="00AB314A">
                    <w:rPr>
                      <w:b/>
                      <w:bCs/>
                      <w:sz w:val="16"/>
                      <w:lang w:val="en-GB"/>
                    </w:rPr>
                    <w:t>SD</w:t>
                  </w:r>
                </w:p>
              </w:tc>
              <w:tc>
                <w:tcPr>
                  <w:tcW w:w="606" w:type="pct"/>
                  <w:vAlign w:val="center"/>
                </w:tcPr>
                <w:p w14:paraId="68FB4F87" w14:textId="77777777" w:rsidR="004B614B" w:rsidRPr="00AB314A" w:rsidRDefault="004B614B" w:rsidP="00D80CA6">
                  <w:pPr>
                    <w:jc w:val="center"/>
                    <w:rPr>
                      <w:b/>
                      <w:bCs/>
                      <w:sz w:val="16"/>
                      <w:lang w:val="en-GB"/>
                    </w:rPr>
                  </w:pPr>
                  <w:r w:rsidRPr="00AB314A">
                    <w:rPr>
                      <w:b/>
                      <w:bCs/>
                      <w:sz w:val="16"/>
                      <w:lang w:val="en-GB"/>
                    </w:rPr>
                    <w:t>CV</w:t>
                  </w:r>
                </w:p>
              </w:tc>
              <w:tc>
                <w:tcPr>
                  <w:tcW w:w="556" w:type="pct"/>
                  <w:vAlign w:val="center"/>
                </w:tcPr>
                <w:p w14:paraId="0C26D3E0" w14:textId="77777777" w:rsidR="004B614B" w:rsidRPr="00AB314A" w:rsidRDefault="004B614B" w:rsidP="00D80CA6">
                  <w:pPr>
                    <w:jc w:val="center"/>
                    <w:rPr>
                      <w:b/>
                      <w:bCs/>
                      <w:sz w:val="16"/>
                      <w:lang w:val="en-GB"/>
                    </w:rPr>
                  </w:pPr>
                  <w:r w:rsidRPr="00AB314A">
                    <w:rPr>
                      <w:b/>
                      <w:bCs/>
                      <w:sz w:val="16"/>
                      <w:lang w:val="en-GB"/>
                    </w:rPr>
                    <w:t>Min</w:t>
                  </w:r>
                </w:p>
              </w:tc>
              <w:tc>
                <w:tcPr>
                  <w:tcW w:w="606" w:type="pct"/>
                  <w:vAlign w:val="center"/>
                </w:tcPr>
                <w:p w14:paraId="489AE615" w14:textId="77777777" w:rsidR="004B614B" w:rsidRPr="00AB314A" w:rsidRDefault="004B614B" w:rsidP="00D80CA6">
                  <w:pPr>
                    <w:jc w:val="center"/>
                    <w:rPr>
                      <w:b/>
                      <w:bCs/>
                      <w:sz w:val="16"/>
                      <w:lang w:val="en-GB"/>
                    </w:rPr>
                  </w:pPr>
                  <w:r w:rsidRPr="00AB314A">
                    <w:rPr>
                      <w:b/>
                      <w:bCs/>
                      <w:sz w:val="16"/>
                      <w:lang w:val="en-GB"/>
                    </w:rPr>
                    <w:t>Max</w:t>
                  </w:r>
                </w:p>
              </w:tc>
            </w:tr>
            <w:tr w:rsidR="004B614B" w:rsidRPr="00A65B78" w14:paraId="1592CA44" w14:textId="77777777" w:rsidTr="00D80CA6">
              <w:trPr>
                <w:trHeight w:hRule="exact" w:val="260"/>
              </w:trPr>
              <w:tc>
                <w:tcPr>
                  <w:tcW w:w="1161" w:type="pct"/>
                  <w:vAlign w:val="center"/>
                </w:tcPr>
                <w:p w14:paraId="460FD375" w14:textId="77777777" w:rsidR="004B614B" w:rsidRPr="00AA2789" w:rsidRDefault="004B614B" w:rsidP="00D80CA6">
                  <w:pPr>
                    <w:rPr>
                      <w:b/>
                      <w:bCs/>
                      <w:sz w:val="16"/>
                      <w:lang w:val="en-GB"/>
                    </w:rPr>
                  </w:pPr>
                  <w:r w:rsidRPr="00AA2789">
                    <w:rPr>
                      <w:b/>
                      <w:bCs/>
                      <w:sz w:val="16"/>
                      <w:lang w:val="en-GB"/>
                    </w:rPr>
                    <w:t>SBT-020 5 mg – Day 1</w:t>
                  </w:r>
                </w:p>
              </w:tc>
              <w:tc>
                <w:tcPr>
                  <w:tcW w:w="3839" w:type="pct"/>
                  <w:gridSpan w:val="7"/>
                  <w:vAlign w:val="center"/>
                </w:tcPr>
                <w:p w14:paraId="6830073E" w14:textId="77777777" w:rsidR="004B614B" w:rsidRPr="00A65B78" w:rsidRDefault="004B614B" w:rsidP="00D80CA6">
                  <w:pPr>
                    <w:rPr>
                      <w:sz w:val="16"/>
                      <w:lang w:val="en-GB"/>
                    </w:rPr>
                  </w:pPr>
                </w:p>
              </w:tc>
            </w:tr>
            <w:tr w:rsidR="004B614B" w:rsidRPr="00A65B78" w14:paraId="5BD7EBC2" w14:textId="77777777" w:rsidTr="00D80CA6">
              <w:trPr>
                <w:trHeight w:hRule="exact" w:val="260"/>
              </w:trPr>
              <w:tc>
                <w:tcPr>
                  <w:tcW w:w="1161" w:type="pct"/>
                  <w:vAlign w:val="center"/>
                </w:tcPr>
                <w:p w14:paraId="3B664608" w14:textId="77777777" w:rsidR="004B614B" w:rsidRPr="00A65B78" w:rsidRDefault="004B614B" w:rsidP="00D80CA6">
                  <w:pPr>
                    <w:rPr>
                      <w:sz w:val="16"/>
                      <w:lang w:val="en-GB"/>
                    </w:rPr>
                  </w:pPr>
                  <w:proofErr w:type="spellStart"/>
                  <w:r w:rsidRPr="00A65B78">
                    <w:rPr>
                      <w:sz w:val="16"/>
                      <w:lang w:val="en-GB"/>
                    </w:rPr>
                    <w:t>Cmax</w:t>
                  </w:r>
                  <w:proofErr w:type="spellEnd"/>
                  <w:r w:rsidRPr="00A65B78">
                    <w:rPr>
                      <w:sz w:val="16"/>
                      <w:lang w:val="en-GB"/>
                    </w:rPr>
                    <w:t xml:space="preserve"> (ng/ml)</w:t>
                  </w:r>
                </w:p>
              </w:tc>
              <w:tc>
                <w:tcPr>
                  <w:tcW w:w="352" w:type="pct"/>
                  <w:vAlign w:val="center"/>
                </w:tcPr>
                <w:p w14:paraId="5D9964A4" w14:textId="77777777" w:rsidR="004B614B" w:rsidRPr="00A65B78" w:rsidRDefault="004B614B" w:rsidP="00D80CA6">
                  <w:pPr>
                    <w:jc w:val="center"/>
                    <w:rPr>
                      <w:sz w:val="16"/>
                      <w:lang w:val="en-GB"/>
                    </w:rPr>
                  </w:pPr>
                  <w:r w:rsidRPr="00A65B78">
                    <w:rPr>
                      <w:sz w:val="16"/>
                      <w:lang w:val="en-GB"/>
                    </w:rPr>
                    <w:t>6</w:t>
                  </w:r>
                </w:p>
              </w:tc>
              <w:tc>
                <w:tcPr>
                  <w:tcW w:w="556" w:type="pct"/>
                  <w:vAlign w:val="center"/>
                </w:tcPr>
                <w:p w14:paraId="60B6C935" w14:textId="77777777" w:rsidR="004B614B" w:rsidRPr="00A65B78" w:rsidRDefault="004B614B" w:rsidP="00D80CA6">
                  <w:pPr>
                    <w:jc w:val="center"/>
                    <w:rPr>
                      <w:sz w:val="16"/>
                      <w:lang w:val="en-GB"/>
                    </w:rPr>
                  </w:pPr>
                  <w:r w:rsidRPr="00A65B78">
                    <w:rPr>
                      <w:sz w:val="16"/>
                      <w:lang w:val="en-GB"/>
                    </w:rPr>
                    <w:t>220.67</w:t>
                  </w:r>
                </w:p>
              </w:tc>
              <w:tc>
                <w:tcPr>
                  <w:tcW w:w="505" w:type="pct"/>
                  <w:vAlign w:val="center"/>
                </w:tcPr>
                <w:p w14:paraId="5F51EA17" w14:textId="77777777" w:rsidR="004B614B" w:rsidRPr="00A65B78" w:rsidRDefault="004B614B" w:rsidP="00D80CA6">
                  <w:pPr>
                    <w:jc w:val="center"/>
                    <w:rPr>
                      <w:sz w:val="16"/>
                      <w:lang w:val="en-GB"/>
                    </w:rPr>
                  </w:pPr>
                  <w:r w:rsidRPr="00A65B78">
                    <w:rPr>
                      <w:sz w:val="16"/>
                      <w:lang w:val="en-GB"/>
                    </w:rPr>
                    <w:t>199.00</w:t>
                  </w:r>
                </w:p>
              </w:tc>
              <w:tc>
                <w:tcPr>
                  <w:tcW w:w="657" w:type="pct"/>
                  <w:vAlign w:val="center"/>
                </w:tcPr>
                <w:p w14:paraId="648E6D83" w14:textId="77777777" w:rsidR="004B614B" w:rsidRPr="00A65B78" w:rsidRDefault="004B614B" w:rsidP="00D80CA6">
                  <w:pPr>
                    <w:jc w:val="center"/>
                    <w:rPr>
                      <w:sz w:val="16"/>
                      <w:lang w:val="en-GB"/>
                    </w:rPr>
                  </w:pPr>
                  <w:r w:rsidRPr="00A65B78">
                    <w:rPr>
                      <w:sz w:val="16"/>
                      <w:lang w:val="en-GB"/>
                    </w:rPr>
                    <w:t>56.23</w:t>
                  </w:r>
                </w:p>
              </w:tc>
              <w:tc>
                <w:tcPr>
                  <w:tcW w:w="606" w:type="pct"/>
                  <w:vAlign w:val="center"/>
                </w:tcPr>
                <w:p w14:paraId="470C2FC7" w14:textId="77777777" w:rsidR="004B614B" w:rsidRPr="00A65B78" w:rsidRDefault="004B614B" w:rsidP="00D80CA6">
                  <w:pPr>
                    <w:jc w:val="center"/>
                    <w:rPr>
                      <w:sz w:val="16"/>
                      <w:lang w:val="en-GB"/>
                    </w:rPr>
                  </w:pPr>
                  <w:r w:rsidRPr="00A65B78">
                    <w:rPr>
                      <w:sz w:val="16"/>
                      <w:lang w:val="en-GB"/>
                    </w:rPr>
                    <w:t>25.48</w:t>
                  </w:r>
                </w:p>
              </w:tc>
              <w:tc>
                <w:tcPr>
                  <w:tcW w:w="556" w:type="pct"/>
                  <w:vAlign w:val="center"/>
                </w:tcPr>
                <w:p w14:paraId="3991C26E" w14:textId="77777777" w:rsidR="004B614B" w:rsidRPr="00A65B78" w:rsidRDefault="004B614B" w:rsidP="00D80CA6">
                  <w:pPr>
                    <w:jc w:val="center"/>
                    <w:rPr>
                      <w:sz w:val="16"/>
                      <w:lang w:val="en-GB"/>
                    </w:rPr>
                  </w:pPr>
                  <w:r w:rsidRPr="00A65B78">
                    <w:rPr>
                      <w:sz w:val="16"/>
                      <w:lang w:val="en-GB"/>
                    </w:rPr>
                    <w:t>174.00</w:t>
                  </w:r>
                </w:p>
              </w:tc>
              <w:tc>
                <w:tcPr>
                  <w:tcW w:w="606" w:type="pct"/>
                  <w:vAlign w:val="center"/>
                </w:tcPr>
                <w:p w14:paraId="27DCC756" w14:textId="77777777" w:rsidR="004B614B" w:rsidRPr="00A65B78" w:rsidRDefault="004B614B" w:rsidP="00D80CA6">
                  <w:pPr>
                    <w:jc w:val="center"/>
                    <w:rPr>
                      <w:sz w:val="16"/>
                      <w:lang w:val="en-GB"/>
                    </w:rPr>
                  </w:pPr>
                  <w:r w:rsidRPr="00A65B78">
                    <w:rPr>
                      <w:sz w:val="16"/>
                      <w:lang w:val="en-GB"/>
                    </w:rPr>
                    <w:t>311.00</w:t>
                  </w:r>
                </w:p>
              </w:tc>
            </w:tr>
            <w:tr w:rsidR="004B614B" w:rsidRPr="00A65B78" w14:paraId="5CC83D1D" w14:textId="77777777" w:rsidTr="00D80CA6">
              <w:trPr>
                <w:trHeight w:hRule="exact" w:val="260"/>
              </w:trPr>
              <w:tc>
                <w:tcPr>
                  <w:tcW w:w="1161" w:type="pct"/>
                  <w:vAlign w:val="center"/>
                </w:tcPr>
                <w:p w14:paraId="057C5031" w14:textId="77777777" w:rsidR="004B614B" w:rsidRPr="00A65B78" w:rsidRDefault="004B614B" w:rsidP="00D80CA6">
                  <w:pPr>
                    <w:rPr>
                      <w:sz w:val="16"/>
                      <w:lang w:val="en-GB"/>
                    </w:rPr>
                  </w:pPr>
                  <w:proofErr w:type="spellStart"/>
                  <w:r w:rsidRPr="00A65B78">
                    <w:rPr>
                      <w:sz w:val="16"/>
                      <w:lang w:val="en-GB"/>
                    </w:rPr>
                    <w:t>tmax</w:t>
                  </w:r>
                  <w:proofErr w:type="spellEnd"/>
                  <w:r w:rsidRPr="00A65B78">
                    <w:rPr>
                      <w:sz w:val="16"/>
                      <w:lang w:val="en-GB"/>
                    </w:rPr>
                    <w:t xml:space="preserve"> (h)</w:t>
                  </w:r>
                </w:p>
              </w:tc>
              <w:tc>
                <w:tcPr>
                  <w:tcW w:w="352" w:type="pct"/>
                  <w:vAlign w:val="center"/>
                </w:tcPr>
                <w:p w14:paraId="0D1D0BB2" w14:textId="77777777" w:rsidR="004B614B" w:rsidRPr="00A65B78" w:rsidRDefault="004B614B" w:rsidP="00D80CA6">
                  <w:pPr>
                    <w:jc w:val="center"/>
                    <w:rPr>
                      <w:sz w:val="16"/>
                      <w:lang w:val="en-GB"/>
                    </w:rPr>
                  </w:pPr>
                  <w:r w:rsidRPr="00A65B78">
                    <w:rPr>
                      <w:sz w:val="16"/>
                      <w:lang w:val="en-GB"/>
                    </w:rPr>
                    <w:t>6</w:t>
                  </w:r>
                </w:p>
              </w:tc>
              <w:tc>
                <w:tcPr>
                  <w:tcW w:w="556" w:type="pct"/>
                  <w:vAlign w:val="center"/>
                </w:tcPr>
                <w:p w14:paraId="2E565F5E" w14:textId="77777777" w:rsidR="004B614B" w:rsidRPr="00A65B78" w:rsidRDefault="004B614B" w:rsidP="00D80CA6">
                  <w:pPr>
                    <w:jc w:val="center"/>
                    <w:rPr>
                      <w:sz w:val="16"/>
                      <w:lang w:val="en-GB"/>
                    </w:rPr>
                  </w:pPr>
                  <w:r w:rsidRPr="00A65B78">
                    <w:rPr>
                      <w:sz w:val="16"/>
                      <w:lang w:val="en-GB"/>
                    </w:rPr>
                    <w:t>0.71</w:t>
                  </w:r>
                </w:p>
              </w:tc>
              <w:tc>
                <w:tcPr>
                  <w:tcW w:w="505" w:type="pct"/>
                  <w:vAlign w:val="center"/>
                </w:tcPr>
                <w:p w14:paraId="4295595D" w14:textId="77777777" w:rsidR="004B614B" w:rsidRPr="00A65B78" w:rsidRDefault="004B614B" w:rsidP="00D80CA6">
                  <w:pPr>
                    <w:jc w:val="center"/>
                    <w:rPr>
                      <w:sz w:val="16"/>
                      <w:lang w:val="en-GB"/>
                    </w:rPr>
                  </w:pPr>
                  <w:r w:rsidRPr="00A65B78">
                    <w:rPr>
                      <w:sz w:val="16"/>
                      <w:lang w:val="en-GB"/>
                    </w:rPr>
                    <w:t>0.62</w:t>
                  </w:r>
                </w:p>
              </w:tc>
              <w:tc>
                <w:tcPr>
                  <w:tcW w:w="657" w:type="pct"/>
                  <w:vAlign w:val="center"/>
                </w:tcPr>
                <w:p w14:paraId="769211CF" w14:textId="77777777" w:rsidR="004B614B" w:rsidRPr="00A65B78" w:rsidRDefault="004B614B" w:rsidP="00D80CA6">
                  <w:pPr>
                    <w:jc w:val="center"/>
                    <w:rPr>
                      <w:sz w:val="16"/>
                      <w:lang w:val="en-GB"/>
                    </w:rPr>
                  </w:pPr>
                  <w:r w:rsidRPr="00A65B78">
                    <w:rPr>
                      <w:sz w:val="16"/>
                      <w:lang w:val="en-GB"/>
                    </w:rPr>
                    <w:t>0.25</w:t>
                  </w:r>
                </w:p>
              </w:tc>
              <w:tc>
                <w:tcPr>
                  <w:tcW w:w="606" w:type="pct"/>
                  <w:vAlign w:val="center"/>
                </w:tcPr>
                <w:p w14:paraId="5CC227E9" w14:textId="77777777" w:rsidR="004B614B" w:rsidRPr="00A65B78" w:rsidRDefault="004B614B" w:rsidP="00D80CA6">
                  <w:pPr>
                    <w:jc w:val="center"/>
                    <w:rPr>
                      <w:sz w:val="16"/>
                      <w:lang w:val="en-GB"/>
                    </w:rPr>
                  </w:pPr>
                  <w:r w:rsidRPr="00A65B78">
                    <w:rPr>
                      <w:sz w:val="16"/>
                      <w:lang w:val="en-GB"/>
                    </w:rPr>
                    <w:t>34.70</w:t>
                  </w:r>
                </w:p>
              </w:tc>
              <w:tc>
                <w:tcPr>
                  <w:tcW w:w="556" w:type="pct"/>
                  <w:vAlign w:val="center"/>
                </w:tcPr>
                <w:p w14:paraId="1F81FD46" w14:textId="77777777" w:rsidR="004B614B" w:rsidRPr="00A65B78" w:rsidRDefault="004B614B" w:rsidP="00D80CA6">
                  <w:pPr>
                    <w:jc w:val="center"/>
                    <w:rPr>
                      <w:sz w:val="16"/>
                      <w:lang w:val="en-GB"/>
                    </w:rPr>
                  </w:pPr>
                  <w:r w:rsidRPr="00A65B78">
                    <w:rPr>
                      <w:sz w:val="16"/>
                      <w:lang w:val="en-GB"/>
                    </w:rPr>
                    <w:t>0.50</w:t>
                  </w:r>
                </w:p>
              </w:tc>
              <w:tc>
                <w:tcPr>
                  <w:tcW w:w="606" w:type="pct"/>
                  <w:vAlign w:val="center"/>
                </w:tcPr>
                <w:p w14:paraId="58DE21EC" w14:textId="77777777" w:rsidR="004B614B" w:rsidRPr="00A65B78" w:rsidRDefault="004B614B" w:rsidP="00D80CA6">
                  <w:pPr>
                    <w:jc w:val="center"/>
                    <w:rPr>
                      <w:sz w:val="16"/>
                      <w:lang w:val="en-GB"/>
                    </w:rPr>
                  </w:pPr>
                  <w:r w:rsidRPr="00A65B78">
                    <w:rPr>
                      <w:sz w:val="16"/>
                      <w:lang w:val="en-GB"/>
                    </w:rPr>
                    <w:t>1.00</w:t>
                  </w:r>
                </w:p>
              </w:tc>
            </w:tr>
            <w:tr w:rsidR="004B614B" w:rsidRPr="00A65B78" w14:paraId="3E8956A7" w14:textId="77777777" w:rsidTr="00D80CA6">
              <w:trPr>
                <w:trHeight w:hRule="exact" w:val="260"/>
              </w:trPr>
              <w:tc>
                <w:tcPr>
                  <w:tcW w:w="1161" w:type="pct"/>
                  <w:vAlign w:val="center"/>
                </w:tcPr>
                <w:p w14:paraId="08DD6E56" w14:textId="77777777" w:rsidR="004B614B" w:rsidRPr="00A65B78" w:rsidRDefault="004B614B" w:rsidP="00D80CA6">
                  <w:pPr>
                    <w:rPr>
                      <w:sz w:val="16"/>
                      <w:lang w:val="en-GB"/>
                    </w:rPr>
                  </w:pPr>
                  <w:proofErr w:type="spellStart"/>
                  <w:r w:rsidRPr="00A65B78">
                    <w:rPr>
                      <w:sz w:val="16"/>
                      <w:lang w:val="en-GB"/>
                    </w:rPr>
                    <w:t>tlag</w:t>
                  </w:r>
                  <w:proofErr w:type="spellEnd"/>
                  <w:r w:rsidRPr="00A65B78">
                    <w:rPr>
                      <w:sz w:val="16"/>
                      <w:lang w:val="en-GB"/>
                    </w:rPr>
                    <w:t xml:space="preserve"> (h)</w:t>
                  </w:r>
                </w:p>
              </w:tc>
              <w:tc>
                <w:tcPr>
                  <w:tcW w:w="352" w:type="pct"/>
                  <w:vAlign w:val="center"/>
                </w:tcPr>
                <w:p w14:paraId="31DE82D4" w14:textId="77777777" w:rsidR="004B614B" w:rsidRPr="00A65B78" w:rsidRDefault="004B614B" w:rsidP="00D80CA6">
                  <w:pPr>
                    <w:jc w:val="center"/>
                    <w:rPr>
                      <w:sz w:val="16"/>
                      <w:lang w:val="en-GB"/>
                    </w:rPr>
                  </w:pPr>
                  <w:r w:rsidRPr="00A65B78">
                    <w:rPr>
                      <w:sz w:val="16"/>
                      <w:lang w:val="en-GB"/>
                    </w:rPr>
                    <w:t>6</w:t>
                  </w:r>
                </w:p>
              </w:tc>
              <w:tc>
                <w:tcPr>
                  <w:tcW w:w="556" w:type="pct"/>
                  <w:vAlign w:val="center"/>
                </w:tcPr>
                <w:p w14:paraId="404DD196" w14:textId="77777777" w:rsidR="004B614B" w:rsidRPr="00A65B78" w:rsidRDefault="004B614B" w:rsidP="00D80CA6">
                  <w:pPr>
                    <w:jc w:val="center"/>
                    <w:rPr>
                      <w:sz w:val="16"/>
                      <w:lang w:val="en-GB"/>
                    </w:rPr>
                  </w:pPr>
                  <w:r w:rsidRPr="00A65B78">
                    <w:rPr>
                      <w:sz w:val="16"/>
                      <w:lang w:val="en-GB"/>
                    </w:rPr>
                    <w:t>0.00</w:t>
                  </w:r>
                </w:p>
              </w:tc>
              <w:tc>
                <w:tcPr>
                  <w:tcW w:w="505" w:type="pct"/>
                  <w:vAlign w:val="center"/>
                </w:tcPr>
                <w:p w14:paraId="046E47C7" w14:textId="77777777" w:rsidR="004B614B" w:rsidRPr="00A65B78" w:rsidRDefault="004B614B" w:rsidP="00D80CA6">
                  <w:pPr>
                    <w:jc w:val="center"/>
                    <w:rPr>
                      <w:sz w:val="16"/>
                      <w:lang w:val="en-GB"/>
                    </w:rPr>
                  </w:pPr>
                  <w:r w:rsidRPr="00A65B78">
                    <w:rPr>
                      <w:sz w:val="16"/>
                      <w:lang w:val="en-GB"/>
                    </w:rPr>
                    <w:t>0.00</w:t>
                  </w:r>
                </w:p>
              </w:tc>
              <w:tc>
                <w:tcPr>
                  <w:tcW w:w="657" w:type="pct"/>
                  <w:vAlign w:val="center"/>
                </w:tcPr>
                <w:p w14:paraId="15C4606E" w14:textId="77777777" w:rsidR="004B614B" w:rsidRPr="00A65B78" w:rsidRDefault="004B614B" w:rsidP="00D80CA6">
                  <w:pPr>
                    <w:jc w:val="center"/>
                    <w:rPr>
                      <w:sz w:val="16"/>
                      <w:lang w:val="en-GB"/>
                    </w:rPr>
                  </w:pPr>
                  <w:r w:rsidRPr="00A65B78">
                    <w:rPr>
                      <w:sz w:val="16"/>
                      <w:lang w:val="en-GB"/>
                    </w:rPr>
                    <w:t>0.00</w:t>
                  </w:r>
                </w:p>
              </w:tc>
              <w:tc>
                <w:tcPr>
                  <w:tcW w:w="606" w:type="pct"/>
                  <w:vAlign w:val="center"/>
                </w:tcPr>
                <w:p w14:paraId="29B42C36" w14:textId="77777777" w:rsidR="004B614B" w:rsidRPr="00A65B78" w:rsidRDefault="004B614B" w:rsidP="00D80CA6">
                  <w:pPr>
                    <w:jc w:val="center"/>
                    <w:rPr>
                      <w:sz w:val="16"/>
                      <w:lang w:val="en-GB"/>
                    </w:rPr>
                  </w:pPr>
                  <w:r w:rsidRPr="00A65B78">
                    <w:rPr>
                      <w:sz w:val="16"/>
                      <w:lang w:val="en-GB"/>
                    </w:rPr>
                    <w:t>NA</w:t>
                  </w:r>
                </w:p>
              </w:tc>
              <w:tc>
                <w:tcPr>
                  <w:tcW w:w="556" w:type="pct"/>
                  <w:vAlign w:val="center"/>
                </w:tcPr>
                <w:p w14:paraId="0010DBB4" w14:textId="77777777" w:rsidR="004B614B" w:rsidRPr="00A65B78" w:rsidRDefault="004B614B" w:rsidP="00D80CA6">
                  <w:pPr>
                    <w:jc w:val="center"/>
                    <w:rPr>
                      <w:sz w:val="16"/>
                      <w:lang w:val="en-GB"/>
                    </w:rPr>
                  </w:pPr>
                  <w:r w:rsidRPr="00A65B78">
                    <w:rPr>
                      <w:sz w:val="16"/>
                      <w:lang w:val="en-GB"/>
                    </w:rPr>
                    <w:t>0.00</w:t>
                  </w:r>
                </w:p>
              </w:tc>
              <w:tc>
                <w:tcPr>
                  <w:tcW w:w="606" w:type="pct"/>
                  <w:vAlign w:val="center"/>
                </w:tcPr>
                <w:p w14:paraId="21C931D4" w14:textId="77777777" w:rsidR="004B614B" w:rsidRPr="00A65B78" w:rsidRDefault="004B614B" w:rsidP="00D80CA6">
                  <w:pPr>
                    <w:jc w:val="center"/>
                    <w:rPr>
                      <w:sz w:val="16"/>
                      <w:lang w:val="en-GB"/>
                    </w:rPr>
                  </w:pPr>
                  <w:r w:rsidRPr="00A65B78">
                    <w:rPr>
                      <w:sz w:val="16"/>
                      <w:lang w:val="en-GB"/>
                    </w:rPr>
                    <w:t>0.00</w:t>
                  </w:r>
                </w:p>
              </w:tc>
            </w:tr>
            <w:tr w:rsidR="004B614B" w:rsidRPr="00A65B78" w14:paraId="4A47AB7A" w14:textId="77777777" w:rsidTr="00D80CA6">
              <w:trPr>
                <w:trHeight w:hRule="exact" w:val="260"/>
              </w:trPr>
              <w:tc>
                <w:tcPr>
                  <w:tcW w:w="1161" w:type="pct"/>
                  <w:vAlign w:val="center"/>
                </w:tcPr>
                <w:p w14:paraId="35CE1478" w14:textId="77777777" w:rsidR="004B614B" w:rsidRPr="00A65B78" w:rsidRDefault="004B614B" w:rsidP="00D80CA6">
                  <w:pPr>
                    <w:rPr>
                      <w:sz w:val="16"/>
                      <w:lang w:val="en-GB"/>
                    </w:rPr>
                  </w:pPr>
                  <w:r w:rsidRPr="00A65B78">
                    <w:rPr>
                      <w:sz w:val="16"/>
                      <w:lang w:val="en-GB"/>
                    </w:rPr>
                    <w:t>AUC_0_last (ng*h/ml)</w:t>
                  </w:r>
                </w:p>
              </w:tc>
              <w:tc>
                <w:tcPr>
                  <w:tcW w:w="352" w:type="pct"/>
                  <w:vAlign w:val="center"/>
                </w:tcPr>
                <w:p w14:paraId="3DF4043B" w14:textId="77777777" w:rsidR="004B614B" w:rsidRPr="00A65B78" w:rsidRDefault="004B614B" w:rsidP="00D80CA6">
                  <w:pPr>
                    <w:jc w:val="center"/>
                    <w:rPr>
                      <w:sz w:val="16"/>
                      <w:lang w:val="en-GB"/>
                    </w:rPr>
                  </w:pPr>
                  <w:r w:rsidRPr="00A65B78">
                    <w:rPr>
                      <w:sz w:val="16"/>
                      <w:lang w:val="en-GB"/>
                    </w:rPr>
                    <w:t>6</w:t>
                  </w:r>
                </w:p>
              </w:tc>
              <w:tc>
                <w:tcPr>
                  <w:tcW w:w="556" w:type="pct"/>
                  <w:vAlign w:val="center"/>
                </w:tcPr>
                <w:p w14:paraId="55530D98" w14:textId="77777777" w:rsidR="004B614B" w:rsidRPr="00A65B78" w:rsidRDefault="004B614B" w:rsidP="00D80CA6">
                  <w:pPr>
                    <w:jc w:val="center"/>
                    <w:rPr>
                      <w:sz w:val="16"/>
                      <w:lang w:val="en-GB"/>
                    </w:rPr>
                  </w:pPr>
                  <w:r w:rsidRPr="00A65B78">
                    <w:rPr>
                      <w:sz w:val="16"/>
                      <w:lang w:val="en-GB"/>
                    </w:rPr>
                    <w:t>866.02</w:t>
                  </w:r>
                </w:p>
              </w:tc>
              <w:tc>
                <w:tcPr>
                  <w:tcW w:w="505" w:type="pct"/>
                  <w:vAlign w:val="center"/>
                </w:tcPr>
                <w:p w14:paraId="6E3D68F7" w14:textId="77777777" w:rsidR="004B614B" w:rsidRPr="00A65B78" w:rsidRDefault="004B614B" w:rsidP="00D80CA6">
                  <w:pPr>
                    <w:jc w:val="center"/>
                    <w:rPr>
                      <w:sz w:val="16"/>
                      <w:lang w:val="en-GB"/>
                    </w:rPr>
                  </w:pPr>
                  <w:r w:rsidRPr="00A65B78">
                    <w:rPr>
                      <w:sz w:val="16"/>
                      <w:lang w:val="en-GB"/>
                    </w:rPr>
                    <w:t>861.47</w:t>
                  </w:r>
                </w:p>
              </w:tc>
              <w:tc>
                <w:tcPr>
                  <w:tcW w:w="657" w:type="pct"/>
                  <w:vAlign w:val="center"/>
                </w:tcPr>
                <w:p w14:paraId="44F0C963" w14:textId="77777777" w:rsidR="004B614B" w:rsidRPr="00A65B78" w:rsidRDefault="004B614B" w:rsidP="00D80CA6">
                  <w:pPr>
                    <w:jc w:val="center"/>
                    <w:rPr>
                      <w:sz w:val="16"/>
                      <w:lang w:val="en-GB"/>
                    </w:rPr>
                  </w:pPr>
                  <w:r w:rsidRPr="00A65B78">
                    <w:rPr>
                      <w:sz w:val="16"/>
                      <w:lang w:val="en-GB"/>
                    </w:rPr>
                    <w:t>221.21</w:t>
                  </w:r>
                </w:p>
              </w:tc>
              <w:tc>
                <w:tcPr>
                  <w:tcW w:w="606" w:type="pct"/>
                  <w:vAlign w:val="center"/>
                </w:tcPr>
                <w:p w14:paraId="646AA5F7" w14:textId="77777777" w:rsidR="004B614B" w:rsidRPr="00A65B78" w:rsidRDefault="004B614B" w:rsidP="00D80CA6">
                  <w:pPr>
                    <w:jc w:val="center"/>
                    <w:rPr>
                      <w:sz w:val="16"/>
                      <w:lang w:val="en-GB"/>
                    </w:rPr>
                  </w:pPr>
                  <w:r w:rsidRPr="00A65B78">
                    <w:rPr>
                      <w:sz w:val="16"/>
                      <w:lang w:val="en-GB"/>
                    </w:rPr>
                    <w:t>25.54</w:t>
                  </w:r>
                </w:p>
              </w:tc>
              <w:tc>
                <w:tcPr>
                  <w:tcW w:w="556" w:type="pct"/>
                  <w:vAlign w:val="center"/>
                </w:tcPr>
                <w:p w14:paraId="6A6DEE1D" w14:textId="77777777" w:rsidR="004B614B" w:rsidRPr="00A65B78" w:rsidRDefault="004B614B" w:rsidP="00D80CA6">
                  <w:pPr>
                    <w:jc w:val="center"/>
                    <w:rPr>
                      <w:sz w:val="16"/>
                      <w:lang w:val="en-GB"/>
                    </w:rPr>
                  </w:pPr>
                  <w:r w:rsidRPr="00A65B78">
                    <w:rPr>
                      <w:sz w:val="16"/>
                      <w:lang w:val="en-GB"/>
                    </w:rPr>
                    <w:t>601.29</w:t>
                  </w:r>
                </w:p>
              </w:tc>
              <w:tc>
                <w:tcPr>
                  <w:tcW w:w="606" w:type="pct"/>
                  <w:vAlign w:val="center"/>
                </w:tcPr>
                <w:p w14:paraId="1654B245" w14:textId="77777777" w:rsidR="004B614B" w:rsidRPr="00A65B78" w:rsidRDefault="004B614B" w:rsidP="00D80CA6">
                  <w:pPr>
                    <w:jc w:val="center"/>
                    <w:rPr>
                      <w:sz w:val="16"/>
                      <w:lang w:val="en-GB"/>
                    </w:rPr>
                  </w:pPr>
                  <w:r w:rsidRPr="00A65B78">
                    <w:rPr>
                      <w:sz w:val="16"/>
                      <w:lang w:val="en-GB"/>
                    </w:rPr>
                    <w:t>1203.44</w:t>
                  </w:r>
                </w:p>
              </w:tc>
            </w:tr>
            <w:tr w:rsidR="004B614B" w:rsidRPr="00A65B78" w14:paraId="121F71C9" w14:textId="77777777" w:rsidTr="00D80CA6">
              <w:trPr>
                <w:trHeight w:hRule="exact" w:val="260"/>
              </w:trPr>
              <w:tc>
                <w:tcPr>
                  <w:tcW w:w="1161" w:type="pct"/>
                  <w:vAlign w:val="center"/>
                </w:tcPr>
                <w:p w14:paraId="3A8A39D1" w14:textId="77777777" w:rsidR="004B614B" w:rsidRPr="00AA2789" w:rsidRDefault="004B614B" w:rsidP="00D80CA6">
                  <w:pPr>
                    <w:rPr>
                      <w:b/>
                      <w:bCs/>
                      <w:sz w:val="16"/>
                      <w:lang w:val="en-GB"/>
                    </w:rPr>
                  </w:pPr>
                  <w:r w:rsidRPr="00AA2789">
                    <w:rPr>
                      <w:b/>
                      <w:bCs/>
                      <w:sz w:val="16"/>
                      <w:lang w:val="en-GB"/>
                    </w:rPr>
                    <w:t>SBT-020 5 mg – Day 7</w:t>
                  </w:r>
                </w:p>
              </w:tc>
              <w:tc>
                <w:tcPr>
                  <w:tcW w:w="3839" w:type="pct"/>
                  <w:gridSpan w:val="7"/>
                  <w:vAlign w:val="center"/>
                </w:tcPr>
                <w:p w14:paraId="63D8E03D" w14:textId="77777777" w:rsidR="004B614B" w:rsidRPr="00A65B78" w:rsidRDefault="004B614B" w:rsidP="00D80CA6">
                  <w:pPr>
                    <w:rPr>
                      <w:sz w:val="16"/>
                      <w:lang w:val="en-GB"/>
                    </w:rPr>
                  </w:pPr>
                </w:p>
              </w:tc>
            </w:tr>
            <w:tr w:rsidR="004B614B" w:rsidRPr="00A65B78" w14:paraId="2BEA1843" w14:textId="77777777" w:rsidTr="00D80CA6">
              <w:trPr>
                <w:trHeight w:hRule="exact" w:val="260"/>
              </w:trPr>
              <w:tc>
                <w:tcPr>
                  <w:tcW w:w="1161" w:type="pct"/>
                  <w:vAlign w:val="center"/>
                </w:tcPr>
                <w:p w14:paraId="5B5CD587" w14:textId="77777777" w:rsidR="004B614B" w:rsidRDefault="004B614B" w:rsidP="00D80CA6">
                  <w:pPr>
                    <w:rPr>
                      <w:sz w:val="16"/>
                      <w:lang w:val="en-GB"/>
                    </w:rPr>
                  </w:pPr>
                  <w:proofErr w:type="spellStart"/>
                  <w:r w:rsidRPr="00AD773D">
                    <w:rPr>
                      <w:sz w:val="16"/>
                      <w:lang w:val="en-GB"/>
                    </w:rPr>
                    <w:t>Cmax</w:t>
                  </w:r>
                  <w:proofErr w:type="spellEnd"/>
                  <w:r w:rsidRPr="00AD773D">
                    <w:rPr>
                      <w:sz w:val="16"/>
                      <w:lang w:val="en-GB"/>
                    </w:rPr>
                    <w:t xml:space="preserve"> (ng/ml)</w:t>
                  </w:r>
                </w:p>
              </w:tc>
              <w:tc>
                <w:tcPr>
                  <w:tcW w:w="352" w:type="pct"/>
                  <w:vAlign w:val="center"/>
                </w:tcPr>
                <w:p w14:paraId="13788E03"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12ECC722" w14:textId="77777777" w:rsidR="004B614B" w:rsidRPr="00A65B78" w:rsidRDefault="004B614B" w:rsidP="00D80CA6">
                  <w:pPr>
                    <w:jc w:val="center"/>
                    <w:rPr>
                      <w:sz w:val="16"/>
                      <w:lang w:val="en-GB"/>
                    </w:rPr>
                  </w:pPr>
                  <w:r w:rsidRPr="00AD773D">
                    <w:rPr>
                      <w:sz w:val="16"/>
                      <w:lang w:val="en-GB"/>
                    </w:rPr>
                    <w:t>214.50</w:t>
                  </w:r>
                </w:p>
              </w:tc>
              <w:tc>
                <w:tcPr>
                  <w:tcW w:w="505" w:type="pct"/>
                  <w:vAlign w:val="center"/>
                </w:tcPr>
                <w:p w14:paraId="20A0261D" w14:textId="77777777" w:rsidR="004B614B" w:rsidRPr="00A65B78" w:rsidRDefault="004B614B" w:rsidP="00D80CA6">
                  <w:pPr>
                    <w:jc w:val="center"/>
                    <w:rPr>
                      <w:sz w:val="16"/>
                      <w:lang w:val="en-GB"/>
                    </w:rPr>
                  </w:pPr>
                  <w:r w:rsidRPr="00AD773D">
                    <w:rPr>
                      <w:sz w:val="16"/>
                      <w:lang w:val="en-GB"/>
                    </w:rPr>
                    <w:t>211.50</w:t>
                  </w:r>
                </w:p>
              </w:tc>
              <w:tc>
                <w:tcPr>
                  <w:tcW w:w="657" w:type="pct"/>
                  <w:vAlign w:val="center"/>
                </w:tcPr>
                <w:p w14:paraId="3AE2FA4E" w14:textId="77777777" w:rsidR="004B614B" w:rsidRPr="00A65B78" w:rsidRDefault="004B614B" w:rsidP="00D80CA6">
                  <w:pPr>
                    <w:jc w:val="center"/>
                    <w:rPr>
                      <w:sz w:val="16"/>
                      <w:lang w:val="en-GB"/>
                    </w:rPr>
                  </w:pPr>
                  <w:r w:rsidRPr="00AD773D">
                    <w:rPr>
                      <w:sz w:val="16"/>
                      <w:lang w:val="en-GB"/>
                    </w:rPr>
                    <w:t>55.14</w:t>
                  </w:r>
                </w:p>
              </w:tc>
              <w:tc>
                <w:tcPr>
                  <w:tcW w:w="606" w:type="pct"/>
                  <w:vAlign w:val="center"/>
                </w:tcPr>
                <w:p w14:paraId="30A95F06" w14:textId="77777777" w:rsidR="004B614B" w:rsidRPr="00A65B78" w:rsidRDefault="004B614B" w:rsidP="00D80CA6">
                  <w:pPr>
                    <w:jc w:val="center"/>
                    <w:rPr>
                      <w:sz w:val="16"/>
                      <w:lang w:val="en-GB"/>
                    </w:rPr>
                  </w:pPr>
                  <w:r w:rsidRPr="00AD773D">
                    <w:rPr>
                      <w:sz w:val="16"/>
                      <w:lang w:val="en-GB"/>
                    </w:rPr>
                    <w:t>25.71</w:t>
                  </w:r>
                </w:p>
              </w:tc>
              <w:tc>
                <w:tcPr>
                  <w:tcW w:w="556" w:type="pct"/>
                  <w:vAlign w:val="center"/>
                </w:tcPr>
                <w:p w14:paraId="6CAF371A" w14:textId="77777777" w:rsidR="004B614B" w:rsidRPr="00A65B78" w:rsidRDefault="004B614B" w:rsidP="00D80CA6">
                  <w:pPr>
                    <w:jc w:val="center"/>
                    <w:rPr>
                      <w:sz w:val="16"/>
                      <w:lang w:val="en-GB"/>
                    </w:rPr>
                  </w:pPr>
                  <w:r w:rsidRPr="00AD773D">
                    <w:rPr>
                      <w:sz w:val="16"/>
                      <w:lang w:val="en-GB"/>
                    </w:rPr>
                    <w:t>132.00</w:t>
                  </w:r>
                </w:p>
              </w:tc>
              <w:tc>
                <w:tcPr>
                  <w:tcW w:w="606" w:type="pct"/>
                  <w:vAlign w:val="center"/>
                </w:tcPr>
                <w:p w14:paraId="18E1DD0E" w14:textId="77777777" w:rsidR="004B614B" w:rsidRPr="00A65B78" w:rsidRDefault="004B614B" w:rsidP="00D80CA6">
                  <w:pPr>
                    <w:jc w:val="center"/>
                    <w:rPr>
                      <w:sz w:val="16"/>
                      <w:lang w:val="en-GB"/>
                    </w:rPr>
                  </w:pPr>
                  <w:r w:rsidRPr="00AD773D">
                    <w:rPr>
                      <w:sz w:val="16"/>
                      <w:lang w:val="en-GB"/>
                    </w:rPr>
                    <w:t>276.00</w:t>
                  </w:r>
                </w:p>
              </w:tc>
            </w:tr>
            <w:tr w:rsidR="004B614B" w:rsidRPr="00A65B78" w14:paraId="50511D1A" w14:textId="77777777" w:rsidTr="00D80CA6">
              <w:trPr>
                <w:trHeight w:hRule="exact" w:val="260"/>
              </w:trPr>
              <w:tc>
                <w:tcPr>
                  <w:tcW w:w="1161" w:type="pct"/>
                  <w:vAlign w:val="center"/>
                </w:tcPr>
                <w:p w14:paraId="4EB18254" w14:textId="77777777" w:rsidR="004B614B" w:rsidRDefault="004B614B" w:rsidP="00D80CA6">
                  <w:pPr>
                    <w:rPr>
                      <w:sz w:val="16"/>
                      <w:lang w:val="en-GB"/>
                    </w:rPr>
                  </w:pPr>
                  <w:r w:rsidRPr="00AD773D">
                    <w:rPr>
                      <w:sz w:val="16"/>
                      <w:lang w:val="en-GB"/>
                    </w:rPr>
                    <w:t>AUC_0_last (ng*h/ml)</w:t>
                  </w:r>
                </w:p>
              </w:tc>
              <w:tc>
                <w:tcPr>
                  <w:tcW w:w="352" w:type="pct"/>
                  <w:vAlign w:val="center"/>
                </w:tcPr>
                <w:p w14:paraId="0AE1AF01"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0F036EB7" w14:textId="77777777" w:rsidR="004B614B" w:rsidRPr="00A65B78" w:rsidRDefault="004B614B" w:rsidP="00D80CA6">
                  <w:pPr>
                    <w:jc w:val="center"/>
                    <w:rPr>
                      <w:sz w:val="16"/>
                      <w:lang w:val="en-GB"/>
                    </w:rPr>
                  </w:pPr>
                  <w:r w:rsidRPr="00AD773D">
                    <w:rPr>
                      <w:sz w:val="16"/>
                      <w:lang w:val="en-GB"/>
                    </w:rPr>
                    <w:t>872.58</w:t>
                  </w:r>
                </w:p>
              </w:tc>
              <w:tc>
                <w:tcPr>
                  <w:tcW w:w="505" w:type="pct"/>
                  <w:vAlign w:val="center"/>
                </w:tcPr>
                <w:p w14:paraId="11BB228C" w14:textId="77777777" w:rsidR="004B614B" w:rsidRPr="00A65B78" w:rsidRDefault="004B614B" w:rsidP="00D80CA6">
                  <w:pPr>
                    <w:jc w:val="center"/>
                    <w:rPr>
                      <w:sz w:val="16"/>
                      <w:lang w:val="en-GB"/>
                    </w:rPr>
                  </w:pPr>
                  <w:r w:rsidRPr="00AD773D">
                    <w:rPr>
                      <w:sz w:val="16"/>
                      <w:lang w:val="en-GB"/>
                    </w:rPr>
                    <w:t>817.12</w:t>
                  </w:r>
                </w:p>
              </w:tc>
              <w:tc>
                <w:tcPr>
                  <w:tcW w:w="657" w:type="pct"/>
                  <w:vAlign w:val="center"/>
                </w:tcPr>
                <w:p w14:paraId="532913F3" w14:textId="77777777" w:rsidR="004B614B" w:rsidRPr="00A65B78" w:rsidRDefault="004B614B" w:rsidP="00D80CA6">
                  <w:pPr>
                    <w:jc w:val="center"/>
                    <w:rPr>
                      <w:sz w:val="16"/>
                      <w:lang w:val="en-GB"/>
                    </w:rPr>
                  </w:pPr>
                  <w:r w:rsidRPr="00AD773D">
                    <w:rPr>
                      <w:sz w:val="16"/>
                      <w:lang w:val="en-GB"/>
                    </w:rPr>
                    <w:t>279.30</w:t>
                  </w:r>
                </w:p>
              </w:tc>
              <w:tc>
                <w:tcPr>
                  <w:tcW w:w="606" w:type="pct"/>
                  <w:vAlign w:val="center"/>
                </w:tcPr>
                <w:p w14:paraId="69EF28DE" w14:textId="77777777" w:rsidR="004B614B" w:rsidRPr="00A65B78" w:rsidRDefault="004B614B" w:rsidP="00D80CA6">
                  <w:pPr>
                    <w:jc w:val="center"/>
                    <w:rPr>
                      <w:sz w:val="16"/>
                      <w:lang w:val="en-GB"/>
                    </w:rPr>
                  </w:pPr>
                  <w:r w:rsidRPr="00AD773D">
                    <w:rPr>
                      <w:sz w:val="16"/>
                      <w:lang w:val="en-GB"/>
                    </w:rPr>
                    <w:t>32.01</w:t>
                  </w:r>
                </w:p>
              </w:tc>
              <w:tc>
                <w:tcPr>
                  <w:tcW w:w="556" w:type="pct"/>
                  <w:vAlign w:val="center"/>
                </w:tcPr>
                <w:p w14:paraId="16FFB374" w14:textId="77777777" w:rsidR="004B614B" w:rsidRPr="00A65B78" w:rsidRDefault="004B614B" w:rsidP="00D80CA6">
                  <w:pPr>
                    <w:jc w:val="center"/>
                    <w:rPr>
                      <w:sz w:val="16"/>
                      <w:lang w:val="en-GB"/>
                    </w:rPr>
                  </w:pPr>
                  <w:r w:rsidRPr="00AD773D">
                    <w:rPr>
                      <w:sz w:val="16"/>
                      <w:lang w:val="en-GB"/>
                    </w:rPr>
                    <w:t>597.96</w:t>
                  </w:r>
                </w:p>
              </w:tc>
              <w:tc>
                <w:tcPr>
                  <w:tcW w:w="606" w:type="pct"/>
                  <w:vAlign w:val="center"/>
                </w:tcPr>
                <w:p w14:paraId="6A9424B5" w14:textId="77777777" w:rsidR="004B614B" w:rsidRPr="00A65B78" w:rsidRDefault="004B614B" w:rsidP="00D80CA6">
                  <w:pPr>
                    <w:jc w:val="center"/>
                    <w:rPr>
                      <w:sz w:val="16"/>
                      <w:lang w:val="en-GB"/>
                    </w:rPr>
                  </w:pPr>
                  <w:r w:rsidRPr="00AD773D">
                    <w:rPr>
                      <w:sz w:val="16"/>
                      <w:lang w:val="en-GB"/>
                    </w:rPr>
                    <w:t>1325.97</w:t>
                  </w:r>
                </w:p>
              </w:tc>
            </w:tr>
            <w:tr w:rsidR="004B614B" w:rsidRPr="00A65B78" w14:paraId="24068E4E" w14:textId="77777777" w:rsidTr="00D80CA6">
              <w:trPr>
                <w:trHeight w:hRule="exact" w:val="260"/>
              </w:trPr>
              <w:tc>
                <w:tcPr>
                  <w:tcW w:w="1161" w:type="pct"/>
                  <w:vAlign w:val="center"/>
                </w:tcPr>
                <w:p w14:paraId="52D6571F" w14:textId="77777777" w:rsidR="004B614B" w:rsidRDefault="004B614B" w:rsidP="00D80CA6">
                  <w:pPr>
                    <w:rPr>
                      <w:sz w:val="16"/>
                      <w:lang w:val="en-GB"/>
                    </w:rPr>
                  </w:pPr>
                  <w:r w:rsidRPr="007D7B66">
                    <w:rPr>
                      <w:sz w:val="16"/>
                      <w:lang w:val="pt-BR"/>
                    </w:rPr>
                    <w:t>AUC_0_inf (</w:t>
                  </w:r>
                  <w:proofErr w:type="spellStart"/>
                  <w:r w:rsidRPr="007D7B66">
                    <w:rPr>
                      <w:sz w:val="16"/>
                      <w:lang w:val="pt-BR"/>
                    </w:rPr>
                    <w:t>ng</w:t>
                  </w:r>
                  <w:proofErr w:type="spellEnd"/>
                  <w:r w:rsidRPr="007D7B66">
                    <w:rPr>
                      <w:sz w:val="16"/>
                      <w:lang w:val="pt-BR"/>
                    </w:rPr>
                    <w:t>*h/ml)</w:t>
                  </w:r>
                </w:p>
              </w:tc>
              <w:tc>
                <w:tcPr>
                  <w:tcW w:w="352" w:type="pct"/>
                  <w:vAlign w:val="center"/>
                </w:tcPr>
                <w:p w14:paraId="03D91097"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395E198B" w14:textId="77777777" w:rsidR="004B614B" w:rsidRPr="00A65B78" w:rsidRDefault="004B614B" w:rsidP="00D80CA6">
                  <w:pPr>
                    <w:jc w:val="center"/>
                    <w:rPr>
                      <w:sz w:val="16"/>
                      <w:lang w:val="en-GB"/>
                    </w:rPr>
                  </w:pPr>
                  <w:r w:rsidRPr="00AD773D">
                    <w:rPr>
                      <w:sz w:val="16"/>
                      <w:lang w:val="en-GB"/>
                    </w:rPr>
                    <w:t>940.75</w:t>
                  </w:r>
                </w:p>
              </w:tc>
              <w:tc>
                <w:tcPr>
                  <w:tcW w:w="505" w:type="pct"/>
                  <w:vAlign w:val="center"/>
                </w:tcPr>
                <w:p w14:paraId="6A06B52C" w14:textId="77777777" w:rsidR="004B614B" w:rsidRPr="00A65B78" w:rsidRDefault="004B614B" w:rsidP="00D80CA6">
                  <w:pPr>
                    <w:jc w:val="center"/>
                    <w:rPr>
                      <w:sz w:val="16"/>
                      <w:lang w:val="en-GB"/>
                    </w:rPr>
                  </w:pPr>
                  <w:r w:rsidRPr="00AD773D">
                    <w:rPr>
                      <w:sz w:val="16"/>
                      <w:lang w:val="en-GB"/>
                    </w:rPr>
                    <w:t>882.24</w:t>
                  </w:r>
                </w:p>
              </w:tc>
              <w:tc>
                <w:tcPr>
                  <w:tcW w:w="657" w:type="pct"/>
                  <w:vAlign w:val="center"/>
                </w:tcPr>
                <w:p w14:paraId="1E61445C" w14:textId="77777777" w:rsidR="004B614B" w:rsidRPr="00A65B78" w:rsidRDefault="004B614B" w:rsidP="00D80CA6">
                  <w:pPr>
                    <w:jc w:val="center"/>
                    <w:rPr>
                      <w:sz w:val="16"/>
                      <w:lang w:val="en-GB"/>
                    </w:rPr>
                  </w:pPr>
                  <w:r w:rsidRPr="00AD773D">
                    <w:rPr>
                      <w:sz w:val="16"/>
                      <w:lang w:val="en-GB"/>
                    </w:rPr>
                    <w:t>281.19</w:t>
                  </w:r>
                </w:p>
              </w:tc>
              <w:tc>
                <w:tcPr>
                  <w:tcW w:w="606" w:type="pct"/>
                  <w:vAlign w:val="center"/>
                </w:tcPr>
                <w:p w14:paraId="14883C11" w14:textId="77777777" w:rsidR="004B614B" w:rsidRPr="00A65B78" w:rsidRDefault="004B614B" w:rsidP="00D80CA6">
                  <w:pPr>
                    <w:jc w:val="center"/>
                    <w:rPr>
                      <w:sz w:val="16"/>
                      <w:lang w:val="en-GB"/>
                    </w:rPr>
                  </w:pPr>
                  <w:r w:rsidRPr="00AD773D">
                    <w:rPr>
                      <w:sz w:val="16"/>
                      <w:lang w:val="en-GB"/>
                    </w:rPr>
                    <w:t>29.89</w:t>
                  </w:r>
                </w:p>
              </w:tc>
              <w:tc>
                <w:tcPr>
                  <w:tcW w:w="556" w:type="pct"/>
                  <w:vAlign w:val="center"/>
                </w:tcPr>
                <w:p w14:paraId="497505F5" w14:textId="77777777" w:rsidR="004B614B" w:rsidRPr="00A65B78" w:rsidRDefault="004B614B" w:rsidP="00D80CA6">
                  <w:pPr>
                    <w:jc w:val="center"/>
                    <w:rPr>
                      <w:sz w:val="16"/>
                      <w:lang w:val="en-GB"/>
                    </w:rPr>
                  </w:pPr>
                  <w:r w:rsidRPr="00AD773D">
                    <w:rPr>
                      <w:sz w:val="16"/>
                      <w:lang w:val="en-GB"/>
                    </w:rPr>
                    <w:t>653.23</w:t>
                  </w:r>
                </w:p>
              </w:tc>
              <w:tc>
                <w:tcPr>
                  <w:tcW w:w="606" w:type="pct"/>
                  <w:vAlign w:val="center"/>
                </w:tcPr>
                <w:p w14:paraId="2972612C" w14:textId="77777777" w:rsidR="004B614B" w:rsidRPr="00A65B78" w:rsidRDefault="004B614B" w:rsidP="00D80CA6">
                  <w:pPr>
                    <w:jc w:val="center"/>
                    <w:rPr>
                      <w:sz w:val="16"/>
                      <w:lang w:val="en-GB"/>
                    </w:rPr>
                  </w:pPr>
                  <w:r w:rsidRPr="00AD773D">
                    <w:rPr>
                      <w:sz w:val="16"/>
                      <w:lang w:val="en-GB"/>
                    </w:rPr>
                    <w:t>1342.77</w:t>
                  </w:r>
                </w:p>
              </w:tc>
            </w:tr>
            <w:tr w:rsidR="004B614B" w:rsidRPr="00A65B78" w14:paraId="0EE5131F" w14:textId="77777777" w:rsidTr="00D80CA6">
              <w:trPr>
                <w:trHeight w:hRule="exact" w:val="260"/>
              </w:trPr>
              <w:tc>
                <w:tcPr>
                  <w:tcW w:w="1161" w:type="pct"/>
                  <w:vAlign w:val="center"/>
                </w:tcPr>
                <w:p w14:paraId="2A8E1E74" w14:textId="77777777" w:rsidR="004B614B" w:rsidRDefault="004B614B" w:rsidP="00D80CA6">
                  <w:pPr>
                    <w:rPr>
                      <w:sz w:val="16"/>
                      <w:lang w:val="en-GB"/>
                    </w:rPr>
                  </w:pPr>
                  <w:proofErr w:type="spellStart"/>
                  <w:r w:rsidRPr="00AD773D">
                    <w:rPr>
                      <w:sz w:val="16"/>
                      <w:lang w:val="en-GB"/>
                    </w:rPr>
                    <w:t>PercAUCExtrap</w:t>
                  </w:r>
                  <w:proofErr w:type="spellEnd"/>
                  <w:r w:rsidRPr="00AD773D">
                    <w:rPr>
                      <w:sz w:val="16"/>
                      <w:lang w:val="en-GB"/>
                    </w:rPr>
                    <w:t xml:space="preserve"> (%)</w:t>
                  </w:r>
                </w:p>
              </w:tc>
              <w:tc>
                <w:tcPr>
                  <w:tcW w:w="352" w:type="pct"/>
                  <w:vAlign w:val="center"/>
                </w:tcPr>
                <w:p w14:paraId="293312FF"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276C85B9" w14:textId="77777777" w:rsidR="004B614B" w:rsidRPr="00A65B78" w:rsidRDefault="004B614B" w:rsidP="00D80CA6">
                  <w:pPr>
                    <w:jc w:val="center"/>
                    <w:rPr>
                      <w:sz w:val="16"/>
                      <w:lang w:val="en-GB"/>
                    </w:rPr>
                  </w:pPr>
                  <w:r w:rsidRPr="00AD773D">
                    <w:rPr>
                      <w:sz w:val="16"/>
                      <w:lang w:val="en-GB"/>
                    </w:rPr>
                    <w:t>7.56</w:t>
                  </w:r>
                </w:p>
              </w:tc>
              <w:tc>
                <w:tcPr>
                  <w:tcW w:w="505" w:type="pct"/>
                  <w:vAlign w:val="center"/>
                </w:tcPr>
                <w:p w14:paraId="0952CFD2" w14:textId="77777777" w:rsidR="004B614B" w:rsidRPr="00A65B78" w:rsidRDefault="004B614B" w:rsidP="00D80CA6">
                  <w:pPr>
                    <w:jc w:val="center"/>
                    <w:rPr>
                      <w:sz w:val="16"/>
                      <w:lang w:val="en-GB"/>
                    </w:rPr>
                  </w:pPr>
                  <w:r w:rsidRPr="00AD773D">
                    <w:rPr>
                      <w:sz w:val="16"/>
                      <w:lang w:val="en-GB"/>
                    </w:rPr>
                    <w:t>7.94</w:t>
                  </w:r>
                </w:p>
              </w:tc>
              <w:tc>
                <w:tcPr>
                  <w:tcW w:w="657" w:type="pct"/>
                  <w:vAlign w:val="center"/>
                </w:tcPr>
                <w:p w14:paraId="48FB54F3" w14:textId="77777777" w:rsidR="004B614B" w:rsidRPr="00A65B78" w:rsidRDefault="004B614B" w:rsidP="00D80CA6">
                  <w:pPr>
                    <w:jc w:val="center"/>
                    <w:rPr>
                      <w:sz w:val="16"/>
                      <w:lang w:val="en-GB"/>
                    </w:rPr>
                  </w:pPr>
                  <w:r w:rsidRPr="00AD773D">
                    <w:rPr>
                      <w:sz w:val="16"/>
                      <w:lang w:val="en-GB"/>
                    </w:rPr>
                    <w:t>3.63</w:t>
                  </w:r>
                </w:p>
              </w:tc>
              <w:tc>
                <w:tcPr>
                  <w:tcW w:w="606" w:type="pct"/>
                  <w:vAlign w:val="center"/>
                </w:tcPr>
                <w:p w14:paraId="6CF6C7D0" w14:textId="77777777" w:rsidR="004B614B" w:rsidRPr="00A65B78" w:rsidRDefault="004B614B" w:rsidP="00D80CA6">
                  <w:pPr>
                    <w:jc w:val="center"/>
                    <w:rPr>
                      <w:sz w:val="16"/>
                      <w:lang w:val="en-GB"/>
                    </w:rPr>
                  </w:pPr>
                  <w:r w:rsidRPr="00AD773D">
                    <w:rPr>
                      <w:sz w:val="16"/>
                      <w:lang w:val="en-GB"/>
                    </w:rPr>
                    <w:t>48.01</w:t>
                  </w:r>
                </w:p>
              </w:tc>
              <w:tc>
                <w:tcPr>
                  <w:tcW w:w="556" w:type="pct"/>
                  <w:vAlign w:val="center"/>
                </w:tcPr>
                <w:p w14:paraId="525C7916" w14:textId="77777777" w:rsidR="004B614B" w:rsidRPr="00A65B78" w:rsidRDefault="004B614B" w:rsidP="00D80CA6">
                  <w:pPr>
                    <w:jc w:val="center"/>
                    <w:rPr>
                      <w:sz w:val="16"/>
                      <w:lang w:val="en-GB"/>
                    </w:rPr>
                  </w:pPr>
                  <w:r w:rsidRPr="00AD773D">
                    <w:rPr>
                      <w:sz w:val="16"/>
                      <w:lang w:val="en-GB"/>
                    </w:rPr>
                    <w:t>1.25</w:t>
                  </w:r>
                </w:p>
              </w:tc>
              <w:tc>
                <w:tcPr>
                  <w:tcW w:w="606" w:type="pct"/>
                  <w:vAlign w:val="center"/>
                </w:tcPr>
                <w:p w14:paraId="409E2B04" w14:textId="77777777" w:rsidR="004B614B" w:rsidRPr="00A65B78" w:rsidRDefault="004B614B" w:rsidP="00D80CA6">
                  <w:pPr>
                    <w:jc w:val="center"/>
                    <w:rPr>
                      <w:sz w:val="16"/>
                      <w:lang w:val="en-GB"/>
                    </w:rPr>
                  </w:pPr>
                  <w:r w:rsidRPr="00AD773D">
                    <w:rPr>
                      <w:sz w:val="16"/>
                      <w:lang w:val="en-GB"/>
                    </w:rPr>
                    <w:t>12.50</w:t>
                  </w:r>
                </w:p>
              </w:tc>
            </w:tr>
            <w:tr w:rsidR="004B614B" w:rsidRPr="00A65B78" w14:paraId="2E611B60" w14:textId="77777777" w:rsidTr="00D80CA6">
              <w:trPr>
                <w:trHeight w:hRule="exact" w:val="260"/>
              </w:trPr>
              <w:tc>
                <w:tcPr>
                  <w:tcW w:w="1161" w:type="pct"/>
                  <w:vAlign w:val="center"/>
                </w:tcPr>
                <w:p w14:paraId="051B3780" w14:textId="77777777" w:rsidR="004B614B" w:rsidRDefault="004B614B" w:rsidP="00D80CA6">
                  <w:pPr>
                    <w:rPr>
                      <w:sz w:val="16"/>
                      <w:lang w:val="en-GB"/>
                    </w:rPr>
                  </w:pPr>
                  <w:proofErr w:type="spellStart"/>
                  <w:r w:rsidRPr="00AD773D">
                    <w:rPr>
                      <w:sz w:val="16"/>
                      <w:lang w:val="en-GB"/>
                    </w:rPr>
                    <w:t>Lambda_z</w:t>
                  </w:r>
                  <w:proofErr w:type="spellEnd"/>
                  <w:r w:rsidRPr="00AD773D">
                    <w:rPr>
                      <w:sz w:val="16"/>
                      <w:lang w:val="en-GB"/>
                    </w:rPr>
                    <w:t xml:space="preserve"> (h-1)</w:t>
                  </w:r>
                </w:p>
              </w:tc>
              <w:tc>
                <w:tcPr>
                  <w:tcW w:w="352" w:type="pct"/>
                  <w:vAlign w:val="center"/>
                </w:tcPr>
                <w:p w14:paraId="002CD590"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5309A14B" w14:textId="77777777" w:rsidR="004B614B" w:rsidRPr="00A65B78" w:rsidRDefault="004B614B" w:rsidP="00D80CA6">
                  <w:pPr>
                    <w:jc w:val="center"/>
                    <w:rPr>
                      <w:sz w:val="16"/>
                      <w:lang w:val="en-GB"/>
                    </w:rPr>
                  </w:pPr>
                  <w:r w:rsidRPr="00AD773D">
                    <w:rPr>
                      <w:sz w:val="16"/>
                      <w:lang w:val="en-GB"/>
                    </w:rPr>
                    <w:t>0.23</w:t>
                  </w:r>
                </w:p>
              </w:tc>
              <w:tc>
                <w:tcPr>
                  <w:tcW w:w="505" w:type="pct"/>
                  <w:vAlign w:val="center"/>
                </w:tcPr>
                <w:p w14:paraId="337DABFD" w14:textId="77777777" w:rsidR="004B614B" w:rsidRPr="00A65B78" w:rsidRDefault="004B614B" w:rsidP="00D80CA6">
                  <w:pPr>
                    <w:jc w:val="center"/>
                    <w:rPr>
                      <w:sz w:val="16"/>
                      <w:lang w:val="en-GB"/>
                    </w:rPr>
                  </w:pPr>
                  <w:r w:rsidRPr="00AD773D">
                    <w:rPr>
                      <w:sz w:val="16"/>
                      <w:lang w:val="en-GB"/>
                    </w:rPr>
                    <w:t>0.23</w:t>
                  </w:r>
                </w:p>
              </w:tc>
              <w:tc>
                <w:tcPr>
                  <w:tcW w:w="657" w:type="pct"/>
                  <w:vAlign w:val="center"/>
                </w:tcPr>
                <w:p w14:paraId="773BE6CB" w14:textId="77777777" w:rsidR="004B614B" w:rsidRPr="00A65B78" w:rsidRDefault="004B614B" w:rsidP="00D80CA6">
                  <w:pPr>
                    <w:jc w:val="center"/>
                    <w:rPr>
                      <w:sz w:val="16"/>
                      <w:lang w:val="en-GB"/>
                    </w:rPr>
                  </w:pPr>
                  <w:r w:rsidRPr="00AD773D">
                    <w:rPr>
                      <w:sz w:val="16"/>
                      <w:lang w:val="en-GB"/>
                    </w:rPr>
                    <w:t>0.03</w:t>
                  </w:r>
                </w:p>
              </w:tc>
              <w:tc>
                <w:tcPr>
                  <w:tcW w:w="606" w:type="pct"/>
                  <w:vAlign w:val="center"/>
                </w:tcPr>
                <w:p w14:paraId="5011EA70" w14:textId="77777777" w:rsidR="004B614B" w:rsidRPr="00A65B78" w:rsidRDefault="004B614B" w:rsidP="00D80CA6">
                  <w:pPr>
                    <w:jc w:val="center"/>
                    <w:rPr>
                      <w:sz w:val="16"/>
                      <w:lang w:val="en-GB"/>
                    </w:rPr>
                  </w:pPr>
                  <w:r w:rsidRPr="00AD773D">
                    <w:rPr>
                      <w:sz w:val="16"/>
                      <w:lang w:val="en-GB"/>
                    </w:rPr>
                    <w:t>14.98</w:t>
                  </w:r>
                </w:p>
              </w:tc>
              <w:tc>
                <w:tcPr>
                  <w:tcW w:w="556" w:type="pct"/>
                  <w:vAlign w:val="center"/>
                </w:tcPr>
                <w:p w14:paraId="5A5BABB8" w14:textId="77777777" w:rsidR="004B614B" w:rsidRPr="00A65B78" w:rsidRDefault="004B614B" w:rsidP="00D80CA6">
                  <w:pPr>
                    <w:jc w:val="center"/>
                    <w:rPr>
                      <w:sz w:val="16"/>
                      <w:lang w:val="en-GB"/>
                    </w:rPr>
                  </w:pPr>
                  <w:r w:rsidRPr="00AD773D">
                    <w:rPr>
                      <w:sz w:val="16"/>
                      <w:lang w:val="en-GB"/>
                    </w:rPr>
                    <w:t>0.17</w:t>
                  </w:r>
                </w:p>
              </w:tc>
              <w:tc>
                <w:tcPr>
                  <w:tcW w:w="606" w:type="pct"/>
                  <w:vAlign w:val="center"/>
                </w:tcPr>
                <w:p w14:paraId="09D7944E" w14:textId="77777777" w:rsidR="004B614B" w:rsidRPr="00A65B78" w:rsidRDefault="004B614B" w:rsidP="00D80CA6">
                  <w:pPr>
                    <w:jc w:val="center"/>
                    <w:rPr>
                      <w:sz w:val="16"/>
                      <w:lang w:val="en-GB"/>
                    </w:rPr>
                  </w:pPr>
                  <w:r w:rsidRPr="00AD773D">
                    <w:rPr>
                      <w:sz w:val="16"/>
                      <w:lang w:val="en-GB"/>
                    </w:rPr>
                    <w:t>0.26</w:t>
                  </w:r>
                </w:p>
              </w:tc>
            </w:tr>
            <w:tr w:rsidR="004B614B" w:rsidRPr="00A65B78" w14:paraId="249BAE52" w14:textId="77777777" w:rsidTr="00D80CA6">
              <w:trPr>
                <w:trHeight w:hRule="exact" w:val="260"/>
              </w:trPr>
              <w:tc>
                <w:tcPr>
                  <w:tcW w:w="1161" w:type="pct"/>
                  <w:vAlign w:val="center"/>
                </w:tcPr>
                <w:p w14:paraId="5E63FDB3" w14:textId="77777777" w:rsidR="004B614B" w:rsidRDefault="004B614B" w:rsidP="00D80CA6">
                  <w:pPr>
                    <w:rPr>
                      <w:sz w:val="16"/>
                      <w:lang w:val="en-GB"/>
                    </w:rPr>
                  </w:pPr>
                  <w:r>
                    <w:rPr>
                      <w:sz w:val="16"/>
                      <w:lang w:val="en-GB"/>
                    </w:rPr>
                    <w:t>t½</w:t>
                  </w:r>
                  <w:r w:rsidRPr="00AD773D">
                    <w:rPr>
                      <w:sz w:val="16"/>
                      <w:lang w:val="en-GB"/>
                    </w:rPr>
                    <w:t xml:space="preserve"> (h)</w:t>
                  </w:r>
                </w:p>
              </w:tc>
              <w:tc>
                <w:tcPr>
                  <w:tcW w:w="352" w:type="pct"/>
                  <w:vAlign w:val="center"/>
                </w:tcPr>
                <w:p w14:paraId="3D08B556"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12218102" w14:textId="77777777" w:rsidR="004B614B" w:rsidRPr="00A65B78" w:rsidRDefault="004B614B" w:rsidP="00D80CA6">
                  <w:pPr>
                    <w:jc w:val="center"/>
                    <w:rPr>
                      <w:sz w:val="16"/>
                      <w:lang w:val="en-GB"/>
                    </w:rPr>
                  </w:pPr>
                  <w:r w:rsidRPr="00AD773D">
                    <w:rPr>
                      <w:sz w:val="16"/>
                      <w:lang w:val="en-GB"/>
                    </w:rPr>
                    <w:t>3.13</w:t>
                  </w:r>
                </w:p>
              </w:tc>
              <w:tc>
                <w:tcPr>
                  <w:tcW w:w="505" w:type="pct"/>
                  <w:vAlign w:val="center"/>
                </w:tcPr>
                <w:p w14:paraId="2A5ED842" w14:textId="77777777" w:rsidR="004B614B" w:rsidRPr="00A65B78" w:rsidRDefault="004B614B" w:rsidP="00D80CA6">
                  <w:pPr>
                    <w:jc w:val="center"/>
                    <w:rPr>
                      <w:sz w:val="16"/>
                      <w:lang w:val="en-GB"/>
                    </w:rPr>
                  </w:pPr>
                  <w:r w:rsidRPr="00AD773D">
                    <w:rPr>
                      <w:sz w:val="16"/>
                      <w:lang w:val="en-GB"/>
                    </w:rPr>
                    <w:t>2.99</w:t>
                  </w:r>
                </w:p>
              </w:tc>
              <w:tc>
                <w:tcPr>
                  <w:tcW w:w="657" w:type="pct"/>
                  <w:vAlign w:val="center"/>
                </w:tcPr>
                <w:p w14:paraId="139B2E1A" w14:textId="77777777" w:rsidR="004B614B" w:rsidRPr="00A65B78" w:rsidRDefault="004B614B" w:rsidP="00D80CA6">
                  <w:pPr>
                    <w:jc w:val="center"/>
                    <w:rPr>
                      <w:sz w:val="16"/>
                      <w:lang w:val="en-GB"/>
                    </w:rPr>
                  </w:pPr>
                  <w:r w:rsidRPr="00AD773D">
                    <w:rPr>
                      <w:sz w:val="16"/>
                      <w:lang w:val="en-GB"/>
                    </w:rPr>
                    <w:t>0.55</w:t>
                  </w:r>
                </w:p>
              </w:tc>
              <w:tc>
                <w:tcPr>
                  <w:tcW w:w="606" w:type="pct"/>
                  <w:vAlign w:val="center"/>
                </w:tcPr>
                <w:p w14:paraId="434451EB" w14:textId="77777777" w:rsidR="004B614B" w:rsidRPr="00A65B78" w:rsidRDefault="004B614B" w:rsidP="00D80CA6">
                  <w:pPr>
                    <w:jc w:val="center"/>
                    <w:rPr>
                      <w:sz w:val="16"/>
                      <w:lang w:val="en-GB"/>
                    </w:rPr>
                  </w:pPr>
                  <w:r w:rsidRPr="00AD773D">
                    <w:rPr>
                      <w:sz w:val="16"/>
                      <w:lang w:val="en-GB"/>
                    </w:rPr>
                    <w:t>17.61</w:t>
                  </w:r>
                </w:p>
              </w:tc>
              <w:tc>
                <w:tcPr>
                  <w:tcW w:w="556" w:type="pct"/>
                  <w:vAlign w:val="center"/>
                </w:tcPr>
                <w:p w14:paraId="2F07803C" w14:textId="77777777" w:rsidR="004B614B" w:rsidRPr="00A65B78" w:rsidRDefault="004B614B" w:rsidP="00D80CA6">
                  <w:pPr>
                    <w:jc w:val="center"/>
                    <w:rPr>
                      <w:sz w:val="16"/>
                      <w:lang w:val="en-GB"/>
                    </w:rPr>
                  </w:pPr>
                  <w:r w:rsidRPr="00AD773D">
                    <w:rPr>
                      <w:sz w:val="16"/>
                      <w:lang w:val="en-GB"/>
                    </w:rPr>
                    <w:t>2.70</w:t>
                  </w:r>
                </w:p>
              </w:tc>
              <w:tc>
                <w:tcPr>
                  <w:tcW w:w="606" w:type="pct"/>
                  <w:vAlign w:val="center"/>
                </w:tcPr>
                <w:p w14:paraId="4DCF4BCC" w14:textId="77777777" w:rsidR="004B614B" w:rsidRPr="00A65B78" w:rsidRDefault="004B614B" w:rsidP="00D80CA6">
                  <w:pPr>
                    <w:jc w:val="center"/>
                    <w:rPr>
                      <w:sz w:val="16"/>
                      <w:lang w:val="en-GB"/>
                    </w:rPr>
                  </w:pPr>
                  <w:r w:rsidRPr="00AD773D">
                    <w:rPr>
                      <w:sz w:val="16"/>
                      <w:lang w:val="en-GB"/>
                    </w:rPr>
                    <w:t>4.17</w:t>
                  </w:r>
                </w:p>
              </w:tc>
            </w:tr>
            <w:tr w:rsidR="004B614B" w:rsidRPr="00A65B78" w14:paraId="764156FF" w14:textId="77777777" w:rsidTr="00D80CA6">
              <w:trPr>
                <w:trHeight w:hRule="exact" w:val="260"/>
              </w:trPr>
              <w:tc>
                <w:tcPr>
                  <w:tcW w:w="1161" w:type="pct"/>
                  <w:vAlign w:val="center"/>
                </w:tcPr>
                <w:p w14:paraId="037B5822" w14:textId="77777777" w:rsidR="004B614B" w:rsidRDefault="004B614B" w:rsidP="00D80CA6">
                  <w:pPr>
                    <w:rPr>
                      <w:sz w:val="16"/>
                      <w:lang w:val="en-GB"/>
                    </w:rPr>
                  </w:pPr>
                  <w:r w:rsidRPr="00AD773D">
                    <w:rPr>
                      <w:sz w:val="16"/>
                      <w:lang w:val="en-GB"/>
                    </w:rPr>
                    <w:t>V_F (L)</w:t>
                  </w:r>
                </w:p>
              </w:tc>
              <w:tc>
                <w:tcPr>
                  <w:tcW w:w="352" w:type="pct"/>
                  <w:vAlign w:val="center"/>
                </w:tcPr>
                <w:p w14:paraId="2DF0C9C0"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09788379" w14:textId="77777777" w:rsidR="004B614B" w:rsidRPr="00A65B78" w:rsidRDefault="004B614B" w:rsidP="00D80CA6">
                  <w:pPr>
                    <w:jc w:val="center"/>
                    <w:rPr>
                      <w:sz w:val="16"/>
                      <w:lang w:val="en-GB"/>
                    </w:rPr>
                  </w:pPr>
                  <w:r w:rsidRPr="00AD773D">
                    <w:rPr>
                      <w:sz w:val="16"/>
                      <w:lang w:val="en-GB"/>
                    </w:rPr>
                    <w:t>25.04</w:t>
                  </w:r>
                </w:p>
              </w:tc>
              <w:tc>
                <w:tcPr>
                  <w:tcW w:w="505" w:type="pct"/>
                  <w:vAlign w:val="center"/>
                </w:tcPr>
                <w:p w14:paraId="6F587FB0" w14:textId="77777777" w:rsidR="004B614B" w:rsidRPr="00A65B78" w:rsidRDefault="004B614B" w:rsidP="00D80CA6">
                  <w:pPr>
                    <w:jc w:val="center"/>
                    <w:rPr>
                      <w:sz w:val="16"/>
                      <w:lang w:val="en-GB"/>
                    </w:rPr>
                  </w:pPr>
                  <w:r w:rsidRPr="00AD773D">
                    <w:rPr>
                      <w:sz w:val="16"/>
                      <w:lang w:val="en-GB"/>
                    </w:rPr>
                    <w:t>23.98</w:t>
                  </w:r>
                </w:p>
              </w:tc>
              <w:tc>
                <w:tcPr>
                  <w:tcW w:w="657" w:type="pct"/>
                  <w:vAlign w:val="center"/>
                </w:tcPr>
                <w:p w14:paraId="31276EC3" w14:textId="77777777" w:rsidR="004B614B" w:rsidRPr="00A65B78" w:rsidRDefault="004B614B" w:rsidP="00D80CA6">
                  <w:pPr>
                    <w:jc w:val="center"/>
                    <w:rPr>
                      <w:sz w:val="16"/>
                      <w:lang w:val="en-GB"/>
                    </w:rPr>
                  </w:pPr>
                  <w:r w:rsidRPr="00AD773D">
                    <w:rPr>
                      <w:sz w:val="16"/>
                      <w:lang w:val="en-GB"/>
                    </w:rPr>
                    <w:t>5.02</w:t>
                  </w:r>
                </w:p>
              </w:tc>
              <w:tc>
                <w:tcPr>
                  <w:tcW w:w="606" w:type="pct"/>
                  <w:vAlign w:val="center"/>
                </w:tcPr>
                <w:p w14:paraId="50D0F100" w14:textId="77777777" w:rsidR="004B614B" w:rsidRPr="00A65B78" w:rsidRDefault="004B614B" w:rsidP="00D80CA6">
                  <w:pPr>
                    <w:jc w:val="center"/>
                    <w:rPr>
                      <w:sz w:val="16"/>
                      <w:lang w:val="en-GB"/>
                    </w:rPr>
                  </w:pPr>
                  <w:r w:rsidRPr="00AD773D">
                    <w:rPr>
                      <w:sz w:val="16"/>
                      <w:lang w:val="en-GB"/>
                    </w:rPr>
                    <w:t>20.06</w:t>
                  </w:r>
                </w:p>
              </w:tc>
              <w:tc>
                <w:tcPr>
                  <w:tcW w:w="556" w:type="pct"/>
                  <w:vAlign w:val="center"/>
                </w:tcPr>
                <w:p w14:paraId="7ABA75BF" w14:textId="77777777" w:rsidR="004B614B" w:rsidRPr="00A65B78" w:rsidRDefault="004B614B" w:rsidP="00D80CA6">
                  <w:pPr>
                    <w:jc w:val="center"/>
                    <w:rPr>
                      <w:sz w:val="16"/>
                      <w:lang w:val="en-GB"/>
                    </w:rPr>
                  </w:pPr>
                  <w:r w:rsidRPr="00AD773D">
                    <w:rPr>
                      <w:sz w:val="16"/>
                      <w:lang w:val="en-GB"/>
                    </w:rPr>
                    <w:t>19.65</w:t>
                  </w:r>
                </w:p>
              </w:tc>
              <w:tc>
                <w:tcPr>
                  <w:tcW w:w="606" w:type="pct"/>
                  <w:vAlign w:val="center"/>
                </w:tcPr>
                <w:p w14:paraId="5E441E0A" w14:textId="77777777" w:rsidR="004B614B" w:rsidRPr="00A65B78" w:rsidRDefault="004B614B" w:rsidP="00D80CA6">
                  <w:pPr>
                    <w:jc w:val="center"/>
                    <w:rPr>
                      <w:sz w:val="16"/>
                      <w:lang w:val="en-GB"/>
                    </w:rPr>
                  </w:pPr>
                  <w:r w:rsidRPr="00AD773D">
                    <w:rPr>
                      <w:sz w:val="16"/>
                      <w:lang w:val="en-GB"/>
                    </w:rPr>
                    <w:t>32.05</w:t>
                  </w:r>
                </w:p>
              </w:tc>
            </w:tr>
            <w:tr w:rsidR="004B614B" w:rsidRPr="00A65B78" w14:paraId="275F60A2" w14:textId="77777777" w:rsidTr="00D80CA6">
              <w:trPr>
                <w:trHeight w:hRule="exact" w:val="260"/>
              </w:trPr>
              <w:tc>
                <w:tcPr>
                  <w:tcW w:w="1161" w:type="pct"/>
                  <w:vAlign w:val="center"/>
                </w:tcPr>
                <w:p w14:paraId="43B36E05" w14:textId="77777777" w:rsidR="004B614B" w:rsidRPr="00AA2789" w:rsidRDefault="004B614B" w:rsidP="00D80CA6">
                  <w:pPr>
                    <w:rPr>
                      <w:b/>
                      <w:bCs/>
                      <w:sz w:val="16"/>
                      <w:lang w:val="en-GB"/>
                    </w:rPr>
                  </w:pPr>
                  <w:r w:rsidRPr="00AA2789">
                    <w:rPr>
                      <w:b/>
                      <w:bCs/>
                      <w:sz w:val="16"/>
                      <w:lang w:val="en-GB"/>
                    </w:rPr>
                    <w:t>SBT-020 15 mg – Day 1</w:t>
                  </w:r>
                </w:p>
              </w:tc>
              <w:tc>
                <w:tcPr>
                  <w:tcW w:w="3839" w:type="pct"/>
                  <w:gridSpan w:val="7"/>
                  <w:vAlign w:val="center"/>
                </w:tcPr>
                <w:p w14:paraId="5590998C" w14:textId="77777777" w:rsidR="004B614B" w:rsidRPr="00A65B78" w:rsidRDefault="004B614B" w:rsidP="00D80CA6">
                  <w:pPr>
                    <w:rPr>
                      <w:sz w:val="16"/>
                      <w:lang w:val="en-GB"/>
                    </w:rPr>
                  </w:pPr>
                </w:p>
              </w:tc>
            </w:tr>
            <w:tr w:rsidR="004B614B" w:rsidRPr="00A65B78" w14:paraId="7E314059" w14:textId="77777777" w:rsidTr="00D80CA6">
              <w:trPr>
                <w:trHeight w:hRule="exact" w:val="260"/>
              </w:trPr>
              <w:tc>
                <w:tcPr>
                  <w:tcW w:w="1161" w:type="pct"/>
                  <w:vAlign w:val="center"/>
                </w:tcPr>
                <w:p w14:paraId="110AF95A" w14:textId="77777777" w:rsidR="004B614B" w:rsidRPr="00A65B78" w:rsidRDefault="004B614B" w:rsidP="00D80CA6">
                  <w:pPr>
                    <w:rPr>
                      <w:sz w:val="16"/>
                      <w:lang w:val="en-GB"/>
                    </w:rPr>
                  </w:pPr>
                  <w:proofErr w:type="spellStart"/>
                  <w:r w:rsidRPr="00A65B78">
                    <w:rPr>
                      <w:sz w:val="16"/>
                      <w:lang w:val="en-GB"/>
                    </w:rPr>
                    <w:t>Cmax</w:t>
                  </w:r>
                  <w:proofErr w:type="spellEnd"/>
                  <w:r w:rsidRPr="00A65B78">
                    <w:rPr>
                      <w:sz w:val="16"/>
                      <w:lang w:val="en-GB"/>
                    </w:rPr>
                    <w:t xml:space="preserve"> (ng/ml)</w:t>
                  </w:r>
                </w:p>
              </w:tc>
              <w:tc>
                <w:tcPr>
                  <w:tcW w:w="352" w:type="pct"/>
                  <w:vAlign w:val="center"/>
                </w:tcPr>
                <w:p w14:paraId="6D0CA4A5" w14:textId="77777777" w:rsidR="004B614B" w:rsidRPr="00A65B78" w:rsidRDefault="004B614B" w:rsidP="00D80CA6">
                  <w:pPr>
                    <w:jc w:val="center"/>
                    <w:rPr>
                      <w:sz w:val="16"/>
                      <w:lang w:val="en-GB"/>
                    </w:rPr>
                  </w:pPr>
                  <w:r w:rsidRPr="00A65B78">
                    <w:rPr>
                      <w:sz w:val="16"/>
                      <w:lang w:val="en-GB"/>
                    </w:rPr>
                    <w:t>6</w:t>
                  </w:r>
                </w:p>
              </w:tc>
              <w:tc>
                <w:tcPr>
                  <w:tcW w:w="556" w:type="pct"/>
                  <w:vAlign w:val="center"/>
                </w:tcPr>
                <w:p w14:paraId="19153B90" w14:textId="77777777" w:rsidR="004B614B" w:rsidRPr="00A65B78" w:rsidRDefault="004B614B" w:rsidP="00D80CA6">
                  <w:pPr>
                    <w:jc w:val="center"/>
                    <w:rPr>
                      <w:sz w:val="16"/>
                      <w:lang w:val="en-GB"/>
                    </w:rPr>
                  </w:pPr>
                  <w:r w:rsidRPr="00A65B78">
                    <w:rPr>
                      <w:sz w:val="16"/>
                      <w:lang w:val="en-GB"/>
                    </w:rPr>
                    <w:t>833.00</w:t>
                  </w:r>
                </w:p>
              </w:tc>
              <w:tc>
                <w:tcPr>
                  <w:tcW w:w="505" w:type="pct"/>
                  <w:vAlign w:val="center"/>
                </w:tcPr>
                <w:p w14:paraId="5E9AD342" w14:textId="77777777" w:rsidR="004B614B" w:rsidRPr="00A65B78" w:rsidRDefault="004B614B" w:rsidP="00D80CA6">
                  <w:pPr>
                    <w:jc w:val="center"/>
                    <w:rPr>
                      <w:sz w:val="16"/>
                      <w:lang w:val="en-GB"/>
                    </w:rPr>
                  </w:pPr>
                  <w:r w:rsidRPr="00A65B78">
                    <w:rPr>
                      <w:sz w:val="16"/>
                      <w:lang w:val="en-GB"/>
                    </w:rPr>
                    <w:t>886.50</w:t>
                  </w:r>
                </w:p>
              </w:tc>
              <w:tc>
                <w:tcPr>
                  <w:tcW w:w="657" w:type="pct"/>
                  <w:vAlign w:val="center"/>
                </w:tcPr>
                <w:p w14:paraId="74A783E8" w14:textId="77777777" w:rsidR="004B614B" w:rsidRPr="00A65B78" w:rsidRDefault="004B614B" w:rsidP="00D80CA6">
                  <w:pPr>
                    <w:jc w:val="center"/>
                    <w:rPr>
                      <w:sz w:val="16"/>
                      <w:lang w:val="en-GB"/>
                    </w:rPr>
                  </w:pPr>
                  <w:r w:rsidRPr="00A65B78">
                    <w:rPr>
                      <w:sz w:val="16"/>
                      <w:lang w:val="en-GB"/>
                    </w:rPr>
                    <w:t>169.89</w:t>
                  </w:r>
                </w:p>
              </w:tc>
              <w:tc>
                <w:tcPr>
                  <w:tcW w:w="606" w:type="pct"/>
                  <w:vAlign w:val="center"/>
                </w:tcPr>
                <w:p w14:paraId="597C61ED" w14:textId="77777777" w:rsidR="004B614B" w:rsidRPr="00A65B78" w:rsidRDefault="004B614B" w:rsidP="00D80CA6">
                  <w:pPr>
                    <w:jc w:val="center"/>
                    <w:rPr>
                      <w:sz w:val="16"/>
                      <w:lang w:val="en-GB"/>
                    </w:rPr>
                  </w:pPr>
                  <w:r w:rsidRPr="00A65B78">
                    <w:rPr>
                      <w:sz w:val="16"/>
                      <w:lang w:val="en-GB"/>
                    </w:rPr>
                    <w:t>20.40</w:t>
                  </w:r>
                </w:p>
              </w:tc>
              <w:tc>
                <w:tcPr>
                  <w:tcW w:w="556" w:type="pct"/>
                  <w:vAlign w:val="center"/>
                </w:tcPr>
                <w:p w14:paraId="13C5AAAD" w14:textId="77777777" w:rsidR="004B614B" w:rsidRPr="00A65B78" w:rsidRDefault="004B614B" w:rsidP="00D80CA6">
                  <w:pPr>
                    <w:jc w:val="center"/>
                    <w:rPr>
                      <w:sz w:val="16"/>
                      <w:lang w:val="en-GB"/>
                    </w:rPr>
                  </w:pPr>
                  <w:r w:rsidRPr="00A65B78">
                    <w:rPr>
                      <w:sz w:val="16"/>
                      <w:lang w:val="en-GB"/>
                    </w:rPr>
                    <w:t>603.00</w:t>
                  </w:r>
                </w:p>
              </w:tc>
              <w:tc>
                <w:tcPr>
                  <w:tcW w:w="606" w:type="pct"/>
                  <w:vAlign w:val="center"/>
                </w:tcPr>
                <w:p w14:paraId="21315FB4" w14:textId="77777777" w:rsidR="004B614B" w:rsidRPr="00A65B78" w:rsidRDefault="004B614B" w:rsidP="00D80CA6">
                  <w:pPr>
                    <w:jc w:val="center"/>
                    <w:rPr>
                      <w:sz w:val="16"/>
                      <w:lang w:val="en-GB"/>
                    </w:rPr>
                  </w:pPr>
                  <w:r w:rsidRPr="00A65B78">
                    <w:rPr>
                      <w:sz w:val="16"/>
                      <w:lang w:val="en-GB"/>
                    </w:rPr>
                    <w:t>1020.00</w:t>
                  </w:r>
                </w:p>
              </w:tc>
            </w:tr>
            <w:tr w:rsidR="004B614B" w:rsidRPr="00A65B78" w14:paraId="513C6DE1" w14:textId="77777777" w:rsidTr="00D80CA6">
              <w:trPr>
                <w:trHeight w:hRule="exact" w:val="260"/>
              </w:trPr>
              <w:tc>
                <w:tcPr>
                  <w:tcW w:w="1161" w:type="pct"/>
                  <w:vAlign w:val="center"/>
                </w:tcPr>
                <w:p w14:paraId="427E8CDE" w14:textId="77777777" w:rsidR="004B614B" w:rsidRPr="00A65B78" w:rsidRDefault="004B614B" w:rsidP="00D80CA6">
                  <w:pPr>
                    <w:rPr>
                      <w:sz w:val="16"/>
                      <w:lang w:val="en-GB"/>
                    </w:rPr>
                  </w:pPr>
                  <w:proofErr w:type="spellStart"/>
                  <w:r w:rsidRPr="00A65B78">
                    <w:rPr>
                      <w:sz w:val="16"/>
                      <w:lang w:val="en-GB"/>
                    </w:rPr>
                    <w:t>tmax</w:t>
                  </w:r>
                  <w:proofErr w:type="spellEnd"/>
                  <w:r w:rsidRPr="00A65B78">
                    <w:rPr>
                      <w:sz w:val="16"/>
                      <w:lang w:val="en-GB"/>
                    </w:rPr>
                    <w:t xml:space="preserve"> (h)</w:t>
                  </w:r>
                </w:p>
              </w:tc>
              <w:tc>
                <w:tcPr>
                  <w:tcW w:w="352" w:type="pct"/>
                  <w:vAlign w:val="center"/>
                </w:tcPr>
                <w:p w14:paraId="0BEF0847" w14:textId="77777777" w:rsidR="004B614B" w:rsidRPr="00A65B78" w:rsidRDefault="004B614B" w:rsidP="00D80CA6">
                  <w:pPr>
                    <w:jc w:val="center"/>
                    <w:rPr>
                      <w:sz w:val="16"/>
                      <w:lang w:val="en-GB"/>
                    </w:rPr>
                  </w:pPr>
                  <w:r w:rsidRPr="00A65B78">
                    <w:rPr>
                      <w:sz w:val="16"/>
                      <w:lang w:val="en-GB"/>
                    </w:rPr>
                    <w:t>6</w:t>
                  </w:r>
                </w:p>
              </w:tc>
              <w:tc>
                <w:tcPr>
                  <w:tcW w:w="556" w:type="pct"/>
                  <w:vAlign w:val="center"/>
                </w:tcPr>
                <w:p w14:paraId="6C1D4749" w14:textId="77777777" w:rsidR="004B614B" w:rsidRPr="00A65B78" w:rsidRDefault="004B614B" w:rsidP="00D80CA6">
                  <w:pPr>
                    <w:jc w:val="center"/>
                    <w:rPr>
                      <w:sz w:val="16"/>
                      <w:lang w:val="en-GB"/>
                    </w:rPr>
                  </w:pPr>
                  <w:r w:rsidRPr="00A65B78">
                    <w:rPr>
                      <w:sz w:val="16"/>
                      <w:lang w:val="en-GB"/>
                    </w:rPr>
                    <w:t>0.76</w:t>
                  </w:r>
                </w:p>
              </w:tc>
              <w:tc>
                <w:tcPr>
                  <w:tcW w:w="505" w:type="pct"/>
                  <w:vAlign w:val="center"/>
                </w:tcPr>
                <w:p w14:paraId="3A449DE7" w14:textId="77777777" w:rsidR="004B614B" w:rsidRPr="00A65B78" w:rsidRDefault="004B614B" w:rsidP="00D80CA6">
                  <w:pPr>
                    <w:jc w:val="center"/>
                    <w:rPr>
                      <w:sz w:val="16"/>
                      <w:lang w:val="en-GB"/>
                    </w:rPr>
                  </w:pPr>
                  <w:r w:rsidRPr="00A65B78">
                    <w:rPr>
                      <w:sz w:val="16"/>
                      <w:lang w:val="en-GB"/>
                    </w:rPr>
                    <w:t>0.75</w:t>
                  </w:r>
                </w:p>
              </w:tc>
              <w:tc>
                <w:tcPr>
                  <w:tcW w:w="657" w:type="pct"/>
                  <w:vAlign w:val="center"/>
                </w:tcPr>
                <w:p w14:paraId="756A6D6C" w14:textId="77777777" w:rsidR="004B614B" w:rsidRPr="00A65B78" w:rsidRDefault="004B614B" w:rsidP="00D80CA6">
                  <w:pPr>
                    <w:jc w:val="center"/>
                    <w:rPr>
                      <w:sz w:val="16"/>
                      <w:lang w:val="en-GB"/>
                    </w:rPr>
                  </w:pPr>
                  <w:r w:rsidRPr="00A65B78">
                    <w:rPr>
                      <w:sz w:val="16"/>
                      <w:lang w:val="en-GB"/>
                    </w:rPr>
                    <w:t>0.21</w:t>
                  </w:r>
                </w:p>
              </w:tc>
              <w:tc>
                <w:tcPr>
                  <w:tcW w:w="606" w:type="pct"/>
                  <w:vAlign w:val="center"/>
                </w:tcPr>
                <w:p w14:paraId="0EF4C585" w14:textId="77777777" w:rsidR="004B614B" w:rsidRPr="00A65B78" w:rsidRDefault="004B614B" w:rsidP="00D80CA6">
                  <w:pPr>
                    <w:jc w:val="center"/>
                    <w:rPr>
                      <w:sz w:val="16"/>
                      <w:lang w:val="en-GB"/>
                    </w:rPr>
                  </w:pPr>
                  <w:r w:rsidRPr="00A65B78">
                    <w:rPr>
                      <w:sz w:val="16"/>
                      <w:lang w:val="en-GB"/>
                    </w:rPr>
                    <w:t>27.58</w:t>
                  </w:r>
                </w:p>
              </w:tc>
              <w:tc>
                <w:tcPr>
                  <w:tcW w:w="556" w:type="pct"/>
                  <w:vAlign w:val="center"/>
                </w:tcPr>
                <w:p w14:paraId="5F4A2767" w14:textId="77777777" w:rsidR="004B614B" w:rsidRPr="00A65B78" w:rsidRDefault="004B614B" w:rsidP="00D80CA6">
                  <w:pPr>
                    <w:jc w:val="center"/>
                    <w:rPr>
                      <w:sz w:val="16"/>
                      <w:lang w:val="en-GB"/>
                    </w:rPr>
                  </w:pPr>
                  <w:r w:rsidRPr="00A65B78">
                    <w:rPr>
                      <w:sz w:val="16"/>
                      <w:lang w:val="en-GB"/>
                    </w:rPr>
                    <w:t>0.50</w:t>
                  </w:r>
                </w:p>
              </w:tc>
              <w:tc>
                <w:tcPr>
                  <w:tcW w:w="606" w:type="pct"/>
                  <w:vAlign w:val="center"/>
                </w:tcPr>
                <w:p w14:paraId="3AD67B13" w14:textId="77777777" w:rsidR="004B614B" w:rsidRPr="00A65B78" w:rsidRDefault="004B614B" w:rsidP="00D80CA6">
                  <w:pPr>
                    <w:jc w:val="center"/>
                    <w:rPr>
                      <w:sz w:val="16"/>
                      <w:lang w:val="en-GB"/>
                    </w:rPr>
                  </w:pPr>
                  <w:r w:rsidRPr="00A65B78">
                    <w:rPr>
                      <w:sz w:val="16"/>
                      <w:lang w:val="en-GB"/>
                    </w:rPr>
                    <w:t>1.00</w:t>
                  </w:r>
                </w:p>
              </w:tc>
            </w:tr>
            <w:tr w:rsidR="004B614B" w:rsidRPr="00A65B78" w14:paraId="3364438B" w14:textId="77777777" w:rsidTr="00D80CA6">
              <w:trPr>
                <w:trHeight w:hRule="exact" w:val="260"/>
              </w:trPr>
              <w:tc>
                <w:tcPr>
                  <w:tcW w:w="1161" w:type="pct"/>
                  <w:vAlign w:val="center"/>
                </w:tcPr>
                <w:p w14:paraId="165032BF" w14:textId="77777777" w:rsidR="004B614B" w:rsidRPr="00A65B78" w:rsidRDefault="004B614B" w:rsidP="00D80CA6">
                  <w:pPr>
                    <w:rPr>
                      <w:sz w:val="16"/>
                      <w:lang w:val="en-GB"/>
                    </w:rPr>
                  </w:pPr>
                  <w:proofErr w:type="spellStart"/>
                  <w:r w:rsidRPr="00A65B78">
                    <w:rPr>
                      <w:sz w:val="16"/>
                      <w:lang w:val="en-GB"/>
                    </w:rPr>
                    <w:t>tlag</w:t>
                  </w:r>
                  <w:proofErr w:type="spellEnd"/>
                  <w:r w:rsidRPr="00A65B78">
                    <w:rPr>
                      <w:sz w:val="16"/>
                      <w:lang w:val="en-GB"/>
                    </w:rPr>
                    <w:t xml:space="preserve"> (h)</w:t>
                  </w:r>
                </w:p>
              </w:tc>
              <w:tc>
                <w:tcPr>
                  <w:tcW w:w="352" w:type="pct"/>
                  <w:vAlign w:val="center"/>
                </w:tcPr>
                <w:p w14:paraId="1DB79358" w14:textId="77777777" w:rsidR="004B614B" w:rsidRPr="00A65B78" w:rsidRDefault="004B614B" w:rsidP="00D80CA6">
                  <w:pPr>
                    <w:jc w:val="center"/>
                    <w:rPr>
                      <w:sz w:val="16"/>
                      <w:lang w:val="en-GB"/>
                    </w:rPr>
                  </w:pPr>
                  <w:r w:rsidRPr="00A65B78">
                    <w:rPr>
                      <w:sz w:val="16"/>
                      <w:lang w:val="en-GB"/>
                    </w:rPr>
                    <w:t>6</w:t>
                  </w:r>
                </w:p>
              </w:tc>
              <w:tc>
                <w:tcPr>
                  <w:tcW w:w="556" w:type="pct"/>
                  <w:vAlign w:val="center"/>
                </w:tcPr>
                <w:p w14:paraId="269C5529" w14:textId="77777777" w:rsidR="004B614B" w:rsidRPr="00A65B78" w:rsidRDefault="004B614B" w:rsidP="00D80CA6">
                  <w:pPr>
                    <w:jc w:val="center"/>
                    <w:rPr>
                      <w:sz w:val="16"/>
                      <w:lang w:val="en-GB"/>
                    </w:rPr>
                  </w:pPr>
                  <w:r w:rsidRPr="00A65B78">
                    <w:rPr>
                      <w:sz w:val="16"/>
                      <w:lang w:val="en-GB"/>
                    </w:rPr>
                    <w:t>0.00</w:t>
                  </w:r>
                </w:p>
              </w:tc>
              <w:tc>
                <w:tcPr>
                  <w:tcW w:w="505" w:type="pct"/>
                  <w:vAlign w:val="center"/>
                </w:tcPr>
                <w:p w14:paraId="567BD697" w14:textId="77777777" w:rsidR="004B614B" w:rsidRPr="00A65B78" w:rsidRDefault="004B614B" w:rsidP="00D80CA6">
                  <w:pPr>
                    <w:jc w:val="center"/>
                    <w:rPr>
                      <w:sz w:val="16"/>
                      <w:lang w:val="en-GB"/>
                    </w:rPr>
                  </w:pPr>
                  <w:r w:rsidRPr="00A65B78">
                    <w:rPr>
                      <w:sz w:val="16"/>
                      <w:lang w:val="en-GB"/>
                    </w:rPr>
                    <w:t>0.00</w:t>
                  </w:r>
                </w:p>
              </w:tc>
              <w:tc>
                <w:tcPr>
                  <w:tcW w:w="657" w:type="pct"/>
                  <w:vAlign w:val="center"/>
                </w:tcPr>
                <w:p w14:paraId="67E450BF" w14:textId="77777777" w:rsidR="004B614B" w:rsidRPr="00A65B78" w:rsidRDefault="004B614B" w:rsidP="00D80CA6">
                  <w:pPr>
                    <w:jc w:val="center"/>
                    <w:rPr>
                      <w:sz w:val="16"/>
                      <w:lang w:val="en-GB"/>
                    </w:rPr>
                  </w:pPr>
                  <w:r w:rsidRPr="00A65B78">
                    <w:rPr>
                      <w:sz w:val="16"/>
                      <w:lang w:val="en-GB"/>
                    </w:rPr>
                    <w:t>0.00</w:t>
                  </w:r>
                </w:p>
              </w:tc>
              <w:tc>
                <w:tcPr>
                  <w:tcW w:w="606" w:type="pct"/>
                  <w:vAlign w:val="center"/>
                </w:tcPr>
                <w:p w14:paraId="3CFA8CD3" w14:textId="77777777" w:rsidR="004B614B" w:rsidRPr="00A65B78" w:rsidRDefault="004B614B" w:rsidP="00D80CA6">
                  <w:pPr>
                    <w:jc w:val="center"/>
                    <w:rPr>
                      <w:sz w:val="16"/>
                      <w:lang w:val="en-GB"/>
                    </w:rPr>
                  </w:pPr>
                  <w:r w:rsidRPr="00A65B78">
                    <w:rPr>
                      <w:sz w:val="16"/>
                      <w:lang w:val="en-GB"/>
                    </w:rPr>
                    <w:t>NA</w:t>
                  </w:r>
                </w:p>
              </w:tc>
              <w:tc>
                <w:tcPr>
                  <w:tcW w:w="556" w:type="pct"/>
                  <w:vAlign w:val="center"/>
                </w:tcPr>
                <w:p w14:paraId="72F94188" w14:textId="77777777" w:rsidR="004B614B" w:rsidRPr="00A65B78" w:rsidRDefault="004B614B" w:rsidP="00D80CA6">
                  <w:pPr>
                    <w:jc w:val="center"/>
                    <w:rPr>
                      <w:sz w:val="16"/>
                      <w:lang w:val="en-GB"/>
                    </w:rPr>
                  </w:pPr>
                  <w:r w:rsidRPr="00A65B78">
                    <w:rPr>
                      <w:sz w:val="16"/>
                      <w:lang w:val="en-GB"/>
                    </w:rPr>
                    <w:t>0.00</w:t>
                  </w:r>
                </w:p>
              </w:tc>
              <w:tc>
                <w:tcPr>
                  <w:tcW w:w="606" w:type="pct"/>
                  <w:vAlign w:val="center"/>
                </w:tcPr>
                <w:p w14:paraId="5F53F82A" w14:textId="77777777" w:rsidR="004B614B" w:rsidRPr="00A65B78" w:rsidRDefault="004B614B" w:rsidP="00D80CA6">
                  <w:pPr>
                    <w:jc w:val="center"/>
                    <w:rPr>
                      <w:sz w:val="16"/>
                      <w:lang w:val="en-GB"/>
                    </w:rPr>
                  </w:pPr>
                  <w:r w:rsidRPr="00A65B78">
                    <w:rPr>
                      <w:sz w:val="16"/>
                      <w:lang w:val="en-GB"/>
                    </w:rPr>
                    <w:t>0.00</w:t>
                  </w:r>
                </w:p>
              </w:tc>
            </w:tr>
            <w:tr w:rsidR="004B614B" w:rsidRPr="00A65B78" w14:paraId="5A00B2C4" w14:textId="77777777" w:rsidTr="00D80CA6">
              <w:trPr>
                <w:trHeight w:hRule="exact" w:val="260"/>
              </w:trPr>
              <w:tc>
                <w:tcPr>
                  <w:tcW w:w="1161" w:type="pct"/>
                  <w:vAlign w:val="center"/>
                </w:tcPr>
                <w:p w14:paraId="287FEEA2" w14:textId="77777777" w:rsidR="004B614B" w:rsidRPr="00A65B78" w:rsidRDefault="004B614B" w:rsidP="00D80CA6">
                  <w:pPr>
                    <w:rPr>
                      <w:sz w:val="16"/>
                      <w:lang w:val="en-GB"/>
                    </w:rPr>
                  </w:pPr>
                  <w:r w:rsidRPr="00A65B78">
                    <w:rPr>
                      <w:sz w:val="16"/>
                      <w:lang w:val="en-GB"/>
                    </w:rPr>
                    <w:t>AUC_0_last (ng*h/ml)</w:t>
                  </w:r>
                </w:p>
              </w:tc>
              <w:tc>
                <w:tcPr>
                  <w:tcW w:w="352" w:type="pct"/>
                  <w:vAlign w:val="center"/>
                </w:tcPr>
                <w:p w14:paraId="4EF28D19" w14:textId="77777777" w:rsidR="004B614B" w:rsidRPr="00A65B78" w:rsidRDefault="004B614B" w:rsidP="00D80CA6">
                  <w:pPr>
                    <w:jc w:val="center"/>
                    <w:rPr>
                      <w:sz w:val="16"/>
                      <w:lang w:val="en-GB"/>
                    </w:rPr>
                  </w:pPr>
                  <w:r w:rsidRPr="00A65B78">
                    <w:rPr>
                      <w:sz w:val="16"/>
                      <w:lang w:val="en-GB"/>
                    </w:rPr>
                    <w:t>6</w:t>
                  </w:r>
                </w:p>
              </w:tc>
              <w:tc>
                <w:tcPr>
                  <w:tcW w:w="556" w:type="pct"/>
                  <w:vAlign w:val="center"/>
                </w:tcPr>
                <w:p w14:paraId="4A1BE687" w14:textId="77777777" w:rsidR="004B614B" w:rsidRPr="00A65B78" w:rsidRDefault="004B614B" w:rsidP="00D80CA6">
                  <w:pPr>
                    <w:jc w:val="center"/>
                    <w:rPr>
                      <w:sz w:val="16"/>
                      <w:lang w:val="en-GB"/>
                    </w:rPr>
                  </w:pPr>
                  <w:r w:rsidRPr="00A65B78">
                    <w:rPr>
                      <w:sz w:val="16"/>
                      <w:lang w:val="en-GB"/>
                    </w:rPr>
                    <w:t>3700.87</w:t>
                  </w:r>
                </w:p>
              </w:tc>
              <w:tc>
                <w:tcPr>
                  <w:tcW w:w="505" w:type="pct"/>
                  <w:vAlign w:val="center"/>
                </w:tcPr>
                <w:p w14:paraId="2B6798D8" w14:textId="77777777" w:rsidR="004B614B" w:rsidRPr="00A65B78" w:rsidRDefault="004B614B" w:rsidP="00D80CA6">
                  <w:pPr>
                    <w:jc w:val="center"/>
                    <w:rPr>
                      <w:sz w:val="16"/>
                      <w:lang w:val="en-GB"/>
                    </w:rPr>
                  </w:pPr>
                  <w:r w:rsidRPr="00A65B78">
                    <w:rPr>
                      <w:sz w:val="16"/>
                      <w:lang w:val="en-GB"/>
                    </w:rPr>
                    <w:t>3374.82</w:t>
                  </w:r>
                </w:p>
              </w:tc>
              <w:tc>
                <w:tcPr>
                  <w:tcW w:w="657" w:type="pct"/>
                  <w:vAlign w:val="center"/>
                </w:tcPr>
                <w:p w14:paraId="405F5B1A" w14:textId="77777777" w:rsidR="004B614B" w:rsidRPr="00A65B78" w:rsidRDefault="004B614B" w:rsidP="00D80CA6">
                  <w:pPr>
                    <w:jc w:val="center"/>
                    <w:rPr>
                      <w:sz w:val="16"/>
                      <w:lang w:val="en-GB"/>
                    </w:rPr>
                  </w:pPr>
                  <w:r w:rsidRPr="00A65B78">
                    <w:rPr>
                      <w:sz w:val="16"/>
                      <w:lang w:val="en-GB"/>
                    </w:rPr>
                    <w:t>942.05</w:t>
                  </w:r>
                </w:p>
              </w:tc>
              <w:tc>
                <w:tcPr>
                  <w:tcW w:w="606" w:type="pct"/>
                  <w:vAlign w:val="center"/>
                </w:tcPr>
                <w:p w14:paraId="2536DCF9" w14:textId="77777777" w:rsidR="004B614B" w:rsidRPr="00A65B78" w:rsidRDefault="004B614B" w:rsidP="00D80CA6">
                  <w:pPr>
                    <w:jc w:val="center"/>
                    <w:rPr>
                      <w:sz w:val="16"/>
                      <w:lang w:val="en-GB"/>
                    </w:rPr>
                  </w:pPr>
                  <w:r w:rsidRPr="00A65B78">
                    <w:rPr>
                      <w:sz w:val="16"/>
                      <w:lang w:val="en-GB"/>
                    </w:rPr>
                    <w:t>25.45</w:t>
                  </w:r>
                </w:p>
              </w:tc>
              <w:tc>
                <w:tcPr>
                  <w:tcW w:w="556" w:type="pct"/>
                  <w:vAlign w:val="center"/>
                </w:tcPr>
                <w:p w14:paraId="44C7FED8" w14:textId="77777777" w:rsidR="004B614B" w:rsidRPr="00A65B78" w:rsidRDefault="004B614B" w:rsidP="00D80CA6">
                  <w:pPr>
                    <w:jc w:val="center"/>
                    <w:rPr>
                      <w:sz w:val="16"/>
                      <w:lang w:val="en-GB"/>
                    </w:rPr>
                  </w:pPr>
                  <w:r w:rsidRPr="00A65B78">
                    <w:rPr>
                      <w:sz w:val="16"/>
                      <w:lang w:val="en-GB"/>
                    </w:rPr>
                    <w:t>2770.29</w:t>
                  </w:r>
                </w:p>
              </w:tc>
              <w:tc>
                <w:tcPr>
                  <w:tcW w:w="606" w:type="pct"/>
                  <w:vAlign w:val="center"/>
                </w:tcPr>
                <w:p w14:paraId="47887BC3" w14:textId="77777777" w:rsidR="004B614B" w:rsidRPr="00A65B78" w:rsidRDefault="004B614B" w:rsidP="00D80CA6">
                  <w:pPr>
                    <w:jc w:val="center"/>
                    <w:rPr>
                      <w:sz w:val="16"/>
                      <w:lang w:val="en-GB"/>
                    </w:rPr>
                  </w:pPr>
                  <w:r w:rsidRPr="00A65B78">
                    <w:rPr>
                      <w:sz w:val="16"/>
                      <w:lang w:val="en-GB"/>
                    </w:rPr>
                    <w:t>5260.16</w:t>
                  </w:r>
                </w:p>
              </w:tc>
            </w:tr>
            <w:tr w:rsidR="004B614B" w:rsidRPr="00A65B78" w14:paraId="69989BA5" w14:textId="77777777" w:rsidTr="00D80CA6">
              <w:trPr>
                <w:trHeight w:hRule="exact" w:val="260"/>
              </w:trPr>
              <w:tc>
                <w:tcPr>
                  <w:tcW w:w="1161" w:type="pct"/>
                  <w:vAlign w:val="center"/>
                </w:tcPr>
                <w:p w14:paraId="67D6FB9E" w14:textId="77777777" w:rsidR="004B614B" w:rsidRPr="00AA2789" w:rsidRDefault="004B614B" w:rsidP="00D80CA6">
                  <w:pPr>
                    <w:rPr>
                      <w:b/>
                      <w:bCs/>
                      <w:sz w:val="16"/>
                      <w:lang w:val="en-GB"/>
                    </w:rPr>
                  </w:pPr>
                  <w:r w:rsidRPr="00AA2789">
                    <w:rPr>
                      <w:b/>
                      <w:bCs/>
                      <w:sz w:val="16"/>
                      <w:lang w:val="en-GB"/>
                    </w:rPr>
                    <w:t>SBT-020 15 mg – Day 7</w:t>
                  </w:r>
                </w:p>
              </w:tc>
              <w:tc>
                <w:tcPr>
                  <w:tcW w:w="3839" w:type="pct"/>
                  <w:gridSpan w:val="7"/>
                  <w:vAlign w:val="center"/>
                </w:tcPr>
                <w:p w14:paraId="3D7FC440" w14:textId="77777777" w:rsidR="004B614B" w:rsidRPr="00A65B78" w:rsidRDefault="004B614B" w:rsidP="00D80CA6">
                  <w:pPr>
                    <w:rPr>
                      <w:sz w:val="16"/>
                      <w:lang w:val="en-GB"/>
                    </w:rPr>
                  </w:pPr>
                </w:p>
              </w:tc>
            </w:tr>
            <w:tr w:rsidR="004B614B" w:rsidRPr="00A65B78" w14:paraId="41BAF501" w14:textId="77777777" w:rsidTr="00D80CA6">
              <w:trPr>
                <w:trHeight w:hRule="exact" w:val="260"/>
              </w:trPr>
              <w:tc>
                <w:tcPr>
                  <w:tcW w:w="1161" w:type="pct"/>
                  <w:vAlign w:val="center"/>
                </w:tcPr>
                <w:p w14:paraId="1E980553" w14:textId="77777777" w:rsidR="004B614B" w:rsidRDefault="004B614B" w:rsidP="00D80CA6">
                  <w:pPr>
                    <w:rPr>
                      <w:sz w:val="16"/>
                      <w:lang w:val="en-GB"/>
                    </w:rPr>
                  </w:pPr>
                  <w:proofErr w:type="spellStart"/>
                  <w:r w:rsidRPr="00AD773D">
                    <w:rPr>
                      <w:sz w:val="16"/>
                      <w:lang w:val="en-GB"/>
                    </w:rPr>
                    <w:t>Cmax</w:t>
                  </w:r>
                  <w:proofErr w:type="spellEnd"/>
                  <w:r w:rsidRPr="00AD773D">
                    <w:rPr>
                      <w:sz w:val="16"/>
                      <w:lang w:val="en-GB"/>
                    </w:rPr>
                    <w:t xml:space="preserve"> (ng/ml)</w:t>
                  </w:r>
                </w:p>
              </w:tc>
              <w:tc>
                <w:tcPr>
                  <w:tcW w:w="352" w:type="pct"/>
                  <w:vAlign w:val="center"/>
                </w:tcPr>
                <w:p w14:paraId="491108B5"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2D87F381" w14:textId="77777777" w:rsidR="004B614B" w:rsidRPr="00A65B78" w:rsidRDefault="004B614B" w:rsidP="00D80CA6">
                  <w:pPr>
                    <w:jc w:val="center"/>
                    <w:rPr>
                      <w:sz w:val="16"/>
                      <w:lang w:val="en-GB"/>
                    </w:rPr>
                  </w:pPr>
                  <w:r w:rsidRPr="00AD773D">
                    <w:rPr>
                      <w:sz w:val="16"/>
                      <w:lang w:val="en-GB"/>
                    </w:rPr>
                    <w:t>738.17</w:t>
                  </w:r>
                </w:p>
              </w:tc>
              <w:tc>
                <w:tcPr>
                  <w:tcW w:w="505" w:type="pct"/>
                  <w:vAlign w:val="center"/>
                </w:tcPr>
                <w:p w14:paraId="539556FB" w14:textId="77777777" w:rsidR="004B614B" w:rsidRPr="00A65B78" w:rsidRDefault="004B614B" w:rsidP="00D80CA6">
                  <w:pPr>
                    <w:jc w:val="center"/>
                    <w:rPr>
                      <w:sz w:val="16"/>
                      <w:lang w:val="en-GB"/>
                    </w:rPr>
                  </w:pPr>
                  <w:r w:rsidRPr="00AD773D">
                    <w:rPr>
                      <w:sz w:val="16"/>
                      <w:lang w:val="en-GB"/>
                    </w:rPr>
                    <w:t>726.00</w:t>
                  </w:r>
                </w:p>
              </w:tc>
              <w:tc>
                <w:tcPr>
                  <w:tcW w:w="657" w:type="pct"/>
                  <w:vAlign w:val="center"/>
                </w:tcPr>
                <w:p w14:paraId="2336C117" w14:textId="77777777" w:rsidR="004B614B" w:rsidRPr="00A65B78" w:rsidRDefault="004B614B" w:rsidP="00D80CA6">
                  <w:pPr>
                    <w:jc w:val="center"/>
                    <w:rPr>
                      <w:sz w:val="16"/>
                      <w:lang w:val="en-GB"/>
                    </w:rPr>
                  </w:pPr>
                  <w:r w:rsidRPr="00AD773D">
                    <w:rPr>
                      <w:sz w:val="16"/>
                      <w:lang w:val="en-GB"/>
                    </w:rPr>
                    <w:t>165.63</w:t>
                  </w:r>
                </w:p>
              </w:tc>
              <w:tc>
                <w:tcPr>
                  <w:tcW w:w="606" w:type="pct"/>
                  <w:vAlign w:val="center"/>
                </w:tcPr>
                <w:p w14:paraId="069A4409" w14:textId="77777777" w:rsidR="004B614B" w:rsidRPr="00A65B78" w:rsidRDefault="004B614B" w:rsidP="00D80CA6">
                  <w:pPr>
                    <w:jc w:val="center"/>
                    <w:rPr>
                      <w:sz w:val="16"/>
                      <w:lang w:val="en-GB"/>
                    </w:rPr>
                  </w:pPr>
                  <w:r w:rsidRPr="00AD773D">
                    <w:rPr>
                      <w:sz w:val="16"/>
                      <w:lang w:val="en-GB"/>
                    </w:rPr>
                    <w:t>22.44</w:t>
                  </w:r>
                </w:p>
              </w:tc>
              <w:tc>
                <w:tcPr>
                  <w:tcW w:w="556" w:type="pct"/>
                  <w:vAlign w:val="center"/>
                </w:tcPr>
                <w:p w14:paraId="6730B4FB" w14:textId="77777777" w:rsidR="004B614B" w:rsidRPr="00A65B78" w:rsidRDefault="004B614B" w:rsidP="00D80CA6">
                  <w:pPr>
                    <w:jc w:val="center"/>
                    <w:rPr>
                      <w:sz w:val="16"/>
                      <w:lang w:val="en-GB"/>
                    </w:rPr>
                  </w:pPr>
                  <w:r w:rsidRPr="00AD773D">
                    <w:rPr>
                      <w:sz w:val="16"/>
                      <w:lang w:val="en-GB"/>
                    </w:rPr>
                    <w:t>494.00</w:t>
                  </w:r>
                </w:p>
              </w:tc>
              <w:tc>
                <w:tcPr>
                  <w:tcW w:w="606" w:type="pct"/>
                  <w:vAlign w:val="center"/>
                </w:tcPr>
                <w:p w14:paraId="529BE55D" w14:textId="77777777" w:rsidR="004B614B" w:rsidRPr="00A65B78" w:rsidRDefault="004B614B" w:rsidP="00D80CA6">
                  <w:pPr>
                    <w:jc w:val="center"/>
                    <w:rPr>
                      <w:sz w:val="16"/>
                      <w:lang w:val="en-GB"/>
                    </w:rPr>
                  </w:pPr>
                  <w:r w:rsidRPr="00AD773D">
                    <w:rPr>
                      <w:sz w:val="16"/>
                      <w:lang w:val="en-GB"/>
                    </w:rPr>
                    <w:t>956.00</w:t>
                  </w:r>
                </w:p>
              </w:tc>
            </w:tr>
            <w:tr w:rsidR="004B614B" w:rsidRPr="00A65B78" w14:paraId="26B4CD26" w14:textId="77777777" w:rsidTr="00D80CA6">
              <w:trPr>
                <w:trHeight w:hRule="exact" w:val="260"/>
              </w:trPr>
              <w:tc>
                <w:tcPr>
                  <w:tcW w:w="1161" w:type="pct"/>
                  <w:vAlign w:val="center"/>
                </w:tcPr>
                <w:p w14:paraId="3C56077F" w14:textId="77777777" w:rsidR="004B614B" w:rsidRDefault="004B614B" w:rsidP="00D80CA6">
                  <w:pPr>
                    <w:rPr>
                      <w:sz w:val="16"/>
                      <w:lang w:val="en-GB"/>
                    </w:rPr>
                  </w:pPr>
                  <w:r w:rsidRPr="00AD773D">
                    <w:rPr>
                      <w:sz w:val="16"/>
                      <w:lang w:val="en-GB"/>
                    </w:rPr>
                    <w:t>AUC_0_last (ng*h/ml)</w:t>
                  </w:r>
                </w:p>
              </w:tc>
              <w:tc>
                <w:tcPr>
                  <w:tcW w:w="352" w:type="pct"/>
                  <w:vAlign w:val="center"/>
                </w:tcPr>
                <w:p w14:paraId="4B6A6EB3"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4D25A184" w14:textId="77777777" w:rsidR="004B614B" w:rsidRPr="00A65B78" w:rsidRDefault="004B614B" w:rsidP="00D80CA6">
                  <w:pPr>
                    <w:jc w:val="center"/>
                    <w:rPr>
                      <w:sz w:val="16"/>
                      <w:lang w:val="en-GB"/>
                    </w:rPr>
                  </w:pPr>
                  <w:r w:rsidRPr="00AD773D">
                    <w:rPr>
                      <w:sz w:val="16"/>
                      <w:lang w:val="en-GB"/>
                    </w:rPr>
                    <w:t>3572.60</w:t>
                  </w:r>
                </w:p>
              </w:tc>
              <w:tc>
                <w:tcPr>
                  <w:tcW w:w="505" w:type="pct"/>
                  <w:vAlign w:val="center"/>
                </w:tcPr>
                <w:p w14:paraId="37B232A6" w14:textId="77777777" w:rsidR="004B614B" w:rsidRPr="00A65B78" w:rsidRDefault="004B614B" w:rsidP="00D80CA6">
                  <w:pPr>
                    <w:jc w:val="center"/>
                    <w:rPr>
                      <w:sz w:val="16"/>
                      <w:lang w:val="en-GB"/>
                    </w:rPr>
                  </w:pPr>
                  <w:r w:rsidRPr="00AD773D">
                    <w:rPr>
                      <w:sz w:val="16"/>
                      <w:lang w:val="en-GB"/>
                    </w:rPr>
                    <w:t>3301.97</w:t>
                  </w:r>
                </w:p>
              </w:tc>
              <w:tc>
                <w:tcPr>
                  <w:tcW w:w="657" w:type="pct"/>
                  <w:vAlign w:val="center"/>
                </w:tcPr>
                <w:p w14:paraId="4A4DE125" w14:textId="77777777" w:rsidR="004B614B" w:rsidRPr="00A65B78" w:rsidRDefault="004B614B" w:rsidP="00D80CA6">
                  <w:pPr>
                    <w:jc w:val="center"/>
                    <w:rPr>
                      <w:sz w:val="16"/>
                      <w:lang w:val="en-GB"/>
                    </w:rPr>
                  </w:pPr>
                  <w:r w:rsidRPr="00AD773D">
                    <w:rPr>
                      <w:sz w:val="16"/>
                      <w:lang w:val="en-GB"/>
                    </w:rPr>
                    <w:t>733.75</w:t>
                  </w:r>
                </w:p>
              </w:tc>
              <w:tc>
                <w:tcPr>
                  <w:tcW w:w="606" w:type="pct"/>
                  <w:vAlign w:val="center"/>
                </w:tcPr>
                <w:p w14:paraId="28C3364A" w14:textId="77777777" w:rsidR="004B614B" w:rsidRPr="00A65B78" w:rsidRDefault="004B614B" w:rsidP="00D80CA6">
                  <w:pPr>
                    <w:jc w:val="center"/>
                    <w:rPr>
                      <w:sz w:val="16"/>
                      <w:lang w:val="en-GB"/>
                    </w:rPr>
                  </w:pPr>
                  <w:r w:rsidRPr="00AD773D">
                    <w:rPr>
                      <w:sz w:val="16"/>
                      <w:lang w:val="en-GB"/>
                    </w:rPr>
                    <w:t>20.54</w:t>
                  </w:r>
                </w:p>
              </w:tc>
              <w:tc>
                <w:tcPr>
                  <w:tcW w:w="556" w:type="pct"/>
                  <w:vAlign w:val="center"/>
                </w:tcPr>
                <w:p w14:paraId="6406734C" w14:textId="77777777" w:rsidR="004B614B" w:rsidRPr="00A65B78" w:rsidRDefault="004B614B" w:rsidP="00D80CA6">
                  <w:pPr>
                    <w:jc w:val="center"/>
                    <w:rPr>
                      <w:sz w:val="16"/>
                      <w:lang w:val="en-GB"/>
                    </w:rPr>
                  </w:pPr>
                  <w:r w:rsidRPr="00AD773D">
                    <w:rPr>
                      <w:sz w:val="16"/>
                      <w:lang w:val="en-GB"/>
                    </w:rPr>
                    <w:t>2660.93</w:t>
                  </w:r>
                </w:p>
              </w:tc>
              <w:tc>
                <w:tcPr>
                  <w:tcW w:w="606" w:type="pct"/>
                  <w:vAlign w:val="center"/>
                </w:tcPr>
                <w:p w14:paraId="66821036" w14:textId="77777777" w:rsidR="004B614B" w:rsidRPr="00A65B78" w:rsidRDefault="004B614B" w:rsidP="00D80CA6">
                  <w:pPr>
                    <w:jc w:val="center"/>
                    <w:rPr>
                      <w:sz w:val="16"/>
                      <w:lang w:val="en-GB"/>
                    </w:rPr>
                  </w:pPr>
                  <w:r w:rsidRPr="00AD773D">
                    <w:rPr>
                      <w:sz w:val="16"/>
                      <w:lang w:val="en-GB"/>
                    </w:rPr>
                    <w:t>4510.37</w:t>
                  </w:r>
                </w:p>
              </w:tc>
            </w:tr>
            <w:tr w:rsidR="004B614B" w:rsidRPr="00A65B78" w14:paraId="437A1CA3" w14:textId="77777777" w:rsidTr="00D80CA6">
              <w:trPr>
                <w:trHeight w:hRule="exact" w:val="260"/>
              </w:trPr>
              <w:tc>
                <w:tcPr>
                  <w:tcW w:w="1161" w:type="pct"/>
                  <w:vAlign w:val="center"/>
                </w:tcPr>
                <w:p w14:paraId="012EE301" w14:textId="77777777" w:rsidR="004B614B" w:rsidRDefault="004B614B" w:rsidP="00D80CA6">
                  <w:pPr>
                    <w:rPr>
                      <w:sz w:val="16"/>
                      <w:lang w:val="en-GB"/>
                    </w:rPr>
                  </w:pPr>
                  <w:r w:rsidRPr="007D7B66">
                    <w:rPr>
                      <w:sz w:val="16"/>
                      <w:lang w:val="pt-BR"/>
                    </w:rPr>
                    <w:t>AUC_0_inf (</w:t>
                  </w:r>
                  <w:proofErr w:type="spellStart"/>
                  <w:r w:rsidRPr="007D7B66">
                    <w:rPr>
                      <w:sz w:val="16"/>
                      <w:lang w:val="pt-BR"/>
                    </w:rPr>
                    <w:t>ng</w:t>
                  </w:r>
                  <w:proofErr w:type="spellEnd"/>
                  <w:r w:rsidRPr="007D7B66">
                    <w:rPr>
                      <w:sz w:val="16"/>
                      <w:lang w:val="pt-BR"/>
                    </w:rPr>
                    <w:t>*h/ml)</w:t>
                  </w:r>
                </w:p>
              </w:tc>
              <w:tc>
                <w:tcPr>
                  <w:tcW w:w="352" w:type="pct"/>
                  <w:vAlign w:val="center"/>
                </w:tcPr>
                <w:p w14:paraId="7EC759AD"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40C84A85" w14:textId="77777777" w:rsidR="004B614B" w:rsidRPr="00A65B78" w:rsidRDefault="004B614B" w:rsidP="00D80CA6">
                  <w:pPr>
                    <w:jc w:val="center"/>
                    <w:rPr>
                      <w:sz w:val="16"/>
                      <w:lang w:val="en-GB"/>
                    </w:rPr>
                  </w:pPr>
                  <w:r w:rsidRPr="00AD773D">
                    <w:rPr>
                      <w:sz w:val="16"/>
                      <w:lang w:val="en-GB"/>
                    </w:rPr>
                    <w:t>3612.69</w:t>
                  </w:r>
                </w:p>
              </w:tc>
              <w:tc>
                <w:tcPr>
                  <w:tcW w:w="505" w:type="pct"/>
                  <w:vAlign w:val="center"/>
                </w:tcPr>
                <w:p w14:paraId="5EDF9B51" w14:textId="77777777" w:rsidR="004B614B" w:rsidRPr="00A65B78" w:rsidRDefault="004B614B" w:rsidP="00D80CA6">
                  <w:pPr>
                    <w:jc w:val="center"/>
                    <w:rPr>
                      <w:sz w:val="16"/>
                      <w:lang w:val="en-GB"/>
                    </w:rPr>
                  </w:pPr>
                  <w:r w:rsidRPr="00AD773D">
                    <w:rPr>
                      <w:sz w:val="16"/>
                      <w:lang w:val="en-GB"/>
                    </w:rPr>
                    <w:t>3332.43</w:t>
                  </w:r>
                </w:p>
              </w:tc>
              <w:tc>
                <w:tcPr>
                  <w:tcW w:w="657" w:type="pct"/>
                  <w:vAlign w:val="center"/>
                </w:tcPr>
                <w:p w14:paraId="43566BCF" w14:textId="77777777" w:rsidR="004B614B" w:rsidRPr="00A65B78" w:rsidRDefault="004B614B" w:rsidP="00D80CA6">
                  <w:pPr>
                    <w:jc w:val="center"/>
                    <w:rPr>
                      <w:sz w:val="16"/>
                      <w:lang w:val="en-GB"/>
                    </w:rPr>
                  </w:pPr>
                  <w:r w:rsidRPr="00AD773D">
                    <w:rPr>
                      <w:sz w:val="16"/>
                      <w:lang w:val="en-GB"/>
                    </w:rPr>
                    <w:t>743.28</w:t>
                  </w:r>
                </w:p>
              </w:tc>
              <w:tc>
                <w:tcPr>
                  <w:tcW w:w="606" w:type="pct"/>
                  <w:vAlign w:val="center"/>
                </w:tcPr>
                <w:p w14:paraId="6572C7ED" w14:textId="77777777" w:rsidR="004B614B" w:rsidRPr="00A65B78" w:rsidRDefault="004B614B" w:rsidP="00D80CA6">
                  <w:pPr>
                    <w:jc w:val="center"/>
                    <w:rPr>
                      <w:sz w:val="16"/>
                      <w:lang w:val="en-GB"/>
                    </w:rPr>
                  </w:pPr>
                  <w:r w:rsidRPr="00AD773D">
                    <w:rPr>
                      <w:sz w:val="16"/>
                      <w:lang w:val="en-GB"/>
                    </w:rPr>
                    <w:t>20.57</w:t>
                  </w:r>
                </w:p>
              </w:tc>
              <w:tc>
                <w:tcPr>
                  <w:tcW w:w="556" w:type="pct"/>
                  <w:vAlign w:val="center"/>
                </w:tcPr>
                <w:p w14:paraId="7F6CC63B" w14:textId="77777777" w:rsidR="004B614B" w:rsidRPr="00A65B78" w:rsidRDefault="004B614B" w:rsidP="00D80CA6">
                  <w:pPr>
                    <w:jc w:val="center"/>
                    <w:rPr>
                      <w:sz w:val="16"/>
                      <w:lang w:val="en-GB"/>
                    </w:rPr>
                  </w:pPr>
                  <w:r w:rsidRPr="00AD773D">
                    <w:rPr>
                      <w:sz w:val="16"/>
                      <w:lang w:val="en-GB"/>
                    </w:rPr>
                    <w:t>2704.67</w:t>
                  </w:r>
                </w:p>
              </w:tc>
              <w:tc>
                <w:tcPr>
                  <w:tcW w:w="606" w:type="pct"/>
                  <w:vAlign w:val="center"/>
                </w:tcPr>
                <w:p w14:paraId="0AFDBE4C" w14:textId="77777777" w:rsidR="004B614B" w:rsidRPr="00A65B78" w:rsidRDefault="004B614B" w:rsidP="00D80CA6">
                  <w:pPr>
                    <w:jc w:val="center"/>
                    <w:rPr>
                      <w:sz w:val="16"/>
                      <w:lang w:val="en-GB"/>
                    </w:rPr>
                  </w:pPr>
                  <w:r w:rsidRPr="00AD773D">
                    <w:rPr>
                      <w:sz w:val="16"/>
                      <w:lang w:val="en-GB"/>
                    </w:rPr>
                    <w:t>4583.36</w:t>
                  </w:r>
                </w:p>
              </w:tc>
            </w:tr>
            <w:tr w:rsidR="004B614B" w:rsidRPr="00A65B78" w14:paraId="4B3BF523" w14:textId="77777777" w:rsidTr="00D80CA6">
              <w:trPr>
                <w:trHeight w:hRule="exact" w:val="260"/>
              </w:trPr>
              <w:tc>
                <w:tcPr>
                  <w:tcW w:w="1161" w:type="pct"/>
                  <w:vAlign w:val="center"/>
                </w:tcPr>
                <w:p w14:paraId="3EA96771" w14:textId="77777777" w:rsidR="004B614B" w:rsidRDefault="004B614B" w:rsidP="00D80CA6">
                  <w:pPr>
                    <w:rPr>
                      <w:sz w:val="16"/>
                      <w:lang w:val="en-GB"/>
                    </w:rPr>
                  </w:pPr>
                  <w:proofErr w:type="spellStart"/>
                  <w:r w:rsidRPr="00AD773D">
                    <w:rPr>
                      <w:sz w:val="16"/>
                      <w:lang w:val="en-GB"/>
                    </w:rPr>
                    <w:t>PercAUCExtrap</w:t>
                  </w:r>
                  <w:proofErr w:type="spellEnd"/>
                  <w:r w:rsidRPr="00AD773D">
                    <w:rPr>
                      <w:sz w:val="16"/>
                      <w:lang w:val="en-GB"/>
                    </w:rPr>
                    <w:t xml:space="preserve"> (%)</w:t>
                  </w:r>
                </w:p>
              </w:tc>
              <w:tc>
                <w:tcPr>
                  <w:tcW w:w="352" w:type="pct"/>
                  <w:vAlign w:val="center"/>
                </w:tcPr>
                <w:p w14:paraId="03F225CF"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7BA11BCF" w14:textId="77777777" w:rsidR="004B614B" w:rsidRPr="00A65B78" w:rsidRDefault="004B614B" w:rsidP="00D80CA6">
                  <w:pPr>
                    <w:jc w:val="center"/>
                    <w:rPr>
                      <w:sz w:val="16"/>
                      <w:lang w:val="en-GB"/>
                    </w:rPr>
                  </w:pPr>
                  <w:r w:rsidRPr="00AD773D">
                    <w:rPr>
                      <w:sz w:val="16"/>
                      <w:lang w:val="en-GB"/>
                    </w:rPr>
                    <w:t>1.11</w:t>
                  </w:r>
                </w:p>
              </w:tc>
              <w:tc>
                <w:tcPr>
                  <w:tcW w:w="505" w:type="pct"/>
                  <w:vAlign w:val="center"/>
                </w:tcPr>
                <w:p w14:paraId="6EB4DB71" w14:textId="77777777" w:rsidR="004B614B" w:rsidRPr="00A65B78" w:rsidRDefault="004B614B" w:rsidP="00D80CA6">
                  <w:pPr>
                    <w:jc w:val="center"/>
                    <w:rPr>
                      <w:sz w:val="16"/>
                      <w:lang w:val="en-GB"/>
                    </w:rPr>
                  </w:pPr>
                  <w:r w:rsidRPr="00AD773D">
                    <w:rPr>
                      <w:sz w:val="16"/>
                      <w:lang w:val="en-GB"/>
                    </w:rPr>
                    <w:t>0.91</w:t>
                  </w:r>
                </w:p>
              </w:tc>
              <w:tc>
                <w:tcPr>
                  <w:tcW w:w="657" w:type="pct"/>
                  <w:vAlign w:val="center"/>
                </w:tcPr>
                <w:p w14:paraId="2B537902" w14:textId="77777777" w:rsidR="004B614B" w:rsidRPr="00A65B78" w:rsidRDefault="004B614B" w:rsidP="00D80CA6">
                  <w:pPr>
                    <w:jc w:val="center"/>
                    <w:rPr>
                      <w:sz w:val="16"/>
                      <w:lang w:val="en-GB"/>
                    </w:rPr>
                  </w:pPr>
                  <w:r w:rsidRPr="00AD773D">
                    <w:rPr>
                      <w:sz w:val="16"/>
                      <w:lang w:val="en-GB"/>
                    </w:rPr>
                    <w:t>0.39</w:t>
                  </w:r>
                </w:p>
              </w:tc>
              <w:tc>
                <w:tcPr>
                  <w:tcW w:w="606" w:type="pct"/>
                  <w:vAlign w:val="center"/>
                </w:tcPr>
                <w:p w14:paraId="3C561E6A" w14:textId="77777777" w:rsidR="004B614B" w:rsidRPr="00A65B78" w:rsidRDefault="004B614B" w:rsidP="00D80CA6">
                  <w:pPr>
                    <w:jc w:val="center"/>
                    <w:rPr>
                      <w:sz w:val="16"/>
                      <w:lang w:val="en-GB"/>
                    </w:rPr>
                  </w:pPr>
                  <w:r w:rsidRPr="00AD773D">
                    <w:rPr>
                      <w:sz w:val="16"/>
                      <w:lang w:val="en-GB"/>
                    </w:rPr>
                    <w:t>35.11</w:t>
                  </w:r>
                </w:p>
              </w:tc>
              <w:tc>
                <w:tcPr>
                  <w:tcW w:w="556" w:type="pct"/>
                  <w:vAlign w:val="center"/>
                </w:tcPr>
                <w:p w14:paraId="4ED9966F" w14:textId="77777777" w:rsidR="004B614B" w:rsidRPr="00A65B78" w:rsidRDefault="004B614B" w:rsidP="00D80CA6">
                  <w:pPr>
                    <w:jc w:val="center"/>
                    <w:rPr>
                      <w:sz w:val="16"/>
                      <w:lang w:val="en-GB"/>
                    </w:rPr>
                  </w:pPr>
                  <w:r w:rsidRPr="00AD773D">
                    <w:rPr>
                      <w:sz w:val="16"/>
                      <w:lang w:val="en-GB"/>
                    </w:rPr>
                    <w:t>0.80</w:t>
                  </w:r>
                </w:p>
              </w:tc>
              <w:tc>
                <w:tcPr>
                  <w:tcW w:w="606" w:type="pct"/>
                  <w:vAlign w:val="center"/>
                </w:tcPr>
                <w:p w14:paraId="0C6CF692" w14:textId="77777777" w:rsidR="004B614B" w:rsidRPr="00A65B78" w:rsidRDefault="004B614B" w:rsidP="00D80CA6">
                  <w:pPr>
                    <w:jc w:val="center"/>
                    <w:rPr>
                      <w:sz w:val="16"/>
                      <w:lang w:val="en-GB"/>
                    </w:rPr>
                  </w:pPr>
                  <w:r w:rsidRPr="00AD773D">
                    <w:rPr>
                      <w:sz w:val="16"/>
                      <w:lang w:val="en-GB"/>
                    </w:rPr>
                    <w:t>1.62</w:t>
                  </w:r>
                </w:p>
              </w:tc>
            </w:tr>
            <w:tr w:rsidR="004B614B" w:rsidRPr="00A65B78" w14:paraId="1C1B13C5" w14:textId="77777777" w:rsidTr="00D80CA6">
              <w:trPr>
                <w:trHeight w:hRule="exact" w:val="260"/>
              </w:trPr>
              <w:tc>
                <w:tcPr>
                  <w:tcW w:w="1161" w:type="pct"/>
                  <w:vAlign w:val="center"/>
                </w:tcPr>
                <w:p w14:paraId="56381F19" w14:textId="77777777" w:rsidR="004B614B" w:rsidRDefault="004B614B" w:rsidP="00D80CA6">
                  <w:pPr>
                    <w:rPr>
                      <w:sz w:val="16"/>
                      <w:lang w:val="en-GB"/>
                    </w:rPr>
                  </w:pPr>
                  <w:proofErr w:type="spellStart"/>
                  <w:r w:rsidRPr="00AD773D">
                    <w:rPr>
                      <w:sz w:val="16"/>
                      <w:lang w:val="en-GB"/>
                    </w:rPr>
                    <w:t>Lambda_z</w:t>
                  </w:r>
                  <w:proofErr w:type="spellEnd"/>
                  <w:r w:rsidRPr="00AD773D">
                    <w:rPr>
                      <w:sz w:val="16"/>
                      <w:lang w:val="en-GB"/>
                    </w:rPr>
                    <w:t xml:space="preserve"> (h-1)</w:t>
                  </w:r>
                </w:p>
              </w:tc>
              <w:tc>
                <w:tcPr>
                  <w:tcW w:w="352" w:type="pct"/>
                  <w:vAlign w:val="center"/>
                </w:tcPr>
                <w:p w14:paraId="420DE4B0"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2A0B0F47" w14:textId="77777777" w:rsidR="004B614B" w:rsidRPr="00A65B78" w:rsidRDefault="004B614B" w:rsidP="00D80CA6">
                  <w:pPr>
                    <w:jc w:val="center"/>
                    <w:rPr>
                      <w:sz w:val="16"/>
                      <w:lang w:val="en-GB"/>
                    </w:rPr>
                  </w:pPr>
                  <w:r w:rsidRPr="00AD773D">
                    <w:rPr>
                      <w:sz w:val="16"/>
                      <w:lang w:val="en-GB"/>
                    </w:rPr>
                    <w:t>0.18</w:t>
                  </w:r>
                </w:p>
              </w:tc>
              <w:tc>
                <w:tcPr>
                  <w:tcW w:w="505" w:type="pct"/>
                  <w:vAlign w:val="center"/>
                </w:tcPr>
                <w:p w14:paraId="0555DA62" w14:textId="77777777" w:rsidR="004B614B" w:rsidRPr="00A65B78" w:rsidRDefault="004B614B" w:rsidP="00D80CA6">
                  <w:pPr>
                    <w:jc w:val="center"/>
                    <w:rPr>
                      <w:sz w:val="16"/>
                      <w:lang w:val="en-GB"/>
                    </w:rPr>
                  </w:pPr>
                  <w:r w:rsidRPr="00AD773D">
                    <w:rPr>
                      <w:sz w:val="16"/>
                      <w:lang w:val="en-GB"/>
                    </w:rPr>
                    <w:t>0.18</w:t>
                  </w:r>
                </w:p>
              </w:tc>
              <w:tc>
                <w:tcPr>
                  <w:tcW w:w="657" w:type="pct"/>
                  <w:vAlign w:val="center"/>
                </w:tcPr>
                <w:p w14:paraId="49A78EEF" w14:textId="77777777" w:rsidR="004B614B" w:rsidRPr="00A65B78" w:rsidRDefault="004B614B" w:rsidP="00D80CA6">
                  <w:pPr>
                    <w:jc w:val="center"/>
                    <w:rPr>
                      <w:sz w:val="16"/>
                      <w:lang w:val="en-GB"/>
                    </w:rPr>
                  </w:pPr>
                  <w:r w:rsidRPr="00AD773D">
                    <w:rPr>
                      <w:sz w:val="16"/>
                      <w:lang w:val="en-GB"/>
                    </w:rPr>
                    <w:t>0.01</w:t>
                  </w:r>
                </w:p>
              </w:tc>
              <w:tc>
                <w:tcPr>
                  <w:tcW w:w="606" w:type="pct"/>
                  <w:vAlign w:val="center"/>
                </w:tcPr>
                <w:p w14:paraId="3C233C8B" w14:textId="77777777" w:rsidR="004B614B" w:rsidRPr="00A65B78" w:rsidRDefault="004B614B" w:rsidP="00D80CA6">
                  <w:pPr>
                    <w:jc w:val="center"/>
                    <w:rPr>
                      <w:sz w:val="16"/>
                      <w:lang w:val="en-GB"/>
                    </w:rPr>
                  </w:pPr>
                  <w:r w:rsidRPr="00AD773D">
                    <w:rPr>
                      <w:sz w:val="16"/>
                      <w:lang w:val="en-GB"/>
                    </w:rPr>
                    <w:t>6.89</w:t>
                  </w:r>
                </w:p>
              </w:tc>
              <w:tc>
                <w:tcPr>
                  <w:tcW w:w="556" w:type="pct"/>
                  <w:vAlign w:val="center"/>
                </w:tcPr>
                <w:p w14:paraId="2ED6728B" w14:textId="77777777" w:rsidR="004B614B" w:rsidRPr="00A65B78" w:rsidRDefault="004B614B" w:rsidP="00D80CA6">
                  <w:pPr>
                    <w:jc w:val="center"/>
                    <w:rPr>
                      <w:sz w:val="16"/>
                      <w:lang w:val="en-GB"/>
                    </w:rPr>
                  </w:pPr>
                  <w:r w:rsidRPr="00AD773D">
                    <w:rPr>
                      <w:sz w:val="16"/>
                      <w:lang w:val="en-GB"/>
                    </w:rPr>
                    <w:t>0.16</w:t>
                  </w:r>
                </w:p>
              </w:tc>
              <w:tc>
                <w:tcPr>
                  <w:tcW w:w="606" w:type="pct"/>
                  <w:vAlign w:val="center"/>
                </w:tcPr>
                <w:p w14:paraId="73F5145C" w14:textId="77777777" w:rsidR="004B614B" w:rsidRPr="00A65B78" w:rsidRDefault="004B614B" w:rsidP="00D80CA6">
                  <w:pPr>
                    <w:jc w:val="center"/>
                    <w:rPr>
                      <w:sz w:val="16"/>
                      <w:lang w:val="en-GB"/>
                    </w:rPr>
                  </w:pPr>
                  <w:r w:rsidRPr="00AD773D">
                    <w:rPr>
                      <w:sz w:val="16"/>
                      <w:lang w:val="en-GB"/>
                    </w:rPr>
                    <w:t>0.19</w:t>
                  </w:r>
                </w:p>
              </w:tc>
            </w:tr>
            <w:tr w:rsidR="004B614B" w:rsidRPr="00A65B78" w14:paraId="4275A390" w14:textId="77777777" w:rsidTr="00D80CA6">
              <w:trPr>
                <w:trHeight w:hRule="exact" w:val="260"/>
              </w:trPr>
              <w:tc>
                <w:tcPr>
                  <w:tcW w:w="1161" w:type="pct"/>
                  <w:vAlign w:val="center"/>
                </w:tcPr>
                <w:p w14:paraId="55D23A44" w14:textId="77777777" w:rsidR="004B614B" w:rsidRDefault="004B614B" w:rsidP="00D80CA6">
                  <w:pPr>
                    <w:rPr>
                      <w:sz w:val="16"/>
                      <w:lang w:val="en-GB"/>
                    </w:rPr>
                  </w:pPr>
                  <w:r>
                    <w:rPr>
                      <w:sz w:val="16"/>
                      <w:lang w:val="en-GB"/>
                    </w:rPr>
                    <w:t>t½</w:t>
                  </w:r>
                  <w:r w:rsidRPr="00AD773D">
                    <w:rPr>
                      <w:sz w:val="16"/>
                      <w:lang w:val="en-GB"/>
                    </w:rPr>
                    <w:t xml:space="preserve"> (h)</w:t>
                  </w:r>
                </w:p>
              </w:tc>
              <w:tc>
                <w:tcPr>
                  <w:tcW w:w="352" w:type="pct"/>
                  <w:vAlign w:val="center"/>
                </w:tcPr>
                <w:p w14:paraId="7D122A67"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3CF19A3E" w14:textId="77777777" w:rsidR="004B614B" w:rsidRPr="00A65B78" w:rsidRDefault="004B614B" w:rsidP="00D80CA6">
                  <w:pPr>
                    <w:jc w:val="center"/>
                    <w:rPr>
                      <w:sz w:val="16"/>
                      <w:lang w:val="en-GB"/>
                    </w:rPr>
                  </w:pPr>
                  <w:r w:rsidRPr="00AD773D">
                    <w:rPr>
                      <w:sz w:val="16"/>
                      <w:lang w:val="en-GB"/>
                    </w:rPr>
                    <w:t>3.94</w:t>
                  </w:r>
                </w:p>
              </w:tc>
              <w:tc>
                <w:tcPr>
                  <w:tcW w:w="505" w:type="pct"/>
                  <w:vAlign w:val="center"/>
                </w:tcPr>
                <w:p w14:paraId="1BB71ADC" w14:textId="77777777" w:rsidR="004B614B" w:rsidRPr="00A65B78" w:rsidRDefault="004B614B" w:rsidP="00D80CA6">
                  <w:pPr>
                    <w:jc w:val="center"/>
                    <w:rPr>
                      <w:sz w:val="16"/>
                      <w:lang w:val="en-GB"/>
                    </w:rPr>
                  </w:pPr>
                  <w:r w:rsidRPr="00AD773D">
                    <w:rPr>
                      <w:sz w:val="16"/>
                      <w:lang w:val="en-GB"/>
                    </w:rPr>
                    <w:t>3.90</w:t>
                  </w:r>
                </w:p>
              </w:tc>
              <w:tc>
                <w:tcPr>
                  <w:tcW w:w="657" w:type="pct"/>
                  <w:vAlign w:val="center"/>
                </w:tcPr>
                <w:p w14:paraId="5A8E37B2" w14:textId="77777777" w:rsidR="004B614B" w:rsidRPr="00A65B78" w:rsidRDefault="004B614B" w:rsidP="00D80CA6">
                  <w:pPr>
                    <w:jc w:val="center"/>
                    <w:rPr>
                      <w:sz w:val="16"/>
                      <w:lang w:val="en-GB"/>
                    </w:rPr>
                  </w:pPr>
                  <w:r w:rsidRPr="00AD773D">
                    <w:rPr>
                      <w:sz w:val="16"/>
                      <w:lang w:val="en-GB"/>
                    </w:rPr>
                    <w:t>0.28</w:t>
                  </w:r>
                </w:p>
              </w:tc>
              <w:tc>
                <w:tcPr>
                  <w:tcW w:w="606" w:type="pct"/>
                  <w:vAlign w:val="center"/>
                </w:tcPr>
                <w:p w14:paraId="1CFB9656" w14:textId="77777777" w:rsidR="004B614B" w:rsidRPr="00A65B78" w:rsidRDefault="004B614B" w:rsidP="00D80CA6">
                  <w:pPr>
                    <w:jc w:val="center"/>
                    <w:rPr>
                      <w:sz w:val="16"/>
                      <w:lang w:val="en-GB"/>
                    </w:rPr>
                  </w:pPr>
                  <w:r w:rsidRPr="00AD773D">
                    <w:rPr>
                      <w:sz w:val="16"/>
                      <w:lang w:val="en-GB"/>
                    </w:rPr>
                    <w:t>7.00</w:t>
                  </w:r>
                </w:p>
              </w:tc>
              <w:tc>
                <w:tcPr>
                  <w:tcW w:w="556" w:type="pct"/>
                  <w:vAlign w:val="center"/>
                </w:tcPr>
                <w:p w14:paraId="7AC31F94" w14:textId="77777777" w:rsidR="004B614B" w:rsidRPr="00A65B78" w:rsidRDefault="004B614B" w:rsidP="00D80CA6">
                  <w:pPr>
                    <w:jc w:val="center"/>
                    <w:rPr>
                      <w:sz w:val="16"/>
                      <w:lang w:val="en-GB"/>
                    </w:rPr>
                  </w:pPr>
                  <w:r w:rsidRPr="00AD773D">
                    <w:rPr>
                      <w:sz w:val="16"/>
                      <w:lang w:val="en-GB"/>
                    </w:rPr>
                    <w:t>3.64</w:t>
                  </w:r>
                </w:p>
              </w:tc>
              <w:tc>
                <w:tcPr>
                  <w:tcW w:w="606" w:type="pct"/>
                  <w:vAlign w:val="center"/>
                </w:tcPr>
                <w:p w14:paraId="2A9F75C4" w14:textId="77777777" w:rsidR="004B614B" w:rsidRPr="00A65B78" w:rsidRDefault="004B614B" w:rsidP="00D80CA6">
                  <w:pPr>
                    <w:jc w:val="center"/>
                    <w:rPr>
                      <w:sz w:val="16"/>
                      <w:lang w:val="en-GB"/>
                    </w:rPr>
                  </w:pPr>
                  <w:r w:rsidRPr="00AD773D">
                    <w:rPr>
                      <w:sz w:val="16"/>
                      <w:lang w:val="en-GB"/>
                    </w:rPr>
                    <w:t>4.31</w:t>
                  </w:r>
                </w:p>
              </w:tc>
            </w:tr>
            <w:tr w:rsidR="004B614B" w:rsidRPr="00A65B78" w14:paraId="7C36157F" w14:textId="77777777" w:rsidTr="00D80CA6">
              <w:trPr>
                <w:trHeight w:hRule="exact" w:val="260"/>
              </w:trPr>
              <w:tc>
                <w:tcPr>
                  <w:tcW w:w="1161" w:type="pct"/>
                  <w:vAlign w:val="center"/>
                </w:tcPr>
                <w:p w14:paraId="3610B077" w14:textId="77777777" w:rsidR="004B614B" w:rsidRDefault="004B614B" w:rsidP="00D80CA6">
                  <w:pPr>
                    <w:rPr>
                      <w:sz w:val="16"/>
                      <w:lang w:val="en-GB"/>
                    </w:rPr>
                  </w:pPr>
                  <w:r w:rsidRPr="00AD773D">
                    <w:rPr>
                      <w:sz w:val="16"/>
                      <w:lang w:val="en-GB"/>
                    </w:rPr>
                    <w:t>V_F (L)</w:t>
                  </w:r>
                </w:p>
              </w:tc>
              <w:tc>
                <w:tcPr>
                  <w:tcW w:w="352" w:type="pct"/>
                  <w:vAlign w:val="center"/>
                </w:tcPr>
                <w:p w14:paraId="394EA750"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197578FD" w14:textId="77777777" w:rsidR="004B614B" w:rsidRPr="00A65B78" w:rsidRDefault="004B614B" w:rsidP="00D80CA6">
                  <w:pPr>
                    <w:jc w:val="center"/>
                    <w:rPr>
                      <w:sz w:val="16"/>
                      <w:lang w:val="en-GB"/>
                    </w:rPr>
                  </w:pPr>
                  <w:r w:rsidRPr="00AD773D">
                    <w:rPr>
                      <w:sz w:val="16"/>
                      <w:lang w:val="en-GB"/>
                    </w:rPr>
                    <w:t>24.51</w:t>
                  </w:r>
                </w:p>
              </w:tc>
              <w:tc>
                <w:tcPr>
                  <w:tcW w:w="505" w:type="pct"/>
                  <w:vAlign w:val="center"/>
                </w:tcPr>
                <w:p w14:paraId="4AAF3BFB" w14:textId="77777777" w:rsidR="004B614B" w:rsidRPr="00A65B78" w:rsidRDefault="004B614B" w:rsidP="00D80CA6">
                  <w:pPr>
                    <w:jc w:val="center"/>
                    <w:rPr>
                      <w:sz w:val="16"/>
                      <w:lang w:val="en-GB"/>
                    </w:rPr>
                  </w:pPr>
                  <w:r w:rsidRPr="00AD773D">
                    <w:rPr>
                      <w:sz w:val="16"/>
                      <w:lang w:val="en-GB"/>
                    </w:rPr>
                    <w:t>24.40</w:t>
                  </w:r>
                </w:p>
              </w:tc>
              <w:tc>
                <w:tcPr>
                  <w:tcW w:w="657" w:type="pct"/>
                  <w:vAlign w:val="center"/>
                </w:tcPr>
                <w:p w14:paraId="3F9CDD42" w14:textId="77777777" w:rsidR="004B614B" w:rsidRPr="00A65B78" w:rsidRDefault="004B614B" w:rsidP="00D80CA6">
                  <w:pPr>
                    <w:jc w:val="center"/>
                    <w:rPr>
                      <w:sz w:val="16"/>
                      <w:lang w:val="en-GB"/>
                    </w:rPr>
                  </w:pPr>
                  <w:r w:rsidRPr="00AD773D">
                    <w:rPr>
                      <w:sz w:val="16"/>
                      <w:lang w:val="en-GB"/>
                    </w:rPr>
                    <w:t>5.82</w:t>
                  </w:r>
                </w:p>
              </w:tc>
              <w:tc>
                <w:tcPr>
                  <w:tcW w:w="606" w:type="pct"/>
                  <w:vAlign w:val="center"/>
                </w:tcPr>
                <w:p w14:paraId="7FE0F4FB" w14:textId="77777777" w:rsidR="004B614B" w:rsidRPr="00A65B78" w:rsidRDefault="004B614B" w:rsidP="00D80CA6">
                  <w:pPr>
                    <w:jc w:val="center"/>
                    <w:rPr>
                      <w:sz w:val="16"/>
                      <w:lang w:val="en-GB"/>
                    </w:rPr>
                  </w:pPr>
                  <w:r w:rsidRPr="00AD773D">
                    <w:rPr>
                      <w:sz w:val="16"/>
                      <w:lang w:val="en-GB"/>
                    </w:rPr>
                    <w:t>23.75</w:t>
                  </w:r>
                </w:p>
              </w:tc>
              <w:tc>
                <w:tcPr>
                  <w:tcW w:w="556" w:type="pct"/>
                  <w:vAlign w:val="center"/>
                </w:tcPr>
                <w:p w14:paraId="74233060" w14:textId="77777777" w:rsidR="004B614B" w:rsidRPr="00A65B78" w:rsidRDefault="004B614B" w:rsidP="00D80CA6">
                  <w:pPr>
                    <w:jc w:val="center"/>
                    <w:rPr>
                      <w:sz w:val="16"/>
                      <w:lang w:val="en-GB"/>
                    </w:rPr>
                  </w:pPr>
                  <w:r w:rsidRPr="00AD773D">
                    <w:rPr>
                      <w:sz w:val="16"/>
                      <w:lang w:val="en-GB"/>
                    </w:rPr>
                    <w:t>17.78</w:t>
                  </w:r>
                </w:p>
              </w:tc>
              <w:tc>
                <w:tcPr>
                  <w:tcW w:w="606" w:type="pct"/>
                  <w:vAlign w:val="center"/>
                </w:tcPr>
                <w:p w14:paraId="0503C1FF" w14:textId="77777777" w:rsidR="004B614B" w:rsidRPr="00A65B78" w:rsidRDefault="004B614B" w:rsidP="00D80CA6">
                  <w:pPr>
                    <w:jc w:val="center"/>
                    <w:rPr>
                      <w:sz w:val="16"/>
                      <w:lang w:val="en-GB"/>
                    </w:rPr>
                  </w:pPr>
                  <w:r w:rsidRPr="00AD773D">
                    <w:rPr>
                      <w:sz w:val="16"/>
                      <w:lang w:val="en-GB"/>
                    </w:rPr>
                    <w:t>34.45</w:t>
                  </w:r>
                </w:p>
              </w:tc>
            </w:tr>
            <w:tr w:rsidR="004B614B" w:rsidRPr="00A65B78" w14:paraId="2AF2EDD7" w14:textId="77777777" w:rsidTr="00D80CA6">
              <w:trPr>
                <w:trHeight w:hRule="exact" w:val="260"/>
              </w:trPr>
              <w:tc>
                <w:tcPr>
                  <w:tcW w:w="1161" w:type="pct"/>
                  <w:vAlign w:val="center"/>
                </w:tcPr>
                <w:p w14:paraId="41E39C60" w14:textId="77777777" w:rsidR="004B614B" w:rsidRPr="00AA2789" w:rsidRDefault="004B614B" w:rsidP="00D80CA6">
                  <w:pPr>
                    <w:rPr>
                      <w:b/>
                      <w:bCs/>
                      <w:sz w:val="16"/>
                      <w:lang w:val="en-GB"/>
                    </w:rPr>
                  </w:pPr>
                  <w:r w:rsidRPr="00AA2789">
                    <w:rPr>
                      <w:b/>
                      <w:bCs/>
                      <w:sz w:val="16"/>
                      <w:lang w:val="en-GB"/>
                    </w:rPr>
                    <w:t>SBT-020 25 mg Day 1</w:t>
                  </w:r>
                </w:p>
              </w:tc>
              <w:tc>
                <w:tcPr>
                  <w:tcW w:w="3839" w:type="pct"/>
                  <w:gridSpan w:val="7"/>
                  <w:vAlign w:val="center"/>
                </w:tcPr>
                <w:p w14:paraId="53F2F6CD" w14:textId="77777777" w:rsidR="004B614B" w:rsidRPr="00A65B78" w:rsidRDefault="004B614B" w:rsidP="00D80CA6">
                  <w:pPr>
                    <w:rPr>
                      <w:sz w:val="16"/>
                      <w:lang w:val="en-GB"/>
                    </w:rPr>
                  </w:pPr>
                </w:p>
              </w:tc>
            </w:tr>
            <w:tr w:rsidR="004B614B" w:rsidRPr="00A65B78" w14:paraId="258AAFEC" w14:textId="77777777" w:rsidTr="00D80CA6">
              <w:trPr>
                <w:trHeight w:hRule="exact" w:val="260"/>
              </w:trPr>
              <w:tc>
                <w:tcPr>
                  <w:tcW w:w="1161" w:type="pct"/>
                  <w:vAlign w:val="center"/>
                </w:tcPr>
                <w:p w14:paraId="449B2301" w14:textId="77777777" w:rsidR="004B614B" w:rsidRDefault="004B614B" w:rsidP="00D80CA6">
                  <w:pPr>
                    <w:rPr>
                      <w:sz w:val="16"/>
                      <w:lang w:val="en-GB"/>
                    </w:rPr>
                  </w:pPr>
                  <w:proofErr w:type="spellStart"/>
                  <w:r w:rsidRPr="00A65B78">
                    <w:rPr>
                      <w:sz w:val="16"/>
                      <w:lang w:val="en-GB"/>
                    </w:rPr>
                    <w:t>Cmax</w:t>
                  </w:r>
                  <w:proofErr w:type="spellEnd"/>
                  <w:r w:rsidRPr="00A65B78">
                    <w:rPr>
                      <w:sz w:val="16"/>
                      <w:lang w:val="en-GB"/>
                    </w:rPr>
                    <w:t xml:space="preserve"> (ng/ml)</w:t>
                  </w:r>
                </w:p>
              </w:tc>
              <w:tc>
                <w:tcPr>
                  <w:tcW w:w="352" w:type="pct"/>
                  <w:vAlign w:val="center"/>
                </w:tcPr>
                <w:p w14:paraId="0E9AA54C" w14:textId="77777777" w:rsidR="004B614B" w:rsidRPr="00A65B78" w:rsidRDefault="004B614B" w:rsidP="00D80CA6">
                  <w:pPr>
                    <w:jc w:val="center"/>
                    <w:rPr>
                      <w:sz w:val="16"/>
                      <w:lang w:val="en-GB"/>
                    </w:rPr>
                  </w:pPr>
                  <w:r w:rsidRPr="00A65B78">
                    <w:rPr>
                      <w:sz w:val="16"/>
                      <w:lang w:val="en-GB"/>
                    </w:rPr>
                    <w:t>6</w:t>
                  </w:r>
                </w:p>
              </w:tc>
              <w:tc>
                <w:tcPr>
                  <w:tcW w:w="556" w:type="pct"/>
                  <w:vAlign w:val="center"/>
                </w:tcPr>
                <w:p w14:paraId="5DC41678" w14:textId="77777777" w:rsidR="004B614B" w:rsidRPr="00A65B78" w:rsidRDefault="004B614B" w:rsidP="00D80CA6">
                  <w:pPr>
                    <w:jc w:val="center"/>
                    <w:rPr>
                      <w:sz w:val="16"/>
                      <w:lang w:val="en-GB"/>
                    </w:rPr>
                  </w:pPr>
                  <w:r w:rsidRPr="00A65B78">
                    <w:rPr>
                      <w:sz w:val="16"/>
                      <w:lang w:val="en-GB"/>
                    </w:rPr>
                    <w:t>1031.33</w:t>
                  </w:r>
                </w:p>
              </w:tc>
              <w:tc>
                <w:tcPr>
                  <w:tcW w:w="505" w:type="pct"/>
                  <w:vAlign w:val="center"/>
                </w:tcPr>
                <w:p w14:paraId="469EECD5" w14:textId="77777777" w:rsidR="004B614B" w:rsidRPr="00A65B78" w:rsidRDefault="004B614B" w:rsidP="00D80CA6">
                  <w:pPr>
                    <w:jc w:val="center"/>
                    <w:rPr>
                      <w:sz w:val="16"/>
                      <w:lang w:val="en-GB"/>
                    </w:rPr>
                  </w:pPr>
                  <w:r w:rsidRPr="00A65B78">
                    <w:rPr>
                      <w:sz w:val="16"/>
                      <w:lang w:val="en-GB"/>
                    </w:rPr>
                    <w:t>973.00</w:t>
                  </w:r>
                </w:p>
              </w:tc>
              <w:tc>
                <w:tcPr>
                  <w:tcW w:w="657" w:type="pct"/>
                  <w:vAlign w:val="center"/>
                </w:tcPr>
                <w:p w14:paraId="59F08F27" w14:textId="77777777" w:rsidR="004B614B" w:rsidRPr="00A65B78" w:rsidRDefault="004B614B" w:rsidP="00D80CA6">
                  <w:pPr>
                    <w:jc w:val="center"/>
                    <w:rPr>
                      <w:sz w:val="16"/>
                      <w:lang w:val="en-GB"/>
                    </w:rPr>
                  </w:pPr>
                  <w:r w:rsidRPr="00A65B78">
                    <w:rPr>
                      <w:sz w:val="16"/>
                      <w:lang w:val="en-GB"/>
                    </w:rPr>
                    <w:t>165.33</w:t>
                  </w:r>
                </w:p>
              </w:tc>
              <w:tc>
                <w:tcPr>
                  <w:tcW w:w="606" w:type="pct"/>
                  <w:vAlign w:val="center"/>
                </w:tcPr>
                <w:p w14:paraId="7CB0BAF5" w14:textId="77777777" w:rsidR="004B614B" w:rsidRPr="00A65B78" w:rsidRDefault="004B614B" w:rsidP="00D80CA6">
                  <w:pPr>
                    <w:jc w:val="center"/>
                    <w:rPr>
                      <w:sz w:val="16"/>
                      <w:lang w:val="en-GB"/>
                    </w:rPr>
                  </w:pPr>
                  <w:r w:rsidRPr="00A65B78">
                    <w:rPr>
                      <w:sz w:val="16"/>
                      <w:lang w:val="en-GB"/>
                    </w:rPr>
                    <w:t>16.03</w:t>
                  </w:r>
                </w:p>
              </w:tc>
              <w:tc>
                <w:tcPr>
                  <w:tcW w:w="556" w:type="pct"/>
                  <w:vAlign w:val="center"/>
                </w:tcPr>
                <w:p w14:paraId="23014982" w14:textId="77777777" w:rsidR="004B614B" w:rsidRPr="00A65B78" w:rsidRDefault="004B614B" w:rsidP="00D80CA6">
                  <w:pPr>
                    <w:jc w:val="center"/>
                    <w:rPr>
                      <w:sz w:val="16"/>
                      <w:lang w:val="en-GB"/>
                    </w:rPr>
                  </w:pPr>
                  <w:r w:rsidRPr="00A65B78">
                    <w:rPr>
                      <w:sz w:val="16"/>
                      <w:lang w:val="en-GB"/>
                    </w:rPr>
                    <w:t>858.00</w:t>
                  </w:r>
                </w:p>
              </w:tc>
              <w:tc>
                <w:tcPr>
                  <w:tcW w:w="606" w:type="pct"/>
                  <w:vAlign w:val="center"/>
                </w:tcPr>
                <w:p w14:paraId="036DC77D" w14:textId="77777777" w:rsidR="004B614B" w:rsidRPr="00A65B78" w:rsidRDefault="004B614B" w:rsidP="00D80CA6">
                  <w:pPr>
                    <w:jc w:val="center"/>
                    <w:rPr>
                      <w:sz w:val="16"/>
                      <w:lang w:val="en-GB"/>
                    </w:rPr>
                  </w:pPr>
                  <w:r w:rsidRPr="00A65B78">
                    <w:rPr>
                      <w:sz w:val="16"/>
                      <w:lang w:val="en-GB"/>
                    </w:rPr>
                    <w:t>1310.00</w:t>
                  </w:r>
                </w:p>
              </w:tc>
            </w:tr>
            <w:tr w:rsidR="004B614B" w:rsidRPr="00A65B78" w14:paraId="3209A54A" w14:textId="77777777" w:rsidTr="00D80CA6">
              <w:trPr>
                <w:trHeight w:hRule="exact" w:val="260"/>
              </w:trPr>
              <w:tc>
                <w:tcPr>
                  <w:tcW w:w="1161" w:type="pct"/>
                  <w:vAlign w:val="center"/>
                </w:tcPr>
                <w:p w14:paraId="548BBC56" w14:textId="77777777" w:rsidR="004B614B" w:rsidRPr="00A65B78" w:rsidRDefault="004B614B" w:rsidP="00D80CA6">
                  <w:pPr>
                    <w:rPr>
                      <w:sz w:val="16"/>
                      <w:lang w:val="en-GB"/>
                    </w:rPr>
                  </w:pPr>
                  <w:proofErr w:type="spellStart"/>
                  <w:r w:rsidRPr="00A65B78">
                    <w:rPr>
                      <w:sz w:val="16"/>
                      <w:lang w:val="en-GB"/>
                    </w:rPr>
                    <w:t>tmax</w:t>
                  </w:r>
                  <w:proofErr w:type="spellEnd"/>
                  <w:r w:rsidRPr="00A65B78">
                    <w:rPr>
                      <w:sz w:val="16"/>
                      <w:lang w:val="en-GB"/>
                    </w:rPr>
                    <w:t xml:space="preserve"> (h)</w:t>
                  </w:r>
                </w:p>
              </w:tc>
              <w:tc>
                <w:tcPr>
                  <w:tcW w:w="352" w:type="pct"/>
                  <w:vAlign w:val="center"/>
                </w:tcPr>
                <w:p w14:paraId="0FC513A6" w14:textId="77777777" w:rsidR="004B614B" w:rsidRPr="00A65B78" w:rsidRDefault="004B614B" w:rsidP="00D80CA6">
                  <w:pPr>
                    <w:jc w:val="center"/>
                    <w:rPr>
                      <w:sz w:val="16"/>
                      <w:lang w:val="en-GB"/>
                    </w:rPr>
                  </w:pPr>
                  <w:r w:rsidRPr="00A65B78">
                    <w:rPr>
                      <w:sz w:val="16"/>
                      <w:lang w:val="en-GB"/>
                    </w:rPr>
                    <w:t>6</w:t>
                  </w:r>
                </w:p>
              </w:tc>
              <w:tc>
                <w:tcPr>
                  <w:tcW w:w="556" w:type="pct"/>
                  <w:vAlign w:val="center"/>
                </w:tcPr>
                <w:p w14:paraId="168F8A12" w14:textId="77777777" w:rsidR="004B614B" w:rsidRPr="00A65B78" w:rsidRDefault="004B614B" w:rsidP="00D80CA6">
                  <w:pPr>
                    <w:jc w:val="center"/>
                    <w:rPr>
                      <w:sz w:val="16"/>
                      <w:lang w:val="en-GB"/>
                    </w:rPr>
                  </w:pPr>
                  <w:r w:rsidRPr="00A65B78">
                    <w:rPr>
                      <w:sz w:val="16"/>
                      <w:lang w:val="en-GB"/>
                    </w:rPr>
                    <w:t>0.76</w:t>
                  </w:r>
                </w:p>
              </w:tc>
              <w:tc>
                <w:tcPr>
                  <w:tcW w:w="505" w:type="pct"/>
                  <w:vAlign w:val="center"/>
                </w:tcPr>
                <w:p w14:paraId="1BB081F3" w14:textId="77777777" w:rsidR="004B614B" w:rsidRPr="00A65B78" w:rsidRDefault="004B614B" w:rsidP="00D80CA6">
                  <w:pPr>
                    <w:jc w:val="center"/>
                    <w:rPr>
                      <w:sz w:val="16"/>
                      <w:lang w:val="en-GB"/>
                    </w:rPr>
                  </w:pPr>
                  <w:r w:rsidRPr="00A65B78">
                    <w:rPr>
                      <w:sz w:val="16"/>
                      <w:lang w:val="en-GB"/>
                    </w:rPr>
                    <w:t>0.75</w:t>
                  </w:r>
                </w:p>
              </w:tc>
              <w:tc>
                <w:tcPr>
                  <w:tcW w:w="657" w:type="pct"/>
                  <w:vAlign w:val="center"/>
                </w:tcPr>
                <w:p w14:paraId="5D75FD99" w14:textId="77777777" w:rsidR="004B614B" w:rsidRPr="00A65B78" w:rsidRDefault="004B614B" w:rsidP="00D80CA6">
                  <w:pPr>
                    <w:jc w:val="center"/>
                    <w:rPr>
                      <w:sz w:val="16"/>
                      <w:lang w:val="en-GB"/>
                    </w:rPr>
                  </w:pPr>
                  <w:r w:rsidRPr="00A65B78">
                    <w:rPr>
                      <w:sz w:val="16"/>
                      <w:lang w:val="en-GB"/>
                    </w:rPr>
                    <w:t>0.23</w:t>
                  </w:r>
                </w:p>
              </w:tc>
              <w:tc>
                <w:tcPr>
                  <w:tcW w:w="606" w:type="pct"/>
                  <w:vAlign w:val="center"/>
                </w:tcPr>
                <w:p w14:paraId="128ECAE0" w14:textId="77777777" w:rsidR="004B614B" w:rsidRPr="00A65B78" w:rsidRDefault="004B614B" w:rsidP="00D80CA6">
                  <w:pPr>
                    <w:jc w:val="center"/>
                    <w:rPr>
                      <w:sz w:val="16"/>
                      <w:lang w:val="en-GB"/>
                    </w:rPr>
                  </w:pPr>
                  <w:r w:rsidRPr="00A65B78">
                    <w:rPr>
                      <w:sz w:val="16"/>
                      <w:lang w:val="en-GB"/>
                    </w:rPr>
                    <w:t>30.62</w:t>
                  </w:r>
                </w:p>
              </w:tc>
              <w:tc>
                <w:tcPr>
                  <w:tcW w:w="556" w:type="pct"/>
                  <w:vAlign w:val="center"/>
                </w:tcPr>
                <w:p w14:paraId="0B09A342" w14:textId="77777777" w:rsidR="004B614B" w:rsidRPr="00A65B78" w:rsidRDefault="004B614B" w:rsidP="00D80CA6">
                  <w:pPr>
                    <w:jc w:val="center"/>
                    <w:rPr>
                      <w:sz w:val="16"/>
                      <w:lang w:val="en-GB"/>
                    </w:rPr>
                  </w:pPr>
                  <w:r w:rsidRPr="00A65B78">
                    <w:rPr>
                      <w:sz w:val="16"/>
                      <w:lang w:val="en-GB"/>
                    </w:rPr>
                    <w:t>0.50</w:t>
                  </w:r>
                </w:p>
              </w:tc>
              <w:tc>
                <w:tcPr>
                  <w:tcW w:w="606" w:type="pct"/>
                  <w:vAlign w:val="center"/>
                </w:tcPr>
                <w:p w14:paraId="0BC8D114" w14:textId="77777777" w:rsidR="004B614B" w:rsidRPr="00A65B78" w:rsidRDefault="004B614B" w:rsidP="00D80CA6">
                  <w:pPr>
                    <w:jc w:val="center"/>
                    <w:rPr>
                      <w:sz w:val="16"/>
                      <w:lang w:val="en-GB"/>
                    </w:rPr>
                  </w:pPr>
                  <w:r w:rsidRPr="00A65B78">
                    <w:rPr>
                      <w:sz w:val="16"/>
                      <w:lang w:val="en-GB"/>
                    </w:rPr>
                    <w:t>1.03</w:t>
                  </w:r>
                </w:p>
              </w:tc>
            </w:tr>
            <w:tr w:rsidR="004B614B" w:rsidRPr="00A65B78" w14:paraId="3DD1ACB0" w14:textId="77777777" w:rsidTr="00D80CA6">
              <w:trPr>
                <w:trHeight w:hRule="exact" w:val="260"/>
              </w:trPr>
              <w:tc>
                <w:tcPr>
                  <w:tcW w:w="1161" w:type="pct"/>
                  <w:vAlign w:val="center"/>
                </w:tcPr>
                <w:p w14:paraId="3716C420" w14:textId="77777777" w:rsidR="004B614B" w:rsidRPr="00A65B78" w:rsidRDefault="004B614B" w:rsidP="00D80CA6">
                  <w:pPr>
                    <w:rPr>
                      <w:sz w:val="16"/>
                      <w:lang w:val="en-GB"/>
                    </w:rPr>
                  </w:pPr>
                  <w:proofErr w:type="spellStart"/>
                  <w:r w:rsidRPr="00A65B78">
                    <w:rPr>
                      <w:sz w:val="16"/>
                      <w:lang w:val="en-GB"/>
                    </w:rPr>
                    <w:t>tlag</w:t>
                  </w:r>
                  <w:proofErr w:type="spellEnd"/>
                  <w:r w:rsidRPr="00A65B78">
                    <w:rPr>
                      <w:sz w:val="16"/>
                      <w:lang w:val="en-GB"/>
                    </w:rPr>
                    <w:t xml:space="preserve"> (h)</w:t>
                  </w:r>
                </w:p>
              </w:tc>
              <w:tc>
                <w:tcPr>
                  <w:tcW w:w="352" w:type="pct"/>
                  <w:vAlign w:val="center"/>
                </w:tcPr>
                <w:p w14:paraId="7F6EDAF6" w14:textId="77777777" w:rsidR="004B614B" w:rsidRPr="00A65B78" w:rsidRDefault="004B614B" w:rsidP="00D80CA6">
                  <w:pPr>
                    <w:jc w:val="center"/>
                    <w:rPr>
                      <w:sz w:val="16"/>
                      <w:lang w:val="en-GB"/>
                    </w:rPr>
                  </w:pPr>
                  <w:r w:rsidRPr="00A65B78">
                    <w:rPr>
                      <w:sz w:val="16"/>
                      <w:lang w:val="en-GB"/>
                    </w:rPr>
                    <w:t>6</w:t>
                  </w:r>
                </w:p>
              </w:tc>
              <w:tc>
                <w:tcPr>
                  <w:tcW w:w="556" w:type="pct"/>
                  <w:vAlign w:val="center"/>
                </w:tcPr>
                <w:p w14:paraId="5AD2F951" w14:textId="77777777" w:rsidR="004B614B" w:rsidRPr="00A65B78" w:rsidRDefault="004B614B" w:rsidP="00D80CA6">
                  <w:pPr>
                    <w:jc w:val="center"/>
                    <w:rPr>
                      <w:sz w:val="16"/>
                      <w:lang w:val="en-GB"/>
                    </w:rPr>
                  </w:pPr>
                  <w:r w:rsidRPr="00A65B78">
                    <w:rPr>
                      <w:sz w:val="16"/>
                      <w:lang w:val="en-GB"/>
                    </w:rPr>
                    <w:t>0.00</w:t>
                  </w:r>
                </w:p>
              </w:tc>
              <w:tc>
                <w:tcPr>
                  <w:tcW w:w="505" w:type="pct"/>
                  <w:vAlign w:val="center"/>
                </w:tcPr>
                <w:p w14:paraId="6AB36C45" w14:textId="77777777" w:rsidR="004B614B" w:rsidRPr="00A65B78" w:rsidRDefault="004B614B" w:rsidP="00D80CA6">
                  <w:pPr>
                    <w:jc w:val="center"/>
                    <w:rPr>
                      <w:sz w:val="16"/>
                      <w:lang w:val="en-GB"/>
                    </w:rPr>
                  </w:pPr>
                  <w:r w:rsidRPr="00A65B78">
                    <w:rPr>
                      <w:sz w:val="16"/>
                      <w:lang w:val="en-GB"/>
                    </w:rPr>
                    <w:t>0.00</w:t>
                  </w:r>
                </w:p>
              </w:tc>
              <w:tc>
                <w:tcPr>
                  <w:tcW w:w="657" w:type="pct"/>
                  <w:vAlign w:val="center"/>
                </w:tcPr>
                <w:p w14:paraId="004D76BA" w14:textId="77777777" w:rsidR="004B614B" w:rsidRPr="00A65B78" w:rsidRDefault="004B614B" w:rsidP="00D80CA6">
                  <w:pPr>
                    <w:jc w:val="center"/>
                    <w:rPr>
                      <w:sz w:val="16"/>
                      <w:lang w:val="en-GB"/>
                    </w:rPr>
                  </w:pPr>
                  <w:r w:rsidRPr="00A65B78">
                    <w:rPr>
                      <w:sz w:val="16"/>
                      <w:lang w:val="en-GB"/>
                    </w:rPr>
                    <w:t>0.00</w:t>
                  </w:r>
                </w:p>
              </w:tc>
              <w:tc>
                <w:tcPr>
                  <w:tcW w:w="606" w:type="pct"/>
                  <w:vAlign w:val="center"/>
                </w:tcPr>
                <w:p w14:paraId="36D06103" w14:textId="77777777" w:rsidR="004B614B" w:rsidRPr="00A65B78" w:rsidRDefault="004B614B" w:rsidP="00D80CA6">
                  <w:pPr>
                    <w:jc w:val="center"/>
                    <w:rPr>
                      <w:sz w:val="16"/>
                      <w:lang w:val="en-GB"/>
                    </w:rPr>
                  </w:pPr>
                  <w:r w:rsidRPr="00A65B78">
                    <w:rPr>
                      <w:sz w:val="16"/>
                      <w:lang w:val="en-GB"/>
                    </w:rPr>
                    <w:t>NA</w:t>
                  </w:r>
                </w:p>
              </w:tc>
              <w:tc>
                <w:tcPr>
                  <w:tcW w:w="556" w:type="pct"/>
                  <w:vAlign w:val="center"/>
                </w:tcPr>
                <w:p w14:paraId="732686B5" w14:textId="77777777" w:rsidR="004B614B" w:rsidRPr="00A65B78" w:rsidRDefault="004B614B" w:rsidP="00D80CA6">
                  <w:pPr>
                    <w:jc w:val="center"/>
                    <w:rPr>
                      <w:sz w:val="16"/>
                      <w:lang w:val="en-GB"/>
                    </w:rPr>
                  </w:pPr>
                  <w:r w:rsidRPr="00A65B78">
                    <w:rPr>
                      <w:sz w:val="16"/>
                      <w:lang w:val="en-GB"/>
                    </w:rPr>
                    <w:t>0.00</w:t>
                  </w:r>
                </w:p>
              </w:tc>
              <w:tc>
                <w:tcPr>
                  <w:tcW w:w="606" w:type="pct"/>
                  <w:vAlign w:val="center"/>
                </w:tcPr>
                <w:p w14:paraId="280AB515" w14:textId="77777777" w:rsidR="004B614B" w:rsidRPr="00A65B78" w:rsidRDefault="004B614B" w:rsidP="00D80CA6">
                  <w:pPr>
                    <w:jc w:val="center"/>
                    <w:rPr>
                      <w:sz w:val="16"/>
                      <w:lang w:val="en-GB"/>
                    </w:rPr>
                  </w:pPr>
                  <w:r w:rsidRPr="00A65B78">
                    <w:rPr>
                      <w:sz w:val="16"/>
                      <w:lang w:val="en-GB"/>
                    </w:rPr>
                    <w:t>0.00</w:t>
                  </w:r>
                </w:p>
              </w:tc>
            </w:tr>
            <w:tr w:rsidR="004B614B" w:rsidRPr="00A65B78" w14:paraId="444DB1C3" w14:textId="77777777" w:rsidTr="00D80CA6">
              <w:trPr>
                <w:trHeight w:hRule="exact" w:val="260"/>
              </w:trPr>
              <w:tc>
                <w:tcPr>
                  <w:tcW w:w="1161" w:type="pct"/>
                  <w:vAlign w:val="center"/>
                </w:tcPr>
                <w:p w14:paraId="2FDAAF69" w14:textId="77777777" w:rsidR="004B614B" w:rsidRPr="00A65B78" w:rsidRDefault="004B614B" w:rsidP="00D80CA6">
                  <w:pPr>
                    <w:rPr>
                      <w:sz w:val="16"/>
                      <w:lang w:val="en-GB"/>
                    </w:rPr>
                  </w:pPr>
                  <w:r w:rsidRPr="00A65B78">
                    <w:rPr>
                      <w:sz w:val="16"/>
                      <w:lang w:val="en-GB"/>
                    </w:rPr>
                    <w:t>AUC_0_last (ng*h/ml)</w:t>
                  </w:r>
                </w:p>
              </w:tc>
              <w:tc>
                <w:tcPr>
                  <w:tcW w:w="352" w:type="pct"/>
                  <w:vAlign w:val="center"/>
                </w:tcPr>
                <w:p w14:paraId="73880FF4" w14:textId="77777777" w:rsidR="004B614B" w:rsidRPr="00A65B78" w:rsidRDefault="004B614B" w:rsidP="00D80CA6">
                  <w:pPr>
                    <w:jc w:val="center"/>
                    <w:rPr>
                      <w:sz w:val="16"/>
                      <w:lang w:val="en-GB"/>
                    </w:rPr>
                  </w:pPr>
                  <w:r w:rsidRPr="00A65B78">
                    <w:rPr>
                      <w:sz w:val="16"/>
                      <w:lang w:val="en-GB"/>
                    </w:rPr>
                    <w:t>6</w:t>
                  </w:r>
                </w:p>
              </w:tc>
              <w:tc>
                <w:tcPr>
                  <w:tcW w:w="556" w:type="pct"/>
                  <w:vAlign w:val="center"/>
                </w:tcPr>
                <w:p w14:paraId="45D9086A" w14:textId="77777777" w:rsidR="004B614B" w:rsidRPr="00A65B78" w:rsidRDefault="004B614B" w:rsidP="00D80CA6">
                  <w:pPr>
                    <w:jc w:val="center"/>
                    <w:rPr>
                      <w:sz w:val="16"/>
                      <w:lang w:val="en-GB"/>
                    </w:rPr>
                  </w:pPr>
                  <w:r w:rsidRPr="00A65B78">
                    <w:rPr>
                      <w:sz w:val="16"/>
                      <w:lang w:val="en-GB"/>
                    </w:rPr>
                    <w:t>4725.66</w:t>
                  </w:r>
                </w:p>
              </w:tc>
              <w:tc>
                <w:tcPr>
                  <w:tcW w:w="505" w:type="pct"/>
                  <w:vAlign w:val="center"/>
                </w:tcPr>
                <w:p w14:paraId="32249F41" w14:textId="77777777" w:rsidR="004B614B" w:rsidRPr="00A65B78" w:rsidRDefault="004B614B" w:rsidP="00D80CA6">
                  <w:pPr>
                    <w:jc w:val="center"/>
                    <w:rPr>
                      <w:sz w:val="16"/>
                      <w:lang w:val="en-GB"/>
                    </w:rPr>
                  </w:pPr>
                  <w:r w:rsidRPr="00A65B78">
                    <w:rPr>
                      <w:sz w:val="16"/>
                      <w:lang w:val="en-GB"/>
                    </w:rPr>
                    <w:t>4618.57</w:t>
                  </w:r>
                </w:p>
              </w:tc>
              <w:tc>
                <w:tcPr>
                  <w:tcW w:w="657" w:type="pct"/>
                  <w:vAlign w:val="center"/>
                </w:tcPr>
                <w:p w14:paraId="41FE44CC" w14:textId="77777777" w:rsidR="004B614B" w:rsidRPr="00A65B78" w:rsidRDefault="004B614B" w:rsidP="00D80CA6">
                  <w:pPr>
                    <w:jc w:val="center"/>
                    <w:rPr>
                      <w:sz w:val="16"/>
                      <w:lang w:val="en-GB"/>
                    </w:rPr>
                  </w:pPr>
                  <w:r w:rsidRPr="00A65B78">
                    <w:rPr>
                      <w:sz w:val="16"/>
                      <w:lang w:val="en-GB"/>
                    </w:rPr>
                    <w:t>489.18</w:t>
                  </w:r>
                </w:p>
              </w:tc>
              <w:tc>
                <w:tcPr>
                  <w:tcW w:w="606" w:type="pct"/>
                  <w:vAlign w:val="center"/>
                </w:tcPr>
                <w:p w14:paraId="52A22B30" w14:textId="77777777" w:rsidR="004B614B" w:rsidRPr="00A65B78" w:rsidRDefault="004B614B" w:rsidP="00D80CA6">
                  <w:pPr>
                    <w:jc w:val="center"/>
                    <w:rPr>
                      <w:sz w:val="16"/>
                      <w:lang w:val="en-GB"/>
                    </w:rPr>
                  </w:pPr>
                  <w:r w:rsidRPr="00A65B78">
                    <w:rPr>
                      <w:sz w:val="16"/>
                      <w:lang w:val="en-GB"/>
                    </w:rPr>
                    <w:t>10.35</w:t>
                  </w:r>
                </w:p>
              </w:tc>
              <w:tc>
                <w:tcPr>
                  <w:tcW w:w="556" w:type="pct"/>
                  <w:vAlign w:val="center"/>
                </w:tcPr>
                <w:p w14:paraId="325FAB8D" w14:textId="77777777" w:rsidR="004B614B" w:rsidRPr="00A65B78" w:rsidRDefault="004B614B" w:rsidP="00D80CA6">
                  <w:pPr>
                    <w:jc w:val="center"/>
                    <w:rPr>
                      <w:sz w:val="16"/>
                      <w:lang w:val="en-GB"/>
                    </w:rPr>
                  </w:pPr>
                  <w:r w:rsidRPr="00A65B78">
                    <w:rPr>
                      <w:sz w:val="16"/>
                      <w:lang w:val="en-GB"/>
                    </w:rPr>
                    <w:t>4241.35</w:t>
                  </w:r>
                </w:p>
              </w:tc>
              <w:tc>
                <w:tcPr>
                  <w:tcW w:w="606" w:type="pct"/>
                  <w:vAlign w:val="center"/>
                </w:tcPr>
                <w:p w14:paraId="1B451545" w14:textId="77777777" w:rsidR="004B614B" w:rsidRPr="00A65B78" w:rsidRDefault="004B614B" w:rsidP="00D80CA6">
                  <w:pPr>
                    <w:jc w:val="center"/>
                    <w:rPr>
                      <w:sz w:val="16"/>
                      <w:lang w:val="en-GB"/>
                    </w:rPr>
                  </w:pPr>
                  <w:r w:rsidRPr="00A65B78">
                    <w:rPr>
                      <w:sz w:val="16"/>
                      <w:lang w:val="en-GB"/>
                    </w:rPr>
                    <w:t>5475.74</w:t>
                  </w:r>
                </w:p>
              </w:tc>
            </w:tr>
            <w:tr w:rsidR="004B614B" w:rsidRPr="00A65B78" w14:paraId="53052E25" w14:textId="77777777" w:rsidTr="00D80CA6">
              <w:trPr>
                <w:trHeight w:hRule="exact" w:val="260"/>
              </w:trPr>
              <w:tc>
                <w:tcPr>
                  <w:tcW w:w="1161" w:type="pct"/>
                  <w:vAlign w:val="center"/>
                </w:tcPr>
                <w:p w14:paraId="73A95A6E" w14:textId="77777777" w:rsidR="004B614B" w:rsidRPr="00AA2789" w:rsidRDefault="004B614B" w:rsidP="00D80CA6">
                  <w:pPr>
                    <w:rPr>
                      <w:b/>
                      <w:bCs/>
                      <w:sz w:val="16"/>
                      <w:lang w:val="en-GB"/>
                    </w:rPr>
                  </w:pPr>
                  <w:r w:rsidRPr="00AA2789">
                    <w:rPr>
                      <w:b/>
                      <w:bCs/>
                      <w:sz w:val="16"/>
                      <w:lang w:val="en-GB"/>
                    </w:rPr>
                    <w:t>SBT-020 25 mg Day 7</w:t>
                  </w:r>
                </w:p>
              </w:tc>
              <w:tc>
                <w:tcPr>
                  <w:tcW w:w="3839" w:type="pct"/>
                  <w:gridSpan w:val="7"/>
                  <w:vAlign w:val="center"/>
                </w:tcPr>
                <w:p w14:paraId="42FF30F0" w14:textId="77777777" w:rsidR="004B614B" w:rsidRPr="00A65B78" w:rsidRDefault="004B614B" w:rsidP="00D80CA6">
                  <w:pPr>
                    <w:rPr>
                      <w:sz w:val="16"/>
                      <w:lang w:val="en-GB"/>
                    </w:rPr>
                  </w:pPr>
                </w:p>
              </w:tc>
            </w:tr>
            <w:tr w:rsidR="004B614B" w:rsidRPr="00A65B78" w14:paraId="297AF54B" w14:textId="77777777" w:rsidTr="00D80CA6">
              <w:trPr>
                <w:trHeight w:hRule="exact" w:val="260"/>
              </w:trPr>
              <w:tc>
                <w:tcPr>
                  <w:tcW w:w="1161" w:type="pct"/>
                  <w:vAlign w:val="center"/>
                </w:tcPr>
                <w:p w14:paraId="08C81BCF" w14:textId="77777777" w:rsidR="004B614B" w:rsidRPr="00A65B78" w:rsidRDefault="004B614B" w:rsidP="00D80CA6">
                  <w:pPr>
                    <w:rPr>
                      <w:sz w:val="16"/>
                      <w:lang w:val="en-GB"/>
                    </w:rPr>
                  </w:pPr>
                  <w:proofErr w:type="spellStart"/>
                  <w:r w:rsidRPr="00AD773D">
                    <w:rPr>
                      <w:sz w:val="16"/>
                      <w:lang w:val="en-GB"/>
                    </w:rPr>
                    <w:t>Cmax</w:t>
                  </w:r>
                  <w:proofErr w:type="spellEnd"/>
                  <w:r w:rsidRPr="00AD773D">
                    <w:rPr>
                      <w:sz w:val="16"/>
                      <w:lang w:val="en-GB"/>
                    </w:rPr>
                    <w:t xml:space="preserve"> (ng/ml)</w:t>
                  </w:r>
                </w:p>
              </w:tc>
              <w:tc>
                <w:tcPr>
                  <w:tcW w:w="352" w:type="pct"/>
                  <w:vAlign w:val="center"/>
                </w:tcPr>
                <w:p w14:paraId="7FDF89EB"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3DBB05A4" w14:textId="77777777" w:rsidR="004B614B" w:rsidRPr="00A65B78" w:rsidRDefault="004B614B" w:rsidP="00D80CA6">
                  <w:pPr>
                    <w:jc w:val="center"/>
                    <w:rPr>
                      <w:sz w:val="16"/>
                      <w:lang w:val="en-GB"/>
                    </w:rPr>
                  </w:pPr>
                  <w:r w:rsidRPr="00AD773D">
                    <w:rPr>
                      <w:sz w:val="16"/>
                      <w:lang w:val="en-GB"/>
                    </w:rPr>
                    <w:t>1176.17</w:t>
                  </w:r>
                </w:p>
              </w:tc>
              <w:tc>
                <w:tcPr>
                  <w:tcW w:w="505" w:type="pct"/>
                  <w:vAlign w:val="center"/>
                </w:tcPr>
                <w:p w14:paraId="4AD4356D" w14:textId="77777777" w:rsidR="004B614B" w:rsidRPr="00A65B78" w:rsidRDefault="004B614B" w:rsidP="00D80CA6">
                  <w:pPr>
                    <w:jc w:val="center"/>
                    <w:rPr>
                      <w:sz w:val="16"/>
                      <w:lang w:val="en-GB"/>
                    </w:rPr>
                  </w:pPr>
                  <w:r w:rsidRPr="00AD773D">
                    <w:rPr>
                      <w:sz w:val="16"/>
                      <w:lang w:val="en-GB"/>
                    </w:rPr>
                    <w:t>1135.00</w:t>
                  </w:r>
                </w:p>
              </w:tc>
              <w:tc>
                <w:tcPr>
                  <w:tcW w:w="657" w:type="pct"/>
                  <w:vAlign w:val="center"/>
                </w:tcPr>
                <w:p w14:paraId="4A127010" w14:textId="77777777" w:rsidR="004B614B" w:rsidRPr="00A65B78" w:rsidRDefault="004B614B" w:rsidP="00D80CA6">
                  <w:pPr>
                    <w:jc w:val="center"/>
                    <w:rPr>
                      <w:sz w:val="16"/>
                      <w:lang w:val="en-GB"/>
                    </w:rPr>
                  </w:pPr>
                  <w:r w:rsidRPr="00AD773D">
                    <w:rPr>
                      <w:sz w:val="16"/>
                      <w:lang w:val="en-GB"/>
                    </w:rPr>
                    <w:t>240.00</w:t>
                  </w:r>
                </w:p>
              </w:tc>
              <w:tc>
                <w:tcPr>
                  <w:tcW w:w="606" w:type="pct"/>
                  <w:vAlign w:val="center"/>
                </w:tcPr>
                <w:p w14:paraId="4061EB02" w14:textId="77777777" w:rsidR="004B614B" w:rsidRPr="00A65B78" w:rsidRDefault="004B614B" w:rsidP="00D80CA6">
                  <w:pPr>
                    <w:jc w:val="center"/>
                    <w:rPr>
                      <w:sz w:val="16"/>
                      <w:lang w:val="en-GB"/>
                    </w:rPr>
                  </w:pPr>
                  <w:r w:rsidRPr="00AD773D">
                    <w:rPr>
                      <w:sz w:val="16"/>
                      <w:lang w:val="en-GB"/>
                    </w:rPr>
                    <w:t>20.41</w:t>
                  </w:r>
                </w:p>
              </w:tc>
              <w:tc>
                <w:tcPr>
                  <w:tcW w:w="556" w:type="pct"/>
                  <w:vAlign w:val="center"/>
                </w:tcPr>
                <w:p w14:paraId="0781735D" w14:textId="77777777" w:rsidR="004B614B" w:rsidRPr="00A65B78" w:rsidRDefault="004B614B" w:rsidP="00D80CA6">
                  <w:pPr>
                    <w:jc w:val="center"/>
                    <w:rPr>
                      <w:sz w:val="16"/>
                      <w:lang w:val="en-GB"/>
                    </w:rPr>
                  </w:pPr>
                  <w:r w:rsidRPr="00AD773D">
                    <w:rPr>
                      <w:sz w:val="16"/>
                      <w:lang w:val="en-GB"/>
                    </w:rPr>
                    <w:t>897.00</w:t>
                  </w:r>
                </w:p>
              </w:tc>
              <w:tc>
                <w:tcPr>
                  <w:tcW w:w="606" w:type="pct"/>
                  <w:vAlign w:val="center"/>
                </w:tcPr>
                <w:p w14:paraId="0C335CC7" w14:textId="77777777" w:rsidR="004B614B" w:rsidRPr="00A65B78" w:rsidRDefault="004B614B" w:rsidP="00D80CA6">
                  <w:pPr>
                    <w:jc w:val="center"/>
                    <w:rPr>
                      <w:sz w:val="16"/>
                      <w:lang w:val="en-GB"/>
                    </w:rPr>
                  </w:pPr>
                  <w:r w:rsidRPr="00AD773D">
                    <w:rPr>
                      <w:sz w:val="16"/>
                      <w:lang w:val="en-GB"/>
                    </w:rPr>
                    <w:t>1610.00</w:t>
                  </w:r>
                </w:p>
              </w:tc>
            </w:tr>
            <w:tr w:rsidR="004B614B" w:rsidRPr="00A65B78" w14:paraId="1844E437" w14:textId="77777777" w:rsidTr="00D80CA6">
              <w:trPr>
                <w:trHeight w:hRule="exact" w:val="260"/>
              </w:trPr>
              <w:tc>
                <w:tcPr>
                  <w:tcW w:w="1161" w:type="pct"/>
                  <w:vAlign w:val="center"/>
                </w:tcPr>
                <w:p w14:paraId="6D20FE28" w14:textId="77777777" w:rsidR="004B614B" w:rsidRPr="00A65B78" w:rsidRDefault="004B614B" w:rsidP="00D80CA6">
                  <w:pPr>
                    <w:rPr>
                      <w:sz w:val="16"/>
                      <w:lang w:val="en-GB"/>
                    </w:rPr>
                  </w:pPr>
                  <w:r w:rsidRPr="00AD773D">
                    <w:rPr>
                      <w:sz w:val="16"/>
                      <w:lang w:val="en-GB"/>
                    </w:rPr>
                    <w:t>AUC_0_last (ng*h/ml)</w:t>
                  </w:r>
                </w:p>
              </w:tc>
              <w:tc>
                <w:tcPr>
                  <w:tcW w:w="352" w:type="pct"/>
                  <w:vAlign w:val="center"/>
                </w:tcPr>
                <w:p w14:paraId="25C3426A"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4ED795FA" w14:textId="77777777" w:rsidR="004B614B" w:rsidRPr="00A65B78" w:rsidRDefault="004B614B" w:rsidP="00D80CA6">
                  <w:pPr>
                    <w:jc w:val="center"/>
                    <w:rPr>
                      <w:sz w:val="16"/>
                      <w:lang w:val="en-GB"/>
                    </w:rPr>
                  </w:pPr>
                  <w:r w:rsidRPr="00AD773D">
                    <w:rPr>
                      <w:sz w:val="16"/>
                      <w:lang w:val="en-GB"/>
                    </w:rPr>
                    <w:t>5252.10</w:t>
                  </w:r>
                </w:p>
              </w:tc>
              <w:tc>
                <w:tcPr>
                  <w:tcW w:w="505" w:type="pct"/>
                  <w:vAlign w:val="center"/>
                </w:tcPr>
                <w:p w14:paraId="3FA17DDF" w14:textId="77777777" w:rsidR="004B614B" w:rsidRPr="00A65B78" w:rsidRDefault="004B614B" w:rsidP="00D80CA6">
                  <w:pPr>
                    <w:jc w:val="center"/>
                    <w:rPr>
                      <w:sz w:val="16"/>
                      <w:lang w:val="en-GB"/>
                    </w:rPr>
                  </w:pPr>
                  <w:r w:rsidRPr="00AD773D">
                    <w:rPr>
                      <w:sz w:val="16"/>
                      <w:lang w:val="en-GB"/>
                    </w:rPr>
                    <w:t>5220.46</w:t>
                  </w:r>
                </w:p>
              </w:tc>
              <w:tc>
                <w:tcPr>
                  <w:tcW w:w="657" w:type="pct"/>
                  <w:vAlign w:val="center"/>
                </w:tcPr>
                <w:p w14:paraId="3166BCFD" w14:textId="77777777" w:rsidR="004B614B" w:rsidRPr="00A65B78" w:rsidRDefault="004B614B" w:rsidP="00D80CA6">
                  <w:pPr>
                    <w:jc w:val="center"/>
                    <w:rPr>
                      <w:sz w:val="16"/>
                      <w:lang w:val="en-GB"/>
                    </w:rPr>
                  </w:pPr>
                  <w:r w:rsidRPr="00AD773D">
                    <w:rPr>
                      <w:sz w:val="16"/>
                      <w:lang w:val="en-GB"/>
                    </w:rPr>
                    <w:t>396.11</w:t>
                  </w:r>
                </w:p>
              </w:tc>
              <w:tc>
                <w:tcPr>
                  <w:tcW w:w="606" w:type="pct"/>
                  <w:vAlign w:val="center"/>
                </w:tcPr>
                <w:p w14:paraId="4D6CFBBE" w14:textId="77777777" w:rsidR="004B614B" w:rsidRPr="00A65B78" w:rsidRDefault="004B614B" w:rsidP="00D80CA6">
                  <w:pPr>
                    <w:jc w:val="center"/>
                    <w:rPr>
                      <w:sz w:val="16"/>
                      <w:lang w:val="en-GB"/>
                    </w:rPr>
                  </w:pPr>
                  <w:r w:rsidRPr="00AD773D">
                    <w:rPr>
                      <w:sz w:val="16"/>
                      <w:lang w:val="en-GB"/>
                    </w:rPr>
                    <w:t>7.54</w:t>
                  </w:r>
                </w:p>
              </w:tc>
              <w:tc>
                <w:tcPr>
                  <w:tcW w:w="556" w:type="pct"/>
                  <w:vAlign w:val="center"/>
                </w:tcPr>
                <w:p w14:paraId="69028CF3" w14:textId="77777777" w:rsidR="004B614B" w:rsidRPr="00A65B78" w:rsidRDefault="004B614B" w:rsidP="00D80CA6">
                  <w:pPr>
                    <w:jc w:val="center"/>
                    <w:rPr>
                      <w:sz w:val="16"/>
                      <w:lang w:val="en-GB"/>
                    </w:rPr>
                  </w:pPr>
                  <w:r w:rsidRPr="00AD773D">
                    <w:rPr>
                      <w:sz w:val="16"/>
                      <w:lang w:val="en-GB"/>
                    </w:rPr>
                    <w:t>4805.33</w:t>
                  </w:r>
                </w:p>
              </w:tc>
              <w:tc>
                <w:tcPr>
                  <w:tcW w:w="606" w:type="pct"/>
                  <w:vAlign w:val="center"/>
                </w:tcPr>
                <w:p w14:paraId="21E639D2" w14:textId="77777777" w:rsidR="004B614B" w:rsidRPr="00A65B78" w:rsidRDefault="004B614B" w:rsidP="00D80CA6">
                  <w:pPr>
                    <w:jc w:val="center"/>
                    <w:rPr>
                      <w:sz w:val="16"/>
                      <w:lang w:val="en-GB"/>
                    </w:rPr>
                  </w:pPr>
                  <w:r w:rsidRPr="00AD773D">
                    <w:rPr>
                      <w:sz w:val="16"/>
                      <w:lang w:val="en-GB"/>
                    </w:rPr>
                    <w:t>5754.24</w:t>
                  </w:r>
                </w:p>
              </w:tc>
            </w:tr>
            <w:tr w:rsidR="004B614B" w:rsidRPr="00A65B78" w14:paraId="2C659C24" w14:textId="77777777" w:rsidTr="00D80CA6">
              <w:trPr>
                <w:trHeight w:hRule="exact" w:val="260"/>
              </w:trPr>
              <w:tc>
                <w:tcPr>
                  <w:tcW w:w="1161" w:type="pct"/>
                  <w:vAlign w:val="center"/>
                </w:tcPr>
                <w:p w14:paraId="25F3CAEE" w14:textId="77777777" w:rsidR="004B614B" w:rsidRPr="00A65B78" w:rsidRDefault="004B614B" w:rsidP="00D80CA6">
                  <w:pPr>
                    <w:rPr>
                      <w:sz w:val="16"/>
                      <w:lang w:val="en-GB"/>
                    </w:rPr>
                  </w:pPr>
                  <w:r w:rsidRPr="007D7B66">
                    <w:rPr>
                      <w:sz w:val="16"/>
                      <w:lang w:val="pt-BR"/>
                    </w:rPr>
                    <w:t>AUC_0_inf (</w:t>
                  </w:r>
                  <w:proofErr w:type="spellStart"/>
                  <w:r w:rsidRPr="007D7B66">
                    <w:rPr>
                      <w:sz w:val="16"/>
                      <w:lang w:val="pt-BR"/>
                    </w:rPr>
                    <w:t>ng</w:t>
                  </w:r>
                  <w:proofErr w:type="spellEnd"/>
                  <w:r w:rsidRPr="007D7B66">
                    <w:rPr>
                      <w:sz w:val="16"/>
                      <w:lang w:val="pt-BR"/>
                    </w:rPr>
                    <w:t>*h/ml)</w:t>
                  </w:r>
                </w:p>
              </w:tc>
              <w:tc>
                <w:tcPr>
                  <w:tcW w:w="352" w:type="pct"/>
                  <w:vAlign w:val="center"/>
                </w:tcPr>
                <w:p w14:paraId="14BCC1BD"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286128C2" w14:textId="77777777" w:rsidR="004B614B" w:rsidRPr="00A65B78" w:rsidRDefault="004B614B" w:rsidP="00D80CA6">
                  <w:pPr>
                    <w:jc w:val="center"/>
                    <w:rPr>
                      <w:sz w:val="16"/>
                      <w:lang w:val="en-GB"/>
                    </w:rPr>
                  </w:pPr>
                  <w:r w:rsidRPr="00AD773D">
                    <w:rPr>
                      <w:sz w:val="16"/>
                      <w:lang w:val="en-GB"/>
                    </w:rPr>
                    <w:t>5321.96</w:t>
                  </w:r>
                </w:p>
              </w:tc>
              <w:tc>
                <w:tcPr>
                  <w:tcW w:w="505" w:type="pct"/>
                  <w:vAlign w:val="center"/>
                </w:tcPr>
                <w:p w14:paraId="32655DB0" w14:textId="77777777" w:rsidR="004B614B" w:rsidRPr="00A65B78" w:rsidRDefault="004B614B" w:rsidP="00D80CA6">
                  <w:pPr>
                    <w:jc w:val="center"/>
                    <w:rPr>
                      <w:sz w:val="16"/>
                      <w:lang w:val="en-GB"/>
                    </w:rPr>
                  </w:pPr>
                  <w:r w:rsidRPr="00AD773D">
                    <w:rPr>
                      <w:sz w:val="16"/>
                      <w:lang w:val="en-GB"/>
                    </w:rPr>
                    <w:t>5267.38</w:t>
                  </w:r>
                </w:p>
              </w:tc>
              <w:tc>
                <w:tcPr>
                  <w:tcW w:w="657" w:type="pct"/>
                  <w:vAlign w:val="center"/>
                </w:tcPr>
                <w:p w14:paraId="75C80027" w14:textId="77777777" w:rsidR="004B614B" w:rsidRPr="00A65B78" w:rsidRDefault="004B614B" w:rsidP="00D80CA6">
                  <w:pPr>
                    <w:jc w:val="center"/>
                    <w:rPr>
                      <w:sz w:val="16"/>
                      <w:lang w:val="en-GB"/>
                    </w:rPr>
                  </w:pPr>
                  <w:r w:rsidRPr="00AD773D">
                    <w:rPr>
                      <w:sz w:val="16"/>
                      <w:lang w:val="en-GB"/>
                    </w:rPr>
                    <w:t>396.52</w:t>
                  </w:r>
                </w:p>
              </w:tc>
              <w:tc>
                <w:tcPr>
                  <w:tcW w:w="606" w:type="pct"/>
                  <w:vAlign w:val="center"/>
                </w:tcPr>
                <w:p w14:paraId="14BAC27F" w14:textId="77777777" w:rsidR="004B614B" w:rsidRPr="00A65B78" w:rsidRDefault="004B614B" w:rsidP="00D80CA6">
                  <w:pPr>
                    <w:jc w:val="center"/>
                    <w:rPr>
                      <w:sz w:val="16"/>
                      <w:lang w:val="en-GB"/>
                    </w:rPr>
                  </w:pPr>
                  <w:r w:rsidRPr="00AD773D">
                    <w:rPr>
                      <w:sz w:val="16"/>
                      <w:lang w:val="en-GB"/>
                    </w:rPr>
                    <w:t>7.45</w:t>
                  </w:r>
                </w:p>
              </w:tc>
              <w:tc>
                <w:tcPr>
                  <w:tcW w:w="556" w:type="pct"/>
                  <w:vAlign w:val="center"/>
                </w:tcPr>
                <w:p w14:paraId="5BC42C05" w14:textId="77777777" w:rsidR="004B614B" w:rsidRPr="00A65B78" w:rsidRDefault="004B614B" w:rsidP="00D80CA6">
                  <w:pPr>
                    <w:jc w:val="center"/>
                    <w:rPr>
                      <w:sz w:val="16"/>
                      <w:lang w:val="en-GB"/>
                    </w:rPr>
                  </w:pPr>
                  <w:r w:rsidRPr="00AD773D">
                    <w:rPr>
                      <w:sz w:val="16"/>
                      <w:lang w:val="en-GB"/>
                    </w:rPr>
                    <w:t>4871.52</w:t>
                  </w:r>
                </w:p>
              </w:tc>
              <w:tc>
                <w:tcPr>
                  <w:tcW w:w="606" w:type="pct"/>
                  <w:vAlign w:val="center"/>
                </w:tcPr>
                <w:p w14:paraId="0FD9AA44" w14:textId="77777777" w:rsidR="004B614B" w:rsidRPr="00A65B78" w:rsidRDefault="004B614B" w:rsidP="00D80CA6">
                  <w:pPr>
                    <w:jc w:val="center"/>
                    <w:rPr>
                      <w:sz w:val="16"/>
                      <w:lang w:val="en-GB"/>
                    </w:rPr>
                  </w:pPr>
                  <w:r w:rsidRPr="00AD773D">
                    <w:rPr>
                      <w:sz w:val="16"/>
                      <w:lang w:val="en-GB"/>
                    </w:rPr>
                    <w:t>5801.97</w:t>
                  </w:r>
                </w:p>
              </w:tc>
            </w:tr>
            <w:tr w:rsidR="004B614B" w:rsidRPr="00A65B78" w14:paraId="75D8C16E" w14:textId="77777777" w:rsidTr="00D80CA6">
              <w:trPr>
                <w:trHeight w:hRule="exact" w:val="260"/>
              </w:trPr>
              <w:tc>
                <w:tcPr>
                  <w:tcW w:w="1161" w:type="pct"/>
                  <w:vAlign w:val="center"/>
                </w:tcPr>
                <w:p w14:paraId="5123D5B6" w14:textId="77777777" w:rsidR="004B614B" w:rsidRPr="00A65B78" w:rsidRDefault="004B614B" w:rsidP="00D80CA6">
                  <w:pPr>
                    <w:rPr>
                      <w:sz w:val="16"/>
                      <w:lang w:val="en-GB"/>
                    </w:rPr>
                  </w:pPr>
                  <w:proofErr w:type="spellStart"/>
                  <w:r w:rsidRPr="00AD773D">
                    <w:rPr>
                      <w:sz w:val="16"/>
                      <w:lang w:val="en-GB"/>
                    </w:rPr>
                    <w:t>PercAUCExtrap</w:t>
                  </w:r>
                  <w:proofErr w:type="spellEnd"/>
                  <w:r w:rsidRPr="00AD773D">
                    <w:rPr>
                      <w:sz w:val="16"/>
                      <w:lang w:val="en-GB"/>
                    </w:rPr>
                    <w:t xml:space="preserve"> (%)</w:t>
                  </w:r>
                </w:p>
              </w:tc>
              <w:tc>
                <w:tcPr>
                  <w:tcW w:w="352" w:type="pct"/>
                  <w:vAlign w:val="center"/>
                </w:tcPr>
                <w:p w14:paraId="66CA8FA4"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03F56F55" w14:textId="77777777" w:rsidR="004B614B" w:rsidRPr="00A65B78" w:rsidRDefault="004B614B" w:rsidP="00D80CA6">
                  <w:pPr>
                    <w:jc w:val="center"/>
                    <w:rPr>
                      <w:sz w:val="16"/>
                      <w:lang w:val="en-GB"/>
                    </w:rPr>
                  </w:pPr>
                  <w:r w:rsidRPr="00AD773D">
                    <w:rPr>
                      <w:sz w:val="16"/>
                      <w:lang w:val="en-GB"/>
                    </w:rPr>
                    <w:t>1.32</w:t>
                  </w:r>
                </w:p>
              </w:tc>
              <w:tc>
                <w:tcPr>
                  <w:tcW w:w="505" w:type="pct"/>
                  <w:vAlign w:val="center"/>
                </w:tcPr>
                <w:p w14:paraId="79BCC0CE" w14:textId="77777777" w:rsidR="004B614B" w:rsidRPr="00A65B78" w:rsidRDefault="004B614B" w:rsidP="00D80CA6">
                  <w:pPr>
                    <w:jc w:val="center"/>
                    <w:rPr>
                      <w:sz w:val="16"/>
                      <w:lang w:val="en-GB"/>
                    </w:rPr>
                  </w:pPr>
                  <w:r w:rsidRPr="00AD773D">
                    <w:rPr>
                      <w:sz w:val="16"/>
                      <w:lang w:val="en-GB"/>
                    </w:rPr>
                    <w:t>1.18</w:t>
                  </w:r>
                </w:p>
              </w:tc>
              <w:tc>
                <w:tcPr>
                  <w:tcW w:w="657" w:type="pct"/>
                  <w:vAlign w:val="center"/>
                </w:tcPr>
                <w:p w14:paraId="593D9020" w14:textId="77777777" w:rsidR="004B614B" w:rsidRPr="00A65B78" w:rsidRDefault="004B614B" w:rsidP="00D80CA6">
                  <w:pPr>
                    <w:jc w:val="center"/>
                    <w:rPr>
                      <w:sz w:val="16"/>
                      <w:lang w:val="en-GB"/>
                    </w:rPr>
                  </w:pPr>
                  <w:r w:rsidRPr="00AD773D">
                    <w:rPr>
                      <w:sz w:val="16"/>
                      <w:lang w:val="en-GB"/>
                    </w:rPr>
                    <w:t>0.54</w:t>
                  </w:r>
                </w:p>
              </w:tc>
              <w:tc>
                <w:tcPr>
                  <w:tcW w:w="606" w:type="pct"/>
                  <w:vAlign w:val="center"/>
                </w:tcPr>
                <w:p w14:paraId="29CF0E0B" w14:textId="77777777" w:rsidR="004B614B" w:rsidRPr="00A65B78" w:rsidRDefault="004B614B" w:rsidP="00D80CA6">
                  <w:pPr>
                    <w:jc w:val="center"/>
                    <w:rPr>
                      <w:sz w:val="16"/>
                      <w:lang w:val="en-GB"/>
                    </w:rPr>
                  </w:pPr>
                  <w:r w:rsidRPr="00AD773D">
                    <w:rPr>
                      <w:sz w:val="16"/>
                      <w:lang w:val="en-GB"/>
                    </w:rPr>
                    <w:t>41.27</w:t>
                  </w:r>
                </w:p>
              </w:tc>
              <w:tc>
                <w:tcPr>
                  <w:tcW w:w="556" w:type="pct"/>
                  <w:vAlign w:val="center"/>
                </w:tcPr>
                <w:p w14:paraId="075A7D7D" w14:textId="77777777" w:rsidR="004B614B" w:rsidRPr="00A65B78" w:rsidRDefault="004B614B" w:rsidP="00D80CA6">
                  <w:pPr>
                    <w:jc w:val="center"/>
                    <w:rPr>
                      <w:sz w:val="16"/>
                      <w:lang w:val="en-GB"/>
                    </w:rPr>
                  </w:pPr>
                  <w:r w:rsidRPr="00AD773D">
                    <w:rPr>
                      <w:sz w:val="16"/>
                      <w:lang w:val="en-GB"/>
                    </w:rPr>
                    <w:t>0.79</w:t>
                  </w:r>
                </w:p>
              </w:tc>
              <w:tc>
                <w:tcPr>
                  <w:tcW w:w="606" w:type="pct"/>
                  <w:vAlign w:val="center"/>
                </w:tcPr>
                <w:p w14:paraId="358CCE72" w14:textId="77777777" w:rsidR="004B614B" w:rsidRPr="00A65B78" w:rsidRDefault="004B614B" w:rsidP="00D80CA6">
                  <w:pPr>
                    <w:jc w:val="center"/>
                    <w:rPr>
                      <w:sz w:val="16"/>
                      <w:lang w:val="en-GB"/>
                    </w:rPr>
                  </w:pPr>
                  <w:r w:rsidRPr="00AD773D">
                    <w:rPr>
                      <w:sz w:val="16"/>
                      <w:lang w:val="en-GB"/>
                    </w:rPr>
                    <w:t>1.99</w:t>
                  </w:r>
                </w:p>
              </w:tc>
            </w:tr>
            <w:tr w:rsidR="004B614B" w:rsidRPr="00A65B78" w14:paraId="7E870575" w14:textId="77777777" w:rsidTr="00D80CA6">
              <w:trPr>
                <w:trHeight w:hRule="exact" w:val="260"/>
              </w:trPr>
              <w:tc>
                <w:tcPr>
                  <w:tcW w:w="1161" w:type="pct"/>
                  <w:vAlign w:val="center"/>
                </w:tcPr>
                <w:p w14:paraId="178186E2" w14:textId="77777777" w:rsidR="004B614B" w:rsidRPr="00A65B78" w:rsidRDefault="004B614B" w:rsidP="00D80CA6">
                  <w:pPr>
                    <w:rPr>
                      <w:sz w:val="16"/>
                      <w:lang w:val="en-GB"/>
                    </w:rPr>
                  </w:pPr>
                  <w:proofErr w:type="spellStart"/>
                  <w:r w:rsidRPr="00AD773D">
                    <w:rPr>
                      <w:sz w:val="16"/>
                      <w:lang w:val="en-GB"/>
                    </w:rPr>
                    <w:lastRenderedPageBreak/>
                    <w:t>Lambda_z</w:t>
                  </w:r>
                  <w:proofErr w:type="spellEnd"/>
                  <w:r w:rsidRPr="00AD773D">
                    <w:rPr>
                      <w:sz w:val="16"/>
                      <w:lang w:val="en-GB"/>
                    </w:rPr>
                    <w:t xml:space="preserve"> (h-1)</w:t>
                  </w:r>
                </w:p>
              </w:tc>
              <w:tc>
                <w:tcPr>
                  <w:tcW w:w="352" w:type="pct"/>
                  <w:vAlign w:val="center"/>
                </w:tcPr>
                <w:p w14:paraId="5F20518F"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75E5C365" w14:textId="77777777" w:rsidR="004B614B" w:rsidRPr="00A65B78" w:rsidRDefault="004B614B" w:rsidP="00D80CA6">
                  <w:pPr>
                    <w:jc w:val="center"/>
                    <w:rPr>
                      <w:sz w:val="16"/>
                      <w:lang w:val="en-GB"/>
                    </w:rPr>
                  </w:pPr>
                  <w:r w:rsidRPr="00AD773D">
                    <w:rPr>
                      <w:sz w:val="16"/>
                      <w:lang w:val="en-GB"/>
                    </w:rPr>
                    <w:t>0.17</w:t>
                  </w:r>
                </w:p>
              </w:tc>
              <w:tc>
                <w:tcPr>
                  <w:tcW w:w="505" w:type="pct"/>
                  <w:vAlign w:val="center"/>
                </w:tcPr>
                <w:p w14:paraId="0A8601D7" w14:textId="77777777" w:rsidR="004B614B" w:rsidRPr="00A65B78" w:rsidRDefault="004B614B" w:rsidP="00D80CA6">
                  <w:pPr>
                    <w:jc w:val="center"/>
                    <w:rPr>
                      <w:sz w:val="16"/>
                      <w:lang w:val="en-GB"/>
                    </w:rPr>
                  </w:pPr>
                  <w:r w:rsidRPr="00AD773D">
                    <w:rPr>
                      <w:sz w:val="16"/>
                      <w:lang w:val="en-GB"/>
                    </w:rPr>
                    <w:t>0.17</w:t>
                  </w:r>
                </w:p>
              </w:tc>
              <w:tc>
                <w:tcPr>
                  <w:tcW w:w="657" w:type="pct"/>
                  <w:vAlign w:val="center"/>
                </w:tcPr>
                <w:p w14:paraId="52014A3B" w14:textId="77777777" w:rsidR="004B614B" w:rsidRPr="00A65B78" w:rsidRDefault="004B614B" w:rsidP="00D80CA6">
                  <w:pPr>
                    <w:jc w:val="center"/>
                    <w:rPr>
                      <w:sz w:val="16"/>
                      <w:lang w:val="en-GB"/>
                    </w:rPr>
                  </w:pPr>
                  <w:r w:rsidRPr="00AD773D">
                    <w:rPr>
                      <w:sz w:val="16"/>
                      <w:lang w:val="en-GB"/>
                    </w:rPr>
                    <w:t>0.02</w:t>
                  </w:r>
                </w:p>
              </w:tc>
              <w:tc>
                <w:tcPr>
                  <w:tcW w:w="606" w:type="pct"/>
                  <w:vAlign w:val="center"/>
                </w:tcPr>
                <w:p w14:paraId="16898AF5" w14:textId="77777777" w:rsidR="004B614B" w:rsidRPr="00A65B78" w:rsidRDefault="004B614B" w:rsidP="00D80CA6">
                  <w:pPr>
                    <w:jc w:val="center"/>
                    <w:rPr>
                      <w:sz w:val="16"/>
                      <w:lang w:val="en-GB"/>
                    </w:rPr>
                  </w:pPr>
                  <w:r w:rsidRPr="00AD773D">
                    <w:rPr>
                      <w:sz w:val="16"/>
                      <w:lang w:val="en-GB"/>
                    </w:rPr>
                    <w:t>8.99</w:t>
                  </w:r>
                </w:p>
              </w:tc>
              <w:tc>
                <w:tcPr>
                  <w:tcW w:w="556" w:type="pct"/>
                  <w:vAlign w:val="center"/>
                </w:tcPr>
                <w:p w14:paraId="35A4A475" w14:textId="77777777" w:rsidR="004B614B" w:rsidRPr="00A65B78" w:rsidRDefault="004B614B" w:rsidP="00D80CA6">
                  <w:pPr>
                    <w:jc w:val="center"/>
                    <w:rPr>
                      <w:sz w:val="16"/>
                      <w:lang w:val="en-GB"/>
                    </w:rPr>
                  </w:pPr>
                  <w:r w:rsidRPr="00AD773D">
                    <w:rPr>
                      <w:sz w:val="16"/>
                      <w:lang w:val="en-GB"/>
                    </w:rPr>
                    <w:t>0.15</w:t>
                  </w:r>
                </w:p>
              </w:tc>
              <w:tc>
                <w:tcPr>
                  <w:tcW w:w="606" w:type="pct"/>
                  <w:vAlign w:val="center"/>
                </w:tcPr>
                <w:p w14:paraId="0845F2FA" w14:textId="77777777" w:rsidR="004B614B" w:rsidRPr="00A65B78" w:rsidRDefault="004B614B" w:rsidP="00D80CA6">
                  <w:pPr>
                    <w:jc w:val="center"/>
                    <w:rPr>
                      <w:sz w:val="16"/>
                      <w:lang w:val="en-GB"/>
                    </w:rPr>
                  </w:pPr>
                  <w:r w:rsidRPr="00AD773D">
                    <w:rPr>
                      <w:sz w:val="16"/>
                      <w:lang w:val="en-GB"/>
                    </w:rPr>
                    <w:t>0.18</w:t>
                  </w:r>
                </w:p>
              </w:tc>
            </w:tr>
            <w:tr w:rsidR="004B614B" w:rsidRPr="00A65B78" w14:paraId="726437A7" w14:textId="77777777" w:rsidTr="00D80CA6">
              <w:trPr>
                <w:trHeight w:hRule="exact" w:val="260"/>
              </w:trPr>
              <w:tc>
                <w:tcPr>
                  <w:tcW w:w="1161" w:type="pct"/>
                  <w:vAlign w:val="center"/>
                </w:tcPr>
                <w:p w14:paraId="1CE952E4" w14:textId="77777777" w:rsidR="004B614B" w:rsidRPr="00A65B78" w:rsidRDefault="004B614B" w:rsidP="00D80CA6">
                  <w:pPr>
                    <w:rPr>
                      <w:sz w:val="16"/>
                      <w:lang w:val="en-GB"/>
                    </w:rPr>
                  </w:pPr>
                  <w:r>
                    <w:rPr>
                      <w:sz w:val="16"/>
                      <w:lang w:val="en-GB"/>
                    </w:rPr>
                    <w:t>t½</w:t>
                  </w:r>
                  <w:r w:rsidRPr="00AD773D">
                    <w:rPr>
                      <w:sz w:val="16"/>
                      <w:lang w:val="en-GB"/>
                    </w:rPr>
                    <w:t xml:space="preserve"> (h)</w:t>
                  </w:r>
                </w:p>
              </w:tc>
              <w:tc>
                <w:tcPr>
                  <w:tcW w:w="352" w:type="pct"/>
                  <w:vAlign w:val="center"/>
                </w:tcPr>
                <w:p w14:paraId="3E1DB232"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1449F8F1" w14:textId="77777777" w:rsidR="004B614B" w:rsidRPr="00A65B78" w:rsidRDefault="004B614B" w:rsidP="00D80CA6">
                  <w:pPr>
                    <w:jc w:val="center"/>
                    <w:rPr>
                      <w:sz w:val="16"/>
                      <w:lang w:val="en-GB"/>
                    </w:rPr>
                  </w:pPr>
                  <w:r w:rsidRPr="00AD773D">
                    <w:rPr>
                      <w:sz w:val="16"/>
                      <w:lang w:val="en-GB"/>
                    </w:rPr>
                    <w:t>4.14</w:t>
                  </w:r>
                </w:p>
              </w:tc>
              <w:tc>
                <w:tcPr>
                  <w:tcW w:w="505" w:type="pct"/>
                  <w:vAlign w:val="center"/>
                </w:tcPr>
                <w:p w14:paraId="74DFE1AE" w14:textId="77777777" w:rsidR="004B614B" w:rsidRPr="00A65B78" w:rsidRDefault="004B614B" w:rsidP="00D80CA6">
                  <w:pPr>
                    <w:jc w:val="center"/>
                    <w:rPr>
                      <w:sz w:val="16"/>
                      <w:lang w:val="en-GB"/>
                    </w:rPr>
                  </w:pPr>
                  <w:r w:rsidRPr="00AD773D">
                    <w:rPr>
                      <w:sz w:val="16"/>
                      <w:lang w:val="en-GB"/>
                    </w:rPr>
                    <w:t>4.00</w:t>
                  </w:r>
                </w:p>
              </w:tc>
              <w:tc>
                <w:tcPr>
                  <w:tcW w:w="657" w:type="pct"/>
                  <w:vAlign w:val="center"/>
                </w:tcPr>
                <w:p w14:paraId="4BE1CFE3" w14:textId="77777777" w:rsidR="004B614B" w:rsidRPr="00A65B78" w:rsidRDefault="004B614B" w:rsidP="00D80CA6">
                  <w:pPr>
                    <w:jc w:val="center"/>
                    <w:rPr>
                      <w:sz w:val="16"/>
                      <w:lang w:val="en-GB"/>
                    </w:rPr>
                  </w:pPr>
                  <w:r w:rsidRPr="00AD773D">
                    <w:rPr>
                      <w:sz w:val="16"/>
                      <w:lang w:val="en-GB"/>
                    </w:rPr>
                    <w:t>0.39</w:t>
                  </w:r>
                </w:p>
              </w:tc>
              <w:tc>
                <w:tcPr>
                  <w:tcW w:w="606" w:type="pct"/>
                  <w:vAlign w:val="center"/>
                </w:tcPr>
                <w:p w14:paraId="30F12516" w14:textId="77777777" w:rsidR="004B614B" w:rsidRPr="00A65B78" w:rsidRDefault="004B614B" w:rsidP="00D80CA6">
                  <w:pPr>
                    <w:jc w:val="center"/>
                    <w:rPr>
                      <w:sz w:val="16"/>
                      <w:lang w:val="en-GB"/>
                    </w:rPr>
                  </w:pPr>
                  <w:r w:rsidRPr="00AD773D">
                    <w:rPr>
                      <w:sz w:val="16"/>
                      <w:lang w:val="en-GB"/>
                    </w:rPr>
                    <w:t>9.38</w:t>
                  </w:r>
                </w:p>
              </w:tc>
              <w:tc>
                <w:tcPr>
                  <w:tcW w:w="556" w:type="pct"/>
                  <w:vAlign w:val="center"/>
                </w:tcPr>
                <w:p w14:paraId="2E288CDE" w14:textId="77777777" w:rsidR="004B614B" w:rsidRPr="00A65B78" w:rsidRDefault="004B614B" w:rsidP="00D80CA6">
                  <w:pPr>
                    <w:jc w:val="center"/>
                    <w:rPr>
                      <w:sz w:val="16"/>
                      <w:lang w:val="en-GB"/>
                    </w:rPr>
                  </w:pPr>
                  <w:r w:rsidRPr="00AD773D">
                    <w:rPr>
                      <w:sz w:val="16"/>
                      <w:lang w:val="en-GB"/>
                    </w:rPr>
                    <w:t>3.80</w:t>
                  </w:r>
                </w:p>
              </w:tc>
              <w:tc>
                <w:tcPr>
                  <w:tcW w:w="606" w:type="pct"/>
                  <w:vAlign w:val="center"/>
                </w:tcPr>
                <w:p w14:paraId="64B0EC40" w14:textId="77777777" w:rsidR="004B614B" w:rsidRPr="00A65B78" w:rsidRDefault="004B614B" w:rsidP="00D80CA6">
                  <w:pPr>
                    <w:jc w:val="center"/>
                    <w:rPr>
                      <w:sz w:val="16"/>
                      <w:lang w:val="en-GB"/>
                    </w:rPr>
                  </w:pPr>
                  <w:r w:rsidRPr="00AD773D">
                    <w:rPr>
                      <w:sz w:val="16"/>
                      <w:lang w:val="en-GB"/>
                    </w:rPr>
                    <w:t>4.68</w:t>
                  </w:r>
                </w:p>
              </w:tc>
            </w:tr>
            <w:tr w:rsidR="004B614B" w:rsidRPr="00A65B78" w14:paraId="7FF6D2AC" w14:textId="77777777" w:rsidTr="00D80CA6">
              <w:trPr>
                <w:trHeight w:hRule="exact" w:val="260"/>
              </w:trPr>
              <w:tc>
                <w:tcPr>
                  <w:tcW w:w="1161" w:type="pct"/>
                  <w:vAlign w:val="center"/>
                </w:tcPr>
                <w:p w14:paraId="09B7EACC" w14:textId="77777777" w:rsidR="004B614B" w:rsidRPr="00A65B78" w:rsidRDefault="004B614B" w:rsidP="00D80CA6">
                  <w:pPr>
                    <w:rPr>
                      <w:sz w:val="16"/>
                      <w:lang w:val="en-GB"/>
                    </w:rPr>
                  </w:pPr>
                  <w:r w:rsidRPr="00AD773D">
                    <w:rPr>
                      <w:sz w:val="16"/>
                      <w:lang w:val="en-GB"/>
                    </w:rPr>
                    <w:t>V_F (L)</w:t>
                  </w:r>
                </w:p>
              </w:tc>
              <w:tc>
                <w:tcPr>
                  <w:tcW w:w="352" w:type="pct"/>
                  <w:vAlign w:val="center"/>
                </w:tcPr>
                <w:p w14:paraId="6FB74197" w14:textId="77777777" w:rsidR="004B614B" w:rsidRPr="00A65B78" w:rsidRDefault="004B614B" w:rsidP="00D80CA6">
                  <w:pPr>
                    <w:jc w:val="center"/>
                    <w:rPr>
                      <w:sz w:val="16"/>
                      <w:lang w:val="en-GB"/>
                    </w:rPr>
                  </w:pPr>
                  <w:r w:rsidRPr="00AD773D">
                    <w:rPr>
                      <w:sz w:val="16"/>
                      <w:lang w:val="en-GB"/>
                    </w:rPr>
                    <w:t>6</w:t>
                  </w:r>
                </w:p>
              </w:tc>
              <w:tc>
                <w:tcPr>
                  <w:tcW w:w="556" w:type="pct"/>
                  <w:vAlign w:val="center"/>
                </w:tcPr>
                <w:p w14:paraId="645C2182" w14:textId="77777777" w:rsidR="004B614B" w:rsidRPr="00A65B78" w:rsidRDefault="004B614B" w:rsidP="00D80CA6">
                  <w:pPr>
                    <w:jc w:val="center"/>
                    <w:rPr>
                      <w:sz w:val="16"/>
                      <w:lang w:val="en-GB"/>
                    </w:rPr>
                  </w:pPr>
                  <w:r w:rsidRPr="00AD773D">
                    <w:rPr>
                      <w:sz w:val="16"/>
                      <w:lang w:val="en-GB"/>
                    </w:rPr>
                    <w:t>28.20</w:t>
                  </w:r>
                </w:p>
              </w:tc>
              <w:tc>
                <w:tcPr>
                  <w:tcW w:w="505" w:type="pct"/>
                  <w:vAlign w:val="center"/>
                </w:tcPr>
                <w:p w14:paraId="3D7E688B" w14:textId="77777777" w:rsidR="004B614B" w:rsidRPr="00A65B78" w:rsidRDefault="004B614B" w:rsidP="00D80CA6">
                  <w:pPr>
                    <w:jc w:val="center"/>
                    <w:rPr>
                      <w:sz w:val="16"/>
                      <w:lang w:val="en-GB"/>
                    </w:rPr>
                  </w:pPr>
                  <w:r w:rsidRPr="00AD773D">
                    <w:rPr>
                      <w:sz w:val="16"/>
                      <w:lang w:val="en-GB"/>
                    </w:rPr>
                    <w:t>27.77</w:t>
                  </w:r>
                </w:p>
              </w:tc>
              <w:tc>
                <w:tcPr>
                  <w:tcW w:w="657" w:type="pct"/>
                  <w:vAlign w:val="center"/>
                </w:tcPr>
                <w:p w14:paraId="357D810D" w14:textId="77777777" w:rsidR="004B614B" w:rsidRPr="00A65B78" w:rsidRDefault="004B614B" w:rsidP="00D80CA6">
                  <w:pPr>
                    <w:jc w:val="center"/>
                    <w:rPr>
                      <w:sz w:val="16"/>
                      <w:lang w:val="en-GB"/>
                    </w:rPr>
                  </w:pPr>
                  <w:r w:rsidRPr="00AD773D">
                    <w:rPr>
                      <w:sz w:val="16"/>
                      <w:lang w:val="en-GB"/>
                    </w:rPr>
                    <w:t>3.69</w:t>
                  </w:r>
                </w:p>
              </w:tc>
              <w:tc>
                <w:tcPr>
                  <w:tcW w:w="606" w:type="pct"/>
                  <w:vAlign w:val="center"/>
                </w:tcPr>
                <w:p w14:paraId="2ACCA06C" w14:textId="77777777" w:rsidR="004B614B" w:rsidRPr="00A65B78" w:rsidRDefault="004B614B" w:rsidP="00D80CA6">
                  <w:pPr>
                    <w:jc w:val="center"/>
                    <w:rPr>
                      <w:sz w:val="16"/>
                      <w:lang w:val="en-GB"/>
                    </w:rPr>
                  </w:pPr>
                  <w:r w:rsidRPr="00AD773D">
                    <w:rPr>
                      <w:sz w:val="16"/>
                      <w:lang w:val="en-GB"/>
                    </w:rPr>
                    <w:t>13.08</w:t>
                  </w:r>
                </w:p>
              </w:tc>
              <w:tc>
                <w:tcPr>
                  <w:tcW w:w="556" w:type="pct"/>
                  <w:vAlign w:val="center"/>
                </w:tcPr>
                <w:p w14:paraId="07331AC4" w14:textId="77777777" w:rsidR="004B614B" w:rsidRPr="00A65B78" w:rsidRDefault="004B614B" w:rsidP="00D80CA6">
                  <w:pPr>
                    <w:jc w:val="center"/>
                    <w:rPr>
                      <w:sz w:val="16"/>
                      <w:lang w:val="en-GB"/>
                    </w:rPr>
                  </w:pPr>
                  <w:r w:rsidRPr="00AD773D">
                    <w:rPr>
                      <w:sz w:val="16"/>
                      <w:lang w:val="en-GB"/>
                    </w:rPr>
                    <w:t>23.64</w:t>
                  </w:r>
                </w:p>
              </w:tc>
              <w:tc>
                <w:tcPr>
                  <w:tcW w:w="606" w:type="pct"/>
                  <w:vAlign w:val="center"/>
                </w:tcPr>
                <w:p w14:paraId="4E968846" w14:textId="77777777" w:rsidR="004B614B" w:rsidRPr="00A65B78" w:rsidRDefault="004B614B" w:rsidP="00D80CA6">
                  <w:pPr>
                    <w:jc w:val="center"/>
                    <w:rPr>
                      <w:sz w:val="16"/>
                      <w:lang w:val="en-GB"/>
                    </w:rPr>
                  </w:pPr>
                  <w:r w:rsidRPr="00AD773D">
                    <w:rPr>
                      <w:sz w:val="16"/>
                      <w:lang w:val="en-GB"/>
                    </w:rPr>
                    <w:t>34.08</w:t>
                  </w:r>
                </w:p>
              </w:tc>
            </w:tr>
          </w:tbl>
          <w:p w14:paraId="3AFD0A3E" w14:textId="77777777" w:rsidR="004B614B" w:rsidRDefault="004B614B" w:rsidP="00D80CA6">
            <w:pPr>
              <w:suppressAutoHyphens w:val="0"/>
              <w:spacing w:before="60" w:after="60" w:line="256" w:lineRule="auto"/>
              <w:rPr>
                <w:sz w:val="16"/>
                <w:szCs w:val="16"/>
              </w:rPr>
            </w:pPr>
            <w:r w:rsidRPr="003D57D4">
              <w:rPr>
                <w:sz w:val="16"/>
                <w:szCs w:val="16"/>
              </w:rPr>
              <w:t xml:space="preserve">Abbreviations: </w:t>
            </w:r>
            <w:proofErr w:type="spellStart"/>
            <w:r w:rsidRPr="003D57D4">
              <w:rPr>
                <w:sz w:val="16"/>
                <w:szCs w:val="16"/>
              </w:rPr>
              <w:t>Cmax</w:t>
            </w:r>
            <w:proofErr w:type="spellEnd"/>
            <w:r w:rsidRPr="003D57D4">
              <w:rPr>
                <w:sz w:val="16"/>
                <w:szCs w:val="16"/>
              </w:rPr>
              <w:t xml:space="preserve"> = maximum concentration, </w:t>
            </w:r>
            <w:proofErr w:type="spellStart"/>
            <w:r w:rsidRPr="003D57D4">
              <w:rPr>
                <w:sz w:val="16"/>
                <w:szCs w:val="16"/>
              </w:rPr>
              <w:t>tmax</w:t>
            </w:r>
            <w:proofErr w:type="spellEnd"/>
            <w:r w:rsidRPr="003D57D4">
              <w:rPr>
                <w:sz w:val="16"/>
                <w:szCs w:val="16"/>
              </w:rPr>
              <w:t xml:space="preserve"> = time to maximum concentration, </w:t>
            </w:r>
            <w:proofErr w:type="spellStart"/>
            <w:r w:rsidRPr="003D57D4">
              <w:rPr>
                <w:sz w:val="16"/>
                <w:szCs w:val="16"/>
              </w:rPr>
              <w:t>tlag</w:t>
            </w:r>
            <w:proofErr w:type="spellEnd"/>
            <w:r w:rsidRPr="003D57D4">
              <w:rPr>
                <w:sz w:val="16"/>
                <w:szCs w:val="16"/>
              </w:rPr>
              <w:t xml:space="preserve"> = time from dose to appearance of measurable plasma concentration, AUC0-last = area under the curve from time of dosing to last plasma sample collection timepoint, AUC0-inf = area under the curve from the time of dosing to infinity, </w:t>
            </w:r>
            <w:proofErr w:type="spellStart"/>
            <w:r w:rsidRPr="003D57D4">
              <w:rPr>
                <w:sz w:val="16"/>
                <w:szCs w:val="16"/>
              </w:rPr>
              <w:t>PercAUCExtrap</w:t>
            </w:r>
            <w:proofErr w:type="spellEnd"/>
            <w:r w:rsidRPr="003D57D4">
              <w:rPr>
                <w:sz w:val="16"/>
                <w:szCs w:val="16"/>
              </w:rPr>
              <w:t xml:space="preserve"> = percentage of AUC0-inf extrapolated from available plasma concentration data, Lambda z = estimate of the terminal elimination rate constant, t½ = terminal half-life, V = volume of distribution, F = bioavailability, SD = standard deviation, CV = coefficient of variance, min = minimum, max = maximum</w:t>
            </w:r>
          </w:p>
          <w:p w14:paraId="187ECCCF" w14:textId="77777777" w:rsidR="004B614B" w:rsidRDefault="004B614B" w:rsidP="00D80CA6">
            <w:pPr>
              <w:suppressAutoHyphens w:val="0"/>
              <w:spacing w:before="60" w:after="60" w:line="256" w:lineRule="auto"/>
              <w:rPr>
                <w:sz w:val="20"/>
              </w:rPr>
            </w:pPr>
            <w:r w:rsidRPr="003D57D4">
              <w:rPr>
                <w:sz w:val="20"/>
              </w:rPr>
              <w:t xml:space="preserve">SBT-020 was rapidly distributed as expected with parenteral administration. </w:t>
            </w:r>
            <w:proofErr w:type="spellStart"/>
            <w:r w:rsidRPr="003D57D4">
              <w:rPr>
                <w:sz w:val="20"/>
              </w:rPr>
              <w:t>Tmax</w:t>
            </w:r>
            <w:proofErr w:type="spellEnd"/>
            <w:r w:rsidRPr="003D57D4">
              <w:rPr>
                <w:sz w:val="20"/>
              </w:rPr>
              <w:t xml:space="preserve"> was achieved within one hour of dosing at all dose levels with </w:t>
            </w:r>
            <w:proofErr w:type="spellStart"/>
            <w:r w:rsidRPr="003D57D4">
              <w:rPr>
                <w:sz w:val="20"/>
              </w:rPr>
              <w:t>Cmax</w:t>
            </w:r>
            <w:proofErr w:type="spellEnd"/>
            <w:r w:rsidRPr="003D57D4">
              <w:rPr>
                <w:sz w:val="20"/>
              </w:rPr>
              <w:t xml:space="preserve"> and AUC0-last appearing to be dose-related and approximately linear between 5 and 25 mg/day.  Apparent clearance and t½ were relatively stable across dose levels.</w:t>
            </w:r>
            <w:r>
              <w:rPr>
                <w:sz w:val="20"/>
              </w:rPr>
              <w:t xml:space="preserve"> Analysis of SBT-127 demonstrated a low level of metabolism (&lt;2% parent) and confirmed previous data demonstrating that SBT-127 is not a major metabolite of SBT-020 in humans.</w:t>
            </w:r>
          </w:p>
          <w:p w14:paraId="5383E456" w14:textId="77777777" w:rsidR="004B614B" w:rsidRPr="00220848" w:rsidRDefault="004B614B" w:rsidP="00D80CA6">
            <w:pPr>
              <w:suppressAutoHyphens w:val="0"/>
              <w:spacing w:before="60" w:after="60" w:line="256" w:lineRule="auto"/>
              <w:rPr>
                <w:sz w:val="20"/>
              </w:rPr>
            </w:pPr>
            <w:r>
              <w:rPr>
                <w:sz w:val="20"/>
              </w:rPr>
              <w:t xml:space="preserve">Urine PK </w:t>
            </w:r>
            <w:r w:rsidRPr="00D67F7F">
              <w:rPr>
                <w:sz w:val="20"/>
              </w:rPr>
              <w:t>confirm</w:t>
            </w:r>
            <w:r>
              <w:rPr>
                <w:sz w:val="20"/>
              </w:rPr>
              <w:t>ed</w:t>
            </w:r>
            <w:r w:rsidRPr="00D67F7F">
              <w:rPr>
                <w:sz w:val="20"/>
              </w:rPr>
              <w:t xml:space="preserve"> </w:t>
            </w:r>
            <w:r>
              <w:rPr>
                <w:sz w:val="20"/>
              </w:rPr>
              <w:t xml:space="preserve">previous data </w:t>
            </w:r>
            <w:r w:rsidRPr="00D67F7F">
              <w:rPr>
                <w:sz w:val="20"/>
              </w:rPr>
              <w:t>indicating that SBT-020 excretion in the 24 hours following dosing occurs primarily via renal mechanisms and the parent drug is largely unchanged</w:t>
            </w:r>
            <w:r>
              <w:rPr>
                <w:sz w:val="20"/>
              </w:rPr>
              <w:t xml:space="preserve">. </w:t>
            </w:r>
            <w:r w:rsidRPr="00D67F7F">
              <w:rPr>
                <w:sz w:val="20"/>
              </w:rPr>
              <w:t>Mean fraction of compounds excreted in the urine on within the 24 hours following dosing on Day 1 were between 29.5% and 43.7% for SBT-020, between 6.41% and 7.03% for SBT-098 and 3.68% and 5.37% for SBT-127.</w:t>
            </w:r>
          </w:p>
          <w:p w14:paraId="05DB877F" w14:textId="77777777" w:rsidR="004B614B" w:rsidRPr="00220848" w:rsidRDefault="004B614B" w:rsidP="00D80CA6">
            <w:pPr>
              <w:suppressAutoHyphens w:val="0"/>
              <w:spacing w:before="60" w:after="60" w:line="256" w:lineRule="auto"/>
              <w:rPr>
                <w:sz w:val="20"/>
                <w:szCs w:val="24"/>
              </w:rPr>
            </w:pPr>
            <w:r w:rsidRPr="00220848">
              <w:rPr>
                <w:sz w:val="20"/>
                <w:szCs w:val="24"/>
                <w:u w:val="single"/>
              </w:rPr>
              <w:t>Safety Results:</w:t>
            </w:r>
            <w:r w:rsidRPr="00220848">
              <w:rPr>
                <w:sz w:val="20"/>
                <w:szCs w:val="24"/>
              </w:rPr>
              <w:t xml:space="preserve"> </w:t>
            </w:r>
          </w:p>
          <w:p w14:paraId="51E9B4DB" w14:textId="77777777" w:rsidR="004B614B" w:rsidRPr="00655895" w:rsidRDefault="004B614B" w:rsidP="00D80CA6">
            <w:pPr>
              <w:suppressAutoHyphens w:val="0"/>
              <w:spacing w:before="60" w:after="60" w:line="256" w:lineRule="auto"/>
              <w:rPr>
                <w:sz w:val="20"/>
                <w:szCs w:val="24"/>
              </w:rPr>
            </w:pPr>
            <w:r>
              <w:rPr>
                <w:sz w:val="20"/>
                <w:szCs w:val="24"/>
              </w:rPr>
              <w:t xml:space="preserve">Part 1:  </w:t>
            </w:r>
            <w:r w:rsidRPr="00655895">
              <w:rPr>
                <w:sz w:val="20"/>
                <w:szCs w:val="24"/>
              </w:rPr>
              <w:t xml:space="preserve">Once daily SC administration of SBT-020 at doses of 5 mg, 15 mg and 25 mg were generally safe and well tolerated in subjects with </w:t>
            </w:r>
            <w:proofErr w:type="gramStart"/>
            <w:r w:rsidRPr="00655895">
              <w:rPr>
                <w:sz w:val="20"/>
                <w:szCs w:val="24"/>
              </w:rPr>
              <w:t>early stage</w:t>
            </w:r>
            <w:proofErr w:type="gramEnd"/>
            <w:r w:rsidRPr="00655895">
              <w:rPr>
                <w:sz w:val="20"/>
                <w:szCs w:val="24"/>
              </w:rPr>
              <w:t xml:space="preserve"> HD during the 7-day repeat dose study. SBT-020 was not associated with a higher percentage of moderate or severe TEAEs, but local intolerance reactions were more common in the SBT-020 group than in the placebo treated subjects.</w:t>
            </w:r>
          </w:p>
          <w:p w14:paraId="0DCC055C" w14:textId="77777777" w:rsidR="004B614B" w:rsidRPr="00655895" w:rsidRDefault="004B614B" w:rsidP="00D80CA6">
            <w:pPr>
              <w:suppressAutoHyphens w:val="0"/>
              <w:spacing w:before="60" w:after="60" w:line="256" w:lineRule="auto"/>
              <w:ind w:left="270" w:hanging="270"/>
              <w:rPr>
                <w:sz w:val="20"/>
                <w:szCs w:val="24"/>
              </w:rPr>
            </w:pPr>
            <w:r w:rsidRPr="00655895">
              <w:rPr>
                <w:sz w:val="20"/>
                <w:szCs w:val="24"/>
              </w:rPr>
              <w:t>•</w:t>
            </w:r>
            <w:r w:rsidRPr="00655895">
              <w:rPr>
                <w:sz w:val="20"/>
                <w:szCs w:val="24"/>
              </w:rPr>
              <w:tab/>
              <w:t>The overall incidence of subjects who experienced at least 1 TEAE during the study was higher in all SBT-020 groups (100% of subjects) compared with the placebo group (83.3% of subjects).</w:t>
            </w:r>
          </w:p>
          <w:p w14:paraId="66F65F0E" w14:textId="77777777" w:rsidR="004B614B" w:rsidRPr="00655895" w:rsidRDefault="004B614B" w:rsidP="00D80CA6">
            <w:pPr>
              <w:suppressAutoHyphens w:val="0"/>
              <w:spacing w:before="60" w:after="60" w:line="256" w:lineRule="auto"/>
              <w:ind w:left="270" w:hanging="270"/>
              <w:rPr>
                <w:sz w:val="20"/>
                <w:szCs w:val="24"/>
              </w:rPr>
            </w:pPr>
            <w:r w:rsidRPr="00655895">
              <w:rPr>
                <w:sz w:val="20"/>
                <w:szCs w:val="24"/>
              </w:rPr>
              <w:t>•</w:t>
            </w:r>
            <w:r w:rsidRPr="00655895">
              <w:rPr>
                <w:sz w:val="20"/>
                <w:szCs w:val="24"/>
              </w:rPr>
              <w:tab/>
              <w:t>The most common TEAEs in the both SBT-020 and placebo treatment groups were all injection site related, including injection site erythema (all SBT-020 groups 100%; placebo 33.3%), injection site swelling (SBT-020 5 mg 50.0%; SBT-020 15 mg 66.7%; SBT-020 25 mg 83.3%; placebo 0%), and injection site pruritus (SBT-020 5 mg 0%; SBT-020 15 mg 33.3%; SBT-020 25 mg 83.3%; placebo 0%).</w:t>
            </w:r>
          </w:p>
          <w:p w14:paraId="14A9849D" w14:textId="77777777" w:rsidR="004B614B" w:rsidRPr="00655895" w:rsidRDefault="004B614B" w:rsidP="00D80CA6">
            <w:pPr>
              <w:suppressAutoHyphens w:val="0"/>
              <w:spacing w:before="60" w:after="60" w:line="256" w:lineRule="auto"/>
              <w:ind w:left="270" w:hanging="270"/>
              <w:rPr>
                <w:sz w:val="20"/>
                <w:szCs w:val="24"/>
              </w:rPr>
            </w:pPr>
            <w:r w:rsidRPr="00655895">
              <w:rPr>
                <w:sz w:val="20"/>
                <w:szCs w:val="24"/>
              </w:rPr>
              <w:t>•</w:t>
            </w:r>
            <w:r w:rsidRPr="00655895">
              <w:rPr>
                <w:sz w:val="20"/>
                <w:szCs w:val="24"/>
              </w:rPr>
              <w:tab/>
              <w:t>One subject in the SBT-020 15 mg group experienced SAEs of pneumonia (68 days post-last-dose) and pulmonary embolism (84 days post-last dose) following successfully completing Part 1 of the study, considered unrelated to study treatment. There were no deaths or discontinuations due to TEAEs in any dosing group.</w:t>
            </w:r>
          </w:p>
          <w:p w14:paraId="46513D6C" w14:textId="77777777" w:rsidR="004B614B" w:rsidRPr="00655895" w:rsidRDefault="004B614B" w:rsidP="00D80CA6">
            <w:pPr>
              <w:suppressAutoHyphens w:val="0"/>
              <w:spacing w:before="60" w:after="60" w:line="256" w:lineRule="auto"/>
              <w:ind w:left="270" w:hanging="270"/>
              <w:rPr>
                <w:sz w:val="20"/>
                <w:szCs w:val="24"/>
              </w:rPr>
            </w:pPr>
            <w:r w:rsidRPr="00655895">
              <w:rPr>
                <w:sz w:val="20"/>
                <w:szCs w:val="24"/>
              </w:rPr>
              <w:t>•</w:t>
            </w:r>
            <w:r w:rsidRPr="00655895">
              <w:rPr>
                <w:sz w:val="20"/>
                <w:szCs w:val="24"/>
              </w:rPr>
              <w:tab/>
              <w:t>One subject in the SBT-020 25 mg group experienced a severe TEAE (infection [in the shoulder region]) 11 days after completing Part 1 without incident. The TEAE was considered unlikely to related to study treatment.</w:t>
            </w:r>
          </w:p>
          <w:p w14:paraId="35AE2F87" w14:textId="77777777" w:rsidR="004B614B" w:rsidRPr="00655895" w:rsidRDefault="004B614B" w:rsidP="00D80CA6">
            <w:pPr>
              <w:suppressAutoHyphens w:val="0"/>
              <w:spacing w:before="60" w:after="60" w:line="256" w:lineRule="auto"/>
              <w:ind w:left="270" w:hanging="270"/>
              <w:rPr>
                <w:sz w:val="20"/>
                <w:szCs w:val="24"/>
              </w:rPr>
            </w:pPr>
            <w:r w:rsidRPr="00655895">
              <w:rPr>
                <w:sz w:val="20"/>
                <w:szCs w:val="24"/>
              </w:rPr>
              <w:t>•</w:t>
            </w:r>
            <w:r w:rsidRPr="00655895">
              <w:rPr>
                <w:sz w:val="20"/>
                <w:szCs w:val="24"/>
              </w:rPr>
              <w:tab/>
              <w:t>TEAEs considered by the Investigator to be to be related to study treatment were reported more frequently for subjects in the SBT-020 groups (all SBT-020 groups 100%) compared with the placebo group (83.3%), driven primarily by injection site reaction related events.</w:t>
            </w:r>
          </w:p>
          <w:p w14:paraId="766218F8" w14:textId="77777777" w:rsidR="004B614B" w:rsidRDefault="004B614B" w:rsidP="00D80CA6">
            <w:pPr>
              <w:suppressAutoHyphens w:val="0"/>
              <w:spacing w:before="60" w:after="60" w:line="256" w:lineRule="auto"/>
              <w:ind w:left="270" w:hanging="270"/>
              <w:rPr>
                <w:sz w:val="20"/>
                <w:szCs w:val="24"/>
              </w:rPr>
            </w:pPr>
            <w:r w:rsidRPr="00655895">
              <w:rPr>
                <w:sz w:val="20"/>
                <w:szCs w:val="24"/>
              </w:rPr>
              <w:t>•</w:t>
            </w:r>
            <w:r w:rsidRPr="00655895">
              <w:rPr>
                <w:sz w:val="20"/>
                <w:szCs w:val="24"/>
              </w:rPr>
              <w:tab/>
              <w:t>Analyses of clinical laboratory data and other safety data (vital signs and ECGs) did not identify any clinically relevant findings associated with SBT-020 treatment</w:t>
            </w:r>
            <w:r>
              <w:rPr>
                <w:sz w:val="20"/>
                <w:szCs w:val="24"/>
              </w:rPr>
              <w:t>.</w:t>
            </w:r>
          </w:p>
          <w:p w14:paraId="2C64D483" w14:textId="77777777" w:rsidR="004B614B" w:rsidRPr="00655895" w:rsidRDefault="004B614B" w:rsidP="00D80CA6">
            <w:pPr>
              <w:suppressAutoHyphens w:val="0"/>
              <w:spacing w:before="60" w:after="60" w:line="256" w:lineRule="auto"/>
              <w:rPr>
                <w:sz w:val="20"/>
                <w:szCs w:val="24"/>
              </w:rPr>
            </w:pPr>
            <w:r>
              <w:rPr>
                <w:sz w:val="20"/>
                <w:szCs w:val="24"/>
              </w:rPr>
              <w:t xml:space="preserve">Part 2:  </w:t>
            </w:r>
            <w:r w:rsidRPr="00655895">
              <w:rPr>
                <w:sz w:val="20"/>
                <w:szCs w:val="24"/>
              </w:rPr>
              <w:t xml:space="preserve">Once daily SC administration of SBT-020 at 25 mg was generally safe and well tolerated in subjects with </w:t>
            </w:r>
            <w:proofErr w:type="gramStart"/>
            <w:r w:rsidRPr="00655895">
              <w:rPr>
                <w:sz w:val="20"/>
                <w:szCs w:val="24"/>
              </w:rPr>
              <w:t>early stage</w:t>
            </w:r>
            <w:proofErr w:type="gramEnd"/>
            <w:r w:rsidRPr="00655895">
              <w:rPr>
                <w:sz w:val="20"/>
                <w:szCs w:val="24"/>
              </w:rPr>
              <w:t xml:space="preserve"> HD during the 28-day repeat dose study. SBT-020 was not associated with a higher percentage of moderate or severe TEAEs, but local intolerance reactions were more common in the SBT-020 group than in the placebo treated subjects.</w:t>
            </w:r>
          </w:p>
          <w:p w14:paraId="33396727" w14:textId="77777777" w:rsidR="004B614B" w:rsidRPr="00655895" w:rsidRDefault="004B614B" w:rsidP="00D80CA6">
            <w:pPr>
              <w:suppressAutoHyphens w:val="0"/>
              <w:spacing w:before="60" w:after="60" w:line="256" w:lineRule="auto"/>
              <w:ind w:left="270" w:hanging="270"/>
              <w:rPr>
                <w:sz w:val="20"/>
                <w:szCs w:val="24"/>
              </w:rPr>
            </w:pPr>
            <w:r w:rsidRPr="00655895">
              <w:rPr>
                <w:sz w:val="20"/>
                <w:szCs w:val="24"/>
              </w:rPr>
              <w:t>•</w:t>
            </w:r>
            <w:r w:rsidRPr="00655895">
              <w:rPr>
                <w:sz w:val="20"/>
                <w:szCs w:val="24"/>
              </w:rPr>
              <w:tab/>
              <w:t>The overall incidence of subjects who experienced at least 1 TEAE during the study was slightly higher in all SBT-020 group (100% of subjects) compared with the placebo group (91.7% of subjects).</w:t>
            </w:r>
          </w:p>
          <w:p w14:paraId="3C371A89" w14:textId="77777777" w:rsidR="004B614B" w:rsidRPr="00655895" w:rsidRDefault="004B614B" w:rsidP="00D80CA6">
            <w:pPr>
              <w:suppressAutoHyphens w:val="0"/>
              <w:spacing w:before="60" w:after="60" w:line="256" w:lineRule="auto"/>
              <w:ind w:left="270" w:hanging="270"/>
              <w:rPr>
                <w:sz w:val="20"/>
                <w:szCs w:val="24"/>
              </w:rPr>
            </w:pPr>
            <w:r w:rsidRPr="00655895">
              <w:rPr>
                <w:sz w:val="20"/>
                <w:szCs w:val="24"/>
              </w:rPr>
              <w:t>•</w:t>
            </w:r>
            <w:r w:rsidRPr="00655895">
              <w:rPr>
                <w:sz w:val="20"/>
                <w:szCs w:val="24"/>
              </w:rPr>
              <w:tab/>
              <w:t>The most common TEAEs in the both SBT-020 and placebo treatment groups were all injection site related, including injection site erythema (SBT-020 100%; placebo 58.3%), injection site swelling (SBT-020 81.8%; placebo 16.7%), and injection site pruritus (SBT-020 45.5%; placebo 8.3%).</w:t>
            </w:r>
          </w:p>
          <w:p w14:paraId="2901CBAB" w14:textId="77777777" w:rsidR="004B614B" w:rsidRPr="00655895" w:rsidRDefault="004B614B" w:rsidP="00D80CA6">
            <w:pPr>
              <w:suppressAutoHyphens w:val="0"/>
              <w:spacing w:before="60" w:after="60" w:line="256" w:lineRule="auto"/>
              <w:ind w:left="270" w:hanging="270"/>
              <w:rPr>
                <w:sz w:val="20"/>
                <w:szCs w:val="24"/>
              </w:rPr>
            </w:pPr>
            <w:r w:rsidRPr="00655895">
              <w:rPr>
                <w:sz w:val="20"/>
                <w:szCs w:val="24"/>
              </w:rPr>
              <w:t>•</w:t>
            </w:r>
            <w:r w:rsidRPr="00655895">
              <w:rPr>
                <w:sz w:val="20"/>
                <w:szCs w:val="24"/>
              </w:rPr>
              <w:tab/>
              <w:t>There were no SAEs, deaths or discontinuations due to TEAEs in either dosing group.</w:t>
            </w:r>
          </w:p>
          <w:p w14:paraId="44EF270D" w14:textId="77777777" w:rsidR="004B614B" w:rsidRPr="00655895" w:rsidRDefault="004B614B" w:rsidP="00D80CA6">
            <w:pPr>
              <w:suppressAutoHyphens w:val="0"/>
              <w:spacing w:before="60" w:after="60" w:line="256" w:lineRule="auto"/>
              <w:ind w:left="270" w:hanging="270"/>
              <w:rPr>
                <w:sz w:val="20"/>
                <w:szCs w:val="24"/>
              </w:rPr>
            </w:pPr>
            <w:r w:rsidRPr="00655895">
              <w:rPr>
                <w:sz w:val="20"/>
                <w:szCs w:val="24"/>
              </w:rPr>
              <w:lastRenderedPageBreak/>
              <w:t>•</w:t>
            </w:r>
            <w:r w:rsidRPr="00655895">
              <w:rPr>
                <w:sz w:val="20"/>
                <w:szCs w:val="24"/>
              </w:rPr>
              <w:tab/>
              <w:t>TEAEs considered by the Investigator to be to be related to study treatment were reported more frequently for subjects in the SBT-020 group (100%) compared with the placebo group (58.3%), driven primarily by injection site reaction related events.</w:t>
            </w:r>
          </w:p>
          <w:p w14:paraId="25BA05F3" w14:textId="77777777" w:rsidR="004B614B" w:rsidRPr="00220848" w:rsidRDefault="004B614B" w:rsidP="00D80CA6">
            <w:pPr>
              <w:suppressAutoHyphens w:val="0"/>
              <w:spacing w:before="60" w:after="60" w:line="256" w:lineRule="auto"/>
              <w:ind w:left="270" w:hanging="270"/>
              <w:rPr>
                <w:sz w:val="20"/>
                <w:szCs w:val="24"/>
              </w:rPr>
            </w:pPr>
            <w:r w:rsidRPr="00655895">
              <w:rPr>
                <w:sz w:val="20"/>
                <w:szCs w:val="24"/>
              </w:rPr>
              <w:t>•</w:t>
            </w:r>
            <w:r w:rsidRPr="00655895">
              <w:rPr>
                <w:sz w:val="20"/>
                <w:szCs w:val="24"/>
              </w:rPr>
              <w:tab/>
              <w:t>Analyses of clinical laboratory data and other safety data (vital signs and ECGs) did not identify any clinically relevant findings associated with SBT-020 treatment</w:t>
            </w:r>
            <w:r>
              <w:rPr>
                <w:sz w:val="20"/>
                <w:szCs w:val="24"/>
              </w:rPr>
              <w:t>.</w:t>
            </w:r>
          </w:p>
          <w:p w14:paraId="6C830827" w14:textId="77777777" w:rsidR="004B614B" w:rsidRPr="00220848" w:rsidRDefault="004B614B" w:rsidP="00D80CA6">
            <w:pPr>
              <w:suppressAutoHyphens w:val="0"/>
              <w:spacing w:before="60" w:after="60" w:line="256" w:lineRule="auto"/>
              <w:rPr>
                <w:bCs/>
                <w:sz w:val="20"/>
                <w:szCs w:val="24"/>
                <w:u w:val="single"/>
              </w:rPr>
            </w:pPr>
            <w:r w:rsidRPr="00220848">
              <w:rPr>
                <w:bCs/>
                <w:sz w:val="20"/>
                <w:szCs w:val="24"/>
                <w:u w:val="single"/>
              </w:rPr>
              <w:t>Conclusion:</w:t>
            </w:r>
          </w:p>
          <w:p w14:paraId="79DCA7F1" w14:textId="77777777" w:rsidR="004B614B" w:rsidRPr="00B03D42" w:rsidRDefault="004B614B" w:rsidP="004B614B">
            <w:pPr>
              <w:numPr>
                <w:ilvl w:val="0"/>
                <w:numId w:val="4"/>
              </w:numPr>
              <w:suppressAutoHyphens w:val="0"/>
              <w:spacing w:before="60" w:after="60" w:line="256" w:lineRule="auto"/>
              <w:ind w:left="360"/>
              <w:rPr>
                <w:sz w:val="20"/>
                <w:szCs w:val="24"/>
              </w:rPr>
            </w:pPr>
            <w:r w:rsidRPr="00B03D42">
              <w:rPr>
                <w:sz w:val="20"/>
                <w:szCs w:val="24"/>
              </w:rPr>
              <w:t>Part 1</w:t>
            </w:r>
          </w:p>
          <w:p w14:paraId="2123B86C" w14:textId="77777777" w:rsidR="004B614B" w:rsidRDefault="004B614B" w:rsidP="004B614B">
            <w:pPr>
              <w:numPr>
                <w:ilvl w:val="1"/>
                <w:numId w:val="4"/>
              </w:numPr>
              <w:suppressAutoHyphens w:val="0"/>
              <w:spacing w:before="60" w:after="60" w:line="256" w:lineRule="auto"/>
              <w:ind w:left="630" w:hanging="270"/>
              <w:rPr>
                <w:sz w:val="20"/>
                <w:szCs w:val="24"/>
              </w:rPr>
            </w:pPr>
            <w:r w:rsidRPr="00B03D42">
              <w:rPr>
                <w:sz w:val="20"/>
                <w:szCs w:val="24"/>
              </w:rPr>
              <w:t>SBT-020 at any dose level (5, 15 or 25 mg), administered once daily by SC injection for 7 days failed to demonstrate a difference (vs. placebo) in mitochondrial function assessed by 31P-MRS in skeletal muscle. A statistically significant treatment difference was observed vs. placebo (SBT-020 5 mg p = 0.0363; 15 mg p = 0.051; 25 mg p = 0.0310) in numbers of dysfunctional PBMCs.  MMP was similar or increased following SBT-020 treatment compared to placebo, achieving statistical significance at SBT-020 25 mg (p = 0.0356).</w:t>
            </w:r>
          </w:p>
          <w:p w14:paraId="7266C20D" w14:textId="77777777" w:rsidR="004B614B" w:rsidRDefault="004B614B" w:rsidP="004B614B">
            <w:pPr>
              <w:numPr>
                <w:ilvl w:val="1"/>
                <w:numId w:val="4"/>
              </w:numPr>
              <w:suppressAutoHyphens w:val="0"/>
              <w:spacing w:before="60" w:after="60" w:line="256" w:lineRule="auto"/>
              <w:ind w:left="630" w:hanging="270"/>
              <w:rPr>
                <w:sz w:val="20"/>
                <w:szCs w:val="24"/>
              </w:rPr>
            </w:pPr>
            <w:r w:rsidRPr="00B03D42">
              <w:rPr>
                <w:sz w:val="20"/>
                <w:szCs w:val="24"/>
              </w:rPr>
              <w:t xml:space="preserve">SBT-020 is rapidly distributed following SC administration and does not demonstrate significant metabolism in humans. </w:t>
            </w:r>
            <w:proofErr w:type="spellStart"/>
            <w:r w:rsidRPr="00B03D42">
              <w:rPr>
                <w:sz w:val="20"/>
                <w:szCs w:val="24"/>
              </w:rPr>
              <w:t>Tmax</w:t>
            </w:r>
            <w:proofErr w:type="spellEnd"/>
            <w:r w:rsidRPr="00B03D42">
              <w:rPr>
                <w:sz w:val="20"/>
                <w:szCs w:val="24"/>
              </w:rPr>
              <w:t xml:space="preserve"> was achieved within one hour of dosing at all dose levels with </w:t>
            </w:r>
            <w:proofErr w:type="spellStart"/>
            <w:r w:rsidRPr="00B03D42">
              <w:rPr>
                <w:sz w:val="20"/>
                <w:szCs w:val="24"/>
              </w:rPr>
              <w:t>Cmax</w:t>
            </w:r>
            <w:proofErr w:type="spellEnd"/>
            <w:r w:rsidRPr="00B03D42">
              <w:rPr>
                <w:sz w:val="20"/>
                <w:szCs w:val="24"/>
              </w:rPr>
              <w:t xml:space="preserve"> and AUC0-last appearing to be dose-related and approximately linear between 5 and 25 mg/day.  Apparent clearance and t½ were relatively stable across dose levels. </w:t>
            </w:r>
          </w:p>
          <w:p w14:paraId="6B2F5D1D" w14:textId="77777777" w:rsidR="004B614B" w:rsidRDefault="004B614B" w:rsidP="004B614B">
            <w:pPr>
              <w:numPr>
                <w:ilvl w:val="1"/>
                <w:numId w:val="4"/>
              </w:numPr>
              <w:suppressAutoHyphens w:val="0"/>
              <w:spacing w:before="60" w:after="60" w:line="256" w:lineRule="auto"/>
              <w:ind w:left="630" w:hanging="270"/>
              <w:rPr>
                <w:sz w:val="20"/>
                <w:szCs w:val="24"/>
              </w:rPr>
            </w:pPr>
            <w:r w:rsidRPr="00B03D42">
              <w:rPr>
                <w:sz w:val="20"/>
                <w:szCs w:val="24"/>
              </w:rPr>
              <w:t>SBT-020 was not associated with a higher percentage of TEAEs with the exception of local injection site reactions. The most common TEAEs in the both SBT-020 and placebo treatment groups were all injection site related, including injection site erythema (all SBT-020 groups 100%; placebo 33.3%), injection site swelling (SBT-020 5 mg 50.0%; SBT-020 15 mg 66.7%; SBT-020 25 mg 83.3%; placebo 0%), and injection site pruritus (SBT-020 5 mg 0%; SBT-020 15 mg 33.3%; SBT-020 25 mg 83.3%; placebo 0%).</w:t>
            </w:r>
          </w:p>
          <w:p w14:paraId="13140D0F" w14:textId="77777777" w:rsidR="004B614B" w:rsidRPr="00B03D42" w:rsidRDefault="004B614B" w:rsidP="004B614B">
            <w:pPr>
              <w:numPr>
                <w:ilvl w:val="1"/>
                <w:numId w:val="4"/>
              </w:numPr>
              <w:suppressAutoHyphens w:val="0"/>
              <w:spacing w:before="60" w:after="60" w:line="256" w:lineRule="auto"/>
              <w:ind w:left="630" w:hanging="270"/>
              <w:rPr>
                <w:sz w:val="20"/>
                <w:szCs w:val="24"/>
              </w:rPr>
            </w:pPr>
            <w:r w:rsidRPr="00B03D42">
              <w:rPr>
                <w:sz w:val="20"/>
                <w:szCs w:val="24"/>
              </w:rPr>
              <w:t>Analyses of clinical laboratory data and other safety data (vital signs and ECGs) did not identify any clinically relevant findings associated with SBT-020 treatment.</w:t>
            </w:r>
          </w:p>
          <w:p w14:paraId="0345C51B" w14:textId="77777777" w:rsidR="004B614B" w:rsidRPr="00B03D42" w:rsidRDefault="004B614B" w:rsidP="004B614B">
            <w:pPr>
              <w:numPr>
                <w:ilvl w:val="0"/>
                <w:numId w:val="4"/>
              </w:numPr>
              <w:suppressAutoHyphens w:val="0"/>
              <w:spacing w:before="60" w:after="60" w:line="256" w:lineRule="auto"/>
              <w:ind w:left="360" w:hanging="270"/>
              <w:rPr>
                <w:sz w:val="20"/>
                <w:szCs w:val="24"/>
              </w:rPr>
            </w:pPr>
            <w:r w:rsidRPr="00B03D42">
              <w:rPr>
                <w:sz w:val="20"/>
                <w:szCs w:val="24"/>
              </w:rPr>
              <w:t>Part 2</w:t>
            </w:r>
          </w:p>
          <w:p w14:paraId="26A74951" w14:textId="77777777" w:rsidR="004B614B" w:rsidRPr="00B03D42" w:rsidRDefault="004B614B" w:rsidP="004B614B">
            <w:pPr>
              <w:numPr>
                <w:ilvl w:val="1"/>
                <w:numId w:val="4"/>
              </w:numPr>
              <w:suppressAutoHyphens w:val="0"/>
              <w:spacing w:before="60" w:after="60" w:line="256" w:lineRule="auto"/>
              <w:ind w:left="630" w:hanging="270"/>
              <w:rPr>
                <w:sz w:val="20"/>
                <w:szCs w:val="24"/>
              </w:rPr>
            </w:pPr>
            <w:r w:rsidRPr="00B03D42">
              <w:rPr>
                <w:sz w:val="20"/>
                <w:szCs w:val="24"/>
              </w:rPr>
              <w:t>SBT-020 25 mg, administered once daily by SC injection for 28 days failed to demonstrate a difference (vs. placebo) in mitochondrial function assessed by either 31P-MRS in skeletal muscle and brain tissue or PBMC function changes and MMP.</w:t>
            </w:r>
          </w:p>
          <w:p w14:paraId="7AB47E38" w14:textId="77777777" w:rsidR="004B614B" w:rsidRPr="00B03D42" w:rsidRDefault="004B614B" w:rsidP="004B614B">
            <w:pPr>
              <w:numPr>
                <w:ilvl w:val="1"/>
                <w:numId w:val="4"/>
              </w:numPr>
              <w:suppressAutoHyphens w:val="0"/>
              <w:spacing w:before="60" w:after="60" w:line="256" w:lineRule="auto"/>
              <w:ind w:left="630" w:hanging="270"/>
              <w:rPr>
                <w:sz w:val="20"/>
                <w:szCs w:val="24"/>
              </w:rPr>
            </w:pPr>
            <w:r w:rsidRPr="00B03D42">
              <w:rPr>
                <w:sz w:val="20"/>
                <w:szCs w:val="24"/>
              </w:rPr>
              <w:t>SBT-020 25 mg, administered once daily by SC injection for 28 days failed to demonstrate a difference (vs. placebo) in neurological or functional assessments.</w:t>
            </w:r>
          </w:p>
          <w:p w14:paraId="795B1A5C" w14:textId="77777777" w:rsidR="004B614B" w:rsidRPr="00B03D42" w:rsidRDefault="004B614B" w:rsidP="004B614B">
            <w:pPr>
              <w:numPr>
                <w:ilvl w:val="1"/>
                <w:numId w:val="4"/>
              </w:numPr>
              <w:suppressAutoHyphens w:val="0"/>
              <w:spacing w:before="60" w:after="60" w:line="256" w:lineRule="auto"/>
              <w:ind w:left="630" w:hanging="270"/>
              <w:rPr>
                <w:sz w:val="20"/>
                <w:szCs w:val="24"/>
              </w:rPr>
            </w:pPr>
            <w:r w:rsidRPr="00B03D42">
              <w:rPr>
                <w:sz w:val="20"/>
                <w:szCs w:val="24"/>
              </w:rPr>
              <w:t>SBT-020 was not associated with a higher percentage of TEAEs, with the exception of local injection site reactions. The most common TEAEs in the both SBT-020 and placebo treatment groups were all injection site related, including injection site erythema (SBT-020 100%; placebo 58.3%), injection site swelling (SBT-020 81.8%; placebo 16.7%), and injection site pruritus (SBT-020 45.5%; placebo 8.3%).</w:t>
            </w:r>
          </w:p>
          <w:p w14:paraId="370F2A8B" w14:textId="77777777" w:rsidR="004B614B" w:rsidRPr="00220848" w:rsidRDefault="004B614B" w:rsidP="004B614B">
            <w:pPr>
              <w:numPr>
                <w:ilvl w:val="1"/>
                <w:numId w:val="4"/>
              </w:numPr>
              <w:suppressAutoHyphens w:val="0"/>
              <w:spacing w:before="60" w:after="60" w:line="256" w:lineRule="auto"/>
              <w:ind w:left="630" w:hanging="270"/>
              <w:rPr>
                <w:sz w:val="20"/>
                <w:szCs w:val="24"/>
              </w:rPr>
            </w:pPr>
            <w:r w:rsidRPr="00B03D42">
              <w:rPr>
                <w:sz w:val="20"/>
                <w:szCs w:val="24"/>
              </w:rPr>
              <w:t>Analyses of clinical laboratory data and other safety data (vital signs and ECGs) did not identify any clinically relevant findings associated with SBT-020 treatment</w:t>
            </w:r>
            <w:r>
              <w:rPr>
                <w:sz w:val="20"/>
                <w:szCs w:val="24"/>
              </w:rPr>
              <w:t>.</w:t>
            </w:r>
          </w:p>
        </w:tc>
        <w:bookmarkEnd w:id="2"/>
      </w:tr>
      <w:tr w:rsidR="004B614B" w:rsidRPr="00220848" w14:paraId="14CDDC66" w14:textId="77777777" w:rsidTr="00D80CA6">
        <w:trPr>
          <w:trHeight w:val="677"/>
        </w:trPr>
        <w:tc>
          <w:tcPr>
            <w:tcW w:w="9303" w:type="dxa"/>
            <w:gridSpan w:val="2"/>
            <w:tcBorders>
              <w:top w:val="single" w:sz="4" w:space="0" w:color="auto"/>
              <w:left w:val="single" w:sz="4" w:space="0" w:color="auto"/>
              <w:bottom w:val="single" w:sz="4" w:space="0" w:color="auto"/>
              <w:right w:val="single" w:sz="4" w:space="0" w:color="auto"/>
            </w:tcBorders>
            <w:hideMark/>
          </w:tcPr>
          <w:p w14:paraId="357C0E4D" w14:textId="77777777" w:rsidR="004B614B" w:rsidRPr="00220848" w:rsidRDefault="004B614B" w:rsidP="00D80CA6">
            <w:pPr>
              <w:suppressAutoHyphens w:val="0"/>
              <w:spacing w:before="60" w:after="60" w:line="256" w:lineRule="auto"/>
              <w:rPr>
                <w:b/>
                <w:sz w:val="20"/>
                <w:szCs w:val="24"/>
              </w:rPr>
            </w:pPr>
            <w:r w:rsidRPr="00220848">
              <w:rPr>
                <w:b/>
                <w:sz w:val="20"/>
                <w:szCs w:val="24"/>
              </w:rPr>
              <w:lastRenderedPageBreak/>
              <w:t>Date and Version of Report:</w:t>
            </w:r>
          </w:p>
          <w:p w14:paraId="733D6162" w14:textId="77777777" w:rsidR="004B614B" w:rsidRPr="00220848" w:rsidRDefault="004B614B" w:rsidP="00D80CA6">
            <w:pPr>
              <w:suppressAutoHyphens w:val="0"/>
              <w:spacing w:before="60" w:after="60" w:line="256" w:lineRule="auto"/>
              <w:rPr>
                <w:sz w:val="20"/>
                <w:szCs w:val="24"/>
              </w:rPr>
            </w:pPr>
            <w:r w:rsidRPr="00220848">
              <w:rPr>
                <w:sz w:val="20"/>
                <w:szCs w:val="24"/>
              </w:rPr>
              <w:t>Final</w:t>
            </w:r>
            <w:r>
              <w:rPr>
                <w:sz w:val="20"/>
                <w:szCs w:val="24"/>
              </w:rPr>
              <w:t xml:space="preserve"> </w:t>
            </w:r>
            <w:r w:rsidRPr="00220848">
              <w:rPr>
                <w:sz w:val="20"/>
                <w:szCs w:val="24"/>
              </w:rPr>
              <w:t xml:space="preserve">CSR, </w:t>
            </w:r>
            <w:r>
              <w:rPr>
                <w:sz w:val="20"/>
                <w:szCs w:val="24"/>
              </w:rPr>
              <w:t>05 October 2021</w:t>
            </w:r>
          </w:p>
        </w:tc>
      </w:tr>
    </w:tbl>
    <w:p w14:paraId="518F74AD" w14:textId="0F505B0A" w:rsidR="004B614B" w:rsidRDefault="004B614B" w:rsidP="004B614B">
      <w:pPr>
        <w:pStyle w:val="BodyText"/>
        <w:ind w:left="0" w:firstLine="0"/>
      </w:pPr>
    </w:p>
    <w:sectPr w:rsidR="004B61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BC90" w14:textId="77777777" w:rsidR="00274521" w:rsidRDefault="00274521" w:rsidP="004B614B">
      <w:pPr>
        <w:spacing w:after="0"/>
      </w:pPr>
      <w:r>
        <w:separator/>
      </w:r>
    </w:p>
  </w:endnote>
  <w:endnote w:type="continuationSeparator" w:id="0">
    <w:p w14:paraId="1C10824F" w14:textId="77777777" w:rsidR="00274521" w:rsidRDefault="00274521" w:rsidP="004B61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006587"/>
      <w:docPartObj>
        <w:docPartGallery w:val="Page Numbers (Bottom of Page)"/>
        <w:docPartUnique/>
      </w:docPartObj>
    </w:sdtPr>
    <w:sdtEndPr/>
    <w:sdtContent>
      <w:sdt>
        <w:sdtPr>
          <w:id w:val="1728636285"/>
          <w:docPartObj>
            <w:docPartGallery w:val="Page Numbers (Top of Page)"/>
            <w:docPartUnique/>
          </w:docPartObj>
        </w:sdtPr>
        <w:sdtEndPr/>
        <w:sdtContent>
          <w:p w14:paraId="689C2689" w14:textId="77777777" w:rsidR="0044529B" w:rsidRDefault="00274521">
            <w:pPr>
              <w:pStyle w:val="Footer"/>
              <w:jc w:val="center"/>
            </w:pPr>
            <w:r>
              <w:t xml:space="preserve">Page </w:t>
            </w:r>
            <w:r>
              <w:rPr>
                <w:b/>
                <w:bCs w:val="0"/>
                <w:sz w:val="24"/>
                <w:szCs w:val="24"/>
              </w:rPr>
              <w:fldChar w:fldCharType="begin"/>
            </w:r>
            <w:r>
              <w:rPr>
                <w:b/>
              </w:rPr>
              <w:instrText xml:space="preserve"> PAGE </w:instrText>
            </w:r>
            <w:r>
              <w:rPr>
                <w:b/>
                <w:bCs w:val="0"/>
                <w:sz w:val="24"/>
                <w:szCs w:val="24"/>
              </w:rPr>
              <w:fldChar w:fldCharType="separate"/>
            </w:r>
            <w:r>
              <w:rPr>
                <w:b/>
                <w:noProof/>
              </w:rPr>
              <w:t>2</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noProof/>
              </w:rPr>
              <w:t>2</w:t>
            </w:r>
            <w:r>
              <w:rPr>
                <w:b/>
                <w:bCs w:val="0"/>
                <w:sz w:val="24"/>
                <w:szCs w:val="24"/>
              </w:rPr>
              <w:fldChar w:fldCharType="end"/>
            </w:r>
          </w:p>
        </w:sdtContent>
      </w:sdt>
    </w:sdtContent>
  </w:sdt>
  <w:p w14:paraId="497F3E25" w14:textId="77777777" w:rsidR="0044529B" w:rsidRDefault="0027452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5926" w14:textId="77777777" w:rsidR="0044529B" w:rsidRDefault="002745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5435" w14:textId="77777777" w:rsidR="00274521" w:rsidRDefault="00274521" w:rsidP="004B614B">
      <w:pPr>
        <w:spacing w:after="0"/>
      </w:pPr>
      <w:r>
        <w:separator/>
      </w:r>
    </w:p>
  </w:footnote>
  <w:footnote w:type="continuationSeparator" w:id="0">
    <w:p w14:paraId="5665CFAE" w14:textId="77777777" w:rsidR="00274521" w:rsidRDefault="00274521" w:rsidP="004B61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4CCF"/>
    <w:multiLevelType w:val="hybridMultilevel"/>
    <w:tmpl w:val="E48EA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9363FA"/>
    <w:multiLevelType w:val="multilevel"/>
    <w:tmpl w:val="41167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678A708C"/>
    <w:multiLevelType w:val="multilevel"/>
    <w:tmpl w:val="CDD28034"/>
    <w:lvl w:ilvl="0">
      <w:start w:val="2"/>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1080" w:hanging="10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530"/>
        </w:tabs>
        <w:ind w:left="1530" w:hanging="1440"/>
      </w:pPr>
      <w:rPr>
        <w:rFonts w:hint="default"/>
      </w:rPr>
    </w:lvl>
    <w:lvl w:ilvl="5">
      <w:start w:val="1"/>
      <w:numFmt w:val="decimal"/>
      <w:pStyle w:val="Heading6"/>
      <w:lvlText w:val="%1.%2.%3.%4.%5.%6"/>
      <w:lvlJc w:val="left"/>
      <w:pPr>
        <w:tabs>
          <w:tab w:val="num" w:pos="2700"/>
        </w:tabs>
        <w:ind w:left="2700" w:hanging="1800"/>
      </w:pPr>
      <w:rPr>
        <w:rFonts w:hint="default"/>
      </w:rPr>
    </w:lvl>
    <w:lvl w:ilvl="6">
      <w:start w:val="1"/>
      <w:numFmt w:val="decimal"/>
      <w:pStyle w:val="Heading7"/>
      <w:lvlText w:val="%1.%2.%3.%4.%5.%6.%7"/>
      <w:lvlJc w:val="left"/>
      <w:pPr>
        <w:tabs>
          <w:tab w:val="num" w:pos="1800"/>
        </w:tabs>
        <w:ind w:left="1800" w:hanging="1800"/>
      </w:pPr>
      <w:rPr>
        <w:rFonts w:hint="default"/>
      </w:rPr>
    </w:lvl>
    <w:lvl w:ilvl="7">
      <w:start w:val="1"/>
      <w:numFmt w:val="decimal"/>
      <w:pStyle w:val="Heading8"/>
      <w:lvlText w:val="%1.%2.%3.%4.%5.%6.%7.%8"/>
      <w:lvlJc w:val="left"/>
      <w:pPr>
        <w:tabs>
          <w:tab w:val="num" w:pos="2160"/>
        </w:tabs>
        <w:ind w:left="2160" w:hanging="2160"/>
      </w:pPr>
      <w:rPr>
        <w:rFonts w:hint="default"/>
      </w:rPr>
    </w:lvl>
    <w:lvl w:ilvl="8">
      <w:start w:val="1"/>
      <w:numFmt w:val="decimal"/>
      <w:pStyle w:val="Heading9"/>
      <w:lvlText w:val="%1.%2.%3.%4.%5.%6.%7.%8.%9"/>
      <w:lvlJc w:val="left"/>
      <w:pPr>
        <w:tabs>
          <w:tab w:val="num" w:pos="2520"/>
        </w:tabs>
        <w:ind w:left="2160" w:hanging="2160"/>
      </w:pPr>
      <w:rPr>
        <w:rFonts w:hint="default"/>
      </w:rPr>
    </w:lvl>
  </w:abstractNum>
  <w:abstractNum w:abstractNumId="3" w15:restartNumberingAfterBreak="0">
    <w:nsid w:val="67F61B40"/>
    <w:multiLevelType w:val="multilevel"/>
    <w:tmpl w:val="AC2218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4B"/>
    <w:rsid w:val="00274521"/>
    <w:rsid w:val="004B614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720DC89"/>
  <w15:chartTrackingRefBased/>
  <w15:docId w15:val="{7C3A2A90-38DD-B041-A1E1-5AB5B212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rsid w:val="004B614B"/>
    <w:pPr>
      <w:suppressAutoHyphens/>
      <w:spacing w:after="180"/>
    </w:pPr>
    <w:rPr>
      <w:rFonts w:ascii="Times New Roman" w:eastAsia="Times New Roman" w:hAnsi="Times New Roman" w:cs="Times New Roman"/>
      <w:szCs w:val="20"/>
      <w:lang w:val="en-US"/>
    </w:rPr>
  </w:style>
  <w:style w:type="paragraph" w:styleId="Heading1">
    <w:name w:val="heading 1"/>
    <w:next w:val="Para"/>
    <w:link w:val="Heading1Char"/>
    <w:qFormat/>
    <w:rsid w:val="004B614B"/>
    <w:pPr>
      <w:keepNext/>
      <w:keepLines/>
      <w:pageBreakBefore/>
      <w:numPr>
        <w:numId w:val="1"/>
      </w:numPr>
      <w:tabs>
        <w:tab w:val="left" w:pos="1080"/>
      </w:tabs>
      <w:spacing w:before="360" w:after="180"/>
      <w:outlineLvl w:val="0"/>
    </w:pPr>
    <w:rPr>
      <w:rFonts w:ascii="Times New Roman" w:eastAsia="Times New Roman" w:hAnsi="Times New Roman" w:cs="Times New Roman"/>
      <w:b/>
      <w:caps/>
      <w:sz w:val="32"/>
      <w:szCs w:val="20"/>
      <w:lang w:val="en-US"/>
    </w:rPr>
  </w:style>
  <w:style w:type="paragraph" w:styleId="Heading2">
    <w:name w:val="heading 2"/>
    <w:next w:val="Para"/>
    <w:link w:val="Heading2Char"/>
    <w:qFormat/>
    <w:rsid w:val="004B614B"/>
    <w:pPr>
      <w:keepNext/>
      <w:keepLines/>
      <w:numPr>
        <w:ilvl w:val="1"/>
        <w:numId w:val="1"/>
      </w:numPr>
      <w:tabs>
        <w:tab w:val="left" w:pos="1080"/>
      </w:tabs>
      <w:spacing w:before="200" w:after="180"/>
      <w:outlineLvl w:val="1"/>
    </w:pPr>
    <w:rPr>
      <w:rFonts w:ascii="Times New Roman" w:eastAsia="Times New Roman" w:hAnsi="Times New Roman" w:cs="Times New Roman"/>
      <w:b/>
      <w:sz w:val="28"/>
      <w:szCs w:val="20"/>
      <w:lang w:val="en-US"/>
    </w:rPr>
  </w:style>
  <w:style w:type="paragraph" w:styleId="Heading3">
    <w:name w:val="heading 3"/>
    <w:next w:val="Para"/>
    <w:link w:val="Heading3Char"/>
    <w:qFormat/>
    <w:rsid w:val="004B614B"/>
    <w:pPr>
      <w:keepNext/>
      <w:keepLines/>
      <w:numPr>
        <w:ilvl w:val="2"/>
        <w:numId w:val="1"/>
      </w:numPr>
      <w:spacing w:before="120" w:after="180"/>
      <w:outlineLvl w:val="2"/>
    </w:pPr>
    <w:rPr>
      <w:rFonts w:ascii="Times New Roman" w:eastAsia="Times New Roman" w:hAnsi="Times New Roman" w:cs="Times New Roman"/>
      <w:b/>
      <w:szCs w:val="20"/>
      <w:lang w:val="en-US"/>
    </w:rPr>
  </w:style>
  <w:style w:type="paragraph" w:styleId="Heading4">
    <w:name w:val="heading 4"/>
    <w:basedOn w:val="Para"/>
    <w:next w:val="Para"/>
    <w:link w:val="Heading4Char"/>
    <w:uiPriority w:val="9"/>
    <w:qFormat/>
    <w:rsid w:val="004B614B"/>
    <w:pPr>
      <w:keepNext/>
      <w:keepLines/>
      <w:numPr>
        <w:ilvl w:val="3"/>
        <w:numId w:val="1"/>
      </w:numPr>
      <w:tabs>
        <w:tab w:val="clear" w:pos="1080"/>
        <w:tab w:val="num" w:pos="360"/>
      </w:tabs>
      <w:spacing w:line="240" w:lineRule="auto"/>
      <w:ind w:left="0" w:firstLine="0"/>
      <w:outlineLvl w:val="3"/>
    </w:pPr>
    <w:rPr>
      <w:b/>
      <w:i/>
    </w:rPr>
  </w:style>
  <w:style w:type="paragraph" w:styleId="Heading5">
    <w:name w:val="heading 5"/>
    <w:basedOn w:val="Para"/>
    <w:next w:val="Para"/>
    <w:link w:val="Heading5Char"/>
    <w:uiPriority w:val="9"/>
    <w:qFormat/>
    <w:rsid w:val="004B614B"/>
    <w:pPr>
      <w:keepNext/>
      <w:keepLines/>
      <w:numPr>
        <w:ilvl w:val="4"/>
        <w:numId w:val="1"/>
      </w:numPr>
      <w:tabs>
        <w:tab w:val="clear" w:pos="1530"/>
        <w:tab w:val="num" w:pos="360"/>
      </w:tabs>
      <w:spacing w:line="240" w:lineRule="auto"/>
      <w:ind w:left="0" w:firstLine="0"/>
      <w:outlineLvl w:val="4"/>
    </w:pPr>
    <w:rPr>
      <w:b/>
      <w:sz w:val="22"/>
    </w:rPr>
  </w:style>
  <w:style w:type="paragraph" w:styleId="Heading6">
    <w:name w:val="heading 6"/>
    <w:basedOn w:val="Para"/>
    <w:next w:val="Para"/>
    <w:link w:val="Heading6Char"/>
    <w:uiPriority w:val="9"/>
    <w:qFormat/>
    <w:rsid w:val="004B614B"/>
    <w:pPr>
      <w:keepNext/>
      <w:keepLines/>
      <w:numPr>
        <w:ilvl w:val="5"/>
        <w:numId w:val="1"/>
      </w:numPr>
      <w:tabs>
        <w:tab w:val="clear" w:pos="2700"/>
        <w:tab w:val="num" w:pos="360"/>
      </w:tabs>
      <w:spacing w:line="240" w:lineRule="auto"/>
      <w:ind w:left="0" w:firstLine="0"/>
      <w:outlineLvl w:val="5"/>
    </w:pPr>
    <w:rPr>
      <w:b/>
      <w:i/>
      <w:sz w:val="22"/>
    </w:rPr>
  </w:style>
  <w:style w:type="paragraph" w:styleId="Heading7">
    <w:name w:val="heading 7"/>
    <w:basedOn w:val="Para"/>
    <w:next w:val="Para"/>
    <w:link w:val="Heading7Char"/>
    <w:uiPriority w:val="4"/>
    <w:unhideWhenUsed/>
    <w:qFormat/>
    <w:rsid w:val="004B614B"/>
    <w:pPr>
      <w:keepNext/>
      <w:keepLines/>
      <w:numPr>
        <w:ilvl w:val="6"/>
        <w:numId w:val="1"/>
      </w:numPr>
      <w:tabs>
        <w:tab w:val="clear" w:pos="1800"/>
        <w:tab w:val="num" w:pos="360"/>
      </w:tabs>
      <w:spacing w:line="240" w:lineRule="auto"/>
      <w:ind w:left="0" w:firstLine="0"/>
      <w:outlineLvl w:val="6"/>
    </w:pPr>
    <w:rPr>
      <w:b/>
      <w:sz w:val="20"/>
    </w:rPr>
  </w:style>
  <w:style w:type="paragraph" w:styleId="Heading8">
    <w:name w:val="heading 8"/>
    <w:basedOn w:val="Para"/>
    <w:next w:val="Para"/>
    <w:link w:val="Heading8Char"/>
    <w:uiPriority w:val="4"/>
    <w:unhideWhenUsed/>
    <w:qFormat/>
    <w:rsid w:val="004B614B"/>
    <w:pPr>
      <w:keepNext/>
      <w:keepLines/>
      <w:numPr>
        <w:ilvl w:val="7"/>
        <w:numId w:val="1"/>
      </w:numPr>
      <w:tabs>
        <w:tab w:val="clear" w:pos="2160"/>
        <w:tab w:val="num" w:pos="360"/>
      </w:tabs>
      <w:spacing w:line="240" w:lineRule="auto"/>
      <w:ind w:left="0" w:firstLine="0"/>
      <w:outlineLvl w:val="7"/>
    </w:pPr>
    <w:rPr>
      <w:b/>
      <w:sz w:val="20"/>
      <w:u w:val="single"/>
    </w:rPr>
  </w:style>
  <w:style w:type="paragraph" w:styleId="Heading9">
    <w:name w:val="heading 9"/>
    <w:basedOn w:val="Para"/>
    <w:next w:val="Para"/>
    <w:link w:val="Heading9Char"/>
    <w:uiPriority w:val="4"/>
    <w:unhideWhenUsed/>
    <w:qFormat/>
    <w:rsid w:val="004B614B"/>
    <w:pPr>
      <w:keepNext/>
      <w:keepLines/>
      <w:numPr>
        <w:ilvl w:val="8"/>
        <w:numId w:val="1"/>
      </w:numPr>
      <w:tabs>
        <w:tab w:val="clear" w:pos="2520"/>
        <w:tab w:val="num" w:pos="360"/>
      </w:tabs>
      <w:spacing w:line="240" w:lineRule="auto"/>
      <w:ind w:left="0" w:firstLine="0"/>
      <w:outlineLvl w:val="8"/>
    </w:pPr>
    <w:rPr>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14B"/>
    <w:rPr>
      <w:rFonts w:ascii="Times New Roman" w:eastAsia="Times New Roman" w:hAnsi="Times New Roman" w:cs="Times New Roman"/>
      <w:b/>
      <w:caps/>
      <w:sz w:val="32"/>
      <w:szCs w:val="20"/>
      <w:lang w:val="en-US"/>
    </w:rPr>
  </w:style>
  <w:style w:type="character" w:customStyle="1" w:styleId="Heading2Char">
    <w:name w:val="Heading 2 Char"/>
    <w:basedOn w:val="DefaultParagraphFont"/>
    <w:link w:val="Heading2"/>
    <w:rsid w:val="004B614B"/>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rsid w:val="004B614B"/>
    <w:rPr>
      <w:rFonts w:ascii="Times New Roman" w:eastAsia="Times New Roman" w:hAnsi="Times New Roman" w:cs="Times New Roman"/>
      <w:b/>
      <w:szCs w:val="20"/>
      <w:lang w:val="en-US"/>
    </w:rPr>
  </w:style>
  <w:style w:type="character" w:customStyle="1" w:styleId="Heading4Char">
    <w:name w:val="Heading 4 Char"/>
    <w:basedOn w:val="DefaultParagraphFont"/>
    <w:link w:val="Heading4"/>
    <w:uiPriority w:val="9"/>
    <w:rsid w:val="004B614B"/>
    <w:rPr>
      <w:rFonts w:ascii="Times New Roman" w:eastAsia="Times New Roman" w:hAnsi="Times New Roman" w:cs="Times New Roman"/>
      <w:b/>
      <w:bCs/>
      <w:i/>
      <w:szCs w:val="20"/>
      <w:lang w:val="en-US"/>
    </w:rPr>
  </w:style>
  <w:style w:type="character" w:customStyle="1" w:styleId="Heading5Char">
    <w:name w:val="Heading 5 Char"/>
    <w:basedOn w:val="DefaultParagraphFont"/>
    <w:link w:val="Heading5"/>
    <w:uiPriority w:val="9"/>
    <w:rsid w:val="004B614B"/>
    <w:rPr>
      <w:rFonts w:ascii="Times New Roman" w:eastAsia="Times New Roman" w:hAnsi="Times New Roman" w:cs="Times New Roman"/>
      <w:b/>
      <w:bCs/>
      <w:sz w:val="22"/>
      <w:szCs w:val="20"/>
      <w:lang w:val="en-US"/>
    </w:rPr>
  </w:style>
  <w:style w:type="character" w:customStyle="1" w:styleId="Heading6Char">
    <w:name w:val="Heading 6 Char"/>
    <w:basedOn w:val="DefaultParagraphFont"/>
    <w:link w:val="Heading6"/>
    <w:uiPriority w:val="9"/>
    <w:rsid w:val="004B614B"/>
    <w:rPr>
      <w:rFonts w:ascii="Times New Roman" w:eastAsia="Times New Roman" w:hAnsi="Times New Roman" w:cs="Times New Roman"/>
      <w:b/>
      <w:bCs/>
      <w:i/>
      <w:sz w:val="22"/>
      <w:szCs w:val="20"/>
      <w:lang w:val="en-US"/>
    </w:rPr>
  </w:style>
  <w:style w:type="character" w:customStyle="1" w:styleId="Heading7Char">
    <w:name w:val="Heading 7 Char"/>
    <w:basedOn w:val="DefaultParagraphFont"/>
    <w:link w:val="Heading7"/>
    <w:uiPriority w:val="4"/>
    <w:rsid w:val="004B614B"/>
    <w:rPr>
      <w:rFonts w:ascii="Times New Roman" w:eastAsia="Times New Roman" w:hAnsi="Times New Roman" w:cs="Times New Roman"/>
      <w:b/>
      <w:bCs/>
      <w:sz w:val="20"/>
      <w:szCs w:val="20"/>
      <w:lang w:val="en-US"/>
    </w:rPr>
  </w:style>
  <w:style w:type="character" w:customStyle="1" w:styleId="Heading8Char">
    <w:name w:val="Heading 8 Char"/>
    <w:basedOn w:val="DefaultParagraphFont"/>
    <w:link w:val="Heading8"/>
    <w:uiPriority w:val="4"/>
    <w:rsid w:val="004B614B"/>
    <w:rPr>
      <w:rFonts w:ascii="Times New Roman" w:eastAsia="Times New Roman" w:hAnsi="Times New Roman" w:cs="Times New Roman"/>
      <w:b/>
      <w:bCs/>
      <w:sz w:val="20"/>
      <w:szCs w:val="20"/>
      <w:u w:val="single"/>
      <w:lang w:val="en-US"/>
    </w:rPr>
  </w:style>
  <w:style w:type="character" w:customStyle="1" w:styleId="Heading9Char">
    <w:name w:val="Heading 9 Char"/>
    <w:basedOn w:val="DefaultParagraphFont"/>
    <w:link w:val="Heading9"/>
    <w:uiPriority w:val="4"/>
    <w:rsid w:val="004B614B"/>
    <w:rPr>
      <w:rFonts w:ascii="Times New Roman" w:eastAsia="Times New Roman" w:hAnsi="Times New Roman" w:cs="Times New Roman"/>
      <w:b/>
      <w:bCs/>
      <w:i/>
      <w:sz w:val="20"/>
      <w:szCs w:val="20"/>
      <w:u w:val="single"/>
      <w:lang w:val="en-US"/>
    </w:rPr>
  </w:style>
  <w:style w:type="paragraph" w:customStyle="1" w:styleId="Para">
    <w:name w:val="Para"/>
    <w:link w:val="ParaChar"/>
    <w:qFormat/>
    <w:rsid w:val="004B614B"/>
    <w:pPr>
      <w:suppressAutoHyphens/>
      <w:spacing w:after="180" w:line="320" w:lineRule="exact"/>
    </w:pPr>
    <w:rPr>
      <w:rFonts w:ascii="Times New Roman" w:eastAsia="Times New Roman" w:hAnsi="Times New Roman" w:cs="Times New Roman"/>
      <w:bCs/>
      <w:szCs w:val="20"/>
      <w:lang w:val="en-US"/>
    </w:rPr>
  </w:style>
  <w:style w:type="paragraph" w:customStyle="1" w:styleId="Heading1notoc">
    <w:name w:val="Heading1notoc"/>
    <w:basedOn w:val="Heading1"/>
    <w:next w:val="Para"/>
    <w:uiPriority w:val="4"/>
    <w:rsid w:val="004B614B"/>
    <w:pPr>
      <w:pageBreakBefore w:val="0"/>
      <w:numPr>
        <w:numId w:val="0"/>
      </w:numPr>
      <w:tabs>
        <w:tab w:val="num" w:pos="720"/>
      </w:tabs>
      <w:ind w:left="720" w:hanging="720"/>
      <w:jc w:val="center"/>
    </w:pPr>
    <w:rPr>
      <w:lang w:val="pt-BR"/>
    </w:rPr>
  </w:style>
  <w:style w:type="paragraph" w:styleId="Header">
    <w:name w:val="header"/>
    <w:basedOn w:val="Normal"/>
    <w:link w:val="HeaderChar"/>
    <w:uiPriority w:val="99"/>
    <w:rsid w:val="004B614B"/>
    <w:pPr>
      <w:tabs>
        <w:tab w:val="center" w:pos="4500"/>
        <w:tab w:val="right" w:pos="9000"/>
      </w:tabs>
    </w:pPr>
    <w:rPr>
      <w:sz w:val="18"/>
    </w:rPr>
  </w:style>
  <w:style w:type="character" w:customStyle="1" w:styleId="HeaderChar">
    <w:name w:val="Header Char"/>
    <w:basedOn w:val="DefaultParagraphFont"/>
    <w:link w:val="Header"/>
    <w:uiPriority w:val="99"/>
    <w:rsid w:val="004B614B"/>
    <w:rPr>
      <w:rFonts w:ascii="Times New Roman" w:eastAsia="Times New Roman" w:hAnsi="Times New Roman" w:cs="Times New Roman"/>
      <w:sz w:val="18"/>
      <w:szCs w:val="20"/>
      <w:lang w:val="en-US"/>
    </w:rPr>
  </w:style>
  <w:style w:type="paragraph" w:styleId="Footer">
    <w:name w:val="footer"/>
    <w:basedOn w:val="Para"/>
    <w:link w:val="FooterChar"/>
    <w:uiPriority w:val="99"/>
    <w:rsid w:val="004B614B"/>
    <w:pPr>
      <w:tabs>
        <w:tab w:val="center" w:pos="4500"/>
        <w:tab w:val="right" w:pos="9000"/>
      </w:tabs>
      <w:spacing w:after="0" w:line="240" w:lineRule="auto"/>
    </w:pPr>
    <w:rPr>
      <w:sz w:val="18"/>
    </w:rPr>
  </w:style>
  <w:style w:type="character" w:customStyle="1" w:styleId="FooterChar">
    <w:name w:val="Footer Char"/>
    <w:basedOn w:val="DefaultParagraphFont"/>
    <w:link w:val="Footer"/>
    <w:uiPriority w:val="99"/>
    <w:rsid w:val="004B614B"/>
    <w:rPr>
      <w:rFonts w:ascii="Times New Roman" w:eastAsia="Times New Roman" w:hAnsi="Times New Roman" w:cs="Times New Roman"/>
      <w:bCs/>
      <w:sz w:val="18"/>
      <w:szCs w:val="20"/>
      <w:lang w:val="en-US"/>
    </w:rPr>
  </w:style>
  <w:style w:type="paragraph" w:customStyle="1" w:styleId="CoverTextList">
    <w:name w:val="CoverTextList"/>
    <w:basedOn w:val="Para"/>
    <w:uiPriority w:val="4"/>
    <w:rsid w:val="004B614B"/>
    <w:pPr>
      <w:spacing w:after="120" w:line="240" w:lineRule="auto"/>
    </w:pPr>
    <w:rPr>
      <w:b/>
      <w:sz w:val="22"/>
    </w:rPr>
  </w:style>
  <w:style w:type="character" w:customStyle="1" w:styleId="ParaChar">
    <w:name w:val="Para Char"/>
    <w:link w:val="Para"/>
    <w:rsid w:val="004B614B"/>
    <w:rPr>
      <w:rFonts w:ascii="Times New Roman" w:eastAsia="Times New Roman" w:hAnsi="Times New Roman" w:cs="Times New Roman"/>
      <w:bCs/>
      <w:szCs w:val="20"/>
      <w:lang w:val="en-US"/>
    </w:rPr>
  </w:style>
  <w:style w:type="paragraph" w:styleId="ListParagraph">
    <w:name w:val="List Paragraph"/>
    <w:basedOn w:val="Normal"/>
    <w:uiPriority w:val="34"/>
    <w:qFormat/>
    <w:rsid w:val="004B614B"/>
    <w:pPr>
      <w:suppressAutoHyphens w:val="0"/>
      <w:spacing w:before="14" w:after="144" w:line="300" w:lineRule="atLeast"/>
      <w:ind w:left="720"/>
      <w:contextualSpacing/>
    </w:pPr>
  </w:style>
  <w:style w:type="paragraph" w:customStyle="1" w:styleId="ConfidentialityHeading">
    <w:name w:val="Confidentiality Heading"/>
    <w:basedOn w:val="Para"/>
    <w:next w:val="Para"/>
    <w:uiPriority w:val="4"/>
    <w:rsid w:val="004B614B"/>
    <w:pPr>
      <w:keepNext/>
      <w:pBdr>
        <w:top w:val="single" w:sz="4" w:space="1" w:color="auto"/>
        <w:bottom w:val="single" w:sz="4" w:space="1" w:color="auto"/>
      </w:pBdr>
      <w:spacing w:after="0" w:line="240" w:lineRule="auto"/>
      <w:jc w:val="center"/>
    </w:pPr>
    <w:rPr>
      <w:sz w:val="18"/>
    </w:rPr>
  </w:style>
  <w:style w:type="paragraph" w:styleId="BodyText">
    <w:name w:val="Body Text"/>
    <w:basedOn w:val="Normal"/>
    <w:link w:val="BodyTextChar"/>
    <w:uiPriority w:val="1"/>
    <w:qFormat/>
    <w:rsid w:val="004B614B"/>
    <w:pPr>
      <w:widowControl w:val="0"/>
      <w:suppressAutoHyphens w:val="0"/>
      <w:autoSpaceDE w:val="0"/>
      <w:autoSpaceDN w:val="0"/>
      <w:adjustRightInd w:val="0"/>
      <w:spacing w:before="121" w:after="0"/>
      <w:ind w:left="140" w:hanging="360"/>
    </w:pPr>
    <w:rPr>
      <w:rFonts w:eastAsiaTheme="minorEastAsia"/>
      <w:szCs w:val="24"/>
      <w:lang w:val="de-DE" w:eastAsia="de-DE"/>
    </w:rPr>
  </w:style>
  <w:style w:type="character" w:customStyle="1" w:styleId="BodyTextChar">
    <w:name w:val="Body Text Char"/>
    <w:basedOn w:val="DefaultParagraphFont"/>
    <w:link w:val="BodyText"/>
    <w:uiPriority w:val="1"/>
    <w:rsid w:val="004B614B"/>
    <w:rPr>
      <w:rFonts w:ascii="Times New Roman" w:eastAsiaTheme="minorEastAsia"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4247</Words>
  <Characters>24214</Characters>
  <Application>Microsoft Office Word</Application>
  <DocSecurity>0</DocSecurity>
  <Lines>201</Lines>
  <Paragraphs>56</Paragraphs>
  <ScaleCrop>false</ScaleCrop>
  <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 Bergheanu</dc:creator>
  <cp:keywords/>
  <dc:description/>
  <cp:lastModifiedBy>Sandrin Bergheanu</cp:lastModifiedBy>
  <cp:revision>1</cp:revision>
  <dcterms:created xsi:type="dcterms:W3CDTF">2021-11-13T21:51:00Z</dcterms:created>
  <dcterms:modified xsi:type="dcterms:W3CDTF">2021-11-13T21:54:00Z</dcterms:modified>
</cp:coreProperties>
</file>