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41C87" w14:textId="3D3CF88F" w:rsidR="007057EF" w:rsidRDefault="00C43B9C" w:rsidP="007057EF">
      <w:pPr>
        <w:pStyle w:val="Heading1"/>
        <w:tabs>
          <w:tab w:val="clear" w:pos="1296"/>
        </w:tabs>
        <w:ind w:left="567" w:hanging="567"/>
      </w:pPr>
      <w:bookmarkStart w:id="0" w:name="_Toc73397379"/>
      <w:r>
        <w:t>Title Pag</w:t>
      </w:r>
      <w:r w:rsidR="007057EF">
        <w:t>e</w:t>
      </w:r>
      <w:bookmarkEnd w:id="0"/>
    </w:p>
    <w:p w14:paraId="79D76771" w14:textId="75450F19" w:rsidR="009C5613" w:rsidRPr="009671EF" w:rsidRDefault="009C5613" w:rsidP="009671EF">
      <w:pPr>
        <w:pStyle w:val="Text"/>
        <w:rPr>
          <w:b/>
          <w:bCs/>
        </w:rPr>
      </w:pPr>
      <w:r w:rsidRPr="009671EF">
        <w:rPr>
          <w:b/>
          <w:bCs/>
        </w:rPr>
        <w:t xml:space="preserve">An Open-label, Multicenter Phase 1a/2a Trial Investigating the Safety, Tolerability and Antitumor Activity of Multiple Doses of Sym015, a Monoclonal Antibody Mixture Targeting </w:t>
      </w:r>
      <w:r w:rsidR="00AE10B8" w:rsidRPr="00245D8C">
        <w:rPr>
          <w:b/>
          <w:bCs/>
          <w:iCs/>
        </w:rPr>
        <w:t>MET</w:t>
      </w:r>
      <w:r w:rsidRPr="009671EF">
        <w:rPr>
          <w:b/>
          <w:bCs/>
        </w:rPr>
        <w:t>, in Patients with Advanced Solid Tumor Malignancies</w:t>
      </w:r>
    </w:p>
    <w:p w14:paraId="57A84619" w14:textId="37731FFD" w:rsidR="009C5613" w:rsidRDefault="009C5613" w:rsidP="00924EBE">
      <w:pPr>
        <w:pStyle w:val="Text"/>
      </w:pPr>
      <w:r w:rsidRPr="007D65EE">
        <w:t>Short Title: Sym015 (Anti-</w:t>
      </w:r>
      <w:r w:rsidR="00AE10B8" w:rsidRPr="00AE10B8">
        <w:rPr>
          <w:i/>
        </w:rPr>
        <w:t>MET</w:t>
      </w:r>
      <w:r w:rsidRPr="007D65EE">
        <w:t>) in Patients with Advanced Solid Tumor Malignancies</w:t>
      </w:r>
    </w:p>
    <w:p w14:paraId="569EFBCF" w14:textId="77777777" w:rsidR="0090041D" w:rsidRDefault="0090041D" w:rsidP="00924EBE">
      <w:pPr>
        <w:pStyle w:val="Text"/>
      </w:pPr>
    </w:p>
    <w:tbl>
      <w:tblPr>
        <w:tblW w:w="9108" w:type="dxa"/>
        <w:tblLayout w:type="fixed"/>
        <w:tblLook w:val="0000" w:firstRow="0" w:lastRow="0" w:firstColumn="0" w:lastColumn="0" w:noHBand="0" w:noVBand="0"/>
      </w:tblPr>
      <w:tblGrid>
        <w:gridCol w:w="3686"/>
        <w:gridCol w:w="5422"/>
      </w:tblGrid>
      <w:tr w:rsidR="00607B40" w14:paraId="0F0BF6B5" w14:textId="77777777" w:rsidTr="00221B7F">
        <w:tc>
          <w:tcPr>
            <w:tcW w:w="3686" w:type="dxa"/>
          </w:tcPr>
          <w:p w14:paraId="15E42822" w14:textId="77777777" w:rsidR="00607B40" w:rsidRDefault="00607B40">
            <w:pPr>
              <w:pStyle w:val="Text"/>
              <w:keepNext/>
              <w:rPr>
                <w:b/>
              </w:rPr>
            </w:pPr>
            <w:r>
              <w:rPr>
                <w:b/>
              </w:rPr>
              <w:t>Sponsor:</w:t>
            </w:r>
          </w:p>
        </w:tc>
        <w:tc>
          <w:tcPr>
            <w:tcW w:w="5422" w:type="dxa"/>
          </w:tcPr>
          <w:p w14:paraId="73D550EB" w14:textId="77777777" w:rsidR="009C5613" w:rsidRPr="009C5613" w:rsidRDefault="009C5613" w:rsidP="009C5613">
            <w:pPr>
              <w:pStyle w:val="TableText0"/>
              <w:spacing w:before="0" w:after="0"/>
              <w:rPr>
                <w:sz w:val="24"/>
                <w:szCs w:val="24"/>
              </w:rPr>
            </w:pPr>
            <w:r w:rsidRPr="009C5613">
              <w:rPr>
                <w:sz w:val="24"/>
                <w:szCs w:val="24"/>
              </w:rPr>
              <w:t>Symphogen A/S</w:t>
            </w:r>
          </w:p>
          <w:p w14:paraId="5C613113" w14:textId="77777777" w:rsidR="009C5613" w:rsidRPr="009C5613" w:rsidRDefault="009C5613" w:rsidP="009C5613">
            <w:pPr>
              <w:pStyle w:val="TableText0"/>
              <w:spacing w:before="0" w:after="0"/>
              <w:rPr>
                <w:sz w:val="24"/>
                <w:szCs w:val="24"/>
              </w:rPr>
            </w:pPr>
            <w:proofErr w:type="spellStart"/>
            <w:r w:rsidRPr="009C5613">
              <w:rPr>
                <w:sz w:val="24"/>
                <w:szCs w:val="24"/>
              </w:rPr>
              <w:t>Pederstrupvej</w:t>
            </w:r>
            <w:proofErr w:type="spellEnd"/>
            <w:r w:rsidRPr="009C5613">
              <w:rPr>
                <w:sz w:val="24"/>
                <w:szCs w:val="24"/>
              </w:rPr>
              <w:t xml:space="preserve"> 93</w:t>
            </w:r>
          </w:p>
          <w:p w14:paraId="1A49552C" w14:textId="22DB9148" w:rsidR="009C5613" w:rsidRPr="009C5613" w:rsidRDefault="009C5613" w:rsidP="009C5613">
            <w:pPr>
              <w:pStyle w:val="TableText0"/>
              <w:spacing w:before="0" w:after="0"/>
              <w:rPr>
                <w:sz w:val="24"/>
                <w:szCs w:val="24"/>
              </w:rPr>
            </w:pPr>
            <w:r w:rsidRPr="009C5613">
              <w:rPr>
                <w:sz w:val="24"/>
                <w:szCs w:val="24"/>
              </w:rPr>
              <w:t>DK-2750 Ballerup</w:t>
            </w:r>
          </w:p>
          <w:p w14:paraId="7682B59C" w14:textId="77777777" w:rsidR="00607B40" w:rsidRDefault="009C5613" w:rsidP="009C5613">
            <w:pPr>
              <w:pStyle w:val="TableText0"/>
              <w:spacing w:before="0" w:after="0"/>
              <w:rPr>
                <w:sz w:val="24"/>
                <w:szCs w:val="24"/>
              </w:rPr>
            </w:pPr>
            <w:r w:rsidRPr="009C5613">
              <w:rPr>
                <w:sz w:val="24"/>
                <w:szCs w:val="24"/>
              </w:rPr>
              <w:t>Denmark</w:t>
            </w:r>
          </w:p>
          <w:p w14:paraId="6CE457DF" w14:textId="1A4F7D32" w:rsidR="009976C7" w:rsidRDefault="009976C7" w:rsidP="009C5613">
            <w:pPr>
              <w:pStyle w:val="TableText0"/>
              <w:spacing w:before="0" w:after="0"/>
            </w:pPr>
          </w:p>
        </w:tc>
      </w:tr>
      <w:tr w:rsidR="00804EB9" w14:paraId="3D21510D" w14:textId="77777777" w:rsidTr="00221B7F">
        <w:tc>
          <w:tcPr>
            <w:tcW w:w="3686" w:type="dxa"/>
          </w:tcPr>
          <w:p w14:paraId="14336121" w14:textId="58F38F04" w:rsidR="00804EB9" w:rsidRPr="00F66BF6" w:rsidRDefault="00804EB9" w:rsidP="00804EB9">
            <w:pPr>
              <w:pStyle w:val="TableText0"/>
              <w:spacing w:before="0" w:after="0"/>
              <w:rPr>
                <w:b/>
                <w:sz w:val="24"/>
                <w:szCs w:val="24"/>
              </w:rPr>
            </w:pPr>
            <w:r w:rsidRPr="00F66BF6">
              <w:rPr>
                <w:b/>
                <w:sz w:val="24"/>
                <w:szCs w:val="24"/>
              </w:rPr>
              <w:t>Sponsor’s Medical Expert:</w:t>
            </w:r>
          </w:p>
        </w:tc>
        <w:tc>
          <w:tcPr>
            <w:tcW w:w="5422" w:type="dxa"/>
          </w:tcPr>
          <w:p w14:paraId="12C267B8" w14:textId="23B7AE07" w:rsidR="00804EB9" w:rsidRPr="003E5DD8" w:rsidRDefault="004A6D28" w:rsidP="00804EB9">
            <w:pPr>
              <w:pStyle w:val="TableText0"/>
              <w:spacing w:before="0" w:after="0"/>
              <w:rPr>
                <w:sz w:val="24"/>
                <w:szCs w:val="24"/>
              </w:rPr>
            </w:pPr>
            <w:r>
              <w:rPr>
                <w:sz w:val="24"/>
                <w:szCs w:val="24"/>
              </w:rPr>
              <w:t>Rita Dalal, MBBS, MPH</w:t>
            </w:r>
          </w:p>
          <w:p w14:paraId="4711BA76" w14:textId="589C00F5" w:rsidR="00804EB9" w:rsidRDefault="004A6D28" w:rsidP="00804EB9">
            <w:pPr>
              <w:pStyle w:val="TableText0"/>
              <w:spacing w:before="0" w:after="0"/>
              <w:rPr>
                <w:sz w:val="24"/>
                <w:szCs w:val="24"/>
              </w:rPr>
            </w:pPr>
            <w:r>
              <w:rPr>
                <w:sz w:val="24"/>
                <w:szCs w:val="24"/>
              </w:rPr>
              <w:t>VP, Consultant, Medical and Safety</w:t>
            </w:r>
          </w:p>
          <w:p w14:paraId="1221FE31" w14:textId="77777777" w:rsidR="00804EB9" w:rsidRPr="00394618" w:rsidRDefault="00804EB9" w:rsidP="00804EB9">
            <w:pPr>
              <w:pStyle w:val="TableText0"/>
              <w:spacing w:before="0" w:after="0"/>
              <w:rPr>
                <w:sz w:val="24"/>
                <w:szCs w:val="24"/>
              </w:rPr>
            </w:pPr>
          </w:p>
        </w:tc>
      </w:tr>
      <w:tr w:rsidR="00607B40" w14:paraId="6DF75D37" w14:textId="77777777" w:rsidTr="00221B7F">
        <w:tc>
          <w:tcPr>
            <w:tcW w:w="3686" w:type="dxa"/>
          </w:tcPr>
          <w:p w14:paraId="2D15DEF0" w14:textId="77777777" w:rsidR="009C5613" w:rsidRPr="00F66BF6" w:rsidRDefault="009C5613" w:rsidP="009C5613">
            <w:pPr>
              <w:pStyle w:val="TableText0"/>
              <w:spacing w:before="0" w:after="0"/>
              <w:rPr>
                <w:b/>
                <w:sz w:val="24"/>
                <w:szCs w:val="24"/>
              </w:rPr>
            </w:pPr>
            <w:r w:rsidRPr="00F66BF6">
              <w:rPr>
                <w:b/>
                <w:sz w:val="24"/>
                <w:szCs w:val="24"/>
              </w:rPr>
              <w:t>Coordinating Investigator</w:t>
            </w:r>
          </w:p>
          <w:p w14:paraId="5904386C" w14:textId="406E12C0" w:rsidR="00607B40" w:rsidRDefault="009C5613" w:rsidP="009C5613">
            <w:pPr>
              <w:pStyle w:val="Text"/>
              <w:keepNext/>
              <w:rPr>
                <w:b/>
              </w:rPr>
            </w:pPr>
            <w:r w:rsidRPr="00F66BF6">
              <w:rPr>
                <w:b/>
                <w:szCs w:val="24"/>
              </w:rPr>
              <w:t>Part 1/Part 2 Basket</w:t>
            </w:r>
            <w:r>
              <w:rPr>
                <w:b/>
                <w:szCs w:val="24"/>
              </w:rPr>
              <w:t xml:space="preserve"> </w:t>
            </w:r>
            <w:r w:rsidR="00E03D49">
              <w:rPr>
                <w:b/>
                <w:szCs w:val="24"/>
              </w:rPr>
              <w:t>Cohort</w:t>
            </w:r>
            <w:r>
              <w:rPr>
                <w:b/>
                <w:szCs w:val="24"/>
              </w:rPr>
              <w:t>:</w:t>
            </w:r>
          </w:p>
        </w:tc>
        <w:tc>
          <w:tcPr>
            <w:tcW w:w="5422" w:type="dxa"/>
          </w:tcPr>
          <w:p w14:paraId="335CDFB7" w14:textId="77777777" w:rsidR="009C5613" w:rsidRPr="003E5DD8" w:rsidRDefault="009C5613" w:rsidP="009C5613">
            <w:pPr>
              <w:pStyle w:val="TableText0"/>
              <w:spacing w:before="0" w:after="0"/>
              <w:rPr>
                <w:sz w:val="24"/>
                <w:szCs w:val="24"/>
                <w:lang w:val="da-DK"/>
              </w:rPr>
            </w:pPr>
            <w:r w:rsidRPr="003E5DD8">
              <w:rPr>
                <w:sz w:val="24"/>
                <w:szCs w:val="24"/>
                <w:lang w:val="da-DK"/>
              </w:rPr>
              <w:t>Amita Patnaik, MD, FRCP(C)</w:t>
            </w:r>
          </w:p>
          <w:p w14:paraId="0CFF34DE" w14:textId="77777777" w:rsidR="009C5613" w:rsidRPr="003E5DD8" w:rsidRDefault="009C5613" w:rsidP="009C5613">
            <w:pPr>
              <w:pStyle w:val="TableText0"/>
              <w:spacing w:before="0" w:after="0"/>
              <w:rPr>
                <w:sz w:val="24"/>
                <w:szCs w:val="24"/>
              </w:rPr>
            </w:pPr>
            <w:r w:rsidRPr="003E5DD8">
              <w:rPr>
                <w:sz w:val="24"/>
                <w:szCs w:val="24"/>
              </w:rPr>
              <w:t>Associate Director of Clinical Research</w:t>
            </w:r>
          </w:p>
          <w:p w14:paraId="75EBF46D" w14:textId="7A73B7A4" w:rsidR="00607B40" w:rsidRDefault="009C5613" w:rsidP="009C5613">
            <w:pPr>
              <w:pStyle w:val="TableText0"/>
              <w:spacing w:before="0" w:after="0"/>
              <w:rPr>
                <w:sz w:val="24"/>
                <w:szCs w:val="24"/>
              </w:rPr>
            </w:pPr>
            <w:r w:rsidRPr="003E5DD8">
              <w:rPr>
                <w:sz w:val="24"/>
                <w:szCs w:val="24"/>
              </w:rPr>
              <w:t>South Texas Accelerated Research Therapeutics, LLC</w:t>
            </w:r>
          </w:p>
          <w:p w14:paraId="445906EA" w14:textId="508EB3FF" w:rsidR="001B63A2" w:rsidRDefault="001B63A2" w:rsidP="009C5613">
            <w:pPr>
              <w:pStyle w:val="TableText0"/>
              <w:spacing w:before="0" w:after="0"/>
              <w:rPr>
                <w:sz w:val="24"/>
                <w:szCs w:val="24"/>
              </w:rPr>
            </w:pPr>
            <w:r>
              <w:rPr>
                <w:sz w:val="24"/>
                <w:szCs w:val="24"/>
              </w:rPr>
              <w:t>USA</w:t>
            </w:r>
          </w:p>
          <w:p w14:paraId="0EE478B4" w14:textId="0F7E28B2" w:rsidR="009976C7" w:rsidRDefault="009976C7" w:rsidP="009C5613">
            <w:pPr>
              <w:pStyle w:val="TableText0"/>
              <w:spacing w:before="0" w:after="0"/>
            </w:pPr>
          </w:p>
        </w:tc>
      </w:tr>
      <w:tr w:rsidR="009C5613" w14:paraId="55FCF4A2" w14:textId="77777777" w:rsidTr="00221B7F">
        <w:tc>
          <w:tcPr>
            <w:tcW w:w="3686" w:type="dxa"/>
          </w:tcPr>
          <w:p w14:paraId="6441C8F6" w14:textId="77777777" w:rsidR="009C5613" w:rsidRPr="00F66BF6" w:rsidRDefault="009C5613" w:rsidP="009C5613">
            <w:pPr>
              <w:pStyle w:val="TableText0"/>
              <w:spacing w:before="0" w:after="0"/>
              <w:rPr>
                <w:b/>
                <w:sz w:val="24"/>
                <w:szCs w:val="24"/>
              </w:rPr>
            </w:pPr>
            <w:r w:rsidRPr="00F66BF6">
              <w:rPr>
                <w:b/>
                <w:sz w:val="24"/>
                <w:szCs w:val="24"/>
              </w:rPr>
              <w:t>Coordinating Investigator</w:t>
            </w:r>
          </w:p>
          <w:p w14:paraId="5CE5089C" w14:textId="6BE3566F" w:rsidR="009C5613" w:rsidRPr="00F66BF6" w:rsidRDefault="009C5613" w:rsidP="009C5613">
            <w:pPr>
              <w:pStyle w:val="TableText0"/>
              <w:spacing w:before="0" w:after="0"/>
              <w:rPr>
                <w:b/>
                <w:sz w:val="24"/>
                <w:szCs w:val="24"/>
              </w:rPr>
            </w:pPr>
            <w:r w:rsidRPr="00F66BF6">
              <w:rPr>
                <w:b/>
                <w:sz w:val="24"/>
                <w:szCs w:val="24"/>
              </w:rPr>
              <w:t xml:space="preserve">NSCLC </w:t>
            </w:r>
            <w:r w:rsidR="00E03D49">
              <w:rPr>
                <w:b/>
                <w:sz w:val="24"/>
                <w:szCs w:val="24"/>
              </w:rPr>
              <w:t>Cohort</w:t>
            </w:r>
            <w:r w:rsidRPr="00F66BF6">
              <w:rPr>
                <w:b/>
                <w:sz w:val="24"/>
                <w:szCs w:val="24"/>
              </w:rPr>
              <w:t>s</w:t>
            </w:r>
            <w:r>
              <w:rPr>
                <w:b/>
                <w:sz w:val="24"/>
                <w:szCs w:val="24"/>
              </w:rPr>
              <w:t>:</w:t>
            </w:r>
          </w:p>
        </w:tc>
        <w:tc>
          <w:tcPr>
            <w:tcW w:w="5422" w:type="dxa"/>
          </w:tcPr>
          <w:p w14:paraId="0F9C4E68" w14:textId="77777777" w:rsidR="009C5613" w:rsidRPr="00394618" w:rsidRDefault="009C5613" w:rsidP="009C5613">
            <w:pPr>
              <w:pStyle w:val="TableText0"/>
              <w:spacing w:before="0" w:after="0"/>
              <w:rPr>
                <w:sz w:val="24"/>
                <w:szCs w:val="24"/>
              </w:rPr>
            </w:pPr>
            <w:r w:rsidRPr="00394618">
              <w:rPr>
                <w:sz w:val="24"/>
                <w:szCs w:val="24"/>
              </w:rPr>
              <w:t>David Ross Camidge, MD, PhD</w:t>
            </w:r>
          </w:p>
          <w:p w14:paraId="7A78A326" w14:textId="77777777" w:rsidR="009C5613" w:rsidRPr="003E5DD8" w:rsidRDefault="009C5613" w:rsidP="009C5613">
            <w:pPr>
              <w:pStyle w:val="TableText0"/>
              <w:spacing w:before="0" w:after="0"/>
              <w:rPr>
                <w:sz w:val="24"/>
                <w:szCs w:val="24"/>
              </w:rPr>
            </w:pPr>
            <w:r w:rsidRPr="003E5DD8">
              <w:rPr>
                <w:sz w:val="24"/>
                <w:szCs w:val="24"/>
              </w:rPr>
              <w:t>Professor, Director of Thoracic Oncology</w:t>
            </w:r>
          </w:p>
          <w:p w14:paraId="22683B5C" w14:textId="008EEAF0" w:rsidR="009C5613" w:rsidRDefault="009C5613" w:rsidP="009C5613">
            <w:pPr>
              <w:pStyle w:val="TableText0"/>
              <w:spacing w:before="0" w:after="0"/>
              <w:rPr>
                <w:sz w:val="24"/>
                <w:szCs w:val="24"/>
              </w:rPr>
            </w:pPr>
            <w:r w:rsidRPr="003E5DD8">
              <w:rPr>
                <w:sz w:val="24"/>
                <w:szCs w:val="24"/>
              </w:rPr>
              <w:t>University of Colorado Denver</w:t>
            </w:r>
          </w:p>
          <w:p w14:paraId="05D7B9B4" w14:textId="79FDFC61" w:rsidR="00421BB1" w:rsidRDefault="00421BB1" w:rsidP="009C5613">
            <w:pPr>
              <w:pStyle w:val="TableText0"/>
              <w:spacing w:before="0" w:after="0"/>
              <w:rPr>
                <w:sz w:val="24"/>
                <w:szCs w:val="24"/>
              </w:rPr>
            </w:pPr>
            <w:r>
              <w:rPr>
                <w:sz w:val="24"/>
                <w:szCs w:val="24"/>
              </w:rPr>
              <w:t>USA</w:t>
            </w:r>
          </w:p>
          <w:p w14:paraId="59881E3D" w14:textId="780CE98A" w:rsidR="009976C7" w:rsidRPr="003E5DD8" w:rsidRDefault="009976C7" w:rsidP="009C5613">
            <w:pPr>
              <w:pStyle w:val="TableText0"/>
              <w:spacing w:before="0" w:after="0"/>
              <w:rPr>
                <w:sz w:val="24"/>
                <w:szCs w:val="24"/>
                <w:lang w:val="da-DK"/>
              </w:rPr>
            </w:pPr>
          </w:p>
        </w:tc>
      </w:tr>
      <w:tr w:rsidR="00607B40" w14:paraId="04ADB5B6" w14:textId="77777777" w:rsidTr="00221B7F">
        <w:tc>
          <w:tcPr>
            <w:tcW w:w="3686" w:type="dxa"/>
          </w:tcPr>
          <w:p w14:paraId="45C0004A" w14:textId="77777777" w:rsidR="00607B40" w:rsidRDefault="00607B40">
            <w:pPr>
              <w:pStyle w:val="Text"/>
              <w:keepNext/>
              <w:rPr>
                <w:b/>
              </w:rPr>
            </w:pPr>
            <w:r>
              <w:rPr>
                <w:b/>
              </w:rPr>
              <w:t>Study/Protocol No.:</w:t>
            </w:r>
          </w:p>
        </w:tc>
        <w:tc>
          <w:tcPr>
            <w:tcW w:w="5422" w:type="dxa"/>
          </w:tcPr>
          <w:p w14:paraId="71D7F3B7" w14:textId="3DA4662C" w:rsidR="00607B40" w:rsidRDefault="009C5613">
            <w:pPr>
              <w:pStyle w:val="Text"/>
              <w:keepNext/>
            </w:pPr>
            <w:r w:rsidRPr="003E5DD8">
              <w:rPr>
                <w:szCs w:val="24"/>
              </w:rPr>
              <w:t>Sym015-01</w:t>
            </w:r>
          </w:p>
        </w:tc>
      </w:tr>
      <w:tr w:rsidR="00607B40" w14:paraId="24C8BF47" w14:textId="77777777" w:rsidTr="00221B7F">
        <w:tc>
          <w:tcPr>
            <w:tcW w:w="3686" w:type="dxa"/>
          </w:tcPr>
          <w:p w14:paraId="1720AEE8" w14:textId="77777777" w:rsidR="00607B40" w:rsidRDefault="00607B40">
            <w:pPr>
              <w:pStyle w:val="Text"/>
              <w:keepNext/>
              <w:rPr>
                <w:b/>
              </w:rPr>
            </w:pPr>
            <w:r>
              <w:rPr>
                <w:b/>
              </w:rPr>
              <w:t xml:space="preserve">Study </w:t>
            </w:r>
            <w:r w:rsidR="00F50DFE">
              <w:rPr>
                <w:b/>
              </w:rPr>
              <w:t xml:space="preserve">Drug/Product </w:t>
            </w:r>
            <w:r>
              <w:rPr>
                <w:b/>
              </w:rPr>
              <w:t>Name:</w:t>
            </w:r>
          </w:p>
        </w:tc>
        <w:tc>
          <w:tcPr>
            <w:tcW w:w="5422" w:type="dxa"/>
          </w:tcPr>
          <w:p w14:paraId="5BE2BF10" w14:textId="53323F9F" w:rsidR="00607B40" w:rsidRDefault="009C5613">
            <w:pPr>
              <w:pStyle w:val="Text"/>
              <w:keepNext/>
            </w:pPr>
            <w:r w:rsidRPr="003E5DD8">
              <w:rPr>
                <w:szCs w:val="24"/>
              </w:rPr>
              <w:t>Sym015</w:t>
            </w:r>
          </w:p>
        </w:tc>
      </w:tr>
      <w:tr w:rsidR="00607B40" w14:paraId="1CAF8E52" w14:textId="77777777" w:rsidTr="00221B7F">
        <w:tc>
          <w:tcPr>
            <w:tcW w:w="3686" w:type="dxa"/>
          </w:tcPr>
          <w:p w14:paraId="445EC0F0" w14:textId="77777777" w:rsidR="00607B40" w:rsidRDefault="00607B40">
            <w:pPr>
              <w:pStyle w:val="Text"/>
              <w:keepNext/>
              <w:rPr>
                <w:b/>
              </w:rPr>
            </w:pPr>
            <w:r>
              <w:rPr>
                <w:b/>
              </w:rPr>
              <w:t>Development Phase:</w:t>
            </w:r>
          </w:p>
        </w:tc>
        <w:tc>
          <w:tcPr>
            <w:tcW w:w="5422" w:type="dxa"/>
          </w:tcPr>
          <w:p w14:paraId="021C8F3B" w14:textId="29DB6A49" w:rsidR="00607B40" w:rsidRDefault="009C5613">
            <w:pPr>
              <w:pStyle w:val="Text"/>
              <w:keepNext/>
            </w:pPr>
            <w:r w:rsidRPr="003E5DD8">
              <w:rPr>
                <w:szCs w:val="24"/>
              </w:rPr>
              <w:t>Phase 1a/2a</w:t>
            </w:r>
          </w:p>
        </w:tc>
      </w:tr>
      <w:tr w:rsidR="00607B40" w14:paraId="08BECDDC" w14:textId="77777777" w:rsidTr="00221B7F">
        <w:tc>
          <w:tcPr>
            <w:tcW w:w="3686" w:type="dxa"/>
          </w:tcPr>
          <w:p w14:paraId="15F3A900" w14:textId="77777777" w:rsidR="00607B40" w:rsidRDefault="00607B40">
            <w:pPr>
              <w:pStyle w:val="Text"/>
              <w:keepNext/>
              <w:rPr>
                <w:b/>
              </w:rPr>
            </w:pPr>
            <w:r>
              <w:rPr>
                <w:b/>
              </w:rPr>
              <w:t>Indication:</w:t>
            </w:r>
          </w:p>
        </w:tc>
        <w:tc>
          <w:tcPr>
            <w:tcW w:w="5422" w:type="dxa"/>
          </w:tcPr>
          <w:p w14:paraId="3FA71AE0" w14:textId="3058712B" w:rsidR="00607B40" w:rsidRDefault="00252D50">
            <w:pPr>
              <w:pStyle w:val="Text"/>
              <w:keepNext/>
            </w:pPr>
            <w:r w:rsidRPr="00252D50">
              <w:t>Solid Tumor Malignancies</w:t>
            </w:r>
          </w:p>
        </w:tc>
      </w:tr>
      <w:tr w:rsidR="00607B40" w14:paraId="62F34C1B" w14:textId="77777777" w:rsidTr="00221B7F">
        <w:tc>
          <w:tcPr>
            <w:tcW w:w="3686" w:type="dxa"/>
          </w:tcPr>
          <w:p w14:paraId="1AEC132B" w14:textId="77777777" w:rsidR="00607B40" w:rsidRDefault="00607B40">
            <w:pPr>
              <w:pStyle w:val="Text"/>
              <w:keepNext/>
              <w:rPr>
                <w:b/>
              </w:rPr>
            </w:pPr>
            <w:r>
              <w:rPr>
                <w:b/>
              </w:rPr>
              <w:t xml:space="preserve">Date of First Enrollment: </w:t>
            </w:r>
          </w:p>
        </w:tc>
        <w:tc>
          <w:tcPr>
            <w:tcW w:w="5422" w:type="dxa"/>
          </w:tcPr>
          <w:p w14:paraId="6DA80C78" w14:textId="65E206A7" w:rsidR="00607B40" w:rsidRDefault="005D3BD9">
            <w:pPr>
              <w:pStyle w:val="Text"/>
            </w:pPr>
            <w:r>
              <w:t>24 Mar 2016</w:t>
            </w:r>
            <w:r w:rsidR="005604B2">
              <w:t xml:space="preserve"> (First Patient First Visit)</w:t>
            </w:r>
            <w:r w:rsidR="00607B40">
              <w:t xml:space="preserve"> </w:t>
            </w:r>
          </w:p>
        </w:tc>
      </w:tr>
      <w:tr w:rsidR="00607B40" w14:paraId="6FEFEFDE" w14:textId="77777777" w:rsidTr="00221B7F">
        <w:tc>
          <w:tcPr>
            <w:tcW w:w="3686" w:type="dxa"/>
          </w:tcPr>
          <w:p w14:paraId="4A1B22F5" w14:textId="77777777" w:rsidR="00607B40" w:rsidRDefault="00607B40">
            <w:pPr>
              <w:pStyle w:val="Text"/>
              <w:keepNext/>
              <w:rPr>
                <w:b/>
              </w:rPr>
            </w:pPr>
            <w:r>
              <w:rPr>
                <w:b/>
              </w:rPr>
              <w:t>Date of Last Patient Completed:</w:t>
            </w:r>
          </w:p>
        </w:tc>
        <w:tc>
          <w:tcPr>
            <w:tcW w:w="5422" w:type="dxa"/>
          </w:tcPr>
          <w:p w14:paraId="0E18FEB4" w14:textId="13585F60" w:rsidR="00607B40" w:rsidRPr="00EE2584" w:rsidRDefault="007325AC">
            <w:pPr>
              <w:pStyle w:val="Text"/>
            </w:pPr>
            <w:r w:rsidRPr="00EE2584">
              <w:t>17 Dec</w:t>
            </w:r>
            <w:r w:rsidR="00607B40" w:rsidRPr="00EE2584">
              <w:t xml:space="preserve"> </w:t>
            </w:r>
            <w:r w:rsidRPr="00EE2584">
              <w:t>2020</w:t>
            </w:r>
            <w:r w:rsidR="005604B2" w:rsidRPr="00EE2584">
              <w:t xml:space="preserve"> (Last Patient Last Visit)</w:t>
            </w:r>
            <w:r w:rsidR="00607B40" w:rsidRPr="00EE2584">
              <w:t xml:space="preserve"> </w:t>
            </w:r>
          </w:p>
        </w:tc>
      </w:tr>
      <w:tr w:rsidR="00607B40" w14:paraId="0CADA192" w14:textId="77777777" w:rsidTr="00221B7F">
        <w:tc>
          <w:tcPr>
            <w:tcW w:w="3686" w:type="dxa"/>
          </w:tcPr>
          <w:p w14:paraId="62D2057E" w14:textId="77777777" w:rsidR="00607B40" w:rsidRDefault="00607B40">
            <w:pPr>
              <w:pStyle w:val="Text"/>
              <w:keepNext/>
              <w:rPr>
                <w:b/>
              </w:rPr>
            </w:pPr>
            <w:r>
              <w:rPr>
                <w:b/>
              </w:rPr>
              <w:t>Date of Report:</w:t>
            </w:r>
          </w:p>
        </w:tc>
        <w:tc>
          <w:tcPr>
            <w:tcW w:w="5422" w:type="dxa"/>
          </w:tcPr>
          <w:p w14:paraId="2E2997B4" w14:textId="513A9E71" w:rsidR="00607B40" w:rsidRPr="00EE2584" w:rsidRDefault="008D4266">
            <w:pPr>
              <w:pStyle w:val="Text"/>
            </w:pPr>
            <w:r>
              <w:t>0</w:t>
            </w:r>
            <w:r w:rsidR="009D1719">
              <w:t>7</w:t>
            </w:r>
            <w:r>
              <w:t xml:space="preserve"> June</w:t>
            </w:r>
            <w:r w:rsidR="00EE2584" w:rsidRPr="00EE2584">
              <w:t xml:space="preserve"> 2021</w:t>
            </w:r>
          </w:p>
        </w:tc>
      </w:tr>
    </w:tbl>
    <w:p w14:paraId="67EB1C81" w14:textId="6172BB96" w:rsidR="00607B40" w:rsidRDefault="00607B40">
      <w:pPr>
        <w:pStyle w:val="Text"/>
        <w:keepNext/>
        <w:spacing w:before="120"/>
        <w:jc w:val="center"/>
        <w:rPr>
          <w:i/>
        </w:rPr>
      </w:pPr>
      <w:r>
        <w:rPr>
          <w:i/>
        </w:rPr>
        <w:t>The study was conducted according to the protocol and in compliance with Good Clinical Practice (GCP) and other applicable regulatory requirements.</w:t>
      </w:r>
    </w:p>
    <w:p w14:paraId="3C3085D0" w14:textId="40BDEBF0" w:rsidR="00607B40" w:rsidRDefault="00607B40">
      <w:pPr>
        <w:pStyle w:val="confidentialbox"/>
        <w:rPr>
          <w:i/>
        </w:rPr>
      </w:pPr>
      <w:r>
        <w:t xml:space="preserve">This document contains confidential information </w:t>
      </w:r>
      <w:r w:rsidRPr="00ED2798">
        <w:t xml:space="preserve">of </w:t>
      </w:r>
      <w:r w:rsidR="00ED2798" w:rsidRPr="00ED2798">
        <w:t>Symphogen</w:t>
      </w:r>
      <w:r w:rsidRPr="00ED2798">
        <w:t>.</w:t>
      </w:r>
      <w:r>
        <w:br/>
        <w:t xml:space="preserve">Do not copy or distribute without written permission from the </w:t>
      </w:r>
      <w:r w:rsidR="00F73755">
        <w:t>S</w:t>
      </w:r>
      <w:r>
        <w:t>ponsor.</w:t>
      </w:r>
      <w:r>
        <w:br/>
        <w:t>CONFIDENTIAL</w:t>
      </w:r>
    </w:p>
    <w:p w14:paraId="2C8A4492" w14:textId="77777777" w:rsidR="00607B40" w:rsidRDefault="00607B40">
      <w:pPr>
        <w:pStyle w:val="Text"/>
        <w:pageBreakBefore/>
        <w:rPr>
          <w:b/>
        </w:rPr>
        <w:sectPr w:rsidR="00607B40">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440" w:bottom="1440" w:left="2160" w:header="720" w:footer="720" w:gutter="0"/>
          <w:cols w:space="720"/>
        </w:sectPr>
      </w:pPr>
    </w:p>
    <w:p w14:paraId="3B128C01" w14:textId="5AB3BB09" w:rsidR="00607B40" w:rsidRDefault="00607B40" w:rsidP="009F532A">
      <w:pPr>
        <w:pStyle w:val="Heading1"/>
        <w:tabs>
          <w:tab w:val="clear" w:pos="1296"/>
        </w:tabs>
        <w:ind w:left="567" w:hanging="567"/>
      </w:pPr>
      <w:bookmarkStart w:id="1" w:name="_Toc73397380"/>
      <w:r>
        <w:lastRenderedPageBreak/>
        <w:t>C</w:t>
      </w:r>
      <w:r w:rsidR="00181102">
        <w:t>linical</w:t>
      </w:r>
      <w:r>
        <w:t xml:space="preserve"> S</w:t>
      </w:r>
      <w:r w:rsidR="00181102">
        <w:t>tudy</w:t>
      </w:r>
      <w:r>
        <w:t xml:space="preserve"> S</w:t>
      </w:r>
      <w:r w:rsidR="00181102">
        <w:t>ynopsis</w:t>
      </w:r>
      <w:bookmarkEnd w:id="1"/>
    </w:p>
    <w:tbl>
      <w:tblPr>
        <w:tblW w:w="88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438"/>
        <w:gridCol w:w="990"/>
        <w:gridCol w:w="1476"/>
        <w:gridCol w:w="2952"/>
      </w:tblGrid>
      <w:tr w:rsidR="00607B40" w14:paraId="4A49CF46" w14:textId="77777777" w:rsidTr="00401008">
        <w:tc>
          <w:tcPr>
            <w:tcW w:w="3438" w:type="dxa"/>
            <w:tcBorders>
              <w:top w:val="double" w:sz="4" w:space="0" w:color="auto"/>
              <w:bottom w:val="nil"/>
            </w:tcBorders>
          </w:tcPr>
          <w:p w14:paraId="629A20F5" w14:textId="1AB9C0DF" w:rsidR="00607B40" w:rsidRDefault="00607B40">
            <w:pPr>
              <w:pStyle w:val="Synopsis"/>
              <w:rPr>
                <w:b/>
                <w:bCs/>
              </w:rPr>
            </w:pPr>
            <w:r>
              <w:rPr>
                <w:b/>
                <w:bCs/>
              </w:rPr>
              <w:t>Name of Company:</w:t>
            </w:r>
            <w:r w:rsidR="001557AB">
              <w:t xml:space="preserve"> </w:t>
            </w:r>
            <w:r w:rsidR="001557AB" w:rsidRPr="001557AB">
              <w:rPr>
                <w:b/>
                <w:bCs/>
              </w:rPr>
              <w:t>Symphogen</w:t>
            </w:r>
            <w:r w:rsidR="001557AB">
              <w:rPr>
                <w:b/>
                <w:bCs/>
              </w:rPr>
              <w:t xml:space="preserve"> </w:t>
            </w:r>
            <w:r w:rsidR="001557AB" w:rsidRPr="001557AB">
              <w:rPr>
                <w:b/>
                <w:bCs/>
              </w:rPr>
              <w:t>A/S</w:t>
            </w:r>
            <w:r>
              <w:rPr>
                <w:b/>
                <w:bCs/>
              </w:rPr>
              <w:br/>
            </w:r>
          </w:p>
        </w:tc>
        <w:tc>
          <w:tcPr>
            <w:tcW w:w="2466" w:type="dxa"/>
            <w:gridSpan w:val="2"/>
            <w:tcBorders>
              <w:top w:val="double" w:sz="4" w:space="0" w:color="auto"/>
              <w:bottom w:val="nil"/>
            </w:tcBorders>
          </w:tcPr>
          <w:p w14:paraId="4DEF44D9" w14:textId="77777777" w:rsidR="00607B40" w:rsidRDefault="00607B40" w:rsidP="001557AB">
            <w:pPr>
              <w:pStyle w:val="Synopsis"/>
              <w:ind w:left="740"/>
              <w:rPr>
                <w:b/>
                <w:bCs/>
              </w:rPr>
            </w:pPr>
            <w:r>
              <w:rPr>
                <w:b/>
                <w:bCs/>
              </w:rPr>
              <w:t>Volume:</w:t>
            </w:r>
          </w:p>
        </w:tc>
        <w:tc>
          <w:tcPr>
            <w:tcW w:w="2952" w:type="dxa"/>
            <w:tcBorders>
              <w:top w:val="double" w:sz="4" w:space="0" w:color="auto"/>
              <w:bottom w:val="nil"/>
            </w:tcBorders>
          </w:tcPr>
          <w:p w14:paraId="6F311D9C" w14:textId="77777777" w:rsidR="00607B40" w:rsidRDefault="00607B40">
            <w:pPr>
              <w:pStyle w:val="Synopsis"/>
            </w:pPr>
            <w:r>
              <w:t>(For national authority use only)</w:t>
            </w:r>
          </w:p>
        </w:tc>
      </w:tr>
      <w:tr w:rsidR="00607B40" w14:paraId="7EBAB693" w14:textId="77777777" w:rsidTr="00401008">
        <w:tc>
          <w:tcPr>
            <w:tcW w:w="3438" w:type="dxa"/>
            <w:tcBorders>
              <w:top w:val="nil"/>
              <w:bottom w:val="nil"/>
            </w:tcBorders>
          </w:tcPr>
          <w:p w14:paraId="0CA195F6" w14:textId="2239512D" w:rsidR="00607B40" w:rsidRDefault="00607B40">
            <w:pPr>
              <w:pStyle w:val="Synopsis"/>
              <w:rPr>
                <w:b/>
                <w:bCs/>
              </w:rPr>
            </w:pPr>
            <w:r>
              <w:rPr>
                <w:b/>
                <w:bCs/>
              </w:rPr>
              <w:t>Name of Finished Product:</w:t>
            </w:r>
            <w:r w:rsidR="001557AB">
              <w:t xml:space="preserve"> </w:t>
            </w:r>
            <w:r w:rsidR="001557AB" w:rsidRPr="001557AB">
              <w:rPr>
                <w:b/>
                <w:bCs/>
              </w:rPr>
              <w:t>Sym015</w:t>
            </w:r>
            <w:r w:rsidR="001557AB">
              <w:rPr>
                <w:b/>
                <w:bCs/>
              </w:rPr>
              <w:t xml:space="preserve"> Infusion</w:t>
            </w:r>
            <w:r>
              <w:rPr>
                <w:b/>
                <w:bCs/>
              </w:rPr>
              <w:br/>
            </w:r>
          </w:p>
        </w:tc>
        <w:tc>
          <w:tcPr>
            <w:tcW w:w="2466" w:type="dxa"/>
            <w:gridSpan w:val="2"/>
            <w:tcBorders>
              <w:top w:val="nil"/>
              <w:bottom w:val="nil"/>
            </w:tcBorders>
          </w:tcPr>
          <w:p w14:paraId="2E02B691" w14:textId="77777777" w:rsidR="00607B40" w:rsidRDefault="00607B40" w:rsidP="001557AB">
            <w:pPr>
              <w:pStyle w:val="Synopsis"/>
              <w:ind w:left="740"/>
              <w:rPr>
                <w:b/>
                <w:bCs/>
              </w:rPr>
            </w:pPr>
            <w:r>
              <w:rPr>
                <w:b/>
                <w:bCs/>
              </w:rPr>
              <w:t>Page:</w:t>
            </w:r>
          </w:p>
        </w:tc>
        <w:tc>
          <w:tcPr>
            <w:tcW w:w="2952" w:type="dxa"/>
            <w:tcBorders>
              <w:top w:val="nil"/>
              <w:bottom w:val="nil"/>
            </w:tcBorders>
          </w:tcPr>
          <w:p w14:paraId="392294FE" w14:textId="77777777" w:rsidR="00607B40" w:rsidRDefault="00607B40">
            <w:pPr>
              <w:pStyle w:val="Synopsis"/>
            </w:pPr>
          </w:p>
        </w:tc>
      </w:tr>
      <w:tr w:rsidR="00607B40" w14:paraId="182F99F7" w14:textId="77777777" w:rsidTr="00401008">
        <w:tc>
          <w:tcPr>
            <w:tcW w:w="3438" w:type="dxa"/>
            <w:tcBorders>
              <w:top w:val="nil"/>
              <w:bottom w:val="single" w:sz="4" w:space="0" w:color="auto"/>
            </w:tcBorders>
          </w:tcPr>
          <w:p w14:paraId="5BFB3198" w14:textId="2878A3FB" w:rsidR="00607B40" w:rsidRDefault="00607B40">
            <w:pPr>
              <w:pStyle w:val="Synopsis"/>
              <w:rPr>
                <w:b/>
                <w:bCs/>
              </w:rPr>
            </w:pPr>
            <w:r>
              <w:rPr>
                <w:b/>
                <w:bCs/>
              </w:rPr>
              <w:t>Name of Active Ingredient(s):</w:t>
            </w:r>
            <w:r w:rsidR="001557AB">
              <w:t xml:space="preserve"> </w:t>
            </w:r>
            <w:r w:rsidR="001557AB">
              <w:rPr>
                <w:b/>
                <w:bCs/>
              </w:rPr>
              <w:t>R</w:t>
            </w:r>
            <w:r w:rsidR="001557AB" w:rsidRPr="001557AB">
              <w:rPr>
                <w:b/>
                <w:bCs/>
              </w:rPr>
              <w:t xml:space="preserve">ecombinant antibody mixture </w:t>
            </w:r>
            <w:r w:rsidR="001557AB">
              <w:rPr>
                <w:b/>
                <w:bCs/>
              </w:rPr>
              <w:t>of</w:t>
            </w:r>
            <w:r w:rsidR="001557AB" w:rsidRPr="001557AB">
              <w:rPr>
                <w:b/>
                <w:bCs/>
              </w:rPr>
              <w:t xml:space="preserve"> Hu9006 and Hu9338</w:t>
            </w:r>
            <w:r>
              <w:rPr>
                <w:b/>
                <w:bCs/>
              </w:rPr>
              <w:br/>
            </w:r>
          </w:p>
        </w:tc>
        <w:tc>
          <w:tcPr>
            <w:tcW w:w="2466" w:type="dxa"/>
            <w:gridSpan w:val="2"/>
            <w:tcBorders>
              <w:top w:val="nil"/>
              <w:bottom w:val="single" w:sz="4" w:space="0" w:color="auto"/>
            </w:tcBorders>
          </w:tcPr>
          <w:p w14:paraId="4EAA685D" w14:textId="77777777" w:rsidR="00607B40" w:rsidRDefault="00607B40">
            <w:pPr>
              <w:pStyle w:val="Synopsis"/>
            </w:pPr>
          </w:p>
        </w:tc>
        <w:tc>
          <w:tcPr>
            <w:tcW w:w="2952" w:type="dxa"/>
            <w:tcBorders>
              <w:top w:val="nil"/>
              <w:bottom w:val="single" w:sz="4" w:space="0" w:color="auto"/>
            </w:tcBorders>
          </w:tcPr>
          <w:p w14:paraId="7A7290F2" w14:textId="77777777" w:rsidR="00607B40" w:rsidRDefault="00607B40">
            <w:pPr>
              <w:pStyle w:val="Synopsis"/>
            </w:pPr>
          </w:p>
        </w:tc>
      </w:tr>
      <w:tr w:rsidR="00607B40" w14:paraId="256321C6" w14:textId="77777777" w:rsidTr="00401008">
        <w:tc>
          <w:tcPr>
            <w:tcW w:w="8856" w:type="dxa"/>
            <w:gridSpan w:val="4"/>
            <w:tcBorders>
              <w:top w:val="single" w:sz="4" w:space="0" w:color="auto"/>
              <w:bottom w:val="single" w:sz="4" w:space="0" w:color="auto"/>
            </w:tcBorders>
          </w:tcPr>
          <w:p w14:paraId="75324A8E" w14:textId="2AE8BCBC" w:rsidR="00607B40" w:rsidRDefault="00607B40">
            <w:pPr>
              <w:pStyle w:val="Synopsis"/>
            </w:pPr>
            <w:r>
              <w:rPr>
                <w:b/>
                <w:bCs/>
              </w:rPr>
              <w:t>Title of Study:</w:t>
            </w:r>
            <w:r>
              <w:t xml:space="preserve"> </w:t>
            </w:r>
            <w:r w:rsidR="00622419" w:rsidRPr="00622419">
              <w:t xml:space="preserve">An Open-label, </w:t>
            </w:r>
            <w:proofErr w:type="spellStart"/>
            <w:r w:rsidR="00622419" w:rsidRPr="00622419">
              <w:t>Multicenter</w:t>
            </w:r>
            <w:proofErr w:type="spellEnd"/>
            <w:r w:rsidR="00622419" w:rsidRPr="00622419">
              <w:t xml:space="preserve"> Phase 1a/2a Trial Investigating the Safety, Tolerability and Antitumor Activity of Multiple Doses of Sym015, a Monoclonal Antibody Mixture Targeting </w:t>
            </w:r>
            <w:r w:rsidR="00AE10B8" w:rsidRPr="00245D8C">
              <w:rPr>
                <w:iCs/>
              </w:rPr>
              <w:t>MET</w:t>
            </w:r>
            <w:r w:rsidR="00622419" w:rsidRPr="00622419">
              <w:t xml:space="preserve">, in Patients with Advanced Solid </w:t>
            </w:r>
            <w:proofErr w:type="spellStart"/>
            <w:r w:rsidR="00622419" w:rsidRPr="00622419">
              <w:t>Tumor</w:t>
            </w:r>
            <w:proofErr w:type="spellEnd"/>
            <w:r w:rsidR="00622419" w:rsidRPr="00622419">
              <w:t xml:space="preserve"> Malignancies</w:t>
            </w:r>
          </w:p>
        </w:tc>
      </w:tr>
      <w:tr w:rsidR="00607B40" w14:paraId="6ED23C2C" w14:textId="77777777" w:rsidTr="00401008">
        <w:tc>
          <w:tcPr>
            <w:tcW w:w="8856" w:type="dxa"/>
            <w:gridSpan w:val="4"/>
            <w:tcBorders>
              <w:top w:val="single" w:sz="4" w:space="0" w:color="auto"/>
              <w:bottom w:val="single" w:sz="4" w:space="0" w:color="auto"/>
            </w:tcBorders>
          </w:tcPr>
          <w:p w14:paraId="671369E4" w14:textId="3D9D532F" w:rsidR="00607B40" w:rsidRDefault="00607B40">
            <w:pPr>
              <w:pStyle w:val="Synopsis"/>
            </w:pPr>
            <w:r>
              <w:rPr>
                <w:b/>
                <w:bCs/>
              </w:rPr>
              <w:t>Protocol Number:</w:t>
            </w:r>
            <w:r>
              <w:t xml:space="preserve"> </w:t>
            </w:r>
            <w:r w:rsidR="001557AB" w:rsidRPr="003E5DD8">
              <w:rPr>
                <w:szCs w:val="24"/>
              </w:rPr>
              <w:t>Sym015-01</w:t>
            </w:r>
          </w:p>
        </w:tc>
      </w:tr>
      <w:tr w:rsidR="00607B40" w14:paraId="67B6FA68" w14:textId="77777777" w:rsidTr="00401008">
        <w:tc>
          <w:tcPr>
            <w:tcW w:w="4428" w:type="dxa"/>
            <w:gridSpan w:val="2"/>
            <w:tcBorders>
              <w:top w:val="single" w:sz="4" w:space="0" w:color="auto"/>
              <w:bottom w:val="single" w:sz="4" w:space="0" w:color="auto"/>
            </w:tcBorders>
          </w:tcPr>
          <w:p w14:paraId="125B56DA" w14:textId="247F4E31" w:rsidR="00607B40" w:rsidRDefault="00607B40">
            <w:pPr>
              <w:pStyle w:val="Synopsis"/>
              <w:rPr>
                <w:b/>
                <w:bCs/>
              </w:rPr>
            </w:pPr>
            <w:r>
              <w:rPr>
                <w:b/>
                <w:bCs/>
              </w:rPr>
              <w:t>Study Period:</w:t>
            </w:r>
            <w:r w:rsidR="0058285A">
              <w:rPr>
                <w:b/>
                <w:bCs/>
              </w:rPr>
              <w:t xml:space="preserve"> </w:t>
            </w:r>
            <w:r w:rsidR="0058285A" w:rsidRPr="001140A5">
              <w:t>Data cut-off for this CSR was on 30 September 2020</w:t>
            </w:r>
            <w:r w:rsidR="00AB132E">
              <w:t xml:space="preserve"> (</w:t>
            </w:r>
            <w:r w:rsidR="00A22F19">
              <w:t>1 </w:t>
            </w:r>
            <w:r w:rsidR="00A22F19" w:rsidRPr="00EA0322">
              <w:t>patient continues to receive Sym015 in a Named Patient Program</w:t>
            </w:r>
            <w:r w:rsidR="00A22F19" w:rsidRPr="00315FF4">
              <w:t xml:space="preserve"> due to continued benefit</w:t>
            </w:r>
            <w:r w:rsidR="00A22F19">
              <w:t>)</w:t>
            </w:r>
            <w:r w:rsidR="00AB132E">
              <w:t xml:space="preserve"> </w:t>
            </w:r>
          </w:p>
          <w:p w14:paraId="551FAE34" w14:textId="0A7FF56C" w:rsidR="00607B40" w:rsidRDefault="00607B40">
            <w:pPr>
              <w:pStyle w:val="Synopsis"/>
            </w:pPr>
            <w:r>
              <w:rPr>
                <w:b/>
                <w:bCs/>
              </w:rPr>
              <w:t xml:space="preserve">Date of first </w:t>
            </w:r>
            <w:proofErr w:type="spellStart"/>
            <w:r>
              <w:rPr>
                <w:b/>
                <w:bCs/>
              </w:rPr>
              <w:t>enrollment</w:t>
            </w:r>
            <w:proofErr w:type="spellEnd"/>
            <w:r>
              <w:rPr>
                <w:b/>
                <w:bCs/>
              </w:rPr>
              <w:t>:</w:t>
            </w:r>
            <w:r>
              <w:tab/>
            </w:r>
            <w:r w:rsidR="001B7B81">
              <w:t>24 Mar 2016</w:t>
            </w:r>
            <w:r w:rsidR="005604B2">
              <w:t xml:space="preserve"> (First patient First Visit)</w:t>
            </w:r>
          </w:p>
          <w:p w14:paraId="3B6AE5E5" w14:textId="7AC8FD8C" w:rsidR="00607B40" w:rsidRDefault="00607B40">
            <w:pPr>
              <w:pStyle w:val="Synopsis"/>
            </w:pPr>
            <w:r>
              <w:rPr>
                <w:b/>
                <w:bCs/>
              </w:rPr>
              <w:t>Date of last completed:</w:t>
            </w:r>
            <w:r>
              <w:tab/>
            </w:r>
            <w:r w:rsidR="001B7B81">
              <w:t>17 Dec 2020</w:t>
            </w:r>
            <w:r w:rsidR="005604B2">
              <w:t xml:space="preserve"> (Last Patient Last Visit)</w:t>
            </w:r>
          </w:p>
        </w:tc>
        <w:tc>
          <w:tcPr>
            <w:tcW w:w="4428" w:type="dxa"/>
            <w:gridSpan w:val="2"/>
            <w:tcBorders>
              <w:top w:val="single" w:sz="4" w:space="0" w:color="auto"/>
              <w:bottom w:val="single" w:sz="4" w:space="0" w:color="auto"/>
            </w:tcBorders>
          </w:tcPr>
          <w:p w14:paraId="0F025657" w14:textId="578D1893" w:rsidR="00607B40" w:rsidRDefault="00607B40">
            <w:pPr>
              <w:pStyle w:val="Synopsis"/>
            </w:pPr>
            <w:r>
              <w:rPr>
                <w:b/>
                <w:bCs/>
              </w:rPr>
              <w:t>Phase of Development:</w:t>
            </w:r>
            <w:r>
              <w:t xml:space="preserve"> </w:t>
            </w:r>
            <w:r w:rsidR="001557AB" w:rsidRPr="003E5DD8">
              <w:rPr>
                <w:szCs w:val="24"/>
              </w:rPr>
              <w:t>1a/2a</w:t>
            </w:r>
          </w:p>
        </w:tc>
      </w:tr>
      <w:tr w:rsidR="00607B40" w14:paraId="2188B930" w14:textId="77777777" w:rsidTr="00401008">
        <w:tc>
          <w:tcPr>
            <w:tcW w:w="8856" w:type="dxa"/>
            <w:gridSpan w:val="4"/>
            <w:tcBorders>
              <w:top w:val="single" w:sz="4" w:space="0" w:color="auto"/>
              <w:bottom w:val="single" w:sz="4" w:space="0" w:color="auto"/>
            </w:tcBorders>
          </w:tcPr>
          <w:p w14:paraId="5DBC7C22" w14:textId="77777777" w:rsidR="00EA0452" w:rsidRDefault="00EA0452">
            <w:pPr>
              <w:pStyle w:val="Synopsis"/>
            </w:pPr>
            <w:r>
              <w:rPr>
                <w:b/>
                <w:bCs/>
              </w:rPr>
              <w:t xml:space="preserve">Coordinating </w:t>
            </w:r>
            <w:r w:rsidR="00607B40">
              <w:rPr>
                <w:b/>
                <w:bCs/>
              </w:rPr>
              <w:t>Investigator(s):</w:t>
            </w:r>
            <w:r w:rsidR="00607B40">
              <w:t xml:space="preserve">  </w:t>
            </w:r>
          </w:p>
          <w:p w14:paraId="5DDAD495" w14:textId="77777777" w:rsidR="00EA0452" w:rsidRDefault="00EA0452">
            <w:pPr>
              <w:pStyle w:val="Synopsis"/>
            </w:pPr>
            <w:r w:rsidRPr="00EA0452">
              <w:t>Amita Patnaik, MD, FRCP(C)</w:t>
            </w:r>
            <w:r>
              <w:t xml:space="preserve"> </w:t>
            </w:r>
          </w:p>
          <w:p w14:paraId="60E420E5" w14:textId="69DCFCCB" w:rsidR="00EA0452" w:rsidRDefault="00EA0452">
            <w:pPr>
              <w:pStyle w:val="Synopsis"/>
            </w:pPr>
            <w:r w:rsidRPr="00C93746">
              <w:t>Associate Director of Clinical Research</w:t>
            </w:r>
            <w:r>
              <w:br/>
            </w:r>
            <w:r w:rsidRPr="00C93746">
              <w:t>South Texas Accelerated Research Therapeutics, LLC</w:t>
            </w:r>
            <w:r>
              <w:t xml:space="preserve">, USA </w:t>
            </w:r>
          </w:p>
          <w:p w14:paraId="673B529B" w14:textId="77777777" w:rsidR="00EA0452" w:rsidRDefault="00EA0452">
            <w:pPr>
              <w:pStyle w:val="Synopsis"/>
            </w:pPr>
          </w:p>
          <w:p w14:paraId="71B14776" w14:textId="612E6AEB" w:rsidR="00607B40" w:rsidRDefault="00EA0452">
            <w:pPr>
              <w:pStyle w:val="Synopsis"/>
              <w:rPr>
                <w:iCs/>
              </w:rPr>
            </w:pPr>
            <w:r w:rsidRPr="00C93746">
              <w:t>David Ross Camidge, MD, PhD</w:t>
            </w:r>
            <w:r>
              <w:br/>
            </w:r>
            <w:r w:rsidRPr="00C93746">
              <w:t>Professor, Director of Thoracic Oncology</w:t>
            </w:r>
            <w:r>
              <w:br/>
            </w:r>
            <w:r w:rsidRPr="00C93746">
              <w:t>University of Colorado Denver</w:t>
            </w:r>
            <w:r>
              <w:br/>
              <w:t>USA</w:t>
            </w:r>
          </w:p>
          <w:p w14:paraId="390F7859" w14:textId="452A190C" w:rsidR="00607B40" w:rsidRDefault="00607B40">
            <w:pPr>
              <w:rPr>
                <w:b/>
              </w:rPr>
            </w:pPr>
          </w:p>
        </w:tc>
      </w:tr>
      <w:tr w:rsidR="00607B40" w14:paraId="52E0DBE8" w14:textId="77777777" w:rsidTr="00401008">
        <w:tc>
          <w:tcPr>
            <w:tcW w:w="8856" w:type="dxa"/>
            <w:gridSpan w:val="4"/>
            <w:tcBorders>
              <w:top w:val="single" w:sz="4" w:space="0" w:color="auto"/>
              <w:bottom w:val="single" w:sz="4" w:space="0" w:color="auto"/>
            </w:tcBorders>
          </w:tcPr>
          <w:p w14:paraId="15352B86" w14:textId="4E40DFB2" w:rsidR="00607B40" w:rsidRDefault="00607B40">
            <w:pPr>
              <w:pStyle w:val="Synopsis"/>
              <w:rPr>
                <w:iCs/>
              </w:rPr>
            </w:pPr>
            <w:r>
              <w:rPr>
                <w:b/>
                <w:bCs/>
              </w:rPr>
              <w:t xml:space="preserve">Study </w:t>
            </w:r>
            <w:proofErr w:type="spellStart"/>
            <w:r>
              <w:rPr>
                <w:b/>
                <w:bCs/>
              </w:rPr>
              <w:t>Center</w:t>
            </w:r>
            <w:proofErr w:type="spellEnd"/>
            <w:r>
              <w:rPr>
                <w:b/>
                <w:bCs/>
              </w:rPr>
              <w:t>(s):</w:t>
            </w:r>
            <w:r>
              <w:t xml:space="preserve"> </w:t>
            </w:r>
            <w:r w:rsidR="00C45ADF">
              <w:t>Multicentre study in United States, Europe, and Asia</w:t>
            </w:r>
          </w:p>
          <w:p w14:paraId="33D3794A" w14:textId="7B0FC28A" w:rsidR="00607B40" w:rsidRDefault="00607B40"/>
        </w:tc>
      </w:tr>
      <w:tr w:rsidR="00607B40" w14:paraId="7B7835A6" w14:textId="77777777" w:rsidTr="00401008">
        <w:tc>
          <w:tcPr>
            <w:tcW w:w="8856" w:type="dxa"/>
            <w:gridSpan w:val="4"/>
            <w:tcBorders>
              <w:top w:val="single" w:sz="4" w:space="0" w:color="auto"/>
              <w:bottom w:val="single" w:sz="4" w:space="0" w:color="auto"/>
            </w:tcBorders>
          </w:tcPr>
          <w:p w14:paraId="735BD40A" w14:textId="77777777" w:rsidR="00F834A6" w:rsidRDefault="00607B40">
            <w:pPr>
              <w:pStyle w:val="Synopsis"/>
            </w:pPr>
            <w:r>
              <w:rPr>
                <w:b/>
                <w:bCs/>
              </w:rPr>
              <w:t>Publication(s):</w:t>
            </w:r>
            <w:r>
              <w:t xml:space="preserve">  </w:t>
            </w:r>
          </w:p>
          <w:p w14:paraId="60A6F274" w14:textId="26F138F4" w:rsidR="00607B40" w:rsidRPr="002042E6" w:rsidRDefault="00E20812" w:rsidP="00F834A6">
            <w:pPr>
              <w:pStyle w:val="ListNumber"/>
              <w:numPr>
                <w:ilvl w:val="0"/>
                <w:numId w:val="12"/>
              </w:numPr>
              <w:ind w:left="357" w:hanging="357"/>
              <w:rPr>
                <w:iCs/>
                <w:sz w:val="20"/>
              </w:rPr>
            </w:pPr>
            <w:r w:rsidRPr="00F834A6">
              <w:rPr>
                <w:color w:val="0000FF"/>
                <w:sz w:val="20"/>
              </w:rPr>
              <w:t xml:space="preserve">Camidge DR, Janku H, Martinez Bueno A, et al: Safety and preliminary clinical activity of the MET antibody mixture Sym015 in advanced non-small cell lung cancer (NSCLC) patients with </w:t>
            </w:r>
            <w:r w:rsidRPr="00F834A6">
              <w:rPr>
                <w:i/>
                <w:iCs/>
                <w:color w:val="0000FF"/>
                <w:sz w:val="20"/>
              </w:rPr>
              <w:t>MET</w:t>
            </w:r>
            <w:r w:rsidRPr="00F834A6">
              <w:rPr>
                <w:color w:val="0000FF"/>
                <w:sz w:val="20"/>
              </w:rPr>
              <w:t>-amplification/exon 14 deletion (</w:t>
            </w:r>
            <w:proofErr w:type="spellStart"/>
            <w:r w:rsidRPr="00F834A6">
              <w:rPr>
                <w:color w:val="0000FF"/>
                <w:sz w:val="20"/>
              </w:rPr>
              <w:t>METAmp</w:t>
            </w:r>
            <w:proofErr w:type="spellEnd"/>
            <w:r w:rsidRPr="00F834A6">
              <w:rPr>
                <w:color w:val="0000FF"/>
                <w:sz w:val="20"/>
              </w:rPr>
              <w:t xml:space="preserve">/Ex14∆). </w:t>
            </w:r>
            <w:r w:rsidR="00F834A6" w:rsidRPr="00F834A6">
              <w:rPr>
                <w:color w:val="0000FF"/>
                <w:sz w:val="20"/>
              </w:rPr>
              <w:t>Presented at ASCO2020</w:t>
            </w:r>
            <w:r w:rsidR="00746B36">
              <w:rPr>
                <w:color w:val="0000FF"/>
                <w:sz w:val="20"/>
              </w:rPr>
              <w:t xml:space="preserve"> annual meeting.</w:t>
            </w:r>
          </w:p>
          <w:p w14:paraId="06015074" w14:textId="0DEF7A16" w:rsidR="002042E6" w:rsidRPr="002042E6" w:rsidRDefault="002042E6" w:rsidP="00F834A6">
            <w:pPr>
              <w:pStyle w:val="ListNumber"/>
              <w:numPr>
                <w:ilvl w:val="0"/>
                <w:numId w:val="12"/>
              </w:numPr>
              <w:ind w:left="357" w:hanging="357"/>
              <w:rPr>
                <w:iCs/>
                <w:sz w:val="20"/>
              </w:rPr>
            </w:pPr>
            <w:r w:rsidRPr="00F834A6">
              <w:rPr>
                <w:color w:val="0000FF"/>
                <w:sz w:val="20"/>
              </w:rPr>
              <w:t>Camidge DR, Janku H, Martinez Bueno A, et al</w:t>
            </w:r>
            <w:r w:rsidRPr="002042E6">
              <w:rPr>
                <w:color w:val="0000FF"/>
                <w:sz w:val="20"/>
              </w:rPr>
              <w:t xml:space="preserve">: Poster#1490PD: A Phase 1a/2a Trial of Sym015 - a MET Antibody Mixture - in Patients with Advanced Solid </w:t>
            </w:r>
            <w:proofErr w:type="spellStart"/>
            <w:r w:rsidRPr="002042E6">
              <w:rPr>
                <w:color w:val="0000FF"/>
                <w:sz w:val="20"/>
              </w:rPr>
              <w:t>Tumors</w:t>
            </w:r>
            <w:proofErr w:type="spellEnd"/>
            <w:r w:rsidR="00EA25B7">
              <w:rPr>
                <w:color w:val="0000FF"/>
                <w:sz w:val="20"/>
              </w:rPr>
              <w:t xml:space="preserve">. </w:t>
            </w:r>
            <w:r w:rsidR="00EA25B7" w:rsidRPr="00EA25B7">
              <w:rPr>
                <w:color w:val="0000FF"/>
                <w:sz w:val="20"/>
              </w:rPr>
              <w:t>Annals of Oncology (2019) 30 (suppl_5): v602-v660. 10.1093/</w:t>
            </w:r>
            <w:proofErr w:type="spellStart"/>
            <w:r w:rsidR="00EA25B7" w:rsidRPr="00EA25B7">
              <w:rPr>
                <w:color w:val="0000FF"/>
                <w:sz w:val="20"/>
              </w:rPr>
              <w:t>annonc</w:t>
            </w:r>
            <w:proofErr w:type="spellEnd"/>
            <w:r w:rsidR="00EA25B7" w:rsidRPr="00EA25B7">
              <w:rPr>
                <w:color w:val="0000FF"/>
                <w:sz w:val="20"/>
              </w:rPr>
              <w:t>/mdz260</w:t>
            </w:r>
          </w:p>
        </w:tc>
      </w:tr>
      <w:tr w:rsidR="00607B40" w14:paraId="50AE4088" w14:textId="77777777" w:rsidTr="00401008">
        <w:tc>
          <w:tcPr>
            <w:tcW w:w="8856" w:type="dxa"/>
            <w:gridSpan w:val="4"/>
            <w:tcBorders>
              <w:top w:val="single" w:sz="4" w:space="0" w:color="auto"/>
              <w:bottom w:val="single" w:sz="4" w:space="0" w:color="auto"/>
            </w:tcBorders>
          </w:tcPr>
          <w:p w14:paraId="15E64F15" w14:textId="4177E0DD" w:rsidR="00A01329" w:rsidRPr="003979E7" w:rsidRDefault="00A01329" w:rsidP="003979E7">
            <w:pPr>
              <w:pStyle w:val="Synopsis"/>
              <w:rPr>
                <w:b/>
                <w:bCs/>
              </w:rPr>
            </w:pPr>
            <w:r w:rsidRPr="003979E7">
              <w:rPr>
                <w:b/>
                <w:bCs/>
              </w:rPr>
              <w:t>Objectives of Part 1, Dose-Escalation</w:t>
            </w:r>
          </w:p>
          <w:p w14:paraId="3F74A31C" w14:textId="77777777" w:rsidR="00A01329" w:rsidRPr="003979E7" w:rsidRDefault="00A01329" w:rsidP="003979E7">
            <w:pPr>
              <w:pStyle w:val="Synopsis"/>
              <w:rPr>
                <w:b/>
                <w:bCs/>
              </w:rPr>
            </w:pPr>
            <w:r w:rsidRPr="003979E7">
              <w:rPr>
                <w:b/>
                <w:bCs/>
              </w:rPr>
              <w:t>Primary Objective</w:t>
            </w:r>
          </w:p>
          <w:p w14:paraId="78A231C6" w14:textId="77777777" w:rsidR="00A01329" w:rsidRPr="00A01329" w:rsidRDefault="00A01329" w:rsidP="00C66F01">
            <w:pPr>
              <w:pStyle w:val="Text"/>
              <w:spacing w:before="0" w:after="0"/>
              <w:rPr>
                <w:sz w:val="20"/>
              </w:rPr>
            </w:pPr>
            <w:r w:rsidRPr="00A01329">
              <w:rPr>
                <w:sz w:val="20"/>
              </w:rPr>
              <w:t xml:space="preserve">To assess the safety and tolerability of Sym015 when administered by intravenous (IV) infusion on a dosed every second week (Q2W) schedule to patients with </w:t>
            </w:r>
            <w:r w:rsidRPr="00A01329">
              <w:rPr>
                <w:i/>
                <w:sz w:val="20"/>
              </w:rPr>
              <w:t>KRAS</w:t>
            </w:r>
            <w:r w:rsidRPr="00A01329">
              <w:rPr>
                <w:sz w:val="20"/>
              </w:rPr>
              <w:t xml:space="preserve"> proto</w:t>
            </w:r>
            <w:r w:rsidRPr="00A01329">
              <w:rPr>
                <w:sz w:val="20"/>
              </w:rPr>
              <w:noBreakHyphen/>
              <w:t>oncogene</w:t>
            </w:r>
            <w:r w:rsidRPr="00A01329">
              <w:rPr>
                <w:i/>
                <w:sz w:val="20"/>
              </w:rPr>
              <w:t xml:space="preserve"> (KRAS) </w:t>
            </w:r>
            <w:r w:rsidRPr="00A01329">
              <w:rPr>
                <w:sz w:val="20"/>
              </w:rPr>
              <w:t xml:space="preserve">wild-type (WT) advanced solid tumor malignancies without available therapeutic options.  </w:t>
            </w:r>
          </w:p>
          <w:p w14:paraId="015C7983" w14:textId="77777777" w:rsidR="00A01329" w:rsidRPr="004D5978" w:rsidRDefault="00A01329" w:rsidP="004D5978">
            <w:pPr>
              <w:pStyle w:val="Synopsis"/>
              <w:rPr>
                <w:b/>
                <w:bCs/>
              </w:rPr>
            </w:pPr>
            <w:r w:rsidRPr="004D5978">
              <w:rPr>
                <w:b/>
                <w:bCs/>
              </w:rPr>
              <w:t>Secondary Objectives</w:t>
            </w:r>
          </w:p>
          <w:p w14:paraId="53AE3E60" w14:textId="77777777" w:rsidR="00A01329" w:rsidRPr="00A01329" w:rsidRDefault="00A01329" w:rsidP="00C66F01">
            <w:pPr>
              <w:pStyle w:val="ListNumber"/>
              <w:numPr>
                <w:ilvl w:val="0"/>
                <w:numId w:val="30"/>
              </w:numPr>
              <w:ind w:left="357" w:hanging="357"/>
              <w:rPr>
                <w:sz w:val="20"/>
              </w:rPr>
            </w:pPr>
            <w:r w:rsidRPr="00A01329">
              <w:rPr>
                <w:sz w:val="20"/>
              </w:rPr>
              <w:t>To determine a Q2W recommended phase 2 dose (RP2D) of Sym015.</w:t>
            </w:r>
          </w:p>
          <w:p w14:paraId="5E9BD406" w14:textId="77777777" w:rsidR="00A01329" w:rsidRPr="00A01329" w:rsidRDefault="00A01329" w:rsidP="00C66F01">
            <w:pPr>
              <w:pStyle w:val="ListNumber"/>
              <w:numPr>
                <w:ilvl w:val="0"/>
                <w:numId w:val="30"/>
              </w:numPr>
              <w:ind w:left="357" w:hanging="357"/>
              <w:rPr>
                <w:sz w:val="20"/>
              </w:rPr>
            </w:pPr>
            <w:r w:rsidRPr="00A01329">
              <w:rPr>
                <w:sz w:val="20"/>
              </w:rPr>
              <w:t>To evaluate the pharmacokinetic (PK) profile of Sym015.</w:t>
            </w:r>
          </w:p>
          <w:p w14:paraId="1B21C5BF" w14:textId="77777777" w:rsidR="00A01329" w:rsidRPr="00A01329" w:rsidRDefault="00A01329" w:rsidP="00C66F01">
            <w:pPr>
              <w:pStyle w:val="ListNumber"/>
              <w:numPr>
                <w:ilvl w:val="0"/>
                <w:numId w:val="30"/>
              </w:numPr>
              <w:ind w:left="357" w:hanging="357"/>
              <w:rPr>
                <w:sz w:val="20"/>
              </w:rPr>
            </w:pPr>
            <w:r w:rsidRPr="00A01329">
              <w:rPr>
                <w:sz w:val="20"/>
              </w:rPr>
              <w:t>To evaluate target-engagement in skin biopsy tissue.</w:t>
            </w:r>
          </w:p>
          <w:p w14:paraId="79ABE283" w14:textId="77777777" w:rsidR="00A01329" w:rsidRPr="00A01329" w:rsidRDefault="00A01329" w:rsidP="00C66F01">
            <w:pPr>
              <w:pStyle w:val="ListNumber"/>
              <w:numPr>
                <w:ilvl w:val="0"/>
                <w:numId w:val="30"/>
              </w:numPr>
              <w:ind w:left="357" w:hanging="357"/>
              <w:rPr>
                <w:sz w:val="20"/>
              </w:rPr>
            </w:pPr>
            <w:r w:rsidRPr="00A01329">
              <w:rPr>
                <w:sz w:val="20"/>
              </w:rPr>
              <w:t>To evaluate the immunogenicity of Sym015.</w:t>
            </w:r>
          </w:p>
          <w:p w14:paraId="521DA949" w14:textId="77777777" w:rsidR="00A01329" w:rsidRPr="00A01329" w:rsidRDefault="00A01329" w:rsidP="00C66F01">
            <w:pPr>
              <w:pStyle w:val="ListNumber"/>
              <w:numPr>
                <w:ilvl w:val="0"/>
                <w:numId w:val="30"/>
              </w:numPr>
              <w:ind w:left="357" w:hanging="357"/>
              <w:rPr>
                <w:sz w:val="20"/>
              </w:rPr>
            </w:pPr>
            <w:r w:rsidRPr="00A01329">
              <w:rPr>
                <w:sz w:val="20"/>
              </w:rPr>
              <w:t>To evaluate potential pharmacodynamic biomarkers of Sym015 action, and estimate, if feasible, the magnitude of biological activity.</w:t>
            </w:r>
          </w:p>
          <w:p w14:paraId="56F42C5C" w14:textId="0F34BB27" w:rsidR="00A01329" w:rsidRDefault="00A01329" w:rsidP="00C66F01">
            <w:pPr>
              <w:pStyle w:val="ListNumber"/>
              <w:numPr>
                <w:ilvl w:val="0"/>
                <w:numId w:val="30"/>
              </w:numPr>
              <w:ind w:left="357" w:hanging="357"/>
              <w:rPr>
                <w:sz w:val="20"/>
              </w:rPr>
            </w:pPr>
            <w:r w:rsidRPr="00A01329">
              <w:rPr>
                <w:sz w:val="20"/>
              </w:rPr>
              <w:t xml:space="preserve">To make a preliminary evaluation of the antitumor activity of Sym015. </w:t>
            </w:r>
          </w:p>
          <w:p w14:paraId="74FC6EBA" w14:textId="77777777" w:rsidR="00D44B54" w:rsidRPr="00733E07" w:rsidRDefault="00D44B54" w:rsidP="00D44B54">
            <w:pPr>
              <w:pStyle w:val="ListNumber"/>
              <w:ind w:left="357"/>
              <w:rPr>
                <w:sz w:val="20"/>
                <w:lang w:val="en-US"/>
              </w:rPr>
            </w:pPr>
          </w:p>
          <w:p w14:paraId="7056B344" w14:textId="77777777" w:rsidR="00A01329" w:rsidRPr="004D5978" w:rsidRDefault="00A01329" w:rsidP="004D5978">
            <w:pPr>
              <w:pStyle w:val="Synopsis"/>
              <w:rPr>
                <w:b/>
                <w:bCs/>
              </w:rPr>
            </w:pPr>
            <w:r w:rsidRPr="004D5978">
              <w:rPr>
                <w:b/>
                <w:bCs/>
              </w:rPr>
              <w:t>Objectives of Part 2, Dose-Expansion</w:t>
            </w:r>
          </w:p>
          <w:p w14:paraId="49281C7B" w14:textId="77777777" w:rsidR="00A01329" w:rsidRPr="004D5978" w:rsidRDefault="00A01329" w:rsidP="004D5978">
            <w:pPr>
              <w:pStyle w:val="Synopsis"/>
              <w:rPr>
                <w:b/>
                <w:bCs/>
              </w:rPr>
            </w:pPr>
            <w:r w:rsidRPr="004D5978">
              <w:rPr>
                <w:b/>
                <w:bCs/>
              </w:rPr>
              <w:t>Primary Objective</w:t>
            </w:r>
          </w:p>
          <w:p w14:paraId="22D9805D" w14:textId="77777777" w:rsidR="00A01329" w:rsidRPr="00A01329" w:rsidRDefault="00A01329" w:rsidP="00C66F01">
            <w:pPr>
              <w:pStyle w:val="Text"/>
              <w:spacing w:before="0" w:after="0"/>
              <w:rPr>
                <w:sz w:val="20"/>
              </w:rPr>
            </w:pPr>
            <w:r w:rsidRPr="00A01329">
              <w:rPr>
                <w:sz w:val="20"/>
              </w:rPr>
              <w:t xml:space="preserve">To evaluate the antitumor activity of Sym015 when administered at the Q2W RP2D to patients in the following Cohorts: </w:t>
            </w:r>
          </w:p>
          <w:p w14:paraId="0D1E35EC" w14:textId="77777777" w:rsidR="00A01329" w:rsidRPr="00DD46B9" w:rsidRDefault="00A01329" w:rsidP="00DD46B9">
            <w:pPr>
              <w:pStyle w:val="ListNumber"/>
              <w:numPr>
                <w:ilvl w:val="0"/>
                <w:numId w:val="49"/>
              </w:numPr>
              <w:ind w:left="357" w:hanging="357"/>
              <w:rPr>
                <w:sz w:val="20"/>
                <w:u w:val="single"/>
              </w:rPr>
            </w:pPr>
            <w:r w:rsidRPr="00A01329">
              <w:rPr>
                <w:sz w:val="20"/>
                <w:u w:val="single"/>
              </w:rPr>
              <w:t>Basket Cohort</w:t>
            </w:r>
            <w:r w:rsidRPr="00DD46B9">
              <w:rPr>
                <w:sz w:val="20"/>
                <w:u w:val="single"/>
              </w:rPr>
              <w:t xml:space="preserve">: </w:t>
            </w:r>
            <w:r w:rsidRPr="00DD46B9">
              <w:rPr>
                <w:i/>
                <w:iCs/>
                <w:sz w:val="20"/>
                <w:u w:val="single"/>
              </w:rPr>
              <w:t>MET</w:t>
            </w:r>
            <w:r w:rsidRPr="00DD46B9">
              <w:rPr>
                <w:sz w:val="20"/>
                <w:u w:val="single"/>
              </w:rPr>
              <w:t xml:space="preserve">-amplified, </w:t>
            </w:r>
            <w:r w:rsidRPr="00DD46B9">
              <w:rPr>
                <w:i/>
                <w:iCs/>
                <w:sz w:val="20"/>
                <w:u w:val="single"/>
              </w:rPr>
              <w:t>KRAS</w:t>
            </w:r>
            <w:r w:rsidRPr="00DD46B9">
              <w:rPr>
                <w:sz w:val="20"/>
                <w:u w:val="single"/>
              </w:rPr>
              <w:t xml:space="preserve"> WT solid </w:t>
            </w:r>
            <w:proofErr w:type="spellStart"/>
            <w:r w:rsidRPr="00DD46B9">
              <w:rPr>
                <w:sz w:val="20"/>
                <w:u w:val="single"/>
              </w:rPr>
              <w:t>tumor</w:t>
            </w:r>
            <w:proofErr w:type="spellEnd"/>
            <w:r w:rsidRPr="00DD46B9">
              <w:rPr>
                <w:sz w:val="20"/>
                <w:u w:val="single"/>
              </w:rPr>
              <w:t xml:space="preserve"> malignancies without available therapeutic options; patients must not have received prior therapy with a MET</w:t>
            </w:r>
            <w:r w:rsidRPr="00DD46B9">
              <w:rPr>
                <w:sz w:val="20"/>
                <w:u w:val="single"/>
              </w:rPr>
              <w:noBreakHyphen/>
              <w:t xml:space="preserve">targeting Tyrosine Kinase Inhibitor (TKI). </w:t>
            </w:r>
          </w:p>
          <w:p w14:paraId="5B0752CF" w14:textId="77777777" w:rsidR="00A01329" w:rsidRPr="00A01329" w:rsidRDefault="00A01329" w:rsidP="00DD46B9">
            <w:pPr>
              <w:pStyle w:val="ListNumber"/>
              <w:numPr>
                <w:ilvl w:val="0"/>
                <w:numId w:val="49"/>
              </w:numPr>
              <w:ind w:left="357" w:hanging="357"/>
              <w:rPr>
                <w:sz w:val="20"/>
              </w:rPr>
            </w:pPr>
            <w:r w:rsidRPr="00A01329">
              <w:rPr>
                <w:sz w:val="20"/>
                <w:u w:val="single"/>
              </w:rPr>
              <w:t xml:space="preserve">NSCLC </w:t>
            </w:r>
            <w:r w:rsidRPr="00A01329">
              <w:rPr>
                <w:i/>
                <w:sz w:val="20"/>
                <w:u w:val="single"/>
              </w:rPr>
              <w:t>MET-</w:t>
            </w:r>
            <w:r w:rsidRPr="00A01329">
              <w:rPr>
                <w:sz w:val="20"/>
                <w:u w:val="single"/>
              </w:rPr>
              <w:t>Amplified Cohort</w:t>
            </w:r>
            <w:r w:rsidRPr="00A01329">
              <w:rPr>
                <w:sz w:val="20"/>
              </w:rPr>
              <w:t xml:space="preserve">: </w:t>
            </w:r>
            <w:r w:rsidRPr="00A01329">
              <w:rPr>
                <w:i/>
                <w:sz w:val="20"/>
              </w:rPr>
              <w:t>MET</w:t>
            </w:r>
            <w:r w:rsidRPr="00A01329">
              <w:rPr>
                <w:sz w:val="20"/>
              </w:rPr>
              <w:t xml:space="preserve">-amplified advanced NSCLC without available therapeutic options; patients could have received prior therapy with </w:t>
            </w:r>
            <w:r w:rsidRPr="00245D8C">
              <w:rPr>
                <w:iCs/>
                <w:sz w:val="20"/>
              </w:rPr>
              <w:t>MET</w:t>
            </w:r>
            <w:r w:rsidRPr="00A01329">
              <w:rPr>
                <w:sz w:val="20"/>
              </w:rPr>
              <w:t xml:space="preserve">-targeting and/or Epidermal Growth Factor Receptor (EGFR)-targeting agents. </w:t>
            </w:r>
          </w:p>
          <w:p w14:paraId="4300B241" w14:textId="77777777" w:rsidR="00A01329" w:rsidRPr="00A01329" w:rsidRDefault="00A01329" w:rsidP="00DD46B9">
            <w:pPr>
              <w:pStyle w:val="ListNumber"/>
              <w:numPr>
                <w:ilvl w:val="0"/>
                <w:numId w:val="49"/>
              </w:numPr>
              <w:ind w:left="357" w:hanging="357"/>
              <w:rPr>
                <w:sz w:val="20"/>
              </w:rPr>
            </w:pPr>
            <w:r w:rsidRPr="00A01329">
              <w:rPr>
                <w:sz w:val="20"/>
                <w:u w:val="single"/>
              </w:rPr>
              <w:t xml:space="preserve">NSCLC </w:t>
            </w:r>
            <w:r w:rsidRPr="00A01329">
              <w:rPr>
                <w:i/>
                <w:sz w:val="20"/>
                <w:u w:val="single"/>
              </w:rPr>
              <w:t>MET</w:t>
            </w:r>
            <w:r w:rsidRPr="00A01329">
              <w:rPr>
                <w:sz w:val="20"/>
                <w:u w:val="single"/>
                <w:vertAlign w:val="superscript"/>
              </w:rPr>
              <w:t>Ex14Del</w:t>
            </w:r>
            <w:r w:rsidRPr="00A01329">
              <w:rPr>
                <w:sz w:val="20"/>
                <w:u w:val="single"/>
              </w:rPr>
              <w:t xml:space="preserve"> Cohort</w:t>
            </w:r>
            <w:r w:rsidRPr="00A01329">
              <w:rPr>
                <w:sz w:val="20"/>
              </w:rPr>
              <w:t xml:space="preserve">: </w:t>
            </w:r>
            <w:r w:rsidRPr="00A01329">
              <w:rPr>
                <w:i/>
                <w:sz w:val="20"/>
              </w:rPr>
              <w:t>MET</w:t>
            </w:r>
            <w:r w:rsidRPr="00A01329">
              <w:rPr>
                <w:sz w:val="20"/>
                <w:vertAlign w:val="superscript"/>
              </w:rPr>
              <w:t>Ex14Del</w:t>
            </w:r>
            <w:r w:rsidRPr="00A01329">
              <w:rPr>
                <w:sz w:val="20"/>
              </w:rPr>
              <w:t xml:space="preserve"> advanced NSCLC without available therapeutic options; patients could have received prior therapy with </w:t>
            </w:r>
            <w:r w:rsidRPr="00245D8C">
              <w:rPr>
                <w:iCs/>
                <w:sz w:val="20"/>
              </w:rPr>
              <w:t>MET</w:t>
            </w:r>
            <w:r w:rsidRPr="00A01329">
              <w:rPr>
                <w:sz w:val="20"/>
              </w:rPr>
              <w:t>-targeting and/or EGFR-targeting agents.</w:t>
            </w:r>
          </w:p>
          <w:p w14:paraId="0CC34667" w14:textId="77777777" w:rsidR="00A01329" w:rsidRPr="004D5978" w:rsidRDefault="00A01329" w:rsidP="004D5978">
            <w:pPr>
              <w:pStyle w:val="Synopsis"/>
              <w:rPr>
                <w:b/>
                <w:bCs/>
              </w:rPr>
            </w:pPr>
            <w:r w:rsidRPr="004D5978">
              <w:rPr>
                <w:b/>
                <w:bCs/>
              </w:rPr>
              <w:t>Secondary Objectives</w:t>
            </w:r>
          </w:p>
          <w:p w14:paraId="3A708847" w14:textId="77777777" w:rsidR="00A01329" w:rsidRPr="00A01329" w:rsidRDefault="00A01329" w:rsidP="00C66F01">
            <w:pPr>
              <w:pStyle w:val="ListNumber"/>
              <w:numPr>
                <w:ilvl w:val="0"/>
                <w:numId w:val="35"/>
              </w:numPr>
              <w:ind w:left="357" w:hanging="357"/>
              <w:rPr>
                <w:sz w:val="20"/>
              </w:rPr>
            </w:pPr>
            <w:r w:rsidRPr="00A01329">
              <w:rPr>
                <w:sz w:val="20"/>
              </w:rPr>
              <w:t xml:space="preserve">To further evaluate the safety and tolerability of Sym015 when administered at the Q2W RP2D. </w:t>
            </w:r>
          </w:p>
          <w:p w14:paraId="0A28E1BD" w14:textId="77777777" w:rsidR="00A01329" w:rsidRPr="00A01329" w:rsidRDefault="00A01329" w:rsidP="00C66F01">
            <w:pPr>
              <w:pStyle w:val="ListNumber"/>
              <w:numPr>
                <w:ilvl w:val="0"/>
                <w:numId w:val="35"/>
              </w:numPr>
              <w:ind w:left="357" w:hanging="357"/>
              <w:rPr>
                <w:sz w:val="20"/>
              </w:rPr>
            </w:pPr>
            <w:r w:rsidRPr="00A01329">
              <w:rPr>
                <w:sz w:val="20"/>
              </w:rPr>
              <w:t>To further evaluate the PK profile of Sym015 when administered at the Q2W RP2D.</w:t>
            </w:r>
          </w:p>
          <w:p w14:paraId="5D68D03F" w14:textId="77777777" w:rsidR="00A01329" w:rsidRPr="00A01329" w:rsidRDefault="00A01329" w:rsidP="00C66F01">
            <w:pPr>
              <w:pStyle w:val="ListNumber"/>
              <w:numPr>
                <w:ilvl w:val="0"/>
                <w:numId w:val="35"/>
              </w:numPr>
              <w:ind w:left="357" w:hanging="357"/>
              <w:rPr>
                <w:sz w:val="20"/>
              </w:rPr>
            </w:pPr>
            <w:r w:rsidRPr="00A01329">
              <w:rPr>
                <w:sz w:val="20"/>
              </w:rPr>
              <w:t>To further evaluate the immunogenicity of Sym015 when administered at the Q2W RP2D.</w:t>
            </w:r>
          </w:p>
          <w:p w14:paraId="1909F0C2" w14:textId="77777777" w:rsidR="00A01329" w:rsidRPr="00A01329" w:rsidRDefault="00A01329" w:rsidP="00C66F01">
            <w:pPr>
              <w:pStyle w:val="ListNumber"/>
              <w:numPr>
                <w:ilvl w:val="0"/>
                <w:numId w:val="35"/>
              </w:numPr>
              <w:ind w:left="357" w:hanging="357"/>
              <w:rPr>
                <w:sz w:val="20"/>
              </w:rPr>
            </w:pPr>
            <w:r w:rsidRPr="00A01329">
              <w:rPr>
                <w:sz w:val="20"/>
              </w:rPr>
              <w:t xml:space="preserve">To further evaluate potential pharmacodynamic </w:t>
            </w:r>
            <w:r w:rsidRPr="00A33A4D">
              <w:rPr>
                <w:sz w:val="20"/>
                <w:lang w:val="en-US"/>
              </w:rPr>
              <w:t>biomarkers</w:t>
            </w:r>
            <w:r w:rsidRPr="00A01329">
              <w:rPr>
                <w:sz w:val="20"/>
              </w:rPr>
              <w:t xml:space="preserve"> of Sym015 action, and estimate, if feasible, the magnitude of biological activity when administered at the Q2W RP2D.</w:t>
            </w:r>
          </w:p>
          <w:p w14:paraId="4DAF1465" w14:textId="1705AB53" w:rsidR="00A01329" w:rsidRPr="00A01329" w:rsidRDefault="00A01329" w:rsidP="004D5978">
            <w:pPr>
              <w:pStyle w:val="ListNumber"/>
              <w:numPr>
                <w:ilvl w:val="0"/>
                <w:numId w:val="35"/>
              </w:numPr>
              <w:ind w:left="357" w:hanging="357"/>
            </w:pPr>
            <w:r w:rsidRPr="00A01329">
              <w:rPr>
                <w:sz w:val="20"/>
              </w:rPr>
              <w:t xml:space="preserve">Basket Cohort: To make a preliminary assessment of the antitumor activity of Sym015, and to evaluate </w:t>
            </w:r>
            <w:proofErr w:type="gramStart"/>
            <w:r w:rsidRPr="00A01329">
              <w:rPr>
                <w:sz w:val="20"/>
              </w:rPr>
              <w:t>all of</w:t>
            </w:r>
            <w:proofErr w:type="gramEnd"/>
            <w:r w:rsidRPr="00A01329">
              <w:rPr>
                <w:sz w:val="20"/>
              </w:rPr>
              <w:t xml:space="preserve"> the above secondary objectives, in a subset of approximately 6 patients with solid </w:t>
            </w:r>
            <w:proofErr w:type="spellStart"/>
            <w:r w:rsidRPr="00A01329">
              <w:rPr>
                <w:sz w:val="20"/>
              </w:rPr>
              <w:t>tumor</w:t>
            </w:r>
            <w:proofErr w:type="spellEnd"/>
            <w:r w:rsidRPr="00A01329">
              <w:rPr>
                <w:sz w:val="20"/>
              </w:rPr>
              <w:t xml:space="preserve"> malignancies administered Sym015 at the Q2W RP2D after having received prior therapy with a MET-targeting TKI.</w:t>
            </w:r>
          </w:p>
        </w:tc>
      </w:tr>
      <w:tr w:rsidR="00607B40" w14:paraId="21C19FA8" w14:textId="77777777" w:rsidTr="00401008">
        <w:tc>
          <w:tcPr>
            <w:tcW w:w="8856" w:type="dxa"/>
            <w:gridSpan w:val="4"/>
            <w:tcBorders>
              <w:top w:val="single" w:sz="4" w:space="0" w:color="auto"/>
              <w:bottom w:val="single" w:sz="4" w:space="0" w:color="auto"/>
            </w:tcBorders>
          </w:tcPr>
          <w:p w14:paraId="70EAD82A" w14:textId="77777777" w:rsidR="00607B40" w:rsidRPr="004D5978" w:rsidRDefault="00607B40" w:rsidP="00C66F01">
            <w:pPr>
              <w:pStyle w:val="Synopsis"/>
              <w:rPr>
                <w:b/>
                <w:bCs/>
              </w:rPr>
            </w:pPr>
            <w:r w:rsidRPr="004D5978">
              <w:rPr>
                <w:b/>
                <w:bCs/>
              </w:rPr>
              <w:t xml:space="preserve">Study Design:  </w:t>
            </w:r>
          </w:p>
          <w:p w14:paraId="7C73CA20" w14:textId="77777777" w:rsidR="00C66F01" w:rsidRPr="00C66F01" w:rsidRDefault="00C66F01" w:rsidP="00C66F01">
            <w:pPr>
              <w:pStyle w:val="Text"/>
              <w:spacing w:before="0" w:after="0"/>
              <w:rPr>
                <w:sz w:val="20"/>
              </w:rPr>
            </w:pPr>
            <w:r w:rsidRPr="00C66F01">
              <w:rPr>
                <w:sz w:val="20"/>
              </w:rPr>
              <w:t>This was an open-label, multicenter study comprising 2 parts:</w:t>
            </w:r>
          </w:p>
          <w:p w14:paraId="011E2C08" w14:textId="77777777" w:rsidR="00C66F01" w:rsidRPr="00C66F01" w:rsidRDefault="00C66F01" w:rsidP="00C66F01">
            <w:pPr>
              <w:pStyle w:val="BulletList1"/>
              <w:rPr>
                <w:sz w:val="20"/>
              </w:rPr>
            </w:pPr>
            <w:r w:rsidRPr="00C66F01">
              <w:rPr>
                <w:sz w:val="20"/>
              </w:rPr>
              <w:t>Part 1 was a Phase 1a dose-escalation in patients with KRAS WT advanced solid tumor malignancies without available therapeutic options.</w:t>
            </w:r>
          </w:p>
          <w:p w14:paraId="7D8BF2DD" w14:textId="77777777" w:rsidR="00C66F01" w:rsidRPr="00C66F01" w:rsidRDefault="00C66F01" w:rsidP="00C66F01">
            <w:pPr>
              <w:pStyle w:val="BulletList1"/>
              <w:rPr>
                <w:sz w:val="20"/>
              </w:rPr>
            </w:pPr>
            <w:r w:rsidRPr="00C66F01">
              <w:rPr>
                <w:sz w:val="20"/>
              </w:rPr>
              <w:t>Part 2 was a Phase 2a dose-expansion in which dosing was done at the RP2D on Q2W schedule. Three Cohorts were included:</w:t>
            </w:r>
          </w:p>
          <w:p w14:paraId="7CF0FED2" w14:textId="77777777" w:rsidR="00C66F01" w:rsidRPr="00C66F01" w:rsidRDefault="00C66F01" w:rsidP="00C66F01">
            <w:pPr>
              <w:pStyle w:val="BulletList2"/>
              <w:ind w:left="697" w:hanging="357"/>
              <w:rPr>
                <w:sz w:val="20"/>
              </w:rPr>
            </w:pPr>
            <w:r w:rsidRPr="00C66F01">
              <w:rPr>
                <w:sz w:val="20"/>
                <w:u w:val="single"/>
              </w:rPr>
              <w:t>Basket Cohort:</w:t>
            </w:r>
            <w:r w:rsidRPr="00C66F01">
              <w:rPr>
                <w:sz w:val="20"/>
              </w:rPr>
              <w:t xml:space="preserve"> A Cohort of approximately 25 patients with </w:t>
            </w:r>
            <w:r w:rsidRPr="00C66F01">
              <w:rPr>
                <w:i/>
                <w:sz w:val="20"/>
              </w:rPr>
              <w:t>KRAS</w:t>
            </w:r>
            <w:r w:rsidRPr="00C66F01">
              <w:rPr>
                <w:sz w:val="20"/>
              </w:rPr>
              <w:t xml:space="preserve"> WT advanced solid tumor malignancies with </w:t>
            </w:r>
            <w:r w:rsidRPr="00C66F01">
              <w:rPr>
                <w:i/>
                <w:sz w:val="20"/>
              </w:rPr>
              <w:t>MET</w:t>
            </w:r>
            <w:r w:rsidRPr="00C66F01">
              <w:rPr>
                <w:sz w:val="20"/>
              </w:rPr>
              <w:t xml:space="preserve">-amplification, and without available therapeutic options. It was planned that this group would include a subset of approximately 6 patients who had received prior therapy with a </w:t>
            </w:r>
            <w:r w:rsidRPr="00245D8C">
              <w:rPr>
                <w:iCs/>
                <w:sz w:val="20"/>
              </w:rPr>
              <w:t>MET</w:t>
            </w:r>
            <w:r w:rsidRPr="00C66F01">
              <w:rPr>
                <w:sz w:val="20"/>
              </w:rPr>
              <w:t xml:space="preserve">-targeting TKI. A Basket Cohort was designed to evaluate the potential antitumor effects of a targeted therapy by enriching for patients with a defined genetic alteration (e.g., mutations in or overexpression of specific genes) regardless of the </w:t>
            </w:r>
            <w:proofErr w:type="spellStart"/>
            <w:r w:rsidRPr="00C66F01">
              <w:rPr>
                <w:sz w:val="20"/>
              </w:rPr>
              <w:t>histotype</w:t>
            </w:r>
            <w:proofErr w:type="spellEnd"/>
            <w:r w:rsidRPr="00C66F01">
              <w:rPr>
                <w:sz w:val="20"/>
              </w:rPr>
              <w:t xml:space="preserve"> of the enrolled patients’ tumors.</w:t>
            </w:r>
          </w:p>
          <w:p w14:paraId="446CB14E" w14:textId="77777777" w:rsidR="00C66F01" w:rsidRPr="00C66F01" w:rsidRDefault="00C66F01" w:rsidP="00C66F01">
            <w:pPr>
              <w:pStyle w:val="BulletList2"/>
              <w:ind w:left="697" w:hanging="357"/>
              <w:rPr>
                <w:sz w:val="20"/>
              </w:rPr>
            </w:pPr>
            <w:r w:rsidRPr="00C66F01">
              <w:rPr>
                <w:sz w:val="20"/>
                <w:u w:val="single"/>
              </w:rPr>
              <w:t xml:space="preserve">NSCLC </w:t>
            </w:r>
            <w:r w:rsidRPr="00C66F01">
              <w:rPr>
                <w:i/>
                <w:sz w:val="20"/>
                <w:u w:val="single"/>
              </w:rPr>
              <w:t>MET-</w:t>
            </w:r>
            <w:r w:rsidRPr="00C66F01">
              <w:rPr>
                <w:sz w:val="20"/>
                <w:u w:val="single"/>
              </w:rPr>
              <w:t>Amplified Cohort</w:t>
            </w:r>
            <w:r w:rsidRPr="00C66F01">
              <w:rPr>
                <w:sz w:val="20"/>
              </w:rPr>
              <w:t xml:space="preserve">: A Cohort of approximately 20 planned patients with advanced NSCLC with </w:t>
            </w:r>
            <w:r w:rsidRPr="00C66F01">
              <w:rPr>
                <w:i/>
                <w:sz w:val="20"/>
              </w:rPr>
              <w:t>MET</w:t>
            </w:r>
            <w:r w:rsidRPr="00C66F01">
              <w:rPr>
                <w:sz w:val="20"/>
              </w:rPr>
              <w:t xml:space="preserve">-amplification, and without available therapeutic options. Patients may have received prior therapy with </w:t>
            </w:r>
            <w:r w:rsidRPr="00245D8C">
              <w:rPr>
                <w:iCs/>
                <w:sz w:val="20"/>
              </w:rPr>
              <w:t>MET</w:t>
            </w:r>
            <w:r w:rsidRPr="00C66F01">
              <w:rPr>
                <w:sz w:val="20"/>
              </w:rPr>
              <w:t>-targeting and/or EGFR-targeting agents.</w:t>
            </w:r>
          </w:p>
          <w:p w14:paraId="18DAD049" w14:textId="77777777" w:rsidR="00C66F01" w:rsidRPr="00C66F01" w:rsidRDefault="00C66F01" w:rsidP="00C66F01">
            <w:pPr>
              <w:pStyle w:val="BulletList2"/>
              <w:ind w:left="697" w:hanging="357"/>
              <w:rPr>
                <w:sz w:val="20"/>
              </w:rPr>
            </w:pPr>
            <w:r w:rsidRPr="00C66F01">
              <w:rPr>
                <w:sz w:val="20"/>
                <w:u w:val="single"/>
              </w:rPr>
              <w:t xml:space="preserve">NSCLC </w:t>
            </w:r>
            <w:r w:rsidRPr="00C66F01">
              <w:rPr>
                <w:i/>
                <w:sz w:val="20"/>
                <w:u w:val="single"/>
              </w:rPr>
              <w:t>MET</w:t>
            </w:r>
            <w:r w:rsidRPr="00C66F01">
              <w:rPr>
                <w:sz w:val="20"/>
                <w:u w:val="single"/>
                <w:vertAlign w:val="superscript"/>
              </w:rPr>
              <w:t>Ex14Del</w:t>
            </w:r>
            <w:r w:rsidRPr="00C66F01">
              <w:rPr>
                <w:sz w:val="20"/>
                <w:u w:val="single"/>
              </w:rPr>
              <w:t xml:space="preserve"> Cohort</w:t>
            </w:r>
            <w:r w:rsidRPr="00C66F01">
              <w:rPr>
                <w:sz w:val="20"/>
              </w:rPr>
              <w:t xml:space="preserve">: A Cohort of approximately 6-12 planned patients with advanced NSCLC with </w:t>
            </w:r>
            <w:r w:rsidRPr="00C66F01">
              <w:rPr>
                <w:i/>
                <w:sz w:val="20"/>
              </w:rPr>
              <w:t>MET</w:t>
            </w:r>
            <w:r w:rsidRPr="00C66F01">
              <w:rPr>
                <w:sz w:val="20"/>
                <w:vertAlign w:val="superscript"/>
              </w:rPr>
              <w:t>Ex14Del</w:t>
            </w:r>
            <w:r w:rsidRPr="00C66F01">
              <w:rPr>
                <w:sz w:val="20"/>
              </w:rPr>
              <w:t xml:space="preserve">, and without available therapeutic options. Tumors did not need to be </w:t>
            </w:r>
            <w:r w:rsidRPr="00C66F01">
              <w:rPr>
                <w:i/>
                <w:sz w:val="20"/>
              </w:rPr>
              <w:t>MET</w:t>
            </w:r>
            <w:r w:rsidRPr="00C66F01">
              <w:rPr>
                <w:sz w:val="20"/>
              </w:rPr>
              <w:t xml:space="preserve">-amplified, and patients may have received prior therapy with </w:t>
            </w:r>
            <w:r w:rsidRPr="00245D8C">
              <w:rPr>
                <w:iCs/>
                <w:sz w:val="20"/>
              </w:rPr>
              <w:t>MET</w:t>
            </w:r>
            <w:r w:rsidRPr="00C66F01">
              <w:rPr>
                <w:sz w:val="20"/>
              </w:rPr>
              <w:t>-targeting and/or EGFR-targeting agents.</w:t>
            </w:r>
          </w:p>
          <w:p w14:paraId="1D7536EB" w14:textId="5CE00E88" w:rsidR="00C66F01" w:rsidRPr="00C66F01" w:rsidRDefault="00C66F01" w:rsidP="00C66F01">
            <w:pPr>
              <w:pStyle w:val="Text"/>
              <w:spacing w:before="0" w:after="0"/>
              <w:rPr>
                <w:sz w:val="20"/>
              </w:rPr>
            </w:pPr>
            <w:r w:rsidRPr="00C66F01">
              <w:rPr>
                <w:sz w:val="20"/>
              </w:rPr>
              <w:t xml:space="preserve">During Part 1, dose-escalation, Cohorts of patients with </w:t>
            </w:r>
            <w:r w:rsidRPr="00C66F01">
              <w:rPr>
                <w:i/>
                <w:sz w:val="20"/>
              </w:rPr>
              <w:t xml:space="preserve">KRAS </w:t>
            </w:r>
            <w:r w:rsidRPr="00C66F01">
              <w:rPr>
                <w:sz w:val="20"/>
              </w:rPr>
              <w:t xml:space="preserve">WT advanced solid tumor malignancies received </w:t>
            </w:r>
            <w:r w:rsidR="0050683F">
              <w:rPr>
                <w:sz w:val="20"/>
              </w:rPr>
              <w:t>escalating</w:t>
            </w:r>
            <w:r w:rsidR="00C503DC" w:rsidRPr="00C66F01">
              <w:rPr>
                <w:sz w:val="20"/>
              </w:rPr>
              <w:t xml:space="preserve"> </w:t>
            </w:r>
            <w:r w:rsidRPr="00C66F01">
              <w:rPr>
                <w:sz w:val="20"/>
              </w:rPr>
              <w:t xml:space="preserve">doses of Sym015 on a Q2W schedule until establishment of the Maximum Tolerated Dose (MTD) or until 24 mg/kg had been evaluated. Dose-escalation followed a standard 3+3 design with escalation dependent upon the occurrence of </w:t>
            </w:r>
            <w:r w:rsidR="00B9202D">
              <w:rPr>
                <w:sz w:val="20"/>
              </w:rPr>
              <w:t>dose limiting toxicities (</w:t>
            </w:r>
            <w:r w:rsidRPr="00C66F01">
              <w:rPr>
                <w:sz w:val="20"/>
              </w:rPr>
              <w:t>DLTs</w:t>
            </w:r>
            <w:r w:rsidR="00B9202D">
              <w:rPr>
                <w:sz w:val="20"/>
              </w:rPr>
              <w:t>)</w:t>
            </w:r>
            <w:r w:rsidRPr="00C66F01">
              <w:rPr>
                <w:sz w:val="20"/>
              </w:rPr>
              <w:t>. The following dose levels of Sym015 were planned to be evaluated:</w:t>
            </w:r>
          </w:p>
          <w:p w14:paraId="34C8AA44" w14:textId="77777777" w:rsidR="00C66F01" w:rsidRPr="00C66F01" w:rsidRDefault="00C66F01" w:rsidP="00C66F01">
            <w:pPr>
              <w:pStyle w:val="BulletList1"/>
              <w:rPr>
                <w:sz w:val="20"/>
              </w:rPr>
            </w:pPr>
            <w:r w:rsidRPr="00C66F01">
              <w:rPr>
                <w:sz w:val="20"/>
              </w:rPr>
              <w:t xml:space="preserve">Dose Level 1: 6 mg/kg. </w:t>
            </w:r>
          </w:p>
          <w:p w14:paraId="1138C4D4" w14:textId="77777777" w:rsidR="00C66F01" w:rsidRPr="00C66F01" w:rsidRDefault="00C66F01" w:rsidP="00C66F01">
            <w:pPr>
              <w:pStyle w:val="BulletList1"/>
              <w:rPr>
                <w:sz w:val="20"/>
              </w:rPr>
            </w:pPr>
            <w:r w:rsidRPr="00C66F01">
              <w:rPr>
                <w:sz w:val="20"/>
              </w:rPr>
              <w:t xml:space="preserve">Dose Level 2: 12 mg/kg. </w:t>
            </w:r>
          </w:p>
          <w:p w14:paraId="49E3AF7D" w14:textId="77777777" w:rsidR="00C66F01" w:rsidRPr="00C66F01" w:rsidRDefault="00C66F01" w:rsidP="00C66F01">
            <w:pPr>
              <w:pStyle w:val="BulletList1"/>
              <w:rPr>
                <w:sz w:val="20"/>
              </w:rPr>
            </w:pPr>
            <w:r w:rsidRPr="00C66F01">
              <w:rPr>
                <w:sz w:val="20"/>
              </w:rPr>
              <w:t xml:space="preserve">Dose Level 3: 18 mg/kg. </w:t>
            </w:r>
          </w:p>
          <w:p w14:paraId="47EE7314" w14:textId="5EB70137" w:rsidR="00C66F01" w:rsidRPr="00C66F01" w:rsidRDefault="00C66F01" w:rsidP="00C66F01">
            <w:pPr>
              <w:pStyle w:val="BulletList1"/>
              <w:rPr>
                <w:sz w:val="20"/>
              </w:rPr>
            </w:pPr>
            <w:r w:rsidRPr="00C66F01">
              <w:rPr>
                <w:sz w:val="20"/>
              </w:rPr>
              <w:t xml:space="preserve">Dose Level 4: 24 mg/kg. </w:t>
            </w:r>
          </w:p>
        </w:tc>
      </w:tr>
      <w:tr w:rsidR="00607B40" w14:paraId="2F8DB5BB" w14:textId="77777777" w:rsidTr="00401008">
        <w:tc>
          <w:tcPr>
            <w:tcW w:w="8856" w:type="dxa"/>
            <w:gridSpan w:val="4"/>
            <w:tcBorders>
              <w:top w:val="single" w:sz="4" w:space="0" w:color="auto"/>
              <w:bottom w:val="single" w:sz="4" w:space="0" w:color="auto"/>
            </w:tcBorders>
          </w:tcPr>
          <w:p w14:paraId="683A29E5" w14:textId="77777777" w:rsidR="005E6A06" w:rsidRDefault="00607B40">
            <w:pPr>
              <w:pStyle w:val="Synopsis"/>
              <w:rPr>
                <w:bCs/>
              </w:rPr>
            </w:pPr>
            <w:r>
              <w:rPr>
                <w:b/>
              </w:rPr>
              <w:t>Number of Patients (planned and</w:t>
            </w:r>
            <w:r>
              <w:rPr>
                <w:b/>
                <w:lang w:val="en-US"/>
              </w:rPr>
              <w:t xml:space="preserve"> analyzed</w:t>
            </w:r>
            <w:r>
              <w:rPr>
                <w:b/>
              </w:rPr>
              <w:t>):</w:t>
            </w:r>
            <w:r>
              <w:rPr>
                <w:bCs/>
              </w:rPr>
              <w:t xml:space="preserve">  </w:t>
            </w:r>
          </w:p>
          <w:p w14:paraId="015B106C" w14:textId="4F0956C1" w:rsidR="005E6A06" w:rsidRDefault="005E6A06" w:rsidP="005E6A06">
            <w:pPr>
              <w:pStyle w:val="Synopsis"/>
            </w:pPr>
            <w:r>
              <w:t xml:space="preserve">It was planned to </w:t>
            </w:r>
            <w:proofErr w:type="spellStart"/>
            <w:r>
              <w:t>enroll</w:t>
            </w:r>
            <w:proofErr w:type="spellEnd"/>
            <w:r>
              <w:t xml:space="preserve"> between 12 and 15 patients during dose-escalation Part 1 and </w:t>
            </w:r>
            <w:r w:rsidR="002F5A42">
              <w:t>51 – 57 </w:t>
            </w:r>
            <w:r>
              <w:t>patients in Part 2.</w:t>
            </w:r>
          </w:p>
          <w:p w14:paraId="1C16BE42" w14:textId="09053591" w:rsidR="00607B40" w:rsidRDefault="005E6A06" w:rsidP="005E6A06">
            <w:pPr>
              <w:pStyle w:val="Synopsis"/>
            </w:pPr>
            <w:r w:rsidRPr="00EB37E1">
              <w:lastRenderedPageBreak/>
              <w:t>A total of 78 patients gave informed consent to participate in the study; 57 patients received the IMP, 12 patients in Part 1 and 45 patients in Part 2</w:t>
            </w:r>
          </w:p>
        </w:tc>
      </w:tr>
      <w:tr w:rsidR="00607B40" w14:paraId="07EDD588" w14:textId="77777777" w:rsidTr="00401008">
        <w:tc>
          <w:tcPr>
            <w:tcW w:w="8856" w:type="dxa"/>
            <w:gridSpan w:val="4"/>
            <w:tcBorders>
              <w:top w:val="single" w:sz="4" w:space="0" w:color="auto"/>
              <w:bottom w:val="single" w:sz="4" w:space="0" w:color="auto"/>
            </w:tcBorders>
          </w:tcPr>
          <w:p w14:paraId="6A8192E9" w14:textId="29D29618" w:rsidR="00607B40" w:rsidRPr="00A158FA" w:rsidRDefault="00607B40" w:rsidP="007603AA">
            <w:pPr>
              <w:pStyle w:val="Text"/>
              <w:spacing w:before="0" w:after="0"/>
              <w:rPr>
                <w:sz w:val="20"/>
              </w:rPr>
            </w:pPr>
            <w:r w:rsidRPr="00A158FA">
              <w:rPr>
                <w:b/>
                <w:sz w:val="20"/>
              </w:rPr>
              <w:t>Diagnosis and Main Criteria for Inclusion:</w:t>
            </w:r>
            <w:r w:rsidRPr="00A158FA">
              <w:rPr>
                <w:bCs/>
                <w:sz w:val="20"/>
              </w:rPr>
              <w:t xml:space="preserve"> </w:t>
            </w:r>
            <w:r w:rsidR="007603AA" w:rsidRPr="00A158FA">
              <w:rPr>
                <w:sz w:val="20"/>
              </w:rPr>
              <w:t>Male or female patients aged at least 18 years at the time of informed consent with Eastern Cooperative Oncology Group performance status (</w:t>
            </w:r>
            <w:r w:rsidR="00A158FA" w:rsidRPr="00A158FA">
              <w:rPr>
                <w:sz w:val="20"/>
              </w:rPr>
              <w:t>ECOG-</w:t>
            </w:r>
            <w:r w:rsidR="007603AA" w:rsidRPr="00A158FA">
              <w:rPr>
                <w:sz w:val="20"/>
              </w:rPr>
              <w:t xml:space="preserve">PS) of 0 or 1 with a life expectancy &gt; 3 months assessed during </w:t>
            </w:r>
            <w:r w:rsidR="00BE774B" w:rsidRPr="00A158FA">
              <w:rPr>
                <w:sz w:val="20"/>
              </w:rPr>
              <w:t>s</w:t>
            </w:r>
            <w:r w:rsidR="007603AA" w:rsidRPr="00A158FA">
              <w:rPr>
                <w:sz w:val="20"/>
              </w:rPr>
              <w:t>creening were included. Patients were required to have</w:t>
            </w:r>
            <w:r w:rsidR="0050683F" w:rsidRPr="00A158FA">
              <w:rPr>
                <w:sz w:val="20"/>
              </w:rPr>
              <w:t xml:space="preserve"> a</w:t>
            </w:r>
            <w:r w:rsidR="007603AA" w:rsidRPr="00A158FA">
              <w:rPr>
                <w:sz w:val="20"/>
              </w:rPr>
              <w:t xml:space="preserve"> documented (histologically- or cytologically-proven) solid tumor malignancy that was locally advanced or metastatic, and that was refractory to standard therapy or for which no standard therapy was available or accessible (i.e., patients </w:t>
            </w:r>
            <w:r w:rsidR="0050683F" w:rsidRPr="00A158FA">
              <w:rPr>
                <w:sz w:val="20"/>
              </w:rPr>
              <w:t xml:space="preserve">were to have </w:t>
            </w:r>
            <w:r w:rsidR="007603AA" w:rsidRPr="00A158FA">
              <w:rPr>
                <w:sz w:val="20"/>
              </w:rPr>
              <w:t xml:space="preserve">recurrent and/or progressive disease (PD) and were </w:t>
            </w:r>
            <w:r w:rsidR="0050683F" w:rsidRPr="00A158FA">
              <w:rPr>
                <w:sz w:val="20"/>
              </w:rPr>
              <w:t xml:space="preserve">to be </w:t>
            </w:r>
            <w:r w:rsidR="007603AA" w:rsidRPr="00A158FA">
              <w:rPr>
                <w:sz w:val="20"/>
              </w:rPr>
              <w:t>without available therapeutic options).</w:t>
            </w:r>
          </w:p>
        </w:tc>
      </w:tr>
      <w:tr w:rsidR="00607B40" w14:paraId="195C19F5" w14:textId="77777777" w:rsidTr="00401008">
        <w:tc>
          <w:tcPr>
            <w:tcW w:w="8856" w:type="dxa"/>
            <w:gridSpan w:val="4"/>
            <w:tcBorders>
              <w:top w:val="single" w:sz="4" w:space="0" w:color="auto"/>
              <w:bottom w:val="single" w:sz="4" w:space="0" w:color="auto"/>
            </w:tcBorders>
          </w:tcPr>
          <w:p w14:paraId="685284C8" w14:textId="0ED4D5D0" w:rsidR="00607B40" w:rsidRDefault="00607B40" w:rsidP="00873419">
            <w:pPr>
              <w:pStyle w:val="Synopsis"/>
            </w:pPr>
            <w:r>
              <w:rPr>
                <w:b/>
              </w:rPr>
              <w:t xml:space="preserve">Test Product, Dose and Mode of Administration, and </w:t>
            </w:r>
            <w:r w:rsidR="00D3243E">
              <w:rPr>
                <w:b/>
              </w:rPr>
              <w:t>Batch</w:t>
            </w:r>
            <w:r>
              <w:rPr>
                <w:b/>
              </w:rPr>
              <w:t xml:space="preserve"> Number(s):</w:t>
            </w:r>
            <w:r>
              <w:rPr>
                <w:bCs/>
              </w:rPr>
              <w:t xml:space="preserve"> </w:t>
            </w:r>
            <w:r w:rsidR="00873419">
              <w:t>Sym015 solution</w:t>
            </w:r>
            <w:r w:rsidR="00873419" w:rsidRPr="00D84945">
              <w:t xml:space="preserve"> administered</w:t>
            </w:r>
            <w:r w:rsidR="00873419">
              <w:t xml:space="preserve"> as </w:t>
            </w:r>
            <w:r w:rsidR="00873419" w:rsidRPr="00D84945">
              <w:t>IV infusion</w:t>
            </w:r>
            <w:r w:rsidR="00873419">
              <w:t xml:space="preserve"> at dose levels of 6 mg/kg, 12 mg/kg, 18 mg/kg, or 24 mg/kg</w:t>
            </w:r>
            <w:r w:rsidR="00800EAD">
              <w:t>.</w:t>
            </w:r>
          </w:p>
          <w:p w14:paraId="5D2F5E83" w14:textId="77777777" w:rsidR="00357607" w:rsidRDefault="00D3243E" w:rsidP="00873419">
            <w:pPr>
              <w:pStyle w:val="Synopsis"/>
            </w:pPr>
            <w:r>
              <w:rPr>
                <w:b/>
                <w:bCs/>
                <w:lang w:eastAsia="ko-KR"/>
              </w:rPr>
              <w:t>Batch</w:t>
            </w:r>
            <w:r w:rsidR="00A82AEA" w:rsidRPr="000E5C4C">
              <w:rPr>
                <w:b/>
                <w:bCs/>
                <w:lang w:eastAsia="ko-KR"/>
              </w:rPr>
              <w:t xml:space="preserve"> Number</w:t>
            </w:r>
            <w:r>
              <w:rPr>
                <w:b/>
                <w:bCs/>
                <w:lang w:eastAsia="ko-KR"/>
              </w:rPr>
              <w:t>s</w:t>
            </w:r>
            <w:r w:rsidR="00A82AEA" w:rsidRPr="000E5C4C">
              <w:rPr>
                <w:b/>
                <w:bCs/>
                <w:lang w:eastAsia="ko-KR"/>
              </w:rPr>
              <w:t>:</w:t>
            </w:r>
            <w:r>
              <w:t xml:space="preserve"> </w:t>
            </w:r>
          </w:p>
          <w:p w14:paraId="0CBA2B06" w14:textId="69D66422" w:rsidR="00357607" w:rsidRDefault="00357607" w:rsidP="00873419">
            <w:pPr>
              <w:pStyle w:val="Synopsis"/>
            </w:pPr>
            <w:r>
              <w:t xml:space="preserve">Bulk Batch Numbers: </w:t>
            </w:r>
            <w:r w:rsidRPr="00357607">
              <w:t>0000352005</w:t>
            </w:r>
            <w:r>
              <w:t xml:space="preserve">, </w:t>
            </w:r>
            <w:r w:rsidRPr="00357607">
              <w:t>0000355555</w:t>
            </w:r>
            <w:r>
              <w:t xml:space="preserve">, </w:t>
            </w:r>
            <w:r w:rsidRPr="00357607">
              <w:t>0000405085</w:t>
            </w:r>
            <w:r>
              <w:t xml:space="preserve">, </w:t>
            </w:r>
            <w:r w:rsidRPr="00357607">
              <w:t>943003</w:t>
            </w:r>
          </w:p>
          <w:p w14:paraId="4A257090" w14:textId="44ED0974" w:rsidR="00A82AEA" w:rsidRDefault="00357607" w:rsidP="00873419">
            <w:pPr>
              <w:pStyle w:val="Synopsis"/>
              <w:rPr>
                <w:b/>
              </w:rPr>
            </w:pPr>
            <w:r>
              <w:t xml:space="preserve">Study Batch Numbers: </w:t>
            </w:r>
            <w:r w:rsidR="00D3243E" w:rsidRPr="00AE46A4">
              <w:rPr>
                <w:lang w:eastAsia="ko-KR"/>
              </w:rPr>
              <w:t>L0506537, L0600221, L0602523, 3631830-01, L0603644</w:t>
            </w:r>
          </w:p>
        </w:tc>
      </w:tr>
      <w:tr w:rsidR="00607B40" w14:paraId="641CDA9E" w14:textId="77777777" w:rsidTr="00401008">
        <w:tc>
          <w:tcPr>
            <w:tcW w:w="8856" w:type="dxa"/>
            <w:gridSpan w:val="4"/>
            <w:tcBorders>
              <w:top w:val="single" w:sz="4" w:space="0" w:color="auto"/>
              <w:bottom w:val="single" w:sz="4" w:space="0" w:color="auto"/>
            </w:tcBorders>
          </w:tcPr>
          <w:p w14:paraId="7D5C9714" w14:textId="2E1E5530" w:rsidR="00607B40" w:rsidRDefault="00607B40">
            <w:pPr>
              <w:pStyle w:val="Synopsis"/>
              <w:rPr>
                <w:b/>
              </w:rPr>
            </w:pPr>
            <w:r>
              <w:rPr>
                <w:b/>
              </w:rPr>
              <w:t>Reference Therapy, Dose and Mode of Administration, and Lot Number(s):</w:t>
            </w:r>
            <w:r>
              <w:rPr>
                <w:bCs/>
              </w:rPr>
              <w:t xml:space="preserve"> </w:t>
            </w:r>
            <w:r w:rsidR="00873419">
              <w:t>Not applicable</w:t>
            </w:r>
            <w:r>
              <w:rPr>
                <w:b/>
              </w:rPr>
              <w:t xml:space="preserve"> </w:t>
            </w:r>
          </w:p>
        </w:tc>
      </w:tr>
      <w:tr w:rsidR="00607B40" w14:paraId="71DE60BE" w14:textId="77777777" w:rsidTr="00401008">
        <w:tc>
          <w:tcPr>
            <w:tcW w:w="8856" w:type="dxa"/>
            <w:gridSpan w:val="4"/>
            <w:tcBorders>
              <w:top w:val="single" w:sz="4" w:space="0" w:color="auto"/>
              <w:bottom w:val="single" w:sz="4" w:space="0" w:color="auto"/>
            </w:tcBorders>
          </w:tcPr>
          <w:p w14:paraId="41FBBF15" w14:textId="161B3DCB" w:rsidR="00607B40" w:rsidRDefault="00607B40">
            <w:pPr>
              <w:pStyle w:val="Synopsis"/>
            </w:pPr>
            <w:r>
              <w:rPr>
                <w:b/>
              </w:rPr>
              <w:t>Duration of Treatment:</w:t>
            </w:r>
            <w:r>
              <w:rPr>
                <w:bCs/>
              </w:rPr>
              <w:t xml:space="preserve"> </w:t>
            </w:r>
            <w:r w:rsidR="00C022DF" w:rsidRPr="000E5C4C">
              <w:t xml:space="preserve">The total duration of the clinical </w:t>
            </w:r>
            <w:r w:rsidR="0017734B">
              <w:t>study</w:t>
            </w:r>
            <w:r w:rsidR="00C022DF">
              <w:t xml:space="preserve"> </w:t>
            </w:r>
            <w:r w:rsidR="00C022DF" w:rsidRPr="000E5C4C">
              <w:t xml:space="preserve">was approximately </w:t>
            </w:r>
            <w:r w:rsidR="0017734B">
              <w:t>4 years 9 months</w:t>
            </w:r>
            <w:r w:rsidR="00C022DF" w:rsidRPr="000E5C4C">
              <w:t>.</w:t>
            </w:r>
            <w:r w:rsidR="0017734B">
              <w:t xml:space="preserve"> One patient continues to receive Sym015 in a Named Patient Program due to continued benefit.</w:t>
            </w:r>
          </w:p>
        </w:tc>
      </w:tr>
      <w:tr w:rsidR="00607B40" w14:paraId="3156EAF1" w14:textId="77777777" w:rsidTr="00401008">
        <w:tc>
          <w:tcPr>
            <w:tcW w:w="8856" w:type="dxa"/>
            <w:gridSpan w:val="4"/>
            <w:tcBorders>
              <w:top w:val="single" w:sz="4" w:space="0" w:color="auto"/>
              <w:bottom w:val="single" w:sz="4" w:space="0" w:color="auto"/>
            </w:tcBorders>
          </w:tcPr>
          <w:p w14:paraId="7B324A3D" w14:textId="77777777" w:rsidR="00607B40" w:rsidRDefault="00607B40">
            <w:pPr>
              <w:pStyle w:val="Synopsis"/>
              <w:rPr>
                <w:b/>
              </w:rPr>
            </w:pPr>
            <w:r>
              <w:rPr>
                <w:b/>
              </w:rPr>
              <w:t>Criteria for Evaluation:</w:t>
            </w:r>
            <w:r>
              <w:rPr>
                <w:bCs/>
              </w:rPr>
              <w:t xml:space="preserve">  </w:t>
            </w:r>
          </w:p>
          <w:p w14:paraId="24504A9B" w14:textId="77777777" w:rsidR="00C022DF" w:rsidRPr="000E5C4C" w:rsidRDefault="00C022DF" w:rsidP="00C022DF">
            <w:pPr>
              <w:pStyle w:val="Synopsis"/>
              <w:spacing w:before="60" w:after="60"/>
              <w:rPr>
                <w:b/>
                <w:bCs/>
                <w:i/>
              </w:rPr>
            </w:pPr>
            <w:r w:rsidRPr="000E5C4C">
              <w:rPr>
                <w:b/>
                <w:bCs/>
                <w:i/>
              </w:rPr>
              <w:t>Safety variables:</w:t>
            </w:r>
          </w:p>
          <w:p w14:paraId="3AF29E24" w14:textId="4BFB6C72" w:rsidR="00C126C8" w:rsidRPr="00A158FA" w:rsidRDefault="00C022DF" w:rsidP="000F4828">
            <w:pPr>
              <w:pStyle w:val="Synopsis"/>
              <w:numPr>
                <w:ilvl w:val="0"/>
                <w:numId w:val="37"/>
              </w:numPr>
              <w:spacing w:before="60" w:after="60"/>
            </w:pPr>
            <w:r w:rsidRPr="000E5C4C">
              <w:t xml:space="preserve">General safety variables: </w:t>
            </w:r>
            <w:r w:rsidR="006D09C1" w:rsidRPr="00C126C8">
              <w:t>Dose limiting toxicity</w:t>
            </w:r>
            <w:r w:rsidR="00B9202D">
              <w:t xml:space="preserve"> (DLT)</w:t>
            </w:r>
            <w:r w:rsidR="006D09C1">
              <w:t xml:space="preserve">, </w:t>
            </w:r>
            <w:r w:rsidRPr="000E5C4C">
              <w:t>Adverse event (AE) assessments, clinical laboratory tests (</w:t>
            </w:r>
            <w:proofErr w:type="spellStart"/>
            <w:r w:rsidRPr="000E5C4C">
              <w:t>hematology</w:t>
            </w:r>
            <w:proofErr w:type="spellEnd"/>
            <w:r w:rsidRPr="000E5C4C">
              <w:t>, clinical chemistry, and urinalysis),</w:t>
            </w:r>
            <w:r w:rsidR="00C126C8">
              <w:t xml:space="preserve"> e</w:t>
            </w:r>
            <w:r w:rsidR="00C126C8" w:rsidRPr="00C126C8">
              <w:t xml:space="preserve">chocardiogram or Multi-Gated Acquisition Scan, </w:t>
            </w:r>
            <w:r w:rsidRPr="000E5C4C">
              <w:t>vital signs (</w:t>
            </w:r>
            <w:r w:rsidR="00C126C8" w:rsidRPr="00541205">
              <w:t>weight, blood pressure, heart rate, temperature</w:t>
            </w:r>
            <w:r w:rsidRPr="000E5C4C">
              <w:t xml:space="preserve">), ECG, </w:t>
            </w:r>
            <w:r w:rsidR="00C126C8">
              <w:t xml:space="preserve">physical examination, </w:t>
            </w:r>
            <w:r w:rsidR="00C126C8" w:rsidRPr="00C126C8">
              <w:t xml:space="preserve">Eastern </w:t>
            </w:r>
            <w:r w:rsidR="00C126C8" w:rsidRPr="00A158FA">
              <w:t>Cooperative of Oncology Group Performance Status (</w:t>
            </w:r>
            <w:r w:rsidR="00A158FA" w:rsidRPr="00A158FA">
              <w:t>ECOG-</w:t>
            </w:r>
            <w:r w:rsidR="00C126C8" w:rsidRPr="00A158FA">
              <w:t>PS)</w:t>
            </w:r>
          </w:p>
          <w:p w14:paraId="69E89621" w14:textId="10EC0685" w:rsidR="006D09C1" w:rsidRPr="006D09C1" w:rsidRDefault="006D09C1" w:rsidP="006D09C1">
            <w:pPr>
              <w:pStyle w:val="Synopsis"/>
              <w:spacing w:before="60" w:after="60"/>
              <w:rPr>
                <w:b/>
                <w:bCs/>
                <w:i/>
              </w:rPr>
            </w:pPr>
            <w:r w:rsidRPr="006D09C1">
              <w:rPr>
                <w:b/>
                <w:bCs/>
                <w:i/>
              </w:rPr>
              <w:t>Efficacy variables:</w:t>
            </w:r>
          </w:p>
          <w:p w14:paraId="3E94380F" w14:textId="1D08BAB1" w:rsidR="004475D9" w:rsidRPr="002A5662" w:rsidRDefault="004475D9" w:rsidP="000F4828">
            <w:pPr>
              <w:pStyle w:val="Synopsis"/>
              <w:numPr>
                <w:ilvl w:val="0"/>
                <w:numId w:val="37"/>
              </w:numPr>
              <w:spacing w:before="60" w:after="60"/>
            </w:pPr>
            <w:r>
              <w:t>C</w:t>
            </w:r>
            <w:r w:rsidRPr="002A5662">
              <w:t xml:space="preserve">onfirmed </w:t>
            </w:r>
            <w:r>
              <w:t>overall response (</w:t>
            </w:r>
            <w:r w:rsidRPr="002A5662">
              <w:t>OR</w:t>
            </w:r>
            <w:r>
              <w:t>)</w:t>
            </w:r>
            <w:r w:rsidRPr="002A5662">
              <w:t xml:space="preserve">, defined as documented </w:t>
            </w:r>
            <w:r w:rsidR="00B9202D">
              <w:t>partial response (</w:t>
            </w:r>
            <w:r w:rsidRPr="002A5662">
              <w:t>PR</w:t>
            </w:r>
            <w:r w:rsidR="00B9202D">
              <w:t>)</w:t>
            </w:r>
            <w:r w:rsidRPr="002A5662">
              <w:t xml:space="preserve"> or </w:t>
            </w:r>
            <w:r w:rsidR="00B9202D">
              <w:t>complete response (</w:t>
            </w:r>
            <w:r w:rsidRPr="002A5662">
              <w:t>CR</w:t>
            </w:r>
            <w:r w:rsidR="00B9202D">
              <w:t>)</w:t>
            </w:r>
            <w:r w:rsidRPr="002A5662">
              <w:t xml:space="preserve"> and assessed by RECIST v1.1 at any time during study participation by </w:t>
            </w:r>
            <w:r w:rsidR="0050683F">
              <w:t xml:space="preserve">the </w:t>
            </w:r>
            <w:r w:rsidRPr="002A5662">
              <w:t>Investigator.</w:t>
            </w:r>
          </w:p>
          <w:p w14:paraId="06C26162" w14:textId="77777777" w:rsidR="004475D9" w:rsidRPr="002A5662" w:rsidRDefault="004475D9" w:rsidP="004475D9">
            <w:pPr>
              <w:pStyle w:val="Synopsis"/>
              <w:spacing w:before="60" w:after="60"/>
            </w:pPr>
            <w:r w:rsidRPr="002A5662">
              <w:t>The following anti-</w:t>
            </w:r>
            <w:proofErr w:type="spellStart"/>
            <w:r w:rsidRPr="002A5662">
              <w:t>tumor</w:t>
            </w:r>
            <w:proofErr w:type="spellEnd"/>
            <w:r w:rsidRPr="002A5662">
              <w:t xml:space="preserve"> response endpoints were measured in Part 1:</w:t>
            </w:r>
          </w:p>
          <w:p w14:paraId="6A1EA8EB" w14:textId="77777777" w:rsidR="004475D9" w:rsidRPr="002A5662" w:rsidRDefault="004475D9" w:rsidP="000F4828">
            <w:pPr>
              <w:pStyle w:val="Synopsis"/>
              <w:numPr>
                <w:ilvl w:val="0"/>
                <w:numId w:val="37"/>
              </w:numPr>
              <w:spacing w:before="60" w:after="60"/>
            </w:pPr>
            <w:r w:rsidRPr="002A5662">
              <w:t>Documented OR, defined as documented PR or CR and assessed by RECIST v1.1 at any time during study participation by Investigator assessment.</w:t>
            </w:r>
          </w:p>
          <w:p w14:paraId="354321AE" w14:textId="34BD9EDA" w:rsidR="004475D9" w:rsidRPr="00245D8C" w:rsidRDefault="00245D8C" w:rsidP="00245D8C">
            <w:pPr>
              <w:pStyle w:val="Synopsis"/>
              <w:spacing w:before="60" w:after="60"/>
              <w:rPr>
                <w:snapToGrid/>
                <w:lang w:val="en-US"/>
              </w:rPr>
            </w:pPr>
            <w:r w:rsidRPr="00245D8C">
              <w:rPr>
                <w:snapToGrid/>
                <w:lang w:val="en-US"/>
              </w:rPr>
              <w:t>Additionally,</w:t>
            </w:r>
            <w:r>
              <w:rPr>
                <w:snapToGrid/>
                <w:lang w:val="en-US"/>
              </w:rPr>
              <w:t xml:space="preserve"> </w:t>
            </w:r>
            <w:r w:rsidR="004475D9" w:rsidRPr="00245D8C">
              <w:rPr>
                <w:snapToGrid/>
                <w:lang w:val="en-US"/>
              </w:rPr>
              <w:t xml:space="preserve">the following anti-tumor response endpoints were measured in both Part 1 and 2: </w:t>
            </w:r>
          </w:p>
          <w:p w14:paraId="6B6FCFAC" w14:textId="77777777" w:rsidR="004475D9" w:rsidRPr="002A5662" w:rsidRDefault="004475D9" w:rsidP="000F4828">
            <w:pPr>
              <w:pStyle w:val="Synopsis"/>
              <w:numPr>
                <w:ilvl w:val="0"/>
                <w:numId w:val="37"/>
              </w:numPr>
              <w:spacing w:before="60" w:after="60"/>
            </w:pPr>
            <w:r w:rsidRPr="002A5662">
              <w:t>Duration of response (DR).</w:t>
            </w:r>
          </w:p>
          <w:p w14:paraId="3B7EF3EB" w14:textId="77777777" w:rsidR="004475D9" w:rsidRPr="002A5662" w:rsidRDefault="004475D9" w:rsidP="000F4828">
            <w:pPr>
              <w:pStyle w:val="Synopsis"/>
              <w:numPr>
                <w:ilvl w:val="0"/>
                <w:numId w:val="37"/>
              </w:numPr>
              <w:spacing w:before="60" w:after="60"/>
            </w:pPr>
            <w:r w:rsidRPr="002A5662">
              <w:t>Best overall response (BOR).</w:t>
            </w:r>
          </w:p>
          <w:p w14:paraId="106050B8" w14:textId="0E1084FD" w:rsidR="004475D9" w:rsidRPr="002A5662" w:rsidRDefault="004475D9" w:rsidP="000F4828">
            <w:pPr>
              <w:pStyle w:val="Synopsis"/>
              <w:numPr>
                <w:ilvl w:val="0"/>
                <w:numId w:val="37"/>
              </w:numPr>
              <w:spacing w:before="60" w:after="60"/>
            </w:pPr>
            <w:r w:rsidRPr="002A5662">
              <w:t>S</w:t>
            </w:r>
            <w:r w:rsidR="00961A53">
              <w:t>table disease (S</w:t>
            </w:r>
            <w:r w:rsidRPr="002A5662">
              <w:t>D</w:t>
            </w:r>
            <w:r w:rsidR="00961A53">
              <w:t>)</w:t>
            </w:r>
            <w:r w:rsidRPr="002A5662">
              <w:t xml:space="preserve"> duration for ≥ 4 months and SD for ≥ 6 months.</w:t>
            </w:r>
          </w:p>
          <w:p w14:paraId="5A056E38" w14:textId="77777777" w:rsidR="004475D9" w:rsidRPr="002A5662" w:rsidRDefault="004475D9" w:rsidP="000F4828">
            <w:pPr>
              <w:pStyle w:val="Synopsis"/>
              <w:numPr>
                <w:ilvl w:val="0"/>
                <w:numId w:val="37"/>
              </w:numPr>
              <w:spacing w:before="60" w:after="60"/>
            </w:pPr>
            <w:r w:rsidRPr="002A5662">
              <w:t>Disease Control Rate (DCR)</w:t>
            </w:r>
          </w:p>
          <w:p w14:paraId="1D625035" w14:textId="77777777" w:rsidR="004475D9" w:rsidRPr="002A5662" w:rsidRDefault="004475D9" w:rsidP="000F4828">
            <w:pPr>
              <w:pStyle w:val="Synopsis"/>
              <w:numPr>
                <w:ilvl w:val="0"/>
                <w:numId w:val="37"/>
              </w:numPr>
              <w:spacing w:before="60" w:after="60"/>
            </w:pPr>
            <w:r w:rsidRPr="002A5662">
              <w:t>Changes in sum of diameters of target lesions from Baseline to end of study participation.</w:t>
            </w:r>
          </w:p>
          <w:p w14:paraId="5FABD060" w14:textId="77777777" w:rsidR="004475D9" w:rsidRPr="002A5662" w:rsidRDefault="004475D9" w:rsidP="000F4828">
            <w:pPr>
              <w:pStyle w:val="Synopsis"/>
              <w:numPr>
                <w:ilvl w:val="0"/>
                <w:numId w:val="37"/>
              </w:numPr>
              <w:spacing w:before="60" w:after="60"/>
            </w:pPr>
            <w:r w:rsidRPr="002A5662">
              <w:t>Time to disease progression (TTP) as determined based on radiological evidence.</w:t>
            </w:r>
          </w:p>
          <w:p w14:paraId="5D65EBE2" w14:textId="77777777" w:rsidR="004475D9" w:rsidRPr="002A5662" w:rsidRDefault="004475D9" w:rsidP="000F4828">
            <w:pPr>
              <w:pStyle w:val="Synopsis"/>
              <w:numPr>
                <w:ilvl w:val="0"/>
                <w:numId w:val="37"/>
              </w:numPr>
              <w:spacing w:before="60" w:after="60"/>
            </w:pPr>
            <w:r w:rsidRPr="002A5662">
              <w:t>Progression-free survival (PFS).</w:t>
            </w:r>
          </w:p>
          <w:p w14:paraId="2A17245B" w14:textId="77777777" w:rsidR="004475D9" w:rsidRPr="002A5662" w:rsidRDefault="004475D9" w:rsidP="000F4828">
            <w:pPr>
              <w:pStyle w:val="Synopsis"/>
              <w:numPr>
                <w:ilvl w:val="0"/>
                <w:numId w:val="37"/>
              </w:numPr>
              <w:spacing w:before="60" w:after="60"/>
            </w:pPr>
            <w:r w:rsidRPr="002A5662">
              <w:t>Overall survival (OS).</w:t>
            </w:r>
          </w:p>
          <w:p w14:paraId="450D8FA3" w14:textId="77777777" w:rsidR="00C022DF" w:rsidRPr="000E5C4C" w:rsidRDefault="00C022DF" w:rsidP="00C022DF">
            <w:pPr>
              <w:pStyle w:val="Synopsis"/>
              <w:spacing w:before="60" w:after="60"/>
              <w:rPr>
                <w:b/>
                <w:bCs/>
                <w:i/>
              </w:rPr>
            </w:pPr>
            <w:r w:rsidRPr="000E5C4C">
              <w:rPr>
                <w:b/>
                <w:bCs/>
                <w:i/>
              </w:rPr>
              <w:t>Pharmacokinetic variable</w:t>
            </w:r>
            <w:r>
              <w:rPr>
                <w:b/>
                <w:bCs/>
                <w:i/>
              </w:rPr>
              <w:t>s</w:t>
            </w:r>
            <w:r w:rsidRPr="000E5C4C">
              <w:rPr>
                <w:b/>
                <w:bCs/>
                <w:i/>
              </w:rPr>
              <w:t xml:space="preserve">: </w:t>
            </w:r>
          </w:p>
          <w:p w14:paraId="186472C7" w14:textId="1E980270" w:rsidR="008B3B60" w:rsidRPr="00541205" w:rsidRDefault="008B3B60" w:rsidP="000F4828">
            <w:pPr>
              <w:pStyle w:val="Synopsis"/>
              <w:numPr>
                <w:ilvl w:val="0"/>
                <w:numId w:val="37"/>
              </w:numPr>
              <w:spacing w:before="60" w:after="60"/>
            </w:pPr>
            <w:r w:rsidRPr="00541205">
              <w:t xml:space="preserve">The serum concentration of </w:t>
            </w:r>
            <w:r w:rsidR="00961A53">
              <w:t>investigational medicinal product (</w:t>
            </w:r>
            <w:r w:rsidRPr="00541205">
              <w:t>IMP</w:t>
            </w:r>
            <w:r w:rsidR="00961A53">
              <w:t>)</w:t>
            </w:r>
            <w:r w:rsidRPr="00541205">
              <w:t xml:space="preserve"> i.e.</w:t>
            </w:r>
            <w:r w:rsidR="000E3125">
              <w:t>,</w:t>
            </w:r>
            <w:r w:rsidRPr="00541205">
              <w:t xml:space="preserve"> Sym015 was defined as the sum of the serum concentration of the constituent antibodies, Hu9006 and Hu9338. Serum concentrations for Sym015 and each of the constituent antibodies, Hu9006 and Hu9338 were listed by Study Part, Cohort (dose group in Part 1), patient, including actual time relative to </w:t>
            </w:r>
            <w:r w:rsidRPr="0053656F">
              <w:rPr>
                <w:lang w:val="en-US"/>
              </w:rPr>
              <w:t>dosing</w:t>
            </w:r>
            <w:r w:rsidRPr="00541205">
              <w:t>, scheduled time (derived based on datetime of dosing and schedule of PK assessments) and time deviation from scheduled time.</w:t>
            </w:r>
          </w:p>
          <w:p w14:paraId="5900DC44" w14:textId="77777777" w:rsidR="00C022DF" w:rsidRPr="000E5C4C" w:rsidRDefault="00C022DF" w:rsidP="00C022DF">
            <w:pPr>
              <w:pStyle w:val="Synopsis"/>
              <w:spacing w:before="60" w:after="60"/>
              <w:rPr>
                <w:b/>
                <w:bCs/>
                <w:i/>
              </w:rPr>
            </w:pPr>
            <w:r w:rsidRPr="000E5C4C">
              <w:rPr>
                <w:b/>
                <w:bCs/>
                <w:i/>
              </w:rPr>
              <w:lastRenderedPageBreak/>
              <w:t>Pharmacodynamic variables:</w:t>
            </w:r>
          </w:p>
          <w:p w14:paraId="5B9AC834" w14:textId="77777777" w:rsidR="00356917" w:rsidRPr="00541205" w:rsidRDefault="00356917" w:rsidP="000F4828">
            <w:pPr>
              <w:pStyle w:val="Synopsis"/>
              <w:numPr>
                <w:ilvl w:val="0"/>
                <w:numId w:val="37"/>
              </w:numPr>
              <w:spacing w:before="60" w:after="60"/>
            </w:pPr>
            <w:r w:rsidRPr="00541205">
              <w:t>Pharmacodynamic and immunogenicity variables included:</w:t>
            </w:r>
          </w:p>
          <w:p w14:paraId="5BFF5AE4" w14:textId="6499A957" w:rsidR="00356917" w:rsidRPr="00541205" w:rsidRDefault="00356917" w:rsidP="000F4828">
            <w:pPr>
              <w:pStyle w:val="Synopsis"/>
              <w:numPr>
                <w:ilvl w:val="0"/>
                <w:numId w:val="37"/>
              </w:numPr>
              <w:spacing w:before="60" w:after="60"/>
            </w:pPr>
            <w:proofErr w:type="spellStart"/>
            <w:r w:rsidRPr="00541205">
              <w:t>Tumor</w:t>
            </w:r>
            <w:proofErr w:type="spellEnd"/>
            <w:r w:rsidRPr="00541205">
              <w:t xml:space="preserve"> markers: Evaluated at time points coinciding with the </w:t>
            </w:r>
            <w:r w:rsidR="00961A53">
              <w:t>computed tomography/magnetic resonance image</w:t>
            </w:r>
            <w:r w:rsidR="00961A53" w:rsidRPr="00541205">
              <w:t xml:space="preserve"> </w:t>
            </w:r>
            <w:r w:rsidR="00961A53">
              <w:t>(CT/</w:t>
            </w:r>
            <w:r w:rsidRPr="00541205">
              <w:t>MRI</w:t>
            </w:r>
            <w:r w:rsidR="00961A53">
              <w:t>)</w:t>
            </w:r>
            <w:r w:rsidRPr="00541205">
              <w:t xml:space="preserve"> imaging studies.</w:t>
            </w:r>
          </w:p>
          <w:p w14:paraId="6E4EBB29" w14:textId="77777777" w:rsidR="00356917" w:rsidRPr="00541205" w:rsidRDefault="00356917" w:rsidP="000F4828">
            <w:pPr>
              <w:pStyle w:val="Synopsis"/>
              <w:numPr>
                <w:ilvl w:val="0"/>
                <w:numId w:val="37"/>
              </w:numPr>
              <w:spacing w:before="60" w:after="60"/>
            </w:pPr>
            <w:r w:rsidRPr="00541205">
              <w:t xml:space="preserve">Archival </w:t>
            </w:r>
            <w:proofErr w:type="spellStart"/>
            <w:r w:rsidRPr="00541205">
              <w:t>Tumor</w:t>
            </w:r>
            <w:proofErr w:type="spellEnd"/>
            <w:r w:rsidRPr="00541205">
              <w:t xml:space="preserve"> Tissue for </w:t>
            </w:r>
            <w:r w:rsidRPr="00245D8C">
              <w:rPr>
                <w:i/>
                <w:iCs/>
              </w:rPr>
              <w:t>MET</w:t>
            </w:r>
            <w:r w:rsidRPr="00541205">
              <w:t xml:space="preserve"> and </w:t>
            </w:r>
            <w:r w:rsidRPr="00245D8C">
              <w:rPr>
                <w:i/>
                <w:iCs/>
              </w:rPr>
              <w:t>KRAS</w:t>
            </w:r>
            <w:r w:rsidRPr="00541205">
              <w:t>.</w:t>
            </w:r>
          </w:p>
          <w:p w14:paraId="5D6F0808" w14:textId="77777777" w:rsidR="00356917" w:rsidRPr="00245D8C" w:rsidRDefault="00356917" w:rsidP="000F4828">
            <w:pPr>
              <w:pStyle w:val="Synopsis"/>
              <w:numPr>
                <w:ilvl w:val="0"/>
                <w:numId w:val="37"/>
              </w:numPr>
              <w:spacing w:before="60" w:after="60"/>
              <w:rPr>
                <w:lang w:val="da-DK"/>
              </w:rPr>
            </w:pPr>
            <w:r w:rsidRPr="00245D8C">
              <w:rPr>
                <w:lang w:val="da-DK"/>
              </w:rPr>
              <w:t>Tumor Biopsy for MET Status.</w:t>
            </w:r>
          </w:p>
          <w:p w14:paraId="079409BB" w14:textId="77777777" w:rsidR="00356917" w:rsidRPr="00541205" w:rsidRDefault="00356917" w:rsidP="000F4828">
            <w:pPr>
              <w:pStyle w:val="Synopsis"/>
              <w:numPr>
                <w:ilvl w:val="0"/>
                <w:numId w:val="37"/>
              </w:numPr>
              <w:spacing w:before="60" w:after="60"/>
            </w:pPr>
            <w:proofErr w:type="spellStart"/>
            <w:r w:rsidRPr="00541205">
              <w:t>Tumor</w:t>
            </w:r>
            <w:proofErr w:type="spellEnd"/>
            <w:r w:rsidRPr="00541205">
              <w:t xml:space="preserve"> Biopsy for Eligibility and Biomarkers Analysis.</w:t>
            </w:r>
          </w:p>
          <w:p w14:paraId="5545F0D9" w14:textId="6DF9222F" w:rsidR="00356917" w:rsidRPr="005B64E0" w:rsidRDefault="00356917" w:rsidP="000F4828">
            <w:pPr>
              <w:pStyle w:val="Synopsis"/>
              <w:numPr>
                <w:ilvl w:val="0"/>
                <w:numId w:val="37"/>
              </w:numPr>
              <w:spacing w:before="60" w:after="60"/>
            </w:pPr>
            <w:r w:rsidRPr="005B64E0">
              <w:t xml:space="preserve">Blood Sample for Genomic and Biomarker Analyses. </w:t>
            </w:r>
          </w:p>
          <w:p w14:paraId="77358B39" w14:textId="77777777" w:rsidR="00356917" w:rsidRPr="005B64E0" w:rsidRDefault="00356917" w:rsidP="000F4828">
            <w:pPr>
              <w:pStyle w:val="Synopsis"/>
              <w:numPr>
                <w:ilvl w:val="0"/>
                <w:numId w:val="37"/>
              </w:numPr>
              <w:spacing w:before="60" w:after="60"/>
            </w:pPr>
            <w:r w:rsidRPr="005B64E0">
              <w:t>Skin Biopsy results (Part 1 only).</w:t>
            </w:r>
          </w:p>
          <w:p w14:paraId="4982933A" w14:textId="5C2AF41B" w:rsidR="00607B40" w:rsidRDefault="00356917" w:rsidP="000F4828">
            <w:pPr>
              <w:pStyle w:val="Synopsis"/>
              <w:numPr>
                <w:ilvl w:val="0"/>
                <w:numId w:val="37"/>
              </w:numPr>
              <w:spacing w:before="60" w:after="60"/>
            </w:pPr>
            <w:r w:rsidRPr="005B64E0">
              <w:t>Anti-drug antibody (ADA) Testing.</w:t>
            </w:r>
          </w:p>
        </w:tc>
      </w:tr>
      <w:tr w:rsidR="00607B40" w14:paraId="04D64F9C" w14:textId="77777777" w:rsidTr="00401008">
        <w:tc>
          <w:tcPr>
            <w:tcW w:w="8856" w:type="dxa"/>
            <w:gridSpan w:val="4"/>
            <w:tcBorders>
              <w:top w:val="single" w:sz="4" w:space="0" w:color="auto"/>
              <w:bottom w:val="single" w:sz="4" w:space="0" w:color="auto"/>
            </w:tcBorders>
          </w:tcPr>
          <w:p w14:paraId="6E7FF557" w14:textId="77777777" w:rsidR="00607B40" w:rsidRPr="00956956" w:rsidRDefault="00607B40">
            <w:pPr>
              <w:pStyle w:val="Synopsis"/>
              <w:rPr>
                <w:b/>
                <w:bCs/>
              </w:rPr>
            </w:pPr>
            <w:r w:rsidRPr="00956956">
              <w:rPr>
                <w:b/>
                <w:bCs/>
              </w:rPr>
              <w:t xml:space="preserve">Statistical Methods:  </w:t>
            </w:r>
          </w:p>
          <w:p w14:paraId="3A7BE3C7" w14:textId="77777777" w:rsidR="00956956" w:rsidRPr="00956956" w:rsidRDefault="00956956" w:rsidP="00956956">
            <w:pPr>
              <w:pStyle w:val="Heading5"/>
              <w:numPr>
                <w:ilvl w:val="0"/>
                <w:numId w:val="0"/>
              </w:numPr>
              <w:rPr>
                <w:rFonts w:eastAsia="SimSun"/>
                <w:b/>
                <w:bCs/>
                <w:sz w:val="20"/>
              </w:rPr>
            </w:pPr>
            <w:r w:rsidRPr="00956956">
              <w:rPr>
                <w:rFonts w:eastAsia="SimSun"/>
                <w:b/>
                <w:bCs/>
                <w:sz w:val="20"/>
              </w:rPr>
              <w:t>Baseline</w:t>
            </w:r>
          </w:p>
          <w:p w14:paraId="3DDE2B26" w14:textId="2DD30765" w:rsidR="00956956" w:rsidRPr="00956956" w:rsidRDefault="00956956" w:rsidP="00956956">
            <w:pPr>
              <w:pStyle w:val="Text"/>
              <w:rPr>
                <w:sz w:val="20"/>
              </w:rPr>
            </w:pPr>
            <w:r w:rsidRPr="00956956">
              <w:rPr>
                <w:sz w:val="20"/>
              </w:rPr>
              <w:t xml:space="preserve">Baseline was defined as the last available pre-treatment assessment, considering both scheduled and unscheduled assessments. Safety assessments at </w:t>
            </w:r>
            <w:r w:rsidR="00961A53">
              <w:rPr>
                <w:sz w:val="20"/>
              </w:rPr>
              <w:t>Cycle 1/Day 1 (</w:t>
            </w:r>
            <w:r w:rsidRPr="00956956">
              <w:rPr>
                <w:sz w:val="20"/>
              </w:rPr>
              <w:t>C1/D1</w:t>
            </w:r>
            <w:r w:rsidR="00961A53">
              <w:rPr>
                <w:sz w:val="20"/>
              </w:rPr>
              <w:t>)</w:t>
            </w:r>
            <w:r w:rsidRPr="00956956">
              <w:rPr>
                <w:sz w:val="20"/>
              </w:rPr>
              <w:t xml:space="preserve"> with no time of assessment (i.e., vital signs and body weight, </w:t>
            </w:r>
            <w:r w:rsidRPr="00B14600">
              <w:rPr>
                <w:sz w:val="20"/>
              </w:rPr>
              <w:t>ECOG-PS, physical</w:t>
            </w:r>
            <w:r w:rsidRPr="00956956">
              <w:rPr>
                <w:sz w:val="20"/>
              </w:rPr>
              <w:t xml:space="preserve"> examination) were assumed to be taken pre-treatment.</w:t>
            </w:r>
          </w:p>
          <w:p w14:paraId="0F2A3330" w14:textId="77777777" w:rsidR="00956956" w:rsidRPr="00956956" w:rsidRDefault="00956956" w:rsidP="00956956">
            <w:pPr>
              <w:pStyle w:val="Heading5"/>
              <w:numPr>
                <w:ilvl w:val="0"/>
                <w:numId w:val="0"/>
              </w:numPr>
              <w:rPr>
                <w:rFonts w:eastAsia="SimSun"/>
                <w:b/>
                <w:bCs/>
                <w:sz w:val="20"/>
              </w:rPr>
            </w:pPr>
            <w:r w:rsidRPr="00956956">
              <w:rPr>
                <w:rFonts w:eastAsia="SimSun"/>
                <w:b/>
                <w:bCs/>
                <w:sz w:val="20"/>
              </w:rPr>
              <w:t>End of Treatment (EOT)</w:t>
            </w:r>
          </w:p>
          <w:p w14:paraId="60FA7EDE" w14:textId="77777777" w:rsidR="00956956" w:rsidRPr="00956956" w:rsidRDefault="00956956" w:rsidP="00956956">
            <w:pPr>
              <w:pStyle w:val="Text"/>
              <w:rPr>
                <w:sz w:val="20"/>
              </w:rPr>
            </w:pPr>
            <w:r w:rsidRPr="00956956">
              <w:rPr>
                <w:sz w:val="20"/>
              </w:rPr>
              <w:t>Once Sym015 was discontinued, an End of Treatment (EOT) Visit was to be performed within 10 days following the decision to withdraw treatment. A follow-up visit was planned to be performed 1 month after the last administration of Sym015.</w:t>
            </w:r>
          </w:p>
          <w:p w14:paraId="04E200F7" w14:textId="77777777" w:rsidR="00956956" w:rsidRPr="00956956" w:rsidRDefault="00956956" w:rsidP="00956956">
            <w:pPr>
              <w:pStyle w:val="Heading5"/>
              <w:numPr>
                <w:ilvl w:val="0"/>
                <w:numId w:val="0"/>
              </w:numPr>
              <w:rPr>
                <w:rFonts w:eastAsia="SimSun"/>
                <w:b/>
                <w:bCs/>
                <w:sz w:val="20"/>
              </w:rPr>
            </w:pPr>
            <w:r w:rsidRPr="00956956">
              <w:rPr>
                <w:rFonts w:eastAsia="SimSun"/>
                <w:b/>
                <w:bCs/>
                <w:sz w:val="20"/>
              </w:rPr>
              <w:t>Unscheduled assessments</w:t>
            </w:r>
          </w:p>
          <w:p w14:paraId="6D4BAFF0" w14:textId="28BE8BC1" w:rsidR="00956956" w:rsidRPr="00956956" w:rsidRDefault="00956956" w:rsidP="00956956">
            <w:pPr>
              <w:pStyle w:val="Text"/>
              <w:rPr>
                <w:sz w:val="20"/>
              </w:rPr>
            </w:pPr>
            <w:r w:rsidRPr="00956956">
              <w:rPr>
                <w:sz w:val="20"/>
              </w:rPr>
              <w:t xml:space="preserve">Unscheduled assessments were presented in listings in chronological order. By-visit summaries of each test/exam was tabulated according to the protocol defined visit schedule. </w:t>
            </w:r>
          </w:p>
          <w:p w14:paraId="0BA96A79" w14:textId="77777777" w:rsidR="00956956" w:rsidRPr="00956956" w:rsidRDefault="00956956" w:rsidP="00956956">
            <w:pPr>
              <w:pStyle w:val="Heading5"/>
              <w:numPr>
                <w:ilvl w:val="0"/>
                <w:numId w:val="0"/>
              </w:numPr>
              <w:rPr>
                <w:rFonts w:eastAsia="SimSun"/>
                <w:b/>
                <w:bCs/>
                <w:sz w:val="20"/>
              </w:rPr>
            </w:pPr>
            <w:r w:rsidRPr="00956956">
              <w:rPr>
                <w:rFonts w:eastAsia="SimSun"/>
                <w:b/>
                <w:bCs/>
                <w:sz w:val="20"/>
              </w:rPr>
              <w:t>Treatment Day</w:t>
            </w:r>
          </w:p>
          <w:p w14:paraId="7D66672A" w14:textId="77777777" w:rsidR="00956956" w:rsidRPr="00956956" w:rsidRDefault="00956956" w:rsidP="00956956">
            <w:pPr>
              <w:pStyle w:val="Text"/>
              <w:rPr>
                <w:sz w:val="20"/>
              </w:rPr>
            </w:pPr>
            <w:r w:rsidRPr="00956956">
              <w:rPr>
                <w:w w:val="105"/>
                <w:sz w:val="20"/>
              </w:rPr>
              <w:t>Treatment Day was calculated relative to the date of C1/D1 as follows:</w:t>
            </w:r>
          </w:p>
          <w:p w14:paraId="5C90B3D6" w14:textId="77777777" w:rsidR="00956956" w:rsidRPr="00956956" w:rsidRDefault="00956956" w:rsidP="00956956">
            <w:pPr>
              <w:pStyle w:val="BulletList1"/>
              <w:rPr>
                <w:sz w:val="20"/>
              </w:rPr>
            </w:pPr>
            <w:r w:rsidRPr="00956956">
              <w:rPr>
                <w:sz w:val="20"/>
              </w:rPr>
              <w:t>assessments taken before the first infusion of IMP.</w:t>
            </w:r>
          </w:p>
          <w:p w14:paraId="36500311" w14:textId="77777777" w:rsidR="00956956" w:rsidRPr="00956956" w:rsidRDefault="00956956" w:rsidP="00956956">
            <w:pPr>
              <w:pStyle w:val="Text"/>
              <w:ind w:left="360" w:hanging="720"/>
              <w:rPr>
                <w:sz w:val="20"/>
              </w:rPr>
            </w:pPr>
            <w:r w:rsidRPr="00956956">
              <w:rPr>
                <w:w w:val="105"/>
                <w:sz w:val="20"/>
              </w:rPr>
              <w:tab/>
              <w:t>Treatment Day = Assessment Date - First IMP infusion Date.</w:t>
            </w:r>
          </w:p>
          <w:p w14:paraId="3692735A" w14:textId="77777777" w:rsidR="00956956" w:rsidRPr="00956956" w:rsidRDefault="00956956" w:rsidP="00956956">
            <w:pPr>
              <w:pStyle w:val="BulletList1"/>
              <w:rPr>
                <w:sz w:val="20"/>
              </w:rPr>
            </w:pPr>
            <w:r w:rsidRPr="00956956">
              <w:rPr>
                <w:sz w:val="20"/>
              </w:rPr>
              <w:t>assessments after the first infusion of IMP.</w:t>
            </w:r>
          </w:p>
          <w:p w14:paraId="2B6004CF" w14:textId="20E383B0" w:rsidR="00956956" w:rsidRPr="00956956" w:rsidRDefault="00956956" w:rsidP="00956956">
            <w:pPr>
              <w:pStyle w:val="Text"/>
              <w:ind w:left="360" w:hanging="720"/>
              <w:rPr>
                <w:w w:val="105"/>
                <w:sz w:val="20"/>
              </w:rPr>
            </w:pPr>
            <w:r w:rsidRPr="00956956">
              <w:rPr>
                <w:w w:val="105"/>
                <w:sz w:val="20"/>
              </w:rPr>
              <w:tab/>
              <w:t>Treatment Day = Assessment Date - First IMP infusion Date + 1.</w:t>
            </w:r>
          </w:p>
          <w:p w14:paraId="4E5C6074" w14:textId="77777777" w:rsidR="00956956" w:rsidRPr="004D5978" w:rsidRDefault="00956956" w:rsidP="004D5978">
            <w:pPr>
              <w:pStyle w:val="Synopsis"/>
              <w:rPr>
                <w:b/>
                <w:bCs/>
                <w:i/>
                <w:iCs/>
              </w:rPr>
            </w:pPr>
            <w:r w:rsidRPr="004D5978">
              <w:rPr>
                <w:b/>
                <w:bCs/>
                <w:i/>
                <w:iCs/>
              </w:rPr>
              <w:t>Determination of Sample Size</w:t>
            </w:r>
          </w:p>
          <w:p w14:paraId="48ED19BB" w14:textId="77777777" w:rsidR="00956956" w:rsidRPr="00956956" w:rsidRDefault="00956956" w:rsidP="00956956">
            <w:pPr>
              <w:pStyle w:val="Text"/>
              <w:rPr>
                <w:sz w:val="20"/>
              </w:rPr>
            </w:pPr>
            <w:r w:rsidRPr="00956956">
              <w:rPr>
                <w:sz w:val="20"/>
              </w:rPr>
              <w:t xml:space="preserve">The primary endpoint of Part 1 of the study was the occurrence of DLTs measured during Cycle 1 of Sym015 administration. The number of enrolled patients depended on the extent of observed DLTs independently in each Cohort. Based on a 3+3 design, it was planned to enroll between 12 and 15 patients during dose-escalation, however the actual number of patients depended on observed DLTs. </w:t>
            </w:r>
          </w:p>
          <w:p w14:paraId="4B0101BC" w14:textId="77777777" w:rsidR="00956956" w:rsidRPr="00956956" w:rsidRDefault="00956956" w:rsidP="00956956">
            <w:pPr>
              <w:pStyle w:val="Text"/>
              <w:rPr>
                <w:sz w:val="20"/>
              </w:rPr>
            </w:pPr>
            <w:r w:rsidRPr="00956956">
              <w:rPr>
                <w:sz w:val="20"/>
              </w:rPr>
              <w:t xml:space="preserve">In Part 2 of the study, the primary endpoint was documented, </w:t>
            </w:r>
            <w:proofErr w:type="gramStart"/>
            <w:r w:rsidRPr="00956956">
              <w:rPr>
                <w:sz w:val="20"/>
              </w:rPr>
              <w:t>confirmed</w:t>
            </w:r>
            <w:proofErr w:type="gramEnd"/>
            <w:r w:rsidRPr="00956956">
              <w:rPr>
                <w:sz w:val="20"/>
              </w:rPr>
              <w:t xml:space="preserve"> OR assessed by RECIST v1.1, at any time during study participation by Investigator assessment. It was planned to include 25 patients with various advanced solid tumor malignancies, documented and confirmed as</w:t>
            </w:r>
            <w:r w:rsidRPr="009224ED">
              <w:rPr>
                <w:sz w:val="20"/>
              </w:rPr>
              <w:t xml:space="preserve"> </w:t>
            </w:r>
            <w:r w:rsidRPr="00245D8C">
              <w:rPr>
                <w:i/>
                <w:iCs/>
                <w:sz w:val="20"/>
              </w:rPr>
              <w:t>MET</w:t>
            </w:r>
            <w:r w:rsidRPr="00956956">
              <w:rPr>
                <w:sz w:val="20"/>
              </w:rPr>
              <w:noBreakHyphen/>
              <w:t xml:space="preserve">amplified in the Basket Cohort, 20 patients in the NSCLC </w:t>
            </w:r>
            <w:r w:rsidRPr="00245D8C">
              <w:rPr>
                <w:i/>
                <w:iCs/>
                <w:sz w:val="20"/>
              </w:rPr>
              <w:t>MET</w:t>
            </w:r>
            <w:r w:rsidRPr="00956956">
              <w:rPr>
                <w:sz w:val="20"/>
              </w:rPr>
              <w:t xml:space="preserve">-Amplified Cohort, and 6-12 patients in the NSCLC </w:t>
            </w:r>
            <w:r w:rsidRPr="00245D8C">
              <w:rPr>
                <w:i/>
                <w:iCs/>
                <w:sz w:val="20"/>
              </w:rPr>
              <w:t>MET</w:t>
            </w:r>
            <w:r w:rsidRPr="00245D8C">
              <w:rPr>
                <w:sz w:val="20"/>
                <w:vertAlign w:val="superscript"/>
              </w:rPr>
              <w:t>Exl4Del</w:t>
            </w:r>
            <w:r w:rsidRPr="00956956">
              <w:rPr>
                <w:sz w:val="20"/>
              </w:rPr>
              <w:t xml:space="preserve"> Cohort, for the total of approximately 51-57 patients in Part 2.</w:t>
            </w:r>
          </w:p>
          <w:p w14:paraId="533FB700" w14:textId="58E0EDF2" w:rsidR="00956956" w:rsidRPr="00956956" w:rsidRDefault="00956956" w:rsidP="00956956">
            <w:pPr>
              <w:pStyle w:val="Text"/>
              <w:rPr>
                <w:w w:val="105"/>
                <w:sz w:val="20"/>
              </w:rPr>
            </w:pPr>
            <w:r w:rsidRPr="00956956">
              <w:rPr>
                <w:sz w:val="20"/>
              </w:rPr>
              <w:t xml:space="preserve">No power and type I error considerations were used to determine the sample size in each Cohort. Proposed sample sizes in Basket and NSCLC Cohorts allowed to obtain preliminary safety, PK, response, and pharmacodynamic information of Sym015 in the respective patient populations. The expected (target) range of OR in any of these three Cohorts was in the range of 20%-50%, depending on histology, previous therapies, and other prognostic factors defining the enrolled patient population. </w:t>
            </w:r>
          </w:p>
          <w:p w14:paraId="562FDA4B" w14:textId="282BFC54" w:rsidR="00607B40" w:rsidRPr="00956956" w:rsidRDefault="00607B40">
            <w:pPr>
              <w:pStyle w:val="Synopsis"/>
            </w:pPr>
          </w:p>
        </w:tc>
      </w:tr>
      <w:tr w:rsidR="00BA5989" w14:paraId="58A3C941" w14:textId="77777777" w:rsidTr="00401008">
        <w:tc>
          <w:tcPr>
            <w:tcW w:w="8856" w:type="dxa"/>
            <w:gridSpan w:val="4"/>
            <w:tcBorders>
              <w:top w:val="single" w:sz="4" w:space="0" w:color="auto"/>
              <w:bottom w:val="single" w:sz="4" w:space="0" w:color="auto"/>
            </w:tcBorders>
          </w:tcPr>
          <w:p w14:paraId="3414ACB4" w14:textId="0A669409" w:rsidR="00BA5989" w:rsidRPr="00712753" w:rsidRDefault="00BA5989" w:rsidP="002A4A46">
            <w:pPr>
              <w:pStyle w:val="Synopsis"/>
            </w:pPr>
            <w:r w:rsidRPr="00712753">
              <w:rPr>
                <w:b/>
                <w:bCs/>
              </w:rPr>
              <w:t>Safety Results:</w:t>
            </w:r>
            <w:r w:rsidRPr="00712753">
              <w:t xml:space="preserve"> Overall, treatment with Sym015 at the different doses in Part 1 and Part 2 was </w:t>
            </w:r>
            <w:r w:rsidR="00F57778">
              <w:t xml:space="preserve">determined to be </w:t>
            </w:r>
            <w:r w:rsidRPr="00712753">
              <w:t xml:space="preserve">safe and well tolerated. </w:t>
            </w:r>
          </w:p>
          <w:p w14:paraId="183231C9" w14:textId="77777777" w:rsidR="00BA5989" w:rsidRPr="00712753" w:rsidRDefault="00BA5989" w:rsidP="002A4A46">
            <w:pPr>
              <w:pStyle w:val="Synopsis"/>
              <w:rPr>
                <w:b/>
                <w:bCs/>
              </w:rPr>
            </w:pPr>
            <w:r w:rsidRPr="00712753">
              <w:rPr>
                <w:b/>
                <w:bCs/>
              </w:rPr>
              <w:t>Part 1</w:t>
            </w:r>
          </w:p>
          <w:p w14:paraId="58ACAEEE" w14:textId="3C4B3DEF" w:rsidR="00BA5989" w:rsidRDefault="00BA5989" w:rsidP="00712753">
            <w:pPr>
              <w:pStyle w:val="BulletList1"/>
              <w:rPr>
                <w:sz w:val="20"/>
              </w:rPr>
            </w:pPr>
            <w:r w:rsidRPr="00712753">
              <w:rPr>
                <w:sz w:val="20"/>
              </w:rPr>
              <w:t>All 12 patients were discontinued in Part 1. Two patients (16.7%) reported withdrawal of consent and 9 patients (75.0%) discontinued due to PD. One patient (8.3%) discontinued due to other reason</w:t>
            </w:r>
            <w:r w:rsidR="00F57778">
              <w:rPr>
                <w:sz w:val="20"/>
              </w:rPr>
              <w:t xml:space="preserve"> (include reason)</w:t>
            </w:r>
            <w:r>
              <w:rPr>
                <w:sz w:val="20"/>
              </w:rPr>
              <w:t>.</w:t>
            </w:r>
          </w:p>
          <w:p w14:paraId="73BFC22A" w14:textId="77777777" w:rsidR="00BA5989" w:rsidRPr="00712753" w:rsidRDefault="00BA5989" w:rsidP="00712753">
            <w:pPr>
              <w:pStyle w:val="BulletList1"/>
              <w:rPr>
                <w:sz w:val="20"/>
              </w:rPr>
            </w:pPr>
            <w:r w:rsidRPr="00712753">
              <w:rPr>
                <w:sz w:val="20"/>
              </w:rPr>
              <w:t>MTD was not reached in Part 1.</w:t>
            </w:r>
          </w:p>
          <w:p w14:paraId="1E88C011" w14:textId="77777777" w:rsidR="00BA5989" w:rsidRPr="00712753" w:rsidRDefault="00BA5989" w:rsidP="00712753">
            <w:pPr>
              <w:pStyle w:val="BulletList1"/>
              <w:rPr>
                <w:sz w:val="20"/>
              </w:rPr>
            </w:pPr>
            <w:r w:rsidRPr="00712753">
              <w:rPr>
                <w:sz w:val="20"/>
              </w:rPr>
              <w:t>The IMP dose was interrupted in 2 patients due to infusion related reactions.</w:t>
            </w:r>
          </w:p>
          <w:p w14:paraId="7F3D1AEC" w14:textId="0C60E70D" w:rsidR="00BA5989" w:rsidRPr="00712753" w:rsidRDefault="00BA5989" w:rsidP="00712753">
            <w:pPr>
              <w:pStyle w:val="BulletList1"/>
              <w:rPr>
                <w:sz w:val="20"/>
              </w:rPr>
            </w:pPr>
            <w:r w:rsidRPr="00712753">
              <w:rPr>
                <w:sz w:val="20"/>
              </w:rPr>
              <w:t xml:space="preserve">Four patients experienced Grade 3 TEAEs. All reported Grade 3 TEAEs were </w:t>
            </w:r>
            <w:r w:rsidR="00F57778">
              <w:rPr>
                <w:sz w:val="20"/>
              </w:rPr>
              <w:t xml:space="preserve">considered </w:t>
            </w:r>
            <w:r w:rsidRPr="00712753">
              <w:rPr>
                <w:sz w:val="20"/>
              </w:rPr>
              <w:t>not related to IMP. No Grade 4 or Grade 5 TEAEs were reported in Part 1. All other TEAEs were Grade 1 or Grade 2 in severity.</w:t>
            </w:r>
          </w:p>
          <w:p w14:paraId="663ECC43" w14:textId="77777777" w:rsidR="00BA5989" w:rsidRPr="00712753" w:rsidRDefault="00BA5989" w:rsidP="00712753">
            <w:pPr>
              <w:pStyle w:val="BulletList1"/>
              <w:rPr>
                <w:sz w:val="20"/>
              </w:rPr>
            </w:pPr>
            <w:r w:rsidRPr="00712753">
              <w:rPr>
                <w:sz w:val="20"/>
              </w:rPr>
              <w:t xml:space="preserve">The most frequently reported TEAEs (≥10% of patients) were fatigue (33.3%), decreased appetite (25.00%), </w:t>
            </w:r>
            <w:proofErr w:type="spellStart"/>
            <w:r w:rsidRPr="00712753">
              <w:rPr>
                <w:sz w:val="20"/>
              </w:rPr>
              <w:t>hypokalaemia</w:t>
            </w:r>
            <w:proofErr w:type="spellEnd"/>
            <w:r w:rsidRPr="00712753">
              <w:rPr>
                <w:sz w:val="20"/>
              </w:rPr>
              <w:t xml:space="preserve"> (25.00%), hypomagnesaemia (25.00%), and oedema peripheral, vomiting, nausea, constipation, </w:t>
            </w:r>
            <w:proofErr w:type="spellStart"/>
            <w:r w:rsidRPr="00712753">
              <w:rPr>
                <w:sz w:val="20"/>
              </w:rPr>
              <w:t>hypoalbuminaemia</w:t>
            </w:r>
            <w:proofErr w:type="spellEnd"/>
            <w:r w:rsidRPr="00712753">
              <w:rPr>
                <w:sz w:val="20"/>
              </w:rPr>
              <w:t xml:space="preserve">, somnolence, ear pain, infusion related reaction, and </w:t>
            </w:r>
            <w:proofErr w:type="spellStart"/>
            <w:r w:rsidRPr="00712753">
              <w:rPr>
                <w:sz w:val="20"/>
              </w:rPr>
              <w:t>tumour</w:t>
            </w:r>
            <w:proofErr w:type="spellEnd"/>
            <w:r w:rsidRPr="00712753">
              <w:rPr>
                <w:sz w:val="20"/>
              </w:rPr>
              <w:t xml:space="preserve"> pain (16.67% patients, each).</w:t>
            </w:r>
          </w:p>
          <w:p w14:paraId="122F2259" w14:textId="77777777" w:rsidR="00BA5989" w:rsidRPr="00712753" w:rsidRDefault="00BA5989" w:rsidP="00712753">
            <w:pPr>
              <w:pStyle w:val="BulletList1"/>
              <w:rPr>
                <w:sz w:val="20"/>
              </w:rPr>
            </w:pPr>
            <w:r w:rsidRPr="00712753">
              <w:rPr>
                <w:sz w:val="20"/>
              </w:rPr>
              <w:t xml:space="preserve">A total of 15 IMP-related TEAEs in 5 patients were reported during the study. </w:t>
            </w:r>
          </w:p>
          <w:p w14:paraId="35457B69" w14:textId="77777777" w:rsidR="00BA5989" w:rsidRPr="00712753" w:rsidRDefault="00BA5989" w:rsidP="00712753">
            <w:pPr>
              <w:pStyle w:val="BulletList1"/>
              <w:rPr>
                <w:sz w:val="20"/>
              </w:rPr>
            </w:pPr>
            <w:r w:rsidRPr="00712753">
              <w:rPr>
                <w:sz w:val="20"/>
              </w:rPr>
              <w:t xml:space="preserve">The most frequently reported IMP-related TEAEs by PT were fatigue (16.67%), oedema peripheral, dyspepsia and </w:t>
            </w:r>
            <w:proofErr w:type="spellStart"/>
            <w:r w:rsidRPr="00712753">
              <w:rPr>
                <w:sz w:val="20"/>
              </w:rPr>
              <w:t>diarrhoea</w:t>
            </w:r>
            <w:proofErr w:type="spellEnd"/>
            <w:r w:rsidRPr="00712753">
              <w:rPr>
                <w:sz w:val="20"/>
              </w:rPr>
              <w:t xml:space="preserve"> (8.33%, each). </w:t>
            </w:r>
          </w:p>
          <w:p w14:paraId="459C4522" w14:textId="77777777" w:rsidR="00BA5989" w:rsidRPr="00712753" w:rsidRDefault="00BA5989" w:rsidP="00712753">
            <w:pPr>
              <w:pStyle w:val="BulletList1"/>
              <w:rPr>
                <w:sz w:val="20"/>
              </w:rPr>
            </w:pPr>
            <w:r w:rsidRPr="00712753">
              <w:rPr>
                <w:sz w:val="20"/>
              </w:rPr>
              <w:t>A total of 3 serious TEAEs were reported in 3 patients (25.00%) during the study. Serious TEAEs by PT were pelvic abscess, intra-abdominal fluid collection and nausea (8.33%, each).</w:t>
            </w:r>
          </w:p>
          <w:p w14:paraId="171508F6" w14:textId="77777777" w:rsidR="00BA5989" w:rsidRPr="00712753" w:rsidRDefault="00BA5989" w:rsidP="00712753">
            <w:pPr>
              <w:pStyle w:val="BulletList1"/>
              <w:rPr>
                <w:sz w:val="20"/>
              </w:rPr>
            </w:pPr>
            <w:r w:rsidRPr="00712753">
              <w:rPr>
                <w:sz w:val="20"/>
              </w:rPr>
              <w:t xml:space="preserve">No serious IMP-related TEAEs were reported. </w:t>
            </w:r>
          </w:p>
          <w:p w14:paraId="1D059684" w14:textId="77777777" w:rsidR="00BA5989" w:rsidRPr="00712753" w:rsidRDefault="00BA5989" w:rsidP="00712753">
            <w:pPr>
              <w:pStyle w:val="BulletList1"/>
              <w:rPr>
                <w:sz w:val="20"/>
              </w:rPr>
            </w:pPr>
            <w:r w:rsidRPr="00712753">
              <w:rPr>
                <w:sz w:val="20"/>
              </w:rPr>
              <w:t>No TEAEs or related TEAEs led to permanent discontinuation of the IMP.</w:t>
            </w:r>
          </w:p>
          <w:p w14:paraId="7A6C14ED" w14:textId="1F45099B" w:rsidR="00BA5989" w:rsidRPr="00712753" w:rsidRDefault="00BA5989" w:rsidP="00712753">
            <w:pPr>
              <w:pStyle w:val="BulletList1"/>
              <w:rPr>
                <w:sz w:val="20"/>
              </w:rPr>
            </w:pPr>
            <w:r w:rsidRPr="00740F40">
              <w:rPr>
                <w:sz w:val="20"/>
              </w:rPr>
              <w:t>3 deaths (1 death in each dose group 6 mg/kg, 12 mg/</w:t>
            </w:r>
            <w:proofErr w:type="gramStart"/>
            <w:r w:rsidRPr="00740F40">
              <w:rPr>
                <w:sz w:val="20"/>
              </w:rPr>
              <w:t>kg</w:t>
            </w:r>
            <w:proofErr w:type="gramEnd"/>
            <w:r w:rsidRPr="00740F40">
              <w:rPr>
                <w:sz w:val="20"/>
              </w:rPr>
              <w:t xml:space="preserve"> and 24 mg/kg)</w:t>
            </w:r>
            <w:r>
              <w:rPr>
                <w:sz w:val="20"/>
              </w:rPr>
              <w:t xml:space="preserve"> were reported</w:t>
            </w:r>
            <w:r w:rsidRPr="00740F40">
              <w:rPr>
                <w:sz w:val="20"/>
              </w:rPr>
              <w:t xml:space="preserve"> in Part 1</w:t>
            </w:r>
            <w:r>
              <w:rPr>
                <w:sz w:val="20"/>
              </w:rPr>
              <w:t xml:space="preserve">. </w:t>
            </w:r>
            <w:r w:rsidRPr="00712753">
              <w:rPr>
                <w:sz w:val="20"/>
              </w:rPr>
              <w:t>No</w:t>
            </w:r>
            <w:r>
              <w:rPr>
                <w:sz w:val="20"/>
              </w:rPr>
              <w:t xml:space="preserve">ne of these reported deaths were </w:t>
            </w:r>
            <w:r w:rsidR="00F57778">
              <w:rPr>
                <w:sz w:val="20"/>
              </w:rPr>
              <w:t xml:space="preserve">considered </w:t>
            </w:r>
            <w:r>
              <w:rPr>
                <w:sz w:val="20"/>
              </w:rPr>
              <w:t xml:space="preserve">related to </w:t>
            </w:r>
            <w:r w:rsidRPr="00712753">
              <w:rPr>
                <w:sz w:val="20"/>
              </w:rPr>
              <w:t>IMP.</w:t>
            </w:r>
          </w:p>
          <w:p w14:paraId="1F6BB32C" w14:textId="77777777" w:rsidR="00BA5989" w:rsidRPr="00712753" w:rsidRDefault="00BA5989" w:rsidP="00712753">
            <w:pPr>
              <w:pStyle w:val="BulletList1"/>
              <w:rPr>
                <w:sz w:val="20"/>
              </w:rPr>
            </w:pPr>
            <w:r w:rsidRPr="00712753">
              <w:rPr>
                <w:sz w:val="20"/>
              </w:rPr>
              <w:t xml:space="preserve">Some shifts were observed from Baseline to CTCAE Grade 3 and 4 in hematology, clinical chemistry, and coagulation parameters. However, these shifts were not considered clinically significant. </w:t>
            </w:r>
          </w:p>
          <w:p w14:paraId="01C56832" w14:textId="71BB94C1" w:rsidR="00BA5989" w:rsidRPr="00712753" w:rsidRDefault="00BA5989" w:rsidP="00712753">
            <w:pPr>
              <w:pStyle w:val="BulletList1"/>
              <w:rPr>
                <w:sz w:val="20"/>
              </w:rPr>
            </w:pPr>
            <w:r w:rsidRPr="00712753">
              <w:rPr>
                <w:sz w:val="20"/>
              </w:rPr>
              <w:t xml:space="preserve">No clinically significant abnormalities in vital signs parameters, ECOG-PS or ECG s were reported at any time point during Part 1. One patient experienced weight decrease considered related to study drug by the Investigator.  </w:t>
            </w:r>
          </w:p>
          <w:p w14:paraId="0D3AE50A" w14:textId="77777777" w:rsidR="00BA5989" w:rsidRPr="00712753" w:rsidRDefault="00BA5989" w:rsidP="002A4A46">
            <w:pPr>
              <w:pStyle w:val="Synopsis"/>
            </w:pPr>
            <w:r w:rsidRPr="00712753">
              <w:t>Part 2</w:t>
            </w:r>
          </w:p>
          <w:p w14:paraId="27715DD2" w14:textId="0D0E4C4C" w:rsidR="00BA5989" w:rsidRDefault="00BA5989" w:rsidP="00712753">
            <w:pPr>
              <w:pStyle w:val="BulletList1"/>
              <w:rPr>
                <w:sz w:val="20"/>
              </w:rPr>
            </w:pPr>
            <w:r w:rsidRPr="00712753">
              <w:rPr>
                <w:sz w:val="20"/>
              </w:rPr>
              <w:t>Of 45 patients receiving IMP, 4</w:t>
            </w:r>
            <w:r w:rsidR="00355651">
              <w:rPr>
                <w:sz w:val="20"/>
              </w:rPr>
              <w:t>5</w:t>
            </w:r>
            <w:r w:rsidRPr="00712753">
              <w:rPr>
                <w:sz w:val="20"/>
              </w:rPr>
              <w:t xml:space="preserve"> patients were discontinued in Part 2. One patient (2.2%) withdrew consent and 37 patients (82.2%) discontinued due to PD. One patient (2.2%) discontinued due to protocol violation. Three patients (6.7%) </w:t>
            </w:r>
            <w:proofErr w:type="gramStart"/>
            <w:r w:rsidRPr="00712753">
              <w:rPr>
                <w:sz w:val="20"/>
              </w:rPr>
              <w:t>died</w:t>
            </w:r>
            <w:proofErr w:type="gramEnd"/>
            <w:r w:rsidRPr="00712753">
              <w:rPr>
                <w:sz w:val="20"/>
              </w:rPr>
              <w:t xml:space="preserve"> and 2 patients (4.4%) were withdrawn due to Investigator’s decision</w:t>
            </w:r>
            <w:r>
              <w:rPr>
                <w:sz w:val="20"/>
              </w:rPr>
              <w:t>.</w:t>
            </w:r>
            <w:r w:rsidR="00355651">
              <w:t xml:space="preserve"> </w:t>
            </w:r>
            <w:r w:rsidR="00355651" w:rsidRPr="00355651">
              <w:rPr>
                <w:sz w:val="20"/>
              </w:rPr>
              <w:t xml:space="preserve">One patient (2.2%) </w:t>
            </w:r>
            <w:r w:rsidR="000B3127" w:rsidRPr="000B3127">
              <w:rPr>
                <w:sz w:val="20"/>
              </w:rPr>
              <w:t xml:space="preserve">was transferred to </w:t>
            </w:r>
            <w:r w:rsidR="00B26767" w:rsidRPr="000B3127">
              <w:rPr>
                <w:sz w:val="20"/>
              </w:rPr>
              <w:t xml:space="preserve">Named Patient Program </w:t>
            </w:r>
            <w:r w:rsidR="000B3127" w:rsidRPr="000B3127">
              <w:rPr>
                <w:sz w:val="20"/>
              </w:rPr>
              <w:t>and not considered as withdrawn by the Sponsor.</w:t>
            </w:r>
          </w:p>
          <w:p w14:paraId="4328F9B3" w14:textId="77777777" w:rsidR="00BA5989" w:rsidRPr="00712753" w:rsidRDefault="00BA5989" w:rsidP="00712753">
            <w:pPr>
              <w:pStyle w:val="BulletList1"/>
              <w:rPr>
                <w:sz w:val="20"/>
              </w:rPr>
            </w:pPr>
            <w:r w:rsidRPr="00712753">
              <w:rPr>
                <w:sz w:val="20"/>
              </w:rPr>
              <w:t xml:space="preserve">The most frequently reported TEAEs (≥10% of patients) were oedema peripheral (24.44%), nausea (22.22%), fatigue (22.22%), constipation (20.00%), decreased appetite (20.00%), abdominal pain (17.78%), cough (17.78%), </w:t>
            </w:r>
            <w:proofErr w:type="spellStart"/>
            <w:r w:rsidRPr="00712753">
              <w:rPr>
                <w:sz w:val="20"/>
              </w:rPr>
              <w:t>anaemia</w:t>
            </w:r>
            <w:proofErr w:type="spellEnd"/>
            <w:r w:rsidRPr="00712753">
              <w:rPr>
                <w:sz w:val="20"/>
              </w:rPr>
              <w:t xml:space="preserve"> (17.78%), pyrexia (15.56%), </w:t>
            </w:r>
            <w:proofErr w:type="spellStart"/>
            <w:r w:rsidRPr="00712753">
              <w:rPr>
                <w:sz w:val="20"/>
              </w:rPr>
              <w:t>hypoalbuminaemia</w:t>
            </w:r>
            <w:proofErr w:type="spellEnd"/>
            <w:r w:rsidRPr="00712753">
              <w:rPr>
                <w:sz w:val="20"/>
              </w:rPr>
              <w:t xml:space="preserve"> (15.56%), back pain (13.33%), dyspepsia (11.11%), aspartate aminotransferase increased (11.11%).</w:t>
            </w:r>
          </w:p>
          <w:p w14:paraId="2DBF5A31" w14:textId="77777777" w:rsidR="00BB4F34" w:rsidRDefault="00BA5989" w:rsidP="00DF006C">
            <w:pPr>
              <w:pStyle w:val="BulletList1"/>
              <w:rPr>
                <w:sz w:val="20"/>
              </w:rPr>
            </w:pPr>
            <w:r w:rsidRPr="00BB4F34">
              <w:rPr>
                <w:sz w:val="20"/>
              </w:rPr>
              <w:t xml:space="preserve">Grade 4 TEAEs were reported in 5 patients (11.11%). One patient (2.22%) experienced Grade 4 IMP-related TEAEs. Grade 5 TEAEs were reported in 3 patients (6.67%). None of these fatal TEAEs were related to the IMP. </w:t>
            </w:r>
          </w:p>
          <w:p w14:paraId="204C4A56" w14:textId="5C7D8330" w:rsidR="00BA5989" w:rsidRPr="00DA3E33" w:rsidRDefault="009D6750" w:rsidP="00DF006C">
            <w:pPr>
              <w:pStyle w:val="BulletList1"/>
              <w:rPr>
                <w:sz w:val="20"/>
              </w:rPr>
            </w:pPr>
            <w:r w:rsidRPr="00BB4F34">
              <w:rPr>
                <w:sz w:val="20"/>
              </w:rPr>
              <w:t xml:space="preserve">The IMP dose was interrupted in 4 </w:t>
            </w:r>
            <w:r w:rsidRPr="00DA3E33">
              <w:rPr>
                <w:sz w:val="20"/>
              </w:rPr>
              <w:t>patients (8.9%). Of these 4 patients with dose interruption, 3</w:t>
            </w:r>
            <w:r w:rsidR="00BE3FC3" w:rsidRPr="00DA3E33">
              <w:rPr>
                <w:sz w:val="20"/>
              </w:rPr>
              <w:t> </w:t>
            </w:r>
            <w:r w:rsidRPr="00DA3E33">
              <w:rPr>
                <w:sz w:val="20"/>
              </w:rPr>
              <w:t>patients experienced 4</w:t>
            </w:r>
            <w:r w:rsidR="00BE3FC3" w:rsidRPr="00DA3E33">
              <w:rPr>
                <w:sz w:val="20"/>
              </w:rPr>
              <w:t> </w:t>
            </w:r>
            <w:r w:rsidRPr="00DA3E33">
              <w:rPr>
                <w:sz w:val="20"/>
              </w:rPr>
              <w:t xml:space="preserve">TEAEs that lead to interruption of IMP. </w:t>
            </w:r>
            <w:r w:rsidR="003902FF" w:rsidRPr="00DA3E33">
              <w:rPr>
                <w:sz w:val="20"/>
              </w:rPr>
              <w:t xml:space="preserve">The IMP dose interruption in 1 patient was due to an event which was not considered as an AE. </w:t>
            </w:r>
            <w:r w:rsidRPr="00DA3E33">
              <w:rPr>
                <w:sz w:val="20"/>
              </w:rPr>
              <w:t>The IMP dose reduction was reported in 2 patients (4.4%).</w:t>
            </w:r>
          </w:p>
          <w:p w14:paraId="29CC83F5" w14:textId="42CEEAFE" w:rsidR="00BA5989" w:rsidRPr="00712753" w:rsidRDefault="00BA5989" w:rsidP="00712753">
            <w:pPr>
              <w:pStyle w:val="BulletList1"/>
              <w:rPr>
                <w:sz w:val="20"/>
              </w:rPr>
            </w:pPr>
            <w:r w:rsidRPr="00712753">
              <w:rPr>
                <w:sz w:val="20"/>
              </w:rPr>
              <w:t xml:space="preserve">A total of 22 patients experienced IMP-related TEAEs during the study. </w:t>
            </w:r>
          </w:p>
          <w:p w14:paraId="25EF291E" w14:textId="77777777" w:rsidR="00BA5989" w:rsidRPr="00712753" w:rsidRDefault="00BA5989" w:rsidP="00712753">
            <w:pPr>
              <w:pStyle w:val="BulletList1"/>
              <w:rPr>
                <w:sz w:val="20"/>
              </w:rPr>
            </w:pPr>
            <w:r w:rsidRPr="00712753">
              <w:rPr>
                <w:sz w:val="20"/>
              </w:rPr>
              <w:t>The most frequently reported IMP-related TEAEs by PT were oedema peripheral (15 events reported in 7 patients [15.56%]) and fatigue (7 events reported in 6 patients [13.33%]). All other IMP-related TEAEs by PT were reported in &lt; 10% of patients.</w:t>
            </w:r>
          </w:p>
          <w:p w14:paraId="630938F1" w14:textId="77777777" w:rsidR="00BA5989" w:rsidRPr="00712753" w:rsidRDefault="00BA5989" w:rsidP="00712753">
            <w:pPr>
              <w:pStyle w:val="BulletList1"/>
              <w:rPr>
                <w:sz w:val="20"/>
              </w:rPr>
            </w:pPr>
            <w:r w:rsidRPr="00712753">
              <w:rPr>
                <w:sz w:val="20"/>
              </w:rPr>
              <w:t>A total of 18 patients [40.00%]) experienced serious TEAEs during the study. The most frequently reported serious TEAEs were pleural effusion (4.44%), pneumonia (4.44%), pulmonary embolism (2.22%), respiratory failure (2.22%), and hyperkalemia (2.22%).</w:t>
            </w:r>
          </w:p>
          <w:p w14:paraId="73DA559B" w14:textId="77777777" w:rsidR="00BA5989" w:rsidRPr="00712753" w:rsidRDefault="00BA5989" w:rsidP="00712753">
            <w:pPr>
              <w:pStyle w:val="BulletList1"/>
              <w:rPr>
                <w:sz w:val="20"/>
              </w:rPr>
            </w:pPr>
            <w:r w:rsidRPr="00712753">
              <w:rPr>
                <w:sz w:val="20"/>
              </w:rPr>
              <w:lastRenderedPageBreak/>
              <w:t xml:space="preserve">A total of 4 patients experienced serious IMP-related TEAEs.  </w:t>
            </w:r>
          </w:p>
          <w:p w14:paraId="1A131645" w14:textId="394231C4" w:rsidR="00BA5989" w:rsidRPr="00712753" w:rsidRDefault="00BA5989" w:rsidP="00712753">
            <w:pPr>
              <w:pStyle w:val="BulletList1"/>
              <w:rPr>
                <w:sz w:val="20"/>
              </w:rPr>
            </w:pPr>
            <w:r w:rsidRPr="00712753">
              <w:rPr>
                <w:sz w:val="20"/>
              </w:rPr>
              <w:t>There were no permanent discontinuations of the IMP due to TEAEs or related TEAEs</w:t>
            </w:r>
            <w:r>
              <w:rPr>
                <w:sz w:val="20"/>
              </w:rPr>
              <w:t xml:space="preserve">. </w:t>
            </w:r>
            <w:r w:rsidRPr="00A5197B">
              <w:rPr>
                <w:sz w:val="20"/>
              </w:rPr>
              <w:t>28 deaths</w:t>
            </w:r>
            <w:r>
              <w:rPr>
                <w:sz w:val="20"/>
              </w:rPr>
              <w:t xml:space="preserve"> were reported </w:t>
            </w:r>
            <w:r w:rsidRPr="00A5197B">
              <w:rPr>
                <w:sz w:val="20"/>
              </w:rPr>
              <w:t>in Part 2</w:t>
            </w:r>
            <w:r>
              <w:rPr>
                <w:sz w:val="20"/>
              </w:rPr>
              <w:t>.</w:t>
            </w:r>
            <w:r w:rsidRPr="00712753">
              <w:rPr>
                <w:sz w:val="20"/>
              </w:rPr>
              <w:t xml:space="preserve"> </w:t>
            </w:r>
            <w:r>
              <w:rPr>
                <w:sz w:val="20"/>
              </w:rPr>
              <w:t xml:space="preserve">None of these reported deaths were </w:t>
            </w:r>
            <w:r w:rsidR="00C54C3F">
              <w:rPr>
                <w:sz w:val="20"/>
              </w:rPr>
              <w:t>considered related to IMP</w:t>
            </w:r>
            <w:r w:rsidRPr="00712753">
              <w:rPr>
                <w:sz w:val="20"/>
              </w:rPr>
              <w:t>.</w:t>
            </w:r>
          </w:p>
          <w:p w14:paraId="694A0B63" w14:textId="25310076" w:rsidR="00BA5989" w:rsidRPr="00712753" w:rsidRDefault="00BA5989" w:rsidP="00712753">
            <w:pPr>
              <w:pStyle w:val="BulletList1"/>
              <w:rPr>
                <w:b/>
                <w:bCs/>
                <w:sz w:val="20"/>
              </w:rPr>
            </w:pPr>
            <w:r w:rsidRPr="00712753">
              <w:rPr>
                <w:sz w:val="20"/>
              </w:rPr>
              <w:tab/>
              <w:t xml:space="preserve">No clinically significant abnormalities </w:t>
            </w:r>
            <w:r w:rsidR="00C54C3F">
              <w:rPr>
                <w:sz w:val="20"/>
              </w:rPr>
              <w:t xml:space="preserve">were </w:t>
            </w:r>
            <w:r w:rsidRPr="00712753">
              <w:rPr>
                <w:sz w:val="20"/>
              </w:rPr>
              <w:t xml:space="preserve">reported in other safety parameters. Two patients experienced TEAEs of weight decreased assessed as not related to IMP. </w:t>
            </w:r>
          </w:p>
        </w:tc>
      </w:tr>
      <w:tr w:rsidR="00607B40" w14:paraId="3B871AAC" w14:textId="77777777" w:rsidTr="00401008">
        <w:tc>
          <w:tcPr>
            <w:tcW w:w="8856" w:type="dxa"/>
            <w:gridSpan w:val="4"/>
            <w:tcBorders>
              <w:top w:val="single" w:sz="4" w:space="0" w:color="auto"/>
              <w:bottom w:val="single" w:sz="4" w:space="0" w:color="auto"/>
            </w:tcBorders>
          </w:tcPr>
          <w:p w14:paraId="01A38B94" w14:textId="5CB6CE01" w:rsidR="00BC5B29" w:rsidRDefault="00607B40" w:rsidP="00BC5B29">
            <w:pPr>
              <w:pStyle w:val="Synopsis"/>
            </w:pPr>
            <w:r>
              <w:rPr>
                <w:b/>
              </w:rPr>
              <w:t>Efficacy Results:</w:t>
            </w:r>
            <w:r>
              <w:t xml:space="preserve"> </w:t>
            </w:r>
            <w:r w:rsidR="00BC5B29">
              <w:t xml:space="preserve">The primary objective of Part 2 was to evaluate the antitumor activity of Sym015 when administered at the Q2W RP2D to patients in the Basket Cohort, NSCLC </w:t>
            </w:r>
            <w:r w:rsidR="00BC5B29" w:rsidRPr="002F2D1C">
              <w:rPr>
                <w:i/>
                <w:iCs/>
              </w:rPr>
              <w:t>MET</w:t>
            </w:r>
            <w:r w:rsidR="00BC5B29">
              <w:t xml:space="preserve"> Amplified Cohort, and NSCLC </w:t>
            </w:r>
            <w:r w:rsidR="00BC5B29" w:rsidRPr="002F2D1C">
              <w:rPr>
                <w:i/>
                <w:iCs/>
              </w:rPr>
              <w:t>MET</w:t>
            </w:r>
            <w:r w:rsidR="00BC5B29" w:rsidRPr="002F2D1C">
              <w:rPr>
                <w:vertAlign w:val="superscript"/>
              </w:rPr>
              <w:t>Ex14Del</w:t>
            </w:r>
            <w:r w:rsidR="00BC5B29" w:rsidRPr="002F2D1C">
              <w:t xml:space="preserve"> </w:t>
            </w:r>
            <w:r w:rsidR="00BC5B29">
              <w:t xml:space="preserve">Cohort. </w:t>
            </w:r>
          </w:p>
          <w:p w14:paraId="7A2E6555" w14:textId="44469BC9" w:rsidR="00BC5B29" w:rsidRDefault="00BC5B29" w:rsidP="00BC5B29">
            <w:pPr>
              <w:pStyle w:val="Synopsis"/>
            </w:pPr>
            <w:r>
              <w:t xml:space="preserve">Based on Investigator’s assessment, no CR or unconfirmed CR was observed across the Cohorts. The OR rate was 25% in NSCLC cohorts (5/20 NSCLC </w:t>
            </w:r>
            <w:proofErr w:type="gramStart"/>
            <w:r>
              <w:t>patients;</w:t>
            </w:r>
            <w:proofErr w:type="gramEnd"/>
            <w:r>
              <w:t xml:space="preserve"> 2/8 in the </w:t>
            </w:r>
            <w:r w:rsidRPr="002F2D1C">
              <w:rPr>
                <w:i/>
                <w:iCs/>
              </w:rPr>
              <w:t>MET</w:t>
            </w:r>
            <w:r>
              <w:t xml:space="preserve">-Amplified Cohort and 3/12 in the </w:t>
            </w:r>
            <w:r w:rsidRPr="002F2D1C">
              <w:rPr>
                <w:i/>
                <w:iCs/>
              </w:rPr>
              <w:t>MET</w:t>
            </w:r>
            <w:r w:rsidRPr="002F2D1C">
              <w:rPr>
                <w:i/>
                <w:iCs/>
                <w:vertAlign w:val="superscript"/>
              </w:rPr>
              <w:t>Ex14Del</w:t>
            </w:r>
            <w:r w:rsidRPr="002F2D1C">
              <w:rPr>
                <w:i/>
                <w:iCs/>
              </w:rPr>
              <w:t xml:space="preserve"> </w:t>
            </w:r>
            <w:r>
              <w:t>Cohort). No responses were reported among patients enrolled in the Basket Cohort.</w:t>
            </w:r>
          </w:p>
          <w:p w14:paraId="60F27367" w14:textId="77777777" w:rsidR="00BC5B29" w:rsidRDefault="00BC5B29" w:rsidP="00BC5B29">
            <w:pPr>
              <w:pStyle w:val="Synopsis"/>
            </w:pPr>
            <w:r>
              <w:t xml:space="preserve">The median TTP was 7.6 weeks for the Basket Cohort, 27.0 weeks for the NSCLC </w:t>
            </w:r>
            <w:r w:rsidRPr="002F2D1C">
              <w:rPr>
                <w:i/>
                <w:iCs/>
              </w:rPr>
              <w:t>MET</w:t>
            </w:r>
            <w:r>
              <w:t xml:space="preserve">-Amplified Cohort, and 30.3 weeks for the NSCLC </w:t>
            </w:r>
            <w:r w:rsidRPr="002F2D1C">
              <w:rPr>
                <w:i/>
                <w:iCs/>
              </w:rPr>
              <w:t>MET</w:t>
            </w:r>
            <w:r w:rsidRPr="002F2D1C">
              <w:rPr>
                <w:vertAlign w:val="superscript"/>
              </w:rPr>
              <w:t>Ex14De</w:t>
            </w:r>
            <w:r>
              <w:t xml:space="preserve">l Cohort. TTP rates at 6 months were 43.8% and 46.7% in the NSCLC </w:t>
            </w:r>
            <w:r w:rsidRPr="002F2D1C">
              <w:rPr>
                <w:i/>
                <w:iCs/>
              </w:rPr>
              <w:t>MET</w:t>
            </w:r>
            <w:r>
              <w:t xml:space="preserve">-Amplified Cohort and NSCLC </w:t>
            </w:r>
            <w:r w:rsidRPr="002F2D1C">
              <w:rPr>
                <w:i/>
                <w:iCs/>
              </w:rPr>
              <w:t>MET</w:t>
            </w:r>
            <w:r w:rsidRPr="002F2D1C">
              <w:rPr>
                <w:vertAlign w:val="superscript"/>
              </w:rPr>
              <w:t>Ex14Del</w:t>
            </w:r>
            <w:r>
              <w:t xml:space="preserve"> Cohort, respectively.</w:t>
            </w:r>
          </w:p>
          <w:p w14:paraId="50420FA8" w14:textId="77777777" w:rsidR="00BC5B29" w:rsidRDefault="00BC5B29" w:rsidP="00BC5B29">
            <w:pPr>
              <w:pStyle w:val="Synopsis"/>
            </w:pPr>
            <w:r>
              <w:t xml:space="preserve">The median DOR was 80.15 weeks in the NSCLC </w:t>
            </w:r>
            <w:r w:rsidRPr="002F2D1C">
              <w:rPr>
                <w:i/>
                <w:iCs/>
              </w:rPr>
              <w:t>MET</w:t>
            </w:r>
            <w:r>
              <w:t xml:space="preserve">-Amplified Cohort and 26.00 weeks in the NSCLC </w:t>
            </w:r>
            <w:r w:rsidRPr="002F2D1C">
              <w:rPr>
                <w:i/>
                <w:iCs/>
              </w:rPr>
              <w:t>MET</w:t>
            </w:r>
            <w:r w:rsidRPr="002F2D1C">
              <w:rPr>
                <w:vertAlign w:val="superscript"/>
              </w:rPr>
              <w:t>Ex14Del</w:t>
            </w:r>
            <w:r>
              <w:t xml:space="preserve"> Cohort.</w:t>
            </w:r>
          </w:p>
          <w:p w14:paraId="115F86B0" w14:textId="79B03561" w:rsidR="00BC5B29" w:rsidRPr="0001129C" w:rsidRDefault="00BC5B29" w:rsidP="00BC5B29">
            <w:pPr>
              <w:pStyle w:val="Synopsis"/>
            </w:pPr>
            <w:r w:rsidRPr="0001129C">
              <w:t xml:space="preserve">The </w:t>
            </w:r>
            <w:r w:rsidR="00961A53">
              <w:t>DCR</w:t>
            </w:r>
            <w:r w:rsidRPr="0001129C">
              <w:t xml:space="preserve"> was 40% in the Basket Cohort (SD in 10/25 patients in the Basket Cohort; 2/5 with prior MET-targeting TKI therapy and 8/20 without prior MET targeting TKI therapy; 40% for both). The </w:t>
            </w:r>
            <w:r w:rsidR="00961A53">
              <w:t>DCR</w:t>
            </w:r>
            <w:r w:rsidRPr="0001129C">
              <w:t xml:space="preserve"> was 100% (8/8) in the NSCLC </w:t>
            </w:r>
            <w:r w:rsidRPr="0001129C">
              <w:rPr>
                <w:i/>
                <w:iCs/>
              </w:rPr>
              <w:t>MET</w:t>
            </w:r>
            <w:r w:rsidRPr="0001129C">
              <w:t xml:space="preserve">-Amplified Cohort and 66.7% (8/12) in the NSCLC </w:t>
            </w:r>
            <w:r w:rsidRPr="0001129C">
              <w:rPr>
                <w:i/>
                <w:iCs/>
              </w:rPr>
              <w:t>MET</w:t>
            </w:r>
            <w:r w:rsidRPr="0001129C">
              <w:rPr>
                <w:vertAlign w:val="superscript"/>
              </w:rPr>
              <w:t>Ex14Del</w:t>
            </w:r>
            <w:r w:rsidRPr="0001129C">
              <w:t xml:space="preserve"> Cohort. </w:t>
            </w:r>
          </w:p>
          <w:p w14:paraId="18BEBB92" w14:textId="77777777" w:rsidR="00BC5B29" w:rsidRPr="0001129C" w:rsidRDefault="00BC5B29" w:rsidP="00BC5B29">
            <w:pPr>
              <w:pStyle w:val="Synopsis"/>
            </w:pPr>
            <w:r w:rsidRPr="0001129C">
              <w:t xml:space="preserve">The median PFS was 1.7 months for the Basket Cohort, 5.8 months for the NSCLC </w:t>
            </w:r>
            <w:r w:rsidRPr="0001129C">
              <w:rPr>
                <w:i/>
                <w:iCs/>
              </w:rPr>
              <w:t>MET</w:t>
            </w:r>
            <w:r w:rsidRPr="0001129C">
              <w:t xml:space="preserve"> Amplified Cohort, and 6.2 months for the NSCLC </w:t>
            </w:r>
            <w:r w:rsidRPr="0001129C">
              <w:rPr>
                <w:i/>
                <w:iCs/>
              </w:rPr>
              <w:t>MET</w:t>
            </w:r>
            <w:r w:rsidRPr="0001129C">
              <w:rPr>
                <w:vertAlign w:val="superscript"/>
              </w:rPr>
              <w:t>Ex14Del</w:t>
            </w:r>
            <w:r w:rsidRPr="0001129C">
              <w:t xml:space="preserve"> Cohort. </w:t>
            </w:r>
          </w:p>
          <w:p w14:paraId="682E9B44" w14:textId="4EF7A5A5" w:rsidR="00BC5B29" w:rsidRPr="0001129C" w:rsidRDefault="00BC5B29" w:rsidP="00BC5B29">
            <w:pPr>
              <w:pStyle w:val="Synopsis"/>
            </w:pPr>
            <w:r w:rsidRPr="0001129C">
              <w:t xml:space="preserve">The median OS was 15.6 months for the Basket Cohort, 15.7 months for the NSCLC </w:t>
            </w:r>
            <w:r w:rsidRPr="0001129C">
              <w:rPr>
                <w:i/>
                <w:iCs/>
              </w:rPr>
              <w:t>MET</w:t>
            </w:r>
            <w:r w:rsidRPr="0001129C">
              <w:t xml:space="preserve"> Amplified Cohort, and 9.7 months for the NSCLC </w:t>
            </w:r>
            <w:r w:rsidR="0001129C" w:rsidRPr="0001129C">
              <w:rPr>
                <w:i/>
                <w:iCs/>
              </w:rPr>
              <w:t>MET</w:t>
            </w:r>
            <w:r w:rsidR="0001129C" w:rsidRPr="0001129C">
              <w:rPr>
                <w:vertAlign w:val="superscript"/>
              </w:rPr>
              <w:t>Ex14Del</w:t>
            </w:r>
            <w:r w:rsidRPr="0001129C">
              <w:t xml:space="preserve"> Cohort.</w:t>
            </w:r>
          </w:p>
          <w:p w14:paraId="2CB8B76A" w14:textId="7A411135" w:rsidR="00607B40" w:rsidRDefault="00BC5B29" w:rsidP="00BC5B29">
            <w:pPr>
              <w:pStyle w:val="Synopsis"/>
            </w:pPr>
            <w:r w:rsidRPr="0001129C">
              <w:t xml:space="preserve">In the Basket Cohort, &gt; 30% </w:t>
            </w:r>
            <w:proofErr w:type="spellStart"/>
            <w:r w:rsidRPr="0001129C">
              <w:t>tumor</w:t>
            </w:r>
            <w:proofErr w:type="spellEnd"/>
            <w:r w:rsidRPr="0001129C">
              <w:t xml:space="preserve"> shrinkage was reported for 1 patient. In the NSCLC </w:t>
            </w:r>
            <w:r w:rsidRPr="0001129C">
              <w:rPr>
                <w:i/>
                <w:iCs/>
              </w:rPr>
              <w:t>MET</w:t>
            </w:r>
            <w:r w:rsidRPr="0001129C">
              <w:t xml:space="preserve">-Amplified Cohort, &gt; 30% </w:t>
            </w:r>
            <w:proofErr w:type="spellStart"/>
            <w:r w:rsidRPr="0001129C">
              <w:t>tumor</w:t>
            </w:r>
            <w:proofErr w:type="spellEnd"/>
            <w:r w:rsidRPr="0001129C">
              <w:t xml:space="preserve"> shrinkage was reported for 2 patients. In the NSCLC </w:t>
            </w:r>
            <w:r w:rsidR="0001129C" w:rsidRPr="0001129C">
              <w:rPr>
                <w:i/>
                <w:iCs/>
              </w:rPr>
              <w:t>MET</w:t>
            </w:r>
            <w:r w:rsidR="0001129C" w:rsidRPr="0001129C">
              <w:rPr>
                <w:vertAlign w:val="superscript"/>
              </w:rPr>
              <w:t>Ex14Del</w:t>
            </w:r>
            <w:r w:rsidRPr="0001129C">
              <w:t xml:space="preserve"> Cohort, &gt; 30% </w:t>
            </w:r>
            <w:proofErr w:type="spellStart"/>
            <w:r w:rsidRPr="0001129C">
              <w:t>tumor</w:t>
            </w:r>
            <w:proofErr w:type="spellEnd"/>
            <w:r w:rsidRPr="0001129C">
              <w:t xml:space="preserve"> shrinkage was reported for 3 patients.</w:t>
            </w:r>
          </w:p>
          <w:p w14:paraId="456129A3" w14:textId="77777777" w:rsidR="00607B40" w:rsidRDefault="00607B40">
            <w:pPr>
              <w:pStyle w:val="Synopsis"/>
            </w:pPr>
          </w:p>
        </w:tc>
      </w:tr>
      <w:tr w:rsidR="00607B40" w14:paraId="149D58D6" w14:textId="77777777" w:rsidTr="00401008">
        <w:tc>
          <w:tcPr>
            <w:tcW w:w="8856" w:type="dxa"/>
            <w:gridSpan w:val="4"/>
            <w:tcBorders>
              <w:top w:val="single" w:sz="4" w:space="0" w:color="auto"/>
              <w:bottom w:val="single" w:sz="4" w:space="0" w:color="auto"/>
            </w:tcBorders>
          </w:tcPr>
          <w:p w14:paraId="0FB4D4DD" w14:textId="5AB1FFEE" w:rsidR="002A4A46" w:rsidRDefault="002A4A46" w:rsidP="002A4A46">
            <w:pPr>
              <w:pStyle w:val="Synopsis"/>
            </w:pPr>
            <w:r>
              <w:rPr>
                <w:b/>
                <w:bCs/>
              </w:rPr>
              <w:t>Pharmacokinetic</w:t>
            </w:r>
            <w:r w:rsidR="00607B40">
              <w:rPr>
                <w:b/>
                <w:bCs/>
              </w:rPr>
              <w:t xml:space="preserve"> Results:</w:t>
            </w:r>
            <w:r w:rsidR="00607B40">
              <w:t xml:space="preserve"> </w:t>
            </w:r>
            <w:r>
              <w:t xml:space="preserve">All patients were exposed to both antibodies in Sym015 throughout the study with maximum, dose-dependent serum concentrations achieved after the </w:t>
            </w:r>
            <w:r w:rsidR="0005129B">
              <w:t>end of infusion (</w:t>
            </w:r>
            <w:r>
              <w:t>EOI</w:t>
            </w:r>
            <w:r w:rsidR="0005129B">
              <w:t>)</w:t>
            </w:r>
            <w:r>
              <w:t>.</w:t>
            </w:r>
            <w:r w:rsidR="00325D1F">
              <w:t xml:space="preserve"> </w:t>
            </w:r>
            <w:r w:rsidR="00325D1F" w:rsidRPr="00325D1F">
              <w:t>As the doses increased from 6 to 24 mg/kg, corresponding increases in extent of exposure (AUC</w:t>
            </w:r>
            <w:r w:rsidR="00325D1F" w:rsidRPr="00961A53">
              <w:rPr>
                <w:vertAlign w:val="subscript"/>
              </w:rPr>
              <w:t>inf</w:t>
            </w:r>
            <w:r w:rsidR="00325D1F" w:rsidRPr="00325D1F">
              <w:t>) and peak serum concentration (</w:t>
            </w:r>
            <w:proofErr w:type="spellStart"/>
            <w:r w:rsidR="00325D1F" w:rsidRPr="00325D1F">
              <w:t>C</w:t>
            </w:r>
            <w:r w:rsidR="00325D1F" w:rsidRPr="00961A53">
              <w:rPr>
                <w:vertAlign w:val="subscript"/>
              </w:rPr>
              <w:t>max</w:t>
            </w:r>
            <w:proofErr w:type="spellEnd"/>
            <w:r w:rsidR="00325D1F" w:rsidRPr="00325D1F">
              <w:t>) of Hu9006, Hu9338 and thus Sym015 were observed</w:t>
            </w:r>
            <w:r w:rsidR="00325D1F" w:rsidRPr="00A158FA">
              <w:t>. The extent of exposure over the dosing interval (</w:t>
            </w:r>
            <w:proofErr w:type="spellStart"/>
            <w:r w:rsidR="00325D1F" w:rsidRPr="00A158FA">
              <w:t>AUC</w:t>
            </w:r>
            <w:r w:rsidR="00325D1F" w:rsidRPr="00A158FA">
              <w:rPr>
                <w:vertAlign w:val="subscript"/>
              </w:rPr>
              <w:t>τ</w:t>
            </w:r>
            <w:proofErr w:type="spellEnd"/>
            <w:r w:rsidR="00325D1F" w:rsidRPr="00A158FA">
              <w:t xml:space="preserve">) was dose proportional across dose levels. Dose normalization of </w:t>
            </w:r>
            <w:proofErr w:type="spellStart"/>
            <w:r w:rsidR="00325D1F" w:rsidRPr="00A158FA">
              <w:t>AUCτ</w:t>
            </w:r>
            <w:proofErr w:type="spellEnd"/>
            <w:r w:rsidR="00325D1F" w:rsidRPr="00A158FA">
              <w:t xml:space="preserve"> (</w:t>
            </w:r>
            <w:proofErr w:type="spellStart"/>
            <w:r w:rsidR="00325D1F" w:rsidRPr="00A158FA">
              <w:t>AUC</w:t>
            </w:r>
            <w:r w:rsidR="00325D1F" w:rsidRPr="00A158FA">
              <w:rPr>
                <w:vertAlign w:val="subscript"/>
              </w:rPr>
              <w:t>norm</w:t>
            </w:r>
            <w:proofErr w:type="spellEnd"/>
            <w:r w:rsidR="00325D1F" w:rsidRPr="00A158FA">
              <w:rPr>
                <w:vertAlign w:val="subscript"/>
              </w:rPr>
              <w:t>, τ</w:t>
            </w:r>
            <w:r w:rsidR="00325D1F" w:rsidRPr="00A158FA">
              <w:t xml:space="preserve">) further confirmed the dose </w:t>
            </w:r>
            <w:proofErr w:type="gramStart"/>
            <w:r w:rsidR="00325D1F" w:rsidRPr="00A158FA">
              <w:t>proportionality, since</w:t>
            </w:r>
            <w:proofErr w:type="gramEnd"/>
            <w:r w:rsidR="00325D1F" w:rsidRPr="00A158FA">
              <w:t xml:space="preserve"> the extent of exposure over the dosing interval was comparable across all the </w:t>
            </w:r>
            <w:r w:rsidR="00EC7E09" w:rsidRPr="00A158FA">
              <w:t>doses.</w:t>
            </w:r>
            <w:r>
              <w:t xml:space="preserve"> </w:t>
            </w:r>
          </w:p>
          <w:p w14:paraId="2756D251" w14:textId="48A236D6" w:rsidR="002A4A46" w:rsidRDefault="00325D1F" w:rsidP="002A4A46">
            <w:pPr>
              <w:pStyle w:val="Synopsis"/>
            </w:pPr>
            <w:proofErr w:type="spellStart"/>
            <w:r w:rsidRPr="00F55080">
              <w:rPr>
                <w:rFonts w:eastAsia="SimSun"/>
              </w:rPr>
              <w:t>C</w:t>
            </w:r>
            <w:r w:rsidRPr="00F55080">
              <w:rPr>
                <w:rFonts w:eastAsia="SimSun"/>
                <w:vertAlign w:val="subscript"/>
              </w:rPr>
              <w:t>max</w:t>
            </w:r>
            <w:proofErr w:type="spellEnd"/>
            <w:r w:rsidRPr="00F55080">
              <w:rPr>
                <w:rFonts w:eastAsia="SimSun"/>
              </w:rPr>
              <w:t xml:space="preserve"> values of Hu9006, Hu9338 and thus Sym015 also suggest dose proportionality across all doses in the study; however, time to peak serum concentrations (</w:t>
            </w:r>
            <w:proofErr w:type="spellStart"/>
            <w:r w:rsidRPr="00F55080">
              <w:rPr>
                <w:rFonts w:eastAsia="SimSun"/>
              </w:rPr>
              <w:t>T</w:t>
            </w:r>
            <w:r w:rsidRPr="00F55080">
              <w:rPr>
                <w:rFonts w:eastAsia="SimSun"/>
                <w:vertAlign w:val="subscript"/>
              </w:rPr>
              <w:t>max</w:t>
            </w:r>
            <w:proofErr w:type="spellEnd"/>
            <w:r w:rsidRPr="00F55080">
              <w:rPr>
                <w:rFonts w:eastAsia="SimSun"/>
              </w:rPr>
              <w:t xml:space="preserve">) appears to be variable with a wide range of </w:t>
            </w:r>
            <w:proofErr w:type="spellStart"/>
            <w:r w:rsidRPr="00F55080">
              <w:rPr>
                <w:rFonts w:eastAsia="SimSun"/>
              </w:rPr>
              <w:t>T</w:t>
            </w:r>
            <w:r w:rsidRPr="00F55080">
              <w:rPr>
                <w:rFonts w:eastAsia="SimSun"/>
                <w:vertAlign w:val="subscript"/>
              </w:rPr>
              <w:t>max</w:t>
            </w:r>
            <w:proofErr w:type="spellEnd"/>
            <w:r w:rsidRPr="00F55080">
              <w:rPr>
                <w:rFonts w:eastAsia="SimSun"/>
              </w:rPr>
              <w:t xml:space="preserve"> values across all doses</w:t>
            </w:r>
            <w:r>
              <w:rPr>
                <w:rFonts w:eastAsia="SimSun"/>
              </w:rPr>
              <w:t xml:space="preserve">. </w:t>
            </w:r>
            <w:r w:rsidR="002A4A46">
              <w:t xml:space="preserve">Clearance and half-life appeared to be dose/serum concentration independent for the individual </w:t>
            </w:r>
            <w:r>
              <w:t>monoclonal antibodies (</w:t>
            </w:r>
            <w:proofErr w:type="spellStart"/>
            <w:r w:rsidR="002A4A46">
              <w:t>mAbs</w:t>
            </w:r>
            <w:proofErr w:type="spellEnd"/>
            <w:r>
              <w:t>)</w:t>
            </w:r>
            <w:r w:rsidR="002A4A46">
              <w:t xml:space="preserve"> and the sum of them, i.e.</w:t>
            </w:r>
            <w:r w:rsidR="000E3125">
              <w:t>,</w:t>
            </w:r>
            <w:r w:rsidR="002A4A46">
              <w:t xml:space="preserve"> Sym015. </w:t>
            </w:r>
            <w:r w:rsidRPr="00F55080">
              <w:rPr>
                <w:rFonts w:eastAsia="SimSun"/>
              </w:rPr>
              <w:t>The elimination half-life (t</w:t>
            </w:r>
            <w:r w:rsidRPr="00F55080">
              <w:rPr>
                <w:rFonts w:eastAsia="SimSun"/>
                <w:vertAlign w:val="subscript"/>
              </w:rPr>
              <w:t>1/2</w:t>
            </w:r>
            <w:r w:rsidRPr="00F55080">
              <w:rPr>
                <w:rFonts w:eastAsia="SimSun"/>
              </w:rPr>
              <w:t>) ranged from 87</w:t>
            </w:r>
            <w:r>
              <w:rPr>
                <w:rFonts w:eastAsia="SimSun"/>
              </w:rPr>
              <w:t xml:space="preserve"> to</w:t>
            </w:r>
            <w:r w:rsidRPr="00F55080">
              <w:rPr>
                <w:rFonts w:eastAsia="SimSun"/>
              </w:rPr>
              <w:t xml:space="preserve"> 217 hours with the </w:t>
            </w:r>
            <w:r w:rsidRPr="000A77AF">
              <w:rPr>
                <w:rFonts w:eastAsia="SimSun"/>
              </w:rPr>
              <w:t>median t</w:t>
            </w:r>
            <w:r w:rsidRPr="000A77AF">
              <w:rPr>
                <w:rFonts w:eastAsia="SimSun"/>
                <w:vertAlign w:val="subscript"/>
              </w:rPr>
              <w:t>1/2</w:t>
            </w:r>
            <w:r>
              <w:rPr>
                <w:rFonts w:eastAsia="SimSun"/>
                <w:vertAlign w:val="subscript"/>
              </w:rPr>
              <w:t>.</w:t>
            </w:r>
            <w:r w:rsidRPr="000A77AF">
              <w:rPr>
                <w:rFonts w:eastAsia="SimSun"/>
              </w:rPr>
              <w:t xml:space="preserve"> </w:t>
            </w:r>
            <w:r w:rsidR="002A4A46">
              <w:t>The t½ of Sym015 ranged from 87 to 217 hours following first dose and median t½ appeared similar across all dose levels. Following infusion of Sym015, both antibodies (Hu9006 and Hu9338) showed similar PK properties.</w:t>
            </w:r>
          </w:p>
          <w:p w14:paraId="131E833C" w14:textId="076C74AD" w:rsidR="00607B40" w:rsidRDefault="002A4A46" w:rsidP="00325D1F">
            <w:pPr>
              <w:pStyle w:val="Synopsis"/>
            </w:pPr>
            <w:r>
              <w:t xml:space="preserve">Observed data were best described by a 2-compartment model with linear clearance combined with a saturable elimination pathway of the </w:t>
            </w:r>
            <w:proofErr w:type="spellStart"/>
            <w:r>
              <w:t>Michaëlis</w:t>
            </w:r>
            <w:proofErr w:type="spellEnd"/>
            <w:r>
              <w:t>-Menten type</w:t>
            </w:r>
            <w:r w:rsidR="00325D1F">
              <w:t xml:space="preserve">. </w:t>
            </w:r>
            <w:r>
              <w:t xml:space="preserve">PK </w:t>
            </w:r>
            <w:proofErr w:type="spellStart"/>
            <w:r>
              <w:t>modeling</w:t>
            </w:r>
            <w:proofErr w:type="spellEnd"/>
            <w:r>
              <w:t xml:space="preserve"> and analysis supports an RP2D of 18 mg/kg loading dose followed by 12 mg/kg Q2W maintenance dose.</w:t>
            </w:r>
          </w:p>
        </w:tc>
      </w:tr>
      <w:tr w:rsidR="002A4A46" w14:paraId="5E02D1C6" w14:textId="77777777" w:rsidTr="00401008">
        <w:tc>
          <w:tcPr>
            <w:tcW w:w="8856" w:type="dxa"/>
            <w:gridSpan w:val="4"/>
            <w:tcBorders>
              <w:top w:val="single" w:sz="4" w:space="0" w:color="auto"/>
              <w:bottom w:val="single" w:sz="4" w:space="0" w:color="auto"/>
            </w:tcBorders>
          </w:tcPr>
          <w:p w14:paraId="582E2F72" w14:textId="79B42426" w:rsidR="002A4A46" w:rsidRDefault="002A4A46" w:rsidP="002A4A46">
            <w:pPr>
              <w:pStyle w:val="Synopsis"/>
            </w:pPr>
            <w:r>
              <w:rPr>
                <w:b/>
                <w:bCs/>
              </w:rPr>
              <w:t>Pharmacodynamic Results:</w:t>
            </w:r>
            <w:r>
              <w:t xml:space="preserve"> The </w:t>
            </w:r>
            <w:r w:rsidR="0005129B" w:rsidRPr="0005129B">
              <w:t xml:space="preserve">high concordance of 83 % (10/12) between local </w:t>
            </w:r>
            <w:proofErr w:type="spellStart"/>
            <w:r w:rsidR="0005129B" w:rsidRPr="0005129B">
              <w:t>tumor</w:t>
            </w:r>
            <w:proofErr w:type="spellEnd"/>
            <w:r w:rsidR="0005129B" w:rsidRPr="0005129B">
              <w:t xml:space="preserve"> vs blood </w:t>
            </w:r>
            <w:r w:rsidR="00AD4ED0">
              <w:t xml:space="preserve">circulating </w:t>
            </w:r>
            <w:proofErr w:type="spellStart"/>
            <w:r w:rsidR="00AD4ED0">
              <w:t>tumor</w:t>
            </w:r>
            <w:proofErr w:type="spellEnd"/>
            <w:r w:rsidR="00AD4ED0">
              <w:t xml:space="preserve"> deoxyribonucleic acid</w:t>
            </w:r>
            <w:r w:rsidR="00AD4ED0" w:rsidRPr="0005129B">
              <w:t xml:space="preserve"> </w:t>
            </w:r>
            <w:r w:rsidR="00AD4ED0">
              <w:t>(</w:t>
            </w:r>
            <w:proofErr w:type="spellStart"/>
            <w:r w:rsidR="0005129B" w:rsidRPr="0005129B">
              <w:t>ctDNA</w:t>
            </w:r>
            <w:proofErr w:type="spellEnd"/>
            <w:r w:rsidR="00AD4ED0">
              <w:t>)</w:t>
            </w:r>
            <w:r w:rsidR="0005129B" w:rsidRPr="0005129B">
              <w:t xml:space="preserve"> for </w:t>
            </w:r>
            <w:r w:rsidR="0005129B" w:rsidRPr="0005129B">
              <w:rPr>
                <w:i/>
                <w:iCs/>
              </w:rPr>
              <w:t>MET</w:t>
            </w:r>
            <w:r w:rsidR="0005129B" w:rsidRPr="0005129B">
              <w:rPr>
                <w:vertAlign w:val="superscript"/>
              </w:rPr>
              <w:t>Ex14Del</w:t>
            </w:r>
            <w:r w:rsidR="0005129B" w:rsidRPr="0005129B">
              <w:t xml:space="preserve"> in evaluable patients was observed. For the 2 patients lacking concordance</w:t>
            </w:r>
            <w:r w:rsidR="0005129B">
              <w:t>,</w:t>
            </w:r>
            <w:r w:rsidR="0005129B" w:rsidRPr="0005129B">
              <w:t xml:space="preserve"> only the local (inclusion) </w:t>
            </w:r>
            <w:proofErr w:type="spellStart"/>
            <w:r w:rsidR="0005129B" w:rsidRPr="0005129B">
              <w:t>tumor</w:t>
            </w:r>
            <w:proofErr w:type="spellEnd"/>
            <w:r w:rsidR="0005129B" w:rsidRPr="0005129B">
              <w:t xml:space="preserve"> assessment indicates presence of the </w:t>
            </w:r>
            <w:r w:rsidR="0005129B" w:rsidRPr="0005129B">
              <w:rPr>
                <w:i/>
                <w:iCs/>
              </w:rPr>
              <w:t>MET</w:t>
            </w:r>
            <w:r w:rsidR="0005129B" w:rsidRPr="0005129B">
              <w:rPr>
                <w:vertAlign w:val="superscript"/>
              </w:rPr>
              <w:t>Ex14Del</w:t>
            </w:r>
            <w:r w:rsidR="0005129B" w:rsidRPr="0005129B">
              <w:t xml:space="preserve"> alteration, while both central laboratory and blood </w:t>
            </w:r>
            <w:proofErr w:type="spellStart"/>
            <w:r w:rsidR="0005129B" w:rsidRPr="0005129B">
              <w:t>ctDNA</w:t>
            </w:r>
            <w:proofErr w:type="spellEnd"/>
            <w:r w:rsidR="0005129B" w:rsidRPr="0005129B">
              <w:t xml:space="preserve"> analyses show a wild </w:t>
            </w:r>
            <w:proofErr w:type="gramStart"/>
            <w:r w:rsidR="0005129B" w:rsidRPr="0005129B">
              <w:t>type</w:t>
            </w:r>
            <w:proofErr w:type="gramEnd"/>
            <w:r w:rsidR="0005129B" w:rsidRPr="0005129B">
              <w:t xml:space="preserve"> MET gene</w:t>
            </w:r>
            <w:r w:rsidR="0005129B">
              <w:t>.</w:t>
            </w:r>
          </w:p>
          <w:p w14:paraId="7EDF0CE4" w14:textId="1A366AAC" w:rsidR="002A4A46" w:rsidRDefault="0005129B" w:rsidP="002A4A46">
            <w:pPr>
              <w:pStyle w:val="Synopsis"/>
            </w:pPr>
            <w:r w:rsidRPr="00A158FA">
              <w:t xml:space="preserve">Low </w:t>
            </w:r>
            <w:proofErr w:type="spellStart"/>
            <w:r w:rsidRPr="00A158FA">
              <w:t>ctDNA</w:t>
            </w:r>
            <w:proofErr w:type="spellEnd"/>
            <w:r w:rsidRPr="00A158FA">
              <w:t xml:space="preserve"> detection of </w:t>
            </w:r>
            <w:r w:rsidRPr="00A158FA">
              <w:rPr>
                <w:i/>
                <w:iCs/>
              </w:rPr>
              <w:t>MET</w:t>
            </w:r>
            <w:r w:rsidRPr="00A158FA">
              <w:t>-</w:t>
            </w:r>
            <w:r w:rsidR="002F3459">
              <w:t>a</w:t>
            </w:r>
            <w:r w:rsidRPr="00A158FA">
              <w:t xml:space="preserve">mplification in patients in the NSCLC Cohorts was reported, with 29% (2/7 evaluable patients) concordance between </w:t>
            </w:r>
            <w:proofErr w:type="spellStart"/>
            <w:r w:rsidRPr="00A158FA">
              <w:t>tumor</w:t>
            </w:r>
            <w:proofErr w:type="spellEnd"/>
            <w:r w:rsidRPr="00A158FA">
              <w:t xml:space="preserve"> vs blood </w:t>
            </w:r>
            <w:proofErr w:type="spellStart"/>
            <w:r w:rsidRPr="00A158FA">
              <w:t>ctDNA</w:t>
            </w:r>
            <w:proofErr w:type="spellEnd"/>
            <w:r w:rsidRPr="00A158FA">
              <w:t xml:space="preserve"> for detection of </w:t>
            </w:r>
            <w:r w:rsidRPr="00A158FA">
              <w:rPr>
                <w:i/>
                <w:iCs/>
              </w:rPr>
              <w:t>MET-</w:t>
            </w:r>
            <w:r w:rsidR="002F3459">
              <w:t>a</w:t>
            </w:r>
            <w:r w:rsidRPr="00A158FA">
              <w:t xml:space="preserve">mplification. For these analyses, evaluable patients signify patients with available </w:t>
            </w:r>
            <w:proofErr w:type="spellStart"/>
            <w:r w:rsidRPr="00A158FA">
              <w:t>tumor</w:t>
            </w:r>
            <w:proofErr w:type="spellEnd"/>
            <w:r w:rsidRPr="00A158FA">
              <w:t xml:space="preserve"> tissue MET status by local or central laboratory testing at baseline (inclusion) as well as blood sample (</w:t>
            </w:r>
            <w:proofErr w:type="spellStart"/>
            <w:r w:rsidRPr="00A158FA">
              <w:t>ctDNA</w:t>
            </w:r>
            <w:proofErr w:type="spellEnd"/>
            <w:r w:rsidRPr="00A158FA">
              <w:t xml:space="preserve">) MET status by central laboratory at baseline or at any of the post baseline visits. </w:t>
            </w:r>
          </w:p>
          <w:p w14:paraId="2D367DEF" w14:textId="224D80C1" w:rsidR="002A4A46" w:rsidRDefault="0005129B" w:rsidP="002A4A46">
            <w:pPr>
              <w:pStyle w:val="Synopsis"/>
            </w:pPr>
            <w:r w:rsidRPr="0005129B">
              <w:lastRenderedPageBreak/>
              <w:t xml:space="preserve">Low </w:t>
            </w:r>
            <w:proofErr w:type="spellStart"/>
            <w:r w:rsidRPr="0005129B">
              <w:t>ctDNA</w:t>
            </w:r>
            <w:proofErr w:type="spellEnd"/>
            <w:r w:rsidRPr="0005129B">
              <w:t xml:space="preserve"> detection of </w:t>
            </w:r>
            <w:r w:rsidRPr="0005129B">
              <w:rPr>
                <w:i/>
                <w:iCs/>
              </w:rPr>
              <w:t>MET</w:t>
            </w:r>
            <w:r w:rsidRPr="0005129B">
              <w:t>-</w:t>
            </w:r>
            <w:r w:rsidR="002F3459">
              <w:t>a</w:t>
            </w:r>
            <w:r w:rsidRPr="0005129B">
              <w:t xml:space="preserve">mplification in patients in the NSCLC Cohorts was reported, with 29% (2/7 evaluable patients) concordance between </w:t>
            </w:r>
            <w:proofErr w:type="spellStart"/>
            <w:r w:rsidRPr="0005129B">
              <w:t>tumor</w:t>
            </w:r>
            <w:proofErr w:type="spellEnd"/>
            <w:r w:rsidRPr="0005129B">
              <w:t xml:space="preserve"> vs blood </w:t>
            </w:r>
            <w:proofErr w:type="spellStart"/>
            <w:r w:rsidRPr="0005129B">
              <w:t>ctDNA</w:t>
            </w:r>
            <w:proofErr w:type="spellEnd"/>
            <w:r w:rsidRPr="0005129B">
              <w:t xml:space="preserve"> for detection of </w:t>
            </w:r>
            <w:r w:rsidRPr="0005129B">
              <w:rPr>
                <w:i/>
                <w:iCs/>
              </w:rPr>
              <w:t>MET</w:t>
            </w:r>
            <w:r w:rsidRPr="0005129B">
              <w:t>-</w:t>
            </w:r>
            <w:r w:rsidR="002F3459">
              <w:t>a</w:t>
            </w:r>
            <w:r w:rsidRPr="0005129B">
              <w:t xml:space="preserve">mplification. For these analyses, evaluable patients signify patients with available </w:t>
            </w:r>
            <w:proofErr w:type="spellStart"/>
            <w:r w:rsidRPr="0005129B">
              <w:t>tumor</w:t>
            </w:r>
            <w:proofErr w:type="spellEnd"/>
            <w:r w:rsidRPr="0005129B">
              <w:t xml:space="preserve"> tissue MET status by local or central laboratory testing at baseline (inclusion) as well as blood sample (</w:t>
            </w:r>
            <w:proofErr w:type="spellStart"/>
            <w:r w:rsidRPr="0005129B">
              <w:t>ctDNA</w:t>
            </w:r>
            <w:proofErr w:type="spellEnd"/>
            <w:r w:rsidRPr="0005129B">
              <w:t>) MET status by central laboratory at baseline or at any of the post</w:t>
            </w:r>
            <w:r w:rsidR="00EC7E09">
              <w:t>-</w:t>
            </w:r>
            <w:r w:rsidRPr="0005129B">
              <w:t xml:space="preserve">baseline visits. </w:t>
            </w:r>
          </w:p>
          <w:p w14:paraId="42C36B93" w14:textId="5A28E077" w:rsidR="002A4A46" w:rsidRDefault="0005129B" w:rsidP="00CF4CE5">
            <w:pPr>
              <w:pStyle w:val="Synopsis"/>
              <w:rPr>
                <w:b/>
                <w:bCs/>
              </w:rPr>
            </w:pPr>
            <w:r w:rsidRPr="0005129B">
              <w:t xml:space="preserve">Upon treatment (EOC2), for a substantial majority of patients, a reduction (9/12 evaluable patients) or stabilization (2/12 patients) of </w:t>
            </w:r>
            <w:r w:rsidRPr="0005129B">
              <w:rPr>
                <w:i/>
                <w:iCs/>
              </w:rPr>
              <w:t>MET</w:t>
            </w:r>
            <w:r w:rsidRPr="0005129B">
              <w:t>-</w:t>
            </w:r>
            <w:r w:rsidR="002F3459">
              <w:t>a</w:t>
            </w:r>
            <w:r w:rsidRPr="0005129B">
              <w:t xml:space="preserve">mplification or </w:t>
            </w:r>
            <w:r w:rsidRPr="0005129B">
              <w:rPr>
                <w:i/>
                <w:iCs/>
              </w:rPr>
              <w:t>MET</w:t>
            </w:r>
            <w:r w:rsidRPr="0005129B">
              <w:rPr>
                <w:vertAlign w:val="superscript"/>
              </w:rPr>
              <w:t xml:space="preserve">Ex14Del </w:t>
            </w:r>
            <w:proofErr w:type="spellStart"/>
            <w:r w:rsidRPr="0005129B">
              <w:t>ctDNA</w:t>
            </w:r>
            <w:proofErr w:type="spellEnd"/>
            <w:r w:rsidRPr="0005129B">
              <w:t xml:space="preserve"> load was observed. Only 1 patient showed increased </w:t>
            </w:r>
            <w:r w:rsidRPr="0005129B">
              <w:rPr>
                <w:i/>
                <w:iCs/>
              </w:rPr>
              <w:t>MET</w:t>
            </w:r>
            <w:r w:rsidRPr="0005129B">
              <w:rPr>
                <w:vertAlign w:val="superscript"/>
              </w:rPr>
              <w:t>Ex14Del</w:t>
            </w:r>
            <w:r w:rsidRPr="0005129B">
              <w:t xml:space="preserve"> directly upon treatment. For this analysis, evaluable patients were patients with blood (</w:t>
            </w:r>
            <w:proofErr w:type="spellStart"/>
            <w:r w:rsidRPr="0005129B">
              <w:t>ctDNA</w:t>
            </w:r>
            <w:proofErr w:type="spellEnd"/>
            <w:r w:rsidRPr="0005129B">
              <w:t>) MET status available at the central laboratory for baseline and one or more post</w:t>
            </w:r>
            <w:r w:rsidR="00EC7E09">
              <w:t>-</w:t>
            </w:r>
            <w:r w:rsidRPr="0005129B">
              <w:t xml:space="preserve">baseline assessment(s).  </w:t>
            </w:r>
          </w:p>
        </w:tc>
      </w:tr>
      <w:tr w:rsidR="002A4A46" w14:paraId="7DDF1D26" w14:textId="77777777" w:rsidTr="00401008">
        <w:tc>
          <w:tcPr>
            <w:tcW w:w="8856" w:type="dxa"/>
            <w:gridSpan w:val="4"/>
            <w:tcBorders>
              <w:top w:val="single" w:sz="4" w:space="0" w:color="auto"/>
              <w:bottom w:val="single" w:sz="4" w:space="0" w:color="auto"/>
            </w:tcBorders>
          </w:tcPr>
          <w:p w14:paraId="30D531AA" w14:textId="5689E132" w:rsidR="002A4A46" w:rsidRPr="00F11DA1" w:rsidRDefault="009800E0" w:rsidP="002A4A46">
            <w:pPr>
              <w:pStyle w:val="Synopsis"/>
              <w:rPr>
                <w:rFonts w:eastAsia="SimSun"/>
              </w:rPr>
            </w:pPr>
            <w:r w:rsidRPr="00F11DA1">
              <w:rPr>
                <w:rFonts w:eastAsia="SimSun"/>
                <w:b/>
                <w:bCs/>
              </w:rPr>
              <w:t>Immunogenicity</w:t>
            </w:r>
            <w:r w:rsidR="002A4A46" w:rsidRPr="00F11DA1">
              <w:rPr>
                <w:rFonts w:eastAsia="SimSun"/>
                <w:b/>
                <w:bCs/>
              </w:rPr>
              <w:t xml:space="preserve"> results:</w:t>
            </w:r>
            <w:r w:rsidR="002A4A46" w:rsidRPr="00F11DA1">
              <w:rPr>
                <w:rFonts w:eastAsia="SimSun"/>
              </w:rPr>
              <w:t xml:space="preserve"> </w:t>
            </w:r>
            <w:r w:rsidR="00F11DA1" w:rsidRPr="00F11DA1">
              <w:rPr>
                <w:rFonts w:eastAsia="SimSun"/>
              </w:rPr>
              <w:t xml:space="preserve">Baseline ADA samples were obtained from 57 patients while post-treatment samples were obtained from 53 patients. No pre-formed ADA response was observed in the baseline samples. </w:t>
            </w:r>
            <w:r w:rsidR="002A4A46">
              <w:rPr>
                <w:rFonts w:eastAsia="SimSun"/>
              </w:rPr>
              <w:t xml:space="preserve">A low incidence of immunogenicity was observed in study Sym015-01. Treatment induced anti-Sym015 ADA </w:t>
            </w:r>
            <w:proofErr w:type="spellStart"/>
            <w:r w:rsidR="002A4A46">
              <w:rPr>
                <w:rFonts w:eastAsia="SimSun"/>
              </w:rPr>
              <w:t>titers</w:t>
            </w:r>
            <w:proofErr w:type="spellEnd"/>
            <w:r w:rsidR="002A4A46">
              <w:rPr>
                <w:rFonts w:eastAsia="SimSun"/>
              </w:rPr>
              <w:t xml:space="preserve"> were found in in 1/53 patients evaluated (1.9%). Due to the limited data set, </w:t>
            </w:r>
            <w:r w:rsidR="002A4A46" w:rsidRPr="00A158FA">
              <w:rPr>
                <w:rFonts w:eastAsia="SimSun"/>
              </w:rPr>
              <w:t>it is not possible to evaluate if the ADA incidence correlates with reduced drug exposure or AEs.</w:t>
            </w:r>
          </w:p>
        </w:tc>
      </w:tr>
      <w:tr w:rsidR="00607B40" w14:paraId="504991EE" w14:textId="77777777" w:rsidTr="00401008">
        <w:tc>
          <w:tcPr>
            <w:tcW w:w="8856" w:type="dxa"/>
            <w:gridSpan w:val="4"/>
            <w:tcBorders>
              <w:top w:val="single" w:sz="4" w:space="0" w:color="auto"/>
              <w:bottom w:val="single" w:sz="4" w:space="0" w:color="auto"/>
            </w:tcBorders>
          </w:tcPr>
          <w:p w14:paraId="5B7E6578" w14:textId="77777777" w:rsidR="008D299A" w:rsidRDefault="00607B40" w:rsidP="002A4A46">
            <w:pPr>
              <w:pStyle w:val="Synopsis"/>
              <w:rPr>
                <w:b/>
              </w:rPr>
            </w:pPr>
            <w:r>
              <w:rPr>
                <w:b/>
              </w:rPr>
              <w:t xml:space="preserve">Conclusions:  </w:t>
            </w:r>
          </w:p>
          <w:p w14:paraId="560CE309" w14:textId="2F02916E" w:rsidR="002A4A46" w:rsidRPr="008D299A" w:rsidRDefault="002A4A46" w:rsidP="008D299A">
            <w:pPr>
              <w:pStyle w:val="BulletList1"/>
              <w:rPr>
                <w:sz w:val="20"/>
              </w:rPr>
            </w:pPr>
            <w:r w:rsidRPr="008D299A">
              <w:rPr>
                <w:sz w:val="20"/>
              </w:rPr>
              <w:t>MTD was not reached in Part 1.</w:t>
            </w:r>
          </w:p>
          <w:p w14:paraId="476EA96F" w14:textId="19B845A4" w:rsidR="002A4A46" w:rsidRPr="00B9202D" w:rsidRDefault="002A4A46" w:rsidP="00B9202D">
            <w:pPr>
              <w:pStyle w:val="BulletList1"/>
              <w:rPr>
                <w:sz w:val="20"/>
              </w:rPr>
            </w:pPr>
            <w:r w:rsidRPr="00B9202D">
              <w:rPr>
                <w:sz w:val="20"/>
              </w:rPr>
              <w:t>Overall, treatment with Sym015 was well tolerated at the RP2D.</w:t>
            </w:r>
          </w:p>
          <w:p w14:paraId="7B66E701" w14:textId="39E50A30" w:rsidR="002A4A46" w:rsidRPr="00B9202D" w:rsidRDefault="002A4A46" w:rsidP="00B9202D">
            <w:pPr>
              <w:pStyle w:val="BulletList1"/>
              <w:rPr>
                <w:sz w:val="20"/>
              </w:rPr>
            </w:pPr>
            <w:r w:rsidRPr="00B9202D">
              <w:rPr>
                <w:sz w:val="20"/>
              </w:rPr>
              <w:t>PK modeling and analysis supports an RP2D of 18 mg/kg loading dose followed by 12 mg/kg Q2W maintenance dose.</w:t>
            </w:r>
          </w:p>
          <w:p w14:paraId="35B90FD8" w14:textId="7777CFF8" w:rsidR="002A4A46" w:rsidRPr="00B9202D" w:rsidRDefault="002A4A46" w:rsidP="00B9202D">
            <w:pPr>
              <w:pStyle w:val="BulletList1"/>
              <w:rPr>
                <w:sz w:val="20"/>
              </w:rPr>
            </w:pPr>
            <w:r w:rsidRPr="00B9202D">
              <w:rPr>
                <w:sz w:val="20"/>
              </w:rPr>
              <w:t>Based on the Investigator’s assessment, no CR or unconfirmed CR was observed across the Cohorts</w:t>
            </w:r>
          </w:p>
          <w:p w14:paraId="17A19C53" w14:textId="137D7C7C" w:rsidR="002A4A46" w:rsidRPr="002B04A5" w:rsidRDefault="002A4A46" w:rsidP="00B9202D">
            <w:pPr>
              <w:pStyle w:val="BulletList1"/>
              <w:rPr>
                <w:sz w:val="20"/>
              </w:rPr>
            </w:pPr>
            <w:r w:rsidRPr="002B04A5">
              <w:rPr>
                <w:sz w:val="20"/>
              </w:rPr>
              <w:t xml:space="preserve">The OR rate was 25% in the NSCLC Cohorts. Responses were seen in the NSCLC </w:t>
            </w:r>
            <w:r w:rsidRPr="002B04A5">
              <w:rPr>
                <w:i/>
                <w:iCs/>
                <w:sz w:val="20"/>
              </w:rPr>
              <w:t>MET</w:t>
            </w:r>
            <w:r w:rsidRPr="002B04A5">
              <w:rPr>
                <w:sz w:val="20"/>
              </w:rPr>
              <w:t>-Amplifi</w:t>
            </w:r>
            <w:r w:rsidR="002F3459">
              <w:rPr>
                <w:sz w:val="20"/>
              </w:rPr>
              <w:t>ed</w:t>
            </w:r>
            <w:r w:rsidRPr="002B04A5">
              <w:rPr>
                <w:sz w:val="20"/>
              </w:rPr>
              <w:t xml:space="preserve"> Cohort as well as in the NSCLC </w:t>
            </w:r>
            <w:r w:rsidRPr="002B04A5">
              <w:rPr>
                <w:i/>
                <w:iCs/>
                <w:sz w:val="20"/>
              </w:rPr>
              <w:t>MET</w:t>
            </w:r>
            <w:r w:rsidRPr="002B04A5">
              <w:rPr>
                <w:sz w:val="20"/>
                <w:vertAlign w:val="superscript"/>
              </w:rPr>
              <w:t>Ex14Del</w:t>
            </w:r>
            <w:r w:rsidRPr="002B04A5">
              <w:rPr>
                <w:sz w:val="20"/>
              </w:rPr>
              <w:t xml:space="preserve"> Cohort.</w:t>
            </w:r>
          </w:p>
          <w:p w14:paraId="261251AC" w14:textId="77777777" w:rsidR="002B04A5" w:rsidRPr="002B04A5" w:rsidRDefault="002B04A5" w:rsidP="002B04A5">
            <w:pPr>
              <w:pStyle w:val="BulletList1"/>
              <w:rPr>
                <w:sz w:val="20"/>
              </w:rPr>
            </w:pPr>
            <w:r w:rsidRPr="002B04A5">
              <w:rPr>
                <w:color w:val="000000"/>
                <w:sz w:val="20"/>
              </w:rPr>
              <w:t xml:space="preserve">The Disease Control Rate was 100% (8/8) in the NSCLC </w:t>
            </w:r>
            <w:r w:rsidRPr="002B04A5">
              <w:rPr>
                <w:i/>
                <w:color w:val="000000"/>
                <w:sz w:val="20"/>
              </w:rPr>
              <w:t>MET</w:t>
            </w:r>
            <w:r w:rsidRPr="002B04A5">
              <w:rPr>
                <w:color w:val="000000"/>
                <w:sz w:val="20"/>
              </w:rPr>
              <w:t xml:space="preserve">-Amplified Cohort (2 PR and 6 SD) and 66.7% (8/12) in the NSCLC </w:t>
            </w:r>
            <w:r w:rsidRPr="002B04A5">
              <w:rPr>
                <w:i/>
                <w:iCs/>
                <w:color w:val="000000"/>
                <w:sz w:val="20"/>
              </w:rPr>
              <w:t>MET</w:t>
            </w:r>
            <w:r w:rsidRPr="002B04A5">
              <w:rPr>
                <w:color w:val="000000"/>
                <w:sz w:val="20"/>
                <w:vertAlign w:val="superscript"/>
              </w:rPr>
              <w:t>Ex14Del</w:t>
            </w:r>
            <w:r w:rsidRPr="002B04A5">
              <w:rPr>
                <w:color w:val="000000"/>
                <w:sz w:val="20"/>
              </w:rPr>
              <w:t xml:space="preserve"> Cohort (3 PR and 5 SD). </w:t>
            </w:r>
          </w:p>
          <w:p w14:paraId="27D40B4D" w14:textId="77777777" w:rsidR="002B04A5" w:rsidRPr="002B04A5" w:rsidRDefault="002B04A5" w:rsidP="002B04A5">
            <w:pPr>
              <w:pStyle w:val="BulletList1"/>
              <w:rPr>
                <w:sz w:val="20"/>
              </w:rPr>
            </w:pPr>
            <w:r w:rsidRPr="002B04A5">
              <w:rPr>
                <w:sz w:val="20"/>
              </w:rPr>
              <w:t xml:space="preserve">The median TTP was 7.6 weeks for the Basket Cohort, 27.0 weeks for the NSCLC </w:t>
            </w:r>
            <w:r w:rsidRPr="002B04A5">
              <w:rPr>
                <w:i/>
                <w:sz w:val="20"/>
              </w:rPr>
              <w:t>MET</w:t>
            </w:r>
            <w:r w:rsidRPr="002B04A5">
              <w:rPr>
                <w:sz w:val="20"/>
              </w:rPr>
              <w:t xml:space="preserve">-Amplified Cohort, and 30.3 weeks for the NSCLC </w:t>
            </w:r>
            <w:r w:rsidRPr="002B04A5">
              <w:rPr>
                <w:i/>
                <w:iCs/>
                <w:sz w:val="20"/>
              </w:rPr>
              <w:t>MET</w:t>
            </w:r>
            <w:r w:rsidRPr="002B04A5">
              <w:rPr>
                <w:sz w:val="20"/>
                <w:vertAlign w:val="superscript"/>
              </w:rPr>
              <w:t>Ex14Del</w:t>
            </w:r>
            <w:r w:rsidRPr="002B04A5">
              <w:rPr>
                <w:sz w:val="20"/>
              </w:rPr>
              <w:t xml:space="preserve"> Cohort. TTP rates at 6 months were 43.8% and 46.7% in the NSCLC </w:t>
            </w:r>
            <w:r w:rsidRPr="002B04A5">
              <w:rPr>
                <w:i/>
                <w:sz w:val="20"/>
              </w:rPr>
              <w:t>MET</w:t>
            </w:r>
            <w:r w:rsidRPr="002B04A5">
              <w:rPr>
                <w:sz w:val="20"/>
              </w:rPr>
              <w:t xml:space="preserve">-Amplified Cohort and NSCLC </w:t>
            </w:r>
            <w:r w:rsidRPr="002B04A5">
              <w:rPr>
                <w:i/>
                <w:iCs/>
                <w:sz w:val="20"/>
              </w:rPr>
              <w:t>MET</w:t>
            </w:r>
            <w:r w:rsidRPr="002B04A5">
              <w:rPr>
                <w:sz w:val="20"/>
                <w:vertAlign w:val="superscript"/>
              </w:rPr>
              <w:t>Ex14Del</w:t>
            </w:r>
            <w:r w:rsidRPr="002B04A5">
              <w:rPr>
                <w:sz w:val="20"/>
              </w:rPr>
              <w:t xml:space="preserve"> Cohort, respectively. </w:t>
            </w:r>
          </w:p>
          <w:p w14:paraId="2DF6E13D" w14:textId="4A52284F" w:rsidR="002A4A46" w:rsidRPr="00B9202D" w:rsidRDefault="002A4A46" w:rsidP="00B9202D">
            <w:pPr>
              <w:pStyle w:val="BulletList1"/>
              <w:rPr>
                <w:sz w:val="20"/>
              </w:rPr>
            </w:pPr>
            <w:proofErr w:type="spellStart"/>
            <w:r w:rsidRPr="002B04A5">
              <w:rPr>
                <w:sz w:val="20"/>
              </w:rPr>
              <w:t>ctDNA</w:t>
            </w:r>
            <w:proofErr w:type="spellEnd"/>
            <w:r w:rsidRPr="002B04A5">
              <w:rPr>
                <w:sz w:val="20"/>
              </w:rPr>
              <w:t xml:space="preserve"> is highly concordant with tumor for </w:t>
            </w:r>
            <w:r w:rsidR="00B9202D" w:rsidRPr="002B04A5">
              <w:rPr>
                <w:i/>
                <w:iCs/>
                <w:sz w:val="20"/>
              </w:rPr>
              <w:t>MET</w:t>
            </w:r>
            <w:r w:rsidR="00B9202D" w:rsidRPr="002B04A5">
              <w:rPr>
                <w:sz w:val="20"/>
                <w:vertAlign w:val="superscript"/>
              </w:rPr>
              <w:t>Ex14Del</w:t>
            </w:r>
            <w:r w:rsidRPr="00B9202D">
              <w:rPr>
                <w:sz w:val="20"/>
              </w:rPr>
              <w:t xml:space="preserve">: may be a viable option for </w:t>
            </w:r>
            <w:r w:rsidR="00B9202D" w:rsidRPr="00B9202D">
              <w:rPr>
                <w:i/>
                <w:iCs/>
                <w:sz w:val="20"/>
              </w:rPr>
              <w:t>MET</w:t>
            </w:r>
            <w:r w:rsidR="00B9202D" w:rsidRPr="00B9202D">
              <w:rPr>
                <w:sz w:val="20"/>
                <w:vertAlign w:val="superscript"/>
              </w:rPr>
              <w:t>Ex14Del</w:t>
            </w:r>
            <w:r w:rsidRPr="00B9202D">
              <w:rPr>
                <w:sz w:val="20"/>
              </w:rPr>
              <w:t xml:space="preserve"> patient selection.</w:t>
            </w:r>
          </w:p>
          <w:p w14:paraId="20B163AC" w14:textId="6D380999" w:rsidR="00607B40" w:rsidRDefault="002A4A46" w:rsidP="00CF4CE5">
            <w:pPr>
              <w:pStyle w:val="Synopsis"/>
            </w:pPr>
            <w:r>
              <w:t xml:space="preserve">In conclusion, the Sym015-01 study results provide preliminary evidence of Sym015 activity in patients with NSCLC with </w:t>
            </w:r>
            <w:r w:rsidRPr="00B9202D">
              <w:rPr>
                <w:i/>
                <w:iCs/>
              </w:rPr>
              <w:t>MET</w:t>
            </w:r>
            <w:r>
              <w:t>-</w:t>
            </w:r>
            <w:r w:rsidR="002F3459">
              <w:t>a</w:t>
            </w:r>
            <w:r>
              <w:t xml:space="preserve">mplification and mutations associated with exon 14 skipping. Sym015 was well tolerated in patients with a variety of </w:t>
            </w:r>
            <w:proofErr w:type="spellStart"/>
            <w:r>
              <w:t>tumor</w:t>
            </w:r>
            <w:proofErr w:type="spellEnd"/>
            <w:r>
              <w:t xml:space="preserve"> types including in NSCLC patients with </w:t>
            </w:r>
            <w:r w:rsidRPr="00B9202D">
              <w:rPr>
                <w:i/>
                <w:iCs/>
              </w:rPr>
              <w:t>MET</w:t>
            </w:r>
            <w:r>
              <w:t>-</w:t>
            </w:r>
            <w:r w:rsidR="002F3459">
              <w:t>a</w:t>
            </w:r>
            <w:r>
              <w:t xml:space="preserve">mplification or </w:t>
            </w:r>
            <w:r w:rsidR="00B9202D" w:rsidRPr="00B9202D">
              <w:rPr>
                <w:i/>
                <w:iCs/>
              </w:rPr>
              <w:t>MET</w:t>
            </w:r>
            <w:r w:rsidR="00B9202D" w:rsidRPr="00B9202D">
              <w:rPr>
                <w:vertAlign w:val="superscript"/>
              </w:rPr>
              <w:t>Ex14Del</w:t>
            </w:r>
            <w:r>
              <w:t>.</w:t>
            </w:r>
          </w:p>
        </w:tc>
      </w:tr>
      <w:tr w:rsidR="00607B40" w14:paraId="3673DBEA" w14:textId="77777777" w:rsidTr="00401008">
        <w:tc>
          <w:tcPr>
            <w:tcW w:w="8856" w:type="dxa"/>
            <w:gridSpan w:val="4"/>
            <w:tcBorders>
              <w:top w:val="single" w:sz="4" w:space="0" w:color="auto"/>
              <w:bottom w:val="double" w:sz="4" w:space="0" w:color="auto"/>
            </w:tcBorders>
          </w:tcPr>
          <w:p w14:paraId="31702623" w14:textId="51E0C10A" w:rsidR="00607B40" w:rsidRDefault="00607B40">
            <w:pPr>
              <w:pStyle w:val="Synopsis"/>
            </w:pPr>
            <w:r>
              <w:rPr>
                <w:b/>
              </w:rPr>
              <w:t>Date of Report</w:t>
            </w:r>
            <w:r>
              <w:t xml:space="preserve">: </w:t>
            </w:r>
            <w:r w:rsidR="008D4266">
              <w:t>0</w:t>
            </w:r>
            <w:r w:rsidR="009D1719">
              <w:t>7</w:t>
            </w:r>
            <w:r w:rsidR="008D4266">
              <w:t xml:space="preserve"> June</w:t>
            </w:r>
            <w:r>
              <w:t xml:space="preserve"> </w:t>
            </w:r>
            <w:r w:rsidR="006721E4">
              <w:t>2021</w:t>
            </w:r>
          </w:p>
        </w:tc>
      </w:tr>
    </w:tbl>
    <w:p w14:paraId="43656354" w14:textId="77777777" w:rsidR="009D7A09" w:rsidRPr="009D7A09" w:rsidRDefault="009D7A09" w:rsidP="009D7A09">
      <w:pPr>
        <w:pStyle w:val="ListNumber"/>
        <w:ind w:left="360"/>
      </w:pPr>
      <w:r>
        <w:br w:type="page"/>
      </w:r>
    </w:p>
    <w:p w14:paraId="3653049B" w14:textId="77777777" w:rsidR="00607B40" w:rsidRDefault="00062E59">
      <w:pPr>
        <w:pStyle w:val="Heading1"/>
      </w:pPr>
      <w:bookmarkStart w:id="2" w:name="_Toc73397539"/>
      <w:r>
        <w:lastRenderedPageBreak/>
        <w:t>D</w:t>
      </w:r>
      <w:r w:rsidR="00607B40">
        <w:t xml:space="preserve">iscussion and </w:t>
      </w:r>
      <w:r>
        <w:t>O</w:t>
      </w:r>
      <w:r w:rsidR="00607B40">
        <w:t xml:space="preserve">verall </w:t>
      </w:r>
      <w:r>
        <w:t>C</w:t>
      </w:r>
      <w:r w:rsidR="00607B40">
        <w:t>onclusions</w:t>
      </w:r>
      <w:bookmarkEnd w:id="2"/>
    </w:p>
    <w:p w14:paraId="697C771F" w14:textId="2E50328A" w:rsidR="0099324F" w:rsidRDefault="0099324F" w:rsidP="0099324F">
      <w:pPr>
        <w:pStyle w:val="Text"/>
      </w:pPr>
      <w:r>
        <w:t xml:space="preserve">The </w:t>
      </w:r>
      <w:r w:rsidR="00D17561">
        <w:t>IMP</w:t>
      </w:r>
      <w:r>
        <w:t xml:space="preserve"> tested in this </w:t>
      </w:r>
      <w:r w:rsidR="00750F80">
        <w:t>study</w:t>
      </w:r>
      <w:r>
        <w:t xml:space="preserve"> </w:t>
      </w:r>
      <w:r w:rsidR="00D1753F">
        <w:t>was</w:t>
      </w:r>
      <w:r>
        <w:t xml:space="preserve"> Sym015. Sym015 is a recombinant antibody mixture containing 2 humanized IgG1 </w:t>
      </w:r>
      <w:proofErr w:type="spellStart"/>
      <w:r>
        <w:t>mAbs</w:t>
      </w:r>
      <w:proofErr w:type="spellEnd"/>
      <w:r>
        <w:t xml:space="preserve">, designated Hu9006 and Hu9338, which bind specifically to </w:t>
      </w:r>
      <w:r w:rsidR="00AE10B8" w:rsidRPr="00FE7785">
        <w:rPr>
          <w:iCs/>
        </w:rPr>
        <w:t>MET</w:t>
      </w:r>
      <w:r>
        <w:t>, the receptor for HGF.</w:t>
      </w:r>
    </w:p>
    <w:p w14:paraId="66F2BDB2" w14:textId="526B0C94" w:rsidR="0099324F" w:rsidRDefault="0099324F" w:rsidP="0099324F">
      <w:pPr>
        <w:pStyle w:val="Text"/>
      </w:pPr>
      <w:r>
        <w:t xml:space="preserve">The two antibodies of Sym015 bind to non-overlapping epitopes on the SEMA-α domain of </w:t>
      </w:r>
      <w:r w:rsidR="00AE10B8" w:rsidRPr="00FE7785">
        <w:rPr>
          <w:iCs/>
        </w:rPr>
        <w:t>MET</w:t>
      </w:r>
      <w:r>
        <w:t xml:space="preserve">. This allows the antibodies to bind simultaneously to the receptor and effectively induce receptor internalization and degradation. Through this mechanism, Sym015 effectively inhibits cell-proliferation and tumor growth in models where </w:t>
      </w:r>
      <w:r w:rsidR="00AE10B8" w:rsidRPr="00FE7785">
        <w:rPr>
          <w:iCs/>
        </w:rPr>
        <w:t>MET</w:t>
      </w:r>
      <w:r>
        <w:t xml:space="preserve"> is constitutively activated. Moreover, Sym015 blocks HGF-binding to the receptor and is thus also capable of inhibiting HGF-induced </w:t>
      </w:r>
      <w:r w:rsidR="00AE10B8" w:rsidRPr="00FE7785">
        <w:rPr>
          <w:iCs/>
        </w:rPr>
        <w:t>MET</w:t>
      </w:r>
      <w:r>
        <w:t xml:space="preserve"> phosphorylation and cell-proliferation. In addition, Sym015 induces effector functions, including ADCC, which may contribute to the activity observed </w:t>
      </w:r>
      <w:r w:rsidRPr="008740D6">
        <w:rPr>
          <w:i/>
          <w:iCs/>
        </w:rPr>
        <w:t>in vivo</w:t>
      </w:r>
      <w:r>
        <w:t xml:space="preserve">. Preclinical studies have shown that Sym015 effectively down-regulates the target and has superior tumor growth inhibitory activity compared to other antibodies targeting this receptor. Sym015 is intended for the treatment of solid tumor malignancies with amplification of the gene encoding </w:t>
      </w:r>
      <w:r w:rsidR="00AE10B8" w:rsidRPr="00D40FDD">
        <w:rPr>
          <w:i/>
        </w:rPr>
        <w:t>MET</w:t>
      </w:r>
      <w:r>
        <w:t>.</w:t>
      </w:r>
    </w:p>
    <w:p w14:paraId="096442EA" w14:textId="2C230B94" w:rsidR="0099324F" w:rsidRDefault="0099324F" w:rsidP="0099324F">
      <w:pPr>
        <w:pStyle w:val="Text"/>
      </w:pPr>
      <w:r>
        <w:t xml:space="preserve">This is the first clinical </w:t>
      </w:r>
      <w:r w:rsidR="00514662">
        <w:t xml:space="preserve">trial </w:t>
      </w:r>
      <w:r>
        <w:t xml:space="preserve">to study Sym015. Based on available literature/reports, </w:t>
      </w:r>
      <w:proofErr w:type="spellStart"/>
      <w:r>
        <w:t>mAbs</w:t>
      </w:r>
      <w:proofErr w:type="spellEnd"/>
      <w:r>
        <w:t xml:space="preserve"> targeting </w:t>
      </w:r>
      <w:r w:rsidR="00AE10B8" w:rsidRPr="00FE7785">
        <w:rPr>
          <w:iCs/>
        </w:rPr>
        <w:t>MET</w:t>
      </w:r>
      <w:r>
        <w:t xml:space="preserve"> appear to be generally well tolerated. No DLTs or SAEs were observed in the Phase 1 </w:t>
      </w:r>
      <w:r w:rsidR="00750F80">
        <w:t>stud</w:t>
      </w:r>
      <w:r w:rsidR="00D1753F">
        <w:t>ies</w:t>
      </w:r>
      <w:r>
        <w:t xml:space="preserve"> with LY2875358 or ABT-700. The most frequent </w:t>
      </w:r>
      <w:r w:rsidR="00B7450B">
        <w:t>IMP</w:t>
      </w:r>
      <w:r>
        <w:t>-related AEs were nausea, vomiting, and diarrhea for LY2875358 and constipation, fatigue and decreased appetite for ABT-</w:t>
      </w:r>
      <w:proofErr w:type="gramStart"/>
      <w:r>
        <w:t xml:space="preserve">700 </w:t>
      </w:r>
      <w:r w:rsidR="009D7A09">
        <w:t>.</w:t>
      </w:r>
      <w:proofErr w:type="gramEnd"/>
    </w:p>
    <w:p w14:paraId="6667B80A" w14:textId="56FA40F6" w:rsidR="0099324F" w:rsidRDefault="00631074" w:rsidP="0099324F">
      <w:pPr>
        <w:pStyle w:val="Text"/>
      </w:pPr>
      <w:r>
        <w:t xml:space="preserve">Part </w:t>
      </w:r>
      <w:r w:rsidR="00332D58">
        <w:t>1</w:t>
      </w:r>
      <w:r>
        <w:t xml:space="preserve"> of </w:t>
      </w:r>
      <w:r w:rsidR="00514662">
        <w:t xml:space="preserve">this </w:t>
      </w:r>
      <w:r w:rsidR="0099324F">
        <w:t>study was conducted to assess the safety and tolerability of</w:t>
      </w:r>
      <w:r>
        <w:t xml:space="preserve"> escalating dose</w:t>
      </w:r>
      <w:r w:rsidR="009B1B82">
        <w:t>s</w:t>
      </w:r>
      <w:r>
        <w:t xml:space="preserve"> of </w:t>
      </w:r>
      <w:r w:rsidR="0099324F">
        <w:t xml:space="preserve">Sym015 when administered by IV infusion on a Q2W schedule to patients with </w:t>
      </w:r>
      <w:r w:rsidR="0099324F" w:rsidRPr="0051158D">
        <w:rPr>
          <w:i/>
          <w:iCs/>
        </w:rPr>
        <w:t>KRAS</w:t>
      </w:r>
      <w:r w:rsidR="0099324F">
        <w:t xml:space="preserve"> WT advanced solid tumor malignancies without available therapeutic options</w:t>
      </w:r>
      <w:r w:rsidR="00CC1F5A">
        <w:t>.</w:t>
      </w:r>
      <w:r>
        <w:t xml:space="preserve"> Part</w:t>
      </w:r>
      <w:r w:rsidR="00996E1B">
        <w:t> </w:t>
      </w:r>
      <w:r w:rsidR="00332D58">
        <w:t>2</w:t>
      </w:r>
      <w:r>
        <w:t xml:space="preserve"> of </w:t>
      </w:r>
      <w:r w:rsidR="00514662">
        <w:t xml:space="preserve">this </w:t>
      </w:r>
      <w:r>
        <w:t xml:space="preserve">study was conducted </w:t>
      </w:r>
      <w:r w:rsidR="00D17561">
        <w:t>t</w:t>
      </w:r>
      <w:r w:rsidR="0099324F">
        <w:t>o evaluate the antitumor activity of Sym015 when administered at the Q2W</w:t>
      </w:r>
      <w:r>
        <w:t xml:space="preserve"> </w:t>
      </w:r>
      <w:r w:rsidR="0099324F">
        <w:t xml:space="preserve">RP2D </w:t>
      </w:r>
      <w:r>
        <w:t xml:space="preserve">(18 mg/kg as loading dose and 12 mg/kg Q2W thereafter) </w:t>
      </w:r>
      <w:r w:rsidR="0099324F">
        <w:t xml:space="preserve">to </w:t>
      </w:r>
      <w:r w:rsidR="00514662">
        <w:t xml:space="preserve">a Basket Cohort of </w:t>
      </w:r>
      <w:r w:rsidR="0099324F">
        <w:t xml:space="preserve">patients with </w:t>
      </w:r>
      <w:r w:rsidR="0099324F" w:rsidRPr="0051158D">
        <w:rPr>
          <w:i/>
          <w:iCs/>
        </w:rPr>
        <w:t>KRAS</w:t>
      </w:r>
      <w:r w:rsidR="0099324F">
        <w:t xml:space="preserve"> WT advanced solid tumor malignancies with </w:t>
      </w:r>
      <w:r w:rsidR="00AE10B8" w:rsidRPr="00AE10B8">
        <w:rPr>
          <w:i/>
        </w:rPr>
        <w:t>MET</w:t>
      </w:r>
      <w:r w:rsidR="0099324F">
        <w:t>-</w:t>
      </w:r>
      <w:r w:rsidR="002F3459">
        <w:t>a</w:t>
      </w:r>
      <w:r w:rsidR="0099324F">
        <w:t xml:space="preserve">mplification, patients with advanced NSCLC with </w:t>
      </w:r>
      <w:r w:rsidR="00AE10B8" w:rsidRPr="00AE10B8">
        <w:rPr>
          <w:i/>
        </w:rPr>
        <w:t>MET</w:t>
      </w:r>
      <w:r w:rsidR="00D1753F">
        <w:rPr>
          <w:i/>
        </w:rPr>
        <w:noBreakHyphen/>
      </w:r>
      <w:r w:rsidR="002F3459">
        <w:t>a</w:t>
      </w:r>
      <w:r w:rsidR="0099324F">
        <w:t xml:space="preserve">mplification and patients with advanced NSCLC with </w:t>
      </w:r>
      <w:r w:rsidR="00AE10B8" w:rsidRPr="00AE10B8">
        <w:rPr>
          <w:i/>
        </w:rPr>
        <w:t>MET</w:t>
      </w:r>
      <w:r w:rsidR="0099324F" w:rsidRPr="008740D6">
        <w:rPr>
          <w:vertAlign w:val="superscript"/>
        </w:rPr>
        <w:t>Ex14Del</w:t>
      </w:r>
      <w:r>
        <w:t xml:space="preserve"> as well as assess additional, efficacy, safety, PK and PD parameters</w:t>
      </w:r>
      <w:r w:rsidR="0099324F">
        <w:t>.</w:t>
      </w:r>
    </w:p>
    <w:p w14:paraId="6A877E64" w14:textId="2C8ACAED" w:rsidR="005D693D" w:rsidRDefault="00D17561" w:rsidP="005D693D">
      <w:pPr>
        <w:pStyle w:val="Text"/>
      </w:pPr>
      <w:r>
        <w:t xml:space="preserve">Overall, treatment with Sym015 at the different doses in Part 1 and Part 2 was </w:t>
      </w:r>
      <w:r w:rsidR="00514662">
        <w:t xml:space="preserve">demonstrated to be </w:t>
      </w:r>
      <w:r>
        <w:t xml:space="preserve">safe and well tolerated. </w:t>
      </w:r>
    </w:p>
    <w:p w14:paraId="62C92CFF" w14:textId="7D328C47" w:rsidR="005D693D" w:rsidRPr="005D693D" w:rsidRDefault="005D693D" w:rsidP="005D693D">
      <w:pPr>
        <w:pStyle w:val="Text"/>
        <w:rPr>
          <w:b/>
          <w:bCs/>
        </w:rPr>
      </w:pPr>
      <w:r w:rsidRPr="005D693D">
        <w:rPr>
          <w:b/>
          <w:bCs/>
        </w:rPr>
        <w:t>Part</w:t>
      </w:r>
      <w:r>
        <w:rPr>
          <w:b/>
          <w:bCs/>
        </w:rPr>
        <w:t> </w:t>
      </w:r>
      <w:r w:rsidRPr="005D693D">
        <w:rPr>
          <w:b/>
          <w:bCs/>
        </w:rPr>
        <w:t>1</w:t>
      </w:r>
    </w:p>
    <w:p w14:paraId="4F80237E" w14:textId="13658C08" w:rsidR="005D693D" w:rsidRPr="005D693D" w:rsidRDefault="005D693D" w:rsidP="005D693D">
      <w:pPr>
        <w:pStyle w:val="Text"/>
        <w:rPr>
          <w:iCs/>
        </w:rPr>
      </w:pPr>
      <w:r w:rsidRPr="00092B30">
        <w:t>The IMP dose was interrupted in 2 patients due to infusion related reaction.</w:t>
      </w:r>
      <w:r>
        <w:t xml:space="preserve"> </w:t>
      </w:r>
      <w:r w:rsidR="005075F5" w:rsidRPr="00092B30">
        <w:t xml:space="preserve">Four patients </w:t>
      </w:r>
      <w:r w:rsidR="005075F5">
        <w:t xml:space="preserve">(33.33%) </w:t>
      </w:r>
      <w:r w:rsidR="005075F5" w:rsidRPr="00092B30">
        <w:t>reported Grade</w:t>
      </w:r>
      <w:r w:rsidR="005075F5">
        <w:t> </w:t>
      </w:r>
      <w:r w:rsidR="005075F5" w:rsidRPr="00092B30">
        <w:t xml:space="preserve">3 TEAEs. All reported Grade 3 TEAEs were not related to IMP. No Grade 4 </w:t>
      </w:r>
      <w:r w:rsidR="005075F5">
        <w:t>or</w:t>
      </w:r>
      <w:r w:rsidR="005075F5" w:rsidRPr="00092B30">
        <w:t xml:space="preserve"> Grade</w:t>
      </w:r>
      <w:r w:rsidR="005075F5">
        <w:t> </w:t>
      </w:r>
      <w:r w:rsidR="005075F5" w:rsidRPr="00092B30">
        <w:t>5 TEAEs were reported in Part 1</w:t>
      </w:r>
      <w:r w:rsidR="005075F5">
        <w:t xml:space="preserve">. </w:t>
      </w:r>
      <w:r w:rsidR="00632441" w:rsidRPr="005D693D">
        <w:t xml:space="preserve">The most frequently reported TEAEs (≥10% of patients) were fatigue (33.3%), decreased appetite (25.00%), </w:t>
      </w:r>
      <w:proofErr w:type="spellStart"/>
      <w:r w:rsidR="00632441" w:rsidRPr="005D693D">
        <w:t>hypokalaemia</w:t>
      </w:r>
      <w:proofErr w:type="spellEnd"/>
      <w:r w:rsidR="00632441" w:rsidRPr="005D693D">
        <w:t xml:space="preserve"> (25.00%), hypomagnesaemia (25.00%), and oedema peripheral, vomiting, nausea, constipation, </w:t>
      </w:r>
      <w:proofErr w:type="spellStart"/>
      <w:r w:rsidR="00632441" w:rsidRPr="005D693D">
        <w:t>hypoalbuminaemia</w:t>
      </w:r>
      <w:proofErr w:type="spellEnd"/>
      <w:r w:rsidR="00632441" w:rsidRPr="005D693D">
        <w:t xml:space="preserve">, somnolence, ear pain, infusion related reaction, and </w:t>
      </w:r>
      <w:proofErr w:type="spellStart"/>
      <w:r w:rsidR="00632441" w:rsidRPr="005D693D">
        <w:t>tumour</w:t>
      </w:r>
      <w:proofErr w:type="spellEnd"/>
      <w:r w:rsidR="00632441" w:rsidRPr="005D693D">
        <w:t xml:space="preserve"> pain (16.67% patients, each).</w:t>
      </w:r>
      <w:r w:rsidR="00632441">
        <w:t xml:space="preserve"> </w:t>
      </w:r>
      <w:r w:rsidR="005075F5">
        <w:t>A t</w:t>
      </w:r>
      <w:r w:rsidR="005075F5" w:rsidRPr="00092B30">
        <w:t>otal of 15 IMP-related TEAEs in 5</w:t>
      </w:r>
      <w:r w:rsidR="005075F5">
        <w:t> </w:t>
      </w:r>
      <w:r w:rsidR="005075F5" w:rsidRPr="00092B30">
        <w:t>patients were reported during the study</w:t>
      </w:r>
      <w:r w:rsidR="005075F5">
        <w:t xml:space="preserve"> in Part 1</w:t>
      </w:r>
      <w:r w:rsidR="00FE7785">
        <w:t>.</w:t>
      </w:r>
      <w:r w:rsidR="005075F5">
        <w:t xml:space="preserve"> All IMP-related TEAEs were Grade 1 or Grade 2 in severity.</w:t>
      </w:r>
      <w:r w:rsidR="005075F5" w:rsidRPr="00092B30">
        <w:t xml:space="preserve"> </w:t>
      </w:r>
      <w:r w:rsidR="00632441" w:rsidRPr="00E6027A">
        <w:t>The most frequently reported IMP-related TEAEs by PT were fatigue (16.67%)</w:t>
      </w:r>
      <w:r w:rsidR="00632441">
        <w:t>,</w:t>
      </w:r>
      <w:r w:rsidR="00632441" w:rsidRPr="00E6027A">
        <w:t xml:space="preserve"> oedema peripheral</w:t>
      </w:r>
      <w:r w:rsidR="00647A77">
        <w:t xml:space="preserve">, </w:t>
      </w:r>
      <w:r w:rsidR="00632441">
        <w:t>dyspepsia</w:t>
      </w:r>
      <w:r w:rsidR="00632441" w:rsidRPr="00E6027A">
        <w:t xml:space="preserve"> </w:t>
      </w:r>
      <w:r w:rsidR="00632441">
        <w:t xml:space="preserve">and </w:t>
      </w:r>
      <w:proofErr w:type="spellStart"/>
      <w:r w:rsidR="00632441">
        <w:t>diarrhoea</w:t>
      </w:r>
      <w:proofErr w:type="spellEnd"/>
      <w:r w:rsidR="00632441">
        <w:t xml:space="preserve"> </w:t>
      </w:r>
      <w:r w:rsidR="00632441" w:rsidRPr="00E6027A">
        <w:t>(8.33%</w:t>
      </w:r>
      <w:r w:rsidR="00632441">
        <w:t>, each</w:t>
      </w:r>
      <w:r w:rsidR="00632441" w:rsidRPr="00E6027A">
        <w:t>)</w:t>
      </w:r>
      <w:r w:rsidR="00632441">
        <w:t xml:space="preserve">. </w:t>
      </w:r>
      <w:r w:rsidRPr="00003B43">
        <w:t>A total of 3 serious TEAEs were reported in 3 patients (25.00%) during the study</w:t>
      </w:r>
      <w:r>
        <w:t xml:space="preserve">. </w:t>
      </w:r>
      <w:r w:rsidRPr="00092B30">
        <w:t xml:space="preserve">Serious TEAEs by PT </w:t>
      </w:r>
      <w:r w:rsidRPr="00092B30">
        <w:lastRenderedPageBreak/>
        <w:t>were pelvic abscess, i</w:t>
      </w:r>
      <w:r w:rsidRPr="00092B30">
        <w:rPr>
          <w:color w:val="000000"/>
        </w:rPr>
        <w:t>ntra-abdominal fluid collection</w:t>
      </w:r>
      <w:r w:rsidRPr="00092B30" w:rsidDel="000B2215">
        <w:t xml:space="preserve"> </w:t>
      </w:r>
      <w:r w:rsidRPr="00092B30">
        <w:t>and nausea (8.33%, each).</w:t>
      </w:r>
      <w:r>
        <w:t xml:space="preserve"> </w:t>
      </w:r>
      <w:r w:rsidRPr="00092B30">
        <w:t xml:space="preserve">No serious IMP-related TEAEs were reported. No TEAEs or related </w:t>
      </w:r>
      <w:r w:rsidRPr="007D352E">
        <w:t>TEAEs led to permanent discontinuation of the IMP. No IMP-related death was reported</w:t>
      </w:r>
      <w:r w:rsidRPr="007B522E">
        <w:t xml:space="preserve">. </w:t>
      </w:r>
      <w:r w:rsidR="001203A3" w:rsidRPr="00724D6C">
        <w:t xml:space="preserve">Some shifts were observed from Baseline to CTCAE </w:t>
      </w:r>
      <w:r w:rsidR="001203A3" w:rsidRPr="001A7B2F">
        <w:t xml:space="preserve">Grade 3 and 4 in hematology, clinical </w:t>
      </w:r>
      <w:proofErr w:type="gramStart"/>
      <w:r w:rsidR="001203A3" w:rsidRPr="001A7B2F">
        <w:t>chemistry</w:t>
      </w:r>
      <w:proofErr w:type="gramEnd"/>
      <w:r w:rsidR="001203A3" w:rsidRPr="001A7B2F">
        <w:t xml:space="preserve"> and coagulation parameters. However, these shifts were not considered clinically significant. No clinically significant abnormalities in vital signs parameters were reported except in 1 patient who </w:t>
      </w:r>
      <w:r w:rsidR="00127B74" w:rsidRPr="001A7B2F">
        <w:t xml:space="preserve">experienced </w:t>
      </w:r>
      <w:r w:rsidR="001203A3" w:rsidRPr="001A7B2F">
        <w:t xml:space="preserve">weight </w:t>
      </w:r>
      <w:r w:rsidR="00543088" w:rsidRPr="001A7B2F">
        <w:t>de</w:t>
      </w:r>
      <w:r w:rsidR="001203A3" w:rsidRPr="001A7B2F">
        <w:t>creased TEAE assessed as related to IMP</w:t>
      </w:r>
      <w:r w:rsidRPr="001A7B2F">
        <w:t>. All patients had an ECOG-PS of 0 or 1 at screening and generally remained 0 or 1 at each post-baseline visit. No abnormal, clinically significant ECG results were reported at any time point during</w:t>
      </w:r>
      <w:r w:rsidRPr="001A7B2F">
        <w:rPr>
          <w:iCs/>
        </w:rPr>
        <w:t xml:space="preserve"> Part 1. A change from Baseline at the </w:t>
      </w:r>
      <w:r w:rsidR="004260B9">
        <w:rPr>
          <w:iCs/>
        </w:rPr>
        <w:t>EOT</w:t>
      </w:r>
      <w:r w:rsidRPr="001A7B2F">
        <w:rPr>
          <w:iCs/>
        </w:rPr>
        <w:t xml:space="preserve"> in </w:t>
      </w:r>
      <w:proofErr w:type="spellStart"/>
      <w:r w:rsidRPr="001A7B2F">
        <w:rPr>
          <w:iCs/>
        </w:rPr>
        <w:t>QTcF</w:t>
      </w:r>
      <w:proofErr w:type="spellEnd"/>
      <w:r w:rsidRPr="001A7B2F">
        <w:rPr>
          <w:iCs/>
        </w:rPr>
        <w:t xml:space="preserve"> of 30 to 60 </w:t>
      </w:r>
      <w:proofErr w:type="spellStart"/>
      <w:r w:rsidRPr="001A7B2F">
        <w:rPr>
          <w:iCs/>
        </w:rPr>
        <w:t>ms</w:t>
      </w:r>
      <w:proofErr w:type="spellEnd"/>
      <w:r w:rsidRPr="001A7B2F">
        <w:rPr>
          <w:iCs/>
        </w:rPr>
        <w:t xml:space="preserve"> was reported for 2 patients (25.0%).</w:t>
      </w:r>
    </w:p>
    <w:p w14:paraId="3B4C3F04" w14:textId="77777777" w:rsidR="005D693D" w:rsidRPr="005D693D" w:rsidRDefault="005D693D" w:rsidP="00D17561">
      <w:pPr>
        <w:pStyle w:val="Text"/>
        <w:rPr>
          <w:b/>
          <w:bCs/>
        </w:rPr>
      </w:pPr>
      <w:r w:rsidRPr="005D693D">
        <w:rPr>
          <w:b/>
          <w:bCs/>
        </w:rPr>
        <w:t>Part 2</w:t>
      </w:r>
    </w:p>
    <w:p w14:paraId="798C1941" w14:textId="58FD9A51" w:rsidR="00D17561" w:rsidRPr="00BB4F34" w:rsidRDefault="00BB4F34" w:rsidP="00D17561">
      <w:pPr>
        <w:pStyle w:val="Text"/>
        <w:rPr>
          <w:sz w:val="20"/>
        </w:rPr>
      </w:pPr>
      <w:r w:rsidRPr="00CA31A6">
        <w:t>The IMP dose was interrupted in 4 patients (8.9%)</w:t>
      </w:r>
      <w:r>
        <w:t>.</w:t>
      </w:r>
      <w:r w:rsidRPr="00CA31A6">
        <w:t xml:space="preserve"> Of these 4 patients with dose interruption, 3 patients experienced 4 TEAEs that lead to interruption of </w:t>
      </w:r>
      <w:r w:rsidRPr="005E6ABC">
        <w:t xml:space="preserve">IMP. </w:t>
      </w:r>
      <w:r w:rsidR="00B75862" w:rsidRPr="005E6ABC">
        <w:t xml:space="preserve">The IMP dose interruption in 1 patient was due to an event which was not considered as an AE. </w:t>
      </w:r>
      <w:r w:rsidRPr="005E6ABC">
        <w:t>The IMP dose reduction was reported in 2 patients (4.4%).</w:t>
      </w:r>
      <w:r w:rsidRPr="005E6ABC">
        <w:rPr>
          <w:sz w:val="20"/>
        </w:rPr>
        <w:t xml:space="preserve"> </w:t>
      </w:r>
      <w:r w:rsidR="005D693D" w:rsidRPr="005E6ABC">
        <w:t xml:space="preserve">Three Grade 5 TEAEs were reported </w:t>
      </w:r>
      <w:r w:rsidR="00127B74" w:rsidRPr="005E6ABC">
        <w:t xml:space="preserve">in </w:t>
      </w:r>
      <w:r w:rsidR="005D693D" w:rsidRPr="005E6ABC">
        <w:t>3 patients (6.67%). None of these fatal TEAEs were related to the IMP</w:t>
      </w:r>
      <w:r w:rsidR="005D693D" w:rsidRPr="0038666E">
        <w:t xml:space="preserve">. Grade 4 TEAEs were reported </w:t>
      </w:r>
      <w:r w:rsidR="00127B74">
        <w:t xml:space="preserve">in </w:t>
      </w:r>
      <w:r w:rsidR="005D693D" w:rsidRPr="0038666E">
        <w:t xml:space="preserve">5 patients </w:t>
      </w:r>
      <w:r w:rsidR="005D693D">
        <w:t>(</w:t>
      </w:r>
      <w:r w:rsidR="005D693D" w:rsidRPr="0038666E">
        <w:t xml:space="preserve">11.11%). One patient (2.22%) </w:t>
      </w:r>
      <w:r w:rsidR="00127B74">
        <w:t>experienced</w:t>
      </w:r>
      <w:r w:rsidR="00127B74" w:rsidRPr="0038666E">
        <w:t xml:space="preserve"> </w:t>
      </w:r>
      <w:r w:rsidR="005D693D" w:rsidRPr="0038666E">
        <w:t xml:space="preserve">Grade 4 IMP-related TEAEs. All other TEAEs were Grade 1 </w:t>
      </w:r>
      <w:r w:rsidR="005D693D">
        <w:t>or</w:t>
      </w:r>
      <w:r w:rsidR="005D693D" w:rsidRPr="0038666E">
        <w:t xml:space="preserve"> Grade 2 in severity</w:t>
      </w:r>
      <w:r w:rsidR="00D17561" w:rsidRPr="00D17561">
        <w:t>.</w:t>
      </w:r>
      <w:r w:rsidR="00D17561">
        <w:t xml:space="preserve"> </w:t>
      </w:r>
      <w:r w:rsidR="005D693D" w:rsidRPr="005D693D">
        <w:t xml:space="preserve">The most frequently reported TEAEs (≥10% of patients) were oedema peripheral (24.44%), nausea (22.22%), fatigue (22.22%), constipation (20.00%), decreased appetite (20.00%), abdominal pain (17.78%), cough (17.78%), </w:t>
      </w:r>
      <w:proofErr w:type="spellStart"/>
      <w:r w:rsidR="005D693D" w:rsidRPr="005D693D">
        <w:t>anaemia</w:t>
      </w:r>
      <w:proofErr w:type="spellEnd"/>
      <w:r w:rsidR="005D693D" w:rsidRPr="005D693D">
        <w:t xml:space="preserve"> (17.78%), pyrexia (15.56%), </w:t>
      </w:r>
      <w:proofErr w:type="spellStart"/>
      <w:r w:rsidR="005D693D" w:rsidRPr="005D693D">
        <w:t>hypoalbuminaemia</w:t>
      </w:r>
      <w:proofErr w:type="spellEnd"/>
      <w:r w:rsidR="005D693D" w:rsidRPr="005D693D">
        <w:t xml:space="preserve"> (15.56%), back pain (13.33%), dyspepsia (11.11%), aspartate aminotransferase increased (11.11%).</w:t>
      </w:r>
      <w:r w:rsidR="005D693D">
        <w:t xml:space="preserve"> </w:t>
      </w:r>
      <w:r w:rsidR="00A70BF3" w:rsidRPr="00191DAB">
        <w:t>Overall, 43 patients (95.56%) experienced at least 1 TEAE during the study, of which IMP-related TEAE</w:t>
      </w:r>
      <w:r w:rsidR="00A70BF3">
        <w:t xml:space="preserve"> were reported for </w:t>
      </w:r>
      <w:r w:rsidR="00A70BF3" w:rsidRPr="00191DAB">
        <w:t xml:space="preserve">22 patients (48.89%) </w:t>
      </w:r>
      <w:r w:rsidR="00A70BF3">
        <w:t>as assessed by the investigator</w:t>
      </w:r>
      <w:r w:rsidR="00A70BF3" w:rsidRPr="00191DAB">
        <w:t>.</w:t>
      </w:r>
      <w:r w:rsidR="00647A77">
        <w:t xml:space="preserve"> The most frequently reported IMP-related TEAEs by PT were oedema peripheral (15.56%) and fatigue (13.33%)</w:t>
      </w:r>
      <w:r w:rsidR="00647A77">
        <w:rPr>
          <w:szCs w:val="24"/>
        </w:rPr>
        <w:t>.</w:t>
      </w:r>
      <w:r w:rsidR="00647A77" w:rsidRPr="00647A77">
        <w:t xml:space="preserve"> </w:t>
      </w:r>
      <w:r w:rsidR="005D693D" w:rsidRPr="005D693D">
        <w:t>A total of 29 serious TEAEs were reported in 18 patients [40.00%]) during the study. The most frequently reported serious TEAEs were pleural effusion (4.44%), pneumonia (4.44%), pulmonary embolism</w:t>
      </w:r>
      <w:r w:rsidR="00647A77">
        <w:t xml:space="preserve">, </w:t>
      </w:r>
      <w:r w:rsidR="005D693D" w:rsidRPr="005D693D">
        <w:t xml:space="preserve">respiratory </w:t>
      </w:r>
      <w:proofErr w:type="gramStart"/>
      <w:r w:rsidR="005D693D" w:rsidRPr="005D693D">
        <w:t>failure</w:t>
      </w:r>
      <w:proofErr w:type="gramEnd"/>
      <w:r w:rsidR="005D693D" w:rsidRPr="005D693D">
        <w:t xml:space="preserve"> and hyperkalemia (2.22%</w:t>
      </w:r>
      <w:r w:rsidR="00647A77">
        <w:t>, each</w:t>
      </w:r>
      <w:r w:rsidR="005D693D" w:rsidRPr="005D693D">
        <w:t>)</w:t>
      </w:r>
      <w:r w:rsidR="00D17561" w:rsidRPr="00D17561">
        <w:t>.</w:t>
      </w:r>
      <w:r w:rsidR="00D17561">
        <w:t xml:space="preserve"> </w:t>
      </w:r>
      <w:r w:rsidR="00D17561" w:rsidRPr="00D17561">
        <w:t xml:space="preserve">A total of 6 </w:t>
      </w:r>
      <w:r w:rsidR="00D17561" w:rsidRPr="007D352E">
        <w:t>serious TEAE</w:t>
      </w:r>
      <w:r w:rsidR="00771F42" w:rsidRPr="00543088">
        <w:t>s</w:t>
      </w:r>
      <w:r w:rsidR="00D17561" w:rsidRPr="00543088">
        <w:t xml:space="preserve"> in 4 patients were reported </w:t>
      </w:r>
      <w:r w:rsidR="00D1753F" w:rsidRPr="00543088">
        <w:t xml:space="preserve">to </w:t>
      </w:r>
      <w:r w:rsidR="00D1753F" w:rsidRPr="007D352E">
        <w:t>be</w:t>
      </w:r>
      <w:r w:rsidR="00D17561" w:rsidRPr="007D352E">
        <w:t xml:space="preserve"> related to IMP</w:t>
      </w:r>
      <w:r w:rsidR="00C03BC6" w:rsidRPr="007D352E">
        <w:t xml:space="preserve">. </w:t>
      </w:r>
      <w:r w:rsidR="00D17561" w:rsidRPr="007D352E">
        <w:t>No TEAEs or related TEAEs lead to permanent discontinuation of IMP.</w:t>
      </w:r>
      <w:r w:rsidR="00C03BC6" w:rsidRPr="007D352E">
        <w:t xml:space="preserve"> No IMP-related death was reported.</w:t>
      </w:r>
      <w:r w:rsidR="007B6848" w:rsidRPr="007D352E">
        <w:t xml:space="preserve"> </w:t>
      </w:r>
      <w:r w:rsidR="001203A3" w:rsidRPr="007D352E">
        <w:t xml:space="preserve">Some shifts were observed from Baseline to CTCAE Grade 3 and 4 in hematology, clinical </w:t>
      </w:r>
      <w:proofErr w:type="gramStart"/>
      <w:r w:rsidR="001203A3" w:rsidRPr="007D352E">
        <w:t>chemistry</w:t>
      </w:r>
      <w:proofErr w:type="gramEnd"/>
      <w:r w:rsidR="001203A3" w:rsidRPr="007D352E">
        <w:t xml:space="preserve"> and coagulation parameters. However, these shifts were not considered clinically significant. No clinically significant abnormalities in vital signs parameters were reported except in </w:t>
      </w:r>
      <w:r w:rsidR="00543088">
        <w:t>2</w:t>
      </w:r>
      <w:r w:rsidR="001203A3" w:rsidRPr="00543088">
        <w:t xml:space="preserve"> patient</w:t>
      </w:r>
      <w:r w:rsidR="00543088">
        <w:t>s</w:t>
      </w:r>
      <w:r w:rsidR="001203A3" w:rsidRPr="00543088">
        <w:t xml:space="preserve"> who </w:t>
      </w:r>
      <w:r w:rsidR="00127B74">
        <w:t>experienced</w:t>
      </w:r>
      <w:r w:rsidR="00127B74" w:rsidRPr="00543088">
        <w:t xml:space="preserve"> </w:t>
      </w:r>
      <w:r w:rsidR="001203A3" w:rsidRPr="00543088">
        <w:t xml:space="preserve">weight </w:t>
      </w:r>
      <w:r w:rsidR="00543088">
        <w:t>de</w:t>
      </w:r>
      <w:r w:rsidR="001203A3" w:rsidRPr="00543088">
        <w:t>creased TEAE</w:t>
      </w:r>
      <w:r w:rsidR="00127B74">
        <w:t>s</w:t>
      </w:r>
      <w:r w:rsidR="001203A3" w:rsidRPr="00543088">
        <w:t xml:space="preserve"> assessed as </w:t>
      </w:r>
      <w:r w:rsidR="00543088">
        <w:t xml:space="preserve">not </w:t>
      </w:r>
      <w:r w:rsidR="001203A3" w:rsidRPr="00543088">
        <w:t xml:space="preserve">related to IMP. </w:t>
      </w:r>
      <w:r w:rsidR="00D17561" w:rsidRPr="00543088">
        <w:t>No</w:t>
      </w:r>
      <w:r w:rsidR="00D17561" w:rsidRPr="007D352E">
        <w:t xml:space="preserve"> abnormal, clinically signif</w:t>
      </w:r>
      <w:r w:rsidR="00D17561" w:rsidRPr="00543088">
        <w:t>icant ECG results were reported at any timepoint during the study</w:t>
      </w:r>
      <w:r w:rsidR="00D17561" w:rsidRPr="00D17561">
        <w:t xml:space="preserve">. A change from </w:t>
      </w:r>
      <w:r w:rsidR="009848D0">
        <w:t>Baseline</w:t>
      </w:r>
      <w:r w:rsidR="00D17561" w:rsidRPr="00D17561">
        <w:t xml:space="preserve"> at the </w:t>
      </w:r>
      <w:r w:rsidR="004260B9">
        <w:t>EOT</w:t>
      </w:r>
      <w:r w:rsidR="00D17561" w:rsidRPr="00D17561">
        <w:t xml:space="preserve"> in </w:t>
      </w:r>
      <w:proofErr w:type="spellStart"/>
      <w:r w:rsidR="00D17561" w:rsidRPr="00D17561">
        <w:t>QTcF</w:t>
      </w:r>
      <w:proofErr w:type="spellEnd"/>
      <w:r w:rsidR="00D17561" w:rsidRPr="00D17561">
        <w:t xml:space="preserve"> of 30 to 60 </w:t>
      </w:r>
      <w:proofErr w:type="spellStart"/>
      <w:r w:rsidR="00D17561" w:rsidRPr="00D17561">
        <w:t>ms</w:t>
      </w:r>
      <w:proofErr w:type="spellEnd"/>
      <w:r w:rsidR="00D17561" w:rsidRPr="00D17561">
        <w:t xml:space="preserve"> was reported for 1 patient (5.9%).</w:t>
      </w:r>
    </w:p>
    <w:p w14:paraId="1795E296" w14:textId="3F215EAD" w:rsidR="0099324F" w:rsidRDefault="0099324F" w:rsidP="0099324F">
      <w:pPr>
        <w:pStyle w:val="Text"/>
        <w:rPr>
          <w:rFonts w:eastAsia="Calibri"/>
        </w:rPr>
      </w:pPr>
      <w:r>
        <w:rPr>
          <w:rFonts w:eastAsia="Calibri"/>
        </w:rPr>
        <w:t xml:space="preserve">The primary objective of Part 2 was to evaluate the antitumor activity of Sym015 when administered at the Q2W RP2D to patients in the Basket </w:t>
      </w:r>
      <w:r w:rsidR="00E03D49">
        <w:rPr>
          <w:rFonts w:eastAsia="Calibri"/>
        </w:rPr>
        <w:t>Cohort</w:t>
      </w:r>
      <w:r>
        <w:rPr>
          <w:rFonts w:eastAsia="Calibri"/>
        </w:rPr>
        <w:t xml:space="preserve">, NSCLC </w:t>
      </w:r>
      <w:r w:rsidR="00AE10B8" w:rsidRPr="00AE10B8">
        <w:rPr>
          <w:rFonts w:eastAsia="Calibri"/>
          <w:i/>
        </w:rPr>
        <w:t>MET</w:t>
      </w:r>
      <w:r w:rsidR="00D1753F">
        <w:rPr>
          <w:rFonts w:eastAsia="Calibri"/>
          <w:i/>
        </w:rPr>
        <w:noBreakHyphen/>
      </w:r>
      <w:r>
        <w:rPr>
          <w:rFonts w:eastAsia="Calibri"/>
        </w:rPr>
        <w:t xml:space="preserve">Amplified </w:t>
      </w:r>
      <w:r w:rsidR="00E03D49">
        <w:rPr>
          <w:rFonts w:eastAsia="Calibri"/>
        </w:rPr>
        <w:t>Cohort</w:t>
      </w:r>
      <w:r>
        <w:rPr>
          <w:rFonts w:eastAsia="Calibri"/>
        </w:rPr>
        <w:t xml:space="preserve">, and NSCLC </w:t>
      </w:r>
      <w:r w:rsidR="00AE10B8" w:rsidRPr="00AE10B8">
        <w:rPr>
          <w:rFonts w:eastAsia="Calibri"/>
          <w:i/>
        </w:rPr>
        <w:t>MET</w:t>
      </w:r>
      <w:r w:rsidRPr="003C44D3">
        <w:rPr>
          <w:rFonts w:eastAsia="Calibri"/>
          <w:vertAlign w:val="superscript"/>
        </w:rPr>
        <w:t>Ex14Del</w:t>
      </w:r>
      <w:r>
        <w:rPr>
          <w:rFonts w:eastAsia="Calibri"/>
        </w:rPr>
        <w:t xml:space="preserve"> </w:t>
      </w:r>
      <w:r w:rsidR="00E03D49">
        <w:rPr>
          <w:rFonts w:eastAsia="Calibri"/>
        </w:rPr>
        <w:t>Cohort</w:t>
      </w:r>
      <w:r>
        <w:rPr>
          <w:rFonts w:eastAsia="Calibri"/>
        </w:rPr>
        <w:t xml:space="preserve">. </w:t>
      </w:r>
    </w:p>
    <w:p w14:paraId="27112D1B" w14:textId="34A697BB" w:rsidR="00145838" w:rsidRDefault="0099324F" w:rsidP="00145838">
      <w:pPr>
        <w:pStyle w:val="Text"/>
        <w:rPr>
          <w:rFonts w:eastAsia="Calibri"/>
        </w:rPr>
      </w:pPr>
      <w:r>
        <w:rPr>
          <w:rFonts w:eastAsia="Calibri"/>
        </w:rPr>
        <w:t xml:space="preserve">In both Part 1 and 2, the anti-tumor response was measured using BOR, </w:t>
      </w:r>
      <w:r w:rsidR="00495D29">
        <w:rPr>
          <w:rFonts w:eastAsia="Calibri"/>
        </w:rPr>
        <w:t xml:space="preserve">DOR, </w:t>
      </w:r>
      <w:r>
        <w:rPr>
          <w:rFonts w:eastAsia="Calibri"/>
        </w:rPr>
        <w:t>SD for ≥</w:t>
      </w:r>
      <w:r w:rsidR="00EA3B43">
        <w:rPr>
          <w:rFonts w:eastAsia="Calibri"/>
        </w:rPr>
        <w:t> </w:t>
      </w:r>
      <w:r>
        <w:rPr>
          <w:rFonts w:eastAsia="Calibri"/>
        </w:rPr>
        <w:t>4</w:t>
      </w:r>
      <w:r w:rsidR="00D1753F">
        <w:rPr>
          <w:rFonts w:eastAsia="Calibri"/>
        </w:rPr>
        <w:t> </w:t>
      </w:r>
      <w:r>
        <w:rPr>
          <w:rFonts w:eastAsia="Calibri"/>
        </w:rPr>
        <w:t>and ≥</w:t>
      </w:r>
      <w:r w:rsidR="00EA3B43">
        <w:rPr>
          <w:rFonts w:eastAsia="Calibri"/>
        </w:rPr>
        <w:t xml:space="preserve"> </w:t>
      </w:r>
      <w:r>
        <w:rPr>
          <w:rFonts w:eastAsia="Calibri"/>
        </w:rPr>
        <w:t xml:space="preserve">6 months, DCR, TTP, PFS, and OS. </w:t>
      </w:r>
      <w:r w:rsidR="00145838">
        <w:t xml:space="preserve">Based on </w:t>
      </w:r>
      <w:r w:rsidR="00127B74">
        <w:t>the I</w:t>
      </w:r>
      <w:r w:rsidR="00145838">
        <w:t xml:space="preserve">nvestigator’s assessment, no </w:t>
      </w:r>
      <w:r w:rsidR="00145838" w:rsidRPr="0026600A">
        <w:rPr>
          <w:color w:val="000000"/>
        </w:rPr>
        <w:t>CR</w:t>
      </w:r>
      <w:r w:rsidR="00023CA4">
        <w:rPr>
          <w:color w:val="000000"/>
        </w:rPr>
        <w:t xml:space="preserve"> or</w:t>
      </w:r>
      <w:r w:rsidR="00145838">
        <w:rPr>
          <w:color w:val="000000"/>
        </w:rPr>
        <w:t xml:space="preserve"> u</w:t>
      </w:r>
      <w:r w:rsidR="00145838" w:rsidRPr="0026600A">
        <w:rPr>
          <w:color w:val="000000"/>
        </w:rPr>
        <w:t>nconfirmed CR</w:t>
      </w:r>
      <w:r w:rsidR="00145838">
        <w:rPr>
          <w:color w:val="000000"/>
        </w:rPr>
        <w:t xml:space="preserve"> was observed across the Cohorts. The </w:t>
      </w:r>
      <w:r w:rsidR="005E0CB2">
        <w:rPr>
          <w:color w:val="000000"/>
        </w:rPr>
        <w:t>OR</w:t>
      </w:r>
      <w:r w:rsidR="00145838">
        <w:rPr>
          <w:color w:val="000000"/>
        </w:rPr>
        <w:t xml:space="preserve"> rate was 25% in </w:t>
      </w:r>
      <w:r w:rsidR="00145838">
        <w:rPr>
          <w:color w:val="000000"/>
        </w:rPr>
        <w:lastRenderedPageBreak/>
        <w:t>NSCLC cohorts (</w:t>
      </w:r>
      <w:r w:rsidR="00145838" w:rsidRPr="00F22259">
        <w:rPr>
          <w:color w:val="000000"/>
        </w:rPr>
        <w:t>5</w:t>
      </w:r>
      <w:r w:rsidR="00145838">
        <w:rPr>
          <w:color w:val="000000"/>
        </w:rPr>
        <w:t>/</w:t>
      </w:r>
      <w:r w:rsidR="00145838" w:rsidRPr="00F22259">
        <w:rPr>
          <w:color w:val="000000"/>
        </w:rPr>
        <w:t xml:space="preserve">20 NSCLC </w:t>
      </w:r>
      <w:proofErr w:type="gramStart"/>
      <w:r w:rsidR="00145838">
        <w:rPr>
          <w:color w:val="000000"/>
        </w:rPr>
        <w:t>patients;</w:t>
      </w:r>
      <w:proofErr w:type="gramEnd"/>
      <w:r w:rsidR="00145838">
        <w:rPr>
          <w:color w:val="000000"/>
        </w:rPr>
        <w:t xml:space="preserve"> </w:t>
      </w:r>
      <w:r w:rsidR="00145838" w:rsidRPr="00F22259">
        <w:rPr>
          <w:color w:val="000000"/>
        </w:rPr>
        <w:t xml:space="preserve">2/8 </w:t>
      </w:r>
      <w:r w:rsidR="00145838">
        <w:rPr>
          <w:color w:val="000000"/>
        </w:rPr>
        <w:t xml:space="preserve">in the </w:t>
      </w:r>
      <w:r w:rsidR="00145838" w:rsidRPr="00AE10B8">
        <w:rPr>
          <w:i/>
          <w:color w:val="000000"/>
        </w:rPr>
        <w:t>MET</w:t>
      </w:r>
      <w:r w:rsidR="00145838" w:rsidRPr="00F22259">
        <w:rPr>
          <w:color w:val="000000"/>
        </w:rPr>
        <w:t xml:space="preserve">-Amplified </w:t>
      </w:r>
      <w:r w:rsidR="00145838">
        <w:rPr>
          <w:color w:val="000000"/>
        </w:rPr>
        <w:t>Cohort</w:t>
      </w:r>
      <w:r w:rsidR="00145838" w:rsidRPr="00F22259">
        <w:rPr>
          <w:color w:val="000000"/>
        </w:rPr>
        <w:t xml:space="preserve"> and 3/12</w:t>
      </w:r>
      <w:r w:rsidR="00145838">
        <w:rPr>
          <w:color w:val="000000"/>
        </w:rPr>
        <w:t xml:space="preserve"> in the </w:t>
      </w:r>
      <w:r w:rsidR="00145838" w:rsidRPr="00AE10B8">
        <w:rPr>
          <w:i/>
          <w:iCs/>
          <w:color w:val="000000"/>
        </w:rPr>
        <w:t>M</w:t>
      </w:r>
      <w:r w:rsidR="00145838">
        <w:rPr>
          <w:i/>
          <w:iCs/>
          <w:color w:val="000000"/>
        </w:rPr>
        <w:t>ET</w:t>
      </w:r>
      <w:r w:rsidR="00145838" w:rsidRPr="00F22259">
        <w:rPr>
          <w:color w:val="000000"/>
          <w:vertAlign w:val="superscript"/>
        </w:rPr>
        <w:t>Ex14Del</w:t>
      </w:r>
      <w:r w:rsidR="00145838">
        <w:rPr>
          <w:color w:val="000000"/>
        </w:rPr>
        <w:t xml:space="preserve"> Cohort</w:t>
      </w:r>
      <w:r w:rsidR="00145838" w:rsidRPr="00BB7BD3">
        <w:rPr>
          <w:color w:val="000000"/>
        </w:rPr>
        <w:t>)</w:t>
      </w:r>
      <w:r w:rsidR="00145838">
        <w:rPr>
          <w:color w:val="000000"/>
        </w:rPr>
        <w:t xml:space="preserve">. </w:t>
      </w:r>
      <w:r w:rsidR="006D1457">
        <w:rPr>
          <w:color w:val="000000"/>
        </w:rPr>
        <w:t>N</w:t>
      </w:r>
      <w:r w:rsidR="00DE5A86">
        <w:rPr>
          <w:color w:val="000000"/>
        </w:rPr>
        <w:t xml:space="preserve">o responses were reported in patients enrolled in </w:t>
      </w:r>
      <w:r w:rsidR="006D1457">
        <w:rPr>
          <w:color w:val="000000"/>
        </w:rPr>
        <w:t>the B</w:t>
      </w:r>
      <w:r w:rsidR="00DE5A86">
        <w:rPr>
          <w:color w:val="000000"/>
        </w:rPr>
        <w:t xml:space="preserve">asket </w:t>
      </w:r>
      <w:r w:rsidR="006D1457">
        <w:rPr>
          <w:color w:val="000000"/>
        </w:rPr>
        <w:t>C</w:t>
      </w:r>
      <w:r w:rsidR="00DE5A86">
        <w:rPr>
          <w:color w:val="000000"/>
        </w:rPr>
        <w:t xml:space="preserve">ohort. </w:t>
      </w:r>
      <w:r w:rsidR="0092393A">
        <w:rPr>
          <w:color w:val="000000"/>
        </w:rPr>
        <w:t xml:space="preserve">The median TTP was </w:t>
      </w:r>
      <w:r w:rsidR="0092393A" w:rsidRPr="00D83A3C">
        <w:rPr>
          <w:color w:val="000000"/>
        </w:rPr>
        <w:t>7.6</w:t>
      </w:r>
      <w:r w:rsidR="0092393A">
        <w:rPr>
          <w:color w:val="000000"/>
        </w:rPr>
        <w:t> weeks</w:t>
      </w:r>
      <w:r w:rsidR="0092393A" w:rsidRPr="00CF717D">
        <w:rPr>
          <w:color w:val="000000"/>
        </w:rPr>
        <w:t xml:space="preserve"> </w:t>
      </w:r>
      <w:r w:rsidR="0092393A">
        <w:rPr>
          <w:color w:val="000000"/>
        </w:rPr>
        <w:t xml:space="preserve">for the </w:t>
      </w:r>
      <w:r w:rsidR="0092393A" w:rsidRPr="00097894">
        <w:rPr>
          <w:color w:val="000000"/>
        </w:rPr>
        <w:t xml:space="preserve">Basket </w:t>
      </w:r>
      <w:r w:rsidR="0092393A">
        <w:rPr>
          <w:color w:val="000000"/>
        </w:rPr>
        <w:t xml:space="preserve">Cohort, </w:t>
      </w:r>
      <w:r w:rsidR="0092393A" w:rsidRPr="00097894">
        <w:rPr>
          <w:color w:val="000000"/>
        </w:rPr>
        <w:t>27.0</w:t>
      </w:r>
      <w:r w:rsidR="0092393A">
        <w:rPr>
          <w:color w:val="000000"/>
        </w:rPr>
        <w:t> weeks</w:t>
      </w:r>
      <w:r w:rsidR="0092393A" w:rsidRPr="00CF717D">
        <w:rPr>
          <w:color w:val="000000"/>
        </w:rPr>
        <w:t xml:space="preserve"> </w:t>
      </w:r>
      <w:r w:rsidR="0092393A">
        <w:rPr>
          <w:color w:val="000000"/>
        </w:rPr>
        <w:t xml:space="preserve">for the NSCLC </w:t>
      </w:r>
      <w:r w:rsidR="0092393A" w:rsidRPr="00AE10B8">
        <w:rPr>
          <w:i/>
          <w:color w:val="000000"/>
        </w:rPr>
        <w:t>MET</w:t>
      </w:r>
      <w:r w:rsidR="0092393A" w:rsidRPr="00F22259">
        <w:rPr>
          <w:color w:val="000000"/>
        </w:rPr>
        <w:t>-Amplified</w:t>
      </w:r>
      <w:r w:rsidR="0092393A">
        <w:rPr>
          <w:color w:val="000000"/>
        </w:rPr>
        <w:t xml:space="preserve"> Cohort, and </w:t>
      </w:r>
      <w:r w:rsidR="0092393A" w:rsidRPr="00097894">
        <w:rPr>
          <w:color w:val="000000"/>
        </w:rPr>
        <w:t>30.3</w:t>
      </w:r>
      <w:r w:rsidR="0092393A">
        <w:rPr>
          <w:color w:val="000000"/>
        </w:rPr>
        <w:t xml:space="preserve"> weeks for the NSCLC </w:t>
      </w:r>
      <w:r w:rsidR="0092393A" w:rsidRPr="00AE10B8">
        <w:rPr>
          <w:i/>
          <w:iCs/>
          <w:color w:val="000000"/>
        </w:rPr>
        <w:t>M</w:t>
      </w:r>
      <w:r w:rsidR="0092393A">
        <w:rPr>
          <w:i/>
          <w:iCs/>
          <w:color w:val="000000"/>
        </w:rPr>
        <w:t>ET</w:t>
      </w:r>
      <w:r w:rsidR="0092393A" w:rsidRPr="00F22259">
        <w:rPr>
          <w:color w:val="000000"/>
          <w:vertAlign w:val="superscript"/>
        </w:rPr>
        <w:t>Ex14Del</w:t>
      </w:r>
      <w:r w:rsidR="0092393A" w:rsidRPr="00095399">
        <w:rPr>
          <w:color w:val="000000"/>
        </w:rPr>
        <w:t xml:space="preserve"> </w:t>
      </w:r>
      <w:r w:rsidR="0092393A">
        <w:rPr>
          <w:color w:val="000000"/>
        </w:rPr>
        <w:t xml:space="preserve">Cohort. </w:t>
      </w:r>
      <w:r w:rsidR="0092393A" w:rsidRPr="00D83A3C">
        <w:rPr>
          <w:color w:val="000000"/>
        </w:rPr>
        <w:t>TTP rate</w:t>
      </w:r>
      <w:r w:rsidR="0092393A">
        <w:rPr>
          <w:color w:val="000000"/>
        </w:rPr>
        <w:t xml:space="preserve">s at 6 months were 43.8% and 46.7% in the NSCLC </w:t>
      </w:r>
      <w:r w:rsidR="0092393A" w:rsidRPr="00AE10B8">
        <w:rPr>
          <w:i/>
          <w:color w:val="000000"/>
        </w:rPr>
        <w:t>MET</w:t>
      </w:r>
      <w:r w:rsidR="0092393A" w:rsidRPr="00F22259">
        <w:rPr>
          <w:color w:val="000000"/>
        </w:rPr>
        <w:t>-Amplified</w:t>
      </w:r>
      <w:r w:rsidR="0092393A">
        <w:rPr>
          <w:color w:val="000000"/>
        </w:rPr>
        <w:t xml:space="preserve"> Cohort and</w:t>
      </w:r>
      <w:r w:rsidR="0092393A" w:rsidRPr="00F248C2">
        <w:rPr>
          <w:color w:val="000000"/>
        </w:rPr>
        <w:t xml:space="preserve"> </w:t>
      </w:r>
      <w:r w:rsidR="0092393A">
        <w:rPr>
          <w:color w:val="000000"/>
        </w:rPr>
        <w:t xml:space="preserve">NSCLC </w:t>
      </w:r>
      <w:r w:rsidR="0092393A" w:rsidRPr="00AE10B8">
        <w:rPr>
          <w:i/>
          <w:iCs/>
          <w:color w:val="000000"/>
        </w:rPr>
        <w:t>M</w:t>
      </w:r>
      <w:r w:rsidR="0092393A">
        <w:rPr>
          <w:i/>
          <w:iCs/>
          <w:color w:val="000000"/>
        </w:rPr>
        <w:t>ET</w:t>
      </w:r>
      <w:r w:rsidR="0092393A" w:rsidRPr="00F22259">
        <w:rPr>
          <w:color w:val="000000"/>
          <w:vertAlign w:val="superscript"/>
        </w:rPr>
        <w:t>Ex14Del</w:t>
      </w:r>
      <w:r w:rsidR="0092393A" w:rsidRPr="00095399">
        <w:rPr>
          <w:color w:val="000000"/>
        </w:rPr>
        <w:t xml:space="preserve"> </w:t>
      </w:r>
      <w:r w:rsidR="0092393A">
        <w:rPr>
          <w:color w:val="000000"/>
        </w:rPr>
        <w:t xml:space="preserve">Cohort, respectively. </w:t>
      </w:r>
      <w:r w:rsidR="00145838">
        <w:t xml:space="preserve">The median DOR was </w:t>
      </w:r>
      <w:r w:rsidR="00145838" w:rsidRPr="00D83A3C">
        <w:rPr>
          <w:color w:val="000000"/>
        </w:rPr>
        <w:t>80.15</w:t>
      </w:r>
      <w:r w:rsidR="00145838">
        <w:rPr>
          <w:color w:val="000000"/>
        </w:rPr>
        <w:t xml:space="preserve"> weeks in the </w:t>
      </w:r>
      <w:r w:rsidR="00145838" w:rsidRPr="00035658">
        <w:t xml:space="preserve">NSCLC </w:t>
      </w:r>
      <w:r w:rsidR="00145838" w:rsidRPr="00AE10B8">
        <w:rPr>
          <w:i/>
        </w:rPr>
        <w:t>MET</w:t>
      </w:r>
      <w:r w:rsidR="00145838" w:rsidRPr="00035658">
        <w:t>-Amplified</w:t>
      </w:r>
      <w:r w:rsidR="00145838">
        <w:t xml:space="preserve"> Cohort and 26.00 weeks in the </w:t>
      </w:r>
      <w:r w:rsidR="00145838" w:rsidRPr="00035658">
        <w:rPr>
          <w:color w:val="000000"/>
        </w:rPr>
        <w:t xml:space="preserve">NSCLC </w:t>
      </w:r>
      <w:r w:rsidR="00145838" w:rsidRPr="00AE10B8">
        <w:rPr>
          <w:i/>
          <w:iCs/>
          <w:color w:val="000000"/>
        </w:rPr>
        <w:t>M</w:t>
      </w:r>
      <w:r w:rsidR="00145838">
        <w:rPr>
          <w:i/>
          <w:iCs/>
          <w:color w:val="000000"/>
        </w:rPr>
        <w:t>ET</w:t>
      </w:r>
      <w:r w:rsidR="00145838" w:rsidRPr="00035658">
        <w:rPr>
          <w:color w:val="000000"/>
          <w:vertAlign w:val="superscript"/>
        </w:rPr>
        <w:t>Ex14Del</w:t>
      </w:r>
      <w:r w:rsidR="00145838">
        <w:rPr>
          <w:color w:val="000000"/>
        </w:rPr>
        <w:t xml:space="preserve"> Cohort. </w:t>
      </w:r>
      <w:r w:rsidR="001E0B8A">
        <w:rPr>
          <w:color w:val="000000"/>
        </w:rPr>
        <w:t xml:space="preserve">The </w:t>
      </w:r>
      <w:r w:rsidR="0047279F">
        <w:rPr>
          <w:color w:val="000000"/>
        </w:rPr>
        <w:t>DCR</w:t>
      </w:r>
      <w:r w:rsidR="001E0B8A">
        <w:rPr>
          <w:color w:val="000000"/>
        </w:rPr>
        <w:t xml:space="preserve"> was 40% in the Basket Cohort (</w:t>
      </w:r>
      <w:r w:rsidR="001E0B8A" w:rsidRPr="00E73561">
        <w:rPr>
          <w:color w:val="000000"/>
        </w:rPr>
        <w:t>S</w:t>
      </w:r>
      <w:r w:rsidR="001E0B8A">
        <w:rPr>
          <w:color w:val="000000"/>
        </w:rPr>
        <w:t xml:space="preserve">D in 10/25 patients in the </w:t>
      </w:r>
      <w:r w:rsidR="001E0B8A" w:rsidRPr="00317C09">
        <w:rPr>
          <w:color w:val="000000"/>
        </w:rPr>
        <w:t>Basket</w:t>
      </w:r>
      <w:r w:rsidR="001E0B8A">
        <w:rPr>
          <w:color w:val="000000"/>
        </w:rPr>
        <w:t xml:space="preserve"> Cohort; 2</w:t>
      </w:r>
      <w:r w:rsidR="001E0B8A" w:rsidRPr="00F22259">
        <w:rPr>
          <w:color w:val="000000"/>
        </w:rPr>
        <w:t>/</w:t>
      </w:r>
      <w:r w:rsidR="001E0B8A">
        <w:rPr>
          <w:color w:val="000000"/>
        </w:rPr>
        <w:t>5</w:t>
      </w:r>
      <w:r w:rsidR="001E0B8A" w:rsidRPr="00F22259">
        <w:rPr>
          <w:color w:val="000000"/>
        </w:rPr>
        <w:t xml:space="preserve"> </w:t>
      </w:r>
      <w:r w:rsidR="001E0B8A">
        <w:rPr>
          <w:color w:val="000000"/>
        </w:rPr>
        <w:t xml:space="preserve">with </w:t>
      </w:r>
      <w:r w:rsidR="00127B74">
        <w:rPr>
          <w:color w:val="000000"/>
        </w:rPr>
        <w:t>p</w:t>
      </w:r>
      <w:r w:rsidR="001E0B8A" w:rsidRPr="00BF51F6">
        <w:rPr>
          <w:color w:val="000000"/>
        </w:rPr>
        <w:t xml:space="preserve">rior </w:t>
      </w:r>
      <w:r w:rsidR="001E0B8A" w:rsidRPr="0048149A">
        <w:rPr>
          <w:iCs/>
          <w:color w:val="000000"/>
        </w:rPr>
        <w:t>MET</w:t>
      </w:r>
      <w:r w:rsidR="001E0B8A" w:rsidRPr="00BF51F6">
        <w:rPr>
          <w:color w:val="000000"/>
        </w:rPr>
        <w:t>-targeting TKI therapy</w:t>
      </w:r>
      <w:r w:rsidR="001E0B8A">
        <w:rPr>
          <w:color w:val="000000"/>
        </w:rPr>
        <w:t xml:space="preserve"> </w:t>
      </w:r>
      <w:r w:rsidR="001E0B8A" w:rsidRPr="00F22259">
        <w:rPr>
          <w:color w:val="000000"/>
        </w:rPr>
        <w:t xml:space="preserve">and </w:t>
      </w:r>
      <w:r w:rsidR="001E0B8A">
        <w:rPr>
          <w:color w:val="000000"/>
        </w:rPr>
        <w:t>8</w:t>
      </w:r>
      <w:r w:rsidR="001E0B8A" w:rsidRPr="00F22259">
        <w:rPr>
          <w:color w:val="000000"/>
        </w:rPr>
        <w:t>/2</w:t>
      </w:r>
      <w:r w:rsidR="001E0B8A">
        <w:rPr>
          <w:color w:val="000000"/>
        </w:rPr>
        <w:t>0</w:t>
      </w:r>
      <w:r w:rsidR="001E0B8A" w:rsidRPr="00F22259">
        <w:rPr>
          <w:color w:val="000000"/>
        </w:rPr>
        <w:t xml:space="preserve"> </w:t>
      </w:r>
      <w:r w:rsidR="001E0B8A">
        <w:rPr>
          <w:color w:val="000000"/>
        </w:rPr>
        <w:t xml:space="preserve">without </w:t>
      </w:r>
      <w:r w:rsidR="006D1457">
        <w:rPr>
          <w:color w:val="000000"/>
        </w:rPr>
        <w:t>p</w:t>
      </w:r>
      <w:r w:rsidR="001E0B8A" w:rsidRPr="00BF51F6">
        <w:rPr>
          <w:color w:val="000000"/>
        </w:rPr>
        <w:t xml:space="preserve">rior </w:t>
      </w:r>
      <w:r w:rsidR="001E0B8A" w:rsidRPr="0048149A">
        <w:rPr>
          <w:iCs/>
          <w:color w:val="000000"/>
        </w:rPr>
        <w:t>MET</w:t>
      </w:r>
      <w:r w:rsidR="001E0B8A" w:rsidRPr="00BF51F6">
        <w:rPr>
          <w:color w:val="000000"/>
        </w:rPr>
        <w:t>-targeting TKI</w:t>
      </w:r>
      <w:r w:rsidR="001E0B8A">
        <w:rPr>
          <w:color w:val="000000"/>
        </w:rPr>
        <w:t xml:space="preserve"> therapy;</w:t>
      </w:r>
      <w:r w:rsidR="001E0B8A" w:rsidRPr="005678EB">
        <w:rPr>
          <w:color w:val="000000"/>
        </w:rPr>
        <w:t xml:space="preserve"> </w:t>
      </w:r>
      <w:r w:rsidR="001E0B8A">
        <w:rPr>
          <w:color w:val="000000"/>
        </w:rPr>
        <w:t>40</w:t>
      </w:r>
      <w:r w:rsidR="001E0B8A" w:rsidRPr="00F22259">
        <w:rPr>
          <w:color w:val="000000"/>
        </w:rPr>
        <w:t>%</w:t>
      </w:r>
      <w:r w:rsidR="001E0B8A">
        <w:rPr>
          <w:color w:val="000000"/>
        </w:rPr>
        <w:t xml:space="preserve"> for both</w:t>
      </w:r>
      <w:r w:rsidR="001E0B8A" w:rsidRPr="00BB7BD3">
        <w:rPr>
          <w:color w:val="000000"/>
        </w:rPr>
        <w:t>)</w:t>
      </w:r>
      <w:r w:rsidR="001E0B8A">
        <w:rPr>
          <w:color w:val="000000"/>
        </w:rPr>
        <w:t xml:space="preserve">. </w:t>
      </w:r>
      <w:r w:rsidR="00891115">
        <w:rPr>
          <w:color w:val="000000"/>
        </w:rPr>
        <w:t xml:space="preserve">The </w:t>
      </w:r>
      <w:r w:rsidR="0047279F">
        <w:rPr>
          <w:color w:val="000000"/>
        </w:rPr>
        <w:t>DCR</w:t>
      </w:r>
      <w:r w:rsidR="001E0B8A" w:rsidRPr="00E73561">
        <w:rPr>
          <w:color w:val="000000"/>
        </w:rPr>
        <w:t xml:space="preserve"> </w:t>
      </w:r>
      <w:r w:rsidR="001E0B8A">
        <w:rPr>
          <w:color w:val="000000"/>
        </w:rPr>
        <w:t xml:space="preserve">was 100% (8/8) in the NSCLC </w:t>
      </w:r>
      <w:r w:rsidR="001E0B8A" w:rsidRPr="00AE10B8">
        <w:rPr>
          <w:i/>
          <w:color w:val="000000"/>
        </w:rPr>
        <w:t>MET</w:t>
      </w:r>
      <w:r w:rsidR="001E0B8A" w:rsidRPr="00F22259">
        <w:rPr>
          <w:color w:val="000000"/>
        </w:rPr>
        <w:t xml:space="preserve">-Amplified </w:t>
      </w:r>
      <w:r w:rsidR="001E0B8A">
        <w:rPr>
          <w:color w:val="000000"/>
        </w:rPr>
        <w:t>Cohort</w:t>
      </w:r>
      <w:r w:rsidR="00891115">
        <w:rPr>
          <w:color w:val="000000"/>
        </w:rPr>
        <w:t xml:space="preserve"> and</w:t>
      </w:r>
      <w:r w:rsidR="001E0B8A">
        <w:rPr>
          <w:color w:val="000000"/>
        </w:rPr>
        <w:t xml:space="preserve"> 66.7% (8</w:t>
      </w:r>
      <w:r w:rsidR="001E0B8A" w:rsidRPr="00F22259">
        <w:rPr>
          <w:color w:val="000000"/>
        </w:rPr>
        <w:t>/12</w:t>
      </w:r>
      <w:r w:rsidR="001E0B8A">
        <w:rPr>
          <w:color w:val="000000"/>
        </w:rPr>
        <w:t>)</w:t>
      </w:r>
      <w:r w:rsidR="001E0B8A" w:rsidRPr="00F22259">
        <w:rPr>
          <w:color w:val="000000"/>
        </w:rPr>
        <w:t xml:space="preserve"> </w:t>
      </w:r>
      <w:r w:rsidR="001E0B8A">
        <w:rPr>
          <w:color w:val="000000"/>
        </w:rPr>
        <w:t xml:space="preserve">in the NSCLC </w:t>
      </w:r>
      <w:r w:rsidR="001E0B8A" w:rsidRPr="00EF4792">
        <w:rPr>
          <w:i/>
          <w:iCs/>
          <w:color w:val="000000"/>
        </w:rPr>
        <w:t>M</w:t>
      </w:r>
      <w:r w:rsidR="001E0B8A">
        <w:rPr>
          <w:i/>
          <w:iCs/>
          <w:color w:val="000000"/>
        </w:rPr>
        <w:t>ET</w:t>
      </w:r>
      <w:r w:rsidR="001E0B8A" w:rsidRPr="00F22259">
        <w:rPr>
          <w:color w:val="000000"/>
          <w:vertAlign w:val="superscript"/>
        </w:rPr>
        <w:t>Ex14Del</w:t>
      </w:r>
      <w:r w:rsidR="001E0B8A" w:rsidRPr="00CF688C">
        <w:rPr>
          <w:color w:val="000000"/>
        </w:rPr>
        <w:t xml:space="preserve"> </w:t>
      </w:r>
      <w:r w:rsidR="001E0B8A">
        <w:rPr>
          <w:color w:val="000000"/>
        </w:rPr>
        <w:t xml:space="preserve">Cohort. </w:t>
      </w:r>
      <w:r w:rsidR="0092393A">
        <w:rPr>
          <w:color w:val="000000"/>
        </w:rPr>
        <w:t>The m</w:t>
      </w:r>
      <w:r w:rsidR="0092393A" w:rsidRPr="005D20D7">
        <w:t>edian PFS</w:t>
      </w:r>
      <w:r w:rsidR="0092393A">
        <w:t xml:space="preserve"> was 1.7 months for the </w:t>
      </w:r>
      <w:r w:rsidR="0092393A" w:rsidRPr="004360CC">
        <w:rPr>
          <w:color w:val="000000"/>
        </w:rPr>
        <w:t xml:space="preserve">Basket </w:t>
      </w:r>
      <w:r w:rsidR="0092393A">
        <w:rPr>
          <w:color w:val="000000"/>
        </w:rPr>
        <w:t xml:space="preserve">Cohort, </w:t>
      </w:r>
      <w:r w:rsidR="0092393A">
        <w:t xml:space="preserve">5.8 months for the </w:t>
      </w:r>
      <w:r w:rsidR="0092393A" w:rsidRPr="009B5723">
        <w:rPr>
          <w:color w:val="000000"/>
        </w:rPr>
        <w:t xml:space="preserve">NSCLC </w:t>
      </w:r>
      <w:r w:rsidR="0092393A" w:rsidRPr="00AE10B8">
        <w:rPr>
          <w:i/>
          <w:color w:val="000000"/>
        </w:rPr>
        <w:t>MET</w:t>
      </w:r>
      <w:r w:rsidR="0092393A">
        <w:rPr>
          <w:color w:val="000000"/>
        </w:rPr>
        <w:noBreakHyphen/>
      </w:r>
      <w:r w:rsidR="0092393A" w:rsidRPr="009B5723">
        <w:rPr>
          <w:color w:val="000000"/>
        </w:rPr>
        <w:t>Amplified</w:t>
      </w:r>
      <w:r w:rsidR="0092393A">
        <w:rPr>
          <w:color w:val="000000"/>
        </w:rPr>
        <w:t xml:space="preserve"> Cohort, and </w:t>
      </w:r>
      <w:r w:rsidR="0092393A">
        <w:t xml:space="preserve">6.2 months for the </w:t>
      </w:r>
      <w:r w:rsidR="0092393A" w:rsidRPr="009B5723">
        <w:rPr>
          <w:color w:val="000000"/>
        </w:rPr>
        <w:t xml:space="preserve">NSCLC </w:t>
      </w:r>
      <w:r w:rsidR="0092393A" w:rsidRPr="00601122">
        <w:rPr>
          <w:i/>
          <w:iCs/>
          <w:color w:val="000000"/>
        </w:rPr>
        <w:t>MET</w:t>
      </w:r>
      <w:r w:rsidR="0092393A" w:rsidRPr="009B5723">
        <w:rPr>
          <w:color w:val="000000"/>
          <w:vertAlign w:val="superscript"/>
        </w:rPr>
        <w:t>Ex14Del</w:t>
      </w:r>
      <w:r w:rsidR="0092393A">
        <w:rPr>
          <w:color w:val="000000"/>
        </w:rPr>
        <w:t xml:space="preserve"> Cohort</w:t>
      </w:r>
      <w:r w:rsidR="00145838">
        <w:rPr>
          <w:color w:val="000000"/>
        </w:rPr>
        <w:t xml:space="preserve">. </w:t>
      </w:r>
      <w:r w:rsidR="0092393A">
        <w:rPr>
          <w:color w:val="000000"/>
        </w:rPr>
        <w:t xml:space="preserve">The median OS was </w:t>
      </w:r>
      <w:r w:rsidR="0092393A">
        <w:t xml:space="preserve">15.6 months for the </w:t>
      </w:r>
      <w:r w:rsidR="0092393A" w:rsidRPr="004360CC">
        <w:rPr>
          <w:color w:val="000000"/>
        </w:rPr>
        <w:t xml:space="preserve">Basket </w:t>
      </w:r>
      <w:r w:rsidR="0092393A">
        <w:rPr>
          <w:color w:val="000000"/>
        </w:rPr>
        <w:t xml:space="preserve">Cohort, </w:t>
      </w:r>
      <w:r w:rsidR="0092393A">
        <w:t xml:space="preserve">15.7 months for the </w:t>
      </w:r>
      <w:r w:rsidR="0092393A" w:rsidRPr="009B5723">
        <w:rPr>
          <w:color w:val="000000"/>
        </w:rPr>
        <w:t xml:space="preserve">NSCLC </w:t>
      </w:r>
      <w:r w:rsidR="0092393A" w:rsidRPr="00AE10B8">
        <w:rPr>
          <w:i/>
          <w:color w:val="000000"/>
        </w:rPr>
        <w:t>MET</w:t>
      </w:r>
      <w:r w:rsidR="0092393A">
        <w:rPr>
          <w:color w:val="000000"/>
        </w:rPr>
        <w:noBreakHyphen/>
      </w:r>
      <w:r w:rsidR="0092393A" w:rsidRPr="009B5723">
        <w:rPr>
          <w:color w:val="000000"/>
        </w:rPr>
        <w:t>Amplified</w:t>
      </w:r>
      <w:r w:rsidR="0092393A">
        <w:rPr>
          <w:color w:val="000000"/>
        </w:rPr>
        <w:t xml:space="preserve"> Cohort, and </w:t>
      </w:r>
      <w:r w:rsidR="0092393A">
        <w:t xml:space="preserve">9.7 months for the </w:t>
      </w:r>
      <w:r w:rsidR="0092393A" w:rsidRPr="009B5723">
        <w:rPr>
          <w:color w:val="000000"/>
        </w:rPr>
        <w:t xml:space="preserve">NSCLC </w:t>
      </w:r>
      <w:r w:rsidR="0092393A" w:rsidRPr="00601122">
        <w:rPr>
          <w:i/>
          <w:iCs/>
          <w:color w:val="000000"/>
        </w:rPr>
        <w:t>MET</w:t>
      </w:r>
      <w:r w:rsidR="0092393A" w:rsidRPr="009B5723">
        <w:rPr>
          <w:color w:val="000000"/>
          <w:vertAlign w:val="superscript"/>
        </w:rPr>
        <w:t>Ex14Del</w:t>
      </w:r>
      <w:r w:rsidR="0092393A">
        <w:rPr>
          <w:color w:val="000000"/>
        </w:rPr>
        <w:t xml:space="preserve"> Cohort</w:t>
      </w:r>
      <w:r w:rsidR="00145838">
        <w:rPr>
          <w:color w:val="000000"/>
        </w:rPr>
        <w:t xml:space="preserve">. </w:t>
      </w:r>
      <w:r w:rsidR="00145838">
        <w:rPr>
          <w:rFonts w:eastAsia="SimSun"/>
          <w:color w:val="000000"/>
        </w:rPr>
        <w:t>In the Basket Cohort, &gt;</w:t>
      </w:r>
      <w:r w:rsidR="00003B43">
        <w:rPr>
          <w:rFonts w:eastAsia="SimSun"/>
          <w:color w:val="000000"/>
        </w:rPr>
        <w:t> </w:t>
      </w:r>
      <w:r w:rsidR="00145838">
        <w:rPr>
          <w:rFonts w:eastAsia="SimSun"/>
          <w:color w:val="000000"/>
        </w:rPr>
        <w:t>30% tumor shrinkage was reported for 1 patient.</w:t>
      </w:r>
      <w:r w:rsidR="00145838" w:rsidRPr="00154C8C">
        <w:rPr>
          <w:rFonts w:eastAsia="SimSun"/>
          <w:color w:val="000000"/>
        </w:rPr>
        <w:t xml:space="preserve"> </w:t>
      </w:r>
      <w:r w:rsidR="00145838">
        <w:rPr>
          <w:rFonts w:eastAsia="SimSun"/>
          <w:color w:val="000000"/>
        </w:rPr>
        <w:t xml:space="preserve">In the </w:t>
      </w:r>
      <w:r w:rsidR="00145838" w:rsidRPr="00F05E15">
        <w:t xml:space="preserve">NSCLC </w:t>
      </w:r>
      <w:r w:rsidR="00145838" w:rsidRPr="00F05E15">
        <w:rPr>
          <w:i/>
          <w:iCs/>
        </w:rPr>
        <w:t>MET</w:t>
      </w:r>
      <w:r w:rsidR="00145838" w:rsidRPr="00F05E15">
        <w:t>-Amplified Cohort</w:t>
      </w:r>
      <w:r w:rsidR="00145838">
        <w:rPr>
          <w:rFonts w:eastAsia="SimSun"/>
          <w:color w:val="000000"/>
        </w:rPr>
        <w:t>, &gt;</w:t>
      </w:r>
      <w:r w:rsidR="00003B43">
        <w:rPr>
          <w:rFonts w:eastAsia="SimSun"/>
          <w:color w:val="000000"/>
        </w:rPr>
        <w:t> </w:t>
      </w:r>
      <w:r w:rsidR="00145838">
        <w:rPr>
          <w:rFonts w:eastAsia="SimSun"/>
          <w:color w:val="000000"/>
        </w:rPr>
        <w:t xml:space="preserve">30% tumor shrinkage was reported for 2 patients. In the </w:t>
      </w:r>
      <w:r w:rsidR="00145838" w:rsidRPr="00F05E15">
        <w:t xml:space="preserve">NSCLC </w:t>
      </w:r>
      <w:r w:rsidR="00145838" w:rsidRPr="00F05E15">
        <w:rPr>
          <w:i/>
          <w:iCs/>
        </w:rPr>
        <w:t>MET</w:t>
      </w:r>
      <w:r w:rsidR="00145838" w:rsidRPr="00F05E15">
        <w:rPr>
          <w:vertAlign w:val="superscript"/>
        </w:rPr>
        <w:t>Ex14Del</w:t>
      </w:r>
      <w:r w:rsidR="00145838" w:rsidRPr="00F05E15">
        <w:t xml:space="preserve"> Cohort</w:t>
      </w:r>
      <w:r w:rsidR="00145838">
        <w:rPr>
          <w:rFonts w:eastAsia="SimSun"/>
          <w:color w:val="000000"/>
        </w:rPr>
        <w:t>, &gt;</w:t>
      </w:r>
      <w:r w:rsidR="00003B43">
        <w:rPr>
          <w:rFonts w:eastAsia="SimSun"/>
          <w:color w:val="000000"/>
        </w:rPr>
        <w:t> </w:t>
      </w:r>
      <w:r w:rsidR="00145838">
        <w:rPr>
          <w:rFonts w:eastAsia="SimSun"/>
          <w:color w:val="000000"/>
        </w:rPr>
        <w:t>30% tumor shrinkage was reported for 3 patients</w:t>
      </w:r>
      <w:r w:rsidR="00891115">
        <w:rPr>
          <w:rFonts w:eastAsia="SimSun"/>
          <w:color w:val="000000"/>
        </w:rPr>
        <w:t>.</w:t>
      </w:r>
    </w:p>
    <w:p w14:paraId="732526E4" w14:textId="2D01A8D6" w:rsidR="0044181F" w:rsidRPr="00145838" w:rsidRDefault="0044181F" w:rsidP="0044181F">
      <w:pPr>
        <w:pStyle w:val="Text"/>
        <w:rPr>
          <w:rFonts w:eastAsia="SimSun"/>
        </w:rPr>
      </w:pPr>
      <w:r w:rsidRPr="00145838">
        <w:rPr>
          <w:rFonts w:eastAsia="SimSun"/>
        </w:rPr>
        <w:t xml:space="preserve">All patients were exposed to both antibodies in Sym015 throughout the study with maximum, dose-dependent serum concentrations achieved after </w:t>
      </w:r>
      <w:r w:rsidR="00B93267">
        <w:rPr>
          <w:rFonts w:eastAsia="SimSun"/>
        </w:rPr>
        <w:t xml:space="preserve">the </w:t>
      </w:r>
      <w:r w:rsidR="00C70A94">
        <w:rPr>
          <w:rFonts w:eastAsia="SimSun"/>
        </w:rPr>
        <w:t>EOI</w:t>
      </w:r>
      <w:r w:rsidRPr="00145838">
        <w:rPr>
          <w:rFonts w:eastAsia="SimSun"/>
        </w:rPr>
        <w:t xml:space="preserve">. </w:t>
      </w:r>
    </w:p>
    <w:p w14:paraId="29E46E39" w14:textId="3FA05918" w:rsidR="00607B40" w:rsidRPr="00145838" w:rsidRDefault="0044181F" w:rsidP="0044181F">
      <w:pPr>
        <w:pStyle w:val="Text"/>
        <w:rPr>
          <w:rFonts w:eastAsia="SimSun"/>
        </w:rPr>
      </w:pPr>
      <w:r w:rsidRPr="00145838">
        <w:rPr>
          <w:rFonts w:eastAsia="SimSun"/>
        </w:rPr>
        <w:t xml:space="preserve">Clearance and half-life appeared to be dose/serum concentration independent for the individual </w:t>
      </w:r>
      <w:proofErr w:type="spellStart"/>
      <w:r w:rsidRPr="00145838">
        <w:rPr>
          <w:rFonts w:eastAsia="SimSun"/>
        </w:rPr>
        <w:t>mAbs</w:t>
      </w:r>
      <w:proofErr w:type="spellEnd"/>
      <w:r w:rsidRPr="00145838">
        <w:rPr>
          <w:rFonts w:eastAsia="SimSun"/>
        </w:rPr>
        <w:t xml:space="preserve"> and the sum of them, i.e.</w:t>
      </w:r>
      <w:r w:rsidR="000E3125">
        <w:rPr>
          <w:rFonts w:eastAsia="SimSun"/>
        </w:rPr>
        <w:t>,</w:t>
      </w:r>
      <w:r w:rsidRPr="00145838">
        <w:rPr>
          <w:rFonts w:eastAsia="SimSun"/>
        </w:rPr>
        <w:t xml:space="preserve"> Sym015. </w:t>
      </w:r>
      <w:r w:rsidR="00B93267">
        <w:rPr>
          <w:rFonts w:eastAsia="SimSun"/>
        </w:rPr>
        <w:t>The t</w:t>
      </w:r>
      <w:r w:rsidR="00B93267" w:rsidRPr="00996E1B">
        <w:rPr>
          <w:rFonts w:eastAsia="SimSun"/>
          <w:vertAlign w:val="subscript"/>
        </w:rPr>
        <w:t>1/2</w:t>
      </w:r>
      <w:r w:rsidRPr="00145838">
        <w:rPr>
          <w:rFonts w:eastAsia="SimSun"/>
        </w:rPr>
        <w:t xml:space="preserve"> of Sym015 ranged from 87 </w:t>
      </w:r>
      <w:r w:rsidR="00145838">
        <w:rPr>
          <w:rFonts w:eastAsia="SimSun"/>
        </w:rPr>
        <w:t xml:space="preserve">to </w:t>
      </w:r>
      <w:r w:rsidRPr="00145838">
        <w:rPr>
          <w:rFonts w:eastAsia="SimSun"/>
        </w:rPr>
        <w:t>217</w:t>
      </w:r>
      <w:r w:rsidR="00145838">
        <w:rPr>
          <w:rFonts w:eastAsia="SimSun"/>
        </w:rPr>
        <w:t> </w:t>
      </w:r>
      <w:r w:rsidRPr="00145838">
        <w:rPr>
          <w:rFonts w:eastAsia="SimSun"/>
        </w:rPr>
        <w:t xml:space="preserve">hours following </w:t>
      </w:r>
      <w:r w:rsidR="00B93267">
        <w:rPr>
          <w:rFonts w:eastAsia="SimSun"/>
        </w:rPr>
        <w:t xml:space="preserve">the </w:t>
      </w:r>
      <w:r w:rsidRPr="00145838">
        <w:rPr>
          <w:rFonts w:eastAsia="SimSun"/>
        </w:rPr>
        <w:t>first dose and median t</w:t>
      </w:r>
      <w:r w:rsidRPr="00996E1B">
        <w:rPr>
          <w:rFonts w:eastAsia="SimSun"/>
          <w:vertAlign w:val="subscript"/>
        </w:rPr>
        <w:t>½</w:t>
      </w:r>
      <w:r w:rsidRPr="00145838">
        <w:rPr>
          <w:rFonts w:eastAsia="SimSun"/>
        </w:rPr>
        <w:t xml:space="preserve"> appeared similar across all dose levels. Following infusion of Sym015</w:t>
      </w:r>
      <w:r w:rsidR="009D7277">
        <w:rPr>
          <w:rFonts w:eastAsia="SimSun"/>
        </w:rPr>
        <w:t>,</w:t>
      </w:r>
      <w:r w:rsidRPr="00145838">
        <w:rPr>
          <w:rFonts w:eastAsia="SimSun"/>
        </w:rPr>
        <w:t xml:space="preserve"> both antibodies (Hu9006 and Hu9338) showed similar PK properties</w:t>
      </w:r>
      <w:r w:rsidR="002B1263" w:rsidRPr="00145838">
        <w:rPr>
          <w:rFonts w:eastAsia="SimSun"/>
        </w:rPr>
        <w:t>.</w:t>
      </w:r>
    </w:p>
    <w:p w14:paraId="1FBEBEE3" w14:textId="170874CE" w:rsidR="0044181F" w:rsidRDefault="0044181F" w:rsidP="0044181F">
      <w:pPr>
        <w:pStyle w:val="Text"/>
        <w:rPr>
          <w:rFonts w:eastAsia="SimSun"/>
        </w:rPr>
      </w:pPr>
      <w:r w:rsidRPr="00145838">
        <w:rPr>
          <w:rFonts w:eastAsia="SimSun"/>
        </w:rPr>
        <w:t xml:space="preserve">A low incidence of immunogenicity was observed in study Sym015-01. Treatment induced anti-Sym015 ADA titers were found in 1/53 patients evaluated (1.9%). Due to the limited data set, it is not possible to evaluate if the ADA incidence correlates with reduced drug exposure or </w:t>
      </w:r>
      <w:r w:rsidR="00F12E2C">
        <w:rPr>
          <w:rFonts w:eastAsia="SimSun"/>
        </w:rPr>
        <w:t>AE</w:t>
      </w:r>
      <w:r w:rsidRPr="00145838">
        <w:rPr>
          <w:rFonts w:eastAsia="SimSun"/>
        </w:rPr>
        <w:t>s.</w:t>
      </w:r>
    </w:p>
    <w:p w14:paraId="46A8B358" w14:textId="296C3988" w:rsidR="00017366" w:rsidRDefault="00017366" w:rsidP="00017366">
      <w:pPr>
        <w:pStyle w:val="Text"/>
      </w:pPr>
      <w:r>
        <w:t xml:space="preserve">The lower concordance for blood </w:t>
      </w:r>
      <w:proofErr w:type="spellStart"/>
      <w:r>
        <w:t>ctDNA</w:t>
      </w:r>
      <w:proofErr w:type="spellEnd"/>
      <w:r>
        <w:t xml:space="preserve"> identification of </w:t>
      </w:r>
      <w:r w:rsidRPr="00DA4072">
        <w:rPr>
          <w:i/>
          <w:iCs/>
        </w:rPr>
        <w:t>MET</w:t>
      </w:r>
      <w:r w:rsidRPr="00705D60">
        <w:t>-</w:t>
      </w:r>
      <w:r w:rsidR="002F3459">
        <w:t>a</w:t>
      </w:r>
      <w:r w:rsidRPr="00705D60">
        <w:t>mplification</w:t>
      </w:r>
      <w:r>
        <w:t xml:space="preserve"> patients may be caused by a low degree of </w:t>
      </w:r>
      <w:proofErr w:type="spellStart"/>
      <w:r>
        <w:t>ctDNA</w:t>
      </w:r>
      <w:proofErr w:type="spellEnd"/>
      <w:r>
        <w:t xml:space="preserve"> shedding by NCSLC tumors, a low amount of total cell free DNA in the blood retrieved in the specific patients, or potentially by tumor evolution. More patients could possibly be identified with a higher sequencing coverage or the use of larger blood samples to increase the total cell free DNA amount analyzed.</w:t>
      </w:r>
    </w:p>
    <w:p w14:paraId="4043ED03" w14:textId="6979F78A" w:rsidR="00DF022F" w:rsidRPr="000E5C4C" w:rsidRDefault="00DF022F" w:rsidP="00DF022F">
      <w:pPr>
        <w:pStyle w:val="Heading2"/>
      </w:pPr>
      <w:bookmarkStart w:id="3" w:name="_Toc66205129"/>
      <w:bookmarkStart w:id="4" w:name="_Toc73397540"/>
      <w:r w:rsidRPr="000E5C4C">
        <w:t>Overall Conclusion</w:t>
      </w:r>
      <w:bookmarkEnd w:id="3"/>
      <w:bookmarkEnd w:id="4"/>
    </w:p>
    <w:p w14:paraId="6F66FDB8" w14:textId="2581BB43" w:rsidR="006B7012" w:rsidRPr="006B7012" w:rsidRDefault="006B7012" w:rsidP="006B7012">
      <w:pPr>
        <w:pStyle w:val="BulletList1"/>
      </w:pPr>
      <w:r w:rsidRPr="006B7012">
        <w:t xml:space="preserve">MTD </w:t>
      </w:r>
      <w:r w:rsidR="002677FC">
        <w:t xml:space="preserve">was </w:t>
      </w:r>
      <w:r w:rsidRPr="006B7012">
        <w:t>not reached</w:t>
      </w:r>
      <w:r>
        <w:t xml:space="preserve"> in Part 1</w:t>
      </w:r>
      <w:r w:rsidR="002677FC">
        <w:t>.</w:t>
      </w:r>
    </w:p>
    <w:p w14:paraId="08E86EA0" w14:textId="7B0FB2BA" w:rsidR="00DF022F" w:rsidRDefault="00DF022F" w:rsidP="00DF022F">
      <w:pPr>
        <w:pStyle w:val="BulletList1"/>
      </w:pPr>
      <w:r w:rsidRPr="000E5C4C">
        <w:t xml:space="preserve">Overall, treatment with </w:t>
      </w:r>
      <w:r>
        <w:rPr>
          <w:rFonts w:eastAsia="Calibri"/>
        </w:rPr>
        <w:t>Sym015</w:t>
      </w:r>
      <w:r w:rsidRPr="000E5C4C">
        <w:t xml:space="preserve"> </w:t>
      </w:r>
      <w:r w:rsidR="00F974B9">
        <w:t xml:space="preserve">was well </w:t>
      </w:r>
      <w:r w:rsidR="00F974B9" w:rsidRPr="00F974B9">
        <w:t>tolerated at the RP2D</w:t>
      </w:r>
      <w:r w:rsidRPr="000E5C4C">
        <w:t>.</w:t>
      </w:r>
    </w:p>
    <w:p w14:paraId="244873F8" w14:textId="079D80E3" w:rsidR="006B7012" w:rsidRDefault="006B7012" w:rsidP="00DF022F">
      <w:pPr>
        <w:pStyle w:val="BulletList1"/>
      </w:pPr>
      <w:r w:rsidRPr="006B7012">
        <w:t>PK modeling and analysis supports an RP2D of 18 mg/kg loading dose followed by 12 mg/kg Q2W maintenance dose</w:t>
      </w:r>
      <w:r w:rsidR="002677FC">
        <w:t>.</w:t>
      </w:r>
    </w:p>
    <w:p w14:paraId="406639BD" w14:textId="1AF14C59" w:rsidR="00594C6D" w:rsidRDefault="00594C6D" w:rsidP="00DF022F">
      <w:pPr>
        <w:pStyle w:val="BulletList1"/>
      </w:pPr>
      <w:r>
        <w:t xml:space="preserve">Based on </w:t>
      </w:r>
      <w:r w:rsidR="00127B74">
        <w:t>the I</w:t>
      </w:r>
      <w:r>
        <w:t xml:space="preserve">nvestigator’s assessment, no </w:t>
      </w:r>
      <w:r w:rsidRPr="0026600A">
        <w:rPr>
          <w:color w:val="000000"/>
        </w:rPr>
        <w:t>CR</w:t>
      </w:r>
      <w:r w:rsidR="00D903A1">
        <w:rPr>
          <w:color w:val="000000"/>
        </w:rPr>
        <w:t xml:space="preserve"> or</w:t>
      </w:r>
      <w:r>
        <w:rPr>
          <w:color w:val="000000"/>
        </w:rPr>
        <w:t xml:space="preserve"> u</w:t>
      </w:r>
      <w:r w:rsidRPr="0026600A">
        <w:rPr>
          <w:color w:val="000000"/>
        </w:rPr>
        <w:t>nconfirmed CR</w:t>
      </w:r>
      <w:r>
        <w:rPr>
          <w:color w:val="000000"/>
        </w:rPr>
        <w:t xml:space="preserve"> was observed across the Cohorts</w:t>
      </w:r>
    </w:p>
    <w:p w14:paraId="4339730E" w14:textId="7BCB0E83" w:rsidR="000F2E23" w:rsidRPr="000F2E23" w:rsidRDefault="000F2E23" w:rsidP="0043475B">
      <w:pPr>
        <w:pStyle w:val="BulletList1"/>
      </w:pPr>
      <w:r>
        <w:rPr>
          <w:color w:val="000000"/>
        </w:rPr>
        <w:t xml:space="preserve">The </w:t>
      </w:r>
      <w:r w:rsidR="005E0CB2">
        <w:rPr>
          <w:color w:val="000000"/>
        </w:rPr>
        <w:t>OR</w:t>
      </w:r>
      <w:r>
        <w:rPr>
          <w:color w:val="000000"/>
        </w:rPr>
        <w:t xml:space="preserve"> rate was 25% in </w:t>
      </w:r>
      <w:r w:rsidR="002C20F1">
        <w:rPr>
          <w:color w:val="000000"/>
        </w:rPr>
        <w:t xml:space="preserve">the </w:t>
      </w:r>
      <w:r>
        <w:rPr>
          <w:color w:val="000000"/>
        </w:rPr>
        <w:t xml:space="preserve">NSCLC </w:t>
      </w:r>
      <w:r w:rsidR="00127B74">
        <w:rPr>
          <w:color w:val="000000"/>
        </w:rPr>
        <w:t>C</w:t>
      </w:r>
      <w:r>
        <w:rPr>
          <w:color w:val="000000"/>
        </w:rPr>
        <w:t>ohorts.</w:t>
      </w:r>
      <w:r w:rsidR="00DE5A86">
        <w:rPr>
          <w:color w:val="000000"/>
        </w:rPr>
        <w:t xml:space="preserve"> Responses were seen in </w:t>
      </w:r>
      <w:r w:rsidR="00127B74">
        <w:rPr>
          <w:color w:val="000000"/>
        </w:rPr>
        <w:t xml:space="preserve">the NSCLC </w:t>
      </w:r>
      <w:r w:rsidR="00DE5A86" w:rsidRPr="00017366">
        <w:rPr>
          <w:i/>
          <w:iCs/>
        </w:rPr>
        <w:t>MET</w:t>
      </w:r>
      <w:r w:rsidR="00DE5A86">
        <w:t>-Amp</w:t>
      </w:r>
      <w:r w:rsidR="000C3817">
        <w:t>lifi</w:t>
      </w:r>
      <w:r w:rsidR="002F3459">
        <w:t>ed</w:t>
      </w:r>
      <w:r w:rsidR="00127B74">
        <w:t xml:space="preserve"> Cohort </w:t>
      </w:r>
      <w:r w:rsidR="00DE5A86">
        <w:t xml:space="preserve">as well as in </w:t>
      </w:r>
      <w:r w:rsidR="00127B74">
        <w:t>the NSCLC</w:t>
      </w:r>
      <w:r w:rsidR="00DE5A86">
        <w:t xml:space="preserve"> </w:t>
      </w:r>
      <w:r w:rsidR="00DE5A86" w:rsidRPr="00017366">
        <w:rPr>
          <w:i/>
          <w:iCs/>
        </w:rPr>
        <w:t>MET</w:t>
      </w:r>
      <w:r w:rsidR="00DE5A86" w:rsidRPr="00C17C64">
        <w:rPr>
          <w:vertAlign w:val="superscript"/>
        </w:rPr>
        <w:t>Ex14Del</w:t>
      </w:r>
      <w:r w:rsidR="00DE5A86">
        <w:t xml:space="preserve"> </w:t>
      </w:r>
      <w:r w:rsidR="00127B74">
        <w:t>Cohort</w:t>
      </w:r>
      <w:r w:rsidR="00DE5A86">
        <w:t>.</w:t>
      </w:r>
    </w:p>
    <w:p w14:paraId="0E686937" w14:textId="39299304" w:rsidR="0010505B" w:rsidRPr="0010505B" w:rsidRDefault="0010505B" w:rsidP="0010505B">
      <w:pPr>
        <w:pStyle w:val="BulletList1"/>
      </w:pPr>
      <w:bookmarkStart w:id="5" w:name="_Hlk72334789"/>
      <w:r>
        <w:rPr>
          <w:color w:val="000000"/>
        </w:rPr>
        <w:lastRenderedPageBreak/>
        <w:t xml:space="preserve">The </w:t>
      </w:r>
      <w:r w:rsidRPr="00E73561">
        <w:rPr>
          <w:color w:val="000000"/>
        </w:rPr>
        <w:t xml:space="preserve">Disease Control Rate </w:t>
      </w:r>
      <w:r>
        <w:rPr>
          <w:color w:val="000000"/>
        </w:rPr>
        <w:t xml:space="preserve">was 100% (8/8) in the NSCLC </w:t>
      </w:r>
      <w:r w:rsidRPr="00AE10B8">
        <w:rPr>
          <w:i/>
          <w:color w:val="000000"/>
        </w:rPr>
        <w:t>MET</w:t>
      </w:r>
      <w:r w:rsidRPr="00F22259">
        <w:rPr>
          <w:color w:val="000000"/>
        </w:rPr>
        <w:t xml:space="preserve">-Amplified </w:t>
      </w:r>
      <w:r>
        <w:rPr>
          <w:color w:val="000000"/>
        </w:rPr>
        <w:t>Cohort (2 PR and 6 SD) and 66.7% (8</w:t>
      </w:r>
      <w:r w:rsidRPr="00F22259">
        <w:rPr>
          <w:color w:val="000000"/>
        </w:rPr>
        <w:t>/12</w:t>
      </w:r>
      <w:r>
        <w:rPr>
          <w:color w:val="000000"/>
        </w:rPr>
        <w:t>)</w:t>
      </w:r>
      <w:r w:rsidRPr="00F22259">
        <w:rPr>
          <w:color w:val="000000"/>
        </w:rPr>
        <w:t xml:space="preserve"> </w:t>
      </w:r>
      <w:r>
        <w:rPr>
          <w:color w:val="000000"/>
        </w:rPr>
        <w:t xml:space="preserve">in the NSCLC </w:t>
      </w:r>
      <w:r w:rsidRPr="00EF4792">
        <w:rPr>
          <w:i/>
          <w:iCs/>
          <w:color w:val="000000"/>
        </w:rPr>
        <w:t>M</w:t>
      </w:r>
      <w:r>
        <w:rPr>
          <w:i/>
          <w:iCs/>
          <w:color w:val="000000"/>
        </w:rPr>
        <w:t>ET</w:t>
      </w:r>
      <w:r w:rsidRPr="00F22259">
        <w:rPr>
          <w:color w:val="000000"/>
          <w:vertAlign w:val="superscript"/>
        </w:rPr>
        <w:t>Ex14Del</w:t>
      </w:r>
      <w:r w:rsidRPr="00CF688C">
        <w:rPr>
          <w:color w:val="000000"/>
        </w:rPr>
        <w:t xml:space="preserve"> </w:t>
      </w:r>
      <w:r>
        <w:rPr>
          <w:color w:val="000000"/>
        </w:rPr>
        <w:t>Cohort (3 PR and 5 SD)</w:t>
      </w:r>
      <w:r w:rsidR="002B04A5">
        <w:rPr>
          <w:color w:val="000000"/>
        </w:rPr>
        <w:t>.</w:t>
      </w:r>
      <w:r>
        <w:rPr>
          <w:color w:val="000000"/>
        </w:rPr>
        <w:t xml:space="preserve"> </w:t>
      </w:r>
    </w:p>
    <w:bookmarkEnd w:id="5"/>
    <w:p w14:paraId="11EB37C3" w14:textId="218535A9" w:rsidR="0010505B" w:rsidRDefault="0010505B" w:rsidP="0010505B">
      <w:pPr>
        <w:pStyle w:val="BulletList1"/>
      </w:pPr>
      <w:r>
        <w:t xml:space="preserve">The median TTP was </w:t>
      </w:r>
      <w:r w:rsidRPr="00D83A3C">
        <w:t>7.6</w:t>
      </w:r>
      <w:r>
        <w:t> weeks</w:t>
      </w:r>
      <w:r w:rsidRPr="00CF717D">
        <w:t xml:space="preserve"> </w:t>
      </w:r>
      <w:r>
        <w:t xml:space="preserve">for the </w:t>
      </w:r>
      <w:r w:rsidRPr="00097894">
        <w:t xml:space="preserve">Basket </w:t>
      </w:r>
      <w:r>
        <w:t xml:space="preserve">Cohort, </w:t>
      </w:r>
      <w:r w:rsidRPr="00097894">
        <w:t>27.0</w:t>
      </w:r>
      <w:r>
        <w:t> weeks</w:t>
      </w:r>
      <w:r w:rsidRPr="00CF717D">
        <w:t xml:space="preserve"> </w:t>
      </w:r>
      <w:r>
        <w:t xml:space="preserve">for the NSCLC </w:t>
      </w:r>
      <w:r w:rsidRPr="00AE10B8">
        <w:rPr>
          <w:i/>
        </w:rPr>
        <w:t>MET</w:t>
      </w:r>
      <w:r w:rsidRPr="00F22259">
        <w:t>-Amplified</w:t>
      </w:r>
      <w:r>
        <w:t xml:space="preserve"> Cohort, and </w:t>
      </w:r>
      <w:r w:rsidRPr="00097894">
        <w:t>30.3</w:t>
      </w:r>
      <w:r>
        <w:t xml:space="preserve"> weeks for the NSCLC </w:t>
      </w:r>
      <w:r w:rsidRPr="00AE10B8">
        <w:rPr>
          <w:i/>
          <w:iCs/>
        </w:rPr>
        <w:t>M</w:t>
      </w:r>
      <w:r>
        <w:rPr>
          <w:i/>
          <w:iCs/>
        </w:rPr>
        <w:t>ET</w:t>
      </w:r>
      <w:r w:rsidRPr="00F22259">
        <w:rPr>
          <w:vertAlign w:val="superscript"/>
        </w:rPr>
        <w:t>Ex14Del</w:t>
      </w:r>
      <w:r w:rsidRPr="00095399">
        <w:t xml:space="preserve"> </w:t>
      </w:r>
      <w:r>
        <w:t xml:space="preserve">Cohort. </w:t>
      </w:r>
      <w:r w:rsidRPr="00D83A3C">
        <w:t>TTP rate</w:t>
      </w:r>
      <w:r>
        <w:t xml:space="preserve">s at 6 months were 43.8% and 46.7% in the NSCLC </w:t>
      </w:r>
      <w:r w:rsidRPr="00AE10B8">
        <w:rPr>
          <w:i/>
        </w:rPr>
        <w:t>MET</w:t>
      </w:r>
      <w:r w:rsidRPr="00F22259">
        <w:t>-Amplified</w:t>
      </w:r>
      <w:r>
        <w:t xml:space="preserve"> Cohort and</w:t>
      </w:r>
      <w:r w:rsidRPr="00F248C2">
        <w:t xml:space="preserve"> </w:t>
      </w:r>
      <w:r>
        <w:t xml:space="preserve">NSCLC </w:t>
      </w:r>
      <w:r w:rsidRPr="00AE10B8">
        <w:rPr>
          <w:i/>
          <w:iCs/>
        </w:rPr>
        <w:t>M</w:t>
      </w:r>
      <w:r>
        <w:rPr>
          <w:i/>
          <w:iCs/>
        </w:rPr>
        <w:t>ET</w:t>
      </w:r>
      <w:r w:rsidRPr="00F22259">
        <w:rPr>
          <w:vertAlign w:val="superscript"/>
        </w:rPr>
        <w:t>Ex14Del</w:t>
      </w:r>
      <w:r w:rsidRPr="00095399">
        <w:t xml:space="preserve"> </w:t>
      </w:r>
      <w:r>
        <w:t>Cohort, respectively.</w:t>
      </w:r>
      <w:r w:rsidRPr="00CF538F">
        <w:t xml:space="preserve"> </w:t>
      </w:r>
    </w:p>
    <w:p w14:paraId="1571B8E7" w14:textId="396AFDDA" w:rsidR="0043475B" w:rsidRPr="0043475B" w:rsidRDefault="0043475B" w:rsidP="0043475B">
      <w:pPr>
        <w:pStyle w:val="BulletList1"/>
      </w:pPr>
      <w:proofErr w:type="spellStart"/>
      <w:r w:rsidRPr="0043475B">
        <w:t>ctDNA</w:t>
      </w:r>
      <w:proofErr w:type="spellEnd"/>
      <w:r>
        <w:t xml:space="preserve"> </w:t>
      </w:r>
      <w:r w:rsidRPr="0043475B">
        <w:t xml:space="preserve">is highly concordant with tumor for </w:t>
      </w:r>
      <w:r w:rsidRPr="0043475B">
        <w:rPr>
          <w:i/>
          <w:iCs/>
        </w:rPr>
        <w:t>MET</w:t>
      </w:r>
      <w:r w:rsidRPr="00C17C64">
        <w:rPr>
          <w:vertAlign w:val="superscript"/>
        </w:rPr>
        <w:t>Ex14</w:t>
      </w:r>
      <w:r w:rsidR="00C17C64" w:rsidRPr="00C17C64">
        <w:rPr>
          <w:vertAlign w:val="superscript"/>
        </w:rPr>
        <w:t>Del</w:t>
      </w:r>
      <w:r w:rsidRPr="0043475B">
        <w:t xml:space="preserve">: may be a viable option for </w:t>
      </w:r>
      <w:r w:rsidRPr="00C17C64">
        <w:rPr>
          <w:i/>
          <w:iCs/>
        </w:rPr>
        <w:t>MET</w:t>
      </w:r>
      <w:r w:rsidRPr="00C17C64">
        <w:rPr>
          <w:vertAlign w:val="superscript"/>
        </w:rPr>
        <w:t>Ex14</w:t>
      </w:r>
      <w:r w:rsidR="00C17C64" w:rsidRPr="00C17C64">
        <w:rPr>
          <w:vertAlign w:val="superscript"/>
        </w:rPr>
        <w:t>Del</w:t>
      </w:r>
      <w:r w:rsidR="00C17C64">
        <w:t xml:space="preserve"> </w:t>
      </w:r>
      <w:r w:rsidRPr="0043475B">
        <w:t>patient selection</w:t>
      </w:r>
      <w:r w:rsidR="00D2410D">
        <w:t>.</w:t>
      </w:r>
    </w:p>
    <w:p w14:paraId="32CABB92" w14:textId="71C5CF23" w:rsidR="00515F81" w:rsidRPr="00B1614C" w:rsidRDefault="00515F81" w:rsidP="00EE4BD6">
      <w:pPr>
        <w:pStyle w:val="BulletList1"/>
        <w:numPr>
          <w:ilvl w:val="0"/>
          <w:numId w:val="0"/>
        </w:numPr>
        <w:spacing w:before="60" w:after="60"/>
      </w:pPr>
      <w:r>
        <w:t xml:space="preserve">In conclusion, the Sym015-01 study results provide preliminary evidence of Sym015 activity in patients with NSCLC with </w:t>
      </w:r>
      <w:r w:rsidRPr="00017366">
        <w:rPr>
          <w:i/>
          <w:iCs/>
        </w:rPr>
        <w:t>MET</w:t>
      </w:r>
      <w:r w:rsidR="006615EB">
        <w:t>-</w:t>
      </w:r>
      <w:r w:rsidR="002F3459">
        <w:t>a</w:t>
      </w:r>
      <w:r>
        <w:t>mplification and mutations associated with exon 14 skipping. Sym</w:t>
      </w:r>
      <w:r w:rsidR="00E3617E">
        <w:t>0</w:t>
      </w:r>
      <w:r>
        <w:t xml:space="preserve">15 was well tolerated in patients with </w:t>
      </w:r>
      <w:r w:rsidR="006615EB">
        <w:t xml:space="preserve">a </w:t>
      </w:r>
      <w:r>
        <w:t>variety of tumor type</w:t>
      </w:r>
      <w:r w:rsidR="006615EB">
        <w:t>s</w:t>
      </w:r>
      <w:r>
        <w:t xml:space="preserve"> including in NSCLC patient</w:t>
      </w:r>
      <w:r w:rsidR="006615EB">
        <w:t>s</w:t>
      </w:r>
      <w:r>
        <w:t xml:space="preserve"> with </w:t>
      </w:r>
      <w:r w:rsidRPr="00017366">
        <w:rPr>
          <w:i/>
          <w:iCs/>
        </w:rPr>
        <w:t>MET</w:t>
      </w:r>
      <w:r w:rsidR="006615EB">
        <w:t>-</w:t>
      </w:r>
      <w:r w:rsidR="000D1206">
        <w:t>a</w:t>
      </w:r>
      <w:r w:rsidRPr="002A0CE3">
        <w:t>mplification</w:t>
      </w:r>
      <w:r>
        <w:t xml:space="preserve"> or </w:t>
      </w:r>
      <w:r w:rsidRPr="00017366">
        <w:rPr>
          <w:i/>
          <w:iCs/>
        </w:rPr>
        <w:t>MET</w:t>
      </w:r>
      <w:r w:rsidR="00B1614C" w:rsidRPr="00C17C64">
        <w:rPr>
          <w:vertAlign w:val="superscript"/>
        </w:rPr>
        <w:t>Ex14Del</w:t>
      </w:r>
      <w:r w:rsidR="00B1614C">
        <w:t>.</w:t>
      </w:r>
    </w:p>
    <w:p w14:paraId="55B48C3C" w14:textId="77777777" w:rsidR="00515F81" w:rsidRPr="000E5C4C" w:rsidRDefault="00515F81" w:rsidP="000F2E23">
      <w:pPr>
        <w:pStyle w:val="BulletList1"/>
        <w:numPr>
          <w:ilvl w:val="0"/>
          <w:numId w:val="0"/>
        </w:numPr>
        <w:ind w:left="340" w:hanging="340"/>
      </w:pPr>
    </w:p>
    <w:sectPr w:rsidR="00515F81" w:rsidRPr="000E5C4C">
      <w:headerReference w:type="default" r:id="rId17"/>
      <w:footerReference w:type="default" r:id="rId18"/>
      <w:endnotePr>
        <w:numFmt w:val="decimal"/>
      </w:endnotePr>
      <w:pgSz w:w="12240" w:h="15840" w:code="1"/>
      <w:pgMar w:top="1440" w:right="1440" w:bottom="1440" w:left="21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4A577" w14:textId="77777777" w:rsidR="009D7C50" w:rsidRDefault="009D7C50">
      <w:pPr>
        <w:pStyle w:val="Tabletext"/>
        <w:rPr>
          <w:snapToGrid/>
        </w:rPr>
      </w:pPr>
    </w:p>
  </w:endnote>
  <w:endnote w:type="continuationSeparator" w:id="0">
    <w:p w14:paraId="7F298923" w14:textId="77777777" w:rsidR="009D7C50" w:rsidRDefault="009D7C50">
      <w:r>
        <w:continuationSeparator/>
      </w:r>
    </w:p>
  </w:endnote>
  <w:endnote w:type="continuationNotice" w:id="1">
    <w:p w14:paraId="602D6FE0" w14:textId="77777777" w:rsidR="009D7C50" w:rsidRDefault="009D7C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ahoma"/>
    <w:panose1 w:val="020208030705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28008" w14:textId="77777777" w:rsidR="00A85218" w:rsidRDefault="00A852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14:paraId="7716A206" w14:textId="77777777" w:rsidR="00A85218" w:rsidRDefault="00A852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82E4E" w14:textId="59AA6E2F" w:rsidR="00A85218" w:rsidRDefault="00EE2584" w:rsidP="00012BC6">
    <w:pPr>
      <w:pStyle w:val="Footer"/>
      <w:pBdr>
        <w:top w:val="single" w:sz="4" w:space="1" w:color="auto"/>
      </w:pBdr>
      <w:tabs>
        <w:tab w:val="clear" w:pos="1080"/>
      </w:tabs>
    </w:pPr>
    <w:r>
      <w:t xml:space="preserve">Final </w:t>
    </w:r>
    <w:r w:rsidR="00A85218">
      <w:tab/>
    </w:r>
    <w:r w:rsidR="00A85218">
      <w:rPr>
        <w:rStyle w:val="PageNumber"/>
      </w:rPr>
      <w:fldChar w:fldCharType="begin"/>
    </w:r>
    <w:r w:rsidR="00A85218">
      <w:rPr>
        <w:rStyle w:val="PageNumber"/>
      </w:rPr>
      <w:instrText xml:space="preserve"> PAGE </w:instrText>
    </w:r>
    <w:r w:rsidR="00A85218">
      <w:rPr>
        <w:rStyle w:val="PageNumber"/>
      </w:rPr>
      <w:fldChar w:fldCharType="separate"/>
    </w:r>
    <w:r w:rsidR="00A85218">
      <w:rPr>
        <w:rStyle w:val="PageNumber"/>
      </w:rPr>
      <w:t>2</w:t>
    </w:r>
    <w:r w:rsidR="00A85218">
      <w:rPr>
        <w:rStyle w:val="PageNumber"/>
      </w:rPr>
      <w:fldChar w:fldCharType="end"/>
    </w:r>
    <w:r w:rsidR="00A85218">
      <w:rPr>
        <w:rStyle w:val="PageNumber"/>
      </w:rPr>
      <w:tab/>
    </w:r>
    <w:r w:rsidR="008D4266">
      <w:rPr>
        <w:rStyle w:val="PageNumber"/>
      </w:rPr>
      <w:t>0</w:t>
    </w:r>
    <w:r w:rsidR="009D1719">
      <w:rPr>
        <w:rStyle w:val="PageNumber"/>
      </w:rPr>
      <w:t>7</w:t>
    </w:r>
    <w:r w:rsidR="008D4266">
      <w:rPr>
        <w:rStyle w:val="PageNumber"/>
      </w:rPr>
      <w:t xml:space="preserve"> June</w:t>
    </w:r>
    <w:r w:rsidR="00A85218">
      <w:rPr>
        <w:rStyle w:val="PageNumber"/>
      </w:rPr>
      <w:t xml:space="preserve">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30CB9" w14:textId="77777777" w:rsidR="009A5695" w:rsidRDefault="009A569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830AF" w14:textId="0BF0397A" w:rsidR="00A85218" w:rsidRPr="00012BC6" w:rsidRDefault="00C0528C" w:rsidP="00012BC6">
    <w:pPr>
      <w:pStyle w:val="Footer"/>
      <w:pBdr>
        <w:top w:val="single" w:sz="4" w:space="1" w:color="auto"/>
      </w:pBdr>
      <w:tabs>
        <w:tab w:val="clear" w:pos="1080"/>
      </w:tabs>
    </w:pPr>
    <w:r>
      <w:t>Final</w:t>
    </w:r>
    <w:r w:rsidR="00A85218">
      <w:tab/>
    </w:r>
    <w:r w:rsidR="00A85218">
      <w:rPr>
        <w:rStyle w:val="PageNumber"/>
      </w:rPr>
      <w:fldChar w:fldCharType="begin"/>
    </w:r>
    <w:r w:rsidR="00A85218">
      <w:rPr>
        <w:rStyle w:val="PageNumber"/>
      </w:rPr>
      <w:instrText xml:space="preserve"> PAGE </w:instrText>
    </w:r>
    <w:r w:rsidR="00A85218">
      <w:rPr>
        <w:rStyle w:val="PageNumber"/>
      </w:rPr>
      <w:fldChar w:fldCharType="separate"/>
    </w:r>
    <w:r w:rsidR="00A85218">
      <w:rPr>
        <w:rStyle w:val="PageNumber"/>
      </w:rPr>
      <w:t>2</w:t>
    </w:r>
    <w:r w:rsidR="00A85218">
      <w:rPr>
        <w:rStyle w:val="PageNumber"/>
      </w:rPr>
      <w:fldChar w:fldCharType="end"/>
    </w:r>
    <w:r w:rsidR="00A85218">
      <w:rPr>
        <w:rStyle w:val="PageNumber"/>
      </w:rPr>
      <w:tab/>
    </w:r>
    <w:r w:rsidR="00AE07A6">
      <w:rPr>
        <w:rStyle w:val="PageNumber"/>
      </w:rPr>
      <w:t>0</w:t>
    </w:r>
    <w:r w:rsidR="009D1719">
      <w:rPr>
        <w:rStyle w:val="PageNumber"/>
      </w:rPr>
      <w:t>7</w:t>
    </w:r>
    <w:r w:rsidR="00AE07A6">
      <w:rPr>
        <w:rStyle w:val="PageNumber"/>
      </w:rPr>
      <w:t xml:space="preserve"> June</w:t>
    </w:r>
    <w:r w:rsidR="00A85218">
      <w:rPr>
        <w:rStyle w:val="PageNumber"/>
      </w:rPr>
      <w:t xml:space="preserv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EE8FE" w14:textId="77777777" w:rsidR="009D7C50" w:rsidRDefault="009D7C50">
      <w:r>
        <w:separator/>
      </w:r>
    </w:p>
  </w:footnote>
  <w:footnote w:type="continuationSeparator" w:id="0">
    <w:p w14:paraId="39623D72" w14:textId="77777777" w:rsidR="009D7C50" w:rsidRDefault="009D7C50">
      <w:r>
        <w:continuationSeparator/>
      </w:r>
    </w:p>
  </w:footnote>
  <w:footnote w:type="continuationNotice" w:id="1">
    <w:p w14:paraId="7F1401DA" w14:textId="77777777" w:rsidR="009D7C50" w:rsidRDefault="009D7C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1887E" w14:textId="77777777" w:rsidR="009A5695" w:rsidRDefault="009A56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8C887" w14:textId="77777777" w:rsidR="00A85218" w:rsidRDefault="00A85218" w:rsidP="00506911">
    <w:pPr>
      <w:pStyle w:val="Header"/>
    </w:pPr>
    <w:r w:rsidRPr="00586E2C">
      <w:t>Symphogen</w:t>
    </w:r>
    <w:r>
      <w:tab/>
      <w:t>Clinical Study Report</w:t>
    </w:r>
  </w:p>
  <w:p w14:paraId="6F61A4FA" w14:textId="33CF93F0" w:rsidR="00A85218" w:rsidRDefault="00A85218" w:rsidP="00506911">
    <w:pPr>
      <w:pStyle w:val="Header"/>
      <w:pBdr>
        <w:bottom w:val="single" w:sz="4" w:space="1" w:color="auto"/>
      </w:pBdr>
    </w:pPr>
    <w:r w:rsidRPr="00586E2C">
      <w:t>Sym015-01</w:t>
    </w:r>
    <w:r>
      <w:tab/>
      <w:t>CONFIDENTIAL</w:t>
    </w:r>
    <w:r>
      <w:fldChar w:fldCharType="begin"/>
    </w:r>
    <w:r>
      <w:instrText xml:space="preserve"> SUBJECT  \* MERGEFORMAT </w:instrText>
    </w:r>
    <w:r>
      <w:fldChar w:fldCharType="end"/>
    </w:r>
  </w:p>
  <w:p w14:paraId="2B340C99" w14:textId="77777777" w:rsidR="00A85218" w:rsidRDefault="00A852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77F9D" w14:textId="77777777" w:rsidR="009A5695" w:rsidRDefault="009A569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D9DE6" w14:textId="77777777" w:rsidR="00A85218" w:rsidRDefault="00A85218" w:rsidP="00202124">
    <w:pPr>
      <w:pStyle w:val="Header"/>
    </w:pPr>
    <w:r w:rsidRPr="00586E2C">
      <w:t>Symphogen</w:t>
    </w:r>
    <w:r>
      <w:tab/>
      <w:t>Clinical Study Report</w:t>
    </w:r>
  </w:p>
  <w:p w14:paraId="686F40FE" w14:textId="6EA31521" w:rsidR="00A85218" w:rsidRDefault="00A85218" w:rsidP="00202124">
    <w:pPr>
      <w:pStyle w:val="Header"/>
      <w:pBdr>
        <w:bottom w:val="single" w:sz="4" w:space="1" w:color="auto"/>
      </w:pBdr>
    </w:pPr>
    <w:r w:rsidRPr="00586E2C">
      <w:t>Sym015-01</w:t>
    </w:r>
    <w:r>
      <w:tab/>
      <w:t>CONFIDENTIAL</w:t>
    </w:r>
    <w:r>
      <w:fldChar w:fldCharType="begin"/>
    </w:r>
    <w:r>
      <w:instrText xml:space="preserve"> SUBJECT  \* MERGEFORMAT </w:instrText>
    </w:r>
    <w:r>
      <w:fldChar w:fldCharType="end"/>
    </w:r>
  </w:p>
  <w:p w14:paraId="0F1D3235" w14:textId="77777777" w:rsidR="00A85218" w:rsidRDefault="00A85218" w:rsidP="002021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809000F"/>
    <w:lvl w:ilvl="0">
      <w:start w:val="1"/>
      <w:numFmt w:val="decimal"/>
      <w:lvlText w:val="%1."/>
      <w:lvlJc w:val="left"/>
      <w:pPr>
        <w:ind w:left="-148" w:hanging="360"/>
      </w:pPr>
      <w:rPr>
        <w:rFonts w:hint="default"/>
      </w:rPr>
    </w:lvl>
  </w:abstractNum>
  <w:abstractNum w:abstractNumId="1" w15:restartNumberingAfterBreak="0">
    <w:nsid w:val="FFFFFFFB"/>
    <w:multiLevelType w:val="multilevel"/>
    <w:tmpl w:val="093ECDF4"/>
    <w:lvl w:ilvl="0">
      <w:start w:val="1"/>
      <w:numFmt w:val="decimal"/>
      <w:pStyle w:val="Heading1"/>
      <w:lvlText w:val="%1."/>
      <w:lvlJc w:val="left"/>
      <w:pPr>
        <w:tabs>
          <w:tab w:val="num" w:pos="1296"/>
        </w:tabs>
        <w:ind w:left="936" w:firstLine="0"/>
      </w:pPr>
      <w:rPr>
        <w:rFonts w:ascii="Times New Roman" w:hAnsi="Times New Roman" w:hint="default"/>
      </w:rPr>
    </w:lvl>
    <w:lvl w:ilvl="1">
      <w:start w:val="1"/>
      <w:numFmt w:val="decimal"/>
      <w:pStyle w:val="Heading2"/>
      <w:lvlText w:val="%1.%2"/>
      <w:lvlJc w:val="left"/>
      <w:pPr>
        <w:tabs>
          <w:tab w:val="num" w:pos="1296"/>
        </w:tabs>
        <w:ind w:left="936" w:firstLine="0"/>
      </w:pPr>
      <w:rPr>
        <w:rFonts w:ascii="Times New Roman" w:hAnsi="Times New Roman" w:hint="default"/>
      </w:rPr>
    </w:lvl>
    <w:lvl w:ilvl="2">
      <w:start w:val="1"/>
      <w:numFmt w:val="decimal"/>
      <w:pStyle w:val="Heading3"/>
      <w:lvlText w:val="%1.%2.%3"/>
      <w:lvlJc w:val="left"/>
      <w:pPr>
        <w:tabs>
          <w:tab w:val="num" w:pos="720"/>
        </w:tabs>
        <w:ind w:left="0" w:firstLine="0"/>
      </w:pPr>
      <w:rPr>
        <w:rFonts w:ascii="Times New Roman" w:hAnsi="Times New Roman" w:hint="default"/>
      </w:rPr>
    </w:lvl>
    <w:lvl w:ilvl="3">
      <w:start w:val="1"/>
      <w:numFmt w:val="decimal"/>
      <w:pStyle w:val="Heading4"/>
      <w:lvlText w:val="%1.%2.%3.%4"/>
      <w:lvlJc w:val="left"/>
      <w:pPr>
        <w:tabs>
          <w:tab w:val="num" w:pos="720"/>
        </w:tabs>
        <w:ind w:left="0" w:firstLine="0"/>
      </w:pPr>
      <w:rPr>
        <w:rFonts w:ascii="Times New Roman" w:hAnsi="Times New Roman" w:hint="default"/>
      </w:rPr>
    </w:lvl>
    <w:lvl w:ilvl="4">
      <w:start w:val="1"/>
      <w:numFmt w:val="decimal"/>
      <w:pStyle w:val="Heading5"/>
      <w:lvlText w:val="%1.%2.%3.%4.%5"/>
      <w:lvlJc w:val="left"/>
      <w:pPr>
        <w:tabs>
          <w:tab w:val="num" w:pos="0"/>
        </w:tabs>
        <w:ind w:left="0" w:firstLine="0"/>
      </w:pPr>
      <w:rPr>
        <w:rFonts w:hint="default"/>
      </w:rPr>
    </w:lvl>
    <w:lvl w:ilvl="5">
      <w:start w:val="1"/>
      <w:numFmt w:val="decimal"/>
      <w:pStyle w:val="Heading6"/>
      <w:lvlText w:val="%1.%2.%3.%4.%5.%6"/>
      <w:lvlJc w:val="left"/>
      <w:pPr>
        <w:tabs>
          <w:tab w:val="num" w:pos="0"/>
        </w:tabs>
        <w:ind w:left="0" w:firstLine="0"/>
      </w:pPr>
      <w:rPr>
        <w:rFonts w:hint="default"/>
      </w:rPr>
    </w:lvl>
    <w:lvl w:ilvl="6">
      <w:start w:val="1"/>
      <w:numFmt w:val="decimal"/>
      <w:pStyle w:val="Heading7"/>
      <w:lvlText w:val="%1.%2.%3.%4.%5.%6.%7"/>
      <w:lvlJc w:val="left"/>
      <w:pPr>
        <w:tabs>
          <w:tab w:val="num" w:pos="0"/>
        </w:tabs>
        <w:ind w:left="0" w:firstLine="0"/>
      </w:pPr>
      <w:rPr>
        <w:rFonts w:hint="default"/>
      </w:rPr>
    </w:lvl>
    <w:lvl w:ilvl="7">
      <w:start w:val="1"/>
      <w:numFmt w:val="decimal"/>
      <w:pStyle w:val="Heading8"/>
      <w:lvlText w:val="%1.%2.%3.%4.%5.%6.%7.%8"/>
      <w:lvlJc w:val="left"/>
      <w:pPr>
        <w:tabs>
          <w:tab w:val="num" w:pos="0"/>
        </w:tabs>
        <w:ind w:left="0" w:firstLine="0"/>
      </w:pPr>
      <w:rPr>
        <w:rFonts w:hint="default"/>
      </w:rPr>
    </w:lvl>
    <w:lvl w:ilvl="8">
      <w:start w:val="1"/>
      <w:numFmt w:val="decimal"/>
      <w:pStyle w:val="Heading9"/>
      <w:lvlText w:val="%1.%2.%3.%4.%5.%6.%7.%8.%9"/>
      <w:lvlJc w:val="left"/>
      <w:pPr>
        <w:tabs>
          <w:tab w:val="num" w:pos="0"/>
        </w:tabs>
        <w:ind w:left="0" w:firstLine="0"/>
      </w:pPr>
      <w:rPr>
        <w:rFonts w:hint="default"/>
      </w:rPr>
    </w:lvl>
  </w:abstractNum>
  <w:abstractNum w:abstractNumId="2" w15:restartNumberingAfterBreak="0">
    <w:nsid w:val="000B4F5B"/>
    <w:multiLevelType w:val="hybridMultilevel"/>
    <w:tmpl w:val="C3E84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790777"/>
    <w:multiLevelType w:val="hybridMultilevel"/>
    <w:tmpl w:val="8E5AA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ABF6908"/>
    <w:multiLevelType w:val="hybridMultilevel"/>
    <w:tmpl w:val="6700037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180855"/>
    <w:multiLevelType w:val="hybridMultilevel"/>
    <w:tmpl w:val="493CD5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D45688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40E20"/>
    <w:multiLevelType w:val="hybridMultilevel"/>
    <w:tmpl w:val="A9325C4E"/>
    <w:lvl w:ilvl="0" w:tplc="19C2797A">
      <w:start w:val="8025"/>
      <w:numFmt w:val="bullet"/>
      <w:lvlText w:val="-"/>
      <w:lvlJc w:val="left"/>
      <w:pPr>
        <w:ind w:left="720" w:hanging="360"/>
      </w:pPr>
      <w:rPr>
        <w:rFonts w:ascii="Calibri" w:eastAsia="Times New Roman" w:hAnsi="Calibri"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7" w15:restartNumberingAfterBreak="0">
    <w:nsid w:val="196F5F8C"/>
    <w:multiLevelType w:val="hybridMultilevel"/>
    <w:tmpl w:val="493CD5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D45688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C9541C"/>
    <w:multiLevelType w:val="hybridMultilevel"/>
    <w:tmpl w:val="EF4E3A76"/>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B1879"/>
    <w:multiLevelType w:val="hybridMultilevel"/>
    <w:tmpl w:val="493CD5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D45688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E97AAD"/>
    <w:multiLevelType w:val="hybridMultilevel"/>
    <w:tmpl w:val="712AD4EA"/>
    <w:lvl w:ilvl="0" w:tplc="92F8DA9C">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65B2EA1"/>
    <w:multiLevelType w:val="hybridMultilevel"/>
    <w:tmpl w:val="1AC6965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A94E94"/>
    <w:multiLevelType w:val="singleLevel"/>
    <w:tmpl w:val="0409000F"/>
    <w:lvl w:ilvl="0">
      <w:start w:val="1"/>
      <w:numFmt w:val="decimal"/>
      <w:lvlText w:val="%1."/>
      <w:lvlJc w:val="left"/>
      <w:pPr>
        <w:ind w:left="212" w:hanging="360"/>
      </w:pPr>
    </w:lvl>
  </w:abstractNum>
  <w:abstractNum w:abstractNumId="13" w15:restartNumberingAfterBreak="0">
    <w:nsid w:val="2ADB5CD7"/>
    <w:multiLevelType w:val="hybridMultilevel"/>
    <w:tmpl w:val="F6A83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B15F45"/>
    <w:multiLevelType w:val="hybridMultilevel"/>
    <w:tmpl w:val="37CE5A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4C1F16"/>
    <w:multiLevelType w:val="hybridMultilevel"/>
    <w:tmpl w:val="712AD4EA"/>
    <w:lvl w:ilvl="0" w:tplc="92F8DA9C">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4A3FFB"/>
    <w:multiLevelType w:val="hybridMultilevel"/>
    <w:tmpl w:val="6700037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2E3812"/>
    <w:multiLevelType w:val="hybridMultilevel"/>
    <w:tmpl w:val="81EE04B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394C9B"/>
    <w:multiLevelType w:val="hybridMultilevel"/>
    <w:tmpl w:val="6DB08A8A"/>
    <w:lvl w:ilvl="0" w:tplc="630889AC">
      <w:start w:val="1"/>
      <w:numFmt w:val="decimal"/>
      <w:lvlText w:val="%1)"/>
      <w:lvlJc w:val="left"/>
      <w:pPr>
        <w:ind w:left="360" w:hanging="360"/>
      </w:pPr>
      <w:rPr>
        <w:sz w:val="16"/>
        <w:szCs w:val="1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38F8405E"/>
    <w:multiLevelType w:val="hybridMultilevel"/>
    <w:tmpl w:val="BA9C9C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532F5F"/>
    <w:multiLevelType w:val="hybridMultilevel"/>
    <w:tmpl w:val="712AD4EA"/>
    <w:lvl w:ilvl="0" w:tplc="92F8DA9C">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4AE1396"/>
    <w:multiLevelType w:val="hybridMultilevel"/>
    <w:tmpl w:val="37A63C90"/>
    <w:lvl w:ilvl="0" w:tplc="0809000F">
      <w:start w:val="1"/>
      <w:numFmt w:val="decimal"/>
      <w:lvlText w:val="%1."/>
      <w:lvlJc w:val="left"/>
      <w:pPr>
        <w:ind w:left="734" w:hanging="360"/>
      </w:p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22" w15:restartNumberingAfterBreak="0">
    <w:nsid w:val="46F3208A"/>
    <w:multiLevelType w:val="hybridMultilevel"/>
    <w:tmpl w:val="712AD4EA"/>
    <w:lvl w:ilvl="0" w:tplc="92F8DA9C">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D5B657F"/>
    <w:multiLevelType w:val="hybridMultilevel"/>
    <w:tmpl w:val="C3F42122"/>
    <w:lvl w:ilvl="0" w:tplc="8BA6F5A2">
      <w:start w:val="1"/>
      <w:numFmt w:val="bullet"/>
      <w:pStyle w:val="ListBulleted"/>
      <w:lvlText w:val=""/>
      <w:lvlJc w:val="left"/>
      <w:pPr>
        <w:tabs>
          <w:tab w:val="num" w:pos="360"/>
        </w:tabs>
        <w:ind w:left="360" w:hanging="360"/>
      </w:pPr>
      <w:rPr>
        <w:rFonts w:ascii="Symbol" w:hAnsi="Symbol" w:cs="Times New Roman"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2D030D7"/>
    <w:multiLevelType w:val="hybridMultilevel"/>
    <w:tmpl w:val="493CD5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D45688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AA7474"/>
    <w:multiLevelType w:val="hybridMultilevel"/>
    <w:tmpl w:val="493CD5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D45688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045F71"/>
    <w:multiLevelType w:val="hybridMultilevel"/>
    <w:tmpl w:val="9CA2A25A"/>
    <w:lvl w:ilvl="0" w:tplc="77D498B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8905967"/>
    <w:multiLevelType w:val="hybridMultilevel"/>
    <w:tmpl w:val="3EA229B8"/>
    <w:lvl w:ilvl="0" w:tplc="E7B0EE5C">
      <w:start w:val="1"/>
      <w:numFmt w:val="bullet"/>
      <w:pStyle w:val="BulletList1"/>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1304B3"/>
    <w:multiLevelType w:val="hybridMultilevel"/>
    <w:tmpl w:val="6700037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B964ADF"/>
    <w:multiLevelType w:val="hybridMultilevel"/>
    <w:tmpl w:val="493CD5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D45688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780ECD"/>
    <w:multiLevelType w:val="hybridMultilevel"/>
    <w:tmpl w:val="FD14A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8D46CE"/>
    <w:multiLevelType w:val="singleLevel"/>
    <w:tmpl w:val="0409000F"/>
    <w:lvl w:ilvl="0">
      <w:start w:val="1"/>
      <w:numFmt w:val="decimal"/>
      <w:lvlText w:val="%1."/>
      <w:lvlJc w:val="left"/>
      <w:pPr>
        <w:ind w:left="212" w:hanging="360"/>
      </w:pPr>
    </w:lvl>
  </w:abstractNum>
  <w:abstractNum w:abstractNumId="32" w15:restartNumberingAfterBreak="0">
    <w:nsid w:val="609E5B04"/>
    <w:multiLevelType w:val="hybridMultilevel"/>
    <w:tmpl w:val="BA6C51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25F1CC8"/>
    <w:multiLevelType w:val="singleLevel"/>
    <w:tmpl w:val="0809000F"/>
    <w:lvl w:ilvl="0">
      <w:start w:val="1"/>
      <w:numFmt w:val="decimal"/>
      <w:lvlText w:val="%1."/>
      <w:lvlJc w:val="left"/>
      <w:pPr>
        <w:ind w:left="-148" w:hanging="360"/>
      </w:pPr>
      <w:rPr>
        <w:rFonts w:hint="default"/>
      </w:rPr>
    </w:lvl>
  </w:abstractNum>
  <w:abstractNum w:abstractNumId="34" w15:restartNumberingAfterBreak="0">
    <w:nsid w:val="62FA58E8"/>
    <w:multiLevelType w:val="hybridMultilevel"/>
    <w:tmpl w:val="493CD5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D45688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0D6EEE"/>
    <w:multiLevelType w:val="hybridMultilevel"/>
    <w:tmpl w:val="F56A9526"/>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97A30C6"/>
    <w:multiLevelType w:val="hybridMultilevel"/>
    <w:tmpl w:val="712AD4EA"/>
    <w:lvl w:ilvl="0" w:tplc="92F8DA9C">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A1D2FA4"/>
    <w:multiLevelType w:val="hybridMultilevel"/>
    <w:tmpl w:val="D42A05E4"/>
    <w:lvl w:ilvl="0" w:tplc="36D62368">
      <w:start w:val="1"/>
      <w:numFmt w:val="bullet"/>
      <w:pStyle w:val="BulletList2"/>
      <w:lvlText w:val="­"/>
      <w:lvlJc w:val="left"/>
      <w:pPr>
        <w:tabs>
          <w:tab w:val="num" w:pos="700"/>
        </w:tabs>
        <w:ind w:left="700" w:hanging="360"/>
      </w:pPr>
      <w:rPr>
        <w:rFonts w:ascii="Times New Roman" w:hAnsi="Times New Roman" w:cs="Times New Roman" w:hint="default"/>
      </w:rPr>
    </w:lvl>
    <w:lvl w:ilvl="1" w:tplc="04090003">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38" w15:restartNumberingAfterBreak="0">
    <w:nsid w:val="6AB1444B"/>
    <w:multiLevelType w:val="hybridMultilevel"/>
    <w:tmpl w:val="7264E16A"/>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9" w15:restartNumberingAfterBreak="0">
    <w:nsid w:val="6C2A5076"/>
    <w:multiLevelType w:val="hybridMultilevel"/>
    <w:tmpl w:val="712AD4EA"/>
    <w:lvl w:ilvl="0" w:tplc="92F8DA9C">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BAA0064"/>
    <w:multiLevelType w:val="hybridMultilevel"/>
    <w:tmpl w:val="6DB08A8A"/>
    <w:lvl w:ilvl="0" w:tplc="630889AC">
      <w:start w:val="1"/>
      <w:numFmt w:val="decimal"/>
      <w:lvlText w:val="%1)"/>
      <w:lvlJc w:val="left"/>
      <w:pPr>
        <w:ind w:left="360" w:hanging="360"/>
      </w:pPr>
      <w:rPr>
        <w:sz w:val="16"/>
        <w:szCs w:val="1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7D9A6297"/>
    <w:multiLevelType w:val="hybridMultilevel"/>
    <w:tmpl w:val="C5FAAB6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1004407">
    <w:abstractNumId w:val="1"/>
  </w:num>
  <w:num w:numId="2" w16cid:durableId="2026976485">
    <w:abstractNumId w:val="27"/>
  </w:num>
  <w:num w:numId="3" w16cid:durableId="85151844">
    <w:abstractNumId w:val="37"/>
  </w:num>
  <w:num w:numId="4" w16cid:durableId="660154871">
    <w:abstractNumId w:val="23"/>
  </w:num>
  <w:num w:numId="5" w16cid:durableId="469054266">
    <w:abstractNumId w:val="15"/>
    <w:lvlOverride w:ilvl="0">
      <w:startOverride w:val="1"/>
    </w:lvlOverride>
  </w:num>
  <w:num w:numId="6" w16cid:durableId="1621065228">
    <w:abstractNumId w:val="29"/>
  </w:num>
  <w:num w:numId="7" w16cid:durableId="318004099">
    <w:abstractNumId w:val="13"/>
  </w:num>
  <w:num w:numId="8" w16cid:durableId="5463312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7645151">
    <w:abstractNumId w:val="3"/>
  </w:num>
  <w:num w:numId="10" w16cid:durableId="15992127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10240713">
    <w:abstractNumId w:val="32"/>
  </w:num>
  <w:num w:numId="12" w16cid:durableId="574167557">
    <w:abstractNumId w:val="0"/>
  </w:num>
  <w:num w:numId="13" w16cid:durableId="477646625">
    <w:abstractNumId w:val="24"/>
  </w:num>
  <w:num w:numId="14" w16cid:durableId="899706338">
    <w:abstractNumId w:val="7"/>
  </w:num>
  <w:num w:numId="15" w16cid:durableId="263464904">
    <w:abstractNumId w:val="34"/>
  </w:num>
  <w:num w:numId="16" w16cid:durableId="619801140">
    <w:abstractNumId w:val="25"/>
  </w:num>
  <w:num w:numId="17" w16cid:durableId="1062411442">
    <w:abstractNumId w:val="9"/>
  </w:num>
  <w:num w:numId="18" w16cid:durableId="1048534469">
    <w:abstractNumId w:val="39"/>
  </w:num>
  <w:num w:numId="19" w16cid:durableId="164708929">
    <w:abstractNumId w:val="10"/>
  </w:num>
  <w:num w:numId="20" w16cid:durableId="1655719932">
    <w:abstractNumId w:val="22"/>
  </w:num>
  <w:num w:numId="21" w16cid:durableId="1754545672">
    <w:abstractNumId w:val="36"/>
  </w:num>
  <w:num w:numId="22" w16cid:durableId="942882099">
    <w:abstractNumId w:val="20"/>
  </w:num>
  <w:num w:numId="23" w16cid:durableId="1766345681">
    <w:abstractNumId w:val="37"/>
  </w:num>
  <w:num w:numId="24" w16cid:durableId="10025101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73975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76888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3404967">
    <w:abstractNumId w:val="11"/>
  </w:num>
  <w:num w:numId="28" w16cid:durableId="946961855">
    <w:abstractNumId w:val="5"/>
  </w:num>
  <w:num w:numId="29" w16cid:durableId="1487819817">
    <w:abstractNumId w:val="26"/>
  </w:num>
  <w:num w:numId="30" w16cid:durableId="23676813">
    <w:abstractNumId w:val="30"/>
  </w:num>
  <w:num w:numId="31" w16cid:durableId="1082919333">
    <w:abstractNumId w:val="12"/>
  </w:num>
  <w:num w:numId="32" w16cid:durableId="1195116129">
    <w:abstractNumId w:val="35"/>
  </w:num>
  <w:num w:numId="33" w16cid:durableId="1414473145">
    <w:abstractNumId w:val="4"/>
  </w:num>
  <w:num w:numId="34" w16cid:durableId="1955286826">
    <w:abstractNumId w:val="28"/>
  </w:num>
  <w:num w:numId="35" w16cid:durableId="405541816">
    <w:abstractNumId w:val="31"/>
  </w:num>
  <w:num w:numId="36" w16cid:durableId="398794597">
    <w:abstractNumId w:val="17"/>
  </w:num>
  <w:num w:numId="37" w16cid:durableId="1474525717">
    <w:abstractNumId w:val="38"/>
  </w:num>
  <w:num w:numId="38" w16cid:durableId="989141982">
    <w:abstractNumId w:val="19"/>
  </w:num>
  <w:num w:numId="39" w16cid:durableId="590313871">
    <w:abstractNumId w:val="2"/>
  </w:num>
  <w:num w:numId="40" w16cid:durableId="1945722980">
    <w:abstractNumId w:val="27"/>
  </w:num>
  <w:num w:numId="41" w16cid:durableId="440222755">
    <w:abstractNumId w:val="27"/>
  </w:num>
  <w:num w:numId="42" w16cid:durableId="1038702330">
    <w:abstractNumId w:val="27"/>
  </w:num>
  <w:num w:numId="43" w16cid:durableId="52971857">
    <w:abstractNumId w:val="27"/>
  </w:num>
  <w:num w:numId="44" w16cid:durableId="1971126385">
    <w:abstractNumId w:val="21"/>
  </w:num>
  <w:num w:numId="45" w16cid:durableId="2068794144">
    <w:abstractNumId w:val="6"/>
  </w:num>
  <w:num w:numId="46" w16cid:durableId="1306471637">
    <w:abstractNumId w:val="27"/>
  </w:num>
  <w:num w:numId="47" w16cid:durableId="490490190">
    <w:abstractNumId w:val="8"/>
  </w:num>
  <w:num w:numId="48" w16cid:durableId="1024013532">
    <w:abstractNumId w:val="1"/>
  </w:num>
  <w:num w:numId="49" w16cid:durableId="1523979393">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ECF"/>
    <w:rsid w:val="00001448"/>
    <w:rsid w:val="0000158F"/>
    <w:rsid w:val="00002528"/>
    <w:rsid w:val="00002EB1"/>
    <w:rsid w:val="00003557"/>
    <w:rsid w:val="00003B43"/>
    <w:rsid w:val="00003CF3"/>
    <w:rsid w:val="00003DC4"/>
    <w:rsid w:val="0000466A"/>
    <w:rsid w:val="00004D96"/>
    <w:rsid w:val="0000569E"/>
    <w:rsid w:val="0000626F"/>
    <w:rsid w:val="000064E8"/>
    <w:rsid w:val="0000698B"/>
    <w:rsid w:val="000071B4"/>
    <w:rsid w:val="00007400"/>
    <w:rsid w:val="00007546"/>
    <w:rsid w:val="00007B39"/>
    <w:rsid w:val="00007D45"/>
    <w:rsid w:val="00010611"/>
    <w:rsid w:val="0001128D"/>
    <w:rsid w:val="0001129C"/>
    <w:rsid w:val="0001132C"/>
    <w:rsid w:val="0001238D"/>
    <w:rsid w:val="000124C9"/>
    <w:rsid w:val="000125FC"/>
    <w:rsid w:val="000125FE"/>
    <w:rsid w:val="0001265F"/>
    <w:rsid w:val="00012BC6"/>
    <w:rsid w:val="000130F3"/>
    <w:rsid w:val="0001313E"/>
    <w:rsid w:val="0001337E"/>
    <w:rsid w:val="0001346A"/>
    <w:rsid w:val="000139DB"/>
    <w:rsid w:val="0001497A"/>
    <w:rsid w:val="00014D2A"/>
    <w:rsid w:val="00014E39"/>
    <w:rsid w:val="00015909"/>
    <w:rsid w:val="00015A55"/>
    <w:rsid w:val="00015D1A"/>
    <w:rsid w:val="00015E52"/>
    <w:rsid w:val="00015FAA"/>
    <w:rsid w:val="000161A0"/>
    <w:rsid w:val="0001629D"/>
    <w:rsid w:val="000164E4"/>
    <w:rsid w:val="00016EA2"/>
    <w:rsid w:val="0001703E"/>
    <w:rsid w:val="00017366"/>
    <w:rsid w:val="000178EF"/>
    <w:rsid w:val="00017C41"/>
    <w:rsid w:val="00020843"/>
    <w:rsid w:val="00020E76"/>
    <w:rsid w:val="00021049"/>
    <w:rsid w:val="000212E5"/>
    <w:rsid w:val="00021D75"/>
    <w:rsid w:val="00021DA9"/>
    <w:rsid w:val="000222F6"/>
    <w:rsid w:val="00022E80"/>
    <w:rsid w:val="00023408"/>
    <w:rsid w:val="000238FB"/>
    <w:rsid w:val="00023CA4"/>
    <w:rsid w:val="00023ECB"/>
    <w:rsid w:val="00023FDD"/>
    <w:rsid w:val="000245B2"/>
    <w:rsid w:val="000245C9"/>
    <w:rsid w:val="000253FA"/>
    <w:rsid w:val="00025EDC"/>
    <w:rsid w:val="00026417"/>
    <w:rsid w:val="00026812"/>
    <w:rsid w:val="00026862"/>
    <w:rsid w:val="00027478"/>
    <w:rsid w:val="00027575"/>
    <w:rsid w:val="00027789"/>
    <w:rsid w:val="00027AFA"/>
    <w:rsid w:val="00027C0E"/>
    <w:rsid w:val="00027C37"/>
    <w:rsid w:val="00030094"/>
    <w:rsid w:val="0003043C"/>
    <w:rsid w:val="000305A6"/>
    <w:rsid w:val="00030BCB"/>
    <w:rsid w:val="000310A8"/>
    <w:rsid w:val="00031370"/>
    <w:rsid w:val="000318D9"/>
    <w:rsid w:val="0003269B"/>
    <w:rsid w:val="00032820"/>
    <w:rsid w:val="00032C7B"/>
    <w:rsid w:val="00032FC6"/>
    <w:rsid w:val="00033B5B"/>
    <w:rsid w:val="00033C6F"/>
    <w:rsid w:val="0003478E"/>
    <w:rsid w:val="0003493C"/>
    <w:rsid w:val="00035658"/>
    <w:rsid w:val="00035B6D"/>
    <w:rsid w:val="000363FD"/>
    <w:rsid w:val="0004068C"/>
    <w:rsid w:val="00041054"/>
    <w:rsid w:val="00041247"/>
    <w:rsid w:val="000413B6"/>
    <w:rsid w:val="000414F2"/>
    <w:rsid w:val="000418CB"/>
    <w:rsid w:val="00041B3B"/>
    <w:rsid w:val="00041DA6"/>
    <w:rsid w:val="0004212E"/>
    <w:rsid w:val="00043053"/>
    <w:rsid w:val="000430DF"/>
    <w:rsid w:val="000433D6"/>
    <w:rsid w:val="00043793"/>
    <w:rsid w:val="00044076"/>
    <w:rsid w:val="0004443B"/>
    <w:rsid w:val="0004448C"/>
    <w:rsid w:val="0004452A"/>
    <w:rsid w:val="00044D33"/>
    <w:rsid w:val="00044F43"/>
    <w:rsid w:val="0004563F"/>
    <w:rsid w:val="000457D3"/>
    <w:rsid w:val="00046A90"/>
    <w:rsid w:val="00046B05"/>
    <w:rsid w:val="00046B94"/>
    <w:rsid w:val="000470B2"/>
    <w:rsid w:val="0004763B"/>
    <w:rsid w:val="000476E9"/>
    <w:rsid w:val="00047FCB"/>
    <w:rsid w:val="0005035E"/>
    <w:rsid w:val="00050C3A"/>
    <w:rsid w:val="00050DB1"/>
    <w:rsid w:val="0005129B"/>
    <w:rsid w:val="000512D3"/>
    <w:rsid w:val="0005192B"/>
    <w:rsid w:val="00051A07"/>
    <w:rsid w:val="00052B26"/>
    <w:rsid w:val="00052B71"/>
    <w:rsid w:val="00053814"/>
    <w:rsid w:val="00054450"/>
    <w:rsid w:val="000544AC"/>
    <w:rsid w:val="00054ED1"/>
    <w:rsid w:val="00055007"/>
    <w:rsid w:val="00055313"/>
    <w:rsid w:val="00055402"/>
    <w:rsid w:val="000558E9"/>
    <w:rsid w:val="00055ACB"/>
    <w:rsid w:val="00056E61"/>
    <w:rsid w:val="00056EAD"/>
    <w:rsid w:val="00057635"/>
    <w:rsid w:val="00057814"/>
    <w:rsid w:val="00057974"/>
    <w:rsid w:val="00060069"/>
    <w:rsid w:val="00060EC9"/>
    <w:rsid w:val="000618F2"/>
    <w:rsid w:val="0006192A"/>
    <w:rsid w:val="00061C5C"/>
    <w:rsid w:val="00062B15"/>
    <w:rsid w:val="00062E59"/>
    <w:rsid w:val="00063077"/>
    <w:rsid w:val="00063839"/>
    <w:rsid w:val="00063A6D"/>
    <w:rsid w:val="00063CB8"/>
    <w:rsid w:val="00063E2F"/>
    <w:rsid w:val="00063FF4"/>
    <w:rsid w:val="00064854"/>
    <w:rsid w:val="00065356"/>
    <w:rsid w:val="00066D2A"/>
    <w:rsid w:val="00066F10"/>
    <w:rsid w:val="00066FDD"/>
    <w:rsid w:val="00067345"/>
    <w:rsid w:val="0006796F"/>
    <w:rsid w:val="00067BA6"/>
    <w:rsid w:val="00067F14"/>
    <w:rsid w:val="000704A7"/>
    <w:rsid w:val="000706D4"/>
    <w:rsid w:val="00070EAD"/>
    <w:rsid w:val="00071483"/>
    <w:rsid w:val="0007174A"/>
    <w:rsid w:val="0007183E"/>
    <w:rsid w:val="00071F98"/>
    <w:rsid w:val="000720C1"/>
    <w:rsid w:val="00072833"/>
    <w:rsid w:val="00072DC8"/>
    <w:rsid w:val="00072F5C"/>
    <w:rsid w:val="000733EA"/>
    <w:rsid w:val="00073505"/>
    <w:rsid w:val="000735BF"/>
    <w:rsid w:val="0007380B"/>
    <w:rsid w:val="00073838"/>
    <w:rsid w:val="000740F3"/>
    <w:rsid w:val="000742A5"/>
    <w:rsid w:val="00074359"/>
    <w:rsid w:val="00074DB1"/>
    <w:rsid w:val="00074DE1"/>
    <w:rsid w:val="00074E73"/>
    <w:rsid w:val="00074F46"/>
    <w:rsid w:val="00075587"/>
    <w:rsid w:val="00075FA8"/>
    <w:rsid w:val="000765D7"/>
    <w:rsid w:val="0007664C"/>
    <w:rsid w:val="0007666A"/>
    <w:rsid w:val="00076A24"/>
    <w:rsid w:val="0007751A"/>
    <w:rsid w:val="00080106"/>
    <w:rsid w:val="000809F6"/>
    <w:rsid w:val="00080FB7"/>
    <w:rsid w:val="00081346"/>
    <w:rsid w:val="00082031"/>
    <w:rsid w:val="000824C0"/>
    <w:rsid w:val="00082A18"/>
    <w:rsid w:val="00082AC5"/>
    <w:rsid w:val="00082D0E"/>
    <w:rsid w:val="00083D5E"/>
    <w:rsid w:val="00084A7F"/>
    <w:rsid w:val="00084DF2"/>
    <w:rsid w:val="00085B3B"/>
    <w:rsid w:val="0008603F"/>
    <w:rsid w:val="00086093"/>
    <w:rsid w:val="0008627F"/>
    <w:rsid w:val="000862B4"/>
    <w:rsid w:val="00086DC9"/>
    <w:rsid w:val="00086E58"/>
    <w:rsid w:val="000871EF"/>
    <w:rsid w:val="00087669"/>
    <w:rsid w:val="00087801"/>
    <w:rsid w:val="00087BCD"/>
    <w:rsid w:val="000900C2"/>
    <w:rsid w:val="00091F84"/>
    <w:rsid w:val="00092227"/>
    <w:rsid w:val="00092B30"/>
    <w:rsid w:val="000930E5"/>
    <w:rsid w:val="00093A9D"/>
    <w:rsid w:val="00093ED9"/>
    <w:rsid w:val="00094044"/>
    <w:rsid w:val="00094107"/>
    <w:rsid w:val="000945F2"/>
    <w:rsid w:val="00094ABA"/>
    <w:rsid w:val="00094D8C"/>
    <w:rsid w:val="00094F0E"/>
    <w:rsid w:val="00095399"/>
    <w:rsid w:val="000957CD"/>
    <w:rsid w:val="00095838"/>
    <w:rsid w:val="0009583C"/>
    <w:rsid w:val="00095C4A"/>
    <w:rsid w:val="00095D73"/>
    <w:rsid w:val="00095DDE"/>
    <w:rsid w:val="0009606B"/>
    <w:rsid w:val="000966F9"/>
    <w:rsid w:val="0009688F"/>
    <w:rsid w:val="00096E25"/>
    <w:rsid w:val="0009740C"/>
    <w:rsid w:val="00097894"/>
    <w:rsid w:val="000A08A4"/>
    <w:rsid w:val="000A18BA"/>
    <w:rsid w:val="000A18C6"/>
    <w:rsid w:val="000A1E40"/>
    <w:rsid w:val="000A2127"/>
    <w:rsid w:val="000A23D9"/>
    <w:rsid w:val="000A2526"/>
    <w:rsid w:val="000A258B"/>
    <w:rsid w:val="000A27A0"/>
    <w:rsid w:val="000A29B8"/>
    <w:rsid w:val="000A2B01"/>
    <w:rsid w:val="000A3BA6"/>
    <w:rsid w:val="000A3F14"/>
    <w:rsid w:val="000A4107"/>
    <w:rsid w:val="000A44D5"/>
    <w:rsid w:val="000A4F99"/>
    <w:rsid w:val="000A5399"/>
    <w:rsid w:val="000A5F3F"/>
    <w:rsid w:val="000A6242"/>
    <w:rsid w:val="000A77AF"/>
    <w:rsid w:val="000A7FDA"/>
    <w:rsid w:val="000B0C38"/>
    <w:rsid w:val="000B0CA5"/>
    <w:rsid w:val="000B1324"/>
    <w:rsid w:val="000B2215"/>
    <w:rsid w:val="000B2B26"/>
    <w:rsid w:val="000B2B68"/>
    <w:rsid w:val="000B2DE0"/>
    <w:rsid w:val="000B3127"/>
    <w:rsid w:val="000B388F"/>
    <w:rsid w:val="000B494B"/>
    <w:rsid w:val="000B4DE0"/>
    <w:rsid w:val="000B4F81"/>
    <w:rsid w:val="000B60DF"/>
    <w:rsid w:val="000B61B7"/>
    <w:rsid w:val="000B6351"/>
    <w:rsid w:val="000C0133"/>
    <w:rsid w:val="000C0555"/>
    <w:rsid w:val="000C059E"/>
    <w:rsid w:val="000C075A"/>
    <w:rsid w:val="000C0962"/>
    <w:rsid w:val="000C0C6B"/>
    <w:rsid w:val="000C1250"/>
    <w:rsid w:val="000C1941"/>
    <w:rsid w:val="000C1AEE"/>
    <w:rsid w:val="000C1C8B"/>
    <w:rsid w:val="000C2380"/>
    <w:rsid w:val="000C2AE8"/>
    <w:rsid w:val="000C2C37"/>
    <w:rsid w:val="000C3817"/>
    <w:rsid w:val="000C3D9B"/>
    <w:rsid w:val="000C4098"/>
    <w:rsid w:val="000C4314"/>
    <w:rsid w:val="000C480C"/>
    <w:rsid w:val="000C487E"/>
    <w:rsid w:val="000C4EE6"/>
    <w:rsid w:val="000C4F33"/>
    <w:rsid w:val="000C51E6"/>
    <w:rsid w:val="000C56FD"/>
    <w:rsid w:val="000C5EED"/>
    <w:rsid w:val="000C6061"/>
    <w:rsid w:val="000C6A1E"/>
    <w:rsid w:val="000C6AE9"/>
    <w:rsid w:val="000C6E11"/>
    <w:rsid w:val="000C6FC4"/>
    <w:rsid w:val="000C708F"/>
    <w:rsid w:val="000C717B"/>
    <w:rsid w:val="000C74A9"/>
    <w:rsid w:val="000C7801"/>
    <w:rsid w:val="000C7835"/>
    <w:rsid w:val="000C78BD"/>
    <w:rsid w:val="000C7E53"/>
    <w:rsid w:val="000D111F"/>
    <w:rsid w:val="000D1206"/>
    <w:rsid w:val="000D2179"/>
    <w:rsid w:val="000D23EB"/>
    <w:rsid w:val="000D2627"/>
    <w:rsid w:val="000D29D3"/>
    <w:rsid w:val="000D3596"/>
    <w:rsid w:val="000D3968"/>
    <w:rsid w:val="000D39A3"/>
    <w:rsid w:val="000D3FF6"/>
    <w:rsid w:val="000D4478"/>
    <w:rsid w:val="000D46BA"/>
    <w:rsid w:val="000D4FB0"/>
    <w:rsid w:val="000D5229"/>
    <w:rsid w:val="000D613D"/>
    <w:rsid w:val="000D6AE7"/>
    <w:rsid w:val="000D72AE"/>
    <w:rsid w:val="000D75AE"/>
    <w:rsid w:val="000D79CC"/>
    <w:rsid w:val="000D7AFB"/>
    <w:rsid w:val="000D7B52"/>
    <w:rsid w:val="000E0004"/>
    <w:rsid w:val="000E001A"/>
    <w:rsid w:val="000E0164"/>
    <w:rsid w:val="000E02D3"/>
    <w:rsid w:val="000E0396"/>
    <w:rsid w:val="000E0A72"/>
    <w:rsid w:val="000E107C"/>
    <w:rsid w:val="000E2C0A"/>
    <w:rsid w:val="000E2C38"/>
    <w:rsid w:val="000E3125"/>
    <w:rsid w:val="000E3A4D"/>
    <w:rsid w:val="000E3D9A"/>
    <w:rsid w:val="000E4061"/>
    <w:rsid w:val="000E411A"/>
    <w:rsid w:val="000E41A0"/>
    <w:rsid w:val="000E429E"/>
    <w:rsid w:val="000E434F"/>
    <w:rsid w:val="000E4556"/>
    <w:rsid w:val="000E4754"/>
    <w:rsid w:val="000E4D6E"/>
    <w:rsid w:val="000E53F6"/>
    <w:rsid w:val="000E5502"/>
    <w:rsid w:val="000E5DC1"/>
    <w:rsid w:val="000E5ED0"/>
    <w:rsid w:val="000E5EEF"/>
    <w:rsid w:val="000E652F"/>
    <w:rsid w:val="000E6625"/>
    <w:rsid w:val="000E667E"/>
    <w:rsid w:val="000F02C6"/>
    <w:rsid w:val="000F07C0"/>
    <w:rsid w:val="000F0940"/>
    <w:rsid w:val="000F1A78"/>
    <w:rsid w:val="000F1BB0"/>
    <w:rsid w:val="000F2343"/>
    <w:rsid w:val="000F23D4"/>
    <w:rsid w:val="000F2CE1"/>
    <w:rsid w:val="000F2E23"/>
    <w:rsid w:val="000F2E86"/>
    <w:rsid w:val="000F37A0"/>
    <w:rsid w:val="000F39FE"/>
    <w:rsid w:val="000F3CFC"/>
    <w:rsid w:val="000F43A8"/>
    <w:rsid w:val="000F44C2"/>
    <w:rsid w:val="000F4828"/>
    <w:rsid w:val="000F550B"/>
    <w:rsid w:val="000F565B"/>
    <w:rsid w:val="000F596E"/>
    <w:rsid w:val="000F5E2F"/>
    <w:rsid w:val="000F60C8"/>
    <w:rsid w:val="000F63AB"/>
    <w:rsid w:val="000F6CE0"/>
    <w:rsid w:val="000F6F1F"/>
    <w:rsid w:val="000F7017"/>
    <w:rsid w:val="000F7689"/>
    <w:rsid w:val="000F7C5B"/>
    <w:rsid w:val="000F7F15"/>
    <w:rsid w:val="000F7F96"/>
    <w:rsid w:val="001007EE"/>
    <w:rsid w:val="0010085D"/>
    <w:rsid w:val="00100B12"/>
    <w:rsid w:val="00100E78"/>
    <w:rsid w:val="00101666"/>
    <w:rsid w:val="001018D3"/>
    <w:rsid w:val="00101902"/>
    <w:rsid w:val="00101C7C"/>
    <w:rsid w:val="00101F85"/>
    <w:rsid w:val="00102091"/>
    <w:rsid w:val="001027EE"/>
    <w:rsid w:val="00103379"/>
    <w:rsid w:val="00103676"/>
    <w:rsid w:val="001039CE"/>
    <w:rsid w:val="00103FE7"/>
    <w:rsid w:val="00104254"/>
    <w:rsid w:val="0010472B"/>
    <w:rsid w:val="0010505B"/>
    <w:rsid w:val="00105356"/>
    <w:rsid w:val="00105E9E"/>
    <w:rsid w:val="00106137"/>
    <w:rsid w:val="00106522"/>
    <w:rsid w:val="001065AE"/>
    <w:rsid w:val="00106715"/>
    <w:rsid w:val="00106B9A"/>
    <w:rsid w:val="00106BD8"/>
    <w:rsid w:val="00106E1F"/>
    <w:rsid w:val="00107423"/>
    <w:rsid w:val="00107907"/>
    <w:rsid w:val="00107B3B"/>
    <w:rsid w:val="00107ED9"/>
    <w:rsid w:val="00111086"/>
    <w:rsid w:val="00111629"/>
    <w:rsid w:val="00111A71"/>
    <w:rsid w:val="00111FEE"/>
    <w:rsid w:val="00113292"/>
    <w:rsid w:val="001133C2"/>
    <w:rsid w:val="00113B51"/>
    <w:rsid w:val="001140A5"/>
    <w:rsid w:val="0011426E"/>
    <w:rsid w:val="001147FE"/>
    <w:rsid w:val="00114AF5"/>
    <w:rsid w:val="00114BAE"/>
    <w:rsid w:val="00114DC8"/>
    <w:rsid w:val="00114FD1"/>
    <w:rsid w:val="0011517F"/>
    <w:rsid w:val="001157A9"/>
    <w:rsid w:val="00115833"/>
    <w:rsid w:val="00115E88"/>
    <w:rsid w:val="00116350"/>
    <w:rsid w:val="00116485"/>
    <w:rsid w:val="00117073"/>
    <w:rsid w:val="001175FD"/>
    <w:rsid w:val="00117D5A"/>
    <w:rsid w:val="001203A3"/>
    <w:rsid w:val="00120BD5"/>
    <w:rsid w:val="00120C69"/>
    <w:rsid w:val="00121175"/>
    <w:rsid w:val="00121358"/>
    <w:rsid w:val="00121E1C"/>
    <w:rsid w:val="00122069"/>
    <w:rsid w:val="0012218C"/>
    <w:rsid w:val="00122588"/>
    <w:rsid w:val="001228CE"/>
    <w:rsid w:val="00123C02"/>
    <w:rsid w:val="00123E4C"/>
    <w:rsid w:val="001249C7"/>
    <w:rsid w:val="00125C27"/>
    <w:rsid w:val="00125C60"/>
    <w:rsid w:val="00125DFB"/>
    <w:rsid w:val="00127190"/>
    <w:rsid w:val="001273B9"/>
    <w:rsid w:val="00127B74"/>
    <w:rsid w:val="00127B7A"/>
    <w:rsid w:val="00127F9F"/>
    <w:rsid w:val="00130318"/>
    <w:rsid w:val="001304A3"/>
    <w:rsid w:val="001312EB"/>
    <w:rsid w:val="001312F8"/>
    <w:rsid w:val="001321D0"/>
    <w:rsid w:val="00132813"/>
    <w:rsid w:val="00132B27"/>
    <w:rsid w:val="00132D17"/>
    <w:rsid w:val="00132F89"/>
    <w:rsid w:val="00133384"/>
    <w:rsid w:val="00133BBF"/>
    <w:rsid w:val="00134487"/>
    <w:rsid w:val="0013477C"/>
    <w:rsid w:val="00134CFF"/>
    <w:rsid w:val="001354A2"/>
    <w:rsid w:val="00135C5D"/>
    <w:rsid w:val="00135D28"/>
    <w:rsid w:val="00135ED8"/>
    <w:rsid w:val="0013605B"/>
    <w:rsid w:val="001361DE"/>
    <w:rsid w:val="00136C03"/>
    <w:rsid w:val="00136E22"/>
    <w:rsid w:val="00136E78"/>
    <w:rsid w:val="00137169"/>
    <w:rsid w:val="00137714"/>
    <w:rsid w:val="0013784F"/>
    <w:rsid w:val="001403CE"/>
    <w:rsid w:val="001404BD"/>
    <w:rsid w:val="0014093F"/>
    <w:rsid w:val="00140985"/>
    <w:rsid w:val="00140AB0"/>
    <w:rsid w:val="001412AB"/>
    <w:rsid w:val="00141407"/>
    <w:rsid w:val="00142157"/>
    <w:rsid w:val="00142891"/>
    <w:rsid w:val="00142AC1"/>
    <w:rsid w:val="00142D87"/>
    <w:rsid w:val="00143F96"/>
    <w:rsid w:val="00144240"/>
    <w:rsid w:val="0014438A"/>
    <w:rsid w:val="0014481E"/>
    <w:rsid w:val="001449C8"/>
    <w:rsid w:val="00144A48"/>
    <w:rsid w:val="00145206"/>
    <w:rsid w:val="0014571B"/>
    <w:rsid w:val="00145838"/>
    <w:rsid w:val="00147364"/>
    <w:rsid w:val="00147B1C"/>
    <w:rsid w:val="00147D17"/>
    <w:rsid w:val="00150033"/>
    <w:rsid w:val="00150080"/>
    <w:rsid w:val="00150293"/>
    <w:rsid w:val="00151019"/>
    <w:rsid w:val="001512D9"/>
    <w:rsid w:val="00151CC1"/>
    <w:rsid w:val="0015214D"/>
    <w:rsid w:val="00152215"/>
    <w:rsid w:val="00152D46"/>
    <w:rsid w:val="00152DA6"/>
    <w:rsid w:val="0015381F"/>
    <w:rsid w:val="001539FD"/>
    <w:rsid w:val="00153DF2"/>
    <w:rsid w:val="00153FF9"/>
    <w:rsid w:val="00154167"/>
    <w:rsid w:val="00154B4B"/>
    <w:rsid w:val="00154C8C"/>
    <w:rsid w:val="0015537F"/>
    <w:rsid w:val="001557AB"/>
    <w:rsid w:val="00155F01"/>
    <w:rsid w:val="001560E4"/>
    <w:rsid w:val="001567CD"/>
    <w:rsid w:val="00156C52"/>
    <w:rsid w:val="00156E50"/>
    <w:rsid w:val="00157073"/>
    <w:rsid w:val="001576FE"/>
    <w:rsid w:val="00157B2F"/>
    <w:rsid w:val="001602BE"/>
    <w:rsid w:val="00160586"/>
    <w:rsid w:val="001614CF"/>
    <w:rsid w:val="0016172F"/>
    <w:rsid w:val="00161A40"/>
    <w:rsid w:val="00161A5B"/>
    <w:rsid w:val="00162245"/>
    <w:rsid w:val="00162398"/>
    <w:rsid w:val="00162A87"/>
    <w:rsid w:val="00162E1C"/>
    <w:rsid w:val="00162EC5"/>
    <w:rsid w:val="00163CD4"/>
    <w:rsid w:val="00163FBA"/>
    <w:rsid w:val="00163FFF"/>
    <w:rsid w:val="00164E2B"/>
    <w:rsid w:val="00165604"/>
    <w:rsid w:val="00165AE6"/>
    <w:rsid w:val="00165CC0"/>
    <w:rsid w:val="0016678D"/>
    <w:rsid w:val="001668A0"/>
    <w:rsid w:val="00166F22"/>
    <w:rsid w:val="00166FC2"/>
    <w:rsid w:val="0016739E"/>
    <w:rsid w:val="00167515"/>
    <w:rsid w:val="00167DD6"/>
    <w:rsid w:val="00167E9E"/>
    <w:rsid w:val="001703A1"/>
    <w:rsid w:val="001707EA"/>
    <w:rsid w:val="00170ADC"/>
    <w:rsid w:val="00170B9B"/>
    <w:rsid w:val="00170BE3"/>
    <w:rsid w:val="00170BED"/>
    <w:rsid w:val="00171A5D"/>
    <w:rsid w:val="00171B1B"/>
    <w:rsid w:val="00172109"/>
    <w:rsid w:val="00172451"/>
    <w:rsid w:val="00173098"/>
    <w:rsid w:val="001736B0"/>
    <w:rsid w:val="00173D01"/>
    <w:rsid w:val="00173F6E"/>
    <w:rsid w:val="00173F73"/>
    <w:rsid w:val="00174835"/>
    <w:rsid w:val="00174A04"/>
    <w:rsid w:val="00174E69"/>
    <w:rsid w:val="001751CB"/>
    <w:rsid w:val="001754F1"/>
    <w:rsid w:val="001767E4"/>
    <w:rsid w:val="00176ACE"/>
    <w:rsid w:val="00176DD1"/>
    <w:rsid w:val="0017734B"/>
    <w:rsid w:val="00177D20"/>
    <w:rsid w:val="00177E00"/>
    <w:rsid w:val="001803F9"/>
    <w:rsid w:val="001806E9"/>
    <w:rsid w:val="0018080A"/>
    <w:rsid w:val="0018083A"/>
    <w:rsid w:val="00180EAB"/>
    <w:rsid w:val="00181102"/>
    <w:rsid w:val="0018249A"/>
    <w:rsid w:val="00182B2C"/>
    <w:rsid w:val="00182C61"/>
    <w:rsid w:val="001831B1"/>
    <w:rsid w:val="001832DD"/>
    <w:rsid w:val="001836EF"/>
    <w:rsid w:val="00183B11"/>
    <w:rsid w:val="0018585C"/>
    <w:rsid w:val="00185AA4"/>
    <w:rsid w:val="00185C35"/>
    <w:rsid w:val="00185DA4"/>
    <w:rsid w:val="00186B86"/>
    <w:rsid w:val="00186D09"/>
    <w:rsid w:val="00186DC9"/>
    <w:rsid w:val="00186FC9"/>
    <w:rsid w:val="001873CB"/>
    <w:rsid w:val="00190655"/>
    <w:rsid w:val="00191DAB"/>
    <w:rsid w:val="00192A82"/>
    <w:rsid w:val="00192A9E"/>
    <w:rsid w:val="00193A11"/>
    <w:rsid w:val="0019450B"/>
    <w:rsid w:val="00194C5C"/>
    <w:rsid w:val="00194D9A"/>
    <w:rsid w:val="0019548A"/>
    <w:rsid w:val="00196E1B"/>
    <w:rsid w:val="001975D3"/>
    <w:rsid w:val="00197B0E"/>
    <w:rsid w:val="00197BD3"/>
    <w:rsid w:val="001A0294"/>
    <w:rsid w:val="001A079D"/>
    <w:rsid w:val="001A126F"/>
    <w:rsid w:val="001A1763"/>
    <w:rsid w:val="001A1BE0"/>
    <w:rsid w:val="001A20F1"/>
    <w:rsid w:val="001A2368"/>
    <w:rsid w:val="001A2906"/>
    <w:rsid w:val="001A2ACA"/>
    <w:rsid w:val="001A3178"/>
    <w:rsid w:val="001A5904"/>
    <w:rsid w:val="001A5DFA"/>
    <w:rsid w:val="001A6F15"/>
    <w:rsid w:val="001A701E"/>
    <w:rsid w:val="001A70CD"/>
    <w:rsid w:val="001A7101"/>
    <w:rsid w:val="001A7A21"/>
    <w:rsid w:val="001A7B2F"/>
    <w:rsid w:val="001B00AE"/>
    <w:rsid w:val="001B03ED"/>
    <w:rsid w:val="001B05C4"/>
    <w:rsid w:val="001B0729"/>
    <w:rsid w:val="001B09EA"/>
    <w:rsid w:val="001B0B9D"/>
    <w:rsid w:val="001B14E3"/>
    <w:rsid w:val="001B1536"/>
    <w:rsid w:val="001B1D7D"/>
    <w:rsid w:val="001B2657"/>
    <w:rsid w:val="001B2798"/>
    <w:rsid w:val="001B29AE"/>
    <w:rsid w:val="001B2BD9"/>
    <w:rsid w:val="001B2F7D"/>
    <w:rsid w:val="001B3798"/>
    <w:rsid w:val="001B393A"/>
    <w:rsid w:val="001B3EE6"/>
    <w:rsid w:val="001B3F25"/>
    <w:rsid w:val="001B3FEF"/>
    <w:rsid w:val="001B4CB1"/>
    <w:rsid w:val="001B57FC"/>
    <w:rsid w:val="001B58F3"/>
    <w:rsid w:val="001B61CB"/>
    <w:rsid w:val="001B62EB"/>
    <w:rsid w:val="001B63A2"/>
    <w:rsid w:val="001B6712"/>
    <w:rsid w:val="001B78E0"/>
    <w:rsid w:val="001B7B81"/>
    <w:rsid w:val="001B7E10"/>
    <w:rsid w:val="001B7EEE"/>
    <w:rsid w:val="001C173E"/>
    <w:rsid w:val="001C1CAB"/>
    <w:rsid w:val="001C4662"/>
    <w:rsid w:val="001C499C"/>
    <w:rsid w:val="001C4CA6"/>
    <w:rsid w:val="001C4EE6"/>
    <w:rsid w:val="001C4FAE"/>
    <w:rsid w:val="001C51ED"/>
    <w:rsid w:val="001C60C9"/>
    <w:rsid w:val="001C6596"/>
    <w:rsid w:val="001C66E4"/>
    <w:rsid w:val="001C6772"/>
    <w:rsid w:val="001C7FEA"/>
    <w:rsid w:val="001D0131"/>
    <w:rsid w:val="001D018E"/>
    <w:rsid w:val="001D05F3"/>
    <w:rsid w:val="001D06BE"/>
    <w:rsid w:val="001D08BC"/>
    <w:rsid w:val="001D0C4A"/>
    <w:rsid w:val="001D28FF"/>
    <w:rsid w:val="001D2E10"/>
    <w:rsid w:val="001D35B1"/>
    <w:rsid w:val="001D3F24"/>
    <w:rsid w:val="001D4A60"/>
    <w:rsid w:val="001D4B43"/>
    <w:rsid w:val="001D4EB7"/>
    <w:rsid w:val="001D557F"/>
    <w:rsid w:val="001D584C"/>
    <w:rsid w:val="001D5910"/>
    <w:rsid w:val="001D6001"/>
    <w:rsid w:val="001D60AE"/>
    <w:rsid w:val="001D6905"/>
    <w:rsid w:val="001D6BFA"/>
    <w:rsid w:val="001D776D"/>
    <w:rsid w:val="001D7780"/>
    <w:rsid w:val="001E02B4"/>
    <w:rsid w:val="001E0364"/>
    <w:rsid w:val="001E06F3"/>
    <w:rsid w:val="001E0B8A"/>
    <w:rsid w:val="001E1BA6"/>
    <w:rsid w:val="001E1C1E"/>
    <w:rsid w:val="001E1F19"/>
    <w:rsid w:val="001E2163"/>
    <w:rsid w:val="001E21F2"/>
    <w:rsid w:val="001E25C3"/>
    <w:rsid w:val="001E296E"/>
    <w:rsid w:val="001E2A53"/>
    <w:rsid w:val="001E3D4E"/>
    <w:rsid w:val="001E4AC6"/>
    <w:rsid w:val="001E4BE5"/>
    <w:rsid w:val="001E4F54"/>
    <w:rsid w:val="001E5AA5"/>
    <w:rsid w:val="001E5AB7"/>
    <w:rsid w:val="001E5B73"/>
    <w:rsid w:val="001E631B"/>
    <w:rsid w:val="001E689C"/>
    <w:rsid w:val="001E735C"/>
    <w:rsid w:val="001E74D8"/>
    <w:rsid w:val="001E74F9"/>
    <w:rsid w:val="001F0BFC"/>
    <w:rsid w:val="001F14C6"/>
    <w:rsid w:val="001F16B4"/>
    <w:rsid w:val="001F2670"/>
    <w:rsid w:val="001F276E"/>
    <w:rsid w:val="001F2E9D"/>
    <w:rsid w:val="001F351B"/>
    <w:rsid w:val="001F378F"/>
    <w:rsid w:val="001F4228"/>
    <w:rsid w:val="001F4BDD"/>
    <w:rsid w:val="001F50DD"/>
    <w:rsid w:val="001F52A4"/>
    <w:rsid w:val="001F5DD1"/>
    <w:rsid w:val="001F6251"/>
    <w:rsid w:val="001F68CC"/>
    <w:rsid w:val="001F6974"/>
    <w:rsid w:val="001F69E9"/>
    <w:rsid w:val="001F6B51"/>
    <w:rsid w:val="001F6F78"/>
    <w:rsid w:val="001F73A3"/>
    <w:rsid w:val="002004C8"/>
    <w:rsid w:val="00200A0A"/>
    <w:rsid w:val="00200A8C"/>
    <w:rsid w:val="00200B2D"/>
    <w:rsid w:val="00200B89"/>
    <w:rsid w:val="00200EE4"/>
    <w:rsid w:val="00201208"/>
    <w:rsid w:val="002014A9"/>
    <w:rsid w:val="00201C28"/>
    <w:rsid w:val="00201EBA"/>
    <w:rsid w:val="00202065"/>
    <w:rsid w:val="00202124"/>
    <w:rsid w:val="002024D9"/>
    <w:rsid w:val="00202606"/>
    <w:rsid w:val="00202BCB"/>
    <w:rsid w:val="002030E1"/>
    <w:rsid w:val="00203D6D"/>
    <w:rsid w:val="00203E1A"/>
    <w:rsid w:val="00204073"/>
    <w:rsid w:val="00204082"/>
    <w:rsid w:val="002042E6"/>
    <w:rsid w:val="00204C32"/>
    <w:rsid w:val="00204D30"/>
    <w:rsid w:val="00205044"/>
    <w:rsid w:val="00205D02"/>
    <w:rsid w:val="00206062"/>
    <w:rsid w:val="00206D9E"/>
    <w:rsid w:val="00207247"/>
    <w:rsid w:val="002104A8"/>
    <w:rsid w:val="002105E8"/>
    <w:rsid w:val="0021071A"/>
    <w:rsid w:val="00210A07"/>
    <w:rsid w:val="00211330"/>
    <w:rsid w:val="002118DB"/>
    <w:rsid w:val="00211B33"/>
    <w:rsid w:val="00211E60"/>
    <w:rsid w:val="00212549"/>
    <w:rsid w:val="0021284F"/>
    <w:rsid w:val="002132BC"/>
    <w:rsid w:val="00213685"/>
    <w:rsid w:val="00214587"/>
    <w:rsid w:val="002147E4"/>
    <w:rsid w:val="002148C8"/>
    <w:rsid w:val="00214C5A"/>
    <w:rsid w:val="00215229"/>
    <w:rsid w:val="002157CA"/>
    <w:rsid w:val="00215D59"/>
    <w:rsid w:val="00215FBB"/>
    <w:rsid w:val="00216341"/>
    <w:rsid w:val="00216D22"/>
    <w:rsid w:val="00216D5C"/>
    <w:rsid w:val="00216EB5"/>
    <w:rsid w:val="00217340"/>
    <w:rsid w:val="002178CF"/>
    <w:rsid w:val="00217C43"/>
    <w:rsid w:val="00220629"/>
    <w:rsid w:val="002206D8"/>
    <w:rsid w:val="00220CF2"/>
    <w:rsid w:val="00220E94"/>
    <w:rsid w:val="0022137C"/>
    <w:rsid w:val="00221667"/>
    <w:rsid w:val="00221B7F"/>
    <w:rsid w:val="00221C50"/>
    <w:rsid w:val="00222231"/>
    <w:rsid w:val="00222E2D"/>
    <w:rsid w:val="00222E68"/>
    <w:rsid w:val="00223A96"/>
    <w:rsid w:val="00223CEE"/>
    <w:rsid w:val="00223E50"/>
    <w:rsid w:val="00223F55"/>
    <w:rsid w:val="00224212"/>
    <w:rsid w:val="0022467C"/>
    <w:rsid w:val="00224A80"/>
    <w:rsid w:val="00224AAD"/>
    <w:rsid w:val="00224D3D"/>
    <w:rsid w:val="002253B2"/>
    <w:rsid w:val="002257DC"/>
    <w:rsid w:val="00225B30"/>
    <w:rsid w:val="00225BD5"/>
    <w:rsid w:val="002262DC"/>
    <w:rsid w:val="002265C3"/>
    <w:rsid w:val="002272A0"/>
    <w:rsid w:val="0022748E"/>
    <w:rsid w:val="00227B15"/>
    <w:rsid w:val="00230136"/>
    <w:rsid w:val="00230717"/>
    <w:rsid w:val="002315CD"/>
    <w:rsid w:val="00231832"/>
    <w:rsid w:val="00231C18"/>
    <w:rsid w:val="00231F0A"/>
    <w:rsid w:val="00232EBA"/>
    <w:rsid w:val="00234457"/>
    <w:rsid w:val="00234640"/>
    <w:rsid w:val="002346DD"/>
    <w:rsid w:val="0023482D"/>
    <w:rsid w:val="00234DE5"/>
    <w:rsid w:val="00234EF7"/>
    <w:rsid w:val="00235B42"/>
    <w:rsid w:val="002361C5"/>
    <w:rsid w:val="00236244"/>
    <w:rsid w:val="0023655D"/>
    <w:rsid w:val="00236BED"/>
    <w:rsid w:val="00237213"/>
    <w:rsid w:val="002373C6"/>
    <w:rsid w:val="00237527"/>
    <w:rsid w:val="0023763D"/>
    <w:rsid w:val="00240AE9"/>
    <w:rsid w:val="00240C64"/>
    <w:rsid w:val="00240EB8"/>
    <w:rsid w:val="002413E9"/>
    <w:rsid w:val="002433F1"/>
    <w:rsid w:val="00244923"/>
    <w:rsid w:val="002458E8"/>
    <w:rsid w:val="00245D8C"/>
    <w:rsid w:val="002466EC"/>
    <w:rsid w:val="00246B4E"/>
    <w:rsid w:val="00247537"/>
    <w:rsid w:val="0024786E"/>
    <w:rsid w:val="0025044C"/>
    <w:rsid w:val="002508AF"/>
    <w:rsid w:val="00250D77"/>
    <w:rsid w:val="0025139F"/>
    <w:rsid w:val="002524CC"/>
    <w:rsid w:val="00252D50"/>
    <w:rsid w:val="00252D9E"/>
    <w:rsid w:val="00252EE0"/>
    <w:rsid w:val="002533DE"/>
    <w:rsid w:val="00253CF7"/>
    <w:rsid w:val="00253DAD"/>
    <w:rsid w:val="00254620"/>
    <w:rsid w:val="00255E0B"/>
    <w:rsid w:val="002564E9"/>
    <w:rsid w:val="00256871"/>
    <w:rsid w:val="00256902"/>
    <w:rsid w:val="00257144"/>
    <w:rsid w:val="002573D7"/>
    <w:rsid w:val="00257BA4"/>
    <w:rsid w:val="00257CB6"/>
    <w:rsid w:val="00257D28"/>
    <w:rsid w:val="00260027"/>
    <w:rsid w:val="0026082C"/>
    <w:rsid w:val="002611E6"/>
    <w:rsid w:val="0026148C"/>
    <w:rsid w:val="00261528"/>
    <w:rsid w:val="002616D1"/>
    <w:rsid w:val="002616FB"/>
    <w:rsid w:val="00262738"/>
    <w:rsid w:val="00262C7B"/>
    <w:rsid w:val="00263411"/>
    <w:rsid w:val="00263905"/>
    <w:rsid w:val="002639A6"/>
    <w:rsid w:val="00263C33"/>
    <w:rsid w:val="0026491D"/>
    <w:rsid w:val="0026600A"/>
    <w:rsid w:val="0026653A"/>
    <w:rsid w:val="002675B1"/>
    <w:rsid w:val="0026762C"/>
    <w:rsid w:val="002677FC"/>
    <w:rsid w:val="00267D02"/>
    <w:rsid w:val="002700D0"/>
    <w:rsid w:val="00270B06"/>
    <w:rsid w:val="00270E9E"/>
    <w:rsid w:val="002714EB"/>
    <w:rsid w:val="0027162A"/>
    <w:rsid w:val="00272966"/>
    <w:rsid w:val="0027298C"/>
    <w:rsid w:val="00272BFC"/>
    <w:rsid w:val="00273970"/>
    <w:rsid w:val="0027437F"/>
    <w:rsid w:val="00274431"/>
    <w:rsid w:val="0027486D"/>
    <w:rsid w:val="0027499E"/>
    <w:rsid w:val="00274C48"/>
    <w:rsid w:val="00274FCD"/>
    <w:rsid w:val="0027592A"/>
    <w:rsid w:val="00275C7F"/>
    <w:rsid w:val="002767EE"/>
    <w:rsid w:val="00277013"/>
    <w:rsid w:val="00280241"/>
    <w:rsid w:val="002802D3"/>
    <w:rsid w:val="00280890"/>
    <w:rsid w:val="002809E1"/>
    <w:rsid w:val="00280B94"/>
    <w:rsid w:val="00280EF9"/>
    <w:rsid w:val="00280F10"/>
    <w:rsid w:val="00280F74"/>
    <w:rsid w:val="00280FF5"/>
    <w:rsid w:val="00281000"/>
    <w:rsid w:val="002811BD"/>
    <w:rsid w:val="00281B16"/>
    <w:rsid w:val="00282994"/>
    <w:rsid w:val="00282A54"/>
    <w:rsid w:val="00283640"/>
    <w:rsid w:val="002838A9"/>
    <w:rsid w:val="00285416"/>
    <w:rsid w:val="00285AC3"/>
    <w:rsid w:val="00286517"/>
    <w:rsid w:val="00287245"/>
    <w:rsid w:val="00287301"/>
    <w:rsid w:val="00287600"/>
    <w:rsid w:val="0029005E"/>
    <w:rsid w:val="0029098D"/>
    <w:rsid w:val="00290CDF"/>
    <w:rsid w:val="00291163"/>
    <w:rsid w:val="002913FB"/>
    <w:rsid w:val="002919E7"/>
    <w:rsid w:val="00291AA9"/>
    <w:rsid w:val="00291E85"/>
    <w:rsid w:val="00292B39"/>
    <w:rsid w:val="00293099"/>
    <w:rsid w:val="002931E0"/>
    <w:rsid w:val="002934B5"/>
    <w:rsid w:val="00293978"/>
    <w:rsid w:val="002941FD"/>
    <w:rsid w:val="00295043"/>
    <w:rsid w:val="00295168"/>
    <w:rsid w:val="002953D0"/>
    <w:rsid w:val="002953EC"/>
    <w:rsid w:val="00295C6D"/>
    <w:rsid w:val="00295D4D"/>
    <w:rsid w:val="00295D6B"/>
    <w:rsid w:val="002965CB"/>
    <w:rsid w:val="00296990"/>
    <w:rsid w:val="002972D5"/>
    <w:rsid w:val="00297C03"/>
    <w:rsid w:val="00297D27"/>
    <w:rsid w:val="002A0207"/>
    <w:rsid w:val="002A064F"/>
    <w:rsid w:val="002A08E6"/>
    <w:rsid w:val="002A0BA0"/>
    <w:rsid w:val="002A0CD9"/>
    <w:rsid w:val="002A0CE3"/>
    <w:rsid w:val="002A0EEC"/>
    <w:rsid w:val="002A0FCE"/>
    <w:rsid w:val="002A18AE"/>
    <w:rsid w:val="002A1E8C"/>
    <w:rsid w:val="002A208C"/>
    <w:rsid w:val="002A2E49"/>
    <w:rsid w:val="002A36C1"/>
    <w:rsid w:val="002A37ED"/>
    <w:rsid w:val="002A3AFF"/>
    <w:rsid w:val="002A3FA1"/>
    <w:rsid w:val="002A4A46"/>
    <w:rsid w:val="002A4B8E"/>
    <w:rsid w:val="002A542E"/>
    <w:rsid w:val="002A5662"/>
    <w:rsid w:val="002A599E"/>
    <w:rsid w:val="002A6684"/>
    <w:rsid w:val="002A680B"/>
    <w:rsid w:val="002A69D6"/>
    <w:rsid w:val="002A6DC2"/>
    <w:rsid w:val="002A6FFC"/>
    <w:rsid w:val="002A7151"/>
    <w:rsid w:val="002A72FA"/>
    <w:rsid w:val="002A7422"/>
    <w:rsid w:val="002A75C7"/>
    <w:rsid w:val="002A77B0"/>
    <w:rsid w:val="002A79D5"/>
    <w:rsid w:val="002A7D4E"/>
    <w:rsid w:val="002B04A5"/>
    <w:rsid w:val="002B09F3"/>
    <w:rsid w:val="002B0AB2"/>
    <w:rsid w:val="002B0CA5"/>
    <w:rsid w:val="002B0E95"/>
    <w:rsid w:val="002B121F"/>
    <w:rsid w:val="002B1263"/>
    <w:rsid w:val="002B1622"/>
    <w:rsid w:val="002B17DF"/>
    <w:rsid w:val="002B190F"/>
    <w:rsid w:val="002B1C95"/>
    <w:rsid w:val="002B223A"/>
    <w:rsid w:val="002B243A"/>
    <w:rsid w:val="002B272B"/>
    <w:rsid w:val="002B288A"/>
    <w:rsid w:val="002B301F"/>
    <w:rsid w:val="002B3F17"/>
    <w:rsid w:val="002B48F0"/>
    <w:rsid w:val="002B4BF4"/>
    <w:rsid w:val="002B5382"/>
    <w:rsid w:val="002B5B77"/>
    <w:rsid w:val="002B5C55"/>
    <w:rsid w:val="002B5F84"/>
    <w:rsid w:val="002B5FA6"/>
    <w:rsid w:val="002B6123"/>
    <w:rsid w:val="002B6228"/>
    <w:rsid w:val="002B687A"/>
    <w:rsid w:val="002B7728"/>
    <w:rsid w:val="002C049D"/>
    <w:rsid w:val="002C051D"/>
    <w:rsid w:val="002C067F"/>
    <w:rsid w:val="002C082D"/>
    <w:rsid w:val="002C0A33"/>
    <w:rsid w:val="002C1D4F"/>
    <w:rsid w:val="002C20F1"/>
    <w:rsid w:val="002C24DD"/>
    <w:rsid w:val="002C28F3"/>
    <w:rsid w:val="002C291D"/>
    <w:rsid w:val="002C343A"/>
    <w:rsid w:val="002C3587"/>
    <w:rsid w:val="002C3EDB"/>
    <w:rsid w:val="002C3F2E"/>
    <w:rsid w:val="002C4010"/>
    <w:rsid w:val="002C408F"/>
    <w:rsid w:val="002C444C"/>
    <w:rsid w:val="002C49EE"/>
    <w:rsid w:val="002C4E38"/>
    <w:rsid w:val="002C4E4C"/>
    <w:rsid w:val="002C52E4"/>
    <w:rsid w:val="002C539D"/>
    <w:rsid w:val="002C545C"/>
    <w:rsid w:val="002C5B99"/>
    <w:rsid w:val="002C619E"/>
    <w:rsid w:val="002C6451"/>
    <w:rsid w:val="002C694B"/>
    <w:rsid w:val="002C7410"/>
    <w:rsid w:val="002C78F0"/>
    <w:rsid w:val="002C7D29"/>
    <w:rsid w:val="002C7D5F"/>
    <w:rsid w:val="002D062D"/>
    <w:rsid w:val="002D0A42"/>
    <w:rsid w:val="002D0EF7"/>
    <w:rsid w:val="002D201E"/>
    <w:rsid w:val="002D240D"/>
    <w:rsid w:val="002D25D3"/>
    <w:rsid w:val="002D3ACD"/>
    <w:rsid w:val="002D3F69"/>
    <w:rsid w:val="002D428C"/>
    <w:rsid w:val="002D4ADF"/>
    <w:rsid w:val="002D4C85"/>
    <w:rsid w:val="002D5EE5"/>
    <w:rsid w:val="002D5F0E"/>
    <w:rsid w:val="002D611A"/>
    <w:rsid w:val="002D6318"/>
    <w:rsid w:val="002D6A1D"/>
    <w:rsid w:val="002D787A"/>
    <w:rsid w:val="002D7CE3"/>
    <w:rsid w:val="002E001B"/>
    <w:rsid w:val="002E099F"/>
    <w:rsid w:val="002E0B8C"/>
    <w:rsid w:val="002E0C37"/>
    <w:rsid w:val="002E12FD"/>
    <w:rsid w:val="002E1D9E"/>
    <w:rsid w:val="002E1E87"/>
    <w:rsid w:val="002E20DD"/>
    <w:rsid w:val="002E28C0"/>
    <w:rsid w:val="002E3082"/>
    <w:rsid w:val="002E34EC"/>
    <w:rsid w:val="002E3703"/>
    <w:rsid w:val="002E3BB5"/>
    <w:rsid w:val="002E3D9F"/>
    <w:rsid w:val="002E52BC"/>
    <w:rsid w:val="002E5B85"/>
    <w:rsid w:val="002E62AE"/>
    <w:rsid w:val="002E64F2"/>
    <w:rsid w:val="002E68A3"/>
    <w:rsid w:val="002E7C1C"/>
    <w:rsid w:val="002E7D17"/>
    <w:rsid w:val="002E7FD1"/>
    <w:rsid w:val="002F011B"/>
    <w:rsid w:val="002F0370"/>
    <w:rsid w:val="002F051A"/>
    <w:rsid w:val="002F0624"/>
    <w:rsid w:val="002F07C9"/>
    <w:rsid w:val="002F0D77"/>
    <w:rsid w:val="002F12D9"/>
    <w:rsid w:val="002F1578"/>
    <w:rsid w:val="002F16C6"/>
    <w:rsid w:val="002F1A1F"/>
    <w:rsid w:val="002F205C"/>
    <w:rsid w:val="002F2BA7"/>
    <w:rsid w:val="002F2D1C"/>
    <w:rsid w:val="002F3053"/>
    <w:rsid w:val="002F3459"/>
    <w:rsid w:val="002F3C28"/>
    <w:rsid w:val="002F3D34"/>
    <w:rsid w:val="002F4025"/>
    <w:rsid w:val="002F415A"/>
    <w:rsid w:val="002F4C1E"/>
    <w:rsid w:val="002F4CA9"/>
    <w:rsid w:val="002F5445"/>
    <w:rsid w:val="002F5799"/>
    <w:rsid w:val="002F5A17"/>
    <w:rsid w:val="002F5A42"/>
    <w:rsid w:val="002F6004"/>
    <w:rsid w:val="002F6E5D"/>
    <w:rsid w:val="003009C6"/>
    <w:rsid w:val="003012DC"/>
    <w:rsid w:val="003015BF"/>
    <w:rsid w:val="00301CC4"/>
    <w:rsid w:val="00301E0F"/>
    <w:rsid w:val="00301E36"/>
    <w:rsid w:val="00302550"/>
    <w:rsid w:val="003028CF"/>
    <w:rsid w:val="003031B3"/>
    <w:rsid w:val="003034AE"/>
    <w:rsid w:val="003037C4"/>
    <w:rsid w:val="00304628"/>
    <w:rsid w:val="00304670"/>
    <w:rsid w:val="0030482B"/>
    <w:rsid w:val="00304939"/>
    <w:rsid w:val="00304A08"/>
    <w:rsid w:val="00304A98"/>
    <w:rsid w:val="00304C7A"/>
    <w:rsid w:val="00305BFB"/>
    <w:rsid w:val="00306162"/>
    <w:rsid w:val="00306274"/>
    <w:rsid w:val="003064FC"/>
    <w:rsid w:val="003065FE"/>
    <w:rsid w:val="003068D6"/>
    <w:rsid w:val="00306BEC"/>
    <w:rsid w:val="0030710F"/>
    <w:rsid w:val="00307B13"/>
    <w:rsid w:val="00307F7E"/>
    <w:rsid w:val="00310628"/>
    <w:rsid w:val="00310963"/>
    <w:rsid w:val="00310FAE"/>
    <w:rsid w:val="0031122B"/>
    <w:rsid w:val="003115A7"/>
    <w:rsid w:val="00311F8C"/>
    <w:rsid w:val="00312120"/>
    <w:rsid w:val="0031336D"/>
    <w:rsid w:val="0031341C"/>
    <w:rsid w:val="003135B5"/>
    <w:rsid w:val="00313A7C"/>
    <w:rsid w:val="00313AD4"/>
    <w:rsid w:val="00313E0F"/>
    <w:rsid w:val="00314A62"/>
    <w:rsid w:val="00315204"/>
    <w:rsid w:val="00315C1E"/>
    <w:rsid w:val="00316045"/>
    <w:rsid w:val="00316380"/>
    <w:rsid w:val="00316FD5"/>
    <w:rsid w:val="0031777F"/>
    <w:rsid w:val="00317ABC"/>
    <w:rsid w:val="00317C05"/>
    <w:rsid w:val="00317C09"/>
    <w:rsid w:val="00317C5E"/>
    <w:rsid w:val="00320141"/>
    <w:rsid w:val="00320487"/>
    <w:rsid w:val="0032107B"/>
    <w:rsid w:val="003210A2"/>
    <w:rsid w:val="003212D6"/>
    <w:rsid w:val="00321438"/>
    <w:rsid w:val="003217EF"/>
    <w:rsid w:val="00321A19"/>
    <w:rsid w:val="00322B59"/>
    <w:rsid w:val="00322B6E"/>
    <w:rsid w:val="00322BCF"/>
    <w:rsid w:val="0032339C"/>
    <w:rsid w:val="003235F8"/>
    <w:rsid w:val="00323AA0"/>
    <w:rsid w:val="00324351"/>
    <w:rsid w:val="00324674"/>
    <w:rsid w:val="003248FB"/>
    <w:rsid w:val="00325D1F"/>
    <w:rsid w:val="00326276"/>
    <w:rsid w:val="00326D3A"/>
    <w:rsid w:val="003306B0"/>
    <w:rsid w:val="00330AA5"/>
    <w:rsid w:val="0033101A"/>
    <w:rsid w:val="0033114E"/>
    <w:rsid w:val="0033195C"/>
    <w:rsid w:val="00331A01"/>
    <w:rsid w:val="00331AFF"/>
    <w:rsid w:val="00331D86"/>
    <w:rsid w:val="00332672"/>
    <w:rsid w:val="00332D58"/>
    <w:rsid w:val="00333041"/>
    <w:rsid w:val="003330A8"/>
    <w:rsid w:val="00333E44"/>
    <w:rsid w:val="00333F75"/>
    <w:rsid w:val="0033401E"/>
    <w:rsid w:val="003346C9"/>
    <w:rsid w:val="0033578C"/>
    <w:rsid w:val="00336494"/>
    <w:rsid w:val="003367F7"/>
    <w:rsid w:val="00336E85"/>
    <w:rsid w:val="003376CF"/>
    <w:rsid w:val="00337B6F"/>
    <w:rsid w:val="00337DAE"/>
    <w:rsid w:val="003400AF"/>
    <w:rsid w:val="00340824"/>
    <w:rsid w:val="00340843"/>
    <w:rsid w:val="00340A9A"/>
    <w:rsid w:val="00340FEF"/>
    <w:rsid w:val="00341397"/>
    <w:rsid w:val="003417D7"/>
    <w:rsid w:val="0034181C"/>
    <w:rsid w:val="00341981"/>
    <w:rsid w:val="00341A62"/>
    <w:rsid w:val="00341A9E"/>
    <w:rsid w:val="00341B8E"/>
    <w:rsid w:val="00342198"/>
    <w:rsid w:val="0034305C"/>
    <w:rsid w:val="0034333F"/>
    <w:rsid w:val="0034396C"/>
    <w:rsid w:val="00343EFF"/>
    <w:rsid w:val="0034464C"/>
    <w:rsid w:val="003447EB"/>
    <w:rsid w:val="003447EE"/>
    <w:rsid w:val="003448B5"/>
    <w:rsid w:val="003448BE"/>
    <w:rsid w:val="003449E4"/>
    <w:rsid w:val="00344F76"/>
    <w:rsid w:val="003452A8"/>
    <w:rsid w:val="003454A3"/>
    <w:rsid w:val="00345A2F"/>
    <w:rsid w:val="00345CD7"/>
    <w:rsid w:val="00345F70"/>
    <w:rsid w:val="00345FA8"/>
    <w:rsid w:val="0034617B"/>
    <w:rsid w:val="00346717"/>
    <w:rsid w:val="00346A12"/>
    <w:rsid w:val="00346F23"/>
    <w:rsid w:val="00347597"/>
    <w:rsid w:val="00347C8F"/>
    <w:rsid w:val="00347CEB"/>
    <w:rsid w:val="00347E94"/>
    <w:rsid w:val="00350D4D"/>
    <w:rsid w:val="00350F91"/>
    <w:rsid w:val="003516E4"/>
    <w:rsid w:val="00352406"/>
    <w:rsid w:val="0035254A"/>
    <w:rsid w:val="00352EBD"/>
    <w:rsid w:val="003532AF"/>
    <w:rsid w:val="0035359C"/>
    <w:rsid w:val="003537D2"/>
    <w:rsid w:val="00353A64"/>
    <w:rsid w:val="00353CB8"/>
    <w:rsid w:val="003544AE"/>
    <w:rsid w:val="003545CB"/>
    <w:rsid w:val="00354673"/>
    <w:rsid w:val="0035483A"/>
    <w:rsid w:val="00354844"/>
    <w:rsid w:val="00354D55"/>
    <w:rsid w:val="00354F7B"/>
    <w:rsid w:val="00355651"/>
    <w:rsid w:val="00356917"/>
    <w:rsid w:val="00356A03"/>
    <w:rsid w:val="00357607"/>
    <w:rsid w:val="003578BA"/>
    <w:rsid w:val="00357F90"/>
    <w:rsid w:val="003615D3"/>
    <w:rsid w:val="003615FD"/>
    <w:rsid w:val="00362525"/>
    <w:rsid w:val="00362585"/>
    <w:rsid w:val="003634B0"/>
    <w:rsid w:val="00363D71"/>
    <w:rsid w:val="00364779"/>
    <w:rsid w:val="00364781"/>
    <w:rsid w:val="00364D42"/>
    <w:rsid w:val="00365E8B"/>
    <w:rsid w:val="00366320"/>
    <w:rsid w:val="00366DB5"/>
    <w:rsid w:val="00366EA8"/>
    <w:rsid w:val="00367468"/>
    <w:rsid w:val="0036772B"/>
    <w:rsid w:val="00367F53"/>
    <w:rsid w:val="003700E3"/>
    <w:rsid w:val="003706CC"/>
    <w:rsid w:val="00370D2C"/>
    <w:rsid w:val="003710F3"/>
    <w:rsid w:val="00371235"/>
    <w:rsid w:val="0037185B"/>
    <w:rsid w:val="003718D4"/>
    <w:rsid w:val="00371ADD"/>
    <w:rsid w:val="00373192"/>
    <w:rsid w:val="00373427"/>
    <w:rsid w:val="0037370A"/>
    <w:rsid w:val="00373A08"/>
    <w:rsid w:val="003743EB"/>
    <w:rsid w:val="003744D0"/>
    <w:rsid w:val="003748FC"/>
    <w:rsid w:val="0037510C"/>
    <w:rsid w:val="00375907"/>
    <w:rsid w:val="003764A2"/>
    <w:rsid w:val="003771F7"/>
    <w:rsid w:val="00377A17"/>
    <w:rsid w:val="00377A1D"/>
    <w:rsid w:val="00377B96"/>
    <w:rsid w:val="00377DB2"/>
    <w:rsid w:val="0038020B"/>
    <w:rsid w:val="0038043C"/>
    <w:rsid w:val="00380F53"/>
    <w:rsid w:val="003812A0"/>
    <w:rsid w:val="00381409"/>
    <w:rsid w:val="00381946"/>
    <w:rsid w:val="00381948"/>
    <w:rsid w:val="00381ACD"/>
    <w:rsid w:val="00381DBC"/>
    <w:rsid w:val="00381F1A"/>
    <w:rsid w:val="003820CB"/>
    <w:rsid w:val="00382BD4"/>
    <w:rsid w:val="00382FA5"/>
    <w:rsid w:val="00383B58"/>
    <w:rsid w:val="00383B69"/>
    <w:rsid w:val="00384027"/>
    <w:rsid w:val="00384167"/>
    <w:rsid w:val="0038428B"/>
    <w:rsid w:val="00384522"/>
    <w:rsid w:val="00384815"/>
    <w:rsid w:val="00384A1F"/>
    <w:rsid w:val="00384A43"/>
    <w:rsid w:val="00384D9A"/>
    <w:rsid w:val="00384DFC"/>
    <w:rsid w:val="00385A2F"/>
    <w:rsid w:val="0038605F"/>
    <w:rsid w:val="0038646B"/>
    <w:rsid w:val="0038666E"/>
    <w:rsid w:val="00387169"/>
    <w:rsid w:val="003874C7"/>
    <w:rsid w:val="003902FF"/>
    <w:rsid w:val="003908FB"/>
    <w:rsid w:val="00390E19"/>
    <w:rsid w:val="0039228E"/>
    <w:rsid w:val="00392AB8"/>
    <w:rsid w:val="003937A2"/>
    <w:rsid w:val="0039394C"/>
    <w:rsid w:val="003939EF"/>
    <w:rsid w:val="00393F5D"/>
    <w:rsid w:val="00394618"/>
    <w:rsid w:val="0039535B"/>
    <w:rsid w:val="0039588E"/>
    <w:rsid w:val="00395F7D"/>
    <w:rsid w:val="00395F80"/>
    <w:rsid w:val="00396297"/>
    <w:rsid w:val="00397200"/>
    <w:rsid w:val="00397447"/>
    <w:rsid w:val="003979E7"/>
    <w:rsid w:val="00397A5E"/>
    <w:rsid w:val="00397DB6"/>
    <w:rsid w:val="003A026D"/>
    <w:rsid w:val="003A07DF"/>
    <w:rsid w:val="003A129C"/>
    <w:rsid w:val="003A12A1"/>
    <w:rsid w:val="003A1A78"/>
    <w:rsid w:val="003A274A"/>
    <w:rsid w:val="003A2C2F"/>
    <w:rsid w:val="003A2D2B"/>
    <w:rsid w:val="003A2EB8"/>
    <w:rsid w:val="003A2F20"/>
    <w:rsid w:val="003A2F4D"/>
    <w:rsid w:val="003A3623"/>
    <w:rsid w:val="003A3732"/>
    <w:rsid w:val="003A3BD7"/>
    <w:rsid w:val="003A3C0D"/>
    <w:rsid w:val="003A40BB"/>
    <w:rsid w:val="003A4BAD"/>
    <w:rsid w:val="003A4C59"/>
    <w:rsid w:val="003A4EC3"/>
    <w:rsid w:val="003A4EFE"/>
    <w:rsid w:val="003A54F3"/>
    <w:rsid w:val="003A56F5"/>
    <w:rsid w:val="003A5D1B"/>
    <w:rsid w:val="003A6BBF"/>
    <w:rsid w:val="003A7D1B"/>
    <w:rsid w:val="003B0122"/>
    <w:rsid w:val="003B0B91"/>
    <w:rsid w:val="003B128D"/>
    <w:rsid w:val="003B2424"/>
    <w:rsid w:val="003B2862"/>
    <w:rsid w:val="003B2BAA"/>
    <w:rsid w:val="003B39A7"/>
    <w:rsid w:val="003B3CA4"/>
    <w:rsid w:val="003B4523"/>
    <w:rsid w:val="003B4B91"/>
    <w:rsid w:val="003B5376"/>
    <w:rsid w:val="003B5BA5"/>
    <w:rsid w:val="003B6667"/>
    <w:rsid w:val="003B6C84"/>
    <w:rsid w:val="003B6E38"/>
    <w:rsid w:val="003B7384"/>
    <w:rsid w:val="003B7B08"/>
    <w:rsid w:val="003C052A"/>
    <w:rsid w:val="003C0E8B"/>
    <w:rsid w:val="003C14DF"/>
    <w:rsid w:val="003C14E2"/>
    <w:rsid w:val="003C233A"/>
    <w:rsid w:val="003C25BA"/>
    <w:rsid w:val="003C2CFE"/>
    <w:rsid w:val="003C3521"/>
    <w:rsid w:val="003C3701"/>
    <w:rsid w:val="003C382F"/>
    <w:rsid w:val="003C383D"/>
    <w:rsid w:val="003C39BA"/>
    <w:rsid w:val="003C413E"/>
    <w:rsid w:val="003C44A1"/>
    <w:rsid w:val="003C44D3"/>
    <w:rsid w:val="003C47A4"/>
    <w:rsid w:val="003C4993"/>
    <w:rsid w:val="003C556F"/>
    <w:rsid w:val="003C5C03"/>
    <w:rsid w:val="003C75A2"/>
    <w:rsid w:val="003D0519"/>
    <w:rsid w:val="003D0DCC"/>
    <w:rsid w:val="003D0E2F"/>
    <w:rsid w:val="003D0F35"/>
    <w:rsid w:val="003D0FCA"/>
    <w:rsid w:val="003D12B9"/>
    <w:rsid w:val="003D14B7"/>
    <w:rsid w:val="003D265F"/>
    <w:rsid w:val="003D2678"/>
    <w:rsid w:val="003D3143"/>
    <w:rsid w:val="003D3220"/>
    <w:rsid w:val="003D3602"/>
    <w:rsid w:val="003D39A1"/>
    <w:rsid w:val="003D3F2F"/>
    <w:rsid w:val="003D3F62"/>
    <w:rsid w:val="003D3FE3"/>
    <w:rsid w:val="003D4C6A"/>
    <w:rsid w:val="003D6360"/>
    <w:rsid w:val="003D637D"/>
    <w:rsid w:val="003D69A6"/>
    <w:rsid w:val="003D69E3"/>
    <w:rsid w:val="003D76C9"/>
    <w:rsid w:val="003D7EB5"/>
    <w:rsid w:val="003D7FEB"/>
    <w:rsid w:val="003E0517"/>
    <w:rsid w:val="003E08DE"/>
    <w:rsid w:val="003E0A49"/>
    <w:rsid w:val="003E0BD5"/>
    <w:rsid w:val="003E0F67"/>
    <w:rsid w:val="003E1226"/>
    <w:rsid w:val="003E182E"/>
    <w:rsid w:val="003E1885"/>
    <w:rsid w:val="003E199A"/>
    <w:rsid w:val="003E1B29"/>
    <w:rsid w:val="003E2108"/>
    <w:rsid w:val="003E25C7"/>
    <w:rsid w:val="003E268F"/>
    <w:rsid w:val="003E2813"/>
    <w:rsid w:val="003E30F4"/>
    <w:rsid w:val="003E3379"/>
    <w:rsid w:val="003E33DA"/>
    <w:rsid w:val="003E374A"/>
    <w:rsid w:val="003E3C23"/>
    <w:rsid w:val="003E3E13"/>
    <w:rsid w:val="003E46CC"/>
    <w:rsid w:val="003E5018"/>
    <w:rsid w:val="003E5D36"/>
    <w:rsid w:val="003E5E32"/>
    <w:rsid w:val="003E5ED8"/>
    <w:rsid w:val="003E5FDA"/>
    <w:rsid w:val="003E61C1"/>
    <w:rsid w:val="003E6472"/>
    <w:rsid w:val="003E6500"/>
    <w:rsid w:val="003E6AD2"/>
    <w:rsid w:val="003E7475"/>
    <w:rsid w:val="003E7F7F"/>
    <w:rsid w:val="003F0346"/>
    <w:rsid w:val="003F038A"/>
    <w:rsid w:val="003F0497"/>
    <w:rsid w:val="003F08BB"/>
    <w:rsid w:val="003F0B1F"/>
    <w:rsid w:val="003F1089"/>
    <w:rsid w:val="003F13F4"/>
    <w:rsid w:val="003F14A5"/>
    <w:rsid w:val="003F1592"/>
    <w:rsid w:val="003F1FC7"/>
    <w:rsid w:val="003F22FF"/>
    <w:rsid w:val="003F2954"/>
    <w:rsid w:val="003F302B"/>
    <w:rsid w:val="003F3F2E"/>
    <w:rsid w:val="003F4A33"/>
    <w:rsid w:val="003F546F"/>
    <w:rsid w:val="003F577A"/>
    <w:rsid w:val="003F66B3"/>
    <w:rsid w:val="003F6A6B"/>
    <w:rsid w:val="003F6A74"/>
    <w:rsid w:val="003F7A58"/>
    <w:rsid w:val="004002EA"/>
    <w:rsid w:val="004002F3"/>
    <w:rsid w:val="00401008"/>
    <w:rsid w:val="00401475"/>
    <w:rsid w:val="00401C8B"/>
    <w:rsid w:val="00401E02"/>
    <w:rsid w:val="00402165"/>
    <w:rsid w:val="00403485"/>
    <w:rsid w:val="00403865"/>
    <w:rsid w:val="0040387B"/>
    <w:rsid w:val="00403CFF"/>
    <w:rsid w:val="00403DF6"/>
    <w:rsid w:val="00404430"/>
    <w:rsid w:val="00404D40"/>
    <w:rsid w:val="00404D6E"/>
    <w:rsid w:val="00405026"/>
    <w:rsid w:val="0040586D"/>
    <w:rsid w:val="00405EB1"/>
    <w:rsid w:val="00405F87"/>
    <w:rsid w:val="0040617D"/>
    <w:rsid w:val="0040617E"/>
    <w:rsid w:val="00406848"/>
    <w:rsid w:val="004068C7"/>
    <w:rsid w:val="00406F71"/>
    <w:rsid w:val="004078B3"/>
    <w:rsid w:val="004100D8"/>
    <w:rsid w:val="0041145D"/>
    <w:rsid w:val="00412147"/>
    <w:rsid w:val="00412B50"/>
    <w:rsid w:val="00412BB0"/>
    <w:rsid w:val="00412BDB"/>
    <w:rsid w:val="00412CB8"/>
    <w:rsid w:val="00412D78"/>
    <w:rsid w:val="0041490A"/>
    <w:rsid w:val="00414C8A"/>
    <w:rsid w:val="00414CD7"/>
    <w:rsid w:val="0041518E"/>
    <w:rsid w:val="00415416"/>
    <w:rsid w:val="00415D39"/>
    <w:rsid w:val="004165E3"/>
    <w:rsid w:val="004169E5"/>
    <w:rsid w:val="00416FC6"/>
    <w:rsid w:val="00416FC9"/>
    <w:rsid w:val="004174D2"/>
    <w:rsid w:val="004201BC"/>
    <w:rsid w:val="004204EE"/>
    <w:rsid w:val="00421699"/>
    <w:rsid w:val="00421BB1"/>
    <w:rsid w:val="00422018"/>
    <w:rsid w:val="004222A0"/>
    <w:rsid w:val="00422334"/>
    <w:rsid w:val="00422B99"/>
    <w:rsid w:val="00423007"/>
    <w:rsid w:val="0042329F"/>
    <w:rsid w:val="00423B59"/>
    <w:rsid w:val="00424863"/>
    <w:rsid w:val="00424881"/>
    <w:rsid w:val="00424A75"/>
    <w:rsid w:val="00424E25"/>
    <w:rsid w:val="00425455"/>
    <w:rsid w:val="00426071"/>
    <w:rsid w:val="004260B9"/>
    <w:rsid w:val="00426138"/>
    <w:rsid w:val="0042647E"/>
    <w:rsid w:val="004268AD"/>
    <w:rsid w:val="00426AFF"/>
    <w:rsid w:val="0042728A"/>
    <w:rsid w:val="00430800"/>
    <w:rsid w:val="00430ABE"/>
    <w:rsid w:val="00431144"/>
    <w:rsid w:val="00431319"/>
    <w:rsid w:val="0043259D"/>
    <w:rsid w:val="00432707"/>
    <w:rsid w:val="00432825"/>
    <w:rsid w:val="004328F0"/>
    <w:rsid w:val="00433038"/>
    <w:rsid w:val="004336A9"/>
    <w:rsid w:val="00433BB8"/>
    <w:rsid w:val="00433C47"/>
    <w:rsid w:val="00433F79"/>
    <w:rsid w:val="0043475B"/>
    <w:rsid w:val="00434F36"/>
    <w:rsid w:val="00435046"/>
    <w:rsid w:val="00435131"/>
    <w:rsid w:val="004356EC"/>
    <w:rsid w:val="004358E2"/>
    <w:rsid w:val="004360CC"/>
    <w:rsid w:val="00436276"/>
    <w:rsid w:val="004364E5"/>
    <w:rsid w:val="00436649"/>
    <w:rsid w:val="0043791C"/>
    <w:rsid w:val="00440638"/>
    <w:rsid w:val="004407B9"/>
    <w:rsid w:val="004407DF"/>
    <w:rsid w:val="00440EDA"/>
    <w:rsid w:val="00441335"/>
    <w:rsid w:val="0044157E"/>
    <w:rsid w:val="0044181F"/>
    <w:rsid w:val="00441E2C"/>
    <w:rsid w:val="004439C6"/>
    <w:rsid w:val="00443CF2"/>
    <w:rsid w:val="004440D5"/>
    <w:rsid w:val="00444389"/>
    <w:rsid w:val="00444910"/>
    <w:rsid w:val="00444D69"/>
    <w:rsid w:val="004452F3"/>
    <w:rsid w:val="00446E64"/>
    <w:rsid w:val="004470ED"/>
    <w:rsid w:val="004475D9"/>
    <w:rsid w:val="00447B9B"/>
    <w:rsid w:val="004505BB"/>
    <w:rsid w:val="00451043"/>
    <w:rsid w:val="00453870"/>
    <w:rsid w:val="004539AF"/>
    <w:rsid w:val="00453E3D"/>
    <w:rsid w:val="00453FE3"/>
    <w:rsid w:val="004541C9"/>
    <w:rsid w:val="0045420F"/>
    <w:rsid w:val="0045438B"/>
    <w:rsid w:val="00454865"/>
    <w:rsid w:val="0045540E"/>
    <w:rsid w:val="004554DF"/>
    <w:rsid w:val="00455B6A"/>
    <w:rsid w:val="004560FA"/>
    <w:rsid w:val="0045620F"/>
    <w:rsid w:val="0045663F"/>
    <w:rsid w:val="00456707"/>
    <w:rsid w:val="0046044C"/>
    <w:rsid w:val="0046063E"/>
    <w:rsid w:val="004606B2"/>
    <w:rsid w:val="00461899"/>
    <w:rsid w:val="00461964"/>
    <w:rsid w:val="00461A8C"/>
    <w:rsid w:val="00461E1F"/>
    <w:rsid w:val="004626B2"/>
    <w:rsid w:val="004627F0"/>
    <w:rsid w:val="00462BD7"/>
    <w:rsid w:val="004638BD"/>
    <w:rsid w:val="0046462B"/>
    <w:rsid w:val="00464BDB"/>
    <w:rsid w:val="004650F8"/>
    <w:rsid w:val="00465846"/>
    <w:rsid w:val="004668D8"/>
    <w:rsid w:val="0046734C"/>
    <w:rsid w:val="004675EE"/>
    <w:rsid w:val="004675EF"/>
    <w:rsid w:val="0047082A"/>
    <w:rsid w:val="00470DD0"/>
    <w:rsid w:val="00470F29"/>
    <w:rsid w:val="004711A1"/>
    <w:rsid w:val="00472255"/>
    <w:rsid w:val="0047279F"/>
    <w:rsid w:val="004735B9"/>
    <w:rsid w:val="0047408F"/>
    <w:rsid w:val="00474C80"/>
    <w:rsid w:val="0047530A"/>
    <w:rsid w:val="004753A0"/>
    <w:rsid w:val="00475725"/>
    <w:rsid w:val="004757FD"/>
    <w:rsid w:val="004760AB"/>
    <w:rsid w:val="004762D2"/>
    <w:rsid w:val="00476DF2"/>
    <w:rsid w:val="004778C3"/>
    <w:rsid w:val="00477D36"/>
    <w:rsid w:val="0048007F"/>
    <w:rsid w:val="00480BB8"/>
    <w:rsid w:val="00481184"/>
    <w:rsid w:val="0048118F"/>
    <w:rsid w:val="0048149A"/>
    <w:rsid w:val="00481B68"/>
    <w:rsid w:val="00481DB5"/>
    <w:rsid w:val="00481E35"/>
    <w:rsid w:val="004823F7"/>
    <w:rsid w:val="00482B88"/>
    <w:rsid w:val="00482C0B"/>
    <w:rsid w:val="0048355D"/>
    <w:rsid w:val="0048408B"/>
    <w:rsid w:val="004849B3"/>
    <w:rsid w:val="00484AC2"/>
    <w:rsid w:val="00484C64"/>
    <w:rsid w:val="0048529F"/>
    <w:rsid w:val="004854D1"/>
    <w:rsid w:val="00485A2F"/>
    <w:rsid w:val="004860C8"/>
    <w:rsid w:val="004866B2"/>
    <w:rsid w:val="004868F1"/>
    <w:rsid w:val="00486ABE"/>
    <w:rsid w:val="00486CEE"/>
    <w:rsid w:val="0048715C"/>
    <w:rsid w:val="004873ED"/>
    <w:rsid w:val="00487482"/>
    <w:rsid w:val="00487B75"/>
    <w:rsid w:val="00490458"/>
    <w:rsid w:val="00490801"/>
    <w:rsid w:val="00490C6B"/>
    <w:rsid w:val="0049262B"/>
    <w:rsid w:val="00492E5F"/>
    <w:rsid w:val="00493DF3"/>
    <w:rsid w:val="00493E5B"/>
    <w:rsid w:val="004941C4"/>
    <w:rsid w:val="0049436C"/>
    <w:rsid w:val="00494EEC"/>
    <w:rsid w:val="00495000"/>
    <w:rsid w:val="00495023"/>
    <w:rsid w:val="004950C5"/>
    <w:rsid w:val="00495452"/>
    <w:rsid w:val="00495CB3"/>
    <w:rsid w:val="00495D29"/>
    <w:rsid w:val="00495E6E"/>
    <w:rsid w:val="00496EE7"/>
    <w:rsid w:val="00497840"/>
    <w:rsid w:val="0049794E"/>
    <w:rsid w:val="00497D43"/>
    <w:rsid w:val="00497E9C"/>
    <w:rsid w:val="004A0DBD"/>
    <w:rsid w:val="004A110E"/>
    <w:rsid w:val="004A1404"/>
    <w:rsid w:val="004A1B0C"/>
    <w:rsid w:val="004A1C3A"/>
    <w:rsid w:val="004A23FB"/>
    <w:rsid w:val="004A249C"/>
    <w:rsid w:val="004A25F8"/>
    <w:rsid w:val="004A3AA3"/>
    <w:rsid w:val="004A4A4F"/>
    <w:rsid w:val="004A4CD5"/>
    <w:rsid w:val="004A4F4D"/>
    <w:rsid w:val="004A5224"/>
    <w:rsid w:val="004A5A7C"/>
    <w:rsid w:val="004A681E"/>
    <w:rsid w:val="004A6921"/>
    <w:rsid w:val="004A69C1"/>
    <w:rsid w:val="004A6D28"/>
    <w:rsid w:val="004A7330"/>
    <w:rsid w:val="004A741F"/>
    <w:rsid w:val="004B0231"/>
    <w:rsid w:val="004B06E8"/>
    <w:rsid w:val="004B1086"/>
    <w:rsid w:val="004B11D8"/>
    <w:rsid w:val="004B13D8"/>
    <w:rsid w:val="004B1D3D"/>
    <w:rsid w:val="004B380B"/>
    <w:rsid w:val="004B4B60"/>
    <w:rsid w:val="004B4E5B"/>
    <w:rsid w:val="004B6628"/>
    <w:rsid w:val="004B7034"/>
    <w:rsid w:val="004B75E2"/>
    <w:rsid w:val="004B7A1B"/>
    <w:rsid w:val="004B7DCE"/>
    <w:rsid w:val="004C045C"/>
    <w:rsid w:val="004C091D"/>
    <w:rsid w:val="004C0C5D"/>
    <w:rsid w:val="004C0E40"/>
    <w:rsid w:val="004C1A14"/>
    <w:rsid w:val="004C1A67"/>
    <w:rsid w:val="004C1B25"/>
    <w:rsid w:val="004C22D6"/>
    <w:rsid w:val="004C2679"/>
    <w:rsid w:val="004C272E"/>
    <w:rsid w:val="004C2C2A"/>
    <w:rsid w:val="004C2F9E"/>
    <w:rsid w:val="004C35AD"/>
    <w:rsid w:val="004C40B7"/>
    <w:rsid w:val="004C450B"/>
    <w:rsid w:val="004C4554"/>
    <w:rsid w:val="004C4DC6"/>
    <w:rsid w:val="004C517A"/>
    <w:rsid w:val="004C5199"/>
    <w:rsid w:val="004C52C7"/>
    <w:rsid w:val="004C5525"/>
    <w:rsid w:val="004C57E0"/>
    <w:rsid w:val="004C58A2"/>
    <w:rsid w:val="004C5C13"/>
    <w:rsid w:val="004C63BE"/>
    <w:rsid w:val="004C64C3"/>
    <w:rsid w:val="004C6758"/>
    <w:rsid w:val="004C6B21"/>
    <w:rsid w:val="004C6C32"/>
    <w:rsid w:val="004C73D1"/>
    <w:rsid w:val="004C7826"/>
    <w:rsid w:val="004C7CE3"/>
    <w:rsid w:val="004C7ED2"/>
    <w:rsid w:val="004D00CE"/>
    <w:rsid w:val="004D02F1"/>
    <w:rsid w:val="004D0A25"/>
    <w:rsid w:val="004D0C25"/>
    <w:rsid w:val="004D1002"/>
    <w:rsid w:val="004D1227"/>
    <w:rsid w:val="004D1470"/>
    <w:rsid w:val="004D14EC"/>
    <w:rsid w:val="004D1592"/>
    <w:rsid w:val="004D1986"/>
    <w:rsid w:val="004D1DD9"/>
    <w:rsid w:val="004D2060"/>
    <w:rsid w:val="004D211F"/>
    <w:rsid w:val="004D2612"/>
    <w:rsid w:val="004D32D3"/>
    <w:rsid w:val="004D343C"/>
    <w:rsid w:val="004D3B3D"/>
    <w:rsid w:val="004D3BAB"/>
    <w:rsid w:val="004D49B2"/>
    <w:rsid w:val="004D5858"/>
    <w:rsid w:val="004D5978"/>
    <w:rsid w:val="004D64F5"/>
    <w:rsid w:val="004D64FF"/>
    <w:rsid w:val="004D656B"/>
    <w:rsid w:val="004D66BD"/>
    <w:rsid w:val="004D6D65"/>
    <w:rsid w:val="004D715C"/>
    <w:rsid w:val="004E0497"/>
    <w:rsid w:val="004E04EA"/>
    <w:rsid w:val="004E1357"/>
    <w:rsid w:val="004E22AA"/>
    <w:rsid w:val="004E2348"/>
    <w:rsid w:val="004E2982"/>
    <w:rsid w:val="004E2DF4"/>
    <w:rsid w:val="004E3138"/>
    <w:rsid w:val="004E3567"/>
    <w:rsid w:val="004E51E4"/>
    <w:rsid w:val="004E5615"/>
    <w:rsid w:val="004E57AF"/>
    <w:rsid w:val="004E647D"/>
    <w:rsid w:val="004E666E"/>
    <w:rsid w:val="004E6934"/>
    <w:rsid w:val="004E7400"/>
    <w:rsid w:val="004E76F8"/>
    <w:rsid w:val="004E77A4"/>
    <w:rsid w:val="004E7FB3"/>
    <w:rsid w:val="004F002C"/>
    <w:rsid w:val="004F0585"/>
    <w:rsid w:val="004F0662"/>
    <w:rsid w:val="004F1341"/>
    <w:rsid w:val="004F16F6"/>
    <w:rsid w:val="004F1C6D"/>
    <w:rsid w:val="004F2E85"/>
    <w:rsid w:val="004F3918"/>
    <w:rsid w:val="004F3C0F"/>
    <w:rsid w:val="004F3C9B"/>
    <w:rsid w:val="004F4022"/>
    <w:rsid w:val="004F4481"/>
    <w:rsid w:val="004F47AA"/>
    <w:rsid w:val="004F489E"/>
    <w:rsid w:val="004F59B0"/>
    <w:rsid w:val="004F5A7D"/>
    <w:rsid w:val="004F63F6"/>
    <w:rsid w:val="004F64DB"/>
    <w:rsid w:val="004F67EB"/>
    <w:rsid w:val="004F7D61"/>
    <w:rsid w:val="004F7DE3"/>
    <w:rsid w:val="004F7F95"/>
    <w:rsid w:val="00500531"/>
    <w:rsid w:val="00500A09"/>
    <w:rsid w:val="00500BA8"/>
    <w:rsid w:val="00501300"/>
    <w:rsid w:val="00501424"/>
    <w:rsid w:val="00501C6F"/>
    <w:rsid w:val="005023DE"/>
    <w:rsid w:val="005025F2"/>
    <w:rsid w:val="00503219"/>
    <w:rsid w:val="0050375E"/>
    <w:rsid w:val="00503F63"/>
    <w:rsid w:val="005043DA"/>
    <w:rsid w:val="00504A28"/>
    <w:rsid w:val="00504FE7"/>
    <w:rsid w:val="00505057"/>
    <w:rsid w:val="00505359"/>
    <w:rsid w:val="00505862"/>
    <w:rsid w:val="00505A4E"/>
    <w:rsid w:val="0050635B"/>
    <w:rsid w:val="0050683F"/>
    <w:rsid w:val="005068B2"/>
    <w:rsid w:val="00506911"/>
    <w:rsid w:val="005069E5"/>
    <w:rsid w:val="005069EC"/>
    <w:rsid w:val="00506CB5"/>
    <w:rsid w:val="005074FF"/>
    <w:rsid w:val="005075F5"/>
    <w:rsid w:val="005077EA"/>
    <w:rsid w:val="00507836"/>
    <w:rsid w:val="00507CE3"/>
    <w:rsid w:val="00507F4E"/>
    <w:rsid w:val="00510067"/>
    <w:rsid w:val="00510438"/>
    <w:rsid w:val="0051054C"/>
    <w:rsid w:val="005108E6"/>
    <w:rsid w:val="005108F0"/>
    <w:rsid w:val="0051158D"/>
    <w:rsid w:val="00511B4E"/>
    <w:rsid w:val="005121D4"/>
    <w:rsid w:val="00512410"/>
    <w:rsid w:val="005130CB"/>
    <w:rsid w:val="005144B2"/>
    <w:rsid w:val="00514662"/>
    <w:rsid w:val="00514E77"/>
    <w:rsid w:val="00515040"/>
    <w:rsid w:val="00515F81"/>
    <w:rsid w:val="00515F98"/>
    <w:rsid w:val="00516C50"/>
    <w:rsid w:val="00517B46"/>
    <w:rsid w:val="005205BF"/>
    <w:rsid w:val="005205F9"/>
    <w:rsid w:val="005206E3"/>
    <w:rsid w:val="005208ED"/>
    <w:rsid w:val="0052107D"/>
    <w:rsid w:val="005218EE"/>
    <w:rsid w:val="00522921"/>
    <w:rsid w:val="00522EE0"/>
    <w:rsid w:val="005232FC"/>
    <w:rsid w:val="005244B5"/>
    <w:rsid w:val="005251DF"/>
    <w:rsid w:val="00525F84"/>
    <w:rsid w:val="00526525"/>
    <w:rsid w:val="00527794"/>
    <w:rsid w:val="00527C47"/>
    <w:rsid w:val="0053005E"/>
    <w:rsid w:val="005301ED"/>
    <w:rsid w:val="00530FE3"/>
    <w:rsid w:val="00531193"/>
    <w:rsid w:val="00531289"/>
    <w:rsid w:val="005312FB"/>
    <w:rsid w:val="0053137F"/>
    <w:rsid w:val="00531A4A"/>
    <w:rsid w:val="005322AF"/>
    <w:rsid w:val="00532B4F"/>
    <w:rsid w:val="00532E81"/>
    <w:rsid w:val="005330AB"/>
    <w:rsid w:val="00533E7A"/>
    <w:rsid w:val="00533FBC"/>
    <w:rsid w:val="00534634"/>
    <w:rsid w:val="00534792"/>
    <w:rsid w:val="00534A7C"/>
    <w:rsid w:val="00534B98"/>
    <w:rsid w:val="00535012"/>
    <w:rsid w:val="005351A4"/>
    <w:rsid w:val="00535E55"/>
    <w:rsid w:val="0053641F"/>
    <w:rsid w:val="0053656F"/>
    <w:rsid w:val="005369AD"/>
    <w:rsid w:val="00536EF5"/>
    <w:rsid w:val="005370C5"/>
    <w:rsid w:val="005372D6"/>
    <w:rsid w:val="0053740D"/>
    <w:rsid w:val="00537637"/>
    <w:rsid w:val="005377B1"/>
    <w:rsid w:val="00537E7A"/>
    <w:rsid w:val="005403FB"/>
    <w:rsid w:val="00540DFE"/>
    <w:rsid w:val="00540ECA"/>
    <w:rsid w:val="00541205"/>
    <w:rsid w:val="0054192B"/>
    <w:rsid w:val="00541C78"/>
    <w:rsid w:val="0054274C"/>
    <w:rsid w:val="00543088"/>
    <w:rsid w:val="00544135"/>
    <w:rsid w:val="00544185"/>
    <w:rsid w:val="00544284"/>
    <w:rsid w:val="00544723"/>
    <w:rsid w:val="00544A1C"/>
    <w:rsid w:val="005454B6"/>
    <w:rsid w:val="00546D67"/>
    <w:rsid w:val="00546F18"/>
    <w:rsid w:val="00547038"/>
    <w:rsid w:val="005477F4"/>
    <w:rsid w:val="00547AB1"/>
    <w:rsid w:val="00550156"/>
    <w:rsid w:val="005501AF"/>
    <w:rsid w:val="00550A3C"/>
    <w:rsid w:val="00550A56"/>
    <w:rsid w:val="00550B2F"/>
    <w:rsid w:val="00550C36"/>
    <w:rsid w:val="00551139"/>
    <w:rsid w:val="005516D8"/>
    <w:rsid w:val="00551884"/>
    <w:rsid w:val="005524BF"/>
    <w:rsid w:val="00552543"/>
    <w:rsid w:val="00553365"/>
    <w:rsid w:val="0055341F"/>
    <w:rsid w:val="00553490"/>
    <w:rsid w:val="00554AB3"/>
    <w:rsid w:val="00555330"/>
    <w:rsid w:val="00555A5F"/>
    <w:rsid w:val="00556184"/>
    <w:rsid w:val="0055638E"/>
    <w:rsid w:val="00556A48"/>
    <w:rsid w:val="0055702D"/>
    <w:rsid w:val="00557C39"/>
    <w:rsid w:val="00557F53"/>
    <w:rsid w:val="005604B2"/>
    <w:rsid w:val="00560C7D"/>
    <w:rsid w:val="0056105D"/>
    <w:rsid w:val="00561C79"/>
    <w:rsid w:val="00561FF8"/>
    <w:rsid w:val="00562644"/>
    <w:rsid w:val="00562E08"/>
    <w:rsid w:val="005638B3"/>
    <w:rsid w:val="00563B15"/>
    <w:rsid w:val="005649A1"/>
    <w:rsid w:val="00565009"/>
    <w:rsid w:val="00565A66"/>
    <w:rsid w:val="00566022"/>
    <w:rsid w:val="0056614E"/>
    <w:rsid w:val="005665E3"/>
    <w:rsid w:val="0056696B"/>
    <w:rsid w:val="00566D22"/>
    <w:rsid w:val="00566E24"/>
    <w:rsid w:val="005677DA"/>
    <w:rsid w:val="005678EB"/>
    <w:rsid w:val="0056797C"/>
    <w:rsid w:val="00567DA9"/>
    <w:rsid w:val="00570749"/>
    <w:rsid w:val="00570AF7"/>
    <w:rsid w:val="00571DA8"/>
    <w:rsid w:val="005720C0"/>
    <w:rsid w:val="0057216E"/>
    <w:rsid w:val="00572932"/>
    <w:rsid w:val="00572FC9"/>
    <w:rsid w:val="005738DF"/>
    <w:rsid w:val="00573A52"/>
    <w:rsid w:val="00573D4D"/>
    <w:rsid w:val="00574102"/>
    <w:rsid w:val="00574D0B"/>
    <w:rsid w:val="005751AF"/>
    <w:rsid w:val="00575586"/>
    <w:rsid w:val="005757E8"/>
    <w:rsid w:val="00575840"/>
    <w:rsid w:val="0057665F"/>
    <w:rsid w:val="005767DE"/>
    <w:rsid w:val="00576FB5"/>
    <w:rsid w:val="00577417"/>
    <w:rsid w:val="0057752C"/>
    <w:rsid w:val="005810D9"/>
    <w:rsid w:val="005816C0"/>
    <w:rsid w:val="005818F2"/>
    <w:rsid w:val="00581F15"/>
    <w:rsid w:val="0058285A"/>
    <w:rsid w:val="00582A10"/>
    <w:rsid w:val="00582AAE"/>
    <w:rsid w:val="00582C11"/>
    <w:rsid w:val="00582E19"/>
    <w:rsid w:val="00583034"/>
    <w:rsid w:val="005834D8"/>
    <w:rsid w:val="00583A02"/>
    <w:rsid w:val="00583AE4"/>
    <w:rsid w:val="005847FB"/>
    <w:rsid w:val="00584E8B"/>
    <w:rsid w:val="0058663E"/>
    <w:rsid w:val="00586E2C"/>
    <w:rsid w:val="00587599"/>
    <w:rsid w:val="00587A43"/>
    <w:rsid w:val="00590176"/>
    <w:rsid w:val="00590347"/>
    <w:rsid w:val="00590D9D"/>
    <w:rsid w:val="00590EF4"/>
    <w:rsid w:val="005910A5"/>
    <w:rsid w:val="005915FF"/>
    <w:rsid w:val="005919C1"/>
    <w:rsid w:val="00591A93"/>
    <w:rsid w:val="00591AB2"/>
    <w:rsid w:val="0059240D"/>
    <w:rsid w:val="0059253E"/>
    <w:rsid w:val="00592CA6"/>
    <w:rsid w:val="00593630"/>
    <w:rsid w:val="00593873"/>
    <w:rsid w:val="00594235"/>
    <w:rsid w:val="00594434"/>
    <w:rsid w:val="005948E0"/>
    <w:rsid w:val="005949B3"/>
    <w:rsid w:val="00594C6D"/>
    <w:rsid w:val="0059523A"/>
    <w:rsid w:val="005952B6"/>
    <w:rsid w:val="0059545F"/>
    <w:rsid w:val="00595CC6"/>
    <w:rsid w:val="00595CEA"/>
    <w:rsid w:val="00596B9E"/>
    <w:rsid w:val="00597000"/>
    <w:rsid w:val="0059754A"/>
    <w:rsid w:val="00597731"/>
    <w:rsid w:val="005977CC"/>
    <w:rsid w:val="005977EF"/>
    <w:rsid w:val="0059797C"/>
    <w:rsid w:val="005A076F"/>
    <w:rsid w:val="005A077D"/>
    <w:rsid w:val="005A0B51"/>
    <w:rsid w:val="005A1BC7"/>
    <w:rsid w:val="005A1FB9"/>
    <w:rsid w:val="005A2DC0"/>
    <w:rsid w:val="005A36E7"/>
    <w:rsid w:val="005A393D"/>
    <w:rsid w:val="005A3DEF"/>
    <w:rsid w:val="005A41BC"/>
    <w:rsid w:val="005A43E2"/>
    <w:rsid w:val="005A4C0C"/>
    <w:rsid w:val="005A50E7"/>
    <w:rsid w:val="005A5278"/>
    <w:rsid w:val="005A5522"/>
    <w:rsid w:val="005A5B0D"/>
    <w:rsid w:val="005A5C4E"/>
    <w:rsid w:val="005A5F46"/>
    <w:rsid w:val="005A66AD"/>
    <w:rsid w:val="005A688B"/>
    <w:rsid w:val="005A7CF2"/>
    <w:rsid w:val="005A7F0D"/>
    <w:rsid w:val="005A7F20"/>
    <w:rsid w:val="005B0662"/>
    <w:rsid w:val="005B0ED3"/>
    <w:rsid w:val="005B158A"/>
    <w:rsid w:val="005B15E8"/>
    <w:rsid w:val="005B1785"/>
    <w:rsid w:val="005B1B35"/>
    <w:rsid w:val="005B1B62"/>
    <w:rsid w:val="005B1BA7"/>
    <w:rsid w:val="005B1DB1"/>
    <w:rsid w:val="005B28E6"/>
    <w:rsid w:val="005B2A9E"/>
    <w:rsid w:val="005B30EE"/>
    <w:rsid w:val="005B31C7"/>
    <w:rsid w:val="005B356F"/>
    <w:rsid w:val="005B3688"/>
    <w:rsid w:val="005B3BE9"/>
    <w:rsid w:val="005B4160"/>
    <w:rsid w:val="005B524C"/>
    <w:rsid w:val="005B5386"/>
    <w:rsid w:val="005B5BF7"/>
    <w:rsid w:val="005B64E0"/>
    <w:rsid w:val="005B6C7B"/>
    <w:rsid w:val="005B6F83"/>
    <w:rsid w:val="005B76B7"/>
    <w:rsid w:val="005B7784"/>
    <w:rsid w:val="005B7806"/>
    <w:rsid w:val="005B7B2F"/>
    <w:rsid w:val="005B7D1A"/>
    <w:rsid w:val="005B7D4F"/>
    <w:rsid w:val="005B7E99"/>
    <w:rsid w:val="005C063E"/>
    <w:rsid w:val="005C0E62"/>
    <w:rsid w:val="005C19C5"/>
    <w:rsid w:val="005C1A9C"/>
    <w:rsid w:val="005C259E"/>
    <w:rsid w:val="005C26AC"/>
    <w:rsid w:val="005C310A"/>
    <w:rsid w:val="005C3196"/>
    <w:rsid w:val="005C3C21"/>
    <w:rsid w:val="005C3E80"/>
    <w:rsid w:val="005C4A01"/>
    <w:rsid w:val="005C4DC9"/>
    <w:rsid w:val="005C5098"/>
    <w:rsid w:val="005C514C"/>
    <w:rsid w:val="005C5FEB"/>
    <w:rsid w:val="005C619B"/>
    <w:rsid w:val="005C619F"/>
    <w:rsid w:val="005C61FC"/>
    <w:rsid w:val="005C6863"/>
    <w:rsid w:val="005C69D6"/>
    <w:rsid w:val="005C6D25"/>
    <w:rsid w:val="005C6FB6"/>
    <w:rsid w:val="005C748B"/>
    <w:rsid w:val="005C758E"/>
    <w:rsid w:val="005C7DE0"/>
    <w:rsid w:val="005D00A9"/>
    <w:rsid w:val="005D0713"/>
    <w:rsid w:val="005D0BB8"/>
    <w:rsid w:val="005D0D1E"/>
    <w:rsid w:val="005D137D"/>
    <w:rsid w:val="005D14B1"/>
    <w:rsid w:val="005D18F9"/>
    <w:rsid w:val="005D23D7"/>
    <w:rsid w:val="005D2E48"/>
    <w:rsid w:val="005D31B4"/>
    <w:rsid w:val="005D3752"/>
    <w:rsid w:val="005D3BD9"/>
    <w:rsid w:val="005D3CAC"/>
    <w:rsid w:val="005D3FFE"/>
    <w:rsid w:val="005D40CD"/>
    <w:rsid w:val="005D44BF"/>
    <w:rsid w:val="005D46A6"/>
    <w:rsid w:val="005D4710"/>
    <w:rsid w:val="005D4A1A"/>
    <w:rsid w:val="005D564C"/>
    <w:rsid w:val="005D5ACF"/>
    <w:rsid w:val="005D5F94"/>
    <w:rsid w:val="005D6034"/>
    <w:rsid w:val="005D619A"/>
    <w:rsid w:val="005D693D"/>
    <w:rsid w:val="005D6C24"/>
    <w:rsid w:val="005D72B5"/>
    <w:rsid w:val="005D7C51"/>
    <w:rsid w:val="005E0CB2"/>
    <w:rsid w:val="005E10BA"/>
    <w:rsid w:val="005E14B6"/>
    <w:rsid w:val="005E1677"/>
    <w:rsid w:val="005E1844"/>
    <w:rsid w:val="005E1DBB"/>
    <w:rsid w:val="005E258E"/>
    <w:rsid w:val="005E2E25"/>
    <w:rsid w:val="005E31F0"/>
    <w:rsid w:val="005E3861"/>
    <w:rsid w:val="005E40BB"/>
    <w:rsid w:val="005E499B"/>
    <w:rsid w:val="005E4F17"/>
    <w:rsid w:val="005E50FF"/>
    <w:rsid w:val="005E529E"/>
    <w:rsid w:val="005E5BA7"/>
    <w:rsid w:val="005E681A"/>
    <w:rsid w:val="005E69D5"/>
    <w:rsid w:val="005E6A06"/>
    <w:rsid w:val="005E6ABC"/>
    <w:rsid w:val="005E6F35"/>
    <w:rsid w:val="005F0126"/>
    <w:rsid w:val="005F0591"/>
    <w:rsid w:val="005F065A"/>
    <w:rsid w:val="005F0931"/>
    <w:rsid w:val="005F0EF5"/>
    <w:rsid w:val="005F1EEB"/>
    <w:rsid w:val="005F2A09"/>
    <w:rsid w:val="005F2AB5"/>
    <w:rsid w:val="005F3E72"/>
    <w:rsid w:val="005F41A2"/>
    <w:rsid w:val="005F44AF"/>
    <w:rsid w:val="005F4BD6"/>
    <w:rsid w:val="005F4FF6"/>
    <w:rsid w:val="005F56A6"/>
    <w:rsid w:val="005F6810"/>
    <w:rsid w:val="005F7081"/>
    <w:rsid w:val="005F7B98"/>
    <w:rsid w:val="005F7D25"/>
    <w:rsid w:val="0060004D"/>
    <w:rsid w:val="006000E4"/>
    <w:rsid w:val="006003E7"/>
    <w:rsid w:val="00600423"/>
    <w:rsid w:val="006010B3"/>
    <w:rsid w:val="006010E4"/>
    <w:rsid w:val="00601122"/>
    <w:rsid w:val="00601307"/>
    <w:rsid w:val="0060134E"/>
    <w:rsid w:val="00601D11"/>
    <w:rsid w:val="00601DF8"/>
    <w:rsid w:val="00601E4A"/>
    <w:rsid w:val="00601E50"/>
    <w:rsid w:val="00602908"/>
    <w:rsid w:val="006038A1"/>
    <w:rsid w:val="00603949"/>
    <w:rsid w:val="00603E4A"/>
    <w:rsid w:val="00603F32"/>
    <w:rsid w:val="006040D9"/>
    <w:rsid w:val="006052CE"/>
    <w:rsid w:val="00605677"/>
    <w:rsid w:val="00605EF4"/>
    <w:rsid w:val="00606A6A"/>
    <w:rsid w:val="00607B40"/>
    <w:rsid w:val="00607FCC"/>
    <w:rsid w:val="00610424"/>
    <w:rsid w:val="00611171"/>
    <w:rsid w:val="00612567"/>
    <w:rsid w:val="0061273A"/>
    <w:rsid w:val="00612DDB"/>
    <w:rsid w:val="00613239"/>
    <w:rsid w:val="00613273"/>
    <w:rsid w:val="00613C40"/>
    <w:rsid w:val="006140D6"/>
    <w:rsid w:val="006143B2"/>
    <w:rsid w:val="00614DC4"/>
    <w:rsid w:val="006150EA"/>
    <w:rsid w:val="00615204"/>
    <w:rsid w:val="00615ADB"/>
    <w:rsid w:val="00615D09"/>
    <w:rsid w:val="006160DE"/>
    <w:rsid w:val="0061624F"/>
    <w:rsid w:val="00616770"/>
    <w:rsid w:val="00617546"/>
    <w:rsid w:val="00617E08"/>
    <w:rsid w:val="00620412"/>
    <w:rsid w:val="00620776"/>
    <w:rsid w:val="006208D8"/>
    <w:rsid w:val="0062093C"/>
    <w:rsid w:val="00620BB2"/>
    <w:rsid w:val="00621B04"/>
    <w:rsid w:val="00622419"/>
    <w:rsid w:val="00622DFB"/>
    <w:rsid w:val="006234C2"/>
    <w:rsid w:val="00623528"/>
    <w:rsid w:val="006235DF"/>
    <w:rsid w:val="006236E1"/>
    <w:rsid w:val="00623B59"/>
    <w:rsid w:val="00624138"/>
    <w:rsid w:val="006241FC"/>
    <w:rsid w:val="006248F7"/>
    <w:rsid w:val="00624995"/>
    <w:rsid w:val="00626540"/>
    <w:rsid w:val="0062690B"/>
    <w:rsid w:val="0062697F"/>
    <w:rsid w:val="00627376"/>
    <w:rsid w:val="00627772"/>
    <w:rsid w:val="006277C4"/>
    <w:rsid w:val="0063028D"/>
    <w:rsid w:val="00630B48"/>
    <w:rsid w:val="00630EB4"/>
    <w:rsid w:val="00631058"/>
    <w:rsid w:val="00631074"/>
    <w:rsid w:val="006310FD"/>
    <w:rsid w:val="00631D50"/>
    <w:rsid w:val="00632441"/>
    <w:rsid w:val="00632929"/>
    <w:rsid w:val="00632FD6"/>
    <w:rsid w:val="006331E3"/>
    <w:rsid w:val="00633420"/>
    <w:rsid w:val="006337E1"/>
    <w:rsid w:val="00633B4B"/>
    <w:rsid w:val="00634F06"/>
    <w:rsid w:val="00634FBB"/>
    <w:rsid w:val="006354F7"/>
    <w:rsid w:val="00635736"/>
    <w:rsid w:val="00635767"/>
    <w:rsid w:val="00635880"/>
    <w:rsid w:val="00635908"/>
    <w:rsid w:val="006364B0"/>
    <w:rsid w:val="006369F9"/>
    <w:rsid w:val="00636FD5"/>
    <w:rsid w:val="006370AC"/>
    <w:rsid w:val="006371E9"/>
    <w:rsid w:val="00637989"/>
    <w:rsid w:val="006379E1"/>
    <w:rsid w:val="00637A72"/>
    <w:rsid w:val="00637B49"/>
    <w:rsid w:val="00637E85"/>
    <w:rsid w:val="00637F07"/>
    <w:rsid w:val="00637F8A"/>
    <w:rsid w:val="00640133"/>
    <w:rsid w:val="006406C9"/>
    <w:rsid w:val="00641087"/>
    <w:rsid w:val="00641428"/>
    <w:rsid w:val="006415F3"/>
    <w:rsid w:val="0064205D"/>
    <w:rsid w:val="00642135"/>
    <w:rsid w:val="006422FA"/>
    <w:rsid w:val="006423CC"/>
    <w:rsid w:val="006423F6"/>
    <w:rsid w:val="006434AD"/>
    <w:rsid w:val="00643CC9"/>
    <w:rsid w:val="0064410C"/>
    <w:rsid w:val="0064472D"/>
    <w:rsid w:val="006465AF"/>
    <w:rsid w:val="00646C98"/>
    <w:rsid w:val="00646F21"/>
    <w:rsid w:val="00646F48"/>
    <w:rsid w:val="00647229"/>
    <w:rsid w:val="00647326"/>
    <w:rsid w:val="006476A5"/>
    <w:rsid w:val="00647807"/>
    <w:rsid w:val="00647A77"/>
    <w:rsid w:val="00650823"/>
    <w:rsid w:val="006508F1"/>
    <w:rsid w:val="00650CFB"/>
    <w:rsid w:val="00651153"/>
    <w:rsid w:val="006511A2"/>
    <w:rsid w:val="00651744"/>
    <w:rsid w:val="00651988"/>
    <w:rsid w:val="006531CA"/>
    <w:rsid w:val="006543D8"/>
    <w:rsid w:val="00654554"/>
    <w:rsid w:val="00655ACE"/>
    <w:rsid w:val="00655CA6"/>
    <w:rsid w:val="00656304"/>
    <w:rsid w:val="00656D09"/>
    <w:rsid w:val="00656E18"/>
    <w:rsid w:val="0065789E"/>
    <w:rsid w:val="006615EB"/>
    <w:rsid w:val="006617BC"/>
    <w:rsid w:val="00662570"/>
    <w:rsid w:val="006626FB"/>
    <w:rsid w:val="00662E0A"/>
    <w:rsid w:val="006631BC"/>
    <w:rsid w:val="00663412"/>
    <w:rsid w:val="0066366E"/>
    <w:rsid w:val="00663F6F"/>
    <w:rsid w:val="006643AF"/>
    <w:rsid w:val="006643B3"/>
    <w:rsid w:val="00664506"/>
    <w:rsid w:val="0066500C"/>
    <w:rsid w:val="0066505A"/>
    <w:rsid w:val="00665CD0"/>
    <w:rsid w:val="00665D41"/>
    <w:rsid w:val="00665F5C"/>
    <w:rsid w:val="00666A8F"/>
    <w:rsid w:val="00667A59"/>
    <w:rsid w:val="00670347"/>
    <w:rsid w:val="00671317"/>
    <w:rsid w:val="006717D5"/>
    <w:rsid w:val="00671FD0"/>
    <w:rsid w:val="006721E4"/>
    <w:rsid w:val="00672EC6"/>
    <w:rsid w:val="006739F1"/>
    <w:rsid w:val="00673AF3"/>
    <w:rsid w:val="00673E1F"/>
    <w:rsid w:val="00674651"/>
    <w:rsid w:val="006748F5"/>
    <w:rsid w:val="006751CB"/>
    <w:rsid w:val="006756B6"/>
    <w:rsid w:val="00675A42"/>
    <w:rsid w:val="00675AB2"/>
    <w:rsid w:val="0067630C"/>
    <w:rsid w:val="00676367"/>
    <w:rsid w:val="00676839"/>
    <w:rsid w:val="006768D9"/>
    <w:rsid w:val="006802E8"/>
    <w:rsid w:val="006803CF"/>
    <w:rsid w:val="00680F7B"/>
    <w:rsid w:val="00680FC9"/>
    <w:rsid w:val="0068103A"/>
    <w:rsid w:val="00681297"/>
    <w:rsid w:val="00681451"/>
    <w:rsid w:val="00681659"/>
    <w:rsid w:val="00681686"/>
    <w:rsid w:val="00681FA3"/>
    <w:rsid w:val="006823EB"/>
    <w:rsid w:val="006825A9"/>
    <w:rsid w:val="0068291B"/>
    <w:rsid w:val="00683062"/>
    <w:rsid w:val="00683569"/>
    <w:rsid w:val="006835E8"/>
    <w:rsid w:val="006849BC"/>
    <w:rsid w:val="00684E4E"/>
    <w:rsid w:val="00684F89"/>
    <w:rsid w:val="00685447"/>
    <w:rsid w:val="00685A6C"/>
    <w:rsid w:val="00685DFA"/>
    <w:rsid w:val="00685E49"/>
    <w:rsid w:val="00686C1C"/>
    <w:rsid w:val="00687032"/>
    <w:rsid w:val="00687293"/>
    <w:rsid w:val="00687A09"/>
    <w:rsid w:val="00687A1B"/>
    <w:rsid w:val="00687ABB"/>
    <w:rsid w:val="00687FF0"/>
    <w:rsid w:val="0069056A"/>
    <w:rsid w:val="006906EE"/>
    <w:rsid w:val="00690B4F"/>
    <w:rsid w:val="0069141C"/>
    <w:rsid w:val="00691778"/>
    <w:rsid w:val="00691DFB"/>
    <w:rsid w:val="00692398"/>
    <w:rsid w:val="0069278A"/>
    <w:rsid w:val="00692D61"/>
    <w:rsid w:val="006932B4"/>
    <w:rsid w:val="006932F8"/>
    <w:rsid w:val="0069372B"/>
    <w:rsid w:val="006944BF"/>
    <w:rsid w:val="00694790"/>
    <w:rsid w:val="00694A56"/>
    <w:rsid w:val="00695068"/>
    <w:rsid w:val="006950AA"/>
    <w:rsid w:val="0069521F"/>
    <w:rsid w:val="006955CB"/>
    <w:rsid w:val="00695A64"/>
    <w:rsid w:val="006973BE"/>
    <w:rsid w:val="006A0B80"/>
    <w:rsid w:val="006A0BC2"/>
    <w:rsid w:val="006A0E10"/>
    <w:rsid w:val="006A1440"/>
    <w:rsid w:val="006A145A"/>
    <w:rsid w:val="006A1DD5"/>
    <w:rsid w:val="006A2110"/>
    <w:rsid w:val="006A25C3"/>
    <w:rsid w:val="006A2F3D"/>
    <w:rsid w:val="006A32B4"/>
    <w:rsid w:val="006A3C4C"/>
    <w:rsid w:val="006A3E10"/>
    <w:rsid w:val="006A3E60"/>
    <w:rsid w:val="006A3E9F"/>
    <w:rsid w:val="006A40BB"/>
    <w:rsid w:val="006A4503"/>
    <w:rsid w:val="006A46CC"/>
    <w:rsid w:val="006A4C07"/>
    <w:rsid w:val="006A50D7"/>
    <w:rsid w:val="006A5349"/>
    <w:rsid w:val="006A6366"/>
    <w:rsid w:val="006A6C06"/>
    <w:rsid w:val="006A71EE"/>
    <w:rsid w:val="006A76E9"/>
    <w:rsid w:val="006A7835"/>
    <w:rsid w:val="006A7935"/>
    <w:rsid w:val="006B0AC8"/>
    <w:rsid w:val="006B0F86"/>
    <w:rsid w:val="006B1034"/>
    <w:rsid w:val="006B189B"/>
    <w:rsid w:val="006B350D"/>
    <w:rsid w:val="006B3D3A"/>
    <w:rsid w:val="006B3D73"/>
    <w:rsid w:val="006B4CA1"/>
    <w:rsid w:val="006B4EF0"/>
    <w:rsid w:val="006B50C0"/>
    <w:rsid w:val="006B556E"/>
    <w:rsid w:val="006B562E"/>
    <w:rsid w:val="006B567F"/>
    <w:rsid w:val="006B5857"/>
    <w:rsid w:val="006B5994"/>
    <w:rsid w:val="006B62EB"/>
    <w:rsid w:val="006B64D8"/>
    <w:rsid w:val="006B650C"/>
    <w:rsid w:val="006B6594"/>
    <w:rsid w:val="006B68C1"/>
    <w:rsid w:val="006B7012"/>
    <w:rsid w:val="006B7297"/>
    <w:rsid w:val="006B77A4"/>
    <w:rsid w:val="006B7EDB"/>
    <w:rsid w:val="006C0538"/>
    <w:rsid w:val="006C09EC"/>
    <w:rsid w:val="006C0A89"/>
    <w:rsid w:val="006C0C5B"/>
    <w:rsid w:val="006C115F"/>
    <w:rsid w:val="006C1D20"/>
    <w:rsid w:val="006C2BCF"/>
    <w:rsid w:val="006C33CE"/>
    <w:rsid w:val="006C3439"/>
    <w:rsid w:val="006C3458"/>
    <w:rsid w:val="006C3AA1"/>
    <w:rsid w:val="006C407D"/>
    <w:rsid w:val="006C47F5"/>
    <w:rsid w:val="006C48E3"/>
    <w:rsid w:val="006C5712"/>
    <w:rsid w:val="006C61B1"/>
    <w:rsid w:val="006C6348"/>
    <w:rsid w:val="006C697B"/>
    <w:rsid w:val="006C6A70"/>
    <w:rsid w:val="006C6E1B"/>
    <w:rsid w:val="006C731C"/>
    <w:rsid w:val="006C79CE"/>
    <w:rsid w:val="006C7FC2"/>
    <w:rsid w:val="006D09C1"/>
    <w:rsid w:val="006D0AA2"/>
    <w:rsid w:val="006D0CBE"/>
    <w:rsid w:val="006D0DCD"/>
    <w:rsid w:val="006D0E5D"/>
    <w:rsid w:val="006D1457"/>
    <w:rsid w:val="006D16EE"/>
    <w:rsid w:val="006D27E8"/>
    <w:rsid w:val="006D3128"/>
    <w:rsid w:val="006D3801"/>
    <w:rsid w:val="006D3ACE"/>
    <w:rsid w:val="006D3DC9"/>
    <w:rsid w:val="006D45C3"/>
    <w:rsid w:val="006D4FF1"/>
    <w:rsid w:val="006D5129"/>
    <w:rsid w:val="006D543D"/>
    <w:rsid w:val="006D54A3"/>
    <w:rsid w:val="006D5E0E"/>
    <w:rsid w:val="006D616A"/>
    <w:rsid w:val="006D6F02"/>
    <w:rsid w:val="006D729C"/>
    <w:rsid w:val="006D76AA"/>
    <w:rsid w:val="006D77E7"/>
    <w:rsid w:val="006E015D"/>
    <w:rsid w:val="006E0571"/>
    <w:rsid w:val="006E096D"/>
    <w:rsid w:val="006E0BDE"/>
    <w:rsid w:val="006E0ED9"/>
    <w:rsid w:val="006E137D"/>
    <w:rsid w:val="006E1DC0"/>
    <w:rsid w:val="006E1E94"/>
    <w:rsid w:val="006E224D"/>
    <w:rsid w:val="006E25C7"/>
    <w:rsid w:val="006E4190"/>
    <w:rsid w:val="006E4FDF"/>
    <w:rsid w:val="006E5036"/>
    <w:rsid w:val="006E55EB"/>
    <w:rsid w:val="006E5745"/>
    <w:rsid w:val="006E61AB"/>
    <w:rsid w:val="006E629C"/>
    <w:rsid w:val="006E6B62"/>
    <w:rsid w:val="006E7418"/>
    <w:rsid w:val="006E78B1"/>
    <w:rsid w:val="006E78BD"/>
    <w:rsid w:val="006E7C32"/>
    <w:rsid w:val="006E7CC4"/>
    <w:rsid w:val="006F0C71"/>
    <w:rsid w:val="006F0FB8"/>
    <w:rsid w:val="006F12BB"/>
    <w:rsid w:val="006F1714"/>
    <w:rsid w:val="006F197C"/>
    <w:rsid w:val="006F1FCC"/>
    <w:rsid w:val="006F1FF7"/>
    <w:rsid w:val="006F21E4"/>
    <w:rsid w:val="006F28E1"/>
    <w:rsid w:val="006F2D43"/>
    <w:rsid w:val="006F4292"/>
    <w:rsid w:val="006F4621"/>
    <w:rsid w:val="006F484A"/>
    <w:rsid w:val="006F4983"/>
    <w:rsid w:val="006F4B2C"/>
    <w:rsid w:val="006F5777"/>
    <w:rsid w:val="006F5935"/>
    <w:rsid w:val="006F5A16"/>
    <w:rsid w:val="006F6253"/>
    <w:rsid w:val="006F65B7"/>
    <w:rsid w:val="006F684B"/>
    <w:rsid w:val="006F6AB0"/>
    <w:rsid w:val="006F6C40"/>
    <w:rsid w:val="006F6CD5"/>
    <w:rsid w:val="006F6FA0"/>
    <w:rsid w:val="006F7782"/>
    <w:rsid w:val="0070009C"/>
    <w:rsid w:val="00700859"/>
    <w:rsid w:val="00700E8F"/>
    <w:rsid w:val="007017D3"/>
    <w:rsid w:val="00701850"/>
    <w:rsid w:val="00701BE9"/>
    <w:rsid w:val="00701BFF"/>
    <w:rsid w:val="00702910"/>
    <w:rsid w:val="00702CC5"/>
    <w:rsid w:val="00703666"/>
    <w:rsid w:val="0070366B"/>
    <w:rsid w:val="00703E47"/>
    <w:rsid w:val="00703FBB"/>
    <w:rsid w:val="007041C9"/>
    <w:rsid w:val="00704422"/>
    <w:rsid w:val="007048DB"/>
    <w:rsid w:val="00704931"/>
    <w:rsid w:val="007053A2"/>
    <w:rsid w:val="0070542C"/>
    <w:rsid w:val="007057EF"/>
    <w:rsid w:val="00705D60"/>
    <w:rsid w:val="007069C8"/>
    <w:rsid w:val="00706C38"/>
    <w:rsid w:val="00706EAA"/>
    <w:rsid w:val="0070705C"/>
    <w:rsid w:val="007073FD"/>
    <w:rsid w:val="00707782"/>
    <w:rsid w:val="00707CCB"/>
    <w:rsid w:val="0071048E"/>
    <w:rsid w:val="00710547"/>
    <w:rsid w:val="00710717"/>
    <w:rsid w:val="00710768"/>
    <w:rsid w:val="00710E1C"/>
    <w:rsid w:val="00710E68"/>
    <w:rsid w:val="00711037"/>
    <w:rsid w:val="00711521"/>
    <w:rsid w:val="007119A4"/>
    <w:rsid w:val="00711F98"/>
    <w:rsid w:val="00712753"/>
    <w:rsid w:val="0071289E"/>
    <w:rsid w:val="00712D24"/>
    <w:rsid w:val="00712FB6"/>
    <w:rsid w:val="00713059"/>
    <w:rsid w:val="00713658"/>
    <w:rsid w:val="00713F35"/>
    <w:rsid w:val="00714581"/>
    <w:rsid w:val="00714768"/>
    <w:rsid w:val="00714782"/>
    <w:rsid w:val="00714A28"/>
    <w:rsid w:val="007155BB"/>
    <w:rsid w:val="007161CB"/>
    <w:rsid w:val="00716223"/>
    <w:rsid w:val="00716A36"/>
    <w:rsid w:val="00717174"/>
    <w:rsid w:val="007175B7"/>
    <w:rsid w:val="00717B38"/>
    <w:rsid w:val="00717FCD"/>
    <w:rsid w:val="0072136D"/>
    <w:rsid w:val="007219EA"/>
    <w:rsid w:val="007220C9"/>
    <w:rsid w:val="007227EC"/>
    <w:rsid w:val="007227F6"/>
    <w:rsid w:val="0072286C"/>
    <w:rsid w:val="00722C0C"/>
    <w:rsid w:val="0072345C"/>
    <w:rsid w:val="00723487"/>
    <w:rsid w:val="007238CE"/>
    <w:rsid w:val="00723F22"/>
    <w:rsid w:val="00723F74"/>
    <w:rsid w:val="00724596"/>
    <w:rsid w:val="00724690"/>
    <w:rsid w:val="00724C29"/>
    <w:rsid w:val="00724D6C"/>
    <w:rsid w:val="00724F28"/>
    <w:rsid w:val="0072564C"/>
    <w:rsid w:val="00725DBB"/>
    <w:rsid w:val="00726C09"/>
    <w:rsid w:val="00726DFA"/>
    <w:rsid w:val="00727975"/>
    <w:rsid w:val="00727E9E"/>
    <w:rsid w:val="007305C2"/>
    <w:rsid w:val="0073080A"/>
    <w:rsid w:val="0073090A"/>
    <w:rsid w:val="007309AB"/>
    <w:rsid w:val="007315C2"/>
    <w:rsid w:val="00731710"/>
    <w:rsid w:val="00731E9A"/>
    <w:rsid w:val="00731FB1"/>
    <w:rsid w:val="00732102"/>
    <w:rsid w:val="007325AC"/>
    <w:rsid w:val="00732AF7"/>
    <w:rsid w:val="00732BA7"/>
    <w:rsid w:val="00732C6A"/>
    <w:rsid w:val="00733247"/>
    <w:rsid w:val="00733413"/>
    <w:rsid w:val="0073380A"/>
    <w:rsid w:val="00733995"/>
    <w:rsid w:val="00733AD3"/>
    <w:rsid w:val="00733C70"/>
    <w:rsid w:val="00733E07"/>
    <w:rsid w:val="00733E8C"/>
    <w:rsid w:val="00734587"/>
    <w:rsid w:val="00734954"/>
    <w:rsid w:val="00734C79"/>
    <w:rsid w:val="007361A4"/>
    <w:rsid w:val="007377F8"/>
    <w:rsid w:val="00737AAE"/>
    <w:rsid w:val="00740D9C"/>
    <w:rsid w:val="00740F40"/>
    <w:rsid w:val="007410D8"/>
    <w:rsid w:val="00741211"/>
    <w:rsid w:val="00741886"/>
    <w:rsid w:val="00741AD4"/>
    <w:rsid w:val="00742B31"/>
    <w:rsid w:val="00743156"/>
    <w:rsid w:val="00743B0E"/>
    <w:rsid w:val="00743C38"/>
    <w:rsid w:val="00743F1C"/>
    <w:rsid w:val="007444F2"/>
    <w:rsid w:val="007455BA"/>
    <w:rsid w:val="00745CE1"/>
    <w:rsid w:val="0074659D"/>
    <w:rsid w:val="007468BA"/>
    <w:rsid w:val="00746B36"/>
    <w:rsid w:val="00750017"/>
    <w:rsid w:val="0075002D"/>
    <w:rsid w:val="00750072"/>
    <w:rsid w:val="00750911"/>
    <w:rsid w:val="00750D96"/>
    <w:rsid w:val="00750F80"/>
    <w:rsid w:val="0075179D"/>
    <w:rsid w:val="007522EC"/>
    <w:rsid w:val="0075277A"/>
    <w:rsid w:val="0075318E"/>
    <w:rsid w:val="007531EF"/>
    <w:rsid w:val="007539F1"/>
    <w:rsid w:val="00753F47"/>
    <w:rsid w:val="00753F80"/>
    <w:rsid w:val="0075482D"/>
    <w:rsid w:val="0075530E"/>
    <w:rsid w:val="00755410"/>
    <w:rsid w:val="00755A57"/>
    <w:rsid w:val="00755DD1"/>
    <w:rsid w:val="00755F0D"/>
    <w:rsid w:val="00756035"/>
    <w:rsid w:val="007560EC"/>
    <w:rsid w:val="00756138"/>
    <w:rsid w:val="00757434"/>
    <w:rsid w:val="00757DF2"/>
    <w:rsid w:val="007603AA"/>
    <w:rsid w:val="00760544"/>
    <w:rsid w:val="0076067E"/>
    <w:rsid w:val="007611DC"/>
    <w:rsid w:val="0076128B"/>
    <w:rsid w:val="0076143A"/>
    <w:rsid w:val="00761724"/>
    <w:rsid w:val="00761C32"/>
    <w:rsid w:val="00761EC9"/>
    <w:rsid w:val="0076230B"/>
    <w:rsid w:val="00762FA2"/>
    <w:rsid w:val="00763F00"/>
    <w:rsid w:val="00763F03"/>
    <w:rsid w:val="0076465E"/>
    <w:rsid w:val="007649AD"/>
    <w:rsid w:val="00765C2A"/>
    <w:rsid w:val="007670E4"/>
    <w:rsid w:val="00767518"/>
    <w:rsid w:val="00767552"/>
    <w:rsid w:val="00767BBD"/>
    <w:rsid w:val="00767D48"/>
    <w:rsid w:val="007704CC"/>
    <w:rsid w:val="0077187D"/>
    <w:rsid w:val="00771D37"/>
    <w:rsid w:val="00771F42"/>
    <w:rsid w:val="0077219C"/>
    <w:rsid w:val="00772253"/>
    <w:rsid w:val="007725F6"/>
    <w:rsid w:val="007728AF"/>
    <w:rsid w:val="00772A77"/>
    <w:rsid w:val="00773638"/>
    <w:rsid w:val="00773D7B"/>
    <w:rsid w:val="00774468"/>
    <w:rsid w:val="00774940"/>
    <w:rsid w:val="00774976"/>
    <w:rsid w:val="00775191"/>
    <w:rsid w:val="00775241"/>
    <w:rsid w:val="00776D68"/>
    <w:rsid w:val="0077707D"/>
    <w:rsid w:val="007776FD"/>
    <w:rsid w:val="0077785E"/>
    <w:rsid w:val="00777A84"/>
    <w:rsid w:val="00777B34"/>
    <w:rsid w:val="00777BB5"/>
    <w:rsid w:val="00777E2E"/>
    <w:rsid w:val="00780149"/>
    <w:rsid w:val="0078044C"/>
    <w:rsid w:val="00780854"/>
    <w:rsid w:val="00781329"/>
    <w:rsid w:val="00781BA7"/>
    <w:rsid w:val="00781CAC"/>
    <w:rsid w:val="007828B2"/>
    <w:rsid w:val="00782914"/>
    <w:rsid w:val="00782C63"/>
    <w:rsid w:val="00782CE7"/>
    <w:rsid w:val="0078398E"/>
    <w:rsid w:val="007839B5"/>
    <w:rsid w:val="00783E0E"/>
    <w:rsid w:val="007843D4"/>
    <w:rsid w:val="00784EAC"/>
    <w:rsid w:val="0078522E"/>
    <w:rsid w:val="007855C0"/>
    <w:rsid w:val="00785818"/>
    <w:rsid w:val="007859FE"/>
    <w:rsid w:val="00785D21"/>
    <w:rsid w:val="00785FF9"/>
    <w:rsid w:val="00786810"/>
    <w:rsid w:val="00786AD5"/>
    <w:rsid w:val="00786BE3"/>
    <w:rsid w:val="00786E63"/>
    <w:rsid w:val="007872A7"/>
    <w:rsid w:val="00787621"/>
    <w:rsid w:val="00787C50"/>
    <w:rsid w:val="00787E7E"/>
    <w:rsid w:val="007906A0"/>
    <w:rsid w:val="00790887"/>
    <w:rsid w:val="007909DA"/>
    <w:rsid w:val="00790F78"/>
    <w:rsid w:val="00791A79"/>
    <w:rsid w:val="00791D77"/>
    <w:rsid w:val="00792068"/>
    <w:rsid w:val="00792F66"/>
    <w:rsid w:val="0079330E"/>
    <w:rsid w:val="00793400"/>
    <w:rsid w:val="00793554"/>
    <w:rsid w:val="007938EF"/>
    <w:rsid w:val="00793A0C"/>
    <w:rsid w:val="00793BCD"/>
    <w:rsid w:val="00793C99"/>
    <w:rsid w:val="00793E70"/>
    <w:rsid w:val="00794055"/>
    <w:rsid w:val="00794085"/>
    <w:rsid w:val="00794C3F"/>
    <w:rsid w:val="007952AB"/>
    <w:rsid w:val="007956CF"/>
    <w:rsid w:val="00795A02"/>
    <w:rsid w:val="00795D7D"/>
    <w:rsid w:val="007962FF"/>
    <w:rsid w:val="00796665"/>
    <w:rsid w:val="00796837"/>
    <w:rsid w:val="00796B9F"/>
    <w:rsid w:val="00796F6C"/>
    <w:rsid w:val="007978CC"/>
    <w:rsid w:val="007979BA"/>
    <w:rsid w:val="00797B19"/>
    <w:rsid w:val="00797CCB"/>
    <w:rsid w:val="00797E38"/>
    <w:rsid w:val="007A00C7"/>
    <w:rsid w:val="007A0B25"/>
    <w:rsid w:val="007A1DCC"/>
    <w:rsid w:val="007A208F"/>
    <w:rsid w:val="007A2ACE"/>
    <w:rsid w:val="007A2BA5"/>
    <w:rsid w:val="007A32A0"/>
    <w:rsid w:val="007A36B4"/>
    <w:rsid w:val="007A42AE"/>
    <w:rsid w:val="007A47D7"/>
    <w:rsid w:val="007A4C6C"/>
    <w:rsid w:val="007A51F0"/>
    <w:rsid w:val="007A535A"/>
    <w:rsid w:val="007A5512"/>
    <w:rsid w:val="007A585E"/>
    <w:rsid w:val="007A5B99"/>
    <w:rsid w:val="007A5E1A"/>
    <w:rsid w:val="007A6020"/>
    <w:rsid w:val="007A6284"/>
    <w:rsid w:val="007A72B0"/>
    <w:rsid w:val="007A74E3"/>
    <w:rsid w:val="007A757E"/>
    <w:rsid w:val="007A791B"/>
    <w:rsid w:val="007A7AE2"/>
    <w:rsid w:val="007B0286"/>
    <w:rsid w:val="007B036C"/>
    <w:rsid w:val="007B0583"/>
    <w:rsid w:val="007B082C"/>
    <w:rsid w:val="007B08A5"/>
    <w:rsid w:val="007B10A4"/>
    <w:rsid w:val="007B1170"/>
    <w:rsid w:val="007B1236"/>
    <w:rsid w:val="007B21E4"/>
    <w:rsid w:val="007B27C4"/>
    <w:rsid w:val="007B3111"/>
    <w:rsid w:val="007B3DC3"/>
    <w:rsid w:val="007B3E3E"/>
    <w:rsid w:val="007B4761"/>
    <w:rsid w:val="007B483A"/>
    <w:rsid w:val="007B4F41"/>
    <w:rsid w:val="007B5197"/>
    <w:rsid w:val="007B522C"/>
    <w:rsid w:val="007B522E"/>
    <w:rsid w:val="007B5434"/>
    <w:rsid w:val="007B5BDF"/>
    <w:rsid w:val="007B610F"/>
    <w:rsid w:val="007B6848"/>
    <w:rsid w:val="007B6D2F"/>
    <w:rsid w:val="007B75C2"/>
    <w:rsid w:val="007B78B7"/>
    <w:rsid w:val="007B7B47"/>
    <w:rsid w:val="007B7DC8"/>
    <w:rsid w:val="007B7E68"/>
    <w:rsid w:val="007C0773"/>
    <w:rsid w:val="007C0D13"/>
    <w:rsid w:val="007C1817"/>
    <w:rsid w:val="007C1ADD"/>
    <w:rsid w:val="007C249C"/>
    <w:rsid w:val="007C2B1D"/>
    <w:rsid w:val="007C34E4"/>
    <w:rsid w:val="007C3795"/>
    <w:rsid w:val="007C4191"/>
    <w:rsid w:val="007C5663"/>
    <w:rsid w:val="007C5BC3"/>
    <w:rsid w:val="007C6A1E"/>
    <w:rsid w:val="007C701F"/>
    <w:rsid w:val="007C742A"/>
    <w:rsid w:val="007C7564"/>
    <w:rsid w:val="007C7720"/>
    <w:rsid w:val="007D04D4"/>
    <w:rsid w:val="007D0BF3"/>
    <w:rsid w:val="007D121E"/>
    <w:rsid w:val="007D1C66"/>
    <w:rsid w:val="007D25F1"/>
    <w:rsid w:val="007D2609"/>
    <w:rsid w:val="007D285A"/>
    <w:rsid w:val="007D2906"/>
    <w:rsid w:val="007D315E"/>
    <w:rsid w:val="007D352E"/>
    <w:rsid w:val="007D3541"/>
    <w:rsid w:val="007D3B1E"/>
    <w:rsid w:val="007D3FE6"/>
    <w:rsid w:val="007D51A7"/>
    <w:rsid w:val="007D62EC"/>
    <w:rsid w:val="007D65EE"/>
    <w:rsid w:val="007D6767"/>
    <w:rsid w:val="007D69E1"/>
    <w:rsid w:val="007D69F1"/>
    <w:rsid w:val="007D6E59"/>
    <w:rsid w:val="007D767A"/>
    <w:rsid w:val="007D78E9"/>
    <w:rsid w:val="007D7996"/>
    <w:rsid w:val="007E01CA"/>
    <w:rsid w:val="007E0382"/>
    <w:rsid w:val="007E0473"/>
    <w:rsid w:val="007E0CF3"/>
    <w:rsid w:val="007E0D4D"/>
    <w:rsid w:val="007E0EB4"/>
    <w:rsid w:val="007E0F7E"/>
    <w:rsid w:val="007E13ED"/>
    <w:rsid w:val="007E1440"/>
    <w:rsid w:val="007E1AC1"/>
    <w:rsid w:val="007E220B"/>
    <w:rsid w:val="007E2264"/>
    <w:rsid w:val="007E25FD"/>
    <w:rsid w:val="007E2EE3"/>
    <w:rsid w:val="007E3AE5"/>
    <w:rsid w:val="007E42E2"/>
    <w:rsid w:val="007E4A3D"/>
    <w:rsid w:val="007E5364"/>
    <w:rsid w:val="007E53AC"/>
    <w:rsid w:val="007E5597"/>
    <w:rsid w:val="007E5847"/>
    <w:rsid w:val="007E5BDC"/>
    <w:rsid w:val="007E6C4B"/>
    <w:rsid w:val="007E71E6"/>
    <w:rsid w:val="007E7449"/>
    <w:rsid w:val="007E751A"/>
    <w:rsid w:val="007F0BE6"/>
    <w:rsid w:val="007F1333"/>
    <w:rsid w:val="007F185E"/>
    <w:rsid w:val="007F1ABD"/>
    <w:rsid w:val="007F1B3A"/>
    <w:rsid w:val="007F1D4E"/>
    <w:rsid w:val="007F2995"/>
    <w:rsid w:val="007F2CA8"/>
    <w:rsid w:val="007F2FB2"/>
    <w:rsid w:val="007F36A0"/>
    <w:rsid w:val="007F3D96"/>
    <w:rsid w:val="007F57F6"/>
    <w:rsid w:val="007F5DE4"/>
    <w:rsid w:val="007F648A"/>
    <w:rsid w:val="007F7E16"/>
    <w:rsid w:val="007F7F94"/>
    <w:rsid w:val="0080015D"/>
    <w:rsid w:val="00800B01"/>
    <w:rsid w:val="00800DB2"/>
    <w:rsid w:val="00800EAD"/>
    <w:rsid w:val="00801136"/>
    <w:rsid w:val="00801EB5"/>
    <w:rsid w:val="00802088"/>
    <w:rsid w:val="008030CB"/>
    <w:rsid w:val="00803121"/>
    <w:rsid w:val="00803137"/>
    <w:rsid w:val="00803929"/>
    <w:rsid w:val="00803E42"/>
    <w:rsid w:val="00803EA4"/>
    <w:rsid w:val="00804D49"/>
    <w:rsid w:val="00804EB9"/>
    <w:rsid w:val="0080528C"/>
    <w:rsid w:val="00805C6B"/>
    <w:rsid w:val="0080625A"/>
    <w:rsid w:val="0080681A"/>
    <w:rsid w:val="00806871"/>
    <w:rsid w:val="00806E2F"/>
    <w:rsid w:val="008070D3"/>
    <w:rsid w:val="008074D4"/>
    <w:rsid w:val="0080794F"/>
    <w:rsid w:val="00807D46"/>
    <w:rsid w:val="008103F9"/>
    <w:rsid w:val="0081098C"/>
    <w:rsid w:val="00810A3E"/>
    <w:rsid w:val="00811902"/>
    <w:rsid w:val="00812502"/>
    <w:rsid w:val="00813829"/>
    <w:rsid w:val="00814633"/>
    <w:rsid w:val="00814DCB"/>
    <w:rsid w:val="00815855"/>
    <w:rsid w:val="00815B9A"/>
    <w:rsid w:val="00816823"/>
    <w:rsid w:val="00817919"/>
    <w:rsid w:val="00817A06"/>
    <w:rsid w:val="00820F8D"/>
    <w:rsid w:val="008218A5"/>
    <w:rsid w:val="00822415"/>
    <w:rsid w:val="00822AF9"/>
    <w:rsid w:val="00822CC1"/>
    <w:rsid w:val="00822E25"/>
    <w:rsid w:val="00822E6E"/>
    <w:rsid w:val="00823083"/>
    <w:rsid w:val="008231E4"/>
    <w:rsid w:val="008235B1"/>
    <w:rsid w:val="0082372B"/>
    <w:rsid w:val="0082390C"/>
    <w:rsid w:val="00823A0A"/>
    <w:rsid w:val="00823EE7"/>
    <w:rsid w:val="0082437B"/>
    <w:rsid w:val="00824436"/>
    <w:rsid w:val="0082497B"/>
    <w:rsid w:val="00824C89"/>
    <w:rsid w:val="00825092"/>
    <w:rsid w:val="0082548C"/>
    <w:rsid w:val="00825B7A"/>
    <w:rsid w:val="00825D95"/>
    <w:rsid w:val="008270F2"/>
    <w:rsid w:val="008278E1"/>
    <w:rsid w:val="00827E68"/>
    <w:rsid w:val="00830438"/>
    <w:rsid w:val="00830558"/>
    <w:rsid w:val="00831153"/>
    <w:rsid w:val="008322EA"/>
    <w:rsid w:val="00832583"/>
    <w:rsid w:val="008328C1"/>
    <w:rsid w:val="008339E2"/>
    <w:rsid w:val="00833A33"/>
    <w:rsid w:val="00835202"/>
    <w:rsid w:val="0083545E"/>
    <w:rsid w:val="00835961"/>
    <w:rsid w:val="008368C9"/>
    <w:rsid w:val="00836EEA"/>
    <w:rsid w:val="0083791E"/>
    <w:rsid w:val="00840538"/>
    <w:rsid w:val="0084086E"/>
    <w:rsid w:val="00840BF6"/>
    <w:rsid w:val="00840CED"/>
    <w:rsid w:val="00840F77"/>
    <w:rsid w:val="00841907"/>
    <w:rsid w:val="00841C00"/>
    <w:rsid w:val="0084254F"/>
    <w:rsid w:val="00842793"/>
    <w:rsid w:val="0084335C"/>
    <w:rsid w:val="0084336A"/>
    <w:rsid w:val="00843903"/>
    <w:rsid w:val="00843DE8"/>
    <w:rsid w:val="00844932"/>
    <w:rsid w:val="008454B1"/>
    <w:rsid w:val="008460D4"/>
    <w:rsid w:val="008461B0"/>
    <w:rsid w:val="00846572"/>
    <w:rsid w:val="00846650"/>
    <w:rsid w:val="0084678D"/>
    <w:rsid w:val="00846EC0"/>
    <w:rsid w:val="008473B3"/>
    <w:rsid w:val="0084776E"/>
    <w:rsid w:val="00847891"/>
    <w:rsid w:val="00847AA2"/>
    <w:rsid w:val="00850899"/>
    <w:rsid w:val="00850B5A"/>
    <w:rsid w:val="00851117"/>
    <w:rsid w:val="00851871"/>
    <w:rsid w:val="0085263B"/>
    <w:rsid w:val="00852929"/>
    <w:rsid w:val="00852BA5"/>
    <w:rsid w:val="00852E23"/>
    <w:rsid w:val="008530D2"/>
    <w:rsid w:val="008532B4"/>
    <w:rsid w:val="0085429E"/>
    <w:rsid w:val="00854B5A"/>
    <w:rsid w:val="00855F76"/>
    <w:rsid w:val="00856771"/>
    <w:rsid w:val="00856784"/>
    <w:rsid w:val="00857C45"/>
    <w:rsid w:val="008602A7"/>
    <w:rsid w:val="00860512"/>
    <w:rsid w:val="0086058B"/>
    <w:rsid w:val="00860893"/>
    <w:rsid w:val="008610E4"/>
    <w:rsid w:val="00861EF2"/>
    <w:rsid w:val="00862710"/>
    <w:rsid w:val="00862831"/>
    <w:rsid w:val="008630F3"/>
    <w:rsid w:val="00863177"/>
    <w:rsid w:val="0086346C"/>
    <w:rsid w:val="00863617"/>
    <w:rsid w:val="00864E91"/>
    <w:rsid w:val="00865336"/>
    <w:rsid w:val="00865BBA"/>
    <w:rsid w:val="0086604F"/>
    <w:rsid w:val="00866104"/>
    <w:rsid w:val="008663FC"/>
    <w:rsid w:val="00866458"/>
    <w:rsid w:val="008666CA"/>
    <w:rsid w:val="008668C7"/>
    <w:rsid w:val="008669CB"/>
    <w:rsid w:val="00866C4A"/>
    <w:rsid w:val="008676F6"/>
    <w:rsid w:val="00867C31"/>
    <w:rsid w:val="0087004F"/>
    <w:rsid w:val="00870150"/>
    <w:rsid w:val="008703D3"/>
    <w:rsid w:val="008706A0"/>
    <w:rsid w:val="00870B64"/>
    <w:rsid w:val="00872566"/>
    <w:rsid w:val="008725D7"/>
    <w:rsid w:val="00873419"/>
    <w:rsid w:val="00873AAA"/>
    <w:rsid w:val="008740D6"/>
    <w:rsid w:val="00874987"/>
    <w:rsid w:val="00874C3E"/>
    <w:rsid w:val="00874DC8"/>
    <w:rsid w:val="00875809"/>
    <w:rsid w:val="008766C8"/>
    <w:rsid w:val="00876A6B"/>
    <w:rsid w:val="00876AAA"/>
    <w:rsid w:val="00877F08"/>
    <w:rsid w:val="0088022D"/>
    <w:rsid w:val="00880600"/>
    <w:rsid w:val="008814E5"/>
    <w:rsid w:val="00881DA8"/>
    <w:rsid w:val="00882058"/>
    <w:rsid w:val="0088305C"/>
    <w:rsid w:val="0088323F"/>
    <w:rsid w:val="008833C8"/>
    <w:rsid w:val="00883AF5"/>
    <w:rsid w:val="008848A7"/>
    <w:rsid w:val="00885811"/>
    <w:rsid w:val="00885A3E"/>
    <w:rsid w:val="0088623F"/>
    <w:rsid w:val="00886951"/>
    <w:rsid w:val="00886EAF"/>
    <w:rsid w:val="008871B6"/>
    <w:rsid w:val="008877E0"/>
    <w:rsid w:val="00890215"/>
    <w:rsid w:val="0089057F"/>
    <w:rsid w:val="0089058F"/>
    <w:rsid w:val="00890ECD"/>
    <w:rsid w:val="00890FF3"/>
    <w:rsid w:val="00891115"/>
    <w:rsid w:val="008912E3"/>
    <w:rsid w:val="0089133D"/>
    <w:rsid w:val="008917A1"/>
    <w:rsid w:val="00891A0E"/>
    <w:rsid w:val="00891FE8"/>
    <w:rsid w:val="00892735"/>
    <w:rsid w:val="008927E3"/>
    <w:rsid w:val="00892A1B"/>
    <w:rsid w:val="00892CB6"/>
    <w:rsid w:val="00893FDF"/>
    <w:rsid w:val="00894496"/>
    <w:rsid w:val="00894575"/>
    <w:rsid w:val="00894E37"/>
    <w:rsid w:val="0089564C"/>
    <w:rsid w:val="00895AB5"/>
    <w:rsid w:val="00895FE9"/>
    <w:rsid w:val="008960D8"/>
    <w:rsid w:val="0089630F"/>
    <w:rsid w:val="00896A27"/>
    <w:rsid w:val="00896A40"/>
    <w:rsid w:val="00896C86"/>
    <w:rsid w:val="008977DB"/>
    <w:rsid w:val="008A00E1"/>
    <w:rsid w:val="008A0B83"/>
    <w:rsid w:val="008A0DAA"/>
    <w:rsid w:val="008A0E7F"/>
    <w:rsid w:val="008A159B"/>
    <w:rsid w:val="008A177D"/>
    <w:rsid w:val="008A1D6F"/>
    <w:rsid w:val="008A2305"/>
    <w:rsid w:val="008A2DF0"/>
    <w:rsid w:val="008A30FF"/>
    <w:rsid w:val="008A3D85"/>
    <w:rsid w:val="008A4119"/>
    <w:rsid w:val="008A4416"/>
    <w:rsid w:val="008A493F"/>
    <w:rsid w:val="008A5058"/>
    <w:rsid w:val="008A5BD1"/>
    <w:rsid w:val="008A5C0D"/>
    <w:rsid w:val="008A5C6F"/>
    <w:rsid w:val="008A61A3"/>
    <w:rsid w:val="008A6761"/>
    <w:rsid w:val="008A6C6B"/>
    <w:rsid w:val="008A74A7"/>
    <w:rsid w:val="008A777D"/>
    <w:rsid w:val="008A784D"/>
    <w:rsid w:val="008A7946"/>
    <w:rsid w:val="008A7A4F"/>
    <w:rsid w:val="008A7EA5"/>
    <w:rsid w:val="008B0822"/>
    <w:rsid w:val="008B0A16"/>
    <w:rsid w:val="008B0C64"/>
    <w:rsid w:val="008B12A9"/>
    <w:rsid w:val="008B13F1"/>
    <w:rsid w:val="008B17C5"/>
    <w:rsid w:val="008B1927"/>
    <w:rsid w:val="008B2320"/>
    <w:rsid w:val="008B240D"/>
    <w:rsid w:val="008B24C9"/>
    <w:rsid w:val="008B2784"/>
    <w:rsid w:val="008B2C69"/>
    <w:rsid w:val="008B2C6E"/>
    <w:rsid w:val="008B3089"/>
    <w:rsid w:val="008B35A8"/>
    <w:rsid w:val="008B3822"/>
    <w:rsid w:val="008B3B60"/>
    <w:rsid w:val="008B3D6D"/>
    <w:rsid w:val="008B44C6"/>
    <w:rsid w:val="008B4C40"/>
    <w:rsid w:val="008B4CB9"/>
    <w:rsid w:val="008B554C"/>
    <w:rsid w:val="008B58AD"/>
    <w:rsid w:val="008B5E0B"/>
    <w:rsid w:val="008B5F0A"/>
    <w:rsid w:val="008B6040"/>
    <w:rsid w:val="008B6193"/>
    <w:rsid w:val="008B70E6"/>
    <w:rsid w:val="008B7573"/>
    <w:rsid w:val="008B76BB"/>
    <w:rsid w:val="008C0552"/>
    <w:rsid w:val="008C136A"/>
    <w:rsid w:val="008C1388"/>
    <w:rsid w:val="008C144D"/>
    <w:rsid w:val="008C1847"/>
    <w:rsid w:val="008C1928"/>
    <w:rsid w:val="008C1A3E"/>
    <w:rsid w:val="008C1E70"/>
    <w:rsid w:val="008C2037"/>
    <w:rsid w:val="008C212F"/>
    <w:rsid w:val="008C21A5"/>
    <w:rsid w:val="008C2301"/>
    <w:rsid w:val="008C2309"/>
    <w:rsid w:val="008C257A"/>
    <w:rsid w:val="008C3391"/>
    <w:rsid w:val="008C4B55"/>
    <w:rsid w:val="008C4E7F"/>
    <w:rsid w:val="008C50A9"/>
    <w:rsid w:val="008C52CD"/>
    <w:rsid w:val="008C5954"/>
    <w:rsid w:val="008C5ACA"/>
    <w:rsid w:val="008C645C"/>
    <w:rsid w:val="008C684C"/>
    <w:rsid w:val="008C6900"/>
    <w:rsid w:val="008C6EA1"/>
    <w:rsid w:val="008C7263"/>
    <w:rsid w:val="008C744B"/>
    <w:rsid w:val="008D061F"/>
    <w:rsid w:val="008D08FA"/>
    <w:rsid w:val="008D121B"/>
    <w:rsid w:val="008D1352"/>
    <w:rsid w:val="008D1537"/>
    <w:rsid w:val="008D203D"/>
    <w:rsid w:val="008D2173"/>
    <w:rsid w:val="008D2328"/>
    <w:rsid w:val="008D299A"/>
    <w:rsid w:val="008D2D7B"/>
    <w:rsid w:val="008D343E"/>
    <w:rsid w:val="008D4079"/>
    <w:rsid w:val="008D4266"/>
    <w:rsid w:val="008D51FE"/>
    <w:rsid w:val="008D5A23"/>
    <w:rsid w:val="008D5C56"/>
    <w:rsid w:val="008D643C"/>
    <w:rsid w:val="008D6BCF"/>
    <w:rsid w:val="008D7514"/>
    <w:rsid w:val="008D75C8"/>
    <w:rsid w:val="008D75EF"/>
    <w:rsid w:val="008D7BB4"/>
    <w:rsid w:val="008E066D"/>
    <w:rsid w:val="008E0BAA"/>
    <w:rsid w:val="008E17E7"/>
    <w:rsid w:val="008E1813"/>
    <w:rsid w:val="008E3554"/>
    <w:rsid w:val="008E3627"/>
    <w:rsid w:val="008E3830"/>
    <w:rsid w:val="008E408D"/>
    <w:rsid w:val="008E47C2"/>
    <w:rsid w:val="008E49DA"/>
    <w:rsid w:val="008E4A5D"/>
    <w:rsid w:val="008E4BD0"/>
    <w:rsid w:val="008E4C88"/>
    <w:rsid w:val="008E4E07"/>
    <w:rsid w:val="008E553F"/>
    <w:rsid w:val="008E5699"/>
    <w:rsid w:val="008E5CDA"/>
    <w:rsid w:val="008E6440"/>
    <w:rsid w:val="008E69F2"/>
    <w:rsid w:val="008E6B0F"/>
    <w:rsid w:val="008E7DA3"/>
    <w:rsid w:val="008F0EED"/>
    <w:rsid w:val="008F1021"/>
    <w:rsid w:val="008F111D"/>
    <w:rsid w:val="008F2F24"/>
    <w:rsid w:val="008F39D5"/>
    <w:rsid w:val="008F3EB2"/>
    <w:rsid w:val="008F4132"/>
    <w:rsid w:val="008F476E"/>
    <w:rsid w:val="008F4B65"/>
    <w:rsid w:val="008F4C8C"/>
    <w:rsid w:val="008F4D80"/>
    <w:rsid w:val="008F505F"/>
    <w:rsid w:val="008F51BF"/>
    <w:rsid w:val="008F5596"/>
    <w:rsid w:val="008F581B"/>
    <w:rsid w:val="008F5914"/>
    <w:rsid w:val="008F65AE"/>
    <w:rsid w:val="008F6782"/>
    <w:rsid w:val="008F7C53"/>
    <w:rsid w:val="009000E1"/>
    <w:rsid w:val="009001CD"/>
    <w:rsid w:val="0090041D"/>
    <w:rsid w:val="009005B6"/>
    <w:rsid w:val="009006E2"/>
    <w:rsid w:val="00900917"/>
    <w:rsid w:val="009012F9"/>
    <w:rsid w:val="00901AD2"/>
    <w:rsid w:val="00901D01"/>
    <w:rsid w:val="00902428"/>
    <w:rsid w:val="00902B12"/>
    <w:rsid w:val="00903420"/>
    <w:rsid w:val="00903592"/>
    <w:rsid w:val="00904752"/>
    <w:rsid w:val="0090495A"/>
    <w:rsid w:val="0090544B"/>
    <w:rsid w:val="0090581E"/>
    <w:rsid w:val="00905DA7"/>
    <w:rsid w:val="00905E1D"/>
    <w:rsid w:val="00906143"/>
    <w:rsid w:val="00906168"/>
    <w:rsid w:val="00906501"/>
    <w:rsid w:val="0090673C"/>
    <w:rsid w:val="00906AC1"/>
    <w:rsid w:val="00906E7E"/>
    <w:rsid w:val="0090716F"/>
    <w:rsid w:val="009071F7"/>
    <w:rsid w:val="00907754"/>
    <w:rsid w:val="0091049F"/>
    <w:rsid w:val="009106F2"/>
    <w:rsid w:val="009107F9"/>
    <w:rsid w:val="0091133A"/>
    <w:rsid w:val="0091151F"/>
    <w:rsid w:val="00911DC6"/>
    <w:rsid w:val="00911DF5"/>
    <w:rsid w:val="00912089"/>
    <w:rsid w:val="00912117"/>
    <w:rsid w:val="00912902"/>
    <w:rsid w:val="00912E5C"/>
    <w:rsid w:val="00913349"/>
    <w:rsid w:val="00913716"/>
    <w:rsid w:val="00913B82"/>
    <w:rsid w:val="0091447C"/>
    <w:rsid w:val="00915943"/>
    <w:rsid w:val="00915AF6"/>
    <w:rsid w:val="00915D71"/>
    <w:rsid w:val="00915D9F"/>
    <w:rsid w:val="00917472"/>
    <w:rsid w:val="00917649"/>
    <w:rsid w:val="00917BD5"/>
    <w:rsid w:val="0092018B"/>
    <w:rsid w:val="009210F5"/>
    <w:rsid w:val="00921485"/>
    <w:rsid w:val="0092199C"/>
    <w:rsid w:val="00921B2B"/>
    <w:rsid w:val="009224ED"/>
    <w:rsid w:val="00922781"/>
    <w:rsid w:val="0092279D"/>
    <w:rsid w:val="00922CE8"/>
    <w:rsid w:val="009232A5"/>
    <w:rsid w:val="0092383A"/>
    <w:rsid w:val="0092393A"/>
    <w:rsid w:val="00923EE6"/>
    <w:rsid w:val="00923F22"/>
    <w:rsid w:val="009240B3"/>
    <w:rsid w:val="00924EBE"/>
    <w:rsid w:val="00925689"/>
    <w:rsid w:val="00925804"/>
    <w:rsid w:val="00925A4F"/>
    <w:rsid w:val="00925A57"/>
    <w:rsid w:val="00926565"/>
    <w:rsid w:val="00927456"/>
    <w:rsid w:val="0092753F"/>
    <w:rsid w:val="0093003F"/>
    <w:rsid w:val="00930229"/>
    <w:rsid w:val="00930984"/>
    <w:rsid w:val="0093144F"/>
    <w:rsid w:val="00932ED0"/>
    <w:rsid w:val="009339B2"/>
    <w:rsid w:val="00933D8C"/>
    <w:rsid w:val="009342A0"/>
    <w:rsid w:val="00934663"/>
    <w:rsid w:val="00934AAC"/>
    <w:rsid w:val="00935646"/>
    <w:rsid w:val="0093587D"/>
    <w:rsid w:val="00935DCB"/>
    <w:rsid w:val="00935F31"/>
    <w:rsid w:val="00936469"/>
    <w:rsid w:val="009368F5"/>
    <w:rsid w:val="00937F3B"/>
    <w:rsid w:val="00937F8A"/>
    <w:rsid w:val="00940C84"/>
    <w:rsid w:val="009421AD"/>
    <w:rsid w:val="00942A9F"/>
    <w:rsid w:val="00942BC0"/>
    <w:rsid w:val="00942D7D"/>
    <w:rsid w:val="00942FEC"/>
    <w:rsid w:val="00943271"/>
    <w:rsid w:val="0094379C"/>
    <w:rsid w:val="00944775"/>
    <w:rsid w:val="0094491F"/>
    <w:rsid w:val="00945430"/>
    <w:rsid w:val="00945521"/>
    <w:rsid w:val="00945E1D"/>
    <w:rsid w:val="0094799B"/>
    <w:rsid w:val="009479AA"/>
    <w:rsid w:val="00947E10"/>
    <w:rsid w:val="00950533"/>
    <w:rsid w:val="00950ECE"/>
    <w:rsid w:val="009514C5"/>
    <w:rsid w:val="009518C3"/>
    <w:rsid w:val="0095197F"/>
    <w:rsid w:val="009522B9"/>
    <w:rsid w:val="0095236B"/>
    <w:rsid w:val="009538AD"/>
    <w:rsid w:val="009541BD"/>
    <w:rsid w:val="00955215"/>
    <w:rsid w:val="00955E3C"/>
    <w:rsid w:val="00956273"/>
    <w:rsid w:val="009564C0"/>
    <w:rsid w:val="00956956"/>
    <w:rsid w:val="00956A5A"/>
    <w:rsid w:val="0095705B"/>
    <w:rsid w:val="00957B3B"/>
    <w:rsid w:val="00960CDE"/>
    <w:rsid w:val="00961024"/>
    <w:rsid w:val="0096155A"/>
    <w:rsid w:val="00961647"/>
    <w:rsid w:val="00961A53"/>
    <w:rsid w:val="00962095"/>
    <w:rsid w:val="00962C9D"/>
    <w:rsid w:val="00962D15"/>
    <w:rsid w:val="009633B0"/>
    <w:rsid w:val="0096369F"/>
    <w:rsid w:val="009638C0"/>
    <w:rsid w:val="00963B0E"/>
    <w:rsid w:val="00964570"/>
    <w:rsid w:val="00964852"/>
    <w:rsid w:val="00964E17"/>
    <w:rsid w:val="00964EFD"/>
    <w:rsid w:val="00965316"/>
    <w:rsid w:val="0096579B"/>
    <w:rsid w:val="0096626E"/>
    <w:rsid w:val="00966670"/>
    <w:rsid w:val="00966816"/>
    <w:rsid w:val="00966E1C"/>
    <w:rsid w:val="009671EF"/>
    <w:rsid w:val="0097019E"/>
    <w:rsid w:val="00970444"/>
    <w:rsid w:val="00970D2D"/>
    <w:rsid w:val="009712AF"/>
    <w:rsid w:val="009723A2"/>
    <w:rsid w:val="00972967"/>
    <w:rsid w:val="00973114"/>
    <w:rsid w:val="00973780"/>
    <w:rsid w:val="00974668"/>
    <w:rsid w:val="00975C92"/>
    <w:rsid w:val="00975E5E"/>
    <w:rsid w:val="009761C0"/>
    <w:rsid w:val="00976A57"/>
    <w:rsid w:val="00976C3A"/>
    <w:rsid w:val="00976D94"/>
    <w:rsid w:val="00977D45"/>
    <w:rsid w:val="009800E0"/>
    <w:rsid w:val="00980CF7"/>
    <w:rsid w:val="00980FAE"/>
    <w:rsid w:val="0098102D"/>
    <w:rsid w:val="009813D4"/>
    <w:rsid w:val="009818A7"/>
    <w:rsid w:val="009818D4"/>
    <w:rsid w:val="00981AAB"/>
    <w:rsid w:val="00981DA5"/>
    <w:rsid w:val="009820D8"/>
    <w:rsid w:val="009825F7"/>
    <w:rsid w:val="00982604"/>
    <w:rsid w:val="009828FF"/>
    <w:rsid w:val="00982E0B"/>
    <w:rsid w:val="00982EE7"/>
    <w:rsid w:val="009848D0"/>
    <w:rsid w:val="0098491C"/>
    <w:rsid w:val="00984BDF"/>
    <w:rsid w:val="00985028"/>
    <w:rsid w:val="00985B71"/>
    <w:rsid w:val="00985F2E"/>
    <w:rsid w:val="0098658D"/>
    <w:rsid w:val="00986A8E"/>
    <w:rsid w:val="00986B9F"/>
    <w:rsid w:val="00987374"/>
    <w:rsid w:val="00987B8F"/>
    <w:rsid w:val="00991FD9"/>
    <w:rsid w:val="0099221C"/>
    <w:rsid w:val="0099290F"/>
    <w:rsid w:val="00992CE4"/>
    <w:rsid w:val="00992D0E"/>
    <w:rsid w:val="0099324F"/>
    <w:rsid w:val="00994034"/>
    <w:rsid w:val="009943FF"/>
    <w:rsid w:val="00994BA4"/>
    <w:rsid w:val="009950AA"/>
    <w:rsid w:val="00995255"/>
    <w:rsid w:val="0099588A"/>
    <w:rsid w:val="00995B0B"/>
    <w:rsid w:val="00995E5A"/>
    <w:rsid w:val="009962A9"/>
    <w:rsid w:val="0099653E"/>
    <w:rsid w:val="009967D7"/>
    <w:rsid w:val="00996AFB"/>
    <w:rsid w:val="00996E1B"/>
    <w:rsid w:val="009974A1"/>
    <w:rsid w:val="009974F5"/>
    <w:rsid w:val="009976C7"/>
    <w:rsid w:val="00997C2E"/>
    <w:rsid w:val="00997EA9"/>
    <w:rsid w:val="00997EF2"/>
    <w:rsid w:val="00997F41"/>
    <w:rsid w:val="009A0660"/>
    <w:rsid w:val="009A0886"/>
    <w:rsid w:val="009A08D0"/>
    <w:rsid w:val="009A2556"/>
    <w:rsid w:val="009A2639"/>
    <w:rsid w:val="009A2A61"/>
    <w:rsid w:val="009A2FBD"/>
    <w:rsid w:val="009A3EA1"/>
    <w:rsid w:val="009A3F9F"/>
    <w:rsid w:val="009A4725"/>
    <w:rsid w:val="009A4BED"/>
    <w:rsid w:val="009A5695"/>
    <w:rsid w:val="009A56C8"/>
    <w:rsid w:val="009A5901"/>
    <w:rsid w:val="009A5C05"/>
    <w:rsid w:val="009A6C1D"/>
    <w:rsid w:val="009A6D50"/>
    <w:rsid w:val="009A6E71"/>
    <w:rsid w:val="009A75DC"/>
    <w:rsid w:val="009B0334"/>
    <w:rsid w:val="009B070C"/>
    <w:rsid w:val="009B0FFD"/>
    <w:rsid w:val="009B11C6"/>
    <w:rsid w:val="009B1B82"/>
    <w:rsid w:val="009B24AB"/>
    <w:rsid w:val="009B24E0"/>
    <w:rsid w:val="009B29FE"/>
    <w:rsid w:val="009B2AA6"/>
    <w:rsid w:val="009B2E67"/>
    <w:rsid w:val="009B323A"/>
    <w:rsid w:val="009B34E5"/>
    <w:rsid w:val="009B38F0"/>
    <w:rsid w:val="009B391B"/>
    <w:rsid w:val="009B3B25"/>
    <w:rsid w:val="009B3EB9"/>
    <w:rsid w:val="009B3EEA"/>
    <w:rsid w:val="009B5394"/>
    <w:rsid w:val="009B564E"/>
    <w:rsid w:val="009B5723"/>
    <w:rsid w:val="009B60F9"/>
    <w:rsid w:val="009B6235"/>
    <w:rsid w:val="009B6F25"/>
    <w:rsid w:val="009B7A32"/>
    <w:rsid w:val="009C03CF"/>
    <w:rsid w:val="009C0A66"/>
    <w:rsid w:val="009C0E83"/>
    <w:rsid w:val="009C12C5"/>
    <w:rsid w:val="009C1F0F"/>
    <w:rsid w:val="009C24D6"/>
    <w:rsid w:val="009C2675"/>
    <w:rsid w:val="009C2F2C"/>
    <w:rsid w:val="009C3239"/>
    <w:rsid w:val="009C4642"/>
    <w:rsid w:val="009C4F62"/>
    <w:rsid w:val="009C51BD"/>
    <w:rsid w:val="009C5613"/>
    <w:rsid w:val="009C5730"/>
    <w:rsid w:val="009C5F4A"/>
    <w:rsid w:val="009C5FAE"/>
    <w:rsid w:val="009C62AC"/>
    <w:rsid w:val="009C69F7"/>
    <w:rsid w:val="009C6AB2"/>
    <w:rsid w:val="009C6E60"/>
    <w:rsid w:val="009C7449"/>
    <w:rsid w:val="009C7567"/>
    <w:rsid w:val="009C75D3"/>
    <w:rsid w:val="009D01CD"/>
    <w:rsid w:val="009D01DA"/>
    <w:rsid w:val="009D0642"/>
    <w:rsid w:val="009D0766"/>
    <w:rsid w:val="009D08FA"/>
    <w:rsid w:val="009D10B1"/>
    <w:rsid w:val="009D134C"/>
    <w:rsid w:val="009D154B"/>
    <w:rsid w:val="009D1719"/>
    <w:rsid w:val="009D2595"/>
    <w:rsid w:val="009D2AD0"/>
    <w:rsid w:val="009D359E"/>
    <w:rsid w:val="009D3733"/>
    <w:rsid w:val="009D388C"/>
    <w:rsid w:val="009D3A27"/>
    <w:rsid w:val="009D3D5B"/>
    <w:rsid w:val="009D4259"/>
    <w:rsid w:val="009D42F6"/>
    <w:rsid w:val="009D461B"/>
    <w:rsid w:val="009D4921"/>
    <w:rsid w:val="009D4B74"/>
    <w:rsid w:val="009D54FC"/>
    <w:rsid w:val="009D5739"/>
    <w:rsid w:val="009D62BB"/>
    <w:rsid w:val="009D6750"/>
    <w:rsid w:val="009D6843"/>
    <w:rsid w:val="009D685F"/>
    <w:rsid w:val="009D6C63"/>
    <w:rsid w:val="009D7277"/>
    <w:rsid w:val="009D730C"/>
    <w:rsid w:val="009D765E"/>
    <w:rsid w:val="009D76E1"/>
    <w:rsid w:val="009D77DC"/>
    <w:rsid w:val="009D7907"/>
    <w:rsid w:val="009D7A09"/>
    <w:rsid w:val="009D7C50"/>
    <w:rsid w:val="009E0605"/>
    <w:rsid w:val="009E0BEE"/>
    <w:rsid w:val="009E1320"/>
    <w:rsid w:val="009E18CE"/>
    <w:rsid w:val="009E1AFA"/>
    <w:rsid w:val="009E1F7E"/>
    <w:rsid w:val="009E222D"/>
    <w:rsid w:val="009E24EB"/>
    <w:rsid w:val="009E3DF3"/>
    <w:rsid w:val="009E4587"/>
    <w:rsid w:val="009E4AD1"/>
    <w:rsid w:val="009E4B6A"/>
    <w:rsid w:val="009E5056"/>
    <w:rsid w:val="009E5307"/>
    <w:rsid w:val="009E5431"/>
    <w:rsid w:val="009E5A02"/>
    <w:rsid w:val="009E65A9"/>
    <w:rsid w:val="009E6B32"/>
    <w:rsid w:val="009E6EA5"/>
    <w:rsid w:val="009E725E"/>
    <w:rsid w:val="009F099C"/>
    <w:rsid w:val="009F0EC4"/>
    <w:rsid w:val="009F1017"/>
    <w:rsid w:val="009F14F5"/>
    <w:rsid w:val="009F151A"/>
    <w:rsid w:val="009F1C87"/>
    <w:rsid w:val="009F1F4D"/>
    <w:rsid w:val="009F2175"/>
    <w:rsid w:val="009F235F"/>
    <w:rsid w:val="009F27F5"/>
    <w:rsid w:val="009F28A2"/>
    <w:rsid w:val="009F383C"/>
    <w:rsid w:val="009F3E76"/>
    <w:rsid w:val="009F4448"/>
    <w:rsid w:val="009F514F"/>
    <w:rsid w:val="009F524A"/>
    <w:rsid w:val="009F532A"/>
    <w:rsid w:val="009F62CB"/>
    <w:rsid w:val="009F6D6E"/>
    <w:rsid w:val="009F7532"/>
    <w:rsid w:val="00A003D0"/>
    <w:rsid w:val="00A007F2"/>
    <w:rsid w:val="00A00BBF"/>
    <w:rsid w:val="00A00D80"/>
    <w:rsid w:val="00A00DBA"/>
    <w:rsid w:val="00A01154"/>
    <w:rsid w:val="00A01329"/>
    <w:rsid w:val="00A01D4F"/>
    <w:rsid w:val="00A02179"/>
    <w:rsid w:val="00A02956"/>
    <w:rsid w:val="00A02A73"/>
    <w:rsid w:val="00A038FB"/>
    <w:rsid w:val="00A03BA2"/>
    <w:rsid w:val="00A03BA3"/>
    <w:rsid w:val="00A045E8"/>
    <w:rsid w:val="00A04865"/>
    <w:rsid w:val="00A04A6C"/>
    <w:rsid w:val="00A04C80"/>
    <w:rsid w:val="00A04DF0"/>
    <w:rsid w:val="00A05086"/>
    <w:rsid w:val="00A051FC"/>
    <w:rsid w:val="00A05E64"/>
    <w:rsid w:val="00A06CC4"/>
    <w:rsid w:val="00A07091"/>
    <w:rsid w:val="00A07649"/>
    <w:rsid w:val="00A07FAC"/>
    <w:rsid w:val="00A10D29"/>
    <w:rsid w:val="00A11170"/>
    <w:rsid w:val="00A11838"/>
    <w:rsid w:val="00A11D59"/>
    <w:rsid w:val="00A129C5"/>
    <w:rsid w:val="00A12ECC"/>
    <w:rsid w:val="00A13778"/>
    <w:rsid w:val="00A139F2"/>
    <w:rsid w:val="00A141D9"/>
    <w:rsid w:val="00A14ECC"/>
    <w:rsid w:val="00A14EDD"/>
    <w:rsid w:val="00A158FA"/>
    <w:rsid w:val="00A15D8D"/>
    <w:rsid w:val="00A16899"/>
    <w:rsid w:val="00A16A67"/>
    <w:rsid w:val="00A16C64"/>
    <w:rsid w:val="00A16C9B"/>
    <w:rsid w:val="00A17D3F"/>
    <w:rsid w:val="00A201D0"/>
    <w:rsid w:val="00A204B2"/>
    <w:rsid w:val="00A204B4"/>
    <w:rsid w:val="00A20828"/>
    <w:rsid w:val="00A20B80"/>
    <w:rsid w:val="00A20E9D"/>
    <w:rsid w:val="00A211D5"/>
    <w:rsid w:val="00A21A6E"/>
    <w:rsid w:val="00A21C2B"/>
    <w:rsid w:val="00A21FF6"/>
    <w:rsid w:val="00A22F19"/>
    <w:rsid w:val="00A2322F"/>
    <w:rsid w:val="00A232B2"/>
    <w:rsid w:val="00A23851"/>
    <w:rsid w:val="00A2428D"/>
    <w:rsid w:val="00A24CDE"/>
    <w:rsid w:val="00A2519E"/>
    <w:rsid w:val="00A251CF"/>
    <w:rsid w:val="00A2528C"/>
    <w:rsid w:val="00A2558A"/>
    <w:rsid w:val="00A25865"/>
    <w:rsid w:val="00A26655"/>
    <w:rsid w:val="00A2678D"/>
    <w:rsid w:val="00A26D8E"/>
    <w:rsid w:val="00A26E73"/>
    <w:rsid w:val="00A26FED"/>
    <w:rsid w:val="00A27046"/>
    <w:rsid w:val="00A270D5"/>
    <w:rsid w:val="00A27152"/>
    <w:rsid w:val="00A27E02"/>
    <w:rsid w:val="00A27F82"/>
    <w:rsid w:val="00A30770"/>
    <w:rsid w:val="00A30C2F"/>
    <w:rsid w:val="00A30CF4"/>
    <w:rsid w:val="00A31545"/>
    <w:rsid w:val="00A31DC9"/>
    <w:rsid w:val="00A31F83"/>
    <w:rsid w:val="00A322F5"/>
    <w:rsid w:val="00A328BA"/>
    <w:rsid w:val="00A32B8D"/>
    <w:rsid w:val="00A32C4E"/>
    <w:rsid w:val="00A32D32"/>
    <w:rsid w:val="00A33496"/>
    <w:rsid w:val="00A33A4D"/>
    <w:rsid w:val="00A33EA7"/>
    <w:rsid w:val="00A348A3"/>
    <w:rsid w:val="00A34931"/>
    <w:rsid w:val="00A35231"/>
    <w:rsid w:val="00A35F04"/>
    <w:rsid w:val="00A35F69"/>
    <w:rsid w:val="00A3623F"/>
    <w:rsid w:val="00A363CD"/>
    <w:rsid w:val="00A401CB"/>
    <w:rsid w:val="00A40EF8"/>
    <w:rsid w:val="00A415D9"/>
    <w:rsid w:val="00A41A0E"/>
    <w:rsid w:val="00A41E6F"/>
    <w:rsid w:val="00A42878"/>
    <w:rsid w:val="00A42A32"/>
    <w:rsid w:val="00A42E3D"/>
    <w:rsid w:val="00A432A1"/>
    <w:rsid w:val="00A4363B"/>
    <w:rsid w:val="00A43EE0"/>
    <w:rsid w:val="00A442EE"/>
    <w:rsid w:val="00A44576"/>
    <w:rsid w:val="00A44605"/>
    <w:rsid w:val="00A453B1"/>
    <w:rsid w:val="00A45435"/>
    <w:rsid w:val="00A45451"/>
    <w:rsid w:val="00A4591D"/>
    <w:rsid w:val="00A45B53"/>
    <w:rsid w:val="00A45E34"/>
    <w:rsid w:val="00A46800"/>
    <w:rsid w:val="00A475D3"/>
    <w:rsid w:val="00A47952"/>
    <w:rsid w:val="00A47BB0"/>
    <w:rsid w:val="00A501E0"/>
    <w:rsid w:val="00A502F6"/>
    <w:rsid w:val="00A506D5"/>
    <w:rsid w:val="00A50A2F"/>
    <w:rsid w:val="00A50ECE"/>
    <w:rsid w:val="00A51044"/>
    <w:rsid w:val="00A5197B"/>
    <w:rsid w:val="00A5209E"/>
    <w:rsid w:val="00A521E1"/>
    <w:rsid w:val="00A5255A"/>
    <w:rsid w:val="00A539CF"/>
    <w:rsid w:val="00A543A8"/>
    <w:rsid w:val="00A55886"/>
    <w:rsid w:val="00A55BC2"/>
    <w:rsid w:val="00A55C2B"/>
    <w:rsid w:val="00A55D37"/>
    <w:rsid w:val="00A55E3D"/>
    <w:rsid w:val="00A55EE8"/>
    <w:rsid w:val="00A566AB"/>
    <w:rsid w:val="00A56F29"/>
    <w:rsid w:val="00A57178"/>
    <w:rsid w:val="00A576E8"/>
    <w:rsid w:val="00A578C3"/>
    <w:rsid w:val="00A57BA0"/>
    <w:rsid w:val="00A57F41"/>
    <w:rsid w:val="00A60ACF"/>
    <w:rsid w:val="00A629DC"/>
    <w:rsid w:val="00A632F9"/>
    <w:rsid w:val="00A634BB"/>
    <w:rsid w:val="00A63528"/>
    <w:rsid w:val="00A63B44"/>
    <w:rsid w:val="00A63D6C"/>
    <w:rsid w:val="00A6456F"/>
    <w:rsid w:val="00A646FF"/>
    <w:rsid w:val="00A6562F"/>
    <w:rsid w:val="00A656B6"/>
    <w:rsid w:val="00A65D92"/>
    <w:rsid w:val="00A670D9"/>
    <w:rsid w:val="00A6748E"/>
    <w:rsid w:val="00A67FE1"/>
    <w:rsid w:val="00A7008C"/>
    <w:rsid w:val="00A703F0"/>
    <w:rsid w:val="00A7088D"/>
    <w:rsid w:val="00A70BCC"/>
    <w:rsid w:val="00A70BF3"/>
    <w:rsid w:val="00A70C28"/>
    <w:rsid w:val="00A70E73"/>
    <w:rsid w:val="00A7225C"/>
    <w:rsid w:val="00A7232E"/>
    <w:rsid w:val="00A72618"/>
    <w:rsid w:val="00A7401D"/>
    <w:rsid w:val="00A7403D"/>
    <w:rsid w:val="00A743AC"/>
    <w:rsid w:val="00A743E7"/>
    <w:rsid w:val="00A74570"/>
    <w:rsid w:val="00A7497E"/>
    <w:rsid w:val="00A74B61"/>
    <w:rsid w:val="00A753D5"/>
    <w:rsid w:val="00A76CF3"/>
    <w:rsid w:val="00A76F9D"/>
    <w:rsid w:val="00A773B5"/>
    <w:rsid w:val="00A777BF"/>
    <w:rsid w:val="00A77A75"/>
    <w:rsid w:val="00A800A7"/>
    <w:rsid w:val="00A803D6"/>
    <w:rsid w:val="00A8049F"/>
    <w:rsid w:val="00A80901"/>
    <w:rsid w:val="00A81664"/>
    <w:rsid w:val="00A81B26"/>
    <w:rsid w:val="00A81CA5"/>
    <w:rsid w:val="00A82995"/>
    <w:rsid w:val="00A82AEA"/>
    <w:rsid w:val="00A82F03"/>
    <w:rsid w:val="00A82FF5"/>
    <w:rsid w:val="00A83E88"/>
    <w:rsid w:val="00A8414D"/>
    <w:rsid w:val="00A84512"/>
    <w:rsid w:val="00A84A82"/>
    <w:rsid w:val="00A84BE7"/>
    <w:rsid w:val="00A84C0C"/>
    <w:rsid w:val="00A84CD8"/>
    <w:rsid w:val="00A84EB8"/>
    <w:rsid w:val="00A84F83"/>
    <w:rsid w:val="00A85204"/>
    <w:rsid w:val="00A85218"/>
    <w:rsid w:val="00A8526F"/>
    <w:rsid w:val="00A854F2"/>
    <w:rsid w:val="00A866BE"/>
    <w:rsid w:val="00A866EA"/>
    <w:rsid w:val="00A86815"/>
    <w:rsid w:val="00A869A6"/>
    <w:rsid w:val="00A86F07"/>
    <w:rsid w:val="00A871AA"/>
    <w:rsid w:val="00A9022E"/>
    <w:rsid w:val="00A90820"/>
    <w:rsid w:val="00A90FC4"/>
    <w:rsid w:val="00A90FDD"/>
    <w:rsid w:val="00A91056"/>
    <w:rsid w:val="00A91167"/>
    <w:rsid w:val="00A9119E"/>
    <w:rsid w:val="00A9144F"/>
    <w:rsid w:val="00A9147F"/>
    <w:rsid w:val="00A9184F"/>
    <w:rsid w:val="00A92823"/>
    <w:rsid w:val="00A93609"/>
    <w:rsid w:val="00A9396D"/>
    <w:rsid w:val="00A9456A"/>
    <w:rsid w:val="00A94740"/>
    <w:rsid w:val="00A94ABC"/>
    <w:rsid w:val="00A94AEB"/>
    <w:rsid w:val="00A94C15"/>
    <w:rsid w:val="00A9598A"/>
    <w:rsid w:val="00A95F21"/>
    <w:rsid w:val="00A96688"/>
    <w:rsid w:val="00A969F2"/>
    <w:rsid w:val="00A97182"/>
    <w:rsid w:val="00AA03BF"/>
    <w:rsid w:val="00AA0EDE"/>
    <w:rsid w:val="00AA12B6"/>
    <w:rsid w:val="00AA19C2"/>
    <w:rsid w:val="00AA1A45"/>
    <w:rsid w:val="00AA1D8A"/>
    <w:rsid w:val="00AA26DA"/>
    <w:rsid w:val="00AA27DF"/>
    <w:rsid w:val="00AA2DF9"/>
    <w:rsid w:val="00AA3810"/>
    <w:rsid w:val="00AA3902"/>
    <w:rsid w:val="00AA3D46"/>
    <w:rsid w:val="00AA400F"/>
    <w:rsid w:val="00AA46B5"/>
    <w:rsid w:val="00AA474C"/>
    <w:rsid w:val="00AA48D6"/>
    <w:rsid w:val="00AA4D24"/>
    <w:rsid w:val="00AA5573"/>
    <w:rsid w:val="00AA59AE"/>
    <w:rsid w:val="00AA59D9"/>
    <w:rsid w:val="00AA6833"/>
    <w:rsid w:val="00AA7689"/>
    <w:rsid w:val="00AA7694"/>
    <w:rsid w:val="00AB0852"/>
    <w:rsid w:val="00AB0B64"/>
    <w:rsid w:val="00AB132E"/>
    <w:rsid w:val="00AB1FDA"/>
    <w:rsid w:val="00AB210F"/>
    <w:rsid w:val="00AB21D4"/>
    <w:rsid w:val="00AB227B"/>
    <w:rsid w:val="00AB25FE"/>
    <w:rsid w:val="00AB2FDC"/>
    <w:rsid w:val="00AB32B3"/>
    <w:rsid w:val="00AB33F8"/>
    <w:rsid w:val="00AB3689"/>
    <w:rsid w:val="00AB39AB"/>
    <w:rsid w:val="00AB41B5"/>
    <w:rsid w:val="00AB48D1"/>
    <w:rsid w:val="00AB4B32"/>
    <w:rsid w:val="00AB4E6D"/>
    <w:rsid w:val="00AB5120"/>
    <w:rsid w:val="00AB52E0"/>
    <w:rsid w:val="00AB5453"/>
    <w:rsid w:val="00AB56F1"/>
    <w:rsid w:val="00AB573F"/>
    <w:rsid w:val="00AB60E9"/>
    <w:rsid w:val="00AB63D4"/>
    <w:rsid w:val="00AB658B"/>
    <w:rsid w:val="00AB7537"/>
    <w:rsid w:val="00AB79A0"/>
    <w:rsid w:val="00AC03AD"/>
    <w:rsid w:val="00AC0B97"/>
    <w:rsid w:val="00AC1266"/>
    <w:rsid w:val="00AC1310"/>
    <w:rsid w:val="00AC17FC"/>
    <w:rsid w:val="00AC1885"/>
    <w:rsid w:val="00AC1D1F"/>
    <w:rsid w:val="00AC2177"/>
    <w:rsid w:val="00AC2CB2"/>
    <w:rsid w:val="00AC2F91"/>
    <w:rsid w:val="00AC31E7"/>
    <w:rsid w:val="00AC3FD4"/>
    <w:rsid w:val="00AC4ADA"/>
    <w:rsid w:val="00AC4B3B"/>
    <w:rsid w:val="00AC4B58"/>
    <w:rsid w:val="00AC4DC0"/>
    <w:rsid w:val="00AC50F0"/>
    <w:rsid w:val="00AC57C5"/>
    <w:rsid w:val="00AC5931"/>
    <w:rsid w:val="00AC6ECE"/>
    <w:rsid w:val="00AC6EF7"/>
    <w:rsid w:val="00AC744C"/>
    <w:rsid w:val="00AC7D05"/>
    <w:rsid w:val="00AD0C6A"/>
    <w:rsid w:val="00AD1002"/>
    <w:rsid w:val="00AD1A0C"/>
    <w:rsid w:val="00AD2385"/>
    <w:rsid w:val="00AD2E65"/>
    <w:rsid w:val="00AD364C"/>
    <w:rsid w:val="00AD3BC4"/>
    <w:rsid w:val="00AD3D4A"/>
    <w:rsid w:val="00AD3F94"/>
    <w:rsid w:val="00AD465D"/>
    <w:rsid w:val="00AD485F"/>
    <w:rsid w:val="00AD4ED0"/>
    <w:rsid w:val="00AD5735"/>
    <w:rsid w:val="00AD589E"/>
    <w:rsid w:val="00AD5A25"/>
    <w:rsid w:val="00AD5C57"/>
    <w:rsid w:val="00AD5E2C"/>
    <w:rsid w:val="00AD61C2"/>
    <w:rsid w:val="00AD6952"/>
    <w:rsid w:val="00AD6B52"/>
    <w:rsid w:val="00AD6F5C"/>
    <w:rsid w:val="00AD7515"/>
    <w:rsid w:val="00AD7A06"/>
    <w:rsid w:val="00AE02F5"/>
    <w:rsid w:val="00AE040E"/>
    <w:rsid w:val="00AE07A6"/>
    <w:rsid w:val="00AE10B8"/>
    <w:rsid w:val="00AE196D"/>
    <w:rsid w:val="00AE1A4B"/>
    <w:rsid w:val="00AE243E"/>
    <w:rsid w:val="00AE2564"/>
    <w:rsid w:val="00AE2CBE"/>
    <w:rsid w:val="00AE2D58"/>
    <w:rsid w:val="00AE2D6F"/>
    <w:rsid w:val="00AE37DC"/>
    <w:rsid w:val="00AE38A8"/>
    <w:rsid w:val="00AE38DA"/>
    <w:rsid w:val="00AE3C80"/>
    <w:rsid w:val="00AE3DB5"/>
    <w:rsid w:val="00AE3E03"/>
    <w:rsid w:val="00AE46A4"/>
    <w:rsid w:val="00AE5B36"/>
    <w:rsid w:val="00AE62D1"/>
    <w:rsid w:val="00AE697E"/>
    <w:rsid w:val="00AE6C1B"/>
    <w:rsid w:val="00AE6CC8"/>
    <w:rsid w:val="00AE7A3F"/>
    <w:rsid w:val="00AF00D8"/>
    <w:rsid w:val="00AF0D72"/>
    <w:rsid w:val="00AF1377"/>
    <w:rsid w:val="00AF1910"/>
    <w:rsid w:val="00AF1A77"/>
    <w:rsid w:val="00AF1E9E"/>
    <w:rsid w:val="00AF1EFB"/>
    <w:rsid w:val="00AF26D0"/>
    <w:rsid w:val="00AF2E97"/>
    <w:rsid w:val="00AF34C4"/>
    <w:rsid w:val="00AF3617"/>
    <w:rsid w:val="00AF4E9B"/>
    <w:rsid w:val="00AF56FC"/>
    <w:rsid w:val="00AF5C08"/>
    <w:rsid w:val="00AF6415"/>
    <w:rsid w:val="00AF6BDC"/>
    <w:rsid w:val="00AF6BDE"/>
    <w:rsid w:val="00AF6E95"/>
    <w:rsid w:val="00AF71CF"/>
    <w:rsid w:val="00B0042A"/>
    <w:rsid w:val="00B005B9"/>
    <w:rsid w:val="00B00A7F"/>
    <w:rsid w:val="00B00B4B"/>
    <w:rsid w:val="00B01797"/>
    <w:rsid w:val="00B01FE5"/>
    <w:rsid w:val="00B02A5F"/>
    <w:rsid w:val="00B03740"/>
    <w:rsid w:val="00B03963"/>
    <w:rsid w:val="00B04526"/>
    <w:rsid w:val="00B04614"/>
    <w:rsid w:val="00B04DBD"/>
    <w:rsid w:val="00B052AD"/>
    <w:rsid w:val="00B061BB"/>
    <w:rsid w:val="00B06490"/>
    <w:rsid w:val="00B06764"/>
    <w:rsid w:val="00B06E79"/>
    <w:rsid w:val="00B07175"/>
    <w:rsid w:val="00B071B4"/>
    <w:rsid w:val="00B07930"/>
    <w:rsid w:val="00B07E26"/>
    <w:rsid w:val="00B101D4"/>
    <w:rsid w:val="00B1033C"/>
    <w:rsid w:val="00B10381"/>
    <w:rsid w:val="00B103C7"/>
    <w:rsid w:val="00B10424"/>
    <w:rsid w:val="00B1086C"/>
    <w:rsid w:val="00B10A4F"/>
    <w:rsid w:val="00B10EEB"/>
    <w:rsid w:val="00B1169F"/>
    <w:rsid w:val="00B11CE8"/>
    <w:rsid w:val="00B12051"/>
    <w:rsid w:val="00B1231B"/>
    <w:rsid w:val="00B12B8B"/>
    <w:rsid w:val="00B12DF3"/>
    <w:rsid w:val="00B12F35"/>
    <w:rsid w:val="00B1364F"/>
    <w:rsid w:val="00B1372E"/>
    <w:rsid w:val="00B13A59"/>
    <w:rsid w:val="00B14600"/>
    <w:rsid w:val="00B14712"/>
    <w:rsid w:val="00B148D0"/>
    <w:rsid w:val="00B14913"/>
    <w:rsid w:val="00B14967"/>
    <w:rsid w:val="00B14EFA"/>
    <w:rsid w:val="00B150C8"/>
    <w:rsid w:val="00B156CD"/>
    <w:rsid w:val="00B1614C"/>
    <w:rsid w:val="00B164B0"/>
    <w:rsid w:val="00B169A2"/>
    <w:rsid w:val="00B16AD3"/>
    <w:rsid w:val="00B16F3F"/>
    <w:rsid w:val="00B170E5"/>
    <w:rsid w:val="00B17A47"/>
    <w:rsid w:val="00B17F79"/>
    <w:rsid w:val="00B2002A"/>
    <w:rsid w:val="00B203A8"/>
    <w:rsid w:val="00B2040E"/>
    <w:rsid w:val="00B21435"/>
    <w:rsid w:val="00B2154A"/>
    <w:rsid w:val="00B215A6"/>
    <w:rsid w:val="00B215F2"/>
    <w:rsid w:val="00B21E91"/>
    <w:rsid w:val="00B22AE6"/>
    <w:rsid w:val="00B22C5B"/>
    <w:rsid w:val="00B23203"/>
    <w:rsid w:val="00B232DD"/>
    <w:rsid w:val="00B238B0"/>
    <w:rsid w:val="00B24419"/>
    <w:rsid w:val="00B24529"/>
    <w:rsid w:val="00B25A4F"/>
    <w:rsid w:val="00B25D91"/>
    <w:rsid w:val="00B25E39"/>
    <w:rsid w:val="00B263C7"/>
    <w:rsid w:val="00B265D2"/>
    <w:rsid w:val="00B26767"/>
    <w:rsid w:val="00B2706C"/>
    <w:rsid w:val="00B2742A"/>
    <w:rsid w:val="00B2757C"/>
    <w:rsid w:val="00B27C58"/>
    <w:rsid w:val="00B300D9"/>
    <w:rsid w:val="00B30105"/>
    <w:rsid w:val="00B30705"/>
    <w:rsid w:val="00B30A18"/>
    <w:rsid w:val="00B3190D"/>
    <w:rsid w:val="00B3276C"/>
    <w:rsid w:val="00B32A3E"/>
    <w:rsid w:val="00B32E3F"/>
    <w:rsid w:val="00B3301B"/>
    <w:rsid w:val="00B332E0"/>
    <w:rsid w:val="00B33888"/>
    <w:rsid w:val="00B33A2E"/>
    <w:rsid w:val="00B33A50"/>
    <w:rsid w:val="00B33E1A"/>
    <w:rsid w:val="00B344E8"/>
    <w:rsid w:val="00B34D3E"/>
    <w:rsid w:val="00B35448"/>
    <w:rsid w:val="00B3547A"/>
    <w:rsid w:val="00B36519"/>
    <w:rsid w:val="00B366D4"/>
    <w:rsid w:val="00B366F0"/>
    <w:rsid w:val="00B373CF"/>
    <w:rsid w:val="00B374A7"/>
    <w:rsid w:val="00B376AE"/>
    <w:rsid w:val="00B3787B"/>
    <w:rsid w:val="00B37E51"/>
    <w:rsid w:val="00B403C8"/>
    <w:rsid w:val="00B40593"/>
    <w:rsid w:val="00B40626"/>
    <w:rsid w:val="00B40905"/>
    <w:rsid w:val="00B40F19"/>
    <w:rsid w:val="00B40F8A"/>
    <w:rsid w:val="00B41691"/>
    <w:rsid w:val="00B41C6F"/>
    <w:rsid w:val="00B41FAD"/>
    <w:rsid w:val="00B420BE"/>
    <w:rsid w:val="00B421CC"/>
    <w:rsid w:val="00B4235B"/>
    <w:rsid w:val="00B43617"/>
    <w:rsid w:val="00B43EED"/>
    <w:rsid w:val="00B44A7C"/>
    <w:rsid w:val="00B44C02"/>
    <w:rsid w:val="00B44E87"/>
    <w:rsid w:val="00B44E8E"/>
    <w:rsid w:val="00B45D67"/>
    <w:rsid w:val="00B460B1"/>
    <w:rsid w:val="00B4658B"/>
    <w:rsid w:val="00B46C37"/>
    <w:rsid w:val="00B46D18"/>
    <w:rsid w:val="00B46D90"/>
    <w:rsid w:val="00B46DAB"/>
    <w:rsid w:val="00B47318"/>
    <w:rsid w:val="00B47854"/>
    <w:rsid w:val="00B47888"/>
    <w:rsid w:val="00B47B84"/>
    <w:rsid w:val="00B47BAE"/>
    <w:rsid w:val="00B504BB"/>
    <w:rsid w:val="00B507EB"/>
    <w:rsid w:val="00B50A1D"/>
    <w:rsid w:val="00B51BB4"/>
    <w:rsid w:val="00B51BF4"/>
    <w:rsid w:val="00B52ED5"/>
    <w:rsid w:val="00B52FBF"/>
    <w:rsid w:val="00B53402"/>
    <w:rsid w:val="00B5385A"/>
    <w:rsid w:val="00B53F46"/>
    <w:rsid w:val="00B541C1"/>
    <w:rsid w:val="00B54CA0"/>
    <w:rsid w:val="00B54E54"/>
    <w:rsid w:val="00B562C4"/>
    <w:rsid w:val="00B56470"/>
    <w:rsid w:val="00B5664F"/>
    <w:rsid w:val="00B56C34"/>
    <w:rsid w:val="00B56F8E"/>
    <w:rsid w:val="00B56FFF"/>
    <w:rsid w:val="00B57149"/>
    <w:rsid w:val="00B5735F"/>
    <w:rsid w:val="00B5783A"/>
    <w:rsid w:val="00B57845"/>
    <w:rsid w:val="00B60771"/>
    <w:rsid w:val="00B60C66"/>
    <w:rsid w:val="00B6142E"/>
    <w:rsid w:val="00B6189D"/>
    <w:rsid w:val="00B61D39"/>
    <w:rsid w:val="00B625CE"/>
    <w:rsid w:val="00B627FE"/>
    <w:rsid w:val="00B63311"/>
    <w:rsid w:val="00B638F2"/>
    <w:rsid w:val="00B63EDB"/>
    <w:rsid w:val="00B642FC"/>
    <w:rsid w:val="00B64432"/>
    <w:rsid w:val="00B64B4E"/>
    <w:rsid w:val="00B655E1"/>
    <w:rsid w:val="00B65D03"/>
    <w:rsid w:val="00B6678B"/>
    <w:rsid w:val="00B66EBC"/>
    <w:rsid w:val="00B6708A"/>
    <w:rsid w:val="00B675DC"/>
    <w:rsid w:val="00B67678"/>
    <w:rsid w:val="00B677C1"/>
    <w:rsid w:val="00B6781E"/>
    <w:rsid w:val="00B679D9"/>
    <w:rsid w:val="00B70393"/>
    <w:rsid w:val="00B7055E"/>
    <w:rsid w:val="00B7066F"/>
    <w:rsid w:val="00B7078B"/>
    <w:rsid w:val="00B707E6"/>
    <w:rsid w:val="00B70BF0"/>
    <w:rsid w:val="00B71E01"/>
    <w:rsid w:val="00B72005"/>
    <w:rsid w:val="00B72337"/>
    <w:rsid w:val="00B73E9B"/>
    <w:rsid w:val="00B7450B"/>
    <w:rsid w:val="00B74D38"/>
    <w:rsid w:val="00B75361"/>
    <w:rsid w:val="00B75555"/>
    <w:rsid w:val="00B75862"/>
    <w:rsid w:val="00B75E63"/>
    <w:rsid w:val="00B763E7"/>
    <w:rsid w:val="00B768C9"/>
    <w:rsid w:val="00B7776D"/>
    <w:rsid w:val="00B778E7"/>
    <w:rsid w:val="00B77921"/>
    <w:rsid w:val="00B80768"/>
    <w:rsid w:val="00B80DA6"/>
    <w:rsid w:val="00B812ED"/>
    <w:rsid w:val="00B829DC"/>
    <w:rsid w:val="00B82AD4"/>
    <w:rsid w:val="00B8303F"/>
    <w:rsid w:val="00B8351E"/>
    <w:rsid w:val="00B83ABB"/>
    <w:rsid w:val="00B8487C"/>
    <w:rsid w:val="00B84935"/>
    <w:rsid w:val="00B85510"/>
    <w:rsid w:val="00B85BBF"/>
    <w:rsid w:val="00B85FE4"/>
    <w:rsid w:val="00B86EC8"/>
    <w:rsid w:val="00B86EFF"/>
    <w:rsid w:val="00B86F0B"/>
    <w:rsid w:val="00B90132"/>
    <w:rsid w:val="00B901EA"/>
    <w:rsid w:val="00B90578"/>
    <w:rsid w:val="00B90F81"/>
    <w:rsid w:val="00B9139F"/>
    <w:rsid w:val="00B91891"/>
    <w:rsid w:val="00B91A12"/>
    <w:rsid w:val="00B9202D"/>
    <w:rsid w:val="00B9287C"/>
    <w:rsid w:val="00B92E24"/>
    <w:rsid w:val="00B93267"/>
    <w:rsid w:val="00B937E7"/>
    <w:rsid w:val="00B944E8"/>
    <w:rsid w:val="00B94DF8"/>
    <w:rsid w:val="00B95239"/>
    <w:rsid w:val="00B952F9"/>
    <w:rsid w:val="00B95B29"/>
    <w:rsid w:val="00B971E7"/>
    <w:rsid w:val="00B97289"/>
    <w:rsid w:val="00B974D4"/>
    <w:rsid w:val="00B97DE7"/>
    <w:rsid w:val="00BA0870"/>
    <w:rsid w:val="00BA0E49"/>
    <w:rsid w:val="00BA0EDE"/>
    <w:rsid w:val="00BA1127"/>
    <w:rsid w:val="00BA1183"/>
    <w:rsid w:val="00BA12F9"/>
    <w:rsid w:val="00BA1912"/>
    <w:rsid w:val="00BA1F6C"/>
    <w:rsid w:val="00BA2730"/>
    <w:rsid w:val="00BA34F9"/>
    <w:rsid w:val="00BA3823"/>
    <w:rsid w:val="00BA3BD0"/>
    <w:rsid w:val="00BA479E"/>
    <w:rsid w:val="00BA4D39"/>
    <w:rsid w:val="00BA5158"/>
    <w:rsid w:val="00BA5989"/>
    <w:rsid w:val="00BA6270"/>
    <w:rsid w:val="00BA67A0"/>
    <w:rsid w:val="00BA67B3"/>
    <w:rsid w:val="00BA685A"/>
    <w:rsid w:val="00BA6CB6"/>
    <w:rsid w:val="00BB05DB"/>
    <w:rsid w:val="00BB0686"/>
    <w:rsid w:val="00BB07B9"/>
    <w:rsid w:val="00BB0AB9"/>
    <w:rsid w:val="00BB0EF2"/>
    <w:rsid w:val="00BB1114"/>
    <w:rsid w:val="00BB1605"/>
    <w:rsid w:val="00BB179C"/>
    <w:rsid w:val="00BB1833"/>
    <w:rsid w:val="00BB188F"/>
    <w:rsid w:val="00BB1BF5"/>
    <w:rsid w:val="00BB2850"/>
    <w:rsid w:val="00BB2FA3"/>
    <w:rsid w:val="00BB31B9"/>
    <w:rsid w:val="00BB37D6"/>
    <w:rsid w:val="00BB3FDB"/>
    <w:rsid w:val="00BB46AF"/>
    <w:rsid w:val="00BB4B93"/>
    <w:rsid w:val="00BB4F34"/>
    <w:rsid w:val="00BB4FCC"/>
    <w:rsid w:val="00BB504A"/>
    <w:rsid w:val="00BB59ED"/>
    <w:rsid w:val="00BB5F32"/>
    <w:rsid w:val="00BB6028"/>
    <w:rsid w:val="00BB691D"/>
    <w:rsid w:val="00BB6B46"/>
    <w:rsid w:val="00BB6F97"/>
    <w:rsid w:val="00BB70BA"/>
    <w:rsid w:val="00BB7451"/>
    <w:rsid w:val="00BB7666"/>
    <w:rsid w:val="00BB786F"/>
    <w:rsid w:val="00BB7BD3"/>
    <w:rsid w:val="00BC0016"/>
    <w:rsid w:val="00BC0AB4"/>
    <w:rsid w:val="00BC0B39"/>
    <w:rsid w:val="00BC0DA9"/>
    <w:rsid w:val="00BC1571"/>
    <w:rsid w:val="00BC1B41"/>
    <w:rsid w:val="00BC1D94"/>
    <w:rsid w:val="00BC2788"/>
    <w:rsid w:val="00BC29E2"/>
    <w:rsid w:val="00BC37DA"/>
    <w:rsid w:val="00BC4257"/>
    <w:rsid w:val="00BC4E89"/>
    <w:rsid w:val="00BC53D6"/>
    <w:rsid w:val="00BC5B29"/>
    <w:rsid w:val="00BC5E18"/>
    <w:rsid w:val="00BC5F8D"/>
    <w:rsid w:val="00BC6BC7"/>
    <w:rsid w:val="00BC7BAB"/>
    <w:rsid w:val="00BC7CB2"/>
    <w:rsid w:val="00BC7D79"/>
    <w:rsid w:val="00BC7FF1"/>
    <w:rsid w:val="00BD0245"/>
    <w:rsid w:val="00BD0C6F"/>
    <w:rsid w:val="00BD0D0E"/>
    <w:rsid w:val="00BD103A"/>
    <w:rsid w:val="00BD10F7"/>
    <w:rsid w:val="00BD1BE6"/>
    <w:rsid w:val="00BD1CE2"/>
    <w:rsid w:val="00BD2069"/>
    <w:rsid w:val="00BD2254"/>
    <w:rsid w:val="00BD2739"/>
    <w:rsid w:val="00BD2936"/>
    <w:rsid w:val="00BD2BFB"/>
    <w:rsid w:val="00BD3D24"/>
    <w:rsid w:val="00BD4199"/>
    <w:rsid w:val="00BD4946"/>
    <w:rsid w:val="00BD63C8"/>
    <w:rsid w:val="00BD68B3"/>
    <w:rsid w:val="00BD7AFA"/>
    <w:rsid w:val="00BD7BE4"/>
    <w:rsid w:val="00BD7BEA"/>
    <w:rsid w:val="00BE034D"/>
    <w:rsid w:val="00BE04A5"/>
    <w:rsid w:val="00BE0993"/>
    <w:rsid w:val="00BE0BED"/>
    <w:rsid w:val="00BE0FB9"/>
    <w:rsid w:val="00BE16A7"/>
    <w:rsid w:val="00BE183D"/>
    <w:rsid w:val="00BE1B38"/>
    <w:rsid w:val="00BE208A"/>
    <w:rsid w:val="00BE262B"/>
    <w:rsid w:val="00BE2D74"/>
    <w:rsid w:val="00BE3987"/>
    <w:rsid w:val="00BE3FC3"/>
    <w:rsid w:val="00BE41C3"/>
    <w:rsid w:val="00BE43F7"/>
    <w:rsid w:val="00BE46F6"/>
    <w:rsid w:val="00BE48F8"/>
    <w:rsid w:val="00BE4CD4"/>
    <w:rsid w:val="00BE5012"/>
    <w:rsid w:val="00BE5727"/>
    <w:rsid w:val="00BE6053"/>
    <w:rsid w:val="00BE618F"/>
    <w:rsid w:val="00BE72A1"/>
    <w:rsid w:val="00BE74FC"/>
    <w:rsid w:val="00BE774B"/>
    <w:rsid w:val="00BE7D5D"/>
    <w:rsid w:val="00BF0058"/>
    <w:rsid w:val="00BF016B"/>
    <w:rsid w:val="00BF02BE"/>
    <w:rsid w:val="00BF03A1"/>
    <w:rsid w:val="00BF07F0"/>
    <w:rsid w:val="00BF0BB7"/>
    <w:rsid w:val="00BF0DEE"/>
    <w:rsid w:val="00BF1526"/>
    <w:rsid w:val="00BF1851"/>
    <w:rsid w:val="00BF1927"/>
    <w:rsid w:val="00BF2A63"/>
    <w:rsid w:val="00BF2AB3"/>
    <w:rsid w:val="00BF3931"/>
    <w:rsid w:val="00BF3F56"/>
    <w:rsid w:val="00BF4B0D"/>
    <w:rsid w:val="00BF4FFA"/>
    <w:rsid w:val="00BF51F6"/>
    <w:rsid w:val="00BF569B"/>
    <w:rsid w:val="00BF56C4"/>
    <w:rsid w:val="00BF5BF2"/>
    <w:rsid w:val="00BF5E17"/>
    <w:rsid w:val="00BF61ED"/>
    <w:rsid w:val="00BF706E"/>
    <w:rsid w:val="00BF723A"/>
    <w:rsid w:val="00BF7375"/>
    <w:rsid w:val="00BF753E"/>
    <w:rsid w:val="00BF7C9D"/>
    <w:rsid w:val="00C0090C"/>
    <w:rsid w:val="00C00AF2"/>
    <w:rsid w:val="00C010DA"/>
    <w:rsid w:val="00C01966"/>
    <w:rsid w:val="00C01A3C"/>
    <w:rsid w:val="00C01B2D"/>
    <w:rsid w:val="00C01F66"/>
    <w:rsid w:val="00C020A4"/>
    <w:rsid w:val="00C022DF"/>
    <w:rsid w:val="00C02A2B"/>
    <w:rsid w:val="00C02A3B"/>
    <w:rsid w:val="00C038FC"/>
    <w:rsid w:val="00C03BC6"/>
    <w:rsid w:val="00C03F38"/>
    <w:rsid w:val="00C051C7"/>
    <w:rsid w:val="00C0528C"/>
    <w:rsid w:val="00C057B5"/>
    <w:rsid w:val="00C05C3B"/>
    <w:rsid w:val="00C0668F"/>
    <w:rsid w:val="00C07171"/>
    <w:rsid w:val="00C071E6"/>
    <w:rsid w:val="00C07AFC"/>
    <w:rsid w:val="00C07FFB"/>
    <w:rsid w:val="00C1085C"/>
    <w:rsid w:val="00C10BB7"/>
    <w:rsid w:val="00C10E4D"/>
    <w:rsid w:val="00C10E79"/>
    <w:rsid w:val="00C1107B"/>
    <w:rsid w:val="00C1162B"/>
    <w:rsid w:val="00C11A23"/>
    <w:rsid w:val="00C11A3C"/>
    <w:rsid w:val="00C11BBF"/>
    <w:rsid w:val="00C1219D"/>
    <w:rsid w:val="00C121FE"/>
    <w:rsid w:val="00C125F1"/>
    <w:rsid w:val="00C126C8"/>
    <w:rsid w:val="00C13698"/>
    <w:rsid w:val="00C13731"/>
    <w:rsid w:val="00C13BD1"/>
    <w:rsid w:val="00C13E2C"/>
    <w:rsid w:val="00C14631"/>
    <w:rsid w:val="00C14856"/>
    <w:rsid w:val="00C151B0"/>
    <w:rsid w:val="00C154D4"/>
    <w:rsid w:val="00C15D2B"/>
    <w:rsid w:val="00C16AE3"/>
    <w:rsid w:val="00C1717A"/>
    <w:rsid w:val="00C17228"/>
    <w:rsid w:val="00C173D1"/>
    <w:rsid w:val="00C17950"/>
    <w:rsid w:val="00C17C64"/>
    <w:rsid w:val="00C2073D"/>
    <w:rsid w:val="00C2082E"/>
    <w:rsid w:val="00C21B5E"/>
    <w:rsid w:val="00C21C0E"/>
    <w:rsid w:val="00C22259"/>
    <w:rsid w:val="00C225B4"/>
    <w:rsid w:val="00C23210"/>
    <w:rsid w:val="00C233A5"/>
    <w:rsid w:val="00C2345A"/>
    <w:rsid w:val="00C2376A"/>
    <w:rsid w:val="00C237CA"/>
    <w:rsid w:val="00C23B7A"/>
    <w:rsid w:val="00C242C9"/>
    <w:rsid w:val="00C246C4"/>
    <w:rsid w:val="00C24737"/>
    <w:rsid w:val="00C24FF8"/>
    <w:rsid w:val="00C25542"/>
    <w:rsid w:val="00C25B35"/>
    <w:rsid w:val="00C25B96"/>
    <w:rsid w:val="00C25DDB"/>
    <w:rsid w:val="00C26107"/>
    <w:rsid w:val="00C262BE"/>
    <w:rsid w:val="00C27497"/>
    <w:rsid w:val="00C27957"/>
    <w:rsid w:val="00C27A8E"/>
    <w:rsid w:val="00C27F5A"/>
    <w:rsid w:val="00C30AB8"/>
    <w:rsid w:val="00C310BD"/>
    <w:rsid w:val="00C314A5"/>
    <w:rsid w:val="00C3215A"/>
    <w:rsid w:val="00C32178"/>
    <w:rsid w:val="00C342F2"/>
    <w:rsid w:val="00C34555"/>
    <w:rsid w:val="00C347A7"/>
    <w:rsid w:val="00C34954"/>
    <w:rsid w:val="00C34BED"/>
    <w:rsid w:val="00C352AB"/>
    <w:rsid w:val="00C35589"/>
    <w:rsid w:val="00C35821"/>
    <w:rsid w:val="00C36696"/>
    <w:rsid w:val="00C3678D"/>
    <w:rsid w:val="00C36F36"/>
    <w:rsid w:val="00C37A13"/>
    <w:rsid w:val="00C37CF9"/>
    <w:rsid w:val="00C40085"/>
    <w:rsid w:val="00C400E8"/>
    <w:rsid w:val="00C40453"/>
    <w:rsid w:val="00C40799"/>
    <w:rsid w:val="00C40F04"/>
    <w:rsid w:val="00C414B8"/>
    <w:rsid w:val="00C41934"/>
    <w:rsid w:val="00C41A2D"/>
    <w:rsid w:val="00C41B38"/>
    <w:rsid w:val="00C41F4B"/>
    <w:rsid w:val="00C420A4"/>
    <w:rsid w:val="00C4245C"/>
    <w:rsid w:val="00C426AB"/>
    <w:rsid w:val="00C42C4B"/>
    <w:rsid w:val="00C43B4F"/>
    <w:rsid w:val="00C43B9C"/>
    <w:rsid w:val="00C43D00"/>
    <w:rsid w:val="00C443AE"/>
    <w:rsid w:val="00C44A9B"/>
    <w:rsid w:val="00C44C22"/>
    <w:rsid w:val="00C450D2"/>
    <w:rsid w:val="00C45A2C"/>
    <w:rsid w:val="00C45ADF"/>
    <w:rsid w:val="00C45ECD"/>
    <w:rsid w:val="00C45FB1"/>
    <w:rsid w:val="00C46418"/>
    <w:rsid w:val="00C46F3D"/>
    <w:rsid w:val="00C47097"/>
    <w:rsid w:val="00C47572"/>
    <w:rsid w:val="00C475F4"/>
    <w:rsid w:val="00C47622"/>
    <w:rsid w:val="00C47D31"/>
    <w:rsid w:val="00C47EAE"/>
    <w:rsid w:val="00C503DC"/>
    <w:rsid w:val="00C504E5"/>
    <w:rsid w:val="00C5110C"/>
    <w:rsid w:val="00C51390"/>
    <w:rsid w:val="00C51536"/>
    <w:rsid w:val="00C51657"/>
    <w:rsid w:val="00C51ECF"/>
    <w:rsid w:val="00C53739"/>
    <w:rsid w:val="00C5378F"/>
    <w:rsid w:val="00C54455"/>
    <w:rsid w:val="00C548EF"/>
    <w:rsid w:val="00C54C3F"/>
    <w:rsid w:val="00C5526E"/>
    <w:rsid w:val="00C55874"/>
    <w:rsid w:val="00C55885"/>
    <w:rsid w:val="00C55BAA"/>
    <w:rsid w:val="00C55C0A"/>
    <w:rsid w:val="00C562E6"/>
    <w:rsid w:val="00C567C0"/>
    <w:rsid w:val="00C56E0E"/>
    <w:rsid w:val="00C571F9"/>
    <w:rsid w:val="00C579A9"/>
    <w:rsid w:val="00C57F52"/>
    <w:rsid w:val="00C60A1B"/>
    <w:rsid w:val="00C60D62"/>
    <w:rsid w:val="00C60E2B"/>
    <w:rsid w:val="00C60FD0"/>
    <w:rsid w:val="00C612D8"/>
    <w:rsid w:val="00C6191E"/>
    <w:rsid w:val="00C62285"/>
    <w:rsid w:val="00C62BFA"/>
    <w:rsid w:val="00C62D24"/>
    <w:rsid w:val="00C63005"/>
    <w:rsid w:val="00C63592"/>
    <w:rsid w:val="00C635F4"/>
    <w:rsid w:val="00C63805"/>
    <w:rsid w:val="00C63A08"/>
    <w:rsid w:val="00C63A6B"/>
    <w:rsid w:val="00C63E28"/>
    <w:rsid w:val="00C6417B"/>
    <w:rsid w:val="00C645FB"/>
    <w:rsid w:val="00C6471E"/>
    <w:rsid w:val="00C649F2"/>
    <w:rsid w:val="00C64B4B"/>
    <w:rsid w:val="00C64ECA"/>
    <w:rsid w:val="00C6566D"/>
    <w:rsid w:val="00C65C52"/>
    <w:rsid w:val="00C65E4A"/>
    <w:rsid w:val="00C661A9"/>
    <w:rsid w:val="00C663B3"/>
    <w:rsid w:val="00C66B4F"/>
    <w:rsid w:val="00C66D69"/>
    <w:rsid w:val="00C66F01"/>
    <w:rsid w:val="00C66F21"/>
    <w:rsid w:val="00C67B57"/>
    <w:rsid w:val="00C7025F"/>
    <w:rsid w:val="00C70A94"/>
    <w:rsid w:val="00C714C4"/>
    <w:rsid w:val="00C715A9"/>
    <w:rsid w:val="00C718DC"/>
    <w:rsid w:val="00C71AC4"/>
    <w:rsid w:val="00C71EB8"/>
    <w:rsid w:val="00C72EA0"/>
    <w:rsid w:val="00C73D86"/>
    <w:rsid w:val="00C74323"/>
    <w:rsid w:val="00C74451"/>
    <w:rsid w:val="00C7455F"/>
    <w:rsid w:val="00C75D9E"/>
    <w:rsid w:val="00C75FCF"/>
    <w:rsid w:val="00C76688"/>
    <w:rsid w:val="00C766AA"/>
    <w:rsid w:val="00C76EA2"/>
    <w:rsid w:val="00C773E9"/>
    <w:rsid w:val="00C775FE"/>
    <w:rsid w:val="00C77E04"/>
    <w:rsid w:val="00C80134"/>
    <w:rsid w:val="00C80BAD"/>
    <w:rsid w:val="00C80C8B"/>
    <w:rsid w:val="00C8113F"/>
    <w:rsid w:val="00C81208"/>
    <w:rsid w:val="00C8142F"/>
    <w:rsid w:val="00C8255F"/>
    <w:rsid w:val="00C82FF1"/>
    <w:rsid w:val="00C832D4"/>
    <w:rsid w:val="00C837A0"/>
    <w:rsid w:val="00C839C7"/>
    <w:rsid w:val="00C83E71"/>
    <w:rsid w:val="00C84BE9"/>
    <w:rsid w:val="00C85036"/>
    <w:rsid w:val="00C855A2"/>
    <w:rsid w:val="00C85879"/>
    <w:rsid w:val="00C86690"/>
    <w:rsid w:val="00C8685A"/>
    <w:rsid w:val="00C86A38"/>
    <w:rsid w:val="00C8708F"/>
    <w:rsid w:val="00C874E5"/>
    <w:rsid w:val="00C87503"/>
    <w:rsid w:val="00C90A10"/>
    <w:rsid w:val="00C90EED"/>
    <w:rsid w:val="00C91518"/>
    <w:rsid w:val="00C919A7"/>
    <w:rsid w:val="00C91B2C"/>
    <w:rsid w:val="00C91F5A"/>
    <w:rsid w:val="00C923E9"/>
    <w:rsid w:val="00C927E9"/>
    <w:rsid w:val="00C92A74"/>
    <w:rsid w:val="00C92EC6"/>
    <w:rsid w:val="00C93583"/>
    <w:rsid w:val="00C93811"/>
    <w:rsid w:val="00C939A3"/>
    <w:rsid w:val="00C93CBE"/>
    <w:rsid w:val="00C945BF"/>
    <w:rsid w:val="00C946B5"/>
    <w:rsid w:val="00C94A4A"/>
    <w:rsid w:val="00C94F0F"/>
    <w:rsid w:val="00C950C2"/>
    <w:rsid w:val="00C955F0"/>
    <w:rsid w:val="00C96156"/>
    <w:rsid w:val="00C965E0"/>
    <w:rsid w:val="00C967CB"/>
    <w:rsid w:val="00C96DEA"/>
    <w:rsid w:val="00C96FD4"/>
    <w:rsid w:val="00C97339"/>
    <w:rsid w:val="00C9734B"/>
    <w:rsid w:val="00C973DF"/>
    <w:rsid w:val="00C976A6"/>
    <w:rsid w:val="00CA001A"/>
    <w:rsid w:val="00CA0164"/>
    <w:rsid w:val="00CA08F1"/>
    <w:rsid w:val="00CA0907"/>
    <w:rsid w:val="00CA1B93"/>
    <w:rsid w:val="00CA1D36"/>
    <w:rsid w:val="00CA1EA3"/>
    <w:rsid w:val="00CA2068"/>
    <w:rsid w:val="00CA29E8"/>
    <w:rsid w:val="00CA2EB0"/>
    <w:rsid w:val="00CA2ECD"/>
    <w:rsid w:val="00CA31A6"/>
    <w:rsid w:val="00CA3327"/>
    <w:rsid w:val="00CA357B"/>
    <w:rsid w:val="00CA3656"/>
    <w:rsid w:val="00CA37C8"/>
    <w:rsid w:val="00CA386D"/>
    <w:rsid w:val="00CA3FC5"/>
    <w:rsid w:val="00CA43A7"/>
    <w:rsid w:val="00CA44C8"/>
    <w:rsid w:val="00CA45F8"/>
    <w:rsid w:val="00CA5315"/>
    <w:rsid w:val="00CA606E"/>
    <w:rsid w:val="00CA6250"/>
    <w:rsid w:val="00CA628B"/>
    <w:rsid w:val="00CA6D5B"/>
    <w:rsid w:val="00CA7519"/>
    <w:rsid w:val="00CA76CA"/>
    <w:rsid w:val="00CA7D2E"/>
    <w:rsid w:val="00CB02FC"/>
    <w:rsid w:val="00CB074F"/>
    <w:rsid w:val="00CB0816"/>
    <w:rsid w:val="00CB1443"/>
    <w:rsid w:val="00CB17E7"/>
    <w:rsid w:val="00CB20FB"/>
    <w:rsid w:val="00CB2804"/>
    <w:rsid w:val="00CB328C"/>
    <w:rsid w:val="00CB3297"/>
    <w:rsid w:val="00CB3F90"/>
    <w:rsid w:val="00CB3FB7"/>
    <w:rsid w:val="00CB4065"/>
    <w:rsid w:val="00CB4A58"/>
    <w:rsid w:val="00CB4FF5"/>
    <w:rsid w:val="00CB53B3"/>
    <w:rsid w:val="00CB5545"/>
    <w:rsid w:val="00CB6597"/>
    <w:rsid w:val="00CB689F"/>
    <w:rsid w:val="00CB6AF2"/>
    <w:rsid w:val="00CB6E08"/>
    <w:rsid w:val="00CC0747"/>
    <w:rsid w:val="00CC0D03"/>
    <w:rsid w:val="00CC0D1D"/>
    <w:rsid w:val="00CC0EC2"/>
    <w:rsid w:val="00CC0FF8"/>
    <w:rsid w:val="00CC108D"/>
    <w:rsid w:val="00CC1F3F"/>
    <w:rsid w:val="00CC1F5A"/>
    <w:rsid w:val="00CC2BE6"/>
    <w:rsid w:val="00CC346E"/>
    <w:rsid w:val="00CC3667"/>
    <w:rsid w:val="00CC39FA"/>
    <w:rsid w:val="00CC3CA2"/>
    <w:rsid w:val="00CC4352"/>
    <w:rsid w:val="00CC4389"/>
    <w:rsid w:val="00CC4853"/>
    <w:rsid w:val="00CC4EA8"/>
    <w:rsid w:val="00CC55ED"/>
    <w:rsid w:val="00CC56C9"/>
    <w:rsid w:val="00CC5AB1"/>
    <w:rsid w:val="00CC6110"/>
    <w:rsid w:val="00CC6E2A"/>
    <w:rsid w:val="00CC6E84"/>
    <w:rsid w:val="00CC752E"/>
    <w:rsid w:val="00CC7A38"/>
    <w:rsid w:val="00CC7B42"/>
    <w:rsid w:val="00CD052F"/>
    <w:rsid w:val="00CD0627"/>
    <w:rsid w:val="00CD11AC"/>
    <w:rsid w:val="00CD1E0D"/>
    <w:rsid w:val="00CD2016"/>
    <w:rsid w:val="00CD2D15"/>
    <w:rsid w:val="00CD3541"/>
    <w:rsid w:val="00CD378F"/>
    <w:rsid w:val="00CD3C95"/>
    <w:rsid w:val="00CD3DD7"/>
    <w:rsid w:val="00CD4186"/>
    <w:rsid w:val="00CD444B"/>
    <w:rsid w:val="00CD46D9"/>
    <w:rsid w:val="00CD4E88"/>
    <w:rsid w:val="00CD538B"/>
    <w:rsid w:val="00CD5D71"/>
    <w:rsid w:val="00CD6C35"/>
    <w:rsid w:val="00CD6D83"/>
    <w:rsid w:val="00CD7332"/>
    <w:rsid w:val="00CD7FDE"/>
    <w:rsid w:val="00CE024D"/>
    <w:rsid w:val="00CE027B"/>
    <w:rsid w:val="00CE033E"/>
    <w:rsid w:val="00CE072F"/>
    <w:rsid w:val="00CE0776"/>
    <w:rsid w:val="00CE1437"/>
    <w:rsid w:val="00CE194C"/>
    <w:rsid w:val="00CE1C25"/>
    <w:rsid w:val="00CE1D63"/>
    <w:rsid w:val="00CE1E2C"/>
    <w:rsid w:val="00CE2B1A"/>
    <w:rsid w:val="00CE37E2"/>
    <w:rsid w:val="00CE386F"/>
    <w:rsid w:val="00CE3A76"/>
    <w:rsid w:val="00CE3D76"/>
    <w:rsid w:val="00CE3D8D"/>
    <w:rsid w:val="00CE46D1"/>
    <w:rsid w:val="00CE5635"/>
    <w:rsid w:val="00CE5995"/>
    <w:rsid w:val="00CE5C1B"/>
    <w:rsid w:val="00CE6A3A"/>
    <w:rsid w:val="00CE6BAF"/>
    <w:rsid w:val="00CE6D3F"/>
    <w:rsid w:val="00CE7C20"/>
    <w:rsid w:val="00CF0465"/>
    <w:rsid w:val="00CF047C"/>
    <w:rsid w:val="00CF0A51"/>
    <w:rsid w:val="00CF1795"/>
    <w:rsid w:val="00CF1A31"/>
    <w:rsid w:val="00CF1F60"/>
    <w:rsid w:val="00CF27A7"/>
    <w:rsid w:val="00CF2930"/>
    <w:rsid w:val="00CF2AE4"/>
    <w:rsid w:val="00CF2C5A"/>
    <w:rsid w:val="00CF301E"/>
    <w:rsid w:val="00CF38F0"/>
    <w:rsid w:val="00CF392B"/>
    <w:rsid w:val="00CF397E"/>
    <w:rsid w:val="00CF466E"/>
    <w:rsid w:val="00CF48F5"/>
    <w:rsid w:val="00CF4CE5"/>
    <w:rsid w:val="00CF5023"/>
    <w:rsid w:val="00CF538F"/>
    <w:rsid w:val="00CF55FB"/>
    <w:rsid w:val="00CF5C8C"/>
    <w:rsid w:val="00CF688C"/>
    <w:rsid w:val="00CF6F64"/>
    <w:rsid w:val="00CF717D"/>
    <w:rsid w:val="00CF72B7"/>
    <w:rsid w:val="00CF7ABC"/>
    <w:rsid w:val="00D00C34"/>
    <w:rsid w:val="00D01476"/>
    <w:rsid w:val="00D015D2"/>
    <w:rsid w:val="00D0170F"/>
    <w:rsid w:val="00D017E8"/>
    <w:rsid w:val="00D0208C"/>
    <w:rsid w:val="00D020AC"/>
    <w:rsid w:val="00D023ED"/>
    <w:rsid w:val="00D02814"/>
    <w:rsid w:val="00D030BC"/>
    <w:rsid w:val="00D034A4"/>
    <w:rsid w:val="00D034BF"/>
    <w:rsid w:val="00D03798"/>
    <w:rsid w:val="00D03D79"/>
    <w:rsid w:val="00D0427A"/>
    <w:rsid w:val="00D0455B"/>
    <w:rsid w:val="00D045BA"/>
    <w:rsid w:val="00D04EFD"/>
    <w:rsid w:val="00D04FF4"/>
    <w:rsid w:val="00D05D02"/>
    <w:rsid w:val="00D0605B"/>
    <w:rsid w:val="00D060CD"/>
    <w:rsid w:val="00D063FB"/>
    <w:rsid w:val="00D068AA"/>
    <w:rsid w:val="00D06B92"/>
    <w:rsid w:val="00D07870"/>
    <w:rsid w:val="00D07C37"/>
    <w:rsid w:val="00D07F0E"/>
    <w:rsid w:val="00D07F4A"/>
    <w:rsid w:val="00D10172"/>
    <w:rsid w:val="00D10476"/>
    <w:rsid w:val="00D10A0A"/>
    <w:rsid w:val="00D10EE4"/>
    <w:rsid w:val="00D111A7"/>
    <w:rsid w:val="00D130F3"/>
    <w:rsid w:val="00D139CD"/>
    <w:rsid w:val="00D13C58"/>
    <w:rsid w:val="00D13E93"/>
    <w:rsid w:val="00D144E0"/>
    <w:rsid w:val="00D1506D"/>
    <w:rsid w:val="00D15A19"/>
    <w:rsid w:val="00D15BF4"/>
    <w:rsid w:val="00D16112"/>
    <w:rsid w:val="00D16206"/>
    <w:rsid w:val="00D164A7"/>
    <w:rsid w:val="00D167B1"/>
    <w:rsid w:val="00D17118"/>
    <w:rsid w:val="00D1753F"/>
    <w:rsid w:val="00D17556"/>
    <w:rsid w:val="00D17561"/>
    <w:rsid w:val="00D17674"/>
    <w:rsid w:val="00D17743"/>
    <w:rsid w:val="00D17931"/>
    <w:rsid w:val="00D179ED"/>
    <w:rsid w:val="00D17A31"/>
    <w:rsid w:val="00D20BF2"/>
    <w:rsid w:val="00D20D6E"/>
    <w:rsid w:val="00D20DDB"/>
    <w:rsid w:val="00D21392"/>
    <w:rsid w:val="00D21EEB"/>
    <w:rsid w:val="00D221A2"/>
    <w:rsid w:val="00D22B44"/>
    <w:rsid w:val="00D22C04"/>
    <w:rsid w:val="00D22E13"/>
    <w:rsid w:val="00D23CD2"/>
    <w:rsid w:val="00D2410D"/>
    <w:rsid w:val="00D24722"/>
    <w:rsid w:val="00D24FF9"/>
    <w:rsid w:val="00D250D9"/>
    <w:rsid w:val="00D257A0"/>
    <w:rsid w:val="00D2598F"/>
    <w:rsid w:val="00D25A77"/>
    <w:rsid w:val="00D25FBE"/>
    <w:rsid w:val="00D25FDE"/>
    <w:rsid w:val="00D26376"/>
    <w:rsid w:val="00D2663F"/>
    <w:rsid w:val="00D266F6"/>
    <w:rsid w:val="00D27065"/>
    <w:rsid w:val="00D27A43"/>
    <w:rsid w:val="00D27B08"/>
    <w:rsid w:val="00D31994"/>
    <w:rsid w:val="00D3243E"/>
    <w:rsid w:val="00D32921"/>
    <w:rsid w:val="00D32BC3"/>
    <w:rsid w:val="00D32D9D"/>
    <w:rsid w:val="00D34AA2"/>
    <w:rsid w:val="00D35348"/>
    <w:rsid w:val="00D35437"/>
    <w:rsid w:val="00D364B3"/>
    <w:rsid w:val="00D36C6A"/>
    <w:rsid w:val="00D3706E"/>
    <w:rsid w:val="00D377D4"/>
    <w:rsid w:val="00D401F8"/>
    <w:rsid w:val="00D40FDD"/>
    <w:rsid w:val="00D41076"/>
    <w:rsid w:val="00D41167"/>
    <w:rsid w:val="00D420B2"/>
    <w:rsid w:val="00D422B1"/>
    <w:rsid w:val="00D426B2"/>
    <w:rsid w:val="00D42AF4"/>
    <w:rsid w:val="00D434D1"/>
    <w:rsid w:val="00D438CD"/>
    <w:rsid w:val="00D439AD"/>
    <w:rsid w:val="00D43D11"/>
    <w:rsid w:val="00D44791"/>
    <w:rsid w:val="00D447B8"/>
    <w:rsid w:val="00D44B54"/>
    <w:rsid w:val="00D44B78"/>
    <w:rsid w:val="00D44FB2"/>
    <w:rsid w:val="00D45094"/>
    <w:rsid w:val="00D45994"/>
    <w:rsid w:val="00D45A2E"/>
    <w:rsid w:val="00D46FFA"/>
    <w:rsid w:val="00D4776B"/>
    <w:rsid w:val="00D50860"/>
    <w:rsid w:val="00D509E8"/>
    <w:rsid w:val="00D50C29"/>
    <w:rsid w:val="00D50DC7"/>
    <w:rsid w:val="00D50F6A"/>
    <w:rsid w:val="00D51F37"/>
    <w:rsid w:val="00D52713"/>
    <w:rsid w:val="00D52E2D"/>
    <w:rsid w:val="00D531D0"/>
    <w:rsid w:val="00D54192"/>
    <w:rsid w:val="00D5444A"/>
    <w:rsid w:val="00D5590E"/>
    <w:rsid w:val="00D56469"/>
    <w:rsid w:val="00D5699B"/>
    <w:rsid w:val="00D56EFD"/>
    <w:rsid w:val="00D56FCB"/>
    <w:rsid w:val="00D574F3"/>
    <w:rsid w:val="00D57C8A"/>
    <w:rsid w:val="00D6078F"/>
    <w:rsid w:val="00D60C8B"/>
    <w:rsid w:val="00D60E5D"/>
    <w:rsid w:val="00D61275"/>
    <w:rsid w:val="00D615C4"/>
    <w:rsid w:val="00D62B45"/>
    <w:rsid w:val="00D62C63"/>
    <w:rsid w:val="00D62CC5"/>
    <w:rsid w:val="00D62EF8"/>
    <w:rsid w:val="00D6349B"/>
    <w:rsid w:val="00D640DE"/>
    <w:rsid w:val="00D644F1"/>
    <w:rsid w:val="00D6470E"/>
    <w:rsid w:val="00D64A45"/>
    <w:rsid w:val="00D64C58"/>
    <w:rsid w:val="00D64D2E"/>
    <w:rsid w:val="00D64DAD"/>
    <w:rsid w:val="00D65616"/>
    <w:rsid w:val="00D669A7"/>
    <w:rsid w:val="00D67692"/>
    <w:rsid w:val="00D678C4"/>
    <w:rsid w:val="00D704D2"/>
    <w:rsid w:val="00D70502"/>
    <w:rsid w:val="00D706EC"/>
    <w:rsid w:val="00D707A1"/>
    <w:rsid w:val="00D7094C"/>
    <w:rsid w:val="00D70C03"/>
    <w:rsid w:val="00D71DD7"/>
    <w:rsid w:val="00D72A26"/>
    <w:rsid w:val="00D73016"/>
    <w:rsid w:val="00D73076"/>
    <w:rsid w:val="00D73127"/>
    <w:rsid w:val="00D7433F"/>
    <w:rsid w:val="00D74925"/>
    <w:rsid w:val="00D74AE7"/>
    <w:rsid w:val="00D74BBA"/>
    <w:rsid w:val="00D75BC2"/>
    <w:rsid w:val="00D75D31"/>
    <w:rsid w:val="00D763D5"/>
    <w:rsid w:val="00D77350"/>
    <w:rsid w:val="00D8015A"/>
    <w:rsid w:val="00D809A0"/>
    <w:rsid w:val="00D81086"/>
    <w:rsid w:val="00D814A9"/>
    <w:rsid w:val="00D818B0"/>
    <w:rsid w:val="00D81BA0"/>
    <w:rsid w:val="00D81BF5"/>
    <w:rsid w:val="00D82516"/>
    <w:rsid w:val="00D82EB6"/>
    <w:rsid w:val="00D82FAC"/>
    <w:rsid w:val="00D833E4"/>
    <w:rsid w:val="00D83538"/>
    <w:rsid w:val="00D83839"/>
    <w:rsid w:val="00D83A3C"/>
    <w:rsid w:val="00D83B84"/>
    <w:rsid w:val="00D83D8C"/>
    <w:rsid w:val="00D845BA"/>
    <w:rsid w:val="00D84945"/>
    <w:rsid w:val="00D84C95"/>
    <w:rsid w:val="00D84CCB"/>
    <w:rsid w:val="00D84D16"/>
    <w:rsid w:val="00D84EF4"/>
    <w:rsid w:val="00D85C98"/>
    <w:rsid w:val="00D86679"/>
    <w:rsid w:val="00D8683E"/>
    <w:rsid w:val="00D8699C"/>
    <w:rsid w:val="00D90128"/>
    <w:rsid w:val="00D903A1"/>
    <w:rsid w:val="00D90540"/>
    <w:rsid w:val="00D91C74"/>
    <w:rsid w:val="00D9274D"/>
    <w:rsid w:val="00D92A6B"/>
    <w:rsid w:val="00D9334E"/>
    <w:rsid w:val="00D93525"/>
    <w:rsid w:val="00D93951"/>
    <w:rsid w:val="00D93A3C"/>
    <w:rsid w:val="00D94201"/>
    <w:rsid w:val="00D94448"/>
    <w:rsid w:val="00D947F8"/>
    <w:rsid w:val="00D94B0B"/>
    <w:rsid w:val="00D953D9"/>
    <w:rsid w:val="00D9550F"/>
    <w:rsid w:val="00D9576B"/>
    <w:rsid w:val="00D9651B"/>
    <w:rsid w:val="00D96699"/>
    <w:rsid w:val="00D96724"/>
    <w:rsid w:val="00D96D06"/>
    <w:rsid w:val="00D96D2C"/>
    <w:rsid w:val="00D96E4E"/>
    <w:rsid w:val="00D972C6"/>
    <w:rsid w:val="00D97642"/>
    <w:rsid w:val="00DA020E"/>
    <w:rsid w:val="00DA1119"/>
    <w:rsid w:val="00DA14B9"/>
    <w:rsid w:val="00DA180B"/>
    <w:rsid w:val="00DA1B58"/>
    <w:rsid w:val="00DA2280"/>
    <w:rsid w:val="00DA22DD"/>
    <w:rsid w:val="00DA3591"/>
    <w:rsid w:val="00DA3E33"/>
    <w:rsid w:val="00DA3FD2"/>
    <w:rsid w:val="00DA403D"/>
    <w:rsid w:val="00DA4072"/>
    <w:rsid w:val="00DA43E0"/>
    <w:rsid w:val="00DA4406"/>
    <w:rsid w:val="00DA47FA"/>
    <w:rsid w:val="00DA4A27"/>
    <w:rsid w:val="00DA4D57"/>
    <w:rsid w:val="00DA4DC1"/>
    <w:rsid w:val="00DA4EBB"/>
    <w:rsid w:val="00DA51C0"/>
    <w:rsid w:val="00DA59F1"/>
    <w:rsid w:val="00DA5D0A"/>
    <w:rsid w:val="00DA5D2B"/>
    <w:rsid w:val="00DA6548"/>
    <w:rsid w:val="00DA65F0"/>
    <w:rsid w:val="00DA669C"/>
    <w:rsid w:val="00DA694E"/>
    <w:rsid w:val="00DA6B5E"/>
    <w:rsid w:val="00DA6BB0"/>
    <w:rsid w:val="00DA6BFE"/>
    <w:rsid w:val="00DA7917"/>
    <w:rsid w:val="00DA7A67"/>
    <w:rsid w:val="00DB0265"/>
    <w:rsid w:val="00DB034D"/>
    <w:rsid w:val="00DB0A0C"/>
    <w:rsid w:val="00DB0B16"/>
    <w:rsid w:val="00DB115F"/>
    <w:rsid w:val="00DB155D"/>
    <w:rsid w:val="00DB1581"/>
    <w:rsid w:val="00DB1A40"/>
    <w:rsid w:val="00DB1AD4"/>
    <w:rsid w:val="00DB1C62"/>
    <w:rsid w:val="00DB1F0D"/>
    <w:rsid w:val="00DB25D1"/>
    <w:rsid w:val="00DB2FE9"/>
    <w:rsid w:val="00DB30E2"/>
    <w:rsid w:val="00DB3153"/>
    <w:rsid w:val="00DB35BA"/>
    <w:rsid w:val="00DB37A5"/>
    <w:rsid w:val="00DB44B1"/>
    <w:rsid w:val="00DB46D4"/>
    <w:rsid w:val="00DB46DC"/>
    <w:rsid w:val="00DB4AC9"/>
    <w:rsid w:val="00DB4DAA"/>
    <w:rsid w:val="00DB4E0E"/>
    <w:rsid w:val="00DB51FA"/>
    <w:rsid w:val="00DB63EC"/>
    <w:rsid w:val="00DB6C4C"/>
    <w:rsid w:val="00DC02B8"/>
    <w:rsid w:val="00DC04B3"/>
    <w:rsid w:val="00DC0947"/>
    <w:rsid w:val="00DC1350"/>
    <w:rsid w:val="00DC17DA"/>
    <w:rsid w:val="00DC18BE"/>
    <w:rsid w:val="00DC2015"/>
    <w:rsid w:val="00DC20A2"/>
    <w:rsid w:val="00DC226E"/>
    <w:rsid w:val="00DC2354"/>
    <w:rsid w:val="00DC297E"/>
    <w:rsid w:val="00DC2E56"/>
    <w:rsid w:val="00DC31D7"/>
    <w:rsid w:val="00DC353E"/>
    <w:rsid w:val="00DC3B6D"/>
    <w:rsid w:val="00DC4075"/>
    <w:rsid w:val="00DC4CA8"/>
    <w:rsid w:val="00DC5018"/>
    <w:rsid w:val="00DC5036"/>
    <w:rsid w:val="00DC579E"/>
    <w:rsid w:val="00DC5E62"/>
    <w:rsid w:val="00DC60FA"/>
    <w:rsid w:val="00DC6126"/>
    <w:rsid w:val="00DC674D"/>
    <w:rsid w:val="00DC71E7"/>
    <w:rsid w:val="00DC74AE"/>
    <w:rsid w:val="00DC7564"/>
    <w:rsid w:val="00DC7583"/>
    <w:rsid w:val="00DC779D"/>
    <w:rsid w:val="00DC7A12"/>
    <w:rsid w:val="00DD0353"/>
    <w:rsid w:val="00DD0A29"/>
    <w:rsid w:val="00DD136D"/>
    <w:rsid w:val="00DD1E24"/>
    <w:rsid w:val="00DD2078"/>
    <w:rsid w:val="00DD25A1"/>
    <w:rsid w:val="00DD2C25"/>
    <w:rsid w:val="00DD3854"/>
    <w:rsid w:val="00DD409D"/>
    <w:rsid w:val="00DD435B"/>
    <w:rsid w:val="00DD436D"/>
    <w:rsid w:val="00DD46B9"/>
    <w:rsid w:val="00DD47CB"/>
    <w:rsid w:val="00DD4B62"/>
    <w:rsid w:val="00DD5644"/>
    <w:rsid w:val="00DD608E"/>
    <w:rsid w:val="00DD6A03"/>
    <w:rsid w:val="00DD7D4A"/>
    <w:rsid w:val="00DD7D59"/>
    <w:rsid w:val="00DE01B6"/>
    <w:rsid w:val="00DE0200"/>
    <w:rsid w:val="00DE0615"/>
    <w:rsid w:val="00DE069C"/>
    <w:rsid w:val="00DE112F"/>
    <w:rsid w:val="00DE1EAD"/>
    <w:rsid w:val="00DE2E97"/>
    <w:rsid w:val="00DE3360"/>
    <w:rsid w:val="00DE3AA9"/>
    <w:rsid w:val="00DE3D7E"/>
    <w:rsid w:val="00DE3ED3"/>
    <w:rsid w:val="00DE3F0C"/>
    <w:rsid w:val="00DE4E4F"/>
    <w:rsid w:val="00DE50FA"/>
    <w:rsid w:val="00DE5465"/>
    <w:rsid w:val="00DE5536"/>
    <w:rsid w:val="00DE5A86"/>
    <w:rsid w:val="00DE5ADF"/>
    <w:rsid w:val="00DE6972"/>
    <w:rsid w:val="00DE69E7"/>
    <w:rsid w:val="00DE73A5"/>
    <w:rsid w:val="00DE78B9"/>
    <w:rsid w:val="00DE79AD"/>
    <w:rsid w:val="00DF0041"/>
    <w:rsid w:val="00DF022F"/>
    <w:rsid w:val="00DF0665"/>
    <w:rsid w:val="00DF0BEB"/>
    <w:rsid w:val="00DF0C2F"/>
    <w:rsid w:val="00DF1092"/>
    <w:rsid w:val="00DF1114"/>
    <w:rsid w:val="00DF1448"/>
    <w:rsid w:val="00DF1671"/>
    <w:rsid w:val="00DF16F1"/>
    <w:rsid w:val="00DF2930"/>
    <w:rsid w:val="00DF2A13"/>
    <w:rsid w:val="00DF36B0"/>
    <w:rsid w:val="00DF3F5E"/>
    <w:rsid w:val="00DF40E6"/>
    <w:rsid w:val="00DF458B"/>
    <w:rsid w:val="00DF47BA"/>
    <w:rsid w:val="00DF4F38"/>
    <w:rsid w:val="00DF52B1"/>
    <w:rsid w:val="00DF5437"/>
    <w:rsid w:val="00DF569D"/>
    <w:rsid w:val="00DF6285"/>
    <w:rsid w:val="00DF69B0"/>
    <w:rsid w:val="00DF6CFE"/>
    <w:rsid w:val="00DF6D43"/>
    <w:rsid w:val="00DF6F1D"/>
    <w:rsid w:val="00DF7333"/>
    <w:rsid w:val="00DF7E17"/>
    <w:rsid w:val="00E003B5"/>
    <w:rsid w:val="00E00972"/>
    <w:rsid w:val="00E00B3F"/>
    <w:rsid w:val="00E010B6"/>
    <w:rsid w:val="00E01475"/>
    <w:rsid w:val="00E01905"/>
    <w:rsid w:val="00E01F0C"/>
    <w:rsid w:val="00E01F15"/>
    <w:rsid w:val="00E02434"/>
    <w:rsid w:val="00E024EA"/>
    <w:rsid w:val="00E02737"/>
    <w:rsid w:val="00E02D1E"/>
    <w:rsid w:val="00E03D49"/>
    <w:rsid w:val="00E03F16"/>
    <w:rsid w:val="00E03FC2"/>
    <w:rsid w:val="00E04E5B"/>
    <w:rsid w:val="00E04E67"/>
    <w:rsid w:val="00E05509"/>
    <w:rsid w:val="00E05DB9"/>
    <w:rsid w:val="00E06639"/>
    <w:rsid w:val="00E07170"/>
    <w:rsid w:val="00E073E1"/>
    <w:rsid w:val="00E073FC"/>
    <w:rsid w:val="00E07D93"/>
    <w:rsid w:val="00E07E38"/>
    <w:rsid w:val="00E100B5"/>
    <w:rsid w:val="00E102B8"/>
    <w:rsid w:val="00E10928"/>
    <w:rsid w:val="00E10A23"/>
    <w:rsid w:val="00E10A52"/>
    <w:rsid w:val="00E11A6F"/>
    <w:rsid w:val="00E11B45"/>
    <w:rsid w:val="00E11EDD"/>
    <w:rsid w:val="00E121B6"/>
    <w:rsid w:val="00E12778"/>
    <w:rsid w:val="00E13311"/>
    <w:rsid w:val="00E13535"/>
    <w:rsid w:val="00E13583"/>
    <w:rsid w:val="00E13AF6"/>
    <w:rsid w:val="00E13B54"/>
    <w:rsid w:val="00E14283"/>
    <w:rsid w:val="00E145CC"/>
    <w:rsid w:val="00E14B34"/>
    <w:rsid w:val="00E154CE"/>
    <w:rsid w:val="00E15772"/>
    <w:rsid w:val="00E16CC8"/>
    <w:rsid w:val="00E1730D"/>
    <w:rsid w:val="00E200D3"/>
    <w:rsid w:val="00E202F1"/>
    <w:rsid w:val="00E20726"/>
    <w:rsid w:val="00E20812"/>
    <w:rsid w:val="00E2160A"/>
    <w:rsid w:val="00E21638"/>
    <w:rsid w:val="00E21719"/>
    <w:rsid w:val="00E218A8"/>
    <w:rsid w:val="00E21B86"/>
    <w:rsid w:val="00E21E43"/>
    <w:rsid w:val="00E222CD"/>
    <w:rsid w:val="00E22980"/>
    <w:rsid w:val="00E22BA7"/>
    <w:rsid w:val="00E235A3"/>
    <w:rsid w:val="00E240BA"/>
    <w:rsid w:val="00E2411E"/>
    <w:rsid w:val="00E2447F"/>
    <w:rsid w:val="00E24B7B"/>
    <w:rsid w:val="00E24F98"/>
    <w:rsid w:val="00E24FC7"/>
    <w:rsid w:val="00E25185"/>
    <w:rsid w:val="00E251F3"/>
    <w:rsid w:val="00E254F9"/>
    <w:rsid w:val="00E259B1"/>
    <w:rsid w:val="00E25B4F"/>
    <w:rsid w:val="00E31015"/>
    <w:rsid w:val="00E31238"/>
    <w:rsid w:val="00E31424"/>
    <w:rsid w:val="00E31E73"/>
    <w:rsid w:val="00E32792"/>
    <w:rsid w:val="00E32E98"/>
    <w:rsid w:val="00E32FAD"/>
    <w:rsid w:val="00E33495"/>
    <w:rsid w:val="00E33844"/>
    <w:rsid w:val="00E33981"/>
    <w:rsid w:val="00E350FB"/>
    <w:rsid w:val="00E353F2"/>
    <w:rsid w:val="00E35916"/>
    <w:rsid w:val="00E35A60"/>
    <w:rsid w:val="00E3617E"/>
    <w:rsid w:val="00E36308"/>
    <w:rsid w:val="00E3654B"/>
    <w:rsid w:val="00E365CC"/>
    <w:rsid w:val="00E371C4"/>
    <w:rsid w:val="00E37DDF"/>
    <w:rsid w:val="00E4087F"/>
    <w:rsid w:val="00E4096C"/>
    <w:rsid w:val="00E40A83"/>
    <w:rsid w:val="00E40B03"/>
    <w:rsid w:val="00E40E20"/>
    <w:rsid w:val="00E4169B"/>
    <w:rsid w:val="00E4203C"/>
    <w:rsid w:val="00E4216F"/>
    <w:rsid w:val="00E421E0"/>
    <w:rsid w:val="00E422E5"/>
    <w:rsid w:val="00E4378E"/>
    <w:rsid w:val="00E44831"/>
    <w:rsid w:val="00E44AC1"/>
    <w:rsid w:val="00E4537C"/>
    <w:rsid w:val="00E45B72"/>
    <w:rsid w:val="00E45EEC"/>
    <w:rsid w:val="00E461F7"/>
    <w:rsid w:val="00E4622A"/>
    <w:rsid w:val="00E47755"/>
    <w:rsid w:val="00E47E72"/>
    <w:rsid w:val="00E5011E"/>
    <w:rsid w:val="00E50AD4"/>
    <w:rsid w:val="00E5152A"/>
    <w:rsid w:val="00E51EB5"/>
    <w:rsid w:val="00E52FDD"/>
    <w:rsid w:val="00E54037"/>
    <w:rsid w:val="00E54FC0"/>
    <w:rsid w:val="00E5501C"/>
    <w:rsid w:val="00E55037"/>
    <w:rsid w:val="00E550F0"/>
    <w:rsid w:val="00E551FD"/>
    <w:rsid w:val="00E55376"/>
    <w:rsid w:val="00E558F9"/>
    <w:rsid w:val="00E55AAC"/>
    <w:rsid w:val="00E55BB5"/>
    <w:rsid w:val="00E5648D"/>
    <w:rsid w:val="00E56B12"/>
    <w:rsid w:val="00E57185"/>
    <w:rsid w:val="00E5724E"/>
    <w:rsid w:val="00E5725A"/>
    <w:rsid w:val="00E57497"/>
    <w:rsid w:val="00E574CE"/>
    <w:rsid w:val="00E5775A"/>
    <w:rsid w:val="00E6027A"/>
    <w:rsid w:val="00E613AC"/>
    <w:rsid w:val="00E61A2E"/>
    <w:rsid w:val="00E61FDA"/>
    <w:rsid w:val="00E62428"/>
    <w:rsid w:val="00E626AD"/>
    <w:rsid w:val="00E6287E"/>
    <w:rsid w:val="00E632B6"/>
    <w:rsid w:val="00E63741"/>
    <w:rsid w:val="00E63F43"/>
    <w:rsid w:val="00E64139"/>
    <w:rsid w:val="00E64D17"/>
    <w:rsid w:val="00E654EA"/>
    <w:rsid w:val="00E65678"/>
    <w:rsid w:val="00E65936"/>
    <w:rsid w:val="00E65944"/>
    <w:rsid w:val="00E66840"/>
    <w:rsid w:val="00E66F2E"/>
    <w:rsid w:val="00E67D3D"/>
    <w:rsid w:val="00E70105"/>
    <w:rsid w:val="00E70A90"/>
    <w:rsid w:val="00E70ADD"/>
    <w:rsid w:val="00E7151D"/>
    <w:rsid w:val="00E71F8C"/>
    <w:rsid w:val="00E725B2"/>
    <w:rsid w:val="00E72BDA"/>
    <w:rsid w:val="00E730AB"/>
    <w:rsid w:val="00E73561"/>
    <w:rsid w:val="00E73A5E"/>
    <w:rsid w:val="00E73F1F"/>
    <w:rsid w:val="00E74048"/>
    <w:rsid w:val="00E7446F"/>
    <w:rsid w:val="00E744CB"/>
    <w:rsid w:val="00E7675B"/>
    <w:rsid w:val="00E76D5B"/>
    <w:rsid w:val="00E76E5F"/>
    <w:rsid w:val="00E76F43"/>
    <w:rsid w:val="00E770CA"/>
    <w:rsid w:val="00E770D2"/>
    <w:rsid w:val="00E7731E"/>
    <w:rsid w:val="00E77E73"/>
    <w:rsid w:val="00E80028"/>
    <w:rsid w:val="00E803BC"/>
    <w:rsid w:val="00E806F0"/>
    <w:rsid w:val="00E80F71"/>
    <w:rsid w:val="00E81534"/>
    <w:rsid w:val="00E819BA"/>
    <w:rsid w:val="00E82379"/>
    <w:rsid w:val="00E829DE"/>
    <w:rsid w:val="00E82AD4"/>
    <w:rsid w:val="00E82BCD"/>
    <w:rsid w:val="00E82BF5"/>
    <w:rsid w:val="00E82D16"/>
    <w:rsid w:val="00E83FC8"/>
    <w:rsid w:val="00E8459D"/>
    <w:rsid w:val="00E8483C"/>
    <w:rsid w:val="00E85191"/>
    <w:rsid w:val="00E858E3"/>
    <w:rsid w:val="00E85B67"/>
    <w:rsid w:val="00E8628E"/>
    <w:rsid w:val="00E86442"/>
    <w:rsid w:val="00E868D9"/>
    <w:rsid w:val="00E86BDA"/>
    <w:rsid w:val="00E87B0B"/>
    <w:rsid w:val="00E901E1"/>
    <w:rsid w:val="00E901EC"/>
    <w:rsid w:val="00E906BD"/>
    <w:rsid w:val="00E90B8A"/>
    <w:rsid w:val="00E912DF"/>
    <w:rsid w:val="00E91842"/>
    <w:rsid w:val="00E91D50"/>
    <w:rsid w:val="00E9257C"/>
    <w:rsid w:val="00E9258E"/>
    <w:rsid w:val="00E9293F"/>
    <w:rsid w:val="00E93292"/>
    <w:rsid w:val="00E934CE"/>
    <w:rsid w:val="00E93995"/>
    <w:rsid w:val="00E94456"/>
    <w:rsid w:val="00E9493A"/>
    <w:rsid w:val="00E94ADD"/>
    <w:rsid w:val="00E952B5"/>
    <w:rsid w:val="00E95843"/>
    <w:rsid w:val="00E95847"/>
    <w:rsid w:val="00E96247"/>
    <w:rsid w:val="00E96585"/>
    <w:rsid w:val="00E965B9"/>
    <w:rsid w:val="00E96E4D"/>
    <w:rsid w:val="00EA0452"/>
    <w:rsid w:val="00EA095F"/>
    <w:rsid w:val="00EA1A50"/>
    <w:rsid w:val="00EA25B7"/>
    <w:rsid w:val="00EA278D"/>
    <w:rsid w:val="00EA286A"/>
    <w:rsid w:val="00EA297C"/>
    <w:rsid w:val="00EA3B43"/>
    <w:rsid w:val="00EA4891"/>
    <w:rsid w:val="00EA4ABE"/>
    <w:rsid w:val="00EA4E7E"/>
    <w:rsid w:val="00EA595D"/>
    <w:rsid w:val="00EA637A"/>
    <w:rsid w:val="00EA67E8"/>
    <w:rsid w:val="00EA6E09"/>
    <w:rsid w:val="00EA7E04"/>
    <w:rsid w:val="00EA7E69"/>
    <w:rsid w:val="00EB01D2"/>
    <w:rsid w:val="00EB0360"/>
    <w:rsid w:val="00EB0700"/>
    <w:rsid w:val="00EB12A0"/>
    <w:rsid w:val="00EB196C"/>
    <w:rsid w:val="00EB1A73"/>
    <w:rsid w:val="00EB1FFA"/>
    <w:rsid w:val="00EB24BB"/>
    <w:rsid w:val="00EB2E12"/>
    <w:rsid w:val="00EB2FE0"/>
    <w:rsid w:val="00EB34D2"/>
    <w:rsid w:val="00EB37E1"/>
    <w:rsid w:val="00EB3D54"/>
    <w:rsid w:val="00EB4CED"/>
    <w:rsid w:val="00EB4EE9"/>
    <w:rsid w:val="00EB4F5B"/>
    <w:rsid w:val="00EB5E58"/>
    <w:rsid w:val="00EB6035"/>
    <w:rsid w:val="00EB6889"/>
    <w:rsid w:val="00EB697E"/>
    <w:rsid w:val="00EB6AE7"/>
    <w:rsid w:val="00EB6B88"/>
    <w:rsid w:val="00EB6BF8"/>
    <w:rsid w:val="00EB6CE4"/>
    <w:rsid w:val="00EC00FF"/>
    <w:rsid w:val="00EC10C3"/>
    <w:rsid w:val="00EC1699"/>
    <w:rsid w:val="00EC19D0"/>
    <w:rsid w:val="00EC2BEB"/>
    <w:rsid w:val="00EC2CC2"/>
    <w:rsid w:val="00EC313B"/>
    <w:rsid w:val="00EC3196"/>
    <w:rsid w:val="00EC354B"/>
    <w:rsid w:val="00EC35DB"/>
    <w:rsid w:val="00EC3785"/>
    <w:rsid w:val="00EC38E4"/>
    <w:rsid w:val="00EC41CF"/>
    <w:rsid w:val="00EC43BE"/>
    <w:rsid w:val="00EC4DEF"/>
    <w:rsid w:val="00EC4FA1"/>
    <w:rsid w:val="00EC4FE8"/>
    <w:rsid w:val="00EC514A"/>
    <w:rsid w:val="00EC531B"/>
    <w:rsid w:val="00EC54E0"/>
    <w:rsid w:val="00EC67F7"/>
    <w:rsid w:val="00EC7221"/>
    <w:rsid w:val="00EC7E09"/>
    <w:rsid w:val="00ED01F2"/>
    <w:rsid w:val="00ED049F"/>
    <w:rsid w:val="00ED2798"/>
    <w:rsid w:val="00ED3A9A"/>
    <w:rsid w:val="00ED406C"/>
    <w:rsid w:val="00ED4089"/>
    <w:rsid w:val="00ED4126"/>
    <w:rsid w:val="00ED457F"/>
    <w:rsid w:val="00ED4897"/>
    <w:rsid w:val="00ED4F33"/>
    <w:rsid w:val="00ED663B"/>
    <w:rsid w:val="00ED6997"/>
    <w:rsid w:val="00ED6A7D"/>
    <w:rsid w:val="00ED6F94"/>
    <w:rsid w:val="00ED705A"/>
    <w:rsid w:val="00ED7498"/>
    <w:rsid w:val="00ED7B61"/>
    <w:rsid w:val="00ED7C2F"/>
    <w:rsid w:val="00ED7CD2"/>
    <w:rsid w:val="00EE09D9"/>
    <w:rsid w:val="00EE0C12"/>
    <w:rsid w:val="00EE0C88"/>
    <w:rsid w:val="00EE0EAC"/>
    <w:rsid w:val="00EE2584"/>
    <w:rsid w:val="00EE2CE8"/>
    <w:rsid w:val="00EE37BD"/>
    <w:rsid w:val="00EE39B5"/>
    <w:rsid w:val="00EE3B99"/>
    <w:rsid w:val="00EE3BF9"/>
    <w:rsid w:val="00EE3CA5"/>
    <w:rsid w:val="00EE3CD5"/>
    <w:rsid w:val="00EE3FEF"/>
    <w:rsid w:val="00EE43A0"/>
    <w:rsid w:val="00EE4BD6"/>
    <w:rsid w:val="00EE4BE7"/>
    <w:rsid w:val="00EE4ECA"/>
    <w:rsid w:val="00EE5365"/>
    <w:rsid w:val="00EE58D2"/>
    <w:rsid w:val="00EE6729"/>
    <w:rsid w:val="00EE7505"/>
    <w:rsid w:val="00EF0D9B"/>
    <w:rsid w:val="00EF0F2A"/>
    <w:rsid w:val="00EF1274"/>
    <w:rsid w:val="00EF155D"/>
    <w:rsid w:val="00EF158E"/>
    <w:rsid w:val="00EF3548"/>
    <w:rsid w:val="00EF3E10"/>
    <w:rsid w:val="00EF3F1D"/>
    <w:rsid w:val="00EF4167"/>
    <w:rsid w:val="00EF418F"/>
    <w:rsid w:val="00EF42C7"/>
    <w:rsid w:val="00EF4792"/>
    <w:rsid w:val="00EF4C61"/>
    <w:rsid w:val="00EF51FB"/>
    <w:rsid w:val="00EF548A"/>
    <w:rsid w:val="00EF61EE"/>
    <w:rsid w:val="00EF6684"/>
    <w:rsid w:val="00EF6C73"/>
    <w:rsid w:val="00EF6EB1"/>
    <w:rsid w:val="00EF7380"/>
    <w:rsid w:val="00EF75A2"/>
    <w:rsid w:val="00EF7A64"/>
    <w:rsid w:val="00EF7BC6"/>
    <w:rsid w:val="00EF7F6C"/>
    <w:rsid w:val="00F00795"/>
    <w:rsid w:val="00F01015"/>
    <w:rsid w:val="00F0103C"/>
    <w:rsid w:val="00F01B24"/>
    <w:rsid w:val="00F02579"/>
    <w:rsid w:val="00F026E3"/>
    <w:rsid w:val="00F039A4"/>
    <w:rsid w:val="00F03FA8"/>
    <w:rsid w:val="00F04AB2"/>
    <w:rsid w:val="00F05D2B"/>
    <w:rsid w:val="00F05E15"/>
    <w:rsid w:val="00F067A3"/>
    <w:rsid w:val="00F06AD9"/>
    <w:rsid w:val="00F076B3"/>
    <w:rsid w:val="00F07C93"/>
    <w:rsid w:val="00F07E1B"/>
    <w:rsid w:val="00F100B0"/>
    <w:rsid w:val="00F10305"/>
    <w:rsid w:val="00F1133F"/>
    <w:rsid w:val="00F114A0"/>
    <w:rsid w:val="00F11DA1"/>
    <w:rsid w:val="00F11E8D"/>
    <w:rsid w:val="00F1201E"/>
    <w:rsid w:val="00F12486"/>
    <w:rsid w:val="00F1270A"/>
    <w:rsid w:val="00F1281B"/>
    <w:rsid w:val="00F12E2C"/>
    <w:rsid w:val="00F14083"/>
    <w:rsid w:val="00F141CB"/>
    <w:rsid w:val="00F148B3"/>
    <w:rsid w:val="00F1595F"/>
    <w:rsid w:val="00F15C0D"/>
    <w:rsid w:val="00F15F28"/>
    <w:rsid w:val="00F15F93"/>
    <w:rsid w:val="00F161EB"/>
    <w:rsid w:val="00F165E1"/>
    <w:rsid w:val="00F16B7C"/>
    <w:rsid w:val="00F1730E"/>
    <w:rsid w:val="00F17C4A"/>
    <w:rsid w:val="00F2041A"/>
    <w:rsid w:val="00F20728"/>
    <w:rsid w:val="00F2084F"/>
    <w:rsid w:val="00F20D6A"/>
    <w:rsid w:val="00F21BFF"/>
    <w:rsid w:val="00F22259"/>
    <w:rsid w:val="00F22609"/>
    <w:rsid w:val="00F228CC"/>
    <w:rsid w:val="00F229D9"/>
    <w:rsid w:val="00F2438E"/>
    <w:rsid w:val="00F2457E"/>
    <w:rsid w:val="00F245C6"/>
    <w:rsid w:val="00F2460A"/>
    <w:rsid w:val="00F248C2"/>
    <w:rsid w:val="00F24A5B"/>
    <w:rsid w:val="00F24E57"/>
    <w:rsid w:val="00F251D0"/>
    <w:rsid w:val="00F25F0A"/>
    <w:rsid w:val="00F26529"/>
    <w:rsid w:val="00F2665D"/>
    <w:rsid w:val="00F266FE"/>
    <w:rsid w:val="00F2735A"/>
    <w:rsid w:val="00F27777"/>
    <w:rsid w:val="00F27A5A"/>
    <w:rsid w:val="00F27BBE"/>
    <w:rsid w:val="00F27C16"/>
    <w:rsid w:val="00F27FC7"/>
    <w:rsid w:val="00F3082B"/>
    <w:rsid w:val="00F3093F"/>
    <w:rsid w:val="00F30AA5"/>
    <w:rsid w:val="00F30FEB"/>
    <w:rsid w:val="00F31818"/>
    <w:rsid w:val="00F31E44"/>
    <w:rsid w:val="00F31F7B"/>
    <w:rsid w:val="00F32106"/>
    <w:rsid w:val="00F324A8"/>
    <w:rsid w:val="00F3258A"/>
    <w:rsid w:val="00F32BF0"/>
    <w:rsid w:val="00F32D63"/>
    <w:rsid w:val="00F32F5A"/>
    <w:rsid w:val="00F32FFB"/>
    <w:rsid w:val="00F3332B"/>
    <w:rsid w:val="00F33534"/>
    <w:rsid w:val="00F33647"/>
    <w:rsid w:val="00F34695"/>
    <w:rsid w:val="00F34DC8"/>
    <w:rsid w:val="00F356BE"/>
    <w:rsid w:val="00F35E06"/>
    <w:rsid w:val="00F36083"/>
    <w:rsid w:val="00F36C4C"/>
    <w:rsid w:val="00F36D03"/>
    <w:rsid w:val="00F36F9E"/>
    <w:rsid w:val="00F371DB"/>
    <w:rsid w:val="00F37376"/>
    <w:rsid w:val="00F378C0"/>
    <w:rsid w:val="00F37C8B"/>
    <w:rsid w:val="00F37F57"/>
    <w:rsid w:val="00F4063C"/>
    <w:rsid w:val="00F407D7"/>
    <w:rsid w:val="00F4098C"/>
    <w:rsid w:val="00F40D32"/>
    <w:rsid w:val="00F40F06"/>
    <w:rsid w:val="00F410BC"/>
    <w:rsid w:val="00F41278"/>
    <w:rsid w:val="00F41671"/>
    <w:rsid w:val="00F416DD"/>
    <w:rsid w:val="00F419D1"/>
    <w:rsid w:val="00F41BCB"/>
    <w:rsid w:val="00F42134"/>
    <w:rsid w:val="00F425AF"/>
    <w:rsid w:val="00F42872"/>
    <w:rsid w:val="00F42B5F"/>
    <w:rsid w:val="00F42CD2"/>
    <w:rsid w:val="00F431AF"/>
    <w:rsid w:val="00F45167"/>
    <w:rsid w:val="00F45679"/>
    <w:rsid w:val="00F45B2C"/>
    <w:rsid w:val="00F45D32"/>
    <w:rsid w:val="00F4634C"/>
    <w:rsid w:val="00F46934"/>
    <w:rsid w:val="00F46BD6"/>
    <w:rsid w:val="00F4703C"/>
    <w:rsid w:val="00F500B9"/>
    <w:rsid w:val="00F502ED"/>
    <w:rsid w:val="00F50A5B"/>
    <w:rsid w:val="00F50DFE"/>
    <w:rsid w:val="00F51061"/>
    <w:rsid w:val="00F511C9"/>
    <w:rsid w:val="00F5229C"/>
    <w:rsid w:val="00F522C1"/>
    <w:rsid w:val="00F52502"/>
    <w:rsid w:val="00F52826"/>
    <w:rsid w:val="00F52C33"/>
    <w:rsid w:val="00F52E27"/>
    <w:rsid w:val="00F52F3F"/>
    <w:rsid w:val="00F52FCD"/>
    <w:rsid w:val="00F5331D"/>
    <w:rsid w:val="00F53880"/>
    <w:rsid w:val="00F54301"/>
    <w:rsid w:val="00F544D6"/>
    <w:rsid w:val="00F55080"/>
    <w:rsid w:val="00F5599B"/>
    <w:rsid w:val="00F55CB0"/>
    <w:rsid w:val="00F56989"/>
    <w:rsid w:val="00F56B0E"/>
    <w:rsid w:val="00F56B4A"/>
    <w:rsid w:val="00F56BA6"/>
    <w:rsid w:val="00F56BB8"/>
    <w:rsid w:val="00F57778"/>
    <w:rsid w:val="00F57CB4"/>
    <w:rsid w:val="00F61445"/>
    <w:rsid w:val="00F61E03"/>
    <w:rsid w:val="00F62AED"/>
    <w:rsid w:val="00F62D69"/>
    <w:rsid w:val="00F63C22"/>
    <w:rsid w:val="00F64277"/>
    <w:rsid w:val="00F647F3"/>
    <w:rsid w:val="00F64986"/>
    <w:rsid w:val="00F64B4C"/>
    <w:rsid w:val="00F64CDD"/>
    <w:rsid w:val="00F64EB9"/>
    <w:rsid w:val="00F65124"/>
    <w:rsid w:val="00F6579D"/>
    <w:rsid w:val="00F65FAF"/>
    <w:rsid w:val="00F663EF"/>
    <w:rsid w:val="00F66A16"/>
    <w:rsid w:val="00F66E64"/>
    <w:rsid w:val="00F67061"/>
    <w:rsid w:val="00F67788"/>
    <w:rsid w:val="00F67C1E"/>
    <w:rsid w:val="00F67F6C"/>
    <w:rsid w:val="00F702CA"/>
    <w:rsid w:val="00F70305"/>
    <w:rsid w:val="00F7068F"/>
    <w:rsid w:val="00F70899"/>
    <w:rsid w:val="00F70F28"/>
    <w:rsid w:val="00F7251F"/>
    <w:rsid w:val="00F72A5C"/>
    <w:rsid w:val="00F72C26"/>
    <w:rsid w:val="00F72D38"/>
    <w:rsid w:val="00F72FAA"/>
    <w:rsid w:val="00F7354C"/>
    <w:rsid w:val="00F7360B"/>
    <w:rsid w:val="00F7373B"/>
    <w:rsid w:val="00F73755"/>
    <w:rsid w:val="00F7475E"/>
    <w:rsid w:val="00F7494E"/>
    <w:rsid w:val="00F74C52"/>
    <w:rsid w:val="00F74E0C"/>
    <w:rsid w:val="00F7504E"/>
    <w:rsid w:val="00F750FA"/>
    <w:rsid w:val="00F7551E"/>
    <w:rsid w:val="00F7587E"/>
    <w:rsid w:val="00F75E3C"/>
    <w:rsid w:val="00F76622"/>
    <w:rsid w:val="00F766B0"/>
    <w:rsid w:val="00F76853"/>
    <w:rsid w:val="00F76B37"/>
    <w:rsid w:val="00F7715A"/>
    <w:rsid w:val="00F771C9"/>
    <w:rsid w:val="00F801C6"/>
    <w:rsid w:val="00F801F9"/>
    <w:rsid w:val="00F80644"/>
    <w:rsid w:val="00F80B61"/>
    <w:rsid w:val="00F811AA"/>
    <w:rsid w:val="00F81535"/>
    <w:rsid w:val="00F815F6"/>
    <w:rsid w:val="00F817B9"/>
    <w:rsid w:val="00F81935"/>
    <w:rsid w:val="00F81A59"/>
    <w:rsid w:val="00F82315"/>
    <w:rsid w:val="00F8290E"/>
    <w:rsid w:val="00F82AB0"/>
    <w:rsid w:val="00F830C0"/>
    <w:rsid w:val="00F834A6"/>
    <w:rsid w:val="00F83907"/>
    <w:rsid w:val="00F84303"/>
    <w:rsid w:val="00F846B3"/>
    <w:rsid w:val="00F8490E"/>
    <w:rsid w:val="00F84B9D"/>
    <w:rsid w:val="00F84E76"/>
    <w:rsid w:val="00F84F5D"/>
    <w:rsid w:val="00F85097"/>
    <w:rsid w:val="00F85638"/>
    <w:rsid w:val="00F85768"/>
    <w:rsid w:val="00F85E75"/>
    <w:rsid w:val="00F862FF"/>
    <w:rsid w:val="00F8709F"/>
    <w:rsid w:val="00F877B7"/>
    <w:rsid w:val="00F907DA"/>
    <w:rsid w:val="00F908CE"/>
    <w:rsid w:val="00F90951"/>
    <w:rsid w:val="00F918EA"/>
    <w:rsid w:val="00F91B90"/>
    <w:rsid w:val="00F939CF"/>
    <w:rsid w:val="00F93F53"/>
    <w:rsid w:val="00F9406D"/>
    <w:rsid w:val="00F94451"/>
    <w:rsid w:val="00F95DFC"/>
    <w:rsid w:val="00F96206"/>
    <w:rsid w:val="00F96953"/>
    <w:rsid w:val="00F96E5F"/>
    <w:rsid w:val="00F970CA"/>
    <w:rsid w:val="00F9726A"/>
    <w:rsid w:val="00F97499"/>
    <w:rsid w:val="00F974B9"/>
    <w:rsid w:val="00F97A63"/>
    <w:rsid w:val="00FA0442"/>
    <w:rsid w:val="00FA0C0C"/>
    <w:rsid w:val="00FA0E76"/>
    <w:rsid w:val="00FA0F99"/>
    <w:rsid w:val="00FA1611"/>
    <w:rsid w:val="00FA1863"/>
    <w:rsid w:val="00FA21A0"/>
    <w:rsid w:val="00FA21ED"/>
    <w:rsid w:val="00FA29CC"/>
    <w:rsid w:val="00FA2A62"/>
    <w:rsid w:val="00FA2E2A"/>
    <w:rsid w:val="00FA3081"/>
    <w:rsid w:val="00FA309B"/>
    <w:rsid w:val="00FA31DD"/>
    <w:rsid w:val="00FA33D4"/>
    <w:rsid w:val="00FA34F0"/>
    <w:rsid w:val="00FA37C4"/>
    <w:rsid w:val="00FA428A"/>
    <w:rsid w:val="00FA4353"/>
    <w:rsid w:val="00FA4972"/>
    <w:rsid w:val="00FA4B59"/>
    <w:rsid w:val="00FA532F"/>
    <w:rsid w:val="00FA536C"/>
    <w:rsid w:val="00FA5886"/>
    <w:rsid w:val="00FA59AB"/>
    <w:rsid w:val="00FA5BE8"/>
    <w:rsid w:val="00FA5DE4"/>
    <w:rsid w:val="00FA5E8F"/>
    <w:rsid w:val="00FA5F18"/>
    <w:rsid w:val="00FA681C"/>
    <w:rsid w:val="00FA6944"/>
    <w:rsid w:val="00FA7073"/>
    <w:rsid w:val="00FA78B4"/>
    <w:rsid w:val="00FA7B84"/>
    <w:rsid w:val="00FA7DB7"/>
    <w:rsid w:val="00FA7F11"/>
    <w:rsid w:val="00FB07C8"/>
    <w:rsid w:val="00FB0FF3"/>
    <w:rsid w:val="00FB10AC"/>
    <w:rsid w:val="00FB1389"/>
    <w:rsid w:val="00FB1A16"/>
    <w:rsid w:val="00FB1D81"/>
    <w:rsid w:val="00FB2105"/>
    <w:rsid w:val="00FB3154"/>
    <w:rsid w:val="00FB3276"/>
    <w:rsid w:val="00FB3427"/>
    <w:rsid w:val="00FB36ED"/>
    <w:rsid w:val="00FB3A46"/>
    <w:rsid w:val="00FB3D82"/>
    <w:rsid w:val="00FB3DA8"/>
    <w:rsid w:val="00FB44FC"/>
    <w:rsid w:val="00FB4506"/>
    <w:rsid w:val="00FB471E"/>
    <w:rsid w:val="00FB4F1F"/>
    <w:rsid w:val="00FB50AD"/>
    <w:rsid w:val="00FB575A"/>
    <w:rsid w:val="00FB58C2"/>
    <w:rsid w:val="00FB5A76"/>
    <w:rsid w:val="00FB5DFC"/>
    <w:rsid w:val="00FB657B"/>
    <w:rsid w:val="00FB6E73"/>
    <w:rsid w:val="00FB6FEC"/>
    <w:rsid w:val="00FB7DC5"/>
    <w:rsid w:val="00FC0163"/>
    <w:rsid w:val="00FC0C94"/>
    <w:rsid w:val="00FC0D93"/>
    <w:rsid w:val="00FC18BC"/>
    <w:rsid w:val="00FC1C88"/>
    <w:rsid w:val="00FC226E"/>
    <w:rsid w:val="00FC26EB"/>
    <w:rsid w:val="00FC389C"/>
    <w:rsid w:val="00FC3A77"/>
    <w:rsid w:val="00FC41F2"/>
    <w:rsid w:val="00FC44B3"/>
    <w:rsid w:val="00FC6747"/>
    <w:rsid w:val="00FC720F"/>
    <w:rsid w:val="00FD056F"/>
    <w:rsid w:val="00FD08FD"/>
    <w:rsid w:val="00FD12A1"/>
    <w:rsid w:val="00FD1767"/>
    <w:rsid w:val="00FD18EB"/>
    <w:rsid w:val="00FD1AAA"/>
    <w:rsid w:val="00FD1DF0"/>
    <w:rsid w:val="00FD2015"/>
    <w:rsid w:val="00FD25D7"/>
    <w:rsid w:val="00FD2F94"/>
    <w:rsid w:val="00FD3000"/>
    <w:rsid w:val="00FD34BF"/>
    <w:rsid w:val="00FD35F5"/>
    <w:rsid w:val="00FD388F"/>
    <w:rsid w:val="00FD438F"/>
    <w:rsid w:val="00FD44AE"/>
    <w:rsid w:val="00FD4BA6"/>
    <w:rsid w:val="00FD4CD1"/>
    <w:rsid w:val="00FD5457"/>
    <w:rsid w:val="00FD592A"/>
    <w:rsid w:val="00FD5D05"/>
    <w:rsid w:val="00FD5F00"/>
    <w:rsid w:val="00FD606D"/>
    <w:rsid w:val="00FD6181"/>
    <w:rsid w:val="00FD6AD2"/>
    <w:rsid w:val="00FD6D41"/>
    <w:rsid w:val="00FD6EC7"/>
    <w:rsid w:val="00FD6FFF"/>
    <w:rsid w:val="00FE01C2"/>
    <w:rsid w:val="00FE061D"/>
    <w:rsid w:val="00FE0858"/>
    <w:rsid w:val="00FE130C"/>
    <w:rsid w:val="00FE1C0C"/>
    <w:rsid w:val="00FE1C40"/>
    <w:rsid w:val="00FE240F"/>
    <w:rsid w:val="00FE2492"/>
    <w:rsid w:val="00FE283A"/>
    <w:rsid w:val="00FE4694"/>
    <w:rsid w:val="00FE4AB8"/>
    <w:rsid w:val="00FE4BF7"/>
    <w:rsid w:val="00FE4C32"/>
    <w:rsid w:val="00FE4CBC"/>
    <w:rsid w:val="00FE554E"/>
    <w:rsid w:val="00FE5668"/>
    <w:rsid w:val="00FE63A9"/>
    <w:rsid w:val="00FE6581"/>
    <w:rsid w:val="00FE66FD"/>
    <w:rsid w:val="00FE6A80"/>
    <w:rsid w:val="00FE7176"/>
    <w:rsid w:val="00FE740D"/>
    <w:rsid w:val="00FE7785"/>
    <w:rsid w:val="00FE7929"/>
    <w:rsid w:val="00FF008C"/>
    <w:rsid w:val="00FF0E25"/>
    <w:rsid w:val="00FF0E28"/>
    <w:rsid w:val="00FF0F2F"/>
    <w:rsid w:val="00FF132C"/>
    <w:rsid w:val="00FF1857"/>
    <w:rsid w:val="00FF1B02"/>
    <w:rsid w:val="00FF2057"/>
    <w:rsid w:val="00FF21C1"/>
    <w:rsid w:val="00FF2FCC"/>
    <w:rsid w:val="00FF3412"/>
    <w:rsid w:val="00FF37F9"/>
    <w:rsid w:val="00FF44E8"/>
    <w:rsid w:val="00FF5D8B"/>
    <w:rsid w:val="00FF62F5"/>
    <w:rsid w:val="00FF6731"/>
    <w:rsid w:val="00FF6B24"/>
    <w:rsid w:val="00FF71A2"/>
    <w:rsid w:val="00FF7EC0"/>
    <w:rsid w:val="00FF7F83"/>
    <w:rsid w:val="0135CD48"/>
    <w:rsid w:val="465E7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C11FF"/>
  <w15:docId w15:val="{8506BB6D-1334-4D5D-9E8F-2776052C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caption" w:qFormat="1"/>
    <w:lsdException w:name="table of figures" w:uiPriority="99"/>
    <w:lsdException w:name="annotation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Text"/>
    <w:link w:val="Heading1Char"/>
    <w:uiPriority w:val="9"/>
    <w:qFormat/>
    <w:rsid w:val="002118DB"/>
    <w:pPr>
      <w:keepNext/>
      <w:pageBreakBefore/>
      <w:numPr>
        <w:numId w:val="1"/>
      </w:numPr>
      <w:tabs>
        <w:tab w:val="left" w:pos="567"/>
      </w:tabs>
      <w:spacing w:before="120" w:after="120"/>
      <w:ind w:left="0"/>
      <w:outlineLvl w:val="0"/>
    </w:pPr>
    <w:rPr>
      <w:b/>
      <w:caps/>
      <w:sz w:val="24"/>
    </w:rPr>
  </w:style>
  <w:style w:type="paragraph" w:styleId="Heading2">
    <w:name w:val="heading 2"/>
    <w:basedOn w:val="Normal"/>
    <w:next w:val="Text"/>
    <w:link w:val="Heading2Char"/>
    <w:uiPriority w:val="9"/>
    <w:qFormat/>
    <w:rsid w:val="002A6DC2"/>
    <w:pPr>
      <w:keepNext/>
      <w:numPr>
        <w:ilvl w:val="1"/>
        <w:numId w:val="1"/>
      </w:numPr>
      <w:spacing w:before="120" w:after="120"/>
      <w:ind w:left="0"/>
      <w:outlineLvl w:val="1"/>
    </w:pPr>
    <w:rPr>
      <w:b/>
      <w:sz w:val="24"/>
    </w:rPr>
  </w:style>
  <w:style w:type="paragraph" w:styleId="Heading3">
    <w:name w:val="heading 3"/>
    <w:basedOn w:val="Normal"/>
    <w:next w:val="Text"/>
    <w:link w:val="Heading3Char"/>
    <w:uiPriority w:val="9"/>
    <w:qFormat/>
    <w:rsid w:val="000E0004"/>
    <w:pPr>
      <w:keepNext/>
      <w:numPr>
        <w:ilvl w:val="2"/>
        <w:numId w:val="1"/>
      </w:numPr>
      <w:tabs>
        <w:tab w:val="left" w:pos="1134"/>
      </w:tabs>
      <w:spacing w:before="120" w:after="120"/>
      <w:outlineLvl w:val="2"/>
    </w:pPr>
    <w:rPr>
      <w:b/>
      <w:i/>
      <w:sz w:val="24"/>
    </w:rPr>
  </w:style>
  <w:style w:type="paragraph" w:styleId="Heading4">
    <w:name w:val="heading 4"/>
    <w:basedOn w:val="Heading3"/>
    <w:next w:val="Text"/>
    <w:link w:val="Heading4Char"/>
    <w:qFormat/>
    <w:rsid w:val="002D5EE5"/>
    <w:pPr>
      <w:numPr>
        <w:ilvl w:val="3"/>
      </w:numPr>
      <w:outlineLvl w:val="3"/>
    </w:pPr>
    <w:rPr>
      <w:b w:val="0"/>
    </w:rPr>
  </w:style>
  <w:style w:type="paragraph" w:styleId="Heading5">
    <w:name w:val="heading 5"/>
    <w:basedOn w:val="Heading4"/>
    <w:next w:val="Text"/>
    <w:link w:val="Heading5Char"/>
    <w:qFormat/>
    <w:pPr>
      <w:numPr>
        <w:ilvl w:val="4"/>
      </w:numPr>
      <w:tabs>
        <w:tab w:val="left" w:pos="1440"/>
      </w:tabs>
      <w:spacing w:after="60"/>
      <w:outlineLvl w:val="4"/>
    </w:pPr>
    <w:rPr>
      <w:i w:val="0"/>
    </w:rPr>
  </w:style>
  <w:style w:type="paragraph" w:styleId="Heading6">
    <w:name w:val="heading 6"/>
    <w:basedOn w:val="Normal"/>
    <w:next w:val="Text"/>
    <w:link w:val="Heading6Char"/>
    <w:qFormat/>
    <w:pPr>
      <w:keepNext/>
      <w:numPr>
        <w:ilvl w:val="5"/>
        <w:numId w:val="1"/>
      </w:numPr>
      <w:tabs>
        <w:tab w:val="left" w:pos="1800"/>
      </w:tabs>
      <w:spacing w:before="120" w:after="60"/>
      <w:outlineLvl w:val="5"/>
    </w:pPr>
    <w:rPr>
      <w:sz w:val="24"/>
    </w:rPr>
  </w:style>
  <w:style w:type="paragraph" w:styleId="Heading7">
    <w:name w:val="heading 7"/>
    <w:basedOn w:val="Normal"/>
    <w:next w:val="Text"/>
    <w:link w:val="Heading7Char"/>
    <w:qFormat/>
    <w:pPr>
      <w:keepNext/>
      <w:numPr>
        <w:ilvl w:val="6"/>
        <w:numId w:val="1"/>
      </w:numPr>
      <w:tabs>
        <w:tab w:val="left" w:pos="1800"/>
      </w:tabs>
      <w:spacing w:before="120" w:after="60"/>
      <w:outlineLvl w:val="6"/>
    </w:pPr>
    <w:rPr>
      <w:sz w:val="24"/>
    </w:rPr>
  </w:style>
  <w:style w:type="paragraph" w:styleId="Heading8">
    <w:name w:val="heading 8"/>
    <w:basedOn w:val="Normal"/>
    <w:next w:val="Text"/>
    <w:link w:val="Heading8Char"/>
    <w:qFormat/>
    <w:pPr>
      <w:keepNext/>
      <w:numPr>
        <w:ilvl w:val="7"/>
        <w:numId w:val="1"/>
      </w:numPr>
      <w:tabs>
        <w:tab w:val="left" w:pos="1800"/>
      </w:tabs>
      <w:spacing w:before="120" w:after="60"/>
      <w:outlineLvl w:val="7"/>
    </w:pPr>
    <w:rPr>
      <w:sz w:val="24"/>
    </w:rPr>
  </w:style>
  <w:style w:type="paragraph" w:styleId="Heading9">
    <w:name w:val="heading 9"/>
    <w:basedOn w:val="Normal"/>
    <w:next w:val="Text"/>
    <w:link w:val="Heading9Char"/>
    <w:qFormat/>
    <w:pPr>
      <w:keepNext/>
      <w:numPr>
        <w:ilvl w:val="8"/>
        <w:numId w:val="1"/>
      </w:numPr>
      <w:tabs>
        <w:tab w:val="left" w:pos="1800"/>
      </w:tabs>
      <w:spacing w:before="120" w:after="60"/>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qFormat/>
    <w:pPr>
      <w:tabs>
        <w:tab w:val="left" w:pos="1080"/>
      </w:tabs>
      <w:suppressAutoHyphens/>
      <w:spacing w:before="60" w:after="60"/>
    </w:pPr>
    <w:rPr>
      <w:sz w:val="24"/>
    </w:rPr>
  </w:style>
  <w:style w:type="character" w:customStyle="1" w:styleId="Heading1Char">
    <w:name w:val="Heading 1 Char"/>
    <w:link w:val="Heading1"/>
    <w:uiPriority w:val="9"/>
    <w:rsid w:val="002118DB"/>
    <w:rPr>
      <w:b/>
      <w:caps/>
      <w:sz w:val="24"/>
      <w:lang w:val="en-US" w:eastAsia="en-US"/>
    </w:rPr>
  </w:style>
  <w:style w:type="character" w:customStyle="1" w:styleId="Heading2Char">
    <w:name w:val="Heading 2 Char"/>
    <w:link w:val="Heading2"/>
    <w:uiPriority w:val="9"/>
    <w:rsid w:val="002A6DC2"/>
    <w:rPr>
      <w:b/>
      <w:sz w:val="24"/>
      <w:lang w:val="en-US" w:eastAsia="en-US"/>
    </w:rPr>
  </w:style>
  <w:style w:type="character" w:customStyle="1" w:styleId="Heading3Char">
    <w:name w:val="Heading 3 Char"/>
    <w:link w:val="Heading3"/>
    <w:uiPriority w:val="9"/>
    <w:rsid w:val="000E0004"/>
    <w:rPr>
      <w:b/>
      <w:i/>
      <w:sz w:val="24"/>
      <w:lang w:val="en-US" w:eastAsia="en-US"/>
    </w:rPr>
  </w:style>
  <w:style w:type="character" w:customStyle="1" w:styleId="Heading4Char">
    <w:name w:val="Heading 4 Char"/>
    <w:link w:val="Heading4"/>
    <w:rsid w:val="002D5EE5"/>
    <w:rPr>
      <w:i/>
      <w:sz w:val="24"/>
      <w:lang w:val="en-US" w:eastAsia="en-US"/>
    </w:rPr>
  </w:style>
  <w:style w:type="character" w:customStyle="1" w:styleId="Heading5Char">
    <w:name w:val="Heading 5 Char"/>
    <w:link w:val="Heading5"/>
    <w:rsid w:val="007D2609"/>
    <w:rPr>
      <w:sz w:val="24"/>
      <w:lang w:val="en-US" w:eastAsia="en-US"/>
    </w:rPr>
  </w:style>
  <w:style w:type="character" w:customStyle="1" w:styleId="Heading6Char">
    <w:name w:val="Heading 6 Char"/>
    <w:link w:val="Heading6"/>
    <w:rsid w:val="007D2609"/>
    <w:rPr>
      <w:sz w:val="24"/>
      <w:lang w:val="en-US" w:eastAsia="en-US"/>
    </w:rPr>
  </w:style>
  <w:style w:type="character" w:customStyle="1" w:styleId="Heading7Char">
    <w:name w:val="Heading 7 Char"/>
    <w:link w:val="Heading7"/>
    <w:rsid w:val="007D2609"/>
    <w:rPr>
      <w:sz w:val="24"/>
      <w:lang w:val="en-US" w:eastAsia="en-US"/>
    </w:rPr>
  </w:style>
  <w:style w:type="character" w:customStyle="1" w:styleId="Heading8Char">
    <w:name w:val="Heading 8 Char"/>
    <w:link w:val="Heading8"/>
    <w:rsid w:val="007D2609"/>
    <w:rPr>
      <w:sz w:val="24"/>
      <w:lang w:val="en-US" w:eastAsia="en-US"/>
    </w:rPr>
  </w:style>
  <w:style w:type="character" w:customStyle="1" w:styleId="Heading9Char">
    <w:name w:val="Heading 9 Char"/>
    <w:link w:val="Heading9"/>
    <w:rsid w:val="007D2609"/>
    <w:rPr>
      <w:sz w:val="24"/>
      <w:lang w:val="en-US" w:eastAsia="en-US"/>
    </w:rPr>
  </w:style>
  <w:style w:type="paragraph" w:customStyle="1" w:styleId="TOCtitle">
    <w:name w:val="TOC_title"/>
    <w:basedOn w:val="Normal"/>
    <w:next w:val="Normal"/>
    <w:pPr>
      <w:tabs>
        <w:tab w:val="left" w:pos="1080"/>
      </w:tabs>
      <w:spacing w:before="60" w:after="60"/>
      <w:jc w:val="center"/>
    </w:pPr>
    <w:rPr>
      <w:b/>
      <w:sz w:val="24"/>
    </w:rPr>
  </w:style>
  <w:style w:type="paragraph" w:customStyle="1" w:styleId="Synopsis">
    <w:name w:val="Synopsis"/>
    <w:uiPriority w:val="99"/>
    <w:pPr>
      <w:ind w:firstLine="14"/>
    </w:pPr>
    <w:rPr>
      <w:snapToGrid w:val="0"/>
      <w:lang w:eastAsia="en-US"/>
    </w:rPr>
  </w:style>
  <w:style w:type="paragraph" w:customStyle="1" w:styleId="Tableheader">
    <w:name w:val="Table header"/>
    <w:basedOn w:val="Normal"/>
    <w:rPr>
      <w:rFonts w:ascii="Times New Roman Bold" w:hAnsi="Times New Roman Bold"/>
      <w:b/>
    </w:rPr>
  </w:style>
  <w:style w:type="paragraph" w:styleId="TOC1">
    <w:name w:val="toc 1"/>
    <w:basedOn w:val="Heading1"/>
    <w:next w:val="Normal"/>
    <w:uiPriority w:val="39"/>
    <w:qFormat/>
    <w:pPr>
      <w:keepNext w:val="0"/>
      <w:pageBreakBefore w:val="0"/>
      <w:numPr>
        <w:numId w:val="0"/>
      </w:numPr>
      <w:tabs>
        <w:tab w:val="clear" w:pos="567"/>
        <w:tab w:val="left" w:pos="720"/>
        <w:tab w:val="right" w:leader="dot" w:pos="8647"/>
      </w:tabs>
      <w:ind w:left="720" w:right="418" w:hanging="720"/>
      <w:outlineLvl w:val="9"/>
    </w:pPr>
    <w:rPr>
      <w:noProof/>
      <w:kern w:val="28"/>
    </w:rPr>
  </w:style>
  <w:style w:type="paragraph" w:styleId="TOC2">
    <w:name w:val="toc 2"/>
    <w:basedOn w:val="Heading2"/>
    <w:next w:val="Normal"/>
    <w:uiPriority w:val="39"/>
    <w:pPr>
      <w:keepNext w:val="0"/>
      <w:numPr>
        <w:ilvl w:val="0"/>
        <w:numId w:val="0"/>
      </w:numPr>
      <w:tabs>
        <w:tab w:val="left" w:pos="1004"/>
        <w:tab w:val="right" w:leader="dot" w:pos="8647"/>
      </w:tabs>
      <w:spacing w:before="0" w:after="0"/>
      <w:ind w:left="1004" w:right="418" w:hanging="720"/>
      <w:outlineLvl w:val="9"/>
    </w:pPr>
    <w:rPr>
      <w:noProof/>
    </w:rPr>
  </w:style>
  <w:style w:type="paragraph" w:styleId="TOC3">
    <w:name w:val="toc 3"/>
    <w:basedOn w:val="Heading3"/>
    <w:next w:val="Normal"/>
    <w:uiPriority w:val="39"/>
    <w:pPr>
      <w:keepNext w:val="0"/>
      <w:numPr>
        <w:ilvl w:val="0"/>
        <w:numId w:val="0"/>
      </w:numPr>
      <w:tabs>
        <w:tab w:val="left" w:pos="1800"/>
        <w:tab w:val="right" w:leader="dot" w:pos="8647"/>
      </w:tabs>
      <w:spacing w:before="0" w:after="0"/>
      <w:ind w:left="1800" w:right="418" w:hanging="1080"/>
      <w:outlineLvl w:val="9"/>
    </w:pPr>
    <w:rPr>
      <w:b w:val="0"/>
      <w:i w:val="0"/>
      <w:iCs/>
      <w:noProof/>
    </w:rPr>
  </w:style>
  <w:style w:type="paragraph" w:styleId="TOC4">
    <w:name w:val="toc 4"/>
    <w:basedOn w:val="TOC3"/>
    <w:next w:val="Normal"/>
    <w:uiPriority w:val="39"/>
    <w:pPr>
      <w:tabs>
        <w:tab w:val="clear" w:pos="1134"/>
        <w:tab w:val="clear" w:pos="1800"/>
        <w:tab w:val="left" w:pos="2160"/>
      </w:tabs>
      <w:ind w:left="2160"/>
    </w:pPr>
    <w:rPr>
      <w:bCs/>
      <w:i/>
      <w:iCs w:val="0"/>
    </w:rPr>
  </w:style>
  <w:style w:type="paragraph" w:styleId="Caption">
    <w:name w:val="caption"/>
    <w:basedOn w:val="Normal"/>
    <w:next w:val="Normal"/>
    <w:qFormat/>
    <w:pPr>
      <w:spacing w:before="120" w:after="120"/>
    </w:pPr>
    <w:rPr>
      <w:rFonts w:ascii="Times New Roman Bold" w:hAnsi="Times New Roman Bold"/>
      <w:b/>
      <w:sz w:val="24"/>
    </w:rPr>
  </w:style>
  <w:style w:type="paragraph" w:customStyle="1" w:styleId="Figuretitle">
    <w:name w:val="Figure title"/>
    <w:basedOn w:val="Normal"/>
    <w:uiPriority w:val="99"/>
    <w:pPr>
      <w:keepLines/>
      <w:tabs>
        <w:tab w:val="left" w:pos="1080"/>
        <w:tab w:val="left" w:pos="1440"/>
      </w:tabs>
      <w:spacing w:before="60" w:after="240"/>
      <w:jc w:val="center"/>
    </w:pPr>
    <w:rPr>
      <w:b/>
      <w:sz w:val="24"/>
    </w:rPr>
  </w:style>
  <w:style w:type="paragraph" w:customStyle="1" w:styleId="tablefootnote">
    <w:name w:val="table_footnote"/>
    <w:basedOn w:val="Normal"/>
    <w:pPr>
      <w:tabs>
        <w:tab w:val="left" w:pos="288"/>
        <w:tab w:val="left" w:pos="1080"/>
      </w:tabs>
    </w:pPr>
    <w:rPr>
      <w:i/>
    </w:rPr>
  </w:style>
  <w:style w:type="paragraph" w:styleId="Header">
    <w:name w:val="header"/>
    <w:basedOn w:val="Normal"/>
    <w:link w:val="HeaderChar"/>
    <w:uiPriority w:val="99"/>
    <w:pPr>
      <w:tabs>
        <w:tab w:val="right" w:pos="8640"/>
      </w:tabs>
    </w:pPr>
  </w:style>
  <w:style w:type="character" w:customStyle="1" w:styleId="HeaderChar">
    <w:name w:val="Header Char"/>
    <w:link w:val="Header"/>
    <w:uiPriority w:val="99"/>
    <w:rsid w:val="000F7F96"/>
  </w:style>
  <w:style w:type="paragraph" w:styleId="Footer">
    <w:name w:val="footer"/>
    <w:basedOn w:val="Normal"/>
    <w:link w:val="FooterChar"/>
    <w:pPr>
      <w:tabs>
        <w:tab w:val="left" w:pos="1080"/>
        <w:tab w:val="center" w:pos="4320"/>
        <w:tab w:val="right" w:pos="8640"/>
      </w:tabs>
    </w:pPr>
  </w:style>
  <w:style w:type="character" w:customStyle="1" w:styleId="FooterChar">
    <w:name w:val="Footer Char"/>
    <w:basedOn w:val="DefaultParagraphFont"/>
    <w:link w:val="Footer"/>
    <w:rsid w:val="007D2609"/>
  </w:style>
  <w:style w:type="character" w:styleId="PageNumber">
    <w:name w:val="page number"/>
    <w:basedOn w:val="DefaultParagraphFont"/>
  </w:style>
  <w:style w:type="paragraph" w:customStyle="1" w:styleId="Abbreviationtabletext">
    <w:name w:val="Abbreviation table text"/>
    <w:basedOn w:val="Normal"/>
    <w:pPr>
      <w:tabs>
        <w:tab w:val="left" w:pos="1985"/>
      </w:tabs>
      <w:spacing w:line="288" w:lineRule="auto"/>
      <w:ind w:left="57"/>
    </w:pPr>
    <w:rPr>
      <w:sz w:val="24"/>
    </w:rPr>
  </w:style>
  <w:style w:type="paragraph" w:styleId="EndnoteText">
    <w:name w:val="endnote text"/>
    <w:basedOn w:val="Normal"/>
    <w:link w:val="EndnoteTextChar"/>
    <w:semiHidden/>
    <w:pPr>
      <w:tabs>
        <w:tab w:val="left" w:pos="567"/>
      </w:tabs>
      <w:spacing w:before="60" w:after="60"/>
      <w:ind w:left="567" w:hanging="567"/>
    </w:pPr>
  </w:style>
  <w:style w:type="character" w:customStyle="1" w:styleId="EndnoteTextChar">
    <w:name w:val="Endnote Text Char"/>
    <w:basedOn w:val="DefaultParagraphFont"/>
    <w:link w:val="EndnoteText"/>
    <w:semiHidden/>
    <w:rsid w:val="007D2609"/>
  </w:style>
  <w:style w:type="character" w:styleId="EndnoteReference">
    <w:name w:val="endnote reference"/>
    <w:basedOn w:val="DefaultParagraphFont"/>
    <w:semiHidden/>
  </w:style>
  <w:style w:type="paragraph" w:styleId="BalloonText">
    <w:name w:val="Balloon Text"/>
    <w:basedOn w:val="Normal"/>
    <w:link w:val="BalloonTextChar"/>
    <w:uiPriority w:val="99"/>
    <w:semiHidden/>
    <w:rsid w:val="00F50DFE"/>
    <w:rPr>
      <w:rFonts w:ascii="Tahoma" w:hAnsi="Tahoma" w:cs="Tahoma"/>
      <w:sz w:val="16"/>
      <w:szCs w:val="16"/>
    </w:rPr>
  </w:style>
  <w:style w:type="character" w:customStyle="1" w:styleId="BalloonTextChar">
    <w:name w:val="Balloon Text Char"/>
    <w:link w:val="BalloonText"/>
    <w:uiPriority w:val="99"/>
    <w:semiHidden/>
    <w:rsid w:val="007D2609"/>
    <w:rPr>
      <w:rFonts w:ascii="Tahoma" w:hAnsi="Tahoma" w:cs="Tahoma"/>
      <w:sz w:val="16"/>
      <w:szCs w:val="16"/>
    </w:rPr>
  </w:style>
  <w:style w:type="paragraph" w:styleId="NormalIndent">
    <w:name w:val="Normal Indent"/>
    <w:basedOn w:val="Normal"/>
    <w:pPr>
      <w:overflowPunct w:val="0"/>
      <w:autoSpaceDE w:val="0"/>
      <w:autoSpaceDN w:val="0"/>
      <w:adjustRightInd w:val="0"/>
      <w:spacing w:after="240" w:line="280" w:lineRule="atLeast"/>
      <w:ind w:left="720"/>
      <w:textAlignment w:val="baseline"/>
    </w:pPr>
    <w:rPr>
      <w:sz w:val="24"/>
      <w:lang w:val="en-GB"/>
    </w:rPr>
  </w:style>
  <w:style w:type="paragraph" w:styleId="ListNumber">
    <w:name w:val="List Number"/>
    <w:rPr>
      <w:sz w:val="24"/>
      <w:lang w:eastAsia="en-US"/>
    </w:rPr>
  </w:style>
  <w:style w:type="paragraph" w:customStyle="1" w:styleId="Instructiontext">
    <w:name w:val="Instruction text"/>
    <w:basedOn w:val="Text"/>
    <w:pPr>
      <w:tabs>
        <w:tab w:val="left" w:pos="5490"/>
      </w:tabs>
    </w:pPr>
    <w:rPr>
      <w:i/>
      <w:color w:val="FF0000"/>
    </w:rPr>
  </w:style>
  <w:style w:type="paragraph" w:customStyle="1" w:styleId="Sampletext">
    <w:name w:val="Sample text"/>
    <w:basedOn w:val="Normal"/>
    <w:pPr>
      <w:overflowPunct w:val="0"/>
      <w:autoSpaceDE w:val="0"/>
      <w:autoSpaceDN w:val="0"/>
      <w:adjustRightInd w:val="0"/>
      <w:spacing w:before="60" w:after="60" w:line="280" w:lineRule="atLeast"/>
      <w:textAlignment w:val="baseline"/>
    </w:pPr>
    <w:rPr>
      <w:i/>
      <w:sz w:val="24"/>
    </w:r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uiPriority w:val="99"/>
    <w:rPr>
      <w:color w:val="0000FF"/>
      <w:u w:val="single"/>
    </w:rPr>
  </w:style>
  <w:style w:type="paragraph" w:customStyle="1" w:styleId="confidentialbox">
    <w:name w:val="confidential box"/>
    <w:pPr>
      <w:pBdr>
        <w:top w:val="single" w:sz="6" w:space="1" w:color="auto"/>
        <w:left w:val="single" w:sz="6" w:space="1" w:color="auto"/>
        <w:bottom w:val="single" w:sz="6" w:space="1" w:color="auto"/>
        <w:right w:val="single" w:sz="6" w:space="1" w:color="auto"/>
      </w:pBdr>
      <w:spacing w:before="300" w:line="260" w:lineRule="exact"/>
      <w:jc w:val="center"/>
    </w:pPr>
    <w:rPr>
      <w:lang w:eastAsia="en-US"/>
    </w:rPr>
  </w:style>
  <w:style w:type="paragraph" w:customStyle="1" w:styleId="DocumentText">
    <w:name w:val="Document Text"/>
    <w:basedOn w:val="Normal"/>
    <w:link w:val="DocumentTextChar"/>
    <w:qFormat/>
    <w:rsid w:val="00C51ECF"/>
    <w:pPr>
      <w:spacing w:after="240" w:line="300" w:lineRule="auto"/>
    </w:pPr>
    <w:rPr>
      <w:kern w:val="24"/>
      <w:sz w:val="24"/>
      <w:szCs w:val="24"/>
    </w:rPr>
  </w:style>
  <w:style w:type="character" w:customStyle="1" w:styleId="DocumentTextChar">
    <w:name w:val="Document Text Char"/>
    <w:link w:val="DocumentText"/>
    <w:rsid w:val="00C51ECF"/>
    <w:rPr>
      <w:kern w:val="24"/>
      <w:sz w:val="24"/>
      <w:szCs w:val="24"/>
    </w:rPr>
  </w:style>
  <w:style w:type="paragraph" w:customStyle="1" w:styleId="Tabletitle">
    <w:name w:val="Tabletitle"/>
    <w:basedOn w:val="Figuretitle"/>
    <w:autoRedefine/>
    <w:rsid w:val="00C36F36"/>
    <w:pPr>
      <w:keepNext/>
      <w:widowControl w:val="0"/>
      <w:spacing w:after="0"/>
      <w:ind w:left="1440" w:hanging="1440"/>
      <w:jc w:val="left"/>
    </w:pPr>
    <w:rPr>
      <w:snapToGrid w:val="0"/>
    </w:rPr>
  </w:style>
  <w:style w:type="paragraph" w:customStyle="1" w:styleId="Titlepage">
    <w:name w:val="Title page"/>
    <w:basedOn w:val="Normal"/>
    <w:pPr>
      <w:spacing w:after="180"/>
      <w:ind w:left="2874" w:hanging="2863"/>
    </w:pPr>
    <w:rPr>
      <w:snapToGrid w:val="0"/>
    </w:rPr>
  </w:style>
  <w:style w:type="paragraph" w:customStyle="1" w:styleId="Tabletext">
    <w:name w:val="Tabletext"/>
    <w:basedOn w:val="Normal"/>
    <w:pPr>
      <w:widowControl w:val="0"/>
      <w:spacing w:before="40" w:after="40"/>
      <w:jc w:val="both"/>
    </w:pPr>
    <w:rPr>
      <w:snapToGrid w:val="0"/>
    </w:rPr>
  </w:style>
  <w:style w:type="paragraph" w:styleId="FootnoteText">
    <w:name w:val="footnote text"/>
    <w:basedOn w:val="Normal"/>
    <w:link w:val="FootnoteTextChar"/>
    <w:semiHidden/>
    <w:pPr>
      <w:widowControl w:val="0"/>
    </w:pPr>
    <w:rPr>
      <w:snapToGrid w:val="0"/>
    </w:rPr>
  </w:style>
  <w:style w:type="character" w:customStyle="1" w:styleId="FootnoteTextChar">
    <w:name w:val="Footnote Text Char"/>
    <w:link w:val="FootnoteText"/>
    <w:semiHidden/>
    <w:rsid w:val="007D2609"/>
    <w:rPr>
      <w:snapToGrid w:val="0"/>
    </w:rPr>
  </w:style>
  <w:style w:type="paragraph" w:styleId="TableofFigures">
    <w:name w:val="table of figures"/>
    <w:basedOn w:val="Normal"/>
    <w:next w:val="Normal"/>
    <w:uiPriority w:val="99"/>
    <w:rsid w:val="00D221A2"/>
    <w:pPr>
      <w:tabs>
        <w:tab w:val="left" w:pos="1004"/>
        <w:tab w:val="right" w:leader="dot" w:pos="8647"/>
      </w:tabs>
      <w:ind w:left="400" w:right="391" w:hanging="400"/>
    </w:pPr>
    <w:rPr>
      <w:noProof/>
      <w:sz w:val="24"/>
    </w:rPr>
  </w:style>
  <w:style w:type="paragraph" w:styleId="DocumentMap">
    <w:name w:val="Document Map"/>
    <w:basedOn w:val="Normal"/>
    <w:link w:val="DocumentMapChar"/>
    <w:semiHidden/>
    <w:pPr>
      <w:shd w:val="clear" w:color="auto" w:fill="000080"/>
    </w:pPr>
    <w:rPr>
      <w:rFonts w:ascii="Tahoma" w:hAnsi="Tahoma" w:cs="Tahoma"/>
    </w:rPr>
  </w:style>
  <w:style w:type="character" w:customStyle="1" w:styleId="DocumentMapChar">
    <w:name w:val="Document Map Char"/>
    <w:link w:val="DocumentMap"/>
    <w:semiHidden/>
    <w:rsid w:val="007D2609"/>
    <w:rPr>
      <w:rFonts w:ascii="Tahoma" w:hAnsi="Tahoma" w:cs="Tahoma"/>
      <w:shd w:val="clear" w:color="auto" w:fill="000080"/>
    </w:rPr>
  </w:style>
  <w:style w:type="paragraph" w:customStyle="1" w:styleId="BulletList1">
    <w:name w:val="Bullet List 1"/>
    <w:basedOn w:val="Normal"/>
    <w:qFormat/>
    <w:pPr>
      <w:numPr>
        <w:numId w:val="2"/>
      </w:numPr>
    </w:pPr>
    <w:rPr>
      <w:sz w:val="24"/>
    </w:rPr>
  </w:style>
  <w:style w:type="paragraph" w:customStyle="1" w:styleId="BulletList2">
    <w:name w:val="Bullet List 2"/>
    <w:basedOn w:val="BulletList1"/>
    <w:pPr>
      <w:numPr>
        <w:numId w:val="3"/>
      </w:numPr>
    </w:pPr>
  </w:style>
  <w:style w:type="paragraph" w:styleId="BodyText">
    <w:name w:val="Body Text"/>
    <w:basedOn w:val="Normal"/>
    <w:link w:val="BodyTextChar"/>
    <w:uiPriority w:val="1"/>
    <w:qFormat/>
    <w:rsid w:val="00C51ECF"/>
    <w:pPr>
      <w:spacing w:after="120" w:line="300" w:lineRule="auto"/>
    </w:pPr>
    <w:rPr>
      <w:kern w:val="24"/>
      <w:sz w:val="24"/>
      <w:szCs w:val="24"/>
    </w:rPr>
  </w:style>
  <w:style w:type="character" w:customStyle="1" w:styleId="BodyTextChar">
    <w:name w:val="Body Text Char"/>
    <w:link w:val="BodyText"/>
    <w:uiPriority w:val="1"/>
    <w:rsid w:val="00C51ECF"/>
    <w:rPr>
      <w:kern w:val="24"/>
      <w:sz w:val="24"/>
      <w:szCs w:val="24"/>
    </w:rPr>
  </w:style>
  <w:style w:type="character" w:styleId="CommentReference">
    <w:name w:val="annotation reference"/>
    <w:uiPriority w:val="99"/>
    <w:rsid w:val="00C51ECF"/>
    <w:rPr>
      <w:sz w:val="16"/>
      <w:szCs w:val="16"/>
    </w:rPr>
  </w:style>
  <w:style w:type="paragraph" w:styleId="CommentText">
    <w:name w:val="annotation text"/>
    <w:aliases w:val=" Char1,Char1,Annotationtext"/>
    <w:basedOn w:val="Normal"/>
    <w:link w:val="CommentTextChar"/>
    <w:uiPriority w:val="99"/>
    <w:rsid w:val="00C51ECF"/>
    <w:pPr>
      <w:spacing w:after="240"/>
    </w:pPr>
    <w:rPr>
      <w:kern w:val="24"/>
    </w:rPr>
  </w:style>
  <w:style w:type="character" w:customStyle="1" w:styleId="CommentTextChar">
    <w:name w:val="Comment Text Char"/>
    <w:aliases w:val=" Char1 Char,Char1 Char,Annotationtext Char"/>
    <w:link w:val="CommentText"/>
    <w:uiPriority w:val="99"/>
    <w:rsid w:val="00C51ECF"/>
    <w:rPr>
      <w:kern w:val="24"/>
    </w:rPr>
  </w:style>
  <w:style w:type="paragraph" w:customStyle="1" w:styleId="ListBulleted">
    <w:name w:val="List Bulleted"/>
    <w:basedOn w:val="DocumentText"/>
    <w:rsid w:val="00C51ECF"/>
    <w:pPr>
      <w:keepLines/>
      <w:numPr>
        <w:numId w:val="4"/>
      </w:numPr>
      <w:tabs>
        <w:tab w:val="left" w:pos="794"/>
      </w:tabs>
      <w:adjustRightInd w:val="0"/>
      <w:spacing w:before="120" w:after="120"/>
      <w:ind w:left="0" w:firstLine="0"/>
    </w:pPr>
  </w:style>
  <w:style w:type="paragraph" w:customStyle="1" w:styleId="List1">
    <w:name w:val="List1"/>
    <w:basedOn w:val="Normal"/>
    <w:rsid w:val="00C51ECF"/>
    <w:pPr>
      <w:tabs>
        <w:tab w:val="num" w:pos="1008"/>
      </w:tabs>
      <w:spacing w:before="120" w:after="120"/>
      <w:ind w:left="1008" w:hanging="504"/>
    </w:pPr>
    <w:rPr>
      <w:rFonts w:eastAsia="SimSun"/>
      <w:sz w:val="24"/>
      <w:szCs w:val="24"/>
    </w:rPr>
  </w:style>
  <w:style w:type="paragraph" w:styleId="CommentSubject">
    <w:name w:val="annotation subject"/>
    <w:basedOn w:val="CommentText"/>
    <w:next w:val="CommentText"/>
    <w:link w:val="CommentSubjectChar"/>
    <w:uiPriority w:val="99"/>
    <w:rsid w:val="0015214D"/>
    <w:pPr>
      <w:spacing w:after="0"/>
    </w:pPr>
    <w:rPr>
      <w:b/>
      <w:bCs/>
      <w:kern w:val="0"/>
    </w:rPr>
  </w:style>
  <w:style w:type="character" w:customStyle="1" w:styleId="CommentSubjectChar">
    <w:name w:val="Comment Subject Char"/>
    <w:link w:val="CommentSubject"/>
    <w:uiPriority w:val="99"/>
    <w:rsid w:val="0015214D"/>
    <w:rPr>
      <w:b/>
      <w:bCs/>
      <w:kern w:val="24"/>
    </w:rPr>
  </w:style>
  <w:style w:type="table" w:styleId="ColorfulGrid-Accent2">
    <w:name w:val="Colorful Grid Accent 2"/>
    <w:basedOn w:val="TableNormal"/>
    <w:uiPriority w:val="73"/>
    <w:rsid w:val="0061273A"/>
    <w:rPr>
      <w:rFonts w:eastAsia="MS Mincho"/>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paragraph" w:styleId="ListBullet">
    <w:name w:val="List Bullet"/>
    <w:basedOn w:val="Normal"/>
    <w:rsid w:val="0061273A"/>
    <w:pPr>
      <w:tabs>
        <w:tab w:val="num" w:pos="360"/>
      </w:tabs>
      <w:spacing w:after="120" w:line="300" w:lineRule="auto"/>
      <w:ind w:left="360" w:hanging="360"/>
      <w:contextualSpacing/>
    </w:pPr>
    <w:rPr>
      <w:kern w:val="24"/>
      <w:sz w:val="24"/>
      <w:szCs w:val="24"/>
      <w:lang w:eastAsia="ja-JP"/>
    </w:rPr>
  </w:style>
  <w:style w:type="paragraph" w:customStyle="1" w:styleId="TableText0">
    <w:name w:val="Table Text"/>
    <w:basedOn w:val="BodyText"/>
    <w:rsid w:val="0061273A"/>
    <w:pPr>
      <w:overflowPunct w:val="0"/>
      <w:autoSpaceDE w:val="0"/>
      <w:autoSpaceDN w:val="0"/>
      <w:adjustRightInd w:val="0"/>
      <w:spacing w:before="20" w:after="20" w:line="240" w:lineRule="auto"/>
      <w:textAlignment w:val="baseline"/>
    </w:pPr>
    <w:rPr>
      <w:rFonts w:eastAsia="SimSun"/>
      <w:kern w:val="0"/>
      <w:sz w:val="22"/>
      <w:szCs w:val="20"/>
      <w:lang w:eastAsia="ja-JP"/>
    </w:rPr>
  </w:style>
  <w:style w:type="character" w:styleId="FootnoteReference">
    <w:name w:val="footnote reference"/>
    <w:rsid w:val="00171B1B"/>
    <w:rPr>
      <w:vertAlign w:val="superscript"/>
    </w:rPr>
  </w:style>
  <w:style w:type="paragraph" w:customStyle="1" w:styleId="TableText9">
    <w:name w:val="TableText9"/>
    <w:basedOn w:val="Normal"/>
    <w:rsid w:val="006F0C71"/>
    <w:rPr>
      <w:rFonts w:eastAsia="SimSun"/>
      <w:sz w:val="18"/>
      <w:szCs w:val="24"/>
    </w:rPr>
  </w:style>
  <w:style w:type="paragraph" w:customStyle="1" w:styleId="TableHeader9">
    <w:name w:val="TableHeader9"/>
    <w:basedOn w:val="TableText9"/>
    <w:rsid w:val="006F0C71"/>
    <w:pPr>
      <w:jc w:val="center"/>
    </w:pPr>
    <w:rPr>
      <w:b/>
    </w:rPr>
  </w:style>
  <w:style w:type="character" w:styleId="FollowedHyperlink">
    <w:name w:val="FollowedHyperlink"/>
    <w:rsid w:val="006F0C71"/>
    <w:rPr>
      <w:color w:val="954F72"/>
      <w:u w:val="single"/>
    </w:rPr>
  </w:style>
  <w:style w:type="paragraph" w:customStyle="1" w:styleId="Default">
    <w:name w:val="Default"/>
    <w:rsid w:val="00717FCD"/>
    <w:pPr>
      <w:autoSpaceDE w:val="0"/>
      <w:autoSpaceDN w:val="0"/>
      <w:adjustRightInd w:val="0"/>
    </w:pPr>
    <w:rPr>
      <w:rFonts w:eastAsia="Calibri"/>
      <w:color w:val="000000"/>
      <w:sz w:val="24"/>
      <w:szCs w:val="24"/>
      <w:lang w:val="en-US" w:eastAsia="en-US"/>
    </w:rPr>
  </w:style>
  <w:style w:type="paragraph" w:customStyle="1" w:styleId="C-TableHeader">
    <w:name w:val="C-Table Header"/>
    <w:next w:val="C-TableText"/>
    <w:rsid w:val="008E5699"/>
    <w:pPr>
      <w:keepNext/>
      <w:spacing w:before="60" w:after="60"/>
    </w:pPr>
    <w:rPr>
      <w:b/>
      <w:sz w:val="22"/>
      <w:lang w:val="en-US" w:eastAsia="en-US"/>
    </w:rPr>
  </w:style>
  <w:style w:type="paragraph" w:customStyle="1" w:styleId="C-TableText">
    <w:name w:val="C-Table Text"/>
    <w:link w:val="C-TableTextChar"/>
    <w:rsid w:val="008E5699"/>
    <w:pPr>
      <w:spacing w:before="60" w:after="60"/>
    </w:pPr>
    <w:rPr>
      <w:sz w:val="22"/>
      <w:lang w:val="en-US" w:eastAsia="en-US"/>
    </w:rPr>
  </w:style>
  <w:style w:type="character" w:customStyle="1" w:styleId="C-TableTextChar">
    <w:name w:val="C-Table Text Char"/>
    <w:link w:val="C-TableText"/>
    <w:rsid w:val="008E5699"/>
    <w:rPr>
      <w:sz w:val="22"/>
      <w:lang w:val="en-US" w:eastAsia="en-US"/>
    </w:rPr>
  </w:style>
  <w:style w:type="character" w:styleId="UnresolvedMention">
    <w:name w:val="Unresolved Mention"/>
    <w:uiPriority w:val="99"/>
    <w:semiHidden/>
    <w:unhideWhenUsed/>
    <w:rsid w:val="0073090A"/>
    <w:rPr>
      <w:color w:val="605E5C"/>
      <w:shd w:val="clear" w:color="auto" w:fill="E1DFDD"/>
    </w:rPr>
  </w:style>
  <w:style w:type="table" w:styleId="TableGrid">
    <w:name w:val="Table Grid"/>
    <w:basedOn w:val="TableNormal"/>
    <w:uiPriority w:val="59"/>
    <w:rsid w:val="008666C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D2609"/>
    <w:pPr>
      <w:spacing w:before="100" w:beforeAutospacing="1" w:after="100" w:afterAutospacing="1"/>
    </w:pPr>
    <w:rPr>
      <w:sz w:val="24"/>
      <w:szCs w:val="24"/>
      <w:lang w:val="en-IN" w:eastAsia="en-IN"/>
    </w:rPr>
  </w:style>
  <w:style w:type="paragraph" w:styleId="ListParagraph">
    <w:name w:val="List Paragraph"/>
    <w:basedOn w:val="Normal"/>
    <w:uiPriority w:val="34"/>
    <w:qFormat/>
    <w:rsid w:val="007D2609"/>
    <w:pPr>
      <w:widowControl w:val="0"/>
      <w:autoSpaceDE w:val="0"/>
      <w:autoSpaceDN w:val="0"/>
      <w:ind w:left="856" w:hanging="360"/>
    </w:pPr>
    <w:rPr>
      <w:sz w:val="22"/>
      <w:szCs w:val="22"/>
    </w:rPr>
  </w:style>
  <w:style w:type="paragraph" w:customStyle="1" w:styleId="TableParagraph">
    <w:name w:val="Table Paragraph"/>
    <w:basedOn w:val="Normal"/>
    <w:uiPriority w:val="1"/>
    <w:qFormat/>
    <w:rsid w:val="007D2609"/>
    <w:pPr>
      <w:widowControl w:val="0"/>
      <w:autoSpaceDE w:val="0"/>
      <w:autoSpaceDN w:val="0"/>
    </w:pPr>
    <w:rPr>
      <w:sz w:val="22"/>
      <w:szCs w:val="22"/>
    </w:rPr>
  </w:style>
  <w:style w:type="paragraph" w:customStyle="1" w:styleId="TableCellHeading10pt">
    <w:name w:val="Table Cell Heading 10pt"/>
    <w:basedOn w:val="Normal"/>
    <w:rsid w:val="00A12ECC"/>
    <w:pPr>
      <w:keepNext/>
      <w:spacing w:before="40" w:after="40"/>
      <w:jc w:val="center"/>
    </w:pPr>
    <w:rPr>
      <w:b/>
      <w:kern w:val="20"/>
      <w:szCs w:val="24"/>
      <w:lang w:eastAsia="ja-JP"/>
    </w:rPr>
  </w:style>
  <w:style w:type="paragraph" w:customStyle="1" w:styleId="TableCellText10pt">
    <w:name w:val="Table Cell Text 10pt"/>
    <w:basedOn w:val="Normal"/>
    <w:link w:val="TableCellText10ptChar"/>
    <w:rsid w:val="00A12ECC"/>
    <w:pPr>
      <w:keepNext/>
      <w:spacing w:before="40" w:after="40"/>
      <w:jc w:val="center"/>
    </w:pPr>
    <w:rPr>
      <w:kern w:val="24"/>
      <w:szCs w:val="24"/>
      <w:lang w:eastAsia="ja-JP"/>
    </w:rPr>
  </w:style>
  <w:style w:type="character" w:customStyle="1" w:styleId="TableCellText10ptChar">
    <w:name w:val="Table Cell Text 10pt Char"/>
    <w:link w:val="TableCellText10pt"/>
    <w:rsid w:val="00A12ECC"/>
    <w:rPr>
      <w:kern w:val="24"/>
      <w:szCs w:val="24"/>
      <w:lang w:eastAsia="ja-JP"/>
    </w:rPr>
  </w:style>
  <w:style w:type="paragraph" w:customStyle="1" w:styleId="TableFootnote0">
    <w:name w:val="Table Footnote"/>
    <w:basedOn w:val="DocumentText"/>
    <w:next w:val="DocumentText"/>
    <w:qFormat/>
    <w:rsid w:val="00A12ECC"/>
    <w:pPr>
      <w:keepNext/>
      <w:keepLines/>
      <w:spacing w:before="40" w:after="0" w:line="240" w:lineRule="auto"/>
      <w:ind w:left="360" w:hanging="360"/>
    </w:pPr>
    <w:rPr>
      <w:kern w:val="20"/>
      <w:sz w:val="20"/>
      <w:szCs w:val="20"/>
    </w:rPr>
  </w:style>
  <w:style w:type="paragraph" w:styleId="NormalWeb">
    <w:name w:val="Normal (Web)"/>
    <w:basedOn w:val="Normal"/>
    <w:uiPriority w:val="99"/>
    <w:unhideWhenUsed/>
    <w:rsid w:val="00107423"/>
    <w:pPr>
      <w:spacing w:before="100" w:beforeAutospacing="1" w:after="100" w:afterAutospacing="1"/>
    </w:pPr>
    <w:rPr>
      <w:sz w:val="24"/>
      <w:szCs w:val="24"/>
      <w:lang w:val="en-IN" w:eastAsia="en-IN"/>
    </w:rPr>
  </w:style>
  <w:style w:type="paragraph" w:customStyle="1" w:styleId="C-BodyText">
    <w:name w:val="C-Body Text"/>
    <w:link w:val="C-BodyTextChar"/>
    <w:rsid w:val="00107423"/>
    <w:pPr>
      <w:spacing w:before="120" w:after="120" w:line="280" w:lineRule="atLeast"/>
    </w:pPr>
    <w:rPr>
      <w:sz w:val="24"/>
      <w:lang w:val="en-US" w:eastAsia="en-US"/>
    </w:rPr>
  </w:style>
  <w:style w:type="character" w:customStyle="1" w:styleId="C-BodyTextChar">
    <w:name w:val="C-Body Text Char"/>
    <w:link w:val="C-BodyText"/>
    <w:locked/>
    <w:rsid w:val="00107423"/>
    <w:rPr>
      <w:sz w:val="24"/>
    </w:rPr>
  </w:style>
  <w:style w:type="character" w:customStyle="1" w:styleId="C-Hyperlink">
    <w:name w:val="C-Hyperlink"/>
    <w:basedOn w:val="DefaultParagraphFont"/>
    <w:rsid w:val="00EF3E10"/>
    <w:rPr>
      <w:color w:val="0000FF"/>
    </w:rPr>
  </w:style>
  <w:style w:type="paragraph" w:customStyle="1" w:styleId="TableCellText12pt">
    <w:name w:val="Table Cell Text 12pt"/>
    <w:basedOn w:val="DocumentText"/>
    <w:uiPriority w:val="99"/>
    <w:rsid w:val="0080625A"/>
    <w:pPr>
      <w:keepNext/>
      <w:spacing w:before="40" w:after="40" w:line="240" w:lineRule="auto"/>
    </w:pPr>
    <w:rPr>
      <w:lang w:eastAsia="ja-JP"/>
    </w:rPr>
  </w:style>
  <w:style w:type="paragraph" w:styleId="Revision">
    <w:name w:val="Revision"/>
    <w:hidden/>
    <w:uiPriority w:val="99"/>
    <w:semiHidden/>
    <w:rsid w:val="00E71F8C"/>
    <w:rPr>
      <w:lang w:val="en-US" w:eastAsia="en-US"/>
    </w:rPr>
  </w:style>
  <w:style w:type="paragraph" w:customStyle="1" w:styleId="xc-tabletext">
    <w:name w:val="x_c-tabletext"/>
    <w:basedOn w:val="Normal"/>
    <w:rsid w:val="00A45451"/>
    <w:pPr>
      <w:spacing w:before="100" w:beforeAutospacing="1" w:after="100" w:afterAutospacing="1"/>
    </w:pPr>
    <w:rPr>
      <w:sz w:val="24"/>
      <w:szCs w:val="24"/>
    </w:rPr>
  </w:style>
  <w:style w:type="paragraph" w:customStyle="1" w:styleId="xmsonormal">
    <w:name w:val="x_msonormal"/>
    <w:basedOn w:val="Normal"/>
    <w:rsid w:val="00A45451"/>
    <w:pPr>
      <w:spacing w:before="100" w:beforeAutospacing="1" w:after="100" w:afterAutospacing="1"/>
    </w:pPr>
    <w:rPr>
      <w:sz w:val="24"/>
      <w:szCs w:val="24"/>
    </w:rPr>
  </w:style>
  <w:style w:type="paragraph" w:customStyle="1" w:styleId="EPParagraph">
    <w:name w:val="EP Paragraph"/>
    <w:link w:val="EPParagraphCharChar"/>
    <w:rsid w:val="00771D37"/>
    <w:pPr>
      <w:spacing w:after="180" w:line="360" w:lineRule="exact"/>
      <w:jc w:val="both"/>
    </w:pPr>
    <w:rPr>
      <w:sz w:val="24"/>
      <w:lang w:val="en-US" w:eastAsia="en-US"/>
    </w:rPr>
  </w:style>
  <w:style w:type="character" w:customStyle="1" w:styleId="EPParagraphCharChar">
    <w:name w:val="EP Paragraph Char Char"/>
    <w:link w:val="EPParagraph"/>
    <w:rsid w:val="00771D37"/>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294">
      <w:bodyDiv w:val="1"/>
      <w:marLeft w:val="0"/>
      <w:marRight w:val="0"/>
      <w:marTop w:val="0"/>
      <w:marBottom w:val="0"/>
      <w:divBdr>
        <w:top w:val="none" w:sz="0" w:space="0" w:color="auto"/>
        <w:left w:val="none" w:sz="0" w:space="0" w:color="auto"/>
        <w:bottom w:val="none" w:sz="0" w:space="0" w:color="auto"/>
        <w:right w:val="none" w:sz="0" w:space="0" w:color="auto"/>
      </w:divBdr>
    </w:div>
    <w:div w:id="91317100">
      <w:bodyDiv w:val="1"/>
      <w:marLeft w:val="0"/>
      <w:marRight w:val="0"/>
      <w:marTop w:val="0"/>
      <w:marBottom w:val="0"/>
      <w:divBdr>
        <w:top w:val="none" w:sz="0" w:space="0" w:color="auto"/>
        <w:left w:val="none" w:sz="0" w:space="0" w:color="auto"/>
        <w:bottom w:val="none" w:sz="0" w:space="0" w:color="auto"/>
        <w:right w:val="none" w:sz="0" w:space="0" w:color="auto"/>
      </w:divBdr>
    </w:div>
    <w:div w:id="97868731">
      <w:bodyDiv w:val="1"/>
      <w:marLeft w:val="0"/>
      <w:marRight w:val="0"/>
      <w:marTop w:val="0"/>
      <w:marBottom w:val="0"/>
      <w:divBdr>
        <w:top w:val="none" w:sz="0" w:space="0" w:color="auto"/>
        <w:left w:val="none" w:sz="0" w:space="0" w:color="auto"/>
        <w:bottom w:val="none" w:sz="0" w:space="0" w:color="auto"/>
        <w:right w:val="none" w:sz="0" w:space="0" w:color="auto"/>
      </w:divBdr>
    </w:div>
    <w:div w:id="123433275">
      <w:bodyDiv w:val="1"/>
      <w:marLeft w:val="0"/>
      <w:marRight w:val="0"/>
      <w:marTop w:val="0"/>
      <w:marBottom w:val="0"/>
      <w:divBdr>
        <w:top w:val="none" w:sz="0" w:space="0" w:color="auto"/>
        <w:left w:val="none" w:sz="0" w:space="0" w:color="auto"/>
        <w:bottom w:val="none" w:sz="0" w:space="0" w:color="auto"/>
        <w:right w:val="none" w:sz="0" w:space="0" w:color="auto"/>
      </w:divBdr>
    </w:div>
    <w:div w:id="173232302">
      <w:bodyDiv w:val="1"/>
      <w:marLeft w:val="0"/>
      <w:marRight w:val="0"/>
      <w:marTop w:val="0"/>
      <w:marBottom w:val="0"/>
      <w:divBdr>
        <w:top w:val="none" w:sz="0" w:space="0" w:color="auto"/>
        <w:left w:val="none" w:sz="0" w:space="0" w:color="auto"/>
        <w:bottom w:val="none" w:sz="0" w:space="0" w:color="auto"/>
        <w:right w:val="none" w:sz="0" w:space="0" w:color="auto"/>
      </w:divBdr>
    </w:div>
    <w:div w:id="174923030">
      <w:bodyDiv w:val="1"/>
      <w:marLeft w:val="0"/>
      <w:marRight w:val="0"/>
      <w:marTop w:val="0"/>
      <w:marBottom w:val="0"/>
      <w:divBdr>
        <w:top w:val="none" w:sz="0" w:space="0" w:color="auto"/>
        <w:left w:val="none" w:sz="0" w:space="0" w:color="auto"/>
        <w:bottom w:val="none" w:sz="0" w:space="0" w:color="auto"/>
        <w:right w:val="none" w:sz="0" w:space="0" w:color="auto"/>
      </w:divBdr>
    </w:div>
    <w:div w:id="204607717">
      <w:bodyDiv w:val="1"/>
      <w:marLeft w:val="0"/>
      <w:marRight w:val="0"/>
      <w:marTop w:val="0"/>
      <w:marBottom w:val="0"/>
      <w:divBdr>
        <w:top w:val="none" w:sz="0" w:space="0" w:color="auto"/>
        <w:left w:val="none" w:sz="0" w:space="0" w:color="auto"/>
        <w:bottom w:val="none" w:sz="0" w:space="0" w:color="auto"/>
        <w:right w:val="none" w:sz="0" w:space="0" w:color="auto"/>
      </w:divBdr>
    </w:div>
    <w:div w:id="224805528">
      <w:bodyDiv w:val="1"/>
      <w:marLeft w:val="0"/>
      <w:marRight w:val="0"/>
      <w:marTop w:val="0"/>
      <w:marBottom w:val="0"/>
      <w:divBdr>
        <w:top w:val="none" w:sz="0" w:space="0" w:color="auto"/>
        <w:left w:val="none" w:sz="0" w:space="0" w:color="auto"/>
        <w:bottom w:val="none" w:sz="0" w:space="0" w:color="auto"/>
        <w:right w:val="none" w:sz="0" w:space="0" w:color="auto"/>
      </w:divBdr>
    </w:div>
    <w:div w:id="252588282">
      <w:bodyDiv w:val="1"/>
      <w:marLeft w:val="0"/>
      <w:marRight w:val="0"/>
      <w:marTop w:val="0"/>
      <w:marBottom w:val="0"/>
      <w:divBdr>
        <w:top w:val="none" w:sz="0" w:space="0" w:color="auto"/>
        <w:left w:val="none" w:sz="0" w:space="0" w:color="auto"/>
        <w:bottom w:val="none" w:sz="0" w:space="0" w:color="auto"/>
        <w:right w:val="none" w:sz="0" w:space="0" w:color="auto"/>
      </w:divBdr>
    </w:div>
    <w:div w:id="255405328">
      <w:bodyDiv w:val="1"/>
      <w:marLeft w:val="0"/>
      <w:marRight w:val="0"/>
      <w:marTop w:val="0"/>
      <w:marBottom w:val="0"/>
      <w:divBdr>
        <w:top w:val="none" w:sz="0" w:space="0" w:color="auto"/>
        <w:left w:val="none" w:sz="0" w:space="0" w:color="auto"/>
        <w:bottom w:val="none" w:sz="0" w:space="0" w:color="auto"/>
        <w:right w:val="none" w:sz="0" w:space="0" w:color="auto"/>
      </w:divBdr>
    </w:div>
    <w:div w:id="286591035">
      <w:bodyDiv w:val="1"/>
      <w:marLeft w:val="0"/>
      <w:marRight w:val="0"/>
      <w:marTop w:val="0"/>
      <w:marBottom w:val="0"/>
      <w:divBdr>
        <w:top w:val="none" w:sz="0" w:space="0" w:color="auto"/>
        <w:left w:val="none" w:sz="0" w:space="0" w:color="auto"/>
        <w:bottom w:val="none" w:sz="0" w:space="0" w:color="auto"/>
        <w:right w:val="none" w:sz="0" w:space="0" w:color="auto"/>
      </w:divBdr>
    </w:div>
    <w:div w:id="288174001">
      <w:bodyDiv w:val="1"/>
      <w:marLeft w:val="0"/>
      <w:marRight w:val="0"/>
      <w:marTop w:val="0"/>
      <w:marBottom w:val="0"/>
      <w:divBdr>
        <w:top w:val="none" w:sz="0" w:space="0" w:color="auto"/>
        <w:left w:val="none" w:sz="0" w:space="0" w:color="auto"/>
        <w:bottom w:val="none" w:sz="0" w:space="0" w:color="auto"/>
        <w:right w:val="none" w:sz="0" w:space="0" w:color="auto"/>
      </w:divBdr>
    </w:div>
    <w:div w:id="298345778">
      <w:bodyDiv w:val="1"/>
      <w:marLeft w:val="0"/>
      <w:marRight w:val="0"/>
      <w:marTop w:val="0"/>
      <w:marBottom w:val="0"/>
      <w:divBdr>
        <w:top w:val="none" w:sz="0" w:space="0" w:color="auto"/>
        <w:left w:val="none" w:sz="0" w:space="0" w:color="auto"/>
        <w:bottom w:val="none" w:sz="0" w:space="0" w:color="auto"/>
        <w:right w:val="none" w:sz="0" w:space="0" w:color="auto"/>
      </w:divBdr>
    </w:div>
    <w:div w:id="306663305">
      <w:bodyDiv w:val="1"/>
      <w:marLeft w:val="0"/>
      <w:marRight w:val="0"/>
      <w:marTop w:val="0"/>
      <w:marBottom w:val="0"/>
      <w:divBdr>
        <w:top w:val="none" w:sz="0" w:space="0" w:color="auto"/>
        <w:left w:val="none" w:sz="0" w:space="0" w:color="auto"/>
        <w:bottom w:val="none" w:sz="0" w:space="0" w:color="auto"/>
        <w:right w:val="none" w:sz="0" w:space="0" w:color="auto"/>
      </w:divBdr>
    </w:div>
    <w:div w:id="383795459">
      <w:bodyDiv w:val="1"/>
      <w:marLeft w:val="0"/>
      <w:marRight w:val="0"/>
      <w:marTop w:val="0"/>
      <w:marBottom w:val="0"/>
      <w:divBdr>
        <w:top w:val="none" w:sz="0" w:space="0" w:color="auto"/>
        <w:left w:val="none" w:sz="0" w:space="0" w:color="auto"/>
        <w:bottom w:val="none" w:sz="0" w:space="0" w:color="auto"/>
        <w:right w:val="none" w:sz="0" w:space="0" w:color="auto"/>
      </w:divBdr>
    </w:div>
    <w:div w:id="440803868">
      <w:bodyDiv w:val="1"/>
      <w:marLeft w:val="0"/>
      <w:marRight w:val="0"/>
      <w:marTop w:val="0"/>
      <w:marBottom w:val="0"/>
      <w:divBdr>
        <w:top w:val="none" w:sz="0" w:space="0" w:color="auto"/>
        <w:left w:val="none" w:sz="0" w:space="0" w:color="auto"/>
        <w:bottom w:val="none" w:sz="0" w:space="0" w:color="auto"/>
        <w:right w:val="none" w:sz="0" w:space="0" w:color="auto"/>
      </w:divBdr>
    </w:div>
    <w:div w:id="442265703">
      <w:bodyDiv w:val="1"/>
      <w:marLeft w:val="0"/>
      <w:marRight w:val="0"/>
      <w:marTop w:val="0"/>
      <w:marBottom w:val="0"/>
      <w:divBdr>
        <w:top w:val="none" w:sz="0" w:space="0" w:color="auto"/>
        <w:left w:val="none" w:sz="0" w:space="0" w:color="auto"/>
        <w:bottom w:val="none" w:sz="0" w:space="0" w:color="auto"/>
        <w:right w:val="none" w:sz="0" w:space="0" w:color="auto"/>
      </w:divBdr>
    </w:div>
    <w:div w:id="463814392">
      <w:bodyDiv w:val="1"/>
      <w:marLeft w:val="0"/>
      <w:marRight w:val="0"/>
      <w:marTop w:val="0"/>
      <w:marBottom w:val="0"/>
      <w:divBdr>
        <w:top w:val="none" w:sz="0" w:space="0" w:color="auto"/>
        <w:left w:val="none" w:sz="0" w:space="0" w:color="auto"/>
        <w:bottom w:val="none" w:sz="0" w:space="0" w:color="auto"/>
        <w:right w:val="none" w:sz="0" w:space="0" w:color="auto"/>
      </w:divBdr>
      <w:divsChild>
        <w:div w:id="107169164">
          <w:marLeft w:val="0"/>
          <w:marRight w:val="0"/>
          <w:marTop w:val="0"/>
          <w:marBottom w:val="0"/>
          <w:divBdr>
            <w:top w:val="none" w:sz="0" w:space="0" w:color="auto"/>
            <w:left w:val="none" w:sz="0" w:space="0" w:color="auto"/>
            <w:bottom w:val="none" w:sz="0" w:space="0" w:color="auto"/>
            <w:right w:val="none" w:sz="0" w:space="0" w:color="auto"/>
          </w:divBdr>
        </w:div>
        <w:div w:id="322926946">
          <w:marLeft w:val="0"/>
          <w:marRight w:val="0"/>
          <w:marTop w:val="0"/>
          <w:marBottom w:val="0"/>
          <w:divBdr>
            <w:top w:val="none" w:sz="0" w:space="0" w:color="auto"/>
            <w:left w:val="none" w:sz="0" w:space="0" w:color="auto"/>
            <w:bottom w:val="none" w:sz="0" w:space="0" w:color="auto"/>
            <w:right w:val="none" w:sz="0" w:space="0" w:color="auto"/>
          </w:divBdr>
        </w:div>
        <w:div w:id="372198563">
          <w:marLeft w:val="0"/>
          <w:marRight w:val="0"/>
          <w:marTop w:val="0"/>
          <w:marBottom w:val="0"/>
          <w:divBdr>
            <w:top w:val="none" w:sz="0" w:space="0" w:color="auto"/>
            <w:left w:val="none" w:sz="0" w:space="0" w:color="auto"/>
            <w:bottom w:val="none" w:sz="0" w:space="0" w:color="auto"/>
            <w:right w:val="none" w:sz="0" w:space="0" w:color="auto"/>
          </w:divBdr>
        </w:div>
        <w:div w:id="757289969">
          <w:marLeft w:val="0"/>
          <w:marRight w:val="0"/>
          <w:marTop w:val="0"/>
          <w:marBottom w:val="0"/>
          <w:divBdr>
            <w:top w:val="none" w:sz="0" w:space="0" w:color="auto"/>
            <w:left w:val="none" w:sz="0" w:space="0" w:color="auto"/>
            <w:bottom w:val="none" w:sz="0" w:space="0" w:color="auto"/>
            <w:right w:val="none" w:sz="0" w:space="0" w:color="auto"/>
          </w:divBdr>
        </w:div>
        <w:div w:id="1086150108">
          <w:marLeft w:val="0"/>
          <w:marRight w:val="0"/>
          <w:marTop w:val="0"/>
          <w:marBottom w:val="0"/>
          <w:divBdr>
            <w:top w:val="none" w:sz="0" w:space="0" w:color="auto"/>
            <w:left w:val="none" w:sz="0" w:space="0" w:color="auto"/>
            <w:bottom w:val="none" w:sz="0" w:space="0" w:color="auto"/>
            <w:right w:val="none" w:sz="0" w:space="0" w:color="auto"/>
          </w:divBdr>
        </w:div>
        <w:div w:id="1770353399">
          <w:marLeft w:val="0"/>
          <w:marRight w:val="0"/>
          <w:marTop w:val="0"/>
          <w:marBottom w:val="0"/>
          <w:divBdr>
            <w:top w:val="none" w:sz="0" w:space="0" w:color="auto"/>
            <w:left w:val="none" w:sz="0" w:space="0" w:color="auto"/>
            <w:bottom w:val="none" w:sz="0" w:space="0" w:color="auto"/>
            <w:right w:val="none" w:sz="0" w:space="0" w:color="auto"/>
          </w:divBdr>
        </w:div>
      </w:divsChild>
    </w:div>
    <w:div w:id="490173729">
      <w:bodyDiv w:val="1"/>
      <w:marLeft w:val="0"/>
      <w:marRight w:val="0"/>
      <w:marTop w:val="0"/>
      <w:marBottom w:val="0"/>
      <w:divBdr>
        <w:top w:val="none" w:sz="0" w:space="0" w:color="auto"/>
        <w:left w:val="none" w:sz="0" w:space="0" w:color="auto"/>
        <w:bottom w:val="none" w:sz="0" w:space="0" w:color="auto"/>
        <w:right w:val="none" w:sz="0" w:space="0" w:color="auto"/>
      </w:divBdr>
    </w:div>
    <w:div w:id="525756146">
      <w:bodyDiv w:val="1"/>
      <w:marLeft w:val="0"/>
      <w:marRight w:val="0"/>
      <w:marTop w:val="0"/>
      <w:marBottom w:val="0"/>
      <w:divBdr>
        <w:top w:val="none" w:sz="0" w:space="0" w:color="auto"/>
        <w:left w:val="none" w:sz="0" w:space="0" w:color="auto"/>
        <w:bottom w:val="none" w:sz="0" w:space="0" w:color="auto"/>
        <w:right w:val="none" w:sz="0" w:space="0" w:color="auto"/>
      </w:divBdr>
    </w:div>
    <w:div w:id="574239345">
      <w:bodyDiv w:val="1"/>
      <w:marLeft w:val="0"/>
      <w:marRight w:val="0"/>
      <w:marTop w:val="0"/>
      <w:marBottom w:val="0"/>
      <w:divBdr>
        <w:top w:val="none" w:sz="0" w:space="0" w:color="auto"/>
        <w:left w:val="none" w:sz="0" w:space="0" w:color="auto"/>
        <w:bottom w:val="none" w:sz="0" w:space="0" w:color="auto"/>
        <w:right w:val="none" w:sz="0" w:space="0" w:color="auto"/>
      </w:divBdr>
    </w:div>
    <w:div w:id="614363875">
      <w:bodyDiv w:val="1"/>
      <w:marLeft w:val="0"/>
      <w:marRight w:val="0"/>
      <w:marTop w:val="0"/>
      <w:marBottom w:val="0"/>
      <w:divBdr>
        <w:top w:val="none" w:sz="0" w:space="0" w:color="auto"/>
        <w:left w:val="none" w:sz="0" w:space="0" w:color="auto"/>
        <w:bottom w:val="none" w:sz="0" w:space="0" w:color="auto"/>
        <w:right w:val="none" w:sz="0" w:space="0" w:color="auto"/>
      </w:divBdr>
    </w:div>
    <w:div w:id="616375029">
      <w:bodyDiv w:val="1"/>
      <w:marLeft w:val="0"/>
      <w:marRight w:val="0"/>
      <w:marTop w:val="0"/>
      <w:marBottom w:val="0"/>
      <w:divBdr>
        <w:top w:val="none" w:sz="0" w:space="0" w:color="auto"/>
        <w:left w:val="none" w:sz="0" w:space="0" w:color="auto"/>
        <w:bottom w:val="none" w:sz="0" w:space="0" w:color="auto"/>
        <w:right w:val="none" w:sz="0" w:space="0" w:color="auto"/>
      </w:divBdr>
    </w:div>
    <w:div w:id="657467434">
      <w:bodyDiv w:val="1"/>
      <w:marLeft w:val="0"/>
      <w:marRight w:val="0"/>
      <w:marTop w:val="0"/>
      <w:marBottom w:val="0"/>
      <w:divBdr>
        <w:top w:val="none" w:sz="0" w:space="0" w:color="auto"/>
        <w:left w:val="none" w:sz="0" w:space="0" w:color="auto"/>
        <w:bottom w:val="none" w:sz="0" w:space="0" w:color="auto"/>
        <w:right w:val="none" w:sz="0" w:space="0" w:color="auto"/>
      </w:divBdr>
    </w:div>
    <w:div w:id="692807932">
      <w:bodyDiv w:val="1"/>
      <w:marLeft w:val="0"/>
      <w:marRight w:val="0"/>
      <w:marTop w:val="0"/>
      <w:marBottom w:val="0"/>
      <w:divBdr>
        <w:top w:val="none" w:sz="0" w:space="0" w:color="auto"/>
        <w:left w:val="none" w:sz="0" w:space="0" w:color="auto"/>
        <w:bottom w:val="none" w:sz="0" w:space="0" w:color="auto"/>
        <w:right w:val="none" w:sz="0" w:space="0" w:color="auto"/>
      </w:divBdr>
    </w:div>
    <w:div w:id="703284365">
      <w:bodyDiv w:val="1"/>
      <w:marLeft w:val="0"/>
      <w:marRight w:val="0"/>
      <w:marTop w:val="0"/>
      <w:marBottom w:val="0"/>
      <w:divBdr>
        <w:top w:val="none" w:sz="0" w:space="0" w:color="auto"/>
        <w:left w:val="none" w:sz="0" w:space="0" w:color="auto"/>
        <w:bottom w:val="none" w:sz="0" w:space="0" w:color="auto"/>
        <w:right w:val="none" w:sz="0" w:space="0" w:color="auto"/>
      </w:divBdr>
    </w:div>
    <w:div w:id="751777618">
      <w:bodyDiv w:val="1"/>
      <w:marLeft w:val="0"/>
      <w:marRight w:val="0"/>
      <w:marTop w:val="0"/>
      <w:marBottom w:val="0"/>
      <w:divBdr>
        <w:top w:val="none" w:sz="0" w:space="0" w:color="auto"/>
        <w:left w:val="none" w:sz="0" w:space="0" w:color="auto"/>
        <w:bottom w:val="none" w:sz="0" w:space="0" w:color="auto"/>
        <w:right w:val="none" w:sz="0" w:space="0" w:color="auto"/>
      </w:divBdr>
    </w:div>
    <w:div w:id="796025044">
      <w:bodyDiv w:val="1"/>
      <w:marLeft w:val="0"/>
      <w:marRight w:val="0"/>
      <w:marTop w:val="0"/>
      <w:marBottom w:val="0"/>
      <w:divBdr>
        <w:top w:val="none" w:sz="0" w:space="0" w:color="auto"/>
        <w:left w:val="none" w:sz="0" w:space="0" w:color="auto"/>
        <w:bottom w:val="none" w:sz="0" w:space="0" w:color="auto"/>
        <w:right w:val="none" w:sz="0" w:space="0" w:color="auto"/>
      </w:divBdr>
    </w:div>
    <w:div w:id="841824091">
      <w:bodyDiv w:val="1"/>
      <w:marLeft w:val="0"/>
      <w:marRight w:val="0"/>
      <w:marTop w:val="0"/>
      <w:marBottom w:val="0"/>
      <w:divBdr>
        <w:top w:val="none" w:sz="0" w:space="0" w:color="auto"/>
        <w:left w:val="none" w:sz="0" w:space="0" w:color="auto"/>
        <w:bottom w:val="none" w:sz="0" w:space="0" w:color="auto"/>
        <w:right w:val="none" w:sz="0" w:space="0" w:color="auto"/>
      </w:divBdr>
    </w:div>
    <w:div w:id="866258592">
      <w:bodyDiv w:val="1"/>
      <w:marLeft w:val="0"/>
      <w:marRight w:val="0"/>
      <w:marTop w:val="0"/>
      <w:marBottom w:val="0"/>
      <w:divBdr>
        <w:top w:val="none" w:sz="0" w:space="0" w:color="auto"/>
        <w:left w:val="none" w:sz="0" w:space="0" w:color="auto"/>
        <w:bottom w:val="none" w:sz="0" w:space="0" w:color="auto"/>
        <w:right w:val="none" w:sz="0" w:space="0" w:color="auto"/>
      </w:divBdr>
    </w:div>
    <w:div w:id="885868695">
      <w:bodyDiv w:val="1"/>
      <w:marLeft w:val="0"/>
      <w:marRight w:val="0"/>
      <w:marTop w:val="0"/>
      <w:marBottom w:val="0"/>
      <w:divBdr>
        <w:top w:val="none" w:sz="0" w:space="0" w:color="auto"/>
        <w:left w:val="none" w:sz="0" w:space="0" w:color="auto"/>
        <w:bottom w:val="none" w:sz="0" w:space="0" w:color="auto"/>
        <w:right w:val="none" w:sz="0" w:space="0" w:color="auto"/>
      </w:divBdr>
    </w:div>
    <w:div w:id="912010662">
      <w:bodyDiv w:val="1"/>
      <w:marLeft w:val="0"/>
      <w:marRight w:val="0"/>
      <w:marTop w:val="0"/>
      <w:marBottom w:val="0"/>
      <w:divBdr>
        <w:top w:val="none" w:sz="0" w:space="0" w:color="auto"/>
        <w:left w:val="none" w:sz="0" w:space="0" w:color="auto"/>
        <w:bottom w:val="none" w:sz="0" w:space="0" w:color="auto"/>
        <w:right w:val="none" w:sz="0" w:space="0" w:color="auto"/>
      </w:divBdr>
    </w:div>
    <w:div w:id="948313298">
      <w:bodyDiv w:val="1"/>
      <w:marLeft w:val="0"/>
      <w:marRight w:val="0"/>
      <w:marTop w:val="0"/>
      <w:marBottom w:val="0"/>
      <w:divBdr>
        <w:top w:val="none" w:sz="0" w:space="0" w:color="auto"/>
        <w:left w:val="none" w:sz="0" w:space="0" w:color="auto"/>
        <w:bottom w:val="none" w:sz="0" w:space="0" w:color="auto"/>
        <w:right w:val="none" w:sz="0" w:space="0" w:color="auto"/>
      </w:divBdr>
    </w:div>
    <w:div w:id="990477737">
      <w:bodyDiv w:val="1"/>
      <w:marLeft w:val="0"/>
      <w:marRight w:val="0"/>
      <w:marTop w:val="0"/>
      <w:marBottom w:val="0"/>
      <w:divBdr>
        <w:top w:val="none" w:sz="0" w:space="0" w:color="auto"/>
        <w:left w:val="none" w:sz="0" w:space="0" w:color="auto"/>
        <w:bottom w:val="none" w:sz="0" w:space="0" w:color="auto"/>
        <w:right w:val="none" w:sz="0" w:space="0" w:color="auto"/>
      </w:divBdr>
    </w:div>
    <w:div w:id="1016612222">
      <w:bodyDiv w:val="1"/>
      <w:marLeft w:val="0"/>
      <w:marRight w:val="0"/>
      <w:marTop w:val="0"/>
      <w:marBottom w:val="0"/>
      <w:divBdr>
        <w:top w:val="none" w:sz="0" w:space="0" w:color="auto"/>
        <w:left w:val="none" w:sz="0" w:space="0" w:color="auto"/>
        <w:bottom w:val="none" w:sz="0" w:space="0" w:color="auto"/>
        <w:right w:val="none" w:sz="0" w:space="0" w:color="auto"/>
      </w:divBdr>
    </w:div>
    <w:div w:id="1069113691">
      <w:bodyDiv w:val="1"/>
      <w:marLeft w:val="0"/>
      <w:marRight w:val="0"/>
      <w:marTop w:val="0"/>
      <w:marBottom w:val="0"/>
      <w:divBdr>
        <w:top w:val="none" w:sz="0" w:space="0" w:color="auto"/>
        <w:left w:val="none" w:sz="0" w:space="0" w:color="auto"/>
        <w:bottom w:val="none" w:sz="0" w:space="0" w:color="auto"/>
        <w:right w:val="none" w:sz="0" w:space="0" w:color="auto"/>
      </w:divBdr>
    </w:div>
    <w:div w:id="1100565825">
      <w:bodyDiv w:val="1"/>
      <w:marLeft w:val="0"/>
      <w:marRight w:val="0"/>
      <w:marTop w:val="0"/>
      <w:marBottom w:val="0"/>
      <w:divBdr>
        <w:top w:val="none" w:sz="0" w:space="0" w:color="auto"/>
        <w:left w:val="none" w:sz="0" w:space="0" w:color="auto"/>
        <w:bottom w:val="none" w:sz="0" w:space="0" w:color="auto"/>
        <w:right w:val="none" w:sz="0" w:space="0" w:color="auto"/>
      </w:divBdr>
    </w:div>
    <w:div w:id="1104612511">
      <w:bodyDiv w:val="1"/>
      <w:marLeft w:val="0"/>
      <w:marRight w:val="0"/>
      <w:marTop w:val="0"/>
      <w:marBottom w:val="0"/>
      <w:divBdr>
        <w:top w:val="none" w:sz="0" w:space="0" w:color="auto"/>
        <w:left w:val="none" w:sz="0" w:space="0" w:color="auto"/>
        <w:bottom w:val="none" w:sz="0" w:space="0" w:color="auto"/>
        <w:right w:val="none" w:sz="0" w:space="0" w:color="auto"/>
      </w:divBdr>
    </w:div>
    <w:div w:id="1181353391">
      <w:bodyDiv w:val="1"/>
      <w:marLeft w:val="0"/>
      <w:marRight w:val="0"/>
      <w:marTop w:val="0"/>
      <w:marBottom w:val="0"/>
      <w:divBdr>
        <w:top w:val="none" w:sz="0" w:space="0" w:color="auto"/>
        <w:left w:val="none" w:sz="0" w:space="0" w:color="auto"/>
        <w:bottom w:val="none" w:sz="0" w:space="0" w:color="auto"/>
        <w:right w:val="none" w:sz="0" w:space="0" w:color="auto"/>
      </w:divBdr>
    </w:div>
    <w:div w:id="1205286438">
      <w:bodyDiv w:val="1"/>
      <w:marLeft w:val="0"/>
      <w:marRight w:val="0"/>
      <w:marTop w:val="0"/>
      <w:marBottom w:val="0"/>
      <w:divBdr>
        <w:top w:val="none" w:sz="0" w:space="0" w:color="auto"/>
        <w:left w:val="none" w:sz="0" w:space="0" w:color="auto"/>
        <w:bottom w:val="none" w:sz="0" w:space="0" w:color="auto"/>
        <w:right w:val="none" w:sz="0" w:space="0" w:color="auto"/>
      </w:divBdr>
    </w:div>
    <w:div w:id="1211067581">
      <w:bodyDiv w:val="1"/>
      <w:marLeft w:val="0"/>
      <w:marRight w:val="0"/>
      <w:marTop w:val="0"/>
      <w:marBottom w:val="0"/>
      <w:divBdr>
        <w:top w:val="none" w:sz="0" w:space="0" w:color="auto"/>
        <w:left w:val="none" w:sz="0" w:space="0" w:color="auto"/>
        <w:bottom w:val="none" w:sz="0" w:space="0" w:color="auto"/>
        <w:right w:val="none" w:sz="0" w:space="0" w:color="auto"/>
      </w:divBdr>
    </w:div>
    <w:div w:id="1251692353">
      <w:bodyDiv w:val="1"/>
      <w:marLeft w:val="0"/>
      <w:marRight w:val="0"/>
      <w:marTop w:val="0"/>
      <w:marBottom w:val="0"/>
      <w:divBdr>
        <w:top w:val="none" w:sz="0" w:space="0" w:color="auto"/>
        <w:left w:val="none" w:sz="0" w:space="0" w:color="auto"/>
        <w:bottom w:val="none" w:sz="0" w:space="0" w:color="auto"/>
        <w:right w:val="none" w:sz="0" w:space="0" w:color="auto"/>
      </w:divBdr>
    </w:div>
    <w:div w:id="1263955207">
      <w:bodyDiv w:val="1"/>
      <w:marLeft w:val="0"/>
      <w:marRight w:val="0"/>
      <w:marTop w:val="0"/>
      <w:marBottom w:val="0"/>
      <w:divBdr>
        <w:top w:val="none" w:sz="0" w:space="0" w:color="auto"/>
        <w:left w:val="none" w:sz="0" w:space="0" w:color="auto"/>
        <w:bottom w:val="none" w:sz="0" w:space="0" w:color="auto"/>
        <w:right w:val="none" w:sz="0" w:space="0" w:color="auto"/>
      </w:divBdr>
    </w:div>
    <w:div w:id="1265068159">
      <w:bodyDiv w:val="1"/>
      <w:marLeft w:val="0"/>
      <w:marRight w:val="0"/>
      <w:marTop w:val="0"/>
      <w:marBottom w:val="0"/>
      <w:divBdr>
        <w:top w:val="none" w:sz="0" w:space="0" w:color="auto"/>
        <w:left w:val="none" w:sz="0" w:space="0" w:color="auto"/>
        <w:bottom w:val="none" w:sz="0" w:space="0" w:color="auto"/>
        <w:right w:val="none" w:sz="0" w:space="0" w:color="auto"/>
      </w:divBdr>
    </w:div>
    <w:div w:id="1277324921">
      <w:bodyDiv w:val="1"/>
      <w:marLeft w:val="0"/>
      <w:marRight w:val="0"/>
      <w:marTop w:val="0"/>
      <w:marBottom w:val="0"/>
      <w:divBdr>
        <w:top w:val="none" w:sz="0" w:space="0" w:color="auto"/>
        <w:left w:val="none" w:sz="0" w:space="0" w:color="auto"/>
        <w:bottom w:val="none" w:sz="0" w:space="0" w:color="auto"/>
        <w:right w:val="none" w:sz="0" w:space="0" w:color="auto"/>
      </w:divBdr>
    </w:div>
    <w:div w:id="1300257526">
      <w:bodyDiv w:val="1"/>
      <w:marLeft w:val="0"/>
      <w:marRight w:val="0"/>
      <w:marTop w:val="0"/>
      <w:marBottom w:val="0"/>
      <w:divBdr>
        <w:top w:val="none" w:sz="0" w:space="0" w:color="auto"/>
        <w:left w:val="none" w:sz="0" w:space="0" w:color="auto"/>
        <w:bottom w:val="none" w:sz="0" w:space="0" w:color="auto"/>
        <w:right w:val="none" w:sz="0" w:space="0" w:color="auto"/>
      </w:divBdr>
    </w:div>
    <w:div w:id="1302423969">
      <w:bodyDiv w:val="1"/>
      <w:marLeft w:val="0"/>
      <w:marRight w:val="0"/>
      <w:marTop w:val="0"/>
      <w:marBottom w:val="0"/>
      <w:divBdr>
        <w:top w:val="none" w:sz="0" w:space="0" w:color="auto"/>
        <w:left w:val="none" w:sz="0" w:space="0" w:color="auto"/>
        <w:bottom w:val="none" w:sz="0" w:space="0" w:color="auto"/>
        <w:right w:val="none" w:sz="0" w:space="0" w:color="auto"/>
      </w:divBdr>
    </w:div>
    <w:div w:id="1332217784">
      <w:bodyDiv w:val="1"/>
      <w:marLeft w:val="0"/>
      <w:marRight w:val="0"/>
      <w:marTop w:val="0"/>
      <w:marBottom w:val="0"/>
      <w:divBdr>
        <w:top w:val="none" w:sz="0" w:space="0" w:color="auto"/>
        <w:left w:val="none" w:sz="0" w:space="0" w:color="auto"/>
        <w:bottom w:val="none" w:sz="0" w:space="0" w:color="auto"/>
        <w:right w:val="none" w:sz="0" w:space="0" w:color="auto"/>
      </w:divBdr>
    </w:div>
    <w:div w:id="1343123768">
      <w:bodyDiv w:val="1"/>
      <w:marLeft w:val="0"/>
      <w:marRight w:val="0"/>
      <w:marTop w:val="0"/>
      <w:marBottom w:val="0"/>
      <w:divBdr>
        <w:top w:val="none" w:sz="0" w:space="0" w:color="auto"/>
        <w:left w:val="none" w:sz="0" w:space="0" w:color="auto"/>
        <w:bottom w:val="none" w:sz="0" w:space="0" w:color="auto"/>
        <w:right w:val="none" w:sz="0" w:space="0" w:color="auto"/>
      </w:divBdr>
    </w:div>
    <w:div w:id="1344630353">
      <w:bodyDiv w:val="1"/>
      <w:marLeft w:val="0"/>
      <w:marRight w:val="0"/>
      <w:marTop w:val="0"/>
      <w:marBottom w:val="0"/>
      <w:divBdr>
        <w:top w:val="none" w:sz="0" w:space="0" w:color="auto"/>
        <w:left w:val="none" w:sz="0" w:space="0" w:color="auto"/>
        <w:bottom w:val="none" w:sz="0" w:space="0" w:color="auto"/>
        <w:right w:val="none" w:sz="0" w:space="0" w:color="auto"/>
      </w:divBdr>
    </w:div>
    <w:div w:id="1393041834">
      <w:bodyDiv w:val="1"/>
      <w:marLeft w:val="0"/>
      <w:marRight w:val="0"/>
      <w:marTop w:val="0"/>
      <w:marBottom w:val="0"/>
      <w:divBdr>
        <w:top w:val="none" w:sz="0" w:space="0" w:color="auto"/>
        <w:left w:val="none" w:sz="0" w:space="0" w:color="auto"/>
        <w:bottom w:val="none" w:sz="0" w:space="0" w:color="auto"/>
        <w:right w:val="none" w:sz="0" w:space="0" w:color="auto"/>
      </w:divBdr>
    </w:div>
    <w:div w:id="1428114970">
      <w:bodyDiv w:val="1"/>
      <w:marLeft w:val="0"/>
      <w:marRight w:val="0"/>
      <w:marTop w:val="0"/>
      <w:marBottom w:val="0"/>
      <w:divBdr>
        <w:top w:val="none" w:sz="0" w:space="0" w:color="auto"/>
        <w:left w:val="none" w:sz="0" w:space="0" w:color="auto"/>
        <w:bottom w:val="none" w:sz="0" w:space="0" w:color="auto"/>
        <w:right w:val="none" w:sz="0" w:space="0" w:color="auto"/>
      </w:divBdr>
    </w:div>
    <w:div w:id="1462382018">
      <w:bodyDiv w:val="1"/>
      <w:marLeft w:val="0"/>
      <w:marRight w:val="0"/>
      <w:marTop w:val="0"/>
      <w:marBottom w:val="0"/>
      <w:divBdr>
        <w:top w:val="none" w:sz="0" w:space="0" w:color="auto"/>
        <w:left w:val="none" w:sz="0" w:space="0" w:color="auto"/>
        <w:bottom w:val="none" w:sz="0" w:space="0" w:color="auto"/>
        <w:right w:val="none" w:sz="0" w:space="0" w:color="auto"/>
      </w:divBdr>
    </w:div>
    <w:div w:id="1488011303">
      <w:bodyDiv w:val="1"/>
      <w:marLeft w:val="0"/>
      <w:marRight w:val="0"/>
      <w:marTop w:val="0"/>
      <w:marBottom w:val="0"/>
      <w:divBdr>
        <w:top w:val="none" w:sz="0" w:space="0" w:color="auto"/>
        <w:left w:val="none" w:sz="0" w:space="0" w:color="auto"/>
        <w:bottom w:val="none" w:sz="0" w:space="0" w:color="auto"/>
        <w:right w:val="none" w:sz="0" w:space="0" w:color="auto"/>
      </w:divBdr>
    </w:div>
    <w:div w:id="1499926192">
      <w:bodyDiv w:val="1"/>
      <w:marLeft w:val="0"/>
      <w:marRight w:val="0"/>
      <w:marTop w:val="0"/>
      <w:marBottom w:val="0"/>
      <w:divBdr>
        <w:top w:val="none" w:sz="0" w:space="0" w:color="auto"/>
        <w:left w:val="none" w:sz="0" w:space="0" w:color="auto"/>
        <w:bottom w:val="none" w:sz="0" w:space="0" w:color="auto"/>
        <w:right w:val="none" w:sz="0" w:space="0" w:color="auto"/>
      </w:divBdr>
    </w:div>
    <w:div w:id="1569922843">
      <w:bodyDiv w:val="1"/>
      <w:marLeft w:val="0"/>
      <w:marRight w:val="0"/>
      <w:marTop w:val="0"/>
      <w:marBottom w:val="0"/>
      <w:divBdr>
        <w:top w:val="none" w:sz="0" w:space="0" w:color="auto"/>
        <w:left w:val="none" w:sz="0" w:space="0" w:color="auto"/>
        <w:bottom w:val="none" w:sz="0" w:space="0" w:color="auto"/>
        <w:right w:val="none" w:sz="0" w:space="0" w:color="auto"/>
      </w:divBdr>
    </w:div>
    <w:div w:id="1580940002">
      <w:bodyDiv w:val="1"/>
      <w:marLeft w:val="0"/>
      <w:marRight w:val="0"/>
      <w:marTop w:val="0"/>
      <w:marBottom w:val="0"/>
      <w:divBdr>
        <w:top w:val="none" w:sz="0" w:space="0" w:color="auto"/>
        <w:left w:val="none" w:sz="0" w:space="0" w:color="auto"/>
        <w:bottom w:val="none" w:sz="0" w:space="0" w:color="auto"/>
        <w:right w:val="none" w:sz="0" w:space="0" w:color="auto"/>
      </w:divBdr>
    </w:div>
    <w:div w:id="1641419563">
      <w:bodyDiv w:val="1"/>
      <w:marLeft w:val="0"/>
      <w:marRight w:val="0"/>
      <w:marTop w:val="0"/>
      <w:marBottom w:val="0"/>
      <w:divBdr>
        <w:top w:val="none" w:sz="0" w:space="0" w:color="auto"/>
        <w:left w:val="none" w:sz="0" w:space="0" w:color="auto"/>
        <w:bottom w:val="none" w:sz="0" w:space="0" w:color="auto"/>
        <w:right w:val="none" w:sz="0" w:space="0" w:color="auto"/>
      </w:divBdr>
    </w:div>
    <w:div w:id="1672298811">
      <w:bodyDiv w:val="1"/>
      <w:marLeft w:val="0"/>
      <w:marRight w:val="0"/>
      <w:marTop w:val="0"/>
      <w:marBottom w:val="0"/>
      <w:divBdr>
        <w:top w:val="none" w:sz="0" w:space="0" w:color="auto"/>
        <w:left w:val="none" w:sz="0" w:space="0" w:color="auto"/>
        <w:bottom w:val="none" w:sz="0" w:space="0" w:color="auto"/>
        <w:right w:val="none" w:sz="0" w:space="0" w:color="auto"/>
      </w:divBdr>
    </w:div>
    <w:div w:id="1697190037">
      <w:bodyDiv w:val="1"/>
      <w:marLeft w:val="0"/>
      <w:marRight w:val="0"/>
      <w:marTop w:val="0"/>
      <w:marBottom w:val="0"/>
      <w:divBdr>
        <w:top w:val="none" w:sz="0" w:space="0" w:color="auto"/>
        <w:left w:val="none" w:sz="0" w:space="0" w:color="auto"/>
        <w:bottom w:val="none" w:sz="0" w:space="0" w:color="auto"/>
        <w:right w:val="none" w:sz="0" w:space="0" w:color="auto"/>
      </w:divBdr>
    </w:div>
    <w:div w:id="1723676795">
      <w:bodyDiv w:val="1"/>
      <w:marLeft w:val="0"/>
      <w:marRight w:val="0"/>
      <w:marTop w:val="0"/>
      <w:marBottom w:val="0"/>
      <w:divBdr>
        <w:top w:val="none" w:sz="0" w:space="0" w:color="auto"/>
        <w:left w:val="none" w:sz="0" w:space="0" w:color="auto"/>
        <w:bottom w:val="none" w:sz="0" w:space="0" w:color="auto"/>
        <w:right w:val="none" w:sz="0" w:space="0" w:color="auto"/>
      </w:divBdr>
    </w:div>
    <w:div w:id="1775857881">
      <w:bodyDiv w:val="1"/>
      <w:marLeft w:val="0"/>
      <w:marRight w:val="0"/>
      <w:marTop w:val="0"/>
      <w:marBottom w:val="0"/>
      <w:divBdr>
        <w:top w:val="none" w:sz="0" w:space="0" w:color="auto"/>
        <w:left w:val="none" w:sz="0" w:space="0" w:color="auto"/>
        <w:bottom w:val="none" w:sz="0" w:space="0" w:color="auto"/>
        <w:right w:val="none" w:sz="0" w:space="0" w:color="auto"/>
      </w:divBdr>
    </w:div>
    <w:div w:id="1787315085">
      <w:bodyDiv w:val="1"/>
      <w:marLeft w:val="0"/>
      <w:marRight w:val="0"/>
      <w:marTop w:val="0"/>
      <w:marBottom w:val="0"/>
      <w:divBdr>
        <w:top w:val="none" w:sz="0" w:space="0" w:color="auto"/>
        <w:left w:val="none" w:sz="0" w:space="0" w:color="auto"/>
        <w:bottom w:val="none" w:sz="0" w:space="0" w:color="auto"/>
        <w:right w:val="none" w:sz="0" w:space="0" w:color="auto"/>
      </w:divBdr>
    </w:div>
    <w:div w:id="1829131367">
      <w:bodyDiv w:val="1"/>
      <w:marLeft w:val="0"/>
      <w:marRight w:val="0"/>
      <w:marTop w:val="0"/>
      <w:marBottom w:val="0"/>
      <w:divBdr>
        <w:top w:val="none" w:sz="0" w:space="0" w:color="auto"/>
        <w:left w:val="none" w:sz="0" w:space="0" w:color="auto"/>
        <w:bottom w:val="none" w:sz="0" w:space="0" w:color="auto"/>
        <w:right w:val="none" w:sz="0" w:space="0" w:color="auto"/>
      </w:divBdr>
    </w:div>
    <w:div w:id="1932002356">
      <w:bodyDiv w:val="1"/>
      <w:marLeft w:val="0"/>
      <w:marRight w:val="0"/>
      <w:marTop w:val="0"/>
      <w:marBottom w:val="0"/>
      <w:divBdr>
        <w:top w:val="none" w:sz="0" w:space="0" w:color="auto"/>
        <w:left w:val="none" w:sz="0" w:space="0" w:color="auto"/>
        <w:bottom w:val="none" w:sz="0" w:space="0" w:color="auto"/>
        <w:right w:val="none" w:sz="0" w:space="0" w:color="auto"/>
      </w:divBdr>
    </w:div>
    <w:div w:id="1949697243">
      <w:bodyDiv w:val="1"/>
      <w:marLeft w:val="0"/>
      <w:marRight w:val="0"/>
      <w:marTop w:val="0"/>
      <w:marBottom w:val="0"/>
      <w:divBdr>
        <w:top w:val="none" w:sz="0" w:space="0" w:color="auto"/>
        <w:left w:val="none" w:sz="0" w:space="0" w:color="auto"/>
        <w:bottom w:val="none" w:sz="0" w:space="0" w:color="auto"/>
        <w:right w:val="none" w:sz="0" w:space="0" w:color="auto"/>
      </w:divBdr>
    </w:div>
    <w:div w:id="1952275405">
      <w:bodyDiv w:val="1"/>
      <w:marLeft w:val="0"/>
      <w:marRight w:val="0"/>
      <w:marTop w:val="0"/>
      <w:marBottom w:val="0"/>
      <w:divBdr>
        <w:top w:val="none" w:sz="0" w:space="0" w:color="auto"/>
        <w:left w:val="none" w:sz="0" w:space="0" w:color="auto"/>
        <w:bottom w:val="none" w:sz="0" w:space="0" w:color="auto"/>
        <w:right w:val="none" w:sz="0" w:space="0" w:color="auto"/>
      </w:divBdr>
    </w:div>
    <w:div w:id="1957564502">
      <w:bodyDiv w:val="1"/>
      <w:marLeft w:val="0"/>
      <w:marRight w:val="0"/>
      <w:marTop w:val="0"/>
      <w:marBottom w:val="0"/>
      <w:divBdr>
        <w:top w:val="none" w:sz="0" w:space="0" w:color="auto"/>
        <w:left w:val="none" w:sz="0" w:space="0" w:color="auto"/>
        <w:bottom w:val="none" w:sz="0" w:space="0" w:color="auto"/>
        <w:right w:val="none" w:sz="0" w:space="0" w:color="auto"/>
      </w:divBdr>
    </w:div>
    <w:div w:id="1969046062">
      <w:bodyDiv w:val="1"/>
      <w:marLeft w:val="0"/>
      <w:marRight w:val="0"/>
      <w:marTop w:val="0"/>
      <w:marBottom w:val="0"/>
      <w:divBdr>
        <w:top w:val="none" w:sz="0" w:space="0" w:color="auto"/>
        <w:left w:val="none" w:sz="0" w:space="0" w:color="auto"/>
        <w:bottom w:val="none" w:sz="0" w:space="0" w:color="auto"/>
        <w:right w:val="none" w:sz="0" w:space="0" w:color="auto"/>
      </w:divBdr>
    </w:div>
    <w:div w:id="1981229757">
      <w:bodyDiv w:val="1"/>
      <w:marLeft w:val="0"/>
      <w:marRight w:val="0"/>
      <w:marTop w:val="0"/>
      <w:marBottom w:val="0"/>
      <w:divBdr>
        <w:top w:val="none" w:sz="0" w:space="0" w:color="auto"/>
        <w:left w:val="none" w:sz="0" w:space="0" w:color="auto"/>
        <w:bottom w:val="none" w:sz="0" w:space="0" w:color="auto"/>
        <w:right w:val="none" w:sz="0" w:space="0" w:color="auto"/>
      </w:divBdr>
    </w:div>
    <w:div w:id="2014142930">
      <w:bodyDiv w:val="1"/>
      <w:marLeft w:val="0"/>
      <w:marRight w:val="0"/>
      <w:marTop w:val="0"/>
      <w:marBottom w:val="0"/>
      <w:divBdr>
        <w:top w:val="none" w:sz="0" w:space="0" w:color="auto"/>
        <w:left w:val="none" w:sz="0" w:space="0" w:color="auto"/>
        <w:bottom w:val="none" w:sz="0" w:space="0" w:color="auto"/>
        <w:right w:val="none" w:sz="0" w:space="0" w:color="auto"/>
      </w:divBdr>
    </w:div>
    <w:div w:id="2018726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35a48f0-077c-46ef-9008-c4d39ca6cb0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F413C2A6CF7B41BCC49357CBDC6981" ma:contentTypeVersion="6" ma:contentTypeDescription="Create a new document." ma:contentTypeScope="" ma:versionID="d1e298506cc0659efaa8cc1353aa3e40">
  <xsd:schema xmlns:xsd="http://www.w3.org/2001/XMLSchema" xmlns:xs="http://www.w3.org/2001/XMLSchema" xmlns:p="http://schemas.microsoft.com/office/2006/metadata/properties" xmlns:ns2="435a48f0-077c-46ef-9008-c4d39ca6cb0a" xmlns:ns3="52ee0701-31ac-4cf1-a0c0-55cf9b103cde" targetNamespace="http://schemas.microsoft.com/office/2006/metadata/properties" ma:root="true" ma:fieldsID="e5a92bd239a237f1219adffa264f330d" ns2:_="" ns3:_="">
    <xsd:import namespace="435a48f0-077c-46ef-9008-c4d39ca6cb0a"/>
    <xsd:import namespace="52ee0701-31ac-4cf1-a0c0-55cf9b103cd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a48f0-077c-46ef-9008-c4d39ca6cb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ee0701-31ac-4cf1-a0c0-55cf9b103cd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55B62-431A-4211-B47E-842C23D76BB6}">
  <ds:schemaRefs>
    <ds:schemaRef ds:uri="http://schemas.microsoft.com/sharepoint/v3/contenttype/forms"/>
  </ds:schemaRefs>
</ds:datastoreItem>
</file>

<file path=customXml/itemProps2.xml><?xml version="1.0" encoding="utf-8"?>
<ds:datastoreItem xmlns:ds="http://schemas.openxmlformats.org/officeDocument/2006/customXml" ds:itemID="{E07B377E-BF27-4CD7-B489-BF863DDBD5D1}">
  <ds:schemaRefs>
    <ds:schemaRef ds:uri="http://schemas.microsoft.com/office/2006/metadata/properties"/>
    <ds:schemaRef ds:uri="http://schemas.microsoft.com/office/infopath/2007/PartnerControls"/>
    <ds:schemaRef ds:uri="435a48f0-077c-46ef-9008-c4d39ca6cb0a"/>
  </ds:schemaRefs>
</ds:datastoreItem>
</file>

<file path=customXml/itemProps3.xml><?xml version="1.0" encoding="utf-8"?>
<ds:datastoreItem xmlns:ds="http://schemas.openxmlformats.org/officeDocument/2006/customXml" ds:itemID="{4F563DC0-B8F8-4305-98A7-3705CC117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a48f0-077c-46ef-9008-c4d39ca6cb0a"/>
    <ds:schemaRef ds:uri="52ee0701-31ac-4cf1-a0c0-55cf9b103c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A79BB8-6064-494A-9585-8D44EE2A9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5049</Words>
  <Characters>30801</Characters>
  <Application>Microsoft Office Word</Application>
  <DocSecurity>0</DocSecurity>
  <Lines>256</Lines>
  <Paragraphs>71</Paragraphs>
  <ScaleCrop>false</ScaleCrop>
  <HeadingPairs>
    <vt:vector size="2" baseType="variant">
      <vt:variant>
        <vt:lpstr>Title</vt:lpstr>
      </vt:variant>
      <vt:variant>
        <vt:i4>1</vt:i4>
      </vt:variant>
    </vt:vector>
  </HeadingPairs>
  <TitlesOfParts>
    <vt:vector size="1" baseType="lpstr">
      <vt:lpstr>PAREXEL CSR template</vt:lpstr>
    </vt:vector>
  </TitlesOfParts>
  <Company>PAREXEL International</Company>
  <LinksUpToDate>false</LinksUpToDate>
  <CharactersWithSpaces>35779</CharactersWithSpaces>
  <SharedDoc>false</SharedDoc>
  <HLinks>
    <vt:vector size="1200" baseType="variant">
      <vt:variant>
        <vt:i4>1048687</vt:i4>
      </vt:variant>
      <vt:variant>
        <vt:i4>1605</vt:i4>
      </vt:variant>
      <vt:variant>
        <vt:i4>0</vt:i4>
      </vt:variant>
      <vt:variant>
        <vt:i4>5</vt:i4>
      </vt:variant>
      <vt:variant>
        <vt:lpwstr>http://my.americanheart.org/professional/StatementsGuidelines/ByPublicationDate/PreviousYears/Classification-of-Functional-Capacity-and-Objective-Assessment_UCM_423811_Article.jsp</vt:lpwstr>
      </vt:variant>
      <vt:variant>
        <vt:lpwstr/>
      </vt:variant>
      <vt:variant>
        <vt:i4>65622</vt:i4>
      </vt:variant>
      <vt:variant>
        <vt:i4>1602</vt:i4>
      </vt:variant>
      <vt:variant>
        <vt:i4>0</vt:i4>
      </vt:variant>
      <vt:variant>
        <vt:i4>5</vt:i4>
      </vt:variant>
      <vt:variant>
        <vt:lpwstr>https://www.ncbi.nlm.nih.gov/pubmed/28802255</vt:lpwstr>
      </vt:variant>
      <vt:variant>
        <vt:lpwstr/>
      </vt:variant>
      <vt:variant>
        <vt:i4>1245239</vt:i4>
      </vt:variant>
      <vt:variant>
        <vt:i4>1190</vt:i4>
      </vt:variant>
      <vt:variant>
        <vt:i4>0</vt:i4>
      </vt:variant>
      <vt:variant>
        <vt:i4>5</vt:i4>
      </vt:variant>
      <vt:variant>
        <vt:lpwstr/>
      </vt:variant>
      <vt:variant>
        <vt:lpwstr>_Toc66809301</vt:lpwstr>
      </vt:variant>
      <vt:variant>
        <vt:i4>1900603</vt:i4>
      </vt:variant>
      <vt:variant>
        <vt:i4>1181</vt:i4>
      </vt:variant>
      <vt:variant>
        <vt:i4>0</vt:i4>
      </vt:variant>
      <vt:variant>
        <vt:i4>5</vt:i4>
      </vt:variant>
      <vt:variant>
        <vt:lpwstr/>
      </vt:variant>
      <vt:variant>
        <vt:lpwstr>_Toc66810558</vt:lpwstr>
      </vt:variant>
      <vt:variant>
        <vt:i4>1179707</vt:i4>
      </vt:variant>
      <vt:variant>
        <vt:i4>1175</vt:i4>
      </vt:variant>
      <vt:variant>
        <vt:i4>0</vt:i4>
      </vt:variant>
      <vt:variant>
        <vt:i4>5</vt:i4>
      </vt:variant>
      <vt:variant>
        <vt:lpwstr/>
      </vt:variant>
      <vt:variant>
        <vt:lpwstr>_Toc66810557</vt:lpwstr>
      </vt:variant>
      <vt:variant>
        <vt:i4>1245243</vt:i4>
      </vt:variant>
      <vt:variant>
        <vt:i4>1169</vt:i4>
      </vt:variant>
      <vt:variant>
        <vt:i4>0</vt:i4>
      </vt:variant>
      <vt:variant>
        <vt:i4>5</vt:i4>
      </vt:variant>
      <vt:variant>
        <vt:lpwstr/>
      </vt:variant>
      <vt:variant>
        <vt:lpwstr>_Toc66810556</vt:lpwstr>
      </vt:variant>
      <vt:variant>
        <vt:i4>1048635</vt:i4>
      </vt:variant>
      <vt:variant>
        <vt:i4>1163</vt:i4>
      </vt:variant>
      <vt:variant>
        <vt:i4>0</vt:i4>
      </vt:variant>
      <vt:variant>
        <vt:i4>5</vt:i4>
      </vt:variant>
      <vt:variant>
        <vt:lpwstr/>
      </vt:variant>
      <vt:variant>
        <vt:lpwstr>_Toc66810555</vt:lpwstr>
      </vt:variant>
      <vt:variant>
        <vt:i4>1114171</vt:i4>
      </vt:variant>
      <vt:variant>
        <vt:i4>1157</vt:i4>
      </vt:variant>
      <vt:variant>
        <vt:i4>0</vt:i4>
      </vt:variant>
      <vt:variant>
        <vt:i4>5</vt:i4>
      </vt:variant>
      <vt:variant>
        <vt:lpwstr/>
      </vt:variant>
      <vt:variant>
        <vt:lpwstr>_Toc66810554</vt:lpwstr>
      </vt:variant>
      <vt:variant>
        <vt:i4>1441851</vt:i4>
      </vt:variant>
      <vt:variant>
        <vt:i4>1151</vt:i4>
      </vt:variant>
      <vt:variant>
        <vt:i4>0</vt:i4>
      </vt:variant>
      <vt:variant>
        <vt:i4>5</vt:i4>
      </vt:variant>
      <vt:variant>
        <vt:lpwstr/>
      </vt:variant>
      <vt:variant>
        <vt:lpwstr>_Toc66810553</vt:lpwstr>
      </vt:variant>
      <vt:variant>
        <vt:i4>1507387</vt:i4>
      </vt:variant>
      <vt:variant>
        <vt:i4>1145</vt:i4>
      </vt:variant>
      <vt:variant>
        <vt:i4>0</vt:i4>
      </vt:variant>
      <vt:variant>
        <vt:i4>5</vt:i4>
      </vt:variant>
      <vt:variant>
        <vt:lpwstr/>
      </vt:variant>
      <vt:variant>
        <vt:lpwstr>_Toc66810552</vt:lpwstr>
      </vt:variant>
      <vt:variant>
        <vt:i4>1310779</vt:i4>
      </vt:variant>
      <vt:variant>
        <vt:i4>1139</vt:i4>
      </vt:variant>
      <vt:variant>
        <vt:i4>0</vt:i4>
      </vt:variant>
      <vt:variant>
        <vt:i4>5</vt:i4>
      </vt:variant>
      <vt:variant>
        <vt:lpwstr/>
      </vt:variant>
      <vt:variant>
        <vt:lpwstr>_Toc66810551</vt:lpwstr>
      </vt:variant>
      <vt:variant>
        <vt:i4>1376315</vt:i4>
      </vt:variant>
      <vt:variant>
        <vt:i4>1133</vt:i4>
      </vt:variant>
      <vt:variant>
        <vt:i4>0</vt:i4>
      </vt:variant>
      <vt:variant>
        <vt:i4>5</vt:i4>
      </vt:variant>
      <vt:variant>
        <vt:lpwstr/>
      </vt:variant>
      <vt:variant>
        <vt:lpwstr>_Toc66810550</vt:lpwstr>
      </vt:variant>
      <vt:variant>
        <vt:i4>1835066</vt:i4>
      </vt:variant>
      <vt:variant>
        <vt:i4>1127</vt:i4>
      </vt:variant>
      <vt:variant>
        <vt:i4>0</vt:i4>
      </vt:variant>
      <vt:variant>
        <vt:i4>5</vt:i4>
      </vt:variant>
      <vt:variant>
        <vt:lpwstr/>
      </vt:variant>
      <vt:variant>
        <vt:lpwstr>_Toc66810549</vt:lpwstr>
      </vt:variant>
      <vt:variant>
        <vt:i4>1900602</vt:i4>
      </vt:variant>
      <vt:variant>
        <vt:i4>1121</vt:i4>
      </vt:variant>
      <vt:variant>
        <vt:i4>0</vt:i4>
      </vt:variant>
      <vt:variant>
        <vt:i4>5</vt:i4>
      </vt:variant>
      <vt:variant>
        <vt:lpwstr/>
      </vt:variant>
      <vt:variant>
        <vt:lpwstr>_Toc66810548</vt:lpwstr>
      </vt:variant>
      <vt:variant>
        <vt:i4>1179706</vt:i4>
      </vt:variant>
      <vt:variant>
        <vt:i4>1115</vt:i4>
      </vt:variant>
      <vt:variant>
        <vt:i4>0</vt:i4>
      </vt:variant>
      <vt:variant>
        <vt:i4>5</vt:i4>
      </vt:variant>
      <vt:variant>
        <vt:lpwstr/>
      </vt:variant>
      <vt:variant>
        <vt:lpwstr>_Toc66810547</vt:lpwstr>
      </vt:variant>
      <vt:variant>
        <vt:i4>1245242</vt:i4>
      </vt:variant>
      <vt:variant>
        <vt:i4>1109</vt:i4>
      </vt:variant>
      <vt:variant>
        <vt:i4>0</vt:i4>
      </vt:variant>
      <vt:variant>
        <vt:i4>5</vt:i4>
      </vt:variant>
      <vt:variant>
        <vt:lpwstr/>
      </vt:variant>
      <vt:variant>
        <vt:lpwstr>_Toc66810546</vt:lpwstr>
      </vt:variant>
      <vt:variant>
        <vt:i4>1048634</vt:i4>
      </vt:variant>
      <vt:variant>
        <vt:i4>1103</vt:i4>
      </vt:variant>
      <vt:variant>
        <vt:i4>0</vt:i4>
      </vt:variant>
      <vt:variant>
        <vt:i4>5</vt:i4>
      </vt:variant>
      <vt:variant>
        <vt:lpwstr/>
      </vt:variant>
      <vt:variant>
        <vt:lpwstr>_Toc66810545</vt:lpwstr>
      </vt:variant>
      <vt:variant>
        <vt:i4>1114170</vt:i4>
      </vt:variant>
      <vt:variant>
        <vt:i4>1097</vt:i4>
      </vt:variant>
      <vt:variant>
        <vt:i4>0</vt:i4>
      </vt:variant>
      <vt:variant>
        <vt:i4>5</vt:i4>
      </vt:variant>
      <vt:variant>
        <vt:lpwstr/>
      </vt:variant>
      <vt:variant>
        <vt:lpwstr>_Toc66810544</vt:lpwstr>
      </vt:variant>
      <vt:variant>
        <vt:i4>1441850</vt:i4>
      </vt:variant>
      <vt:variant>
        <vt:i4>1091</vt:i4>
      </vt:variant>
      <vt:variant>
        <vt:i4>0</vt:i4>
      </vt:variant>
      <vt:variant>
        <vt:i4>5</vt:i4>
      </vt:variant>
      <vt:variant>
        <vt:lpwstr/>
      </vt:variant>
      <vt:variant>
        <vt:lpwstr>_Toc66810543</vt:lpwstr>
      </vt:variant>
      <vt:variant>
        <vt:i4>1507386</vt:i4>
      </vt:variant>
      <vt:variant>
        <vt:i4>1085</vt:i4>
      </vt:variant>
      <vt:variant>
        <vt:i4>0</vt:i4>
      </vt:variant>
      <vt:variant>
        <vt:i4>5</vt:i4>
      </vt:variant>
      <vt:variant>
        <vt:lpwstr/>
      </vt:variant>
      <vt:variant>
        <vt:lpwstr>_Toc66810542</vt:lpwstr>
      </vt:variant>
      <vt:variant>
        <vt:i4>1310778</vt:i4>
      </vt:variant>
      <vt:variant>
        <vt:i4>1079</vt:i4>
      </vt:variant>
      <vt:variant>
        <vt:i4>0</vt:i4>
      </vt:variant>
      <vt:variant>
        <vt:i4>5</vt:i4>
      </vt:variant>
      <vt:variant>
        <vt:lpwstr/>
      </vt:variant>
      <vt:variant>
        <vt:lpwstr>_Toc66810541</vt:lpwstr>
      </vt:variant>
      <vt:variant>
        <vt:i4>1376314</vt:i4>
      </vt:variant>
      <vt:variant>
        <vt:i4>1073</vt:i4>
      </vt:variant>
      <vt:variant>
        <vt:i4>0</vt:i4>
      </vt:variant>
      <vt:variant>
        <vt:i4>5</vt:i4>
      </vt:variant>
      <vt:variant>
        <vt:lpwstr/>
      </vt:variant>
      <vt:variant>
        <vt:lpwstr>_Toc66810540</vt:lpwstr>
      </vt:variant>
      <vt:variant>
        <vt:i4>1835069</vt:i4>
      </vt:variant>
      <vt:variant>
        <vt:i4>1067</vt:i4>
      </vt:variant>
      <vt:variant>
        <vt:i4>0</vt:i4>
      </vt:variant>
      <vt:variant>
        <vt:i4>5</vt:i4>
      </vt:variant>
      <vt:variant>
        <vt:lpwstr/>
      </vt:variant>
      <vt:variant>
        <vt:lpwstr>_Toc66810539</vt:lpwstr>
      </vt:variant>
      <vt:variant>
        <vt:i4>1900605</vt:i4>
      </vt:variant>
      <vt:variant>
        <vt:i4>1061</vt:i4>
      </vt:variant>
      <vt:variant>
        <vt:i4>0</vt:i4>
      </vt:variant>
      <vt:variant>
        <vt:i4>5</vt:i4>
      </vt:variant>
      <vt:variant>
        <vt:lpwstr/>
      </vt:variant>
      <vt:variant>
        <vt:lpwstr>_Toc66810538</vt:lpwstr>
      </vt:variant>
      <vt:variant>
        <vt:i4>1179709</vt:i4>
      </vt:variant>
      <vt:variant>
        <vt:i4>1055</vt:i4>
      </vt:variant>
      <vt:variant>
        <vt:i4>0</vt:i4>
      </vt:variant>
      <vt:variant>
        <vt:i4>5</vt:i4>
      </vt:variant>
      <vt:variant>
        <vt:lpwstr/>
      </vt:variant>
      <vt:variant>
        <vt:lpwstr>_Toc66810537</vt:lpwstr>
      </vt:variant>
      <vt:variant>
        <vt:i4>1245245</vt:i4>
      </vt:variant>
      <vt:variant>
        <vt:i4>1049</vt:i4>
      </vt:variant>
      <vt:variant>
        <vt:i4>0</vt:i4>
      </vt:variant>
      <vt:variant>
        <vt:i4>5</vt:i4>
      </vt:variant>
      <vt:variant>
        <vt:lpwstr/>
      </vt:variant>
      <vt:variant>
        <vt:lpwstr>_Toc66810536</vt:lpwstr>
      </vt:variant>
      <vt:variant>
        <vt:i4>1048637</vt:i4>
      </vt:variant>
      <vt:variant>
        <vt:i4>1043</vt:i4>
      </vt:variant>
      <vt:variant>
        <vt:i4>0</vt:i4>
      </vt:variant>
      <vt:variant>
        <vt:i4>5</vt:i4>
      </vt:variant>
      <vt:variant>
        <vt:lpwstr/>
      </vt:variant>
      <vt:variant>
        <vt:lpwstr>_Toc66810535</vt:lpwstr>
      </vt:variant>
      <vt:variant>
        <vt:i4>1114173</vt:i4>
      </vt:variant>
      <vt:variant>
        <vt:i4>1037</vt:i4>
      </vt:variant>
      <vt:variant>
        <vt:i4>0</vt:i4>
      </vt:variant>
      <vt:variant>
        <vt:i4>5</vt:i4>
      </vt:variant>
      <vt:variant>
        <vt:lpwstr/>
      </vt:variant>
      <vt:variant>
        <vt:lpwstr>_Toc66810534</vt:lpwstr>
      </vt:variant>
      <vt:variant>
        <vt:i4>1441853</vt:i4>
      </vt:variant>
      <vt:variant>
        <vt:i4>1031</vt:i4>
      </vt:variant>
      <vt:variant>
        <vt:i4>0</vt:i4>
      </vt:variant>
      <vt:variant>
        <vt:i4>5</vt:i4>
      </vt:variant>
      <vt:variant>
        <vt:lpwstr/>
      </vt:variant>
      <vt:variant>
        <vt:lpwstr>_Toc66810533</vt:lpwstr>
      </vt:variant>
      <vt:variant>
        <vt:i4>1507389</vt:i4>
      </vt:variant>
      <vt:variant>
        <vt:i4>1025</vt:i4>
      </vt:variant>
      <vt:variant>
        <vt:i4>0</vt:i4>
      </vt:variant>
      <vt:variant>
        <vt:i4>5</vt:i4>
      </vt:variant>
      <vt:variant>
        <vt:lpwstr/>
      </vt:variant>
      <vt:variant>
        <vt:lpwstr>_Toc66810532</vt:lpwstr>
      </vt:variant>
      <vt:variant>
        <vt:i4>1310781</vt:i4>
      </vt:variant>
      <vt:variant>
        <vt:i4>1019</vt:i4>
      </vt:variant>
      <vt:variant>
        <vt:i4>0</vt:i4>
      </vt:variant>
      <vt:variant>
        <vt:i4>5</vt:i4>
      </vt:variant>
      <vt:variant>
        <vt:lpwstr/>
      </vt:variant>
      <vt:variant>
        <vt:lpwstr>_Toc66810531</vt:lpwstr>
      </vt:variant>
      <vt:variant>
        <vt:i4>1441846</vt:i4>
      </vt:variant>
      <vt:variant>
        <vt:i4>1010</vt:i4>
      </vt:variant>
      <vt:variant>
        <vt:i4>0</vt:i4>
      </vt:variant>
      <vt:variant>
        <vt:i4>5</vt:i4>
      </vt:variant>
      <vt:variant>
        <vt:lpwstr/>
      </vt:variant>
      <vt:variant>
        <vt:lpwstr>_Toc66810482</vt:lpwstr>
      </vt:variant>
      <vt:variant>
        <vt:i4>1376310</vt:i4>
      </vt:variant>
      <vt:variant>
        <vt:i4>1004</vt:i4>
      </vt:variant>
      <vt:variant>
        <vt:i4>0</vt:i4>
      </vt:variant>
      <vt:variant>
        <vt:i4>5</vt:i4>
      </vt:variant>
      <vt:variant>
        <vt:lpwstr/>
      </vt:variant>
      <vt:variant>
        <vt:lpwstr>_Toc66810481</vt:lpwstr>
      </vt:variant>
      <vt:variant>
        <vt:i4>1310774</vt:i4>
      </vt:variant>
      <vt:variant>
        <vt:i4>998</vt:i4>
      </vt:variant>
      <vt:variant>
        <vt:i4>0</vt:i4>
      </vt:variant>
      <vt:variant>
        <vt:i4>5</vt:i4>
      </vt:variant>
      <vt:variant>
        <vt:lpwstr/>
      </vt:variant>
      <vt:variant>
        <vt:lpwstr>_Toc66810480</vt:lpwstr>
      </vt:variant>
      <vt:variant>
        <vt:i4>1900601</vt:i4>
      </vt:variant>
      <vt:variant>
        <vt:i4>992</vt:i4>
      </vt:variant>
      <vt:variant>
        <vt:i4>0</vt:i4>
      </vt:variant>
      <vt:variant>
        <vt:i4>5</vt:i4>
      </vt:variant>
      <vt:variant>
        <vt:lpwstr/>
      </vt:variant>
      <vt:variant>
        <vt:lpwstr>_Toc66810479</vt:lpwstr>
      </vt:variant>
      <vt:variant>
        <vt:i4>1835065</vt:i4>
      </vt:variant>
      <vt:variant>
        <vt:i4>986</vt:i4>
      </vt:variant>
      <vt:variant>
        <vt:i4>0</vt:i4>
      </vt:variant>
      <vt:variant>
        <vt:i4>5</vt:i4>
      </vt:variant>
      <vt:variant>
        <vt:lpwstr/>
      </vt:variant>
      <vt:variant>
        <vt:lpwstr>_Toc66810478</vt:lpwstr>
      </vt:variant>
      <vt:variant>
        <vt:i4>1245241</vt:i4>
      </vt:variant>
      <vt:variant>
        <vt:i4>980</vt:i4>
      </vt:variant>
      <vt:variant>
        <vt:i4>0</vt:i4>
      </vt:variant>
      <vt:variant>
        <vt:i4>5</vt:i4>
      </vt:variant>
      <vt:variant>
        <vt:lpwstr/>
      </vt:variant>
      <vt:variant>
        <vt:lpwstr>_Toc66810477</vt:lpwstr>
      </vt:variant>
      <vt:variant>
        <vt:i4>1179705</vt:i4>
      </vt:variant>
      <vt:variant>
        <vt:i4>974</vt:i4>
      </vt:variant>
      <vt:variant>
        <vt:i4>0</vt:i4>
      </vt:variant>
      <vt:variant>
        <vt:i4>5</vt:i4>
      </vt:variant>
      <vt:variant>
        <vt:lpwstr/>
      </vt:variant>
      <vt:variant>
        <vt:lpwstr>_Toc66810476</vt:lpwstr>
      </vt:variant>
      <vt:variant>
        <vt:i4>1114169</vt:i4>
      </vt:variant>
      <vt:variant>
        <vt:i4>968</vt:i4>
      </vt:variant>
      <vt:variant>
        <vt:i4>0</vt:i4>
      </vt:variant>
      <vt:variant>
        <vt:i4>5</vt:i4>
      </vt:variant>
      <vt:variant>
        <vt:lpwstr/>
      </vt:variant>
      <vt:variant>
        <vt:lpwstr>_Toc66810475</vt:lpwstr>
      </vt:variant>
      <vt:variant>
        <vt:i4>1048633</vt:i4>
      </vt:variant>
      <vt:variant>
        <vt:i4>962</vt:i4>
      </vt:variant>
      <vt:variant>
        <vt:i4>0</vt:i4>
      </vt:variant>
      <vt:variant>
        <vt:i4>5</vt:i4>
      </vt:variant>
      <vt:variant>
        <vt:lpwstr/>
      </vt:variant>
      <vt:variant>
        <vt:lpwstr>_Toc66810474</vt:lpwstr>
      </vt:variant>
      <vt:variant>
        <vt:i4>1507385</vt:i4>
      </vt:variant>
      <vt:variant>
        <vt:i4>956</vt:i4>
      </vt:variant>
      <vt:variant>
        <vt:i4>0</vt:i4>
      </vt:variant>
      <vt:variant>
        <vt:i4>5</vt:i4>
      </vt:variant>
      <vt:variant>
        <vt:lpwstr/>
      </vt:variant>
      <vt:variant>
        <vt:lpwstr>_Toc66810473</vt:lpwstr>
      </vt:variant>
      <vt:variant>
        <vt:i4>1441849</vt:i4>
      </vt:variant>
      <vt:variant>
        <vt:i4>950</vt:i4>
      </vt:variant>
      <vt:variant>
        <vt:i4>0</vt:i4>
      </vt:variant>
      <vt:variant>
        <vt:i4>5</vt:i4>
      </vt:variant>
      <vt:variant>
        <vt:lpwstr/>
      </vt:variant>
      <vt:variant>
        <vt:lpwstr>_Toc66810472</vt:lpwstr>
      </vt:variant>
      <vt:variant>
        <vt:i4>1376313</vt:i4>
      </vt:variant>
      <vt:variant>
        <vt:i4>944</vt:i4>
      </vt:variant>
      <vt:variant>
        <vt:i4>0</vt:i4>
      </vt:variant>
      <vt:variant>
        <vt:i4>5</vt:i4>
      </vt:variant>
      <vt:variant>
        <vt:lpwstr/>
      </vt:variant>
      <vt:variant>
        <vt:lpwstr>_Toc66810471</vt:lpwstr>
      </vt:variant>
      <vt:variant>
        <vt:i4>1310777</vt:i4>
      </vt:variant>
      <vt:variant>
        <vt:i4>938</vt:i4>
      </vt:variant>
      <vt:variant>
        <vt:i4>0</vt:i4>
      </vt:variant>
      <vt:variant>
        <vt:i4>5</vt:i4>
      </vt:variant>
      <vt:variant>
        <vt:lpwstr/>
      </vt:variant>
      <vt:variant>
        <vt:lpwstr>_Toc66810470</vt:lpwstr>
      </vt:variant>
      <vt:variant>
        <vt:i4>1900600</vt:i4>
      </vt:variant>
      <vt:variant>
        <vt:i4>932</vt:i4>
      </vt:variant>
      <vt:variant>
        <vt:i4>0</vt:i4>
      </vt:variant>
      <vt:variant>
        <vt:i4>5</vt:i4>
      </vt:variant>
      <vt:variant>
        <vt:lpwstr/>
      </vt:variant>
      <vt:variant>
        <vt:lpwstr>_Toc66810469</vt:lpwstr>
      </vt:variant>
      <vt:variant>
        <vt:i4>1835064</vt:i4>
      </vt:variant>
      <vt:variant>
        <vt:i4>926</vt:i4>
      </vt:variant>
      <vt:variant>
        <vt:i4>0</vt:i4>
      </vt:variant>
      <vt:variant>
        <vt:i4>5</vt:i4>
      </vt:variant>
      <vt:variant>
        <vt:lpwstr/>
      </vt:variant>
      <vt:variant>
        <vt:lpwstr>_Toc66810468</vt:lpwstr>
      </vt:variant>
      <vt:variant>
        <vt:i4>1245240</vt:i4>
      </vt:variant>
      <vt:variant>
        <vt:i4>920</vt:i4>
      </vt:variant>
      <vt:variant>
        <vt:i4>0</vt:i4>
      </vt:variant>
      <vt:variant>
        <vt:i4>5</vt:i4>
      </vt:variant>
      <vt:variant>
        <vt:lpwstr/>
      </vt:variant>
      <vt:variant>
        <vt:lpwstr>_Toc66810467</vt:lpwstr>
      </vt:variant>
      <vt:variant>
        <vt:i4>1179704</vt:i4>
      </vt:variant>
      <vt:variant>
        <vt:i4>914</vt:i4>
      </vt:variant>
      <vt:variant>
        <vt:i4>0</vt:i4>
      </vt:variant>
      <vt:variant>
        <vt:i4>5</vt:i4>
      </vt:variant>
      <vt:variant>
        <vt:lpwstr/>
      </vt:variant>
      <vt:variant>
        <vt:lpwstr>_Toc66810466</vt:lpwstr>
      </vt:variant>
      <vt:variant>
        <vt:i4>1114168</vt:i4>
      </vt:variant>
      <vt:variant>
        <vt:i4>908</vt:i4>
      </vt:variant>
      <vt:variant>
        <vt:i4>0</vt:i4>
      </vt:variant>
      <vt:variant>
        <vt:i4>5</vt:i4>
      </vt:variant>
      <vt:variant>
        <vt:lpwstr/>
      </vt:variant>
      <vt:variant>
        <vt:lpwstr>_Toc66810465</vt:lpwstr>
      </vt:variant>
      <vt:variant>
        <vt:i4>1048632</vt:i4>
      </vt:variant>
      <vt:variant>
        <vt:i4>902</vt:i4>
      </vt:variant>
      <vt:variant>
        <vt:i4>0</vt:i4>
      </vt:variant>
      <vt:variant>
        <vt:i4>5</vt:i4>
      </vt:variant>
      <vt:variant>
        <vt:lpwstr/>
      </vt:variant>
      <vt:variant>
        <vt:lpwstr>_Toc66810464</vt:lpwstr>
      </vt:variant>
      <vt:variant>
        <vt:i4>1507384</vt:i4>
      </vt:variant>
      <vt:variant>
        <vt:i4>896</vt:i4>
      </vt:variant>
      <vt:variant>
        <vt:i4>0</vt:i4>
      </vt:variant>
      <vt:variant>
        <vt:i4>5</vt:i4>
      </vt:variant>
      <vt:variant>
        <vt:lpwstr/>
      </vt:variant>
      <vt:variant>
        <vt:lpwstr>_Toc66810463</vt:lpwstr>
      </vt:variant>
      <vt:variant>
        <vt:i4>1441848</vt:i4>
      </vt:variant>
      <vt:variant>
        <vt:i4>890</vt:i4>
      </vt:variant>
      <vt:variant>
        <vt:i4>0</vt:i4>
      </vt:variant>
      <vt:variant>
        <vt:i4>5</vt:i4>
      </vt:variant>
      <vt:variant>
        <vt:lpwstr/>
      </vt:variant>
      <vt:variant>
        <vt:lpwstr>_Toc66810462</vt:lpwstr>
      </vt:variant>
      <vt:variant>
        <vt:i4>1376312</vt:i4>
      </vt:variant>
      <vt:variant>
        <vt:i4>884</vt:i4>
      </vt:variant>
      <vt:variant>
        <vt:i4>0</vt:i4>
      </vt:variant>
      <vt:variant>
        <vt:i4>5</vt:i4>
      </vt:variant>
      <vt:variant>
        <vt:lpwstr/>
      </vt:variant>
      <vt:variant>
        <vt:lpwstr>_Toc66810461</vt:lpwstr>
      </vt:variant>
      <vt:variant>
        <vt:i4>1310776</vt:i4>
      </vt:variant>
      <vt:variant>
        <vt:i4>878</vt:i4>
      </vt:variant>
      <vt:variant>
        <vt:i4>0</vt:i4>
      </vt:variant>
      <vt:variant>
        <vt:i4>5</vt:i4>
      </vt:variant>
      <vt:variant>
        <vt:lpwstr/>
      </vt:variant>
      <vt:variant>
        <vt:lpwstr>_Toc66810460</vt:lpwstr>
      </vt:variant>
      <vt:variant>
        <vt:i4>1900603</vt:i4>
      </vt:variant>
      <vt:variant>
        <vt:i4>872</vt:i4>
      </vt:variant>
      <vt:variant>
        <vt:i4>0</vt:i4>
      </vt:variant>
      <vt:variant>
        <vt:i4>5</vt:i4>
      </vt:variant>
      <vt:variant>
        <vt:lpwstr/>
      </vt:variant>
      <vt:variant>
        <vt:lpwstr>_Toc66810459</vt:lpwstr>
      </vt:variant>
      <vt:variant>
        <vt:i4>1835067</vt:i4>
      </vt:variant>
      <vt:variant>
        <vt:i4>866</vt:i4>
      </vt:variant>
      <vt:variant>
        <vt:i4>0</vt:i4>
      </vt:variant>
      <vt:variant>
        <vt:i4>5</vt:i4>
      </vt:variant>
      <vt:variant>
        <vt:lpwstr/>
      </vt:variant>
      <vt:variant>
        <vt:lpwstr>_Toc66810458</vt:lpwstr>
      </vt:variant>
      <vt:variant>
        <vt:i4>1245243</vt:i4>
      </vt:variant>
      <vt:variant>
        <vt:i4>860</vt:i4>
      </vt:variant>
      <vt:variant>
        <vt:i4>0</vt:i4>
      </vt:variant>
      <vt:variant>
        <vt:i4>5</vt:i4>
      </vt:variant>
      <vt:variant>
        <vt:lpwstr/>
      </vt:variant>
      <vt:variant>
        <vt:lpwstr>_Toc66810457</vt:lpwstr>
      </vt:variant>
      <vt:variant>
        <vt:i4>1179707</vt:i4>
      </vt:variant>
      <vt:variant>
        <vt:i4>854</vt:i4>
      </vt:variant>
      <vt:variant>
        <vt:i4>0</vt:i4>
      </vt:variant>
      <vt:variant>
        <vt:i4>5</vt:i4>
      </vt:variant>
      <vt:variant>
        <vt:lpwstr/>
      </vt:variant>
      <vt:variant>
        <vt:lpwstr>_Toc66810456</vt:lpwstr>
      </vt:variant>
      <vt:variant>
        <vt:i4>1114171</vt:i4>
      </vt:variant>
      <vt:variant>
        <vt:i4>848</vt:i4>
      </vt:variant>
      <vt:variant>
        <vt:i4>0</vt:i4>
      </vt:variant>
      <vt:variant>
        <vt:i4>5</vt:i4>
      </vt:variant>
      <vt:variant>
        <vt:lpwstr/>
      </vt:variant>
      <vt:variant>
        <vt:lpwstr>_Toc66810455</vt:lpwstr>
      </vt:variant>
      <vt:variant>
        <vt:i4>1048635</vt:i4>
      </vt:variant>
      <vt:variant>
        <vt:i4>842</vt:i4>
      </vt:variant>
      <vt:variant>
        <vt:i4>0</vt:i4>
      </vt:variant>
      <vt:variant>
        <vt:i4>5</vt:i4>
      </vt:variant>
      <vt:variant>
        <vt:lpwstr/>
      </vt:variant>
      <vt:variant>
        <vt:lpwstr>_Toc66810454</vt:lpwstr>
      </vt:variant>
      <vt:variant>
        <vt:i4>1507387</vt:i4>
      </vt:variant>
      <vt:variant>
        <vt:i4>836</vt:i4>
      </vt:variant>
      <vt:variant>
        <vt:i4>0</vt:i4>
      </vt:variant>
      <vt:variant>
        <vt:i4>5</vt:i4>
      </vt:variant>
      <vt:variant>
        <vt:lpwstr/>
      </vt:variant>
      <vt:variant>
        <vt:lpwstr>_Toc66810453</vt:lpwstr>
      </vt:variant>
      <vt:variant>
        <vt:i4>1441851</vt:i4>
      </vt:variant>
      <vt:variant>
        <vt:i4>830</vt:i4>
      </vt:variant>
      <vt:variant>
        <vt:i4>0</vt:i4>
      </vt:variant>
      <vt:variant>
        <vt:i4>5</vt:i4>
      </vt:variant>
      <vt:variant>
        <vt:lpwstr/>
      </vt:variant>
      <vt:variant>
        <vt:lpwstr>_Toc66810452</vt:lpwstr>
      </vt:variant>
      <vt:variant>
        <vt:i4>1376315</vt:i4>
      </vt:variant>
      <vt:variant>
        <vt:i4>824</vt:i4>
      </vt:variant>
      <vt:variant>
        <vt:i4>0</vt:i4>
      </vt:variant>
      <vt:variant>
        <vt:i4>5</vt:i4>
      </vt:variant>
      <vt:variant>
        <vt:lpwstr/>
      </vt:variant>
      <vt:variant>
        <vt:lpwstr>_Toc66810451</vt:lpwstr>
      </vt:variant>
      <vt:variant>
        <vt:i4>1310779</vt:i4>
      </vt:variant>
      <vt:variant>
        <vt:i4>818</vt:i4>
      </vt:variant>
      <vt:variant>
        <vt:i4>0</vt:i4>
      </vt:variant>
      <vt:variant>
        <vt:i4>5</vt:i4>
      </vt:variant>
      <vt:variant>
        <vt:lpwstr/>
      </vt:variant>
      <vt:variant>
        <vt:lpwstr>_Toc66810450</vt:lpwstr>
      </vt:variant>
      <vt:variant>
        <vt:i4>1900602</vt:i4>
      </vt:variant>
      <vt:variant>
        <vt:i4>812</vt:i4>
      </vt:variant>
      <vt:variant>
        <vt:i4>0</vt:i4>
      </vt:variant>
      <vt:variant>
        <vt:i4>5</vt:i4>
      </vt:variant>
      <vt:variant>
        <vt:lpwstr/>
      </vt:variant>
      <vt:variant>
        <vt:lpwstr>_Toc66810449</vt:lpwstr>
      </vt:variant>
      <vt:variant>
        <vt:i4>1835066</vt:i4>
      </vt:variant>
      <vt:variant>
        <vt:i4>806</vt:i4>
      </vt:variant>
      <vt:variant>
        <vt:i4>0</vt:i4>
      </vt:variant>
      <vt:variant>
        <vt:i4>5</vt:i4>
      </vt:variant>
      <vt:variant>
        <vt:lpwstr/>
      </vt:variant>
      <vt:variant>
        <vt:lpwstr>_Toc66810448</vt:lpwstr>
      </vt:variant>
      <vt:variant>
        <vt:i4>1245242</vt:i4>
      </vt:variant>
      <vt:variant>
        <vt:i4>800</vt:i4>
      </vt:variant>
      <vt:variant>
        <vt:i4>0</vt:i4>
      </vt:variant>
      <vt:variant>
        <vt:i4>5</vt:i4>
      </vt:variant>
      <vt:variant>
        <vt:lpwstr/>
      </vt:variant>
      <vt:variant>
        <vt:lpwstr>_Toc66810447</vt:lpwstr>
      </vt:variant>
      <vt:variant>
        <vt:i4>1179706</vt:i4>
      </vt:variant>
      <vt:variant>
        <vt:i4>794</vt:i4>
      </vt:variant>
      <vt:variant>
        <vt:i4>0</vt:i4>
      </vt:variant>
      <vt:variant>
        <vt:i4>5</vt:i4>
      </vt:variant>
      <vt:variant>
        <vt:lpwstr/>
      </vt:variant>
      <vt:variant>
        <vt:lpwstr>_Toc66810446</vt:lpwstr>
      </vt:variant>
      <vt:variant>
        <vt:i4>1114170</vt:i4>
      </vt:variant>
      <vt:variant>
        <vt:i4>788</vt:i4>
      </vt:variant>
      <vt:variant>
        <vt:i4>0</vt:i4>
      </vt:variant>
      <vt:variant>
        <vt:i4>5</vt:i4>
      </vt:variant>
      <vt:variant>
        <vt:lpwstr/>
      </vt:variant>
      <vt:variant>
        <vt:lpwstr>_Toc66810445</vt:lpwstr>
      </vt:variant>
      <vt:variant>
        <vt:i4>1048634</vt:i4>
      </vt:variant>
      <vt:variant>
        <vt:i4>782</vt:i4>
      </vt:variant>
      <vt:variant>
        <vt:i4>0</vt:i4>
      </vt:variant>
      <vt:variant>
        <vt:i4>5</vt:i4>
      </vt:variant>
      <vt:variant>
        <vt:lpwstr/>
      </vt:variant>
      <vt:variant>
        <vt:lpwstr>_Toc66810444</vt:lpwstr>
      </vt:variant>
      <vt:variant>
        <vt:i4>1507386</vt:i4>
      </vt:variant>
      <vt:variant>
        <vt:i4>776</vt:i4>
      </vt:variant>
      <vt:variant>
        <vt:i4>0</vt:i4>
      </vt:variant>
      <vt:variant>
        <vt:i4>5</vt:i4>
      </vt:variant>
      <vt:variant>
        <vt:lpwstr/>
      </vt:variant>
      <vt:variant>
        <vt:lpwstr>_Toc66810443</vt:lpwstr>
      </vt:variant>
      <vt:variant>
        <vt:i4>1441850</vt:i4>
      </vt:variant>
      <vt:variant>
        <vt:i4>770</vt:i4>
      </vt:variant>
      <vt:variant>
        <vt:i4>0</vt:i4>
      </vt:variant>
      <vt:variant>
        <vt:i4>5</vt:i4>
      </vt:variant>
      <vt:variant>
        <vt:lpwstr/>
      </vt:variant>
      <vt:variant>
        <vt:lpwstr>_Toc66810442</vt:lpwstr>
      </vt:variant>
      <vt:variant>
        <vt:i4>1376314</vt:i4>
      </vt:variant>
      <vt:variant>
        <vt:i4>764</vt:i4>
      </vt:variant>
      <vt:variant>
        <vt:i4>0</vt:i4>
      </vt:variant>
      <vt:variant>
        <vt:i4>5</vt:i4>
      </vt:variant>
      <vt:variant>
        <vt:lpwstr/>
      </vt:variant>
      <vt:variant>
        <vt:lpwstr>_Toc66810441</vt:lpwstr>
      </vt:variant>
      <vt:variant>
        <vt:i4>1310778</vt:i4>
      </vt:variant>
      <vt:variant>
        <vt:i4>758</vt:i4>
      </vt:variant>
      <vt:variant>
        <vt:i4>0</vt:i4>
      </vt:variant>
      <vt:variant>
        <vt:i4>5</vt:i4>
      </vt:variant>
      <vt:variant>
        <vt:lpwstr/>
      </vt:variant>
      <vt:variant>
        <vt:lpwstr>_Toc66810440</vt:lpwstr>
      </vt:variant>
      <vt:variant>
        <vt:i4>1900605</vt:i4>
      </vt:variant>
      <vt:variant>
        <vt:i4>752</vt:i4>
      </vt:variant>
      <vt:variant>
        <vt:i4>0</vt:i4>
      </vt:variant>
      <vt:variant>
        <vt:i4>5</vt:i4>
      </vt:variant>
      <vt:variant>
        <vt:lpwstr/>
      </vt:variant>
      <vt:variant>
        <vt:lpwstr>_Toc66810439</vt:lpwstr>
      </vt:variant>
      <vt:variant>
        <vt:i4>1835069</vt:i4>
      </vt:variant>
      <vt:variant>
        <vt:i4>746</vt:i4>
      </vt:variant>
      <vt:variant>
        <vt:i4>0</vt:i4>
      </vt:variant>
      <vt:variant>
        <vt:i4>5</vt:i4>
      </vt:variant>
      <vt:variant>
        <vt:lpwstr/>
      </vt:variant>
      <vt:variant>
        <vt:lpwstr>_Toc66810438</vt:lpwstr>
      </vt:variant>
      <vt:variant>
        <vt:i4>1245245</vt:i4>
      </vt:variant>
      <vt:variant>
        <vt:i4>740</vt:i4>
      </vt:variant>
      <vt:variant>
        <vt:i4>0</vt:i4>
      </vt:variant>
      <vt:variant>
        <vt:i4>5</vt:i4>
      </vt:variant>
      <vt:variant>
        <vt:lpwstr/>
      </vt:variant>
      <vt:variant>
        <vt:lpwstr>_Toc66810437</vt:lpwstr>
      </vt:variant>
      <vt:variant>
        <vt:i4>1179709</vt:i4>
      </vt:variant>
      <vt:variant>
        <vt:i4>734</vt:i4>
      </vt:variant>
      <vt:variant>
        <vt:i4>0</vt:i4>
      </vt:variant>
      <vt:variant>
        <vt:i4>5</vt:i4>
      </vt:variant>
      <vt:variant>
        <vt:lpwstr/>
      </vt:variant>
      <vt:variant>
        <vt:lpwstr>_Toc66810436</vt:lpwstr>
      </vt:variant>
      <vt:variant>
        <vt:i4>1114173</vt:i4>
      </vt:variant>
      <vt:variant>
        <vt:i4>728</vt:i4>
      </vt:variant>
      <vt:variant>
        <vt:i4>0</vt:i4>
      </vt:variant>
      <vt:variant>
        <vt:i4>5</vt:i4>
      </vt:variant>
      <vt:variant>
        <vt:lpwstr/>
      </vt:variant>
      <vt:variant>
        <vt:lpwstr>_Toc66810435</vt:lpwstr>
      </vt:variant>
      <vt:variant>
        <vt:i4>1048637</vt:i4>
      </vt:variant>
      <vt:variant>
        <vt:i4>722</vt:i4>
      </vt:variant>
      <vt:variant>
        <vt:i4>0</vt:i4>
      </vt:variant>
      <vt:variant>
        <vt:i4>5</vt:i4>
      </vt:variant>
      <vt:variant>
        <vt:lpwstr/>
      </vt:variant>
      <vt:variant>
        <vt:lpwstr>_Toc66810434</vt:lpwstr>
      </vt:variant>
      <vt:variant>
        <vt:i4>1507389</vt:i4>
      </vt:variant>
      <vt:variant>
        <vt:i4>716</vt:i4>
      </vt:variant>
      <vt:variant>
        <vt:i4>0</vt:i4>
      </vt:variant>
      <vt:variant>
        <vt:i4>5</vt:i4>
      </vt:variant>
      <vt:variant>
        <vt:lpwstr/>
      </vt:variant>
      <vt:variant>
        <vt:lpwstr>_Toc66810433</vt:lpwstr>
      </vt:variant>
      <vt:variant>
        <vt:i4>1441853</vt:i4>
      </vt:variant>
      <vt:variant>
        <vt:i4>710</vt:i4>
      </vt:variant>
      <vt:variant>
        <vt:i4>0</vt:i4>
      </vt:variant>
      <vt:variant>
        <vt:i4>5</vt:i4>
      </vt:variant>
      <vt:variant>
        <vt:lpwstr/>
      </vt:variant>
      <vt:variant>
        <vt:lpwstr>_Toc66810432</vt:lpwstr>
      </vt:variant>
      <vt:variant>
        <vt:i4>1376317</vt:i4>
      </vt:variant>
      <vt:variant>
        <vt:i4>704</vt:i4>
      </vt:variant>
      <vt:variant>
        <vt:i4>0</vt:i4>
      </vt:variant>
      <vt:variant>
        <vt:i4>5</vt:i4>
      </vt:variant>
      <vt:variant>
        <vt:lpwstr/>
      </vt:variant>
      <vt:variant>
        <vt:lpwstr>_Toc66810431</vt:lpwstr>
      </vt:variant>
      <vt:variant>
        <vt:i4>1310781</vt:i4>
      </vt:variant>
      <vt:variant>
        <vt:i4>698</vt:i4>
      </vt:variant>
      <vt:variant>
        <vt:i4>0</vt:i4>
      </vt:variant>
      <vt:variant>
        <vt:i4>5</vt:i4>
      </vt:variant>
      <vt:variant>
        <vt:lpwstr/>
      </vt:variant>
      <vt:variant>
        <vt:lpwstr>_Toc66810430</vt:lpwstr>
      </vt:variant>
      <vt:variant>
        <vt:i4>1900604</vt:i4>
      </vt:variant>
      <vt:variant>
        <vt:i4>692</vt:i4>
      </vt:variant>
      <vt:variant>
        <vt:i4>0</vt:i4>
      </vt:variant>
      <vt:variant>
        <vt:i4>5</vt:i4>
      </vt:variant>
      <vt:variant>
        <vt:lpwstr/>
      </vt:variant>
      <vt:variant>
        <vt:lpwstr>_Toc66810429</vt:lpwstr>
      </vt:variant>
      <vt:variant>
        <vt:i4>1835068</vt:i4>
      </vt:variant>
      <vt:variant>
        <vt:i4>686</vt:i4>
      </vt:variant>
      <vt:variant>
        <vt:i4>0</vt:i4>
      </vt:variant>
      <vt:variant>
        <vt:i4>5</vt:i4>
      </vt:variant>
      <vt:variant>
        <vt:lpwstr/>
      </vt:variant>
      <vt:variant>
        <vt:lpwstr>_Toc66810428</vt:lpwstr>
      </vt:variant>
      <vt:variant>
        <vt:i4>1245244</vt:i4>
      </vt:variant>
      <vt:variant>
        <vt:i4>680</vt:i4>
      </vt:variant>
      <vt:variant>
        <vt:i4>0</vt:i4>
      </vt:variant>
      <vt:variant>
        <vt:i4>5</vt:i4>
      </vt:variant>
      <vt:variant>
        <vt:lpwstr/>
      </vt:variant>
      <vt:variant>
        <vt:lpwstr>_Toc66810427</vt:lpwstr>
      </vt:variant>
      <vt:variant>
        <vt:i4>1179708</vt:i4>
      </vt:variant>
      <vt:variant>
        <vt:i4>674</vt:i4>
      </vt:variant>
      <vt:variant>
        <vt:i4>0</vt:i4>
      </vt:variant>
      <vt:variant>
        <vt:i4>5</vt:i4>
      </vt:variant>
      <vt:variant>
        <vt:lpwstr/>
      </vt:variant>
      <vt:variant>
        <vt:lpwstr>_Toc66810426</vt:lpwstr>
      </vt:variant>
      <vt:variant>
        <vt:i4>1114172</vt:i4>
      </vt:variant>
      <vt:variant>
        <vt:i4>668</vt:i4>
      </vt:variant>
      <vt:variant>
        <vt:i4>0</vt:i4>
      </vt:variant>
      <vt:variant>
        <vt:i4>5</vt:i4>
      </vt:variant>
      <vt:variant>
        <vt:lpwstr/>
      </vt:variant>
      <vt:variant>
        <vt:lpwstr>_Toc66810425</vt:lpwstr>
      </vt:variant>
      <vt:variant>
        <vt:i4>1048636</vt:i4>
      </vt:variant>
      <vt:variant>
        <vt:i4>662</vt:i4>
      </vt:variant>
      <vt:variant>
        <vt:i4>0</vt:i4>
      </vt:variant>
      <vt:variant>
        <vt:i4>5</vt:i4>
      </vt:variant>
      <vt:variant>
        <vt:lpwstr/>
      </vt:variant>
      <vt:variant>
        <vt:lpwstr>_Toc66810424</vt:lpwstr>
      </vt:variant>
      <vt:variant>
        <vt:i4>1507388</vt:i4>
      </vt:variant>
      <vt:variant>
        <vt:i4>656</vt:i4>
      </vt:variant>
      <vt:variant>
        <vt:i4>0</vt:i4>
      </vt:variant>
      <vt:variant>
        <vt:i4>5</vt:i4>
      </vt:variant>
      <vt:variant>
        <vt:lpwstr/>
      </vt:variant>
      <vt:variant>
        <vt:lpwstr>_Toc66810423</vt:lpwstr>
      </vt:variant>
      <vt:variant>
        <vt:i4>1441852</vt:i4>
      </vt:variant>
      <vt:variant>
        <vt:i4>650</vt:i4>
      </vt:variant>
      <vt:variant>
        <vt:i4>0</vt:i4>
      </vt:variant>
      <vt:variant>
        <vt:i4>5</vt:i4>
      </vt:variant>
      <vt:variant>
        <vt:lpwstr/>
      </vt:variant>
      <vt:variant>
        <vt:lpwstr>_Toc66810422</vt:lpwstr>
      </vt:variant>
      <vt:variant>
        <vt:i4>1376316</vt:i4>
      </vt:variant>
      <vt:variant>
        <vt:i4>644</vt:i4>
      </vt:variant>
      <vt:variant>
        <vt:i4>0</vt:i4>
      </vt:variant>
      <vt:variant>
        <vt:i4>5</vt:i4>
      </vt:variant>
      <vt:variant>
        <vt:lpwstr/>
      </vt:variant>
      <vt:variant>
        <vt:lpwstr>_Toc66810421</vt:lpwstr>
      </vt:variant>
      <vt:variant>
        <vt:i4>1310780</vt:i4>
      </vt:variant>
      <vt:variant>
        <vt:i4>638</vt:i4>
      </vt:variant>
      <vt:variant>
        <vt:i4>0</vt:i4>
      </vt:variant>
      <vt:variant>
        <vt:i4>5</vt:i4>
      </vt:variant>
      <vt:variant>
        <vt:lpwstr/>
      </vt:variant>
      <vt:variant>
        <vt:lpwstr>_Toc66810420</vt:lpwstr>
      </vt:variant>
      <vt:variant>
        <vt:i4>1900607</vt:i4>
      </vt:variant>
      <vt:variant>
        <vt:i4>632</vt:i4>
      </vt:variant>
      <vt:variant>
        <vt:i4>0</vt:i4>
      </vt:variant>
      <vt:variant>
        <vt:i4>5</vt:i4>
      </vt:variant>
      <vt:variant>
        <vt:lpwstr/>
      </vt:variant>
      <vt:variant>
        <vt:lpwstr>_Toc66810419</vt:lpwstr>
      </vt:variant>
      <vt:variant>
        <vt:i4>1835071</vt:i4>
      </vt:variant>
      <vt:variant>
        <vt:i4>626</vt:i4>
      </vt:variant>
      <vt:variant>
        <vt:i4>0</vt:i4>
      </vt:variant>
      <vt:variant>
        <vt:i4>5</vt:i4>
      </vt:variant>
      <vt:variant>
        <vt:lpwstr/>
      </vt:variant>
      <vt:variant>
        <vt:lpwstr>_Toc66810418</vt:lpwstr>
      </vt:variant>
      <vt:variant>
        <vt:i4>1245247</vt:i4>
      </vt:variant>
      <vt:variant>
        <vt:i4>620</vt:i4>
      </vt:variant>
      <vt:variant>
        <vt:i4>0</vt:i4>
      </vt:variant>
      <vt:variant>
        <vt:i4>5</vt:i4>
      </vt:variant>
      <vt:variant>
        <vt:lpwstr/>
      </vt:variant>
      <vt:variant>
        <vt:lpwstr>_Toc66810417</vt:lpwstr>
      </vt:variant>
      <vt:variant>
        <vt:i4>1179711</vt:i4>
      </vt:variant>
      <vt:variant>
        <vt:i4>614</vt:i4>
      </vt:variant>
      <vt:variant>
        <vt:i4>0</vt:i4>
      </vt:variant>
      <vt:variant>
        <vt:i4>5</vt:i4>
      </vt:variant>
      <vt:variant>
        <vt:lpwstr/>
      </vt:variant>
      <vt:variant>
        <vt:lpwstr>_Toc66810416</vt:lpwstr>
      </vt:variant>
      <vt:variant>
        <vt:i4>1114175</vt:i4>
      </vt:variant>
      <vt:variant>
        <vt:i4>608</vt:i4>
      </vt:variant>
      <vt:variant>
        <vt:i4>0</vt:i4>
      </vt:variant>
      <vt:variant>
        <vt:i4>5</vt:i4>
      </vt:variant>
      <vt:variant>
        <vt:lpwstr/>
      </vt:variant>
      <vt:variant>
        <vt:lpwstr>_Toc66810415</vt:lpwstr>
      </vt:variant>
      <vt:variant>
        <vt:i4>1048639</vt:i4>
      </vt:variant>
      <vt:variant>
        <vt:i4>602</vt:i4>
      </vt:variant>
      <vt:variant>
        <vt:i4>0</vt:i4>
      </vt:variant>
      <vt:variant>
        <vt:i4>5</vt:i4>
      </vt:variant>
      <vt:variant>
        <vt:lpwstr/>
      </vt:variant>
      <vt:variant>
        <vt:lpwstr>_Toc66810414</vt:lpwstr>
      </vt:variant>
      <vt:variant>
        <vt:i4>1507391</vt:i4>
      </vt:variant>
      <vt:variant>
        <vt:i4>596</vt:i4>
      </vt:variant>
      <vt:variant>
        <vt:i4>0</vt:i4>
      </vt:variant>
      <vt:variant>
        <vt:i4>5</vt:i4>
      </vt:variant>
      <vt:variant>
        <vt:lpwstr/>
      </vt:variant>
      <vt:variant>
        <vt:lpwstr>_Toc66810413</vt:lpwstr>
      </vt:variant>
      <vt:variant>
        <vt:i4>1441855</vt:i4>
      </vt:variant>
      <vt:variant>
        <vt:i4>590</vt:i4>
      </vt:variant>
      <vt:variant>
        <vt:i4>0</vt:i4>
      </vt:variant>
      <vt:variant>
        <vt:i4>5</vt:i4>
      </vt:variant>
      <vt:variant>
        <vt:lpwstr/>
      </vt:variant>
      <vt:variant>
        <vt:lpwstr>_Toc66810412</vt:lpwstr>
      </vt:variant>
      <vt:variant>
        <vt:i4>1376319</vt:i4>
      </vt:variant>
      <vt:variant>
        <vt:i4>584</vt:i4>
      </vt:variant>
      <vt:variant>
        <vt:i4>0</vt:i4>
      </vt:variant>
      <vt:variant>
        <vt:i4>5</vt:i4>
      </vt:variant>
      <vt:variant>
        <vt:lpwstr/>
      </vt:variant>
      <vt:variant>
        <vt:lpwstr>_Toc66810411</vt:lpwstr>
      </vt:variant>
      <vt:variant>
        <vt:i4>1310783</vt:i4>
      </vt:variant>
      <vt:variant>
        <vt:i4>578</vt:i4>
      </vt:variant>
      <vt:variant>
        <vt:i4>0</vt:i4>
      </vt:variant>
      <vt:variant>
        <vt:i4>5</vt:i4>
      </vt:variant>
      <vt:variant>
        <vt:lpwstr/>
      </vt:variant>
      <vt:variant>
        <vt:lpwstr>_Toc66810410</vt:lpwstr>
      </vt:variant>
      <vt:variant>
        <vt:i4>1900606</vt:i4>
      </vt:variant>
      <vt:variant>
        <vt:i4>572</vt:i4>
      </vt:variant>
      <vt:variant>
        <vt:i4>0</vt:i4>
      </vt:variant>
      <vt:variant>
        <vt:i4>5</vt:i4>
      </vt:variant>
      <vt:variant>
        <vt:lpwstr/>
      </vt:variant>
      <vt:variant>
        <vt:lpwstr>_Toc66810409</vt:lpwstr>
      </vt:variant>
      <vt:variant>
        <vt:i4>1835070</vt:i4>
      </vt:variant>
      <vt:variant>
        <vt:i4>566</vt:i4>
      </vt:variant>
      <vt:variant>
        <vt:i4>0</vt:i4>
      </vt:variant>
      <vt:variant>
        <vt:i4>5</vt:i4>
      </vt:variant>
      <vt:variant>
        <vt:lpwstr/>
      </vt:variant>
      <vt:variant>
        <vt:lpwstr>_Toc66810408</vt:lpwstr>
      </vt:variant>
      <vt:variant>
        <vt:i4>1245246</vt:i4>
      </vt:variant>
      <vt:variant>
        <vt:i4>560</vt:i4>
      </vt:variant>
      <vt:variant>
        <vt:i4>0</vt:i4>
      </vt:variant>
      <vt:variant>
        <vt:i4>5</vt:i4>
      </vt:variant>
      <vt:variant>
        <vt:lpwstr/>
      </vt:variant>
      <vt:variant>
        <vt:lpwstr>_Toc66810407</vt:lpwstr>
      </vt:variant>
      <vt:variant>
        <vt:i4>1179710</vt:i4>
      </vt:variant>
      <vt:variant>
        <vt:i4>554</vt:i4>
      </vt:variant>
      <vt:variant>
        <vt:i4>0</vt:i4>
      </vt:variant>
      <vt:variant>
        <vt:i4>5</vt:i4>
      </vt:variant>
      <vt:variant>
        <vt:lpwstr/>
      </vt:variant>
      <vt:variant>
        <vt:lpwstr>_Toc66810406</vt:lpwstr>
      </vt:variant>
      <vt:variant>
        <vt:i4>1114174</vt:i4>
      </vt:variant>
      <vt:variant>
        <vt:i4>548</vt:i4>
      </vt:variant>
      <vt:variant>
        <vt:i4>0</vt:i4>
      </vt:variant>
      <vt:variant>
        <vt:i4>5</vt:i4>
      </vt:variant>
      <vt:variant>
        <vt:lpwstr/>
      </vt:variant>
      <vt:variant>
        <vt:lpwstr>_Toc66810405</vt:lpwstr>
      </vt:variant>
      <vt:variant>
        <vt:i4>1048638</vt:i4>
      </vt:variant>
      <vt:variant>
        <vt:i4>542</vt:i4>
      </vt:variant>
      <vt:variant>
        <vt:i4>0</vt:i4>
      </vt:variant>
      <vt:variant>
        <vt:i4>5</vt:i4>
      </vt:variant>
      <vt:variant>
        <vt:lpwstr/>
      </vt:variant>
      <vt:variant>
        <vt:lpwstr>_Toc66810404</vt:lpwstr>
      </vt:variant>
      <vt:variant>
        <vt:i4>1507390</vt:i4>
      </vt:variant>
      <vt:variant>
        <vt:i4>536</vt:i4>
      </vt:variant>
      <vt:variant>
        <vt:i4>0</vt:i4>
      </vt:variant>
      <vt:variant>
        <vt:i4>5</vt:i4>
      </vt:variant>
      <vt:variant>
        <vt:lpwstr/>
      </vt:variant>
      <vt:variant>
        <vt:lpwstr>_Toc66810403</vt:lpwstr>
      </vt:variant>
      <vt:variant>
        <vt:i4>1441854</vt:i4>
      </vt:variant>
      <vt:variant>
        <vt:i4>530</vt:i4>
      </vt:variant>
      <vt:variant>
        <vt:i4>0</vt:i4>
      </vt:variant>
      <vt:variant>
        <vt:i4>5</vt:i4>
      </vt:variant>
      <vt:variant>
        <vt:lpwstr/>
      </vt:variant>
      <vt:variant>
        <vt:lpwstr>_Toc66810402</vt:lpwstr>
      </vt:variant>
      <vt:variant>
        <vt:i4>1376318</vt:i4>
      </vt:variant>
      <vt:variant>
        <vt:i4>524</vt:i4>
      </vt:variant>
      <vt:variant>
        <vt:i4>0</vt:i4>
      </vt:variant>
      <vt:variant>
        <vt:i4>5</vt:i4>
      </vt:variant>
      <vt:variant>
        <vt:lpwstr/>
      </vt:variant>
      <vt:variant>
        <vt:lpwstr>_Toc66810401</vt:lpwstr>
      </vt:variant>
      <vt:variant>
        <vt:i4>1310782</vt:i4>
      </vt:variant>
      <vt:variant>
        <vt:i4>518</vt:i4>
      </vt:variant>
      <vt:variant>
        <vt:i4>0</vt:i4>
      </vt:variant>
      <vt:variant>
        <vt:i4>5</vt:i4>
      </vt:variant>
      <vt:variant>
        <vt:lpwstr/>
      </vt:variant>
      <vt:variant>
        <vt:lpwstr>_Toc66810400</vt:lpwstr>
      </vt:variant>
      <vt:variant>
        <vt:i4>1703991</vt:i4>
      </vt:variant>
      <vt:variant>
        <vt:i4>512</vt:i4>
      </vt:variant>
      <vt:variant>
        <vt:i4>0</vt:i4>
      </vt:variant>
      <vt:variant>
        <vt:i4>5</vt:i4>
      </vt:variant>
      <vt:variant>
        <vt:lpwstr/>
      </vt:variant>
      <vt:variant>
        <vt:lpwstr>_Toc66810399</vt:lpwstr>
      </vt:variant>
      <vt:variant>
        <vt:i4>1769527</vt:i4>
      </vt:variant>
      <vt:variant>
        <vt:i4>506</vt:i4>
      </vt:variant>
      <vt:variant>
        <vt:i4>0</vt:i4>
      </vt:variant>
      <vt:variant>
        <vt:i4>5</vt:i4>
      </vt:variant>
      <vt:variant>
        <vt:lpwstr/>
      </vt:variant>
      <vt:variant>
        <vt:lpwstr>_Toc66810398</vt:lpwstr>
      </vt:variant>
      <vt:variant>
        <vt:i4>1310775</vt:i4>
      </vt:variant>
      <vt:variant>
        <vt:i4>500</vt:i4>
      </vt:variant>
      <vt:variant>
        <vt:i4>0</vt:i4>
      </vt:variant>
      <vt:variant>
        <vt:i4>5</vt:i4>
      </vt:variant>
      <vt:variant>
        <vt:lpwstr/>
      </vt:variant>
      <vt:variant>
        <vt:lpwstr>_Toc66810397</vt:lpwstr>
      </vt:variant>
      <vt:variant>
        <vt:i4>1376311</vt:i4>
      </vt:variant>
      <vt:variant>
        <vt:i4>494</vt:i4>
      </vt:variant>
      <vt:variant>
        <vt:i4>0</vt:i4>
      </vt:variant>
      <vt:variant>
        <vt:i4>5</vt:i4>
      </vt:variant>
      <vt:variant>
        <vt:lpwstr/>
      </vt:variant>
      <vt:variant>
        <vt:lpwstr>_Toc66810396</vt:lpwstr>
      </vt:variant>
      <vt:variant>
        <vt:i4>1441847</vt:i4>
      </vt:variant>
      <vt:variant>
        <vt:i4>488</vt:i4>
      </vt:variant>
      <vt:variant>
        <vt:i4>0</vt:i4>
      </vt:variant>
      <vt:variant>
        <vt:i4>5</vt:i4>
      </vt:variant>
      <vt:variant>
        <vt:lpwstr/>
      </vt:variant>
      <vt:variant>
        <vt:lpwstr>_Toc66810395</vt:lpwstr>
      </vt:variant>
      <vt:variant>
        <vt:i4>1507383</vt:i4>
      </vt:variant>
      <vt:variant>
        <vt:i4>482</vt:i4>
      </vt:variant>
      <vt:variant>
        <vt:i4>0</vt:i4>
      </vt:variant>
      <vt:variant>
        <vt:i4>5</vt:i4>
      </vt:variant>
      <vt:variant>
        <vt:lpwstr/>
      </vt:variant>
      <vt:variant>
        <vt:lpwstr>_Toc66810394</vt:lpwstr>
      </vt:variant>
      <vt:variant>
        <vt:i4>1048631</vt:i4>
      </vt:variant>
      <vt:variant>
        <vt:i4>476</vt:i4>
      </vt:variant>
      <vt:variant>
        <vt:i4>0</vt:i4>
      </vt:variant>
      <vt:variant>
        <vt:i4>5</vt:i4>
      </vt:variant>
      <vt:variant>
        <vt:lpwstr/>
      </vt:variant>
      <vt:variant>
        <vt:lpwstr>_Toc66810393</vt:lpwstr>
      </vt:variant>
      <vt:variant>
        <vt:i4>1114167</vt:i4>
      </vt:variant>
      <vt:variant>
        <vt:i4>470</vt:i4>
      </vt:variant>
      <vt:variant>
        <vt:i4>0</vt:i4>
      </vt:variant>
      <vt:variant>
        <vt:i4>5</vt:i4>
      </vt:variant>
      <vt:variant>
        <vt:lpwstr/>
      </vt:variant>
      <vt:variant>
        <vt:lpwstr>_Toc66810392</vt:lpwstr>
      </vt:variant>
      <vt:variant>
        <vt:i4>1179703</vt:i4>
      </vt:variant>
      <vt:variant>
        <vt:i4>464</vt:i4>
      </vt:variant>
      <vt:variant>
        <vt:i4>0</vt:i4>
      </vt:variant>
      <vt:variant>
        <vt:i4>5</vt:i4>
      </vt:variant>
      <vt:variant>
        <vt:lpwstr/>
      </vt:variant>
      <vt:variant>
        <vt:lpwstr>_Toc66810391</vt:lpwstr>
      </vt:variant>
      <vt:variant>
        <vt:i4>1245239</vt:i4>
      </vt:variant>
      <vt:variant>
        <vt:i4>458</vt:i4>
      </vt:variant>
      <vt:variant>
        <vt:i4>0</vt:i4>
      </vt:variant>
      <vt:variant>
        <vt:i4>5</vt:i4>
      </vt:variant>
      <vt:variant>
        <vt:lpwstr/>
      </vt:variant>
      <vt:variant>
        <vt:lpwstr>_Toc66810390</vt:lpwstr>
      </vt:variant>
      <vt:variant>
        <vt:i4>1703990</vt:i4>
      </vt:variant>
      <vt:variant>
        <vt:i4>452</vt:i4>
      </vt:variant>
      <vt:variant>
        <vt:i4>0</vt:i4>
      </vt:variant>
      <vt:variant>
        <vt:i4>5</vt:i4>
      </vt:variant>
      <vt:variant>
        <vt:lpwstr/>
      </vt:variant>
      <vt:variant>
        <vt:lpwstr>_Toc66810389</vt:lpwstr>
      </vt:variant>
      <vt:variant>
        <vt:i4>1769526</vt:i4>
      </vt:variant>
      <vt:variant>
        <vt:i4>446</vt:i4>
      </vt:variant>
      <vt:variant>
        <vt:i4>0</vt:i4>
      </vt:variant>
      <vt:variant>
        <vt:i4>5</vt:i4>
      </vt:variant>
      <vt:variant>
        <vt:lpwstr/>
      </vt:variant>
      <vt:variant>
        <vt:lpwstr>_Toc66810388</vt:lpwstr>
      </vt:variant>
      <vt:variant>
        <vt:i4>1310774</vt:i4>
      </vt:variant>
      <vt:variant>
        <vt:i4>440</vt:i4>
      </vt:variant>
      <vt:variant>
        <vt:i4>0</vt:i4>
      </vt:variant>
      <vt:variant>
        <vt:i4>5</vt:i4>
      </vt:variant>
      <vt:variant>
        <vt:lpwstr/>
      </vt:variant>
      <vt:variant>
        <vt:lpwstr>_Toc66810387</vt:lpwstr>
      </vt:variant>
      <vt:variant>
        <vt:i4>1376310</vt:i4>
      </vt:variant>
      <vt:variant>
        <vt:i4>434</vt:i4>
      </vt:variant>
      <vt:variant>
        <vt:i4>0</vt:i4>
      </vt:variant>
      <vt:variant>
        <vt:i4>5</vt:i4>
      </vt:variant>
      <vt:variant>
        <vt:lpwstr/>
      </vt:variant>
      <vt:variant>
        <vt:lpwstr>_Toc66810386</vt:lpwstr>
      </vt:variant>
      <vt:variant>
        <vt:i4>1441846</vt:i4>
      </vt:variant>
      <vt:variant>
        <vt:i4>428</vt:i4>
      </vt:variant>
      <vt:variant>
        <vt:i4>0</vt:i4>
      </vt:variant>
      <vt:variant>
        <vt:i4>5</vt:i4>
      </vt:variant>
      <vt:variant>
        <vt:lpwstr/>
      </vt:variant>
      <vt:variant>
        <vt:lpwstr>_Toc66810385</vt:lpwstr>
      </vt:variant>
      <vt:variant>
        <vt:i4>1507382</vt:i4>
      </vt:variant>
      <vt:variant>
        <vt:i4>422</vt:i4>
      </vt:variant>
      <vt:variant>
        <vt:i4>0</vt:i4>
      </vt:variant>
      <vt:variant>
        <vt:i4>5</vt:i4>
      </vt:variant>
      <vt:variant>
        <vt:lpwstr/>
      </vt:variant>
      <vt:variant>
        <vt:lpwstr>_Toc66810384</vt:lpwstr>
      </vt:variant>
      <vt:variant>
        <vt:i4>1048630</vt:i4>
      </vt:variant>
      <vt:variant>
        <vt:i4>416</vt:i4>
      </vt:variant>
      <vt:variant>
        <vt:i4>0</vt:i4>
      </vt:variant>
      <vt:variant>
        <vt:i4>5</vt:i4>
      </vt:variant>
      <vt:variant>
        <vt:lpwstr/>
      </vt:variant>
      <vt:variant>
        <vt:lpwstr>_Toc66810383</vt:lpwstr>
      </vt:variant>
      <vt:variant>
        <vt:i4>1114166</vt:i4>
      </vt:variant>
      <vt:variant>
        <vt:i4>410</vt:i4>
      </vt:variant>
      <vt:variant>
        <vt:i4>0</vt:i4>
      </vt:variant>
      <vt:variant>
        <vt:i4>5</vt:i4>
      </vt:variant>
      <vt:variant>
        <vt:lpwstr/>
      </vt:variant>
      <vt:variant>
        <vt:lpwstr>_Toc66810382</vt:lpwstr>
      </vt:variant>
      <vt:variant>
        <vt:i4>1179702</vt:i4>
      </vt:variant>
      <vt:variant>
        <vt:i4>404</vt:i4>
      </vt:variant>
      <vt:variant>
        <vt:i4>0</vt:i4>
      </vt:variant>
      <vt:variant>
        <vt:i4>5</vt:i4>
      </vt:variant>
      <vt:variant>
        <vt:lpwstr/>
      </vt:variant>
      <vt:variant>
        <vt:lpwstr>_Toc66810381</vt:lpwstr>
      </vt:variant>
      <vt:variant>
        <vt:i4>1245238</vt:i4>
      </vt:variant>
      <vt:variant>
        <vt:i4>398</vt:i4>
      </vt:variant>
      <vt:variant>
        <vt:i4>0</vt:i4>
      </vt:variant>
      <vt:variant>
        <vt:i4>5</vt:i4>
      </vt:variant>
      <vt:variant>
        <vt:lpwstr/>
      </vt:variant>
      <vt:variant>
        <vt:lpwstr>_Toc66810380</vt:lpwstr>
      </vt:variant>
      <vt:variant>
        <vt:i4>1703993</vt:i4>
      </vt:variant>
      <vt:variant>
        <vt:i4>392</vt:i4>
      </vt:variant>
      <vt:variant>
        <vt:i4>0</vt:i4>
      </vt:variant>
      <vt:variant>
        <vt:i4>5</vt:i4>
      </vt:variant>
      <vt:variant>
        <vt:lpwstr/>
      </vt:variant>
      <vt:variant>
        <vt:lpwstr>_Toc66810379</vt:lpwstr>
      </vt:variant>
      <vt:variant>
        <vt:i4>1769529</vt:i4>
      </vt:variant>
      <vt:variant>
        <vt:i4>386</vt:i4>
      </vt:variant>
      <vt:variant>
        <vt:i4>0</vt:i4>
      </vt:variant>
      <vt:variant>
        <vt:i4>5</vt:i4>
      </vt:variant>
      <vt:variant>
        <vt:lpwstr/>
      </vt:variant>
      <vt:variant>
        <vt:lpwstr>_Toc66810378</vt:lpwstr>
      </vt:variant>
      <vt:variant>
        <vt:i4>1310777</vt:i4>
      </vt:variant>
      <vt:variant>
        <vt:i4>380</vt:i4>
      </vt:variant>
      <vt:variant>
        <vt:i4>0</vt:i4>
      </vt:variant>
      <vt:variant>
        <vt:i4>5</vt:i4>
      </vt:variant>
      <vt:variant>
        <vt:lpwstr/>
      </vt:variant>
      <vt:variant>
        <vt:lpwstr>_Toc66810377</vt:lpwstr>
      </vt:variant>
      <vt:variant>
        <vt:i4>1376313</vt:i4>
      </vt:variant>
      <vt:variant>
        <vt:i4>374</vt:i4>
      </vt:variant>
      <vt:variant>
        <vt:i4>0</vt:i4>
      </vt:variant>
      <vt:variant>
        <vt:i4>5</vt:i4>
      </vt:variant>
      <vt:variant>
        <vt:lpwstr/>
      </vt:variant>
      <vt:variant>
        <vt:lpwstr>_Toc66810376</vt:lpwstr>
      </vt:variant>
      <vt:variant>
        <vt:i4>1441849</vt:i4>
      </vt:variant>
      <vt:variant>
        <vt:i4>368</vt:i4>
      </vt:variant>
      <vt:variant>
        <vt:i4>0</vt:i4>
      </vt:variant>
      <vt:variant>
        <vt:i4>5</vt:i4>
      </vt:variant>
      <vt:variant>
        <vt:lpwstr/>
      </vt:variant>
      <vt:variant>
        <vt:lpwstr>_Toc66810375</vt:lpwstr>
      </vt:variant>
      <vt:variant>
        <vt:i4>1507385</vt:i4>
      </vt:variant>
      <vt:variant>
        <vt:i4>362</vt:i4>
      </vt:variant>
      <vt:variant>
        <vt:i4>0</vt:i4>
      </vt:variant>
      <vt:variant>
        <vt:i4>5</vt:i4>
      </vt:variant>
      <vt:variant>
        <vt:lpwstr/>
      </vt:variant>
      <vt:variant>
        <vt:lpwstr>_Toc66810374</vt:lpwstr>
      </vt:variant>
      <vt:variant>
        <vt:i4>1048633</vt:i4>
      </vt:variant>
      <vt:variant>
        <vt:i4>356</vt:i4>
      </vt:variant>
      <vt:variant>
        <vt:i4>0</vt:i4>
      </vt:variant>
      <vt:variant>
        <vt:i4>5</vt:i4>
      </vt:variant>
      <vt:variant>
        <vt:lpwstr/>
      </vt:variant>
      <vt:variant>
        <vt:lpwstr>_Toc66810373</vt:lpwstr>
      </vt:variant>
      <vt:variant>
        <vt:i4>1114169</vt:i4>
      </vt:variant>
      <vt:variant>
        <vt:i4>350</vt:i4>
      </vt:variant>
      <vt:variant>
        <vt:i4>0</vt:i4>
      </vt:variant>
      <vt:variant>
        <vt:i4>5</vt:i4>
      </vt:variant>
      <vt:variant>
        <vt:lpwstr/>
      </vt:variant>
      <vt:variant>
        <vt:lpwstr>_Toc66810372</vt:lpwstr>
      </vt:variant>
      <vt:variant>
        <vt:i4>1179705</vt:i4>
      </vt:variant>
      <vt:variant>
        <vt:i4>344</vt:i4>
      </vt:variant>
      <vt:variant>
        <vt:i4>0</vt:i4>
      </vt:variant>
      <vt:variant>
        <vt:i4>5</vt:i4>
      </vt:variant>
      <vt:variant>
        <vt:lpwstr/>
      </vt:variant>
      <vt:variant>
        <vt:lpwstr>_Toc66810371</vt:lpwstr>
      </vt:variant>
      <vt:variant>
        <vt:i4>1245241</vt:i4>
      </vt:variant>
      <vt:variant>
        <vt:i4>338</vt:i4>
      </vt:variant>
      <vt:variant>
        <vt:i4>0</vt:i4>
      </vt:variant>
      <vt:variant>
        <vt:i4>5</vt:i4>
      </vt:variant>
      <vt:variant>
        <vt:lpwstr/>
      </vt:variant>
      <vt:variant>
        <vt:lpwstr>_Toc66810370</vt:lpwstr>
      </vt:variant>
      <vt:variant>
        <vt:i4>1703992</vt:i4>
      </vt:variant>
      <vt:variant>
        <vt:i4>332</vt:i4>
      </vt:variant>
      <vt:variant>
        <vt:i4>0</vt:i4>
      </vt:variant>
      <vt:variant>
        <vt:i4>5</vt:i4>
      </vt:variant>
      <vt:variant>
        <vt:lpwstr/>
      </vt:variant>
      <vt:variant>
        <vt:lpwstr>_Toc66810369</vt:lpwstr>
      </vt:variant>
      <vt:variant>
        <vt:i4>1769528</vt:i4>
      </vt:variant>
      <vt:variant>
        <vt:i4>326</vt:i4>
      </vt:variant>
      <vt:variant>
        <vt:i4>0</vt:i4>
      </vt:variant>
      <vt:variant>
        <vt:i4>5</vt:i4>
      </vt:variant>
      <vt:variant>
        <vt:lpwstr/>
      </vt:variant>
      <vt:variant>
        <vt:lpwstr>_Toc66810368</vt:lpwstr>
      </vt:variant>
      <vt:variant>
        <vt:i4>1310776</vt:i4>
      </vt:variant>
      <vt:variant>
        <vt:i4>320</vt:i4>
      </vt:variant>
      <vt:variant>
        <vt:i4>0</vt:i4>
      </vt:variant>
      <vt:variant>
        <vt:i4>5</vt:i4>
      </vt:variant>
      <vt:variant>
        <vt:lpwstr/>
      </vt:variant>
      <vt:variant>
        <vt:lpwstr>_Toc66810367</vt:lpwstr>
      </vt:variant>
      <vt:variant>
        <vt:i4>1376312</vt:i4>
      </vt:variant>
      <vt:variant>
        <vt:i4>314</vt:i4>
      </vt:variant>
      <vt:variant>
        <vt:i4>0</vt:i4>
      </vt:variant>
      <vt:variant>
        <vt:i4>5</vt:i4>
      </vt:variant>
      <vt:variant>
        <vt:lpwstr/>
      </vt:variant>
      <vt:variant>
        <vt:lpwstr>_Toc66810366</vt:lpwstr>
      </vt:variant>
      <vt:variant>
        <vt:i4>1441848</vt:i4>
      </vt:variant>
      <vt:variant>
        <vt:i4>308</vt:i4>
      </vt:variant>
      <vt:variant>
        <vt:i4>0</vt:i4>
      </vt:variant>
      <vt:variant>
        <vt:i4>5</vt:i4>
      </vt:variant>
      <vt:variant>
        <vt:lpwstr/>
      </vt:variant>
      <vt:variant>
        <vt:lpwstr>_Toc66810365</vt:lpwstr>
      </vt:variant>
      <vt:variant>
        <vt:i4>1507384</vt:i4>
      </vt:variant>
      <vt:variant>
        <vt:i4>302</vt:i4>
      </vt:variant>
      <vt:variant>
        <vt:i4>0</vt:i4>
      </vt:variant>
      <vt:variant>
        <vt:i4>5</vt:i4>
      </vt:variant>
      <vt:variant>
        <vt:lpwstr/>
      </vt:variant>
      <vt:variant>
        <vt:lpwstr>_Toc66810364</vt:lpwstr>
      </vt:variant>
      <vt:variant>
        <vt:i4>1048632</vt:i4>
      </vt:variant>
      <vt:variant>
        <vt:i4>296</vt:i4>
      </vt:variant>
      <vt:variant>
        <vt:i4>0</vt:i4>
      </vt:variant>
      <vt:variant>
        <vt:i4>5</vt:i4>
      </vt:variant>
      <vt:variant>
        <vt:lpwstr/>
      </vt:variant>
      <vt:variant>
        <vt:lpwstr>_Toc66810363</vt:lpwstr>
      </vt:variant>
      <vt:variant>
        <vt:i4>1114168</vt:i4>
      </vt:variant>
      <vt:variant>
        <vt:i4>290</vt:i4>
      </vt:variant>
      <vt:variant>
        <vt:i4>0</vt:i4>
      </vt:variant>
      <vt:variant>
        <vt:i4>5</vt:i4>
      </vt:variant>
      <vt:variant>
        <vt:lpwstr/>
      </vt:variant>
      <vt:variant>
        <vt:lpwstr>_Toc66810362</vt:lpwstr>
      </vt:variant>
      <vt:variant>
        <vt:i4>1179704</vt:i4>
      </vt:variant>
      <vt:variant>
        <vt:i4>284</vt:i4>
      </vt:variant>
      <vt:variant>
        <vt:i4>0</vt:i4>
      </vt:variant>
      <vt:variant>
        <vt:i4>5</vt:i4>
      </vt:variant>
      <vt:variant>
        <vt:lpwstr/>
      </vt:variant>
      <vt:variant>
        <vt:lpwstr>_Toc66810361</vt:lpwstr>
      </vt:variant>
      <vt:variant>
        <vt:i4>1245240</vt:i4>
      </vt:variant>
      <vt:variant>
        <vt:i4>278</vt:i4>
      </vt:variant>
      <vt:variant>
        <vt:i4>0</vt:i4>
      </vt:variant>
      <vt:variant>
        <vt:i4>5</vt:i4>
      </vt:variant>
      <vt:variant>
        <vt:lpwstr/>
      </vt:variant>
      <vt:variant>
        <vt:lpwstr>_Toc66810360</vt:lpwstr>
      </vt:variant>
      <vt:variant>
        <vt:i4>1703995</vt:i4>
      </vt:variant>
      <vt:variant>
        <vt:i4>272</vt:i4>
      </vt:variant>
      <vt:variant>
        <vt:i4>0</vt:i4>
      </vt:variant>
      <vt:variant>
        <vt:i4>5</vt:i4>
      </vt:variant>
      <vt:variant>
        <vt:lpwstr/>
      </vt:variant>
      <vt:variant>
        <vt:lpwstr>_Toc66810359</vt:lpwstr>
      </vt:variant>
      <vt:variant>
        <vt:i4>1769531</vt:i4>
      </vt:variant>
      <vt:variant>
        <vt:i4>266</vt:i4>
      </vt:variant>
      <vt:variant>
        <vt:i4>0</vt:i4>
      </vt:variant>
      <vt:variant>
        <vt:i4>5</vt:i4>
      </vt:variant>
      <vt:variant>
        <vt:lpwstr/>
      </vt:variant>
      <vt:variant>
        <vt:lpwstr>_Toc66810358</vt:lpwstr>
      </vt:variant>
      <vt:variant>
        <vt:i4>1310779</vt:i4>
      </vt:variant>
      <vt:variant>
        <vt:i4>260</vt:i4>
      </vt:variant>
      <vt:variant>
        <vt:i4>0</vt:i4>
      </vt:variant>
      <vt:variant>
        <vt:i4>5</vt:i4>
      </vt:variant>
      <vt:variant>
        <vt:lpwstr/>
      </vt:variant>
      <vt:variant>
        <vt:lpwstr>_Toc66810357</vt:lpwstr>
      </vt:variant>
      <vt:variant>
        <vt:i4>1376315</vt:i4>
      </vt:variant>
      <vt:variant>
        <vt:i4>254</vt:i4>
      </vt:variant>
      <vt:variant>
        <vt:i4>0</vt:i4>
      </vt:variant>
      <vt:variant>
        <vt:i4>5</vt:i4>
      </vt:variant>
      <vt:variant>
        <vt:lpwstr/>
      </vt:variant>
      <vt:variant>
        <vt:lpwstr>_Toc66810356</vt:lpwstr>
      </vt:variant>
      <vt:variant>
        <vt:i4>1441851</vt:i4>
      </vt:variant>
      <vt:variant>
        <vt:i4>248</vt:i4>
      </vt:variant>
      <vt:variant>
        <vt:i4>0</vt:i4>
      </vt:variant>
      <vt:variant>
        <vt:i4>5</vt:i4>
      </vt:variant>
      <vt:variant>
        <vt:lpwstr/>
      </vt:variant>
      <vt:variant>
        <vt:lpwstr>_Toc66810355</vt:lpwstr>
      </vt:variant>
      <vt:variant>
        <vt:i4>1507387</vt:i4>
      </vt:variant>
      <vt:variant>
        <vt:i4>242</vt:i4>
      </vt:variant>
      <vt:variant>
        <vt:i4>0</vt:i4>
      </vt:variant>
      <vt:variant>
        <vt:i4>5</vt:i4>
      </vt:variant>
      <vt:variant>
        <vt:lpwstr/>
      </vt:variant>
      <vt:variant>
        <vt:lpwstr>_Toc66810354</vt:lpwstr>
      </vt:variant>
      <vt:variant>
        <vt:i4>1048635</vt:i4>
      </vt:variant>
      <vt:variant>
        <vt:i4>236</vt:i4>
      </vt:variant>
      <vt:variant>
        <vt:i4>0</vt:i4>
      </vt:variant>
      <vt:variant>
        <vt:i4>5</vt:i4>
      </vt:variant>
      <vt:variant>
        <vt:lpwstr/>
      </vt:variant>
      <vt:variant>
        <vt:lpwstr>_Toc66810353</vt:lpwstr>
      </vt:variant>
      <vt:variant>
        <vt:i4>1114171</vt:i4>
      </vt:variant>
      <vt:variant>
        <vt:i4>230</vt:i4>
      </vt:variant>
      <vt:variant>
        <vt:i4>0</vt:i4>
      </vt:variant>
      <vt:variant>
        <vt:i4>5</vt:i4>
      </vt:variant>
      <vt:variant>
        <vt:lpwstr/>
      </vt:variant>
      <vt:variant>
        <vt:lpwstr>_Toc66810352</vt:lpwstr>
      </vt:variant>
      <vt:variant>
        <vt:i4>1179707</vt:i4>
      </vt:variant>
      <vt:variant>
        <vt:i4>224</vt:i4>
      </vt:variant>
      <vt:variant>
        <vt:i4>0</vt:i4>
      </vt:variant>
      <vt:variant>
        <vt:i4>5</vt:i4>
      </vt:variant>
      <vt:variant>
        <vt:lpwstr/>
      </vt:variant>
      <vt:variant>
        <vt:lpwstr>_Toc66810351</vt:lpwstr>
      </vt:variant>
      <vt:variant>
        <vt:i4>1245243</vt:i4>
      </vt:variant>
      <vt:variant>
        <vt:i4>218</vt:i4>
      </vt:variant>
      <vt:variant>
        <vt:i4>0</vt:i4>
      </vt:variant>
      <vt:variant>
        <vt:i4>5</vt:i4>
      </vt:variant>
      <vt:variant>
        <vt:lpwstr/>
      </vt:variant>
      <vt:variant>
        <vt:lpwstr>_Toc66810350</vt:lpwstr>
      </vt:variant>
      <vt:variant>
        <vt:i4>1703994</vt:i4>
      </vt:variant>
      <vt:variant>
        <vt:i4>212</vt:i4>
      </vt:variant>
      <vt:variant>
        <vt:i4>0</vt:i4>
      </vt:variant>
      <vt:variant>
        <vt:i4>5</vt:i4>
      </vt:variant>
      <vt:variant>
        <vt:lpwstr/>
      </vt:variant>
      <vt:variant>
        <vt:lpwstr>_Toc66810349</vt:lpwstr>
      </vt:variant>
      <vt:variant>
        <vt:i4>1769530</vt:i4>
      </vt:variant>
      <vt:variant>
        <vt:i4>206</vt:i4>
      </vt:variant>
      <vt:variant>
        <vt:i4>0</vt:i4>
      </vt:variant>
      <vt:variant>
        <vt:i4>5</vt:i4>
      </vt:variant>
      <vt:variant>
        <vt:lpwstr/>
      </vt:variant>
      <vt:variant>
        <vt:lpwstr>_Toc66810348</vt:lpwstr>
      </vt:variant>
      <vt:variant>
        <vt:i4>1310778</vt:i4>
      </vt:variant>
      <vt:variant>
        <vt:i4>200</vt:i4>
      </vt:variant>
      <vt:variant>
        <vt:i4>0</vt:i4>
      </vt:variant>
      <vt:variant>
        <vt:i4>5</vt:i4>
      </vt:variant>
      <vt:variant>
        <vt:lpwstr/>
      </vt:variant>
      <vt:variant>
        <vt:lpwstr>_Toc66810347</vt:lpwstr>
      </vt:variant>
      <vt:variant>
        <vt:i4>1376314</vt:i4>
      </vt:variant>
      <vt:variant>
        <vt:i4>194</vt:i4>
      </vt:variant>
      <vt:variant>
        <vt:i4>0</vt:i4>
      </vt:variant>
      <vt:variant>
        <vt:i4>5</vt:i4>
      </vt:variant>
      <vt:variant>
        <vt:lpwstr/>
      </vt:variant>
      <vt:variant>
        <vt:lpwstr>_Toc66810346</vt:lpwstr>
      </vt:variant>
      <vt:variant>
        <vt:i4>1441850</vt:i4>
      </vt:variant>
      <vt:variant>
        <vt:i4>188</vt:i4>
      </vt:variant>
      <vt:variant>
        <vt:i4>0</vt:i4>
      </vt:variant>
      <vt:variant>
        <vt:i4>5</vt:i4>
      </vt:variant>
      <vt:variant>
        <vt:lpwstr/>
      </vt:variant>
      <vt:variant>
        <vt:lpwstr>_Toc66810345</vt:lpwstr>
      </vt:variant>
      <vt:variant>
        <vt:i4>1507386</vt:i4>
      </vt:variant>
      <vt:variant>
        <vt:i4>182</vt:i4>
      </vt:variant>
      <vt:variant>
        <vt:i4>0</vt:i4>
      </vt:variant>
      <vt:variant>
        <vt:i4>5</vt:i4>
      </vt:variant>
      <vt:variant>
        <vt:lpwstr/>
      </vt:variant>
      <vt:variant>
        <vt:lpwstr>_Toc66810344</vt:lpwstr>
      </vt:variant>
      <vt:variant>
        <vt:i4>1048634</vt:i4>
      </vt:variant>
      <vt:variant>
        <vt:i4>176</vt:i4>
      </vt:variant>
      <vt:variant>
        <vt:i4>0</vt:i4>
      </vt:variant>
      <vt:variant>
        <vt:i4>5</vt:i4>
      </vt:variant>
      <vt:variant>
        <vt:lpwstr/>
      </vt:variant>
      <vt:variant>
        <vt:lpwstr>_Toc66810343</vt:lpwstr>
      </vt:variant>
      <vt:variant>
        <vt:i4>1114170</vt:i4>
      </vt:variant>
      <vt:variant>
        <vt:i4>170</vt:i4>
      </vt:variant>
      <vt:variant>
        <vt:i4>0</vt:i4>
      </vt:variant>
      <vt:variant>
        <vt:i4>5</vt:i4>
      </vt:variant>
      <vt:variant>
        <vt:lpwstr/>
      </vt:variant>
      <vt:variant>
        <vt:lpwstr>_Toc66810342</vt:lpwstr>
      </vt:variant>
      <vt:variant>
        <vt:i4>1179706</vt:i4>
      </vt:variant>
      <vt:variant>
        <vt:i4>164</vt:i4>
      </vt:variant>
      <vt:variant>
        <vt:i4>0</vt:i4>
      </vt:variant>
      <vt:variant>
        <vt:i4>5</vt:i4>
      </vt:variant>
      <vt:variant>
        <vt:lpwstr/>
      </vt:variant>
      <vt:variant>
        <vt:lpwstr>_Toc66810341</vt:lpwstr>
      </vt:variant>
      <vt:variant>
        <vt:i4>1245242</vt:i4>
      </vt:variant>
      <vt:variant>
        <vt:i4>158</vt:i4>
      </vt:variant>
      <vt:variant>
        <vt:i4>0</vt:i4>
      </vt:variant>
      <vt:variant>
        <vt:i4>5</vt:i4>
      </vt:variant>
      <vt:variant>
        <vt:lpwstr/>
      </vt:variant>
      <vt:variant>
        <vt:lpwstr>_Toc66810340</vt:lpwstr>
      </vt:variant>
      <vt:variant>
        <vt:i4>1703997</vt:i4>
      </vt:variant>
      <vt:variant>
        <vt:i4>152</vt:i4>
      </vt:variant>
      <vt:variant>
        <vt:i4>0</vt:i4>
      </vt:variant>
      <vt:variant>
        <vt:i4>5</vt:i4>
      </vt:variant>
      <vt:variant>
        <vt:lpwstr/>
      </vt:variant>
      <vt:variant>
        <vt:lpwstr>_Toc66810339</vt:lpwstr>
      </vt:variant>
      <vt:variant>
        <vt:i4>1769533</vt:i4>
      </vt:variant>
      <vt:variant>
        <vt:i4>146</vt:i4>
      </vt:variant>
      <vt:variant>
        <vt:i4>0</vt:i4>
      </vt:variant>
      <vt:variant>
        <vt:i4>5</vt:i4>
      </vt:variant>
      <vt:variant>
        <vt:lpwstr/>
      </vt:variant>
      <vt:variant>
        <vt:lpwstr>_Toc66810338</vt:lpwstr>
      </vt:variant>
      <vt:variant>
        <vt:i4>1310781</vt:i4>
      </vt:variant>
      <vt:variant>
        <vt:i4>140</vt:i4>
      </vt:variant>
      <vt:variant>
        <vt:i4>0</vt:i4>
      </vt:variant>
      <vt:variant>
        <vt:i4>5</vt:i4>
      </vt:variant>
      <vt:variant>
        <vt:lpwstr/>
      </vt:variant>
      <vt:variant>
        <vt:lpwstr>_Toc66810337</vt:lpwstr>
      </vt:variant>
      <vt:variant>
        <vt:i4>1376317</vt:i4>
      </vt:variant>
      <vt:variant>
        <vt:i4>134</vt:i4>
      </vt:variant>
      <vt:variant>
        <vt:i4>0</vt:i4>
      </vt:variant>
      <vt:variant>
        <vt:i4>5</vt:i4>
      </vt:variant>
      <vt:variant>
        <vt:lpwstr/>
      </vt:variant>
      <vt:variant>
        <vt:lpwstr>_Toc66810336</vt:lpwstr>
      </vt:variant>
      <vt:variant>
        <vt:i4>1441853</vt:i4>
      </vt:variant>
      <vt:variant>
        <vt:i4>128</vt:i4>
      </vt:variant>
      <vt:variant>
        <vt:i4>0</vt:i4>
      </vt:variant>
      <vt:variant>
        <vt:i4>5</vt:i4>
      </vt:variant>
      <vt:variant>
        <vt:lpwstr/>
      </vt:variant>
      <vt:variant>
        <vt:lpwstr>_Toc66810335</vt:lpwstr>
      </vt:variant>
      <vt:variant>
        <vt:i4>1507389</vt:i4>
      </vt:variant>
      <vt:variant>
        <vt:i4>122</vt:i4>
      </vt:variant>
      <vt:variant>
        <vt:i4>0</vt:i4>
      </vt:variant>
      <vt:variant>
        <vt:i4>5</vt:i4>
      </vt:variant>
      <vt:variant>
        <vt:lpwstr/>
      </vt:variant>
      <vt:variant>
        <vt:lpwstr>_Toc66810334</vt:lpwstr>
      </vt:variant>
      <vt:variant>
        <vt:i4>1048637</vt:i4>
      </vt:variant>
      <vt:variant>
        <vt:i4>116</vt:i4>
      </vt:variant>
      <vt:variant>
        <vt:i4>0</vt:i4>
      </vt:variant>
      <vt:variant>
        <vt:i4>5</vt:i4>
      </vt:variant>
      <vt:variant>
        <vt:lpwstr/>
      </vt:variant>
      <vt:variant>
        <vt:lpwstr>_Toc66810333</vt:lpwstr>
      </vt:variant>
      <vt:variant>
        <vt:i4>1114173</vt:i4>
      </vt:variant>
      <vt:variant>
        <vt:i4>110</vt:i4>
      </vt:variant>
      <vt:variant>
        <vt:i4>0</vt:i4>
      </vt:variant>
      <vt:variant>
        <vt:i4>5</vt:i4>
      </vt:variant>
      <vt:variant>
        <vt:lpwstr/>
      </vt:variant>
      <vt:variant>
        <vt:lpwstr>_Toc66810332</vt:lpwstr>
      </vt:variant>
      <vt:variant>
        <vt:i4>1179709</vt:i4>
      </vt:variant>
      <vt:variant>
        <vt:i4>104</vt:i4>
      </vt:variant>
      <vt:variant>
        <vt:i4>0</vt:i4>
      </vt:variant>
      <vt:variant>
        <vt:i4>5</vt:i4>
      </vt:variant>
      <vt:variant>
        <vt:lpwstr/>
      </vt:variant>
      <vt:variant>
        <vt:lpwstr>_Toc66810331</vt:lpwstr>
      </vt:variant>
      <vt:variant>
        <vt:i4>1245245</vt:i4>
      </vt:variant>
      <vt:variant>
        <vt:i4>98</vt:i4>
      </vt:variant>
      <vt:variant>
        <vt:i4>0</vt:i4>
      </vt:variant>
      <vt:variant>
        <vt:i4>5</vt:i4>
      </vt:variant>
      <vt:variant>
        <vt:lpwstr/>
      </vt:variant>
      <vt:variant>
        <vt:lpwstr>_Toc66810330</vt:lpwstr>
      </vt:variant>
      <vt:variant>
        <vt:i4>1703996</vt:i4>
      </vt:variant>
      <vt:variant>
        <vt:i4>92</vt:i4>
      </vt:variant>
      <vt:variant>
        <vt:i4>0</vt:i4>
      </vt:variant>
      <vt:variant>
        <vt:i4>5</vt:i4>
      </vt:variant>
      <vt:variant>
        <vt:lpwstr/>
      </vt:variant>
      <vt:variant>
        <vt:lpwstr>_Toc66810329</vt:lpwstr>
      </vt:variant>
      <vt:variant>
        <vt:i4>1769532</vt:i4>
      </vt:variant>
      <vt:variant>
        <vt:i4>86</vt:i4>
      </vt:variant>
      <vt:variant>
        <vt:i4>0</vt:i4>
      </vt:variant>
      <vt:variant>
        <vt:i4>5</vt:i4>
      </vt:variant>
      <vt:variant>
        <vt:lpwstr/>
      </vt:variant>
      <vt:variant>
        <vt:lpwstr>_Toc66810328</vt:lpwstr>
      </vt:variant>
      <vt:variant>
        <vt:i4>1310780</vt:i4>
      </vt:variant>
      <vt:variant>
        <vt:i4>80</vt:i4>
      </vt:variant>
      <vt:variant>
        <vt:i4>0</vt:i4>
      </vt:variant>
      <vt:variant>
        <vt:i4>5</vt:i4>
      </vt:variant>
      <vt:variant>
        <vt:lpwstr/>
      </vt:variant>
      <vt:variant>
        <vt:lpwstr>_Toc66810327</vt:lpwstr>
      </vt:variant>
      <vt:variant>
        <vt:i4>1376316</vt:i4>
      </vt:variant>
      <vt:variant>
        <vt:i4>74</vt:i4>
      </vt:variant>
      <vt:variant>
        <vt:i4>0</vt:i4>
      </vt:variant>
      <vt:variant>
        <vt:i4>5</vt:i4>
      </vt:variant>
      <vt:variant>
        <vt:lpwstr/>
      </vt:variant>
      <vt:variant>
        <vt:lpwstr>_Toc66810326</vt:lpwstr>
      </vt:variant>
      <vt:variant>
        <vt:i4>1441852</vt:i4>
      </vt:variant>
      <vt:variant>
        <vt:i4>68</vt:i4>
      </vt:variant>
      <vt:variant>
        <vt:i4>0</vt:i4>
      </vt:variant>
      <vt:variant>
        <vt:i4>5</vt:i4>
      </vt:variant>
      <vt:variant>
        <vt:lpwstr/>
      </vt:variant>
      <vt:variant>
        <vt:lpwstr>_Toc66810325</vt:lpwstr>
      </vt:variant>
      <vt:variant>
        <vt:i4>1507388</vt:i4>
      </vt:variant>
      <vt:variant>
        <vt:i4>62</vt:i4>
      </vt:variant>
      <vt:variant>
        <vt:i4>0</vt:i4>
      </vt:variant>
      <vt:variant>
        <vt:i4>5</vt:i4>
      </vt:variant>
      <vt:variant>
        <vt:lpwstr/>
      </vt:variant>
      <vt:variant>
        <vt:lpwstr>_Toc66810324</vt:lpwstr>
      </vt:variant>
      <vt:variant>
        <vt:i4>1048636</vt:i4>
      </vt:variant>
      <vt:variant>
        <vt:i4>56</vt:i4>
      </vt:variant>
      <vt:variant>
        <vt:i4>0</vt:i4>
      </vt:variant>
      <vt:variant>
        <vt:i4>5</vt:i4>
      </vt:variant>
      <vt:variant>
        <vt:lpwstr/>
      </vt:variant>
      <vt:variant>
        <vt:lpwstr>_Toc66810323</vt:lpwstr>
      </vt:variant>
      <vt:variant>
        <vt:i4>1114172</vt:i4>
      </vt:variant>
      <vt:variant>
        <vt:i4>50</vt:i4>
      </vt:variant>
      <vt:variant>
        <vt:i4>0</vt:i4>
      </vt:variant>
      <vt:variant>
        <vt:i4>5</vt:i4>
      </vt:variant>
      <vt:variant>
        <vt:lpwstr/>
      </vt:variant>
      <vt:variant>
        <vt:lpwstr>_Toc66810322</vt:lpwstr>
      </vt:variant>
      <vt:variant>
        <vt:i4>1179708</vt:i4>
      </vt:variant>
      <vt:variant>
        <vt:i4>44</vt:i4>
      </vt:variant>
      <vt:variant>
        <vt:i4>0</vt:i4>
      </vt:variant>
      <vt:variant>
        <vt:i4>5</vt:i4>
      </vt:variant>
      <vt:variant>
        <vt:lpwstr/>
      </vt:variant>
      <vt:variant>
        <vt:lpwstr>_Toc66810321</vt:lpwstr>
      </vt:variant>
      <vt:variant>
        <vt:i4>1245244</vt:i4>
      </vt:variant>
      <vt:variant>
        <vt:i4>38</vt:i4>
      </vt:variant>
      <vt:variant>
        <vt:i4>0</vt:i4>
      </vt:variant>
      <vt:variant>
        <vt:i4>5</vt:i4>
      </vt:variant>
      <vt:variant>
        <vt:lpwstr/>
      </vt:variant>
      <vt:variant>
        <vt:lpwstr>_Toc66810320</vt:lpwstr>
      </vt:variant>
      <vt:variant>
        <vt:i4>1703999</vt:i4>
      </vt:variant>
      <vt:variant>
        <vt:i4>32</vt:i4>
      </vt:variant>
      <vt:variant>
        <vt:i4>0</vt:i4>
      </vt:variant>
      <vt:variant>
        <vt:i4>5</vt:i4>
      </vt:variant>
      <vt:variant>
        <vt:lpwstr/>
      </vt:variant>
      <vt:variant>
        <vt:lpwstr>_Toc66810319</vt:lpwstr>
      </vt:variant>
      <vt:variant>
        <vt:i4>1769535</vt:i4>
      </vt:variant>
      <vt:variant>
        <vt:i4>26</vt:i4>
      </vt:variant>
      <vt:variant>
        <vt:i4>0</vt:i4>
      </vt:variant>
      <vt:variant>
        <vt:i4>5</vt:i4>
      </vt:variant>
      <vt:variant>
        <vt:lpwstr/>
      </vt:variant>
      <vt:variant>
        <vt:lpwstr>_Toc66810318</vt:lpwstr>
      </vt:variant>
      <vt:variant>
        <vt:i4>1310783</vt:i4>
      </vt:variant>
      <vt:variant>
        <vt:i4>20</vt:i4>
      </vt:variant>
      <vt:variant>
        <vt:i4>0</vt:i4>
      </vt:variant>
      <vt:variant>
        <vt:i4>5</vt:i4>
      </vt:variant>
      <vt:variant>
        <vt:lpwstr/>
      </vt:variant>
      <vt:variant>
        <vt:lpwstr>_Toc66810317</vt:lpwstr>
      </vt:variant>
      <vt:variant>
        <vt:i4>1376319</vt:i4>
      </vt:variant>
      <vt:variant>
        <vt:i4>14</vt:i4>
      </vt:variant>
      <vt:variant>
        <vt:i4>0</vt:i4>
      </vt:variant>
      <vt:variant>
        <vt:i4>5</vt:i4>
      </vt:variant>
      <vt:variant>
        <vt:lpwstr/>
      </vt:variant>
      <vt:variant>
        <vt:lpwstr>_Toc66810316</vt:lpwstr>
      </vt:variant>
      <vt:variant>
        <vt:i4>1441855</vt:i4>
      </vt:variant>
      <vt:variant>
        <vt:i4>8</vt:i4>
      </vt:variant>
      <vt:variant>
        <vt:i4>0</vt:i4>
      </vt:variant>
      <vt:variant>
        <vt:i4>5</vt:i4>
      </vt:variant>
      <vt:variant>
        <vt:lpwstr/>
      </vt:variant>
      <vt:variant>
        <vt:lpwstr>_Toc66810315</vt:lpwstr>
      </vt:variant>
      <vt:variant>
        <vt:i4>1507391</vt:i4>
      </vt:variant>
      <vt:variant>
        <vt:i4>2</vt:i4>
      </vt:variant>
      <vt:variant>
        <vt:i4>0</vt:i4>
      </vt:variant>
      <vt:variant>
        <vt:i4>5</vt:i4>
      </vt:variant>
      <vt:variant>
        <vt:lpwstr/>
      </vt:variant>
      <vt:variant>
        <vt:lpwstr>_Toc66810314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PAREXEL CSR template</dc:title>
  <dc:subject/>
  <dc:creator>Priti</dc:creator>
  <cp:keywords/>
  <dc:description/>
  <cp:lastModifiedBy>Ivana Glatzová</cp:lastModifiedBy>
  <cp:revision>145</cp:revision>
  <cp:lastPrinted>2004-05-10T06:48:00Z</cp:lastPrinted>
  <dcterms:created xsi:type="dcterms:W3CDTF">2021-05-31T17:46:00Z</dcterms:created>
  <dcterms:modified xsi:type="dcterms:W3CDTF">2022-05-03T10:46:00Z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0x010100EEF413C2A6CF7B41BCC49357CBDC6981</vt:lpwstr>
  </property>
  <property fmtid="{D5CDD505-2E9C-101B-9397-08002B2CF9AE}" pid="4" name="MSIP_Label_04829e40-5a9f-411d-9379-372f80c99492_Enabled">
    <vt:lpwstr>True</vt:lpwstr>
  </property>
  <property fmtid="{D5CDD505-2E9C-101B-9397-08002B2CF9AE}" pid="5" name="MSIP_Label_04829e40-5a9f-411d-9379-372f80c99492_SiteId">
    <vt:lpwstr>7c1d0615-e1e2-4475-873f-456074a4e1b3</vt:lpwstr>
  </property>
  <property fmtid="{D5CDD505-2E9C-101B-9397-08002B2CF9AE}" pid="6" name="MSIP_Label_04829e40-5a9f-411d-9379-372f80c99492_Owner">
    <vt:lpwstr>rida@symphogen.com</vt:lpwstr>
  </property>
  <property fmtid="{D5CDD505-2E9C-101B-9397-08002B2CF9AE}" pid="7" name="MSIP_Label_04829e40-5a9f-411d-9379-372f80c99492_SetDate">
    <vt:lpwstr>2021-03-26T18:25:27.0089725Z</vt:lpwstr>
  </property>
  <property fmtid="{D5CDD505-2E9C-101B-9397-08002B2CF9AE}" pid="8" name="MSIP_Label_04829e40-5a9f-411d-9379-372f80c99492_Name">
    <vt:lpwstr>General</vt:lpwstr>
  </property>
  <property fmtid="{D5CDD505-2E9C-101B-9397-08002B2CF9AE}" pid="9" name="MSIP_Label_04829e40-5a9f-411d-9379-372f80c99492_Application">
    <vt:lpwstr>Microsoft Azure Information Protection</vt:lpwstr>
  </property>
  <property fmtid="{D5CDD505-2E9C-101B-9397-08002B2CF9AE}" pid="10" name="MSIP_Label_04829e40-5a9f-411d-9379-372f80c99492_ActionId">
    <vt:lpwstr>a9bb0441-9b22-4a73-89f5-5835e5bb5015</vt:lpwstr>
  </property>
  <property fmtid="{D5CDD505-2E9C-101B-9397-08002B2CF9AE}" pid="11" name="MSIP_Label_04829e40-5a9f-411d-9379-372f80c99492_Extended_MSFT_Method">
    <vt:lpwstr>Automatic</vt:lpwstr>
  </property>
  <property fmtid="{D5CDD505-2E9C-101B-9397-08002B2CF9AE}" pid="12" name="Sensitivity">
    <vt:lpwstr>General</vt:lpwstr>
  </property>
  <property fmtid="{D5CDD505-2E9C-101B-9397-08002B2CF9AE}" pid="13" name="SharedWithUsers">
    <vt:lpwstr/>
  </property>
</Properties>
</file>