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75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952"/>
        <w:gridCol w:w="1476"/>
        <w:gridCol w:w="1476"/>
        <w:gridCol w:w="2851"/>
      </w:tblGrid>
      <w:tr w:rsidR="0023131C" w:rsidRPr="00AD48BC" w:rsidTr="002A246E">
        <w:trPr>
          <w:tblHeader/>
        </w:trPr>
        <w:tc>
          <w:tcPr>
            <w:tcW w:w="2952" w:type="dxa"/>
            <w:tcBorders>
              <w:top w:val="single" w:sz="4" w:space="0" w:color="auto"/>
              <w:left w:val="single" w:sz="4" w:space="0" w:color="auto"/>
              <w:bottom w:val="nil"/>
            </w:tcBorders>
          </w:tcPr>
          <w:p w:rsidR="0023131C" w:rsidRPr="000E175F" w:rsidRDefault="0023131C" w:rsidP="002A246E">
            <w:pPr>
              <w:pStyle w:val="Synopsis"/>
              <w:rPr>
                <w:b/>
                <w:bCs/>
              </w:rPr>
            </w:pPr>
            <w:r w:rsidRPr="000E175F">
              <w:rPr>
                <w:b/>
                <w:bCs/>
              </w:rPr>
              <w:t>Name of Company:</w:t>
            </w:r>
          </w:p>
          <w:p w:rsidR="0023131C" w:rsidRPr="000E175F" w:rsidRDefault="0023131C" w:rsidP="002A246E">
            <w:pPr>
              <w:pStyle w:val="Synopsis"/>
              <w:rPr>
                <w:b/>
                <w:bCs/>
              </w:rPr>
            </w:pPr>
            <w:r w:rsidRPr="000E175F">
              <w:rPr>
                <w:bCs/>
              </w:rPr>
              <w:t>IXALTIS SA</w:t>
            </w:r>
          </w:p>
        </w:tc>
        <w:tc>
          <w:tcPr>
            <w:tcW w:w="2952" w:type="dxa"/>
            <w:gridSpan w:val="2"/>
            <w:tcBorders>
              <w:top w:val="single" w:sz="4" w:space="0" w:color="auto"/>
              <w:bottom w:val="nil"/>
            </w:tcBorders>
          </w:tcPr>
          <w:p w:rsidR="0023131C" w:rsidRPr="000E175F" w:rsidRDefault="0023131C" w:rsidP="002A246E">
            <w:pPr>
              <w:pStyle w:val="Synopsis"/>
              <w:rPr>
                <w:b/>
                <w:bCs/>
              </w:rPr>
            </w:pPr>
            <w:r w:rsidRPr="000E175F">
              <w:rPr>
                <w:b/>
                <w:bCs/>
              </w:rPr>
              <w:t>Volume:</w:t>
            </w:r>
          </w:p>
        </w:tc>
        <w:tc>
          <w:tcPr>
            <w:tcW w:w="2851" w:type="dxa"/>
            <w:tcBorders>
              <w:top w:val="single" w:sz="4" w:space="0" w:color="auto"/>
              <w:bottom w:val="nil"/>
              <w:right w:val="single" w:sz="4" w:space="0" w:color="auto"/>
            </w:tcBorders>
          </w:tcPr>
          <w:p w:rsidR="0023131C" w:rsidRPr="000E175F" w:rsidRDefault="0023131C" w:rsidP="002A246E">
            <w:pPr>
              <w:pStyle w:val="Synopsis"/>
            </w:pPr>
            <w:r w:rsidRPr="000E175F">
              <w:t>(For national authority use only)</w:t>
            </w:r>
          </w:p>
        </w:tc>
      </w:tr>
      <w:tr w:rsidR="0023131C" w:rsidRPr="000E175F" w:rsidTr="002A246E">
        <w:trPr>
          <w:tblHeader/>
        </w:trPr>
        <w:tc>
          <w:tcPr>
            <w:tcW w:w="2952" w:type="dxa"/>
            <w:tcBorders>
              <w:top w:val="nil"/>
              <w:left w:val="single" w:sz="4" w:space="0" w:color="auto"/>
              <w:bottom w:val="nil"/>
            </w:tcBorders>
          </w:tcPr>
          <w:p w:rsidR="0023131C" w:rsidRPr="000E175F" w:rsidRDefault="0023131C" w:rsidP="002A246E">
            <w:pPr>
              <w:pStyle w:val="Synopsis"/>
              <w:rPr>
                <w:b/>
                <w:bCs/>
              </w:rPr>
            </w:pPr>
            <w:r w:rsidRPr="000E175F">
              <w:rPr>
                <w:b/>
                <w:bCs/>
              </w:rPr>
              <w:t xml:space="preserve">Name of Finished Product: </w:t>
            </w:r>
          </w:p>
          <w:p w:rsidR="0023131C" w:rsidRPr="000E175F" w:rsidRDefault="0023131C" w:rsidP="002A246E">
            <w:pPr>
              <w:pStyle w:val="Synopsis"/>
              <w:rPr>
                <w:bCs/>
              </w:rPr>
            </w:pPr>
            <w:r w:rsidRPr="000E175F">
              <w:rPr>
                <w:bCs/>
              </w:rPr>
              <w:t xml:space="preserve">Litoxetine </w:t>
            </w:r>
          </w:p>
        </w:tc>
        <w:tc>
          <w:tcPr>
            <w:tcW w:w="2952" w:type="dxa"/>
            <w:gridSpan w:val="2"/>
            <w:tcBorders>
              <w:top w:val="nil"/>
              <w:bottom w:val="nil"/>
            </w:tcBorders>
          </w:tcPr>
          <w:p w:rsidR="0023131C" w:rsidRPr="000E175F" w:rsidRDefault="0023131C" w:rsidP="002A246E">
            <w:pPr>
              <w:pStyle w:val="Synopsis"/>
              <w:rPr>
                <w:b/>
                <w:bCs/>
              </w:rPr>
            </w:pPr>
            <w:r w:rsidRPr="000E175F">
              <w:rPr>
                <w:b/>
                <w:bCs/>
              </w:rPr>
              <w:t>Page:</w:t>
            </w:r>
          </w:p>
        </w:tc>
        <w:tc>
          <w:tcPr>
            <w:tcW w:w="2851" w:type="dxa"/>
            <w:tcBorders>
              <w:top w:val="nil"/>
              <w:bottom w:val="nil"/>
              <w:right w:val="single" w:sz="4" w:space="0" w:color="auto"/>
            </w:tcBorders>
          </w:tcPr>
          <w:p w:rsidR="0023131C" w:rsidRPr="000E175F" w:rsidRDefault="0023131C" w:rsidP="002A246E">
            <w:pPr>
              <w:pStyle w:val="Synopsis"/>
            </w:pPr>
          </w:p>
        </w:tc>
      </w:tr>
      <w:tr w:rsidR="0023131C" w:rsidRPr="00AD48BC" w:rsidTr="002A246E">
        <w:trPr>
          <w:tblHeader/>
        </w:trPr>
        <w:tc>
          <w:tcPr>
            <w:tcW w:w="2952" w:type="dxa"/>
            <w:tcBorders>
              <w:top w:val="nil"/>
              <w:left w:val="single" w:sz="4" w:space="0" w:color="auto"/>
              <w:bottom w:val="single" w:sz="4" w:space="0" w:color="auto"/>
            </w:tcBorders>
          </w:tcPr>
          <w:p w:rsidR="0023131C" w:rsidRPr="000E175F" w:rsidRDefault="0023131C" w:rsidP="002A246E">
            <w:pPr>
              <w:pStyle w:val="Synopsis"/>
              <w:rPr>
                <w:b/>
                <w:bCs/>
              </w:rPr>
            </w:pPr>
            <w:r w:rsidRPr="000E175F">
              <w:rPr>
                <w:b/>
                <w:bCs/>
              </w:rPr>
              <w:t>Name of Active Ingredient(s):</w:t>
            </w:r>
            <w:r w:rsidRPr="000E175F">
              <w:rPr>
                <w:b/>
                <w:bCs/>
              </w:rPr>
              <w:br/>
            </w:r>
            <w:r w:rsidRPr="000E175F">
              <w:rPr>
                <w:szCs w:val="22"/>
              </w:rPr>
              <w:t>Litoxetine benzoate</w:t>
            </w:r>
          </w:p>
        </w:tc>
        <w:tc>
          <w:tcPr>
            <w:tcW w:w="2952" w:type="dxa"/>
            <w:gridSpan w:val="2"/>
            <w:tcBorders>
              <w:top w:val="nil"/>
              <w:bottom w:val="single" w:sz="4" w:space="0" w:color="auto"/>
            </w:tcBorders>
          </w:tcPr>
          <w:p w:rsidR="0023131C" w:rsidRPr="000E175F" w:rsidRDefault="0023131C" w:rsidP="002A246E">
            <w:pPr>
              <w:pStyle w:val="Synopsis"/>
            </w:pPr>
          </w:p>
        </w:tc>
        <w:tc>
          <w:tcPr>
            <w:tcW w:w="2851" w:type="dxa"/>
            <w:tcBorders>
              <w:top w:val="nil"/>
              <w:bottom w:val="single" w:sz="4" w:space="0" w:color="auto"/>
              <w:right w:val="single" w:sz="4" w:space="0" w:color="auto"/>
            </w:tcBorders>
          </w:tcPr>
          <w:p w:rsidR="0023131C" w:rsidRPr="000E175F" w:rsidRDefault="0023131C" w:rsidP="002A246E">
            <w:pPr>
              <w:pStyle w:val="Synopsis"/>
            </w:pP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ind w:firstLine="0"/>
            </w:pPr>
            <w:r w:rsidRPr="000E175F">
              <w:rPr>
                <w:b/>
                <w:bCs/>
              </w:rPr>
              <w:t>Title of Study:</w:t>
            </w:r>
            <w:bookmarkStart w:id="0" w:name="_GoBack"/>
            <w:r w:rsidRPr="000E175F">
              <w:t xml:space="preserve">  </w:t>
            </w:r>
            <w:bookmarkEnd w:id="0"/>
            <w:r w:rsidRPr="000E175F">
              <w:t>A Double-Blind, Randomised, Placebo-Controlled, Parallel-Group, Phase II, Dose</w:t>
            </w:r>
            <w:r w:rsidRPr="000E175F">
              <w:noBreakHyphen/>
              <w:t>Ranging Study to Evaluate the Efficacy, Safety, and Tolerability of Oral Litoxetine 10 mg, 20 mg and 40 mg Twice Daily (BID) versus Placebo in Women with Mixed Urinary Incontinence</w:t>
            </w:r>
          </w:p>
        </w:tc>
      </w:tr>
      <w:tr w:rsidR="0023131C" w:rsidRPr="000E175F"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pPr>
            <w:r w:rsidRPr="000E175F">
              <w:rPr>
                <w:b/>
                <w:bCs/>
              </w:rPr>
              <w:t>Protocol Number:</w:t>
            </w:r>
            <w:r w:rsidRPr="000E175F">
              <w:t xml:space="preserve">  IXA-CSP-001</w:t>
            </w:r>
          </w:p>
        </w:tc>
      </w:tr>
      <w:tr w:rsidR="0023131C" w:rsidRPr="000E175F" w:rsidTr="002A246E">
        <w:trPr>
          <w:cantSplit/>
        </w:trPr>
        <w:tc>
          <w:tcPr>
            <w:tcW w:w="4428" w:type="dxa"/>
            <w:gridSpan w:val="2"/>
            <w:tcBorders>
              <w:top w:val="single" w:sz="4" w:space="0" w:color="auto"/>
              <w:left w:val="single" w:sz="4" w:space="0" w:color="auto"/>
              <w:bottom w:val="single" w:sz="4" w:space="0" w:color="auto"/>
            </w:tcBorders>
          </w:tcPr>
          <w:p w:rsidR="0023131C" w:rsidRPr="000E175F" w:rsidRDefault="0023131C" w:rsidP="002A246E">
            <w:pPr>
              <w:pStyle w:val="Synopsis"/>
              <w:rPr>
                <w:b/>
                <w:bCs/>
              </w:rPr>
            </w:pPr>
            <w:r w:rsidRPr="000E175F">
              <w:rPr>
                <w:b/>
                <w:bCs/>
              </w:rPr>
              <w:t xml:space="preserve">Study Period: </w:t>
            </w:r>
            <w:r w:rsidRPr="000E175F">
              <w:rPr>
                <w:bCs/>
              </w:rPr>
              <w:t>21 weeks</w:t>
            </w:r>
          </w:p>
          <w:p w:rsidR="0023131C" w:rsidRPr="000E175F" w:rsidRDefault="0023131C" w:rsidP="002A246E">
            <w:pPr>
              <w:pStyle w:val="Synopsis"/>
            </w:pPr>
            <w:r w:rsidRPr="000E175F">
              <w:rPr>
                <w:b/>
                <w:bCs/>
              </w:rPr>
              <w:t>Date of first subject, first visit:</w:t>
            </w:r>
            <w:r w:rsidRPr="000E175F">
              <w:tab/>
              <w:t>13 Mar 2017</w:t>
            </w:r>
          </w:p>
          <w:p w:rsidR="0023131C" w:rsidRPr="000E175F" w:rsidRDefault="0023131C" w:rsidP="002A246E">
            <w:pPr>
              <w:pStyle w:val="Synopsis"/>
            </w:pPr>
            <w:r w:rsidRPr="000E175F">
              <w:rPr>
                <w:b/>
                <w:bCs/>
              </w:rPr>
              <w:t>Date of last subject, last visit:</w:t>
            </w:r>
            <w:r w:rsidRPr="000E175F">
              <w:tab/>
              <w:t>22 Oct 2018</w:t>
            </w:r>
          </w:p>
        </w:tc>
        <w:tc>
          <w:tcPr>
            <w:tcW w:w="4327" w:type="dxa"/>
            <w:gridSpan w:val="2"/>
            <w:tcBorders>
              <w:top w:val="single" w:sz="4" w:space="0" w:color="auto"/>
              <w:bottom w:val="single" w:sz="4" w:space="0" w:color="auto"/>
              <w:right w:val="single" w:sz="4" w:space="0" w:color="auto"/>
            </w:tcBorders>
          </w:tcPr>
          <w:p w:rsidR="0023131C" w:rsidRPr="000E175F" w:rsidRDefault="0023131C" w:rsidP="002A246E">
            <w:pPr>
              <w:pStyle w:val="Synopsis"/>
            </w:pPr>
            <w:r w:rsidRPr="000E175F">
              <w:rPr>
                <w:b/>
                <w:bCs/>
              </w:rPr>
              <w:t>Study Phase:</w:t>
            </w:r>
            <w:r w:rsidRPr="000E175F">
              <w:t xml:space="preserve">  II</w:t>
            </w:r>
          </w:p>
        </w:tc>
      </w:tr>
      <w:tr w:rsidR="0023131C" w:rsidRPr="00666406"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666406" w:rsidRDefault="0023131C" w:rsidP="002A246E">
            <w:pPr>
              <w:pStyle w:val="Synopsis"/>
              <w:rPr>
                <w:lang w:val="fr-FR"/>
              </w:rPr>
            </w:pPr>
            <w:r w:rsidRPr="00666406">
              <w:rPr>
                <w:b/>
                <w:bCs/>
                <w:lang w:val="fr-FR"/>
              </w:rPr>
              <w:t xml:space="preserve">Principal </w:t>
            </w:r>
            <w:r w:rsidRPr="00CA4CB7">
              <w:rPr>
                <w:b/>
                <w:bCs/>
              </w:rPr>
              <w:t>Investigator</w:t>
            </w:r>
            <w:r w:rsidRPr="00666406">
              <w:rPr>
                <w:b/>
                <w:bCs/>
                <w:lang w:val="fr-FR"/>
              </w:rPr>
              <w:t>:</w:t>
            </w:r>
            <w:r w:rsidRPr="00666406">
              <w:rPr>
                <w:lang w:val="fr-FR"/>
              </w:rPr>
              <w:t xml:space="preserve">  </w:t>
            </w:r>
            <w:r w:rsidRPr="00666406">
              <w:rPr>
                <w:iCs/>
                <w:lang w:val="fr-FR"/>
              </w:rPr>
              <w:t>Pr. Francois HAAB</w:t>
            </w:r>
          </w:p>
        </w:tc>
      </w:tr>
      <w:tr w:rsidR="0023131C" w:rsidRPr="000E175F"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iCs/>
              </w:rPr>
            </w:pPr>
            <w:r w:rsidRPr="000E175F">
              <w:rPr>
                <w:b/>
                <w:bCs/>
              </w:rPr>
              <w:t>Study Centre(s):</w:t>
            </w:r>
            <w:r w:rsidRPr="000E175F">
              <w:t xml:space="preserve">  </w:t>
            </w:r>
          </w:p>
          <w:p w:rsidR="0023131C" w:rsidRPr="000E175F" w:rsidRDefault="0023131C" w:rsidP="002A246E">
            <w:pPr>
              <w:rPr>
                <w:sz w:val="20"/>
                <w:lang w:val="en-GB"/>
              </w:rPr>
            </w:pPr>
            <w:r w:rsidRPr="000E175F">
              <w:rPr>
                <w:sz w:val="20"/>
                <w:lang w:val="en-GB"/>
              </w:rPr>
              <w:t xml:space="preserve">This was an international multicentre study. Sites in the following countries participated in the study: Canada (14 sites), France (7 sites), Georgia (5 sites), Poland (3 sites), Ukraine (5 sites), and the United Kingdom (8 sites); 30 sites screened patients and a total of 22 sites recruited study subjects who were eligible for randomisation. </w:t>
            </w:r>
          </w:p>
        </w:tc>
      </w:tr>
      <w:tr w:rsidR="0023131C" w:rsidRPr="000E175F"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iCs/>
              </w:rPr>
            </w:pPr>
            <w:r w:rsidRPr="000E175F">
              <w:rPr>
                <w:b/>
                <w:bCs/>
              </w:rPr>
              <w:t>Publication(s):</w:t>
            </w:r>
            <w:r w:rsidRPr="000E175F">
              <w:t xml:space="preserve">  </w:t>
            </w:r>
          </w:p>
          <w:p w:rsidR="0023131C" w:rsidRPr="000E175F" w:rsidRDefault="0023131C" w:rsidP="002A246E">
            <w:pPr>
              <w:spacing w:before="40" w:after="40"/>
              <w:rPr>
                <w:sz w:val="20"/>
                <w:lang w:val="en-GB"/>
              </w:rPr>
            </w:pPr>
            <w:r w:rsidRPr="000E175F">
              <w:rPr>
                <w:sz w:val="20"/>
                <w:szCs w:val="20"/>
                <w:lang w:val="en-GB"/>
              </w:rPr>
              <w:t>Exploration of Litoxetine (LTX): a potential novel treatment for mixed urinary incontinence (MUI). EAU conference proceedings 2019, PT 235.</w:t>
            </w:r>
          </w:p>
          <w:p w:rsidR="0023131C" w:rsidRPr="000E175F" w:rsidRDefault="0023131C" w:rsidP="002A246E">
            <w:pPr>
              <w:rPr>
                <w:sz w:val="20"/>
                <w:szCs w:val="20"/>
                <w:lang w:val="en-GB"/>
              </w:rPr>
            </w:pPr>
            <w:r w:rsidRPr="000E175F">
              <w:rPr>
                <w:sz w:val="20"/>
                <w:szCs w:val="20"/>
                <w:lang w:val="en-GB"/>
              </w:rPr>
              <w:t>Exploration of Litoxetine (LTX): a potential novel treatment for mixed urinary incontinence (MUI). 11th EUGA Annual Congress, 25-27 October 2018, The Marriott Hotel Milan.</w:t>
            </w:r>
          </w:p>
          <w:p w:rsidR="0023131C" w:rsidRPr="000E175F" w:rsidRDefault="0023131C" w:rsidP="002A246E">
            <w:pPr>
              <w:spacing w:before="40" w:after="40"/>
              <w:rPr>
                <w:sz w:val="20"/>
                <w:szCs w:val="20"/>
                <w:lang w:val="en-GB"/>
              </w:rPr>
            </w:pPr>
            <w:r w:rsidRPr="000E175F">
              <w:rPr>
                <w:sz w:val="20"/>
                <w:szCs w:val="20"/>
                <w:lang w:val="en-GB"/>
              </w:rPr>
              <w:t>Exploration of Litoxetine (LTX): a potential novel treatment for mixed urinary incontinence (MUI). Neurology &amp; Urodynamics vol 37; issue S5, July 2018 (abstract 221).</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Cs/>
              </w:rPr>
            </w:pPr>
            <w:r w:rsidRPr="000E175F">
              <w:rPr>
                <w:b/>
              </w:rPr>
              <w:t>Objectives:</w:t>
            </w:r>
            <w:r w:rsidRPr="000E175F">
              <w:rPr>
                <w:bCs/>
              </w:rPr>
              <w:t xml:space="preserve">  </w:t>
            </w:r>
          </w:p>
          <w:p w:rsidR="0023131C" w:rsidRPr="000E175F" w:rsidRDefault="0023131C" w:rsidP="002A246E">
            <w:pPr>
              <w:pStyle w:val="Synopsis"/>
            </w:pPr>
            <w:r w:rsidRPr="000E175F">
              <w:t xml:space="preserve">The primary objective of this study is to compare the efficacy of 3 doses of litoxetine (10 mg, 20 mg, 40 mg) versus placebo administered orally twice daily (BID) for 12 weeks in female subjects with a diagnosis of </w:t>
            </w:r>
            <w:r>
              <w:t>mixed urinary incontinence (</w:t>
            </w:r>
            <w:r w:rsidRPr="000E175F">
              <w:t>MUI</w:t>
            </w:r>
            <w:r>
              <w:t>)</w:t>
            </w:r>
            <w:r w:rsidRPr="000E175F">
              <w:t>.</w:t>
            </w:r>
          </w:p>
          <w:p w:rsidR="0023131C" w:rsidRPr="000E175F" w:rsidRDefault="0023131C" w:rsidP="002A246E">
            <w:pPr>
              <w:pStyle w:val="Synopsis"/>
            </w:pPr>
            <w:r w:rsidRPr="000E175F">
              <w:t>The secondary objectives of this study are to evaluate the safety and tolerability of 3 doses of litoxetine (10 mg, 20 mg, 40 mg BID) compared to placebo in female subjects with a diagnosis of MUI.</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ind w:firstLine="14"/>
              <w:rPr>
                <w:bCs/>
              </w:rPr>
            </w:pPr>
            <w:r w:rsidRPr="000E175F">
              <w:rPr>
                <w:b/>
              </w:rPr>
              <w:t>Study Design:</w:t>
            </w:r>
            <w:r w:rsidRPr="000E175F">
              <w:rPr>
                <w:bCs/>
              </w:rPr>
              <w:t xml:space="preserve">  </w:t>
            </w:r>
          </w:p>
          <w:p w:rsidR="0023131C" w:rsidRPr="000E175F" w:rsidRDefault="0023131C" w:rsidP="002A246E">
            <w:pPr>
              <w:pStyle w:val="Synopsis"/>
              <w:ind w:firstLine="14"/>
            </w:pPr>
            <w:r w:rsidRPr="000E175F">
              <w:t xml:space="preserve">This was a Phase 2, double-blind, randomised, placebo-controlled, parallel-group study in women 18 to 75 years old with MUI. </w:t>
            </w:r>
          </w:p>
          <w:p w:rsidR="0023131C" w:rsidRPr="000E175F" w:rsidRDefault="0023131C" w:rsidP="002A246E">
            <w:pPr>
              <w:pStyle w:val="Synopsis"/>
              <w:ind w:firstLine="14"/>
            </w:pPr>
            <w:r w:rsidRPr="000E175F">
              <w:t>The study included a 2-week Screening Period; a 2-week, single-blind (subject blind) Placebo Run-in Period; and a 12-week double-blind Treatment Period. The Treatment Period was followed by a 1-week Dose-tapering Period. Subjects returned to the clinic for a safety Follow up Visit 4 weeks after treatment was completed for a total study duration of 21 weeks. No interim analysis was planned.</w:t>
            </w:r>
          </w:p>
          <w:p w:rsidR="0023131C" w:rsidRPr="000E175F" w:rsidRDefault="0023131C" w:rsidP="002A246E">
            <w:pPr>
              <w:pStyle w:val="Synopsis"/>
              <w:ind w:firstLine="14"/>
              <w:rPr>
                <w:b/>
              </w:rPr>
            </w:pPr>
            <w:r w:rsidRPr="000E175F">
              <w:t>All subjects entered the Screening Period during which eligibility was assessed, followed by a Placebo Run-in Period where subjects continued to have at least 7 days of daily diary symptom collection (which included a weekend). Subjects who continued to meet eligibility criteria, including collection of diary data, at the end of the Placebo Run-in Period (at least 7 incontinence episodes per week in the diary entries of which at least 3 episodes per week were defined as stress urinary incontinence) entered the Treatment Period. Subjects were randomly assigned (1:1:1:1) to receive study drug (litoxetine 10 mg, 20 mg, 40 mg, or placebo) BID. After 12 weeks of treatment, doses were reduced by 50% over 1 week to taper off treatment. Subjects returned to the clinic for a safety Follow</w:t>
            </w:r>
            <w:r w:rsidRPr="000E175F">
              <w:noBreakHyphen/>
              <w:t>up Visit 4 weeks after treatment was completed.</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Cs/>
              </w:rPr>
            </w:pPr>
            <w:r w:rsidRPr="000E175F">
              <w:rPr>
                <w:b/>
              </w:rPr>
              <w:lastRenderedPageBreak/>
              <w:t>Number of Subjects (planned and analysed):</w:t>
            </w:r>
            <w:r w:rsidRPr="000E175F">
              <w:rPr>
                <w:bCs/>
              </w:rPr>
              <w:t xml:space="preserve">  </w:t>
            </w:r>
          </w:p>
          <w:p w:rsidR="0023131C" w:rsidRPr="000E175F" w:rsidRDefault="0023131C" w:rsidP="002A246E">
            <w:pPr>
              <w:pStyle w:val="Synopsis"/>
            </w:pPr>
            <w:r w:rsidRPr="000E175F">
              <w:t>Approximately 240 subjects were expected to be enrolled into the 2-week, single-bind (subject blind) Placebo Run-in Period</w:t>
            </w:r>
            <w:r w:rsidRPr="000E175F">
              <w:rPr>
                <w:bCs/>
              </w:rPr>
              <w:t xml:space="preserve">, and a total of </w:t>
            </w:r>
            <w:r w:rsidRPr="000E175F">
              <w:t xml:space="preserve">195 subjects were planned to be randomized into the double-blind treatment to ensure that there were 148 evaluable subjects. Overall, 292 subjects were screened, </w:t>
            </w:r>
            <w:r w:rsidRPr="009D6F99">
              <w:t xml:space="preserve">268 </w:t>
            </w:r>
            <w:r w:rsidRPr="000E175F">
              <w:t>entered the 2</w:t>
            </w:r>
            <w:r>
              <w:t>-</w:t>
            </w:r>
            <w:r w:rsidRPr="000E175F">
              <w:t>week Placebo Run-</w:t>
            </w:r>
            <w:r>
              <w:t>i</w:t>
            </w:r>
            <w:r w:rsidRPr="000E175F">
              <w:t xml:space="preserve">n </w:t>
            </w:r>
            <w:r>
              <w:t>P</w:t>
            </w:r>
            <w:r w:rsidRPr="000E175F">
              <w:t>eriod and 198 subjects were randomized. A total of 198 subjects were included in the randomised and safety populations. Overall, 196</w:t>
            </w:r>
            <w:r>
              <w:t xml:space="preserve"> subjects </w:t>
            </w:r>
            <w:r w:rsidRPr="000E175F">
              <w:t>were included in the intent-to-treat population (ITT), 184 were included in the modified ITT (mITT) population, and 164 in the per protocol population (PP).</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Cs/>
              </w:rPr>
            </w:pPr>
            <w:r w:rsidRPr="000E175F">
              <w:rPr>
                <w:b/>
              </w:rPr>
              <w:t>Test Product, Dose and Mode of Administration, and Lot Number(s):</w:t>
            </w:r>
            <w:r w:rsidRPr="000E175F">
              <w:rPr>
                <w:bCs/>
              </w:rPr>
              <w:t xml:space="preserve">  </w:t>
            </w:r>
          </w:p>
          <w:p w:rsidR="0023131C" w:rsidRPr="000E175F" w:rsidRDefault="0023131C" w:rsidP="002A246E">
            <w:pPr>
              <w:pStyle w:val="Synopsis"/>
              <w:rPr>
                <w:b/>
              </w:rPr>
            </w:pPr>
            <w:r w:rsidRPr="000E175F">
              <w:t>Three doses of litoxetine were used in this study: 10 mg, 20 mg, and 40 mg BID. Study drug was administered orally. Lot numbers: 16L12, 17F15, and 17I18.</w:t>
            </w:r>
          </w:p>
        </w:tc>
      </w:tr>
      <w:tr w:rsidR="0023131C" w:rsidRPr="000E175F"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Cs/>
              </w:rPr>
            </w:pPr>
            <w:r w:rsidRPr="000E175F">
              <w:rPr>
                <w:b/>
              </w:rPr>
              <w:t>Reference Therapy, Dose and Mode of Administration, and Lot Number(s):</w:t>
            </w:r>
            <w:r w:rsidRPr="000E175F">
              <w:rPr>
                <w:bCs/>
              </w:rPr>
              <w:t xml:space="preserve"> </w:t>
            </w:r>
          </w:p>
          <w:p w:rsidR="0023131C" w:rsidRPr="000E175F" w:rsidRDefault="0023131C" w:rsidP="002A246E">
            <w:pPr>
              <w:pStyle w:val="Synopsis"/>
              <w:rPr>
                <w:b/>
              </w:rPr>
            </w:pPr>
            <w:r w:rsidRPr="000E175F">
              <w:rPr>
                <w:bCs/>
              </w:rPr>
              <w:t xml:space="preserve">This was a placebo-controlled study. </w:t>
            </w:r>
            <w:r w:rsidRPr="000E175F">
              <w:t xml:space="preserve">Study drug was administered orally. Lot numbers: 16L12, 17F15, and 17I18. </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Cs/>
              </w:rPr>
            </w:pPr>
            <w:r w:rsidRPr="000E175F">
              <w:rPr>
                <w:b/>
              </w:rPr>
              <w:t>Duration of Treatment:</w:t>
            </w:r>
            <w:r w:rsidRPr="000E175F">
              <w:rPr>
                <w:bCs/>
              </w:rPr>
              <w:t xml:space="preserve">  </w:t>
            </w:r>
          </w:p>
          <w:p w:rsidR="0023131C" w:rsidRPr="000E175F" w:rsidRDefault="0023131C" w:rsidP="002A246E">
            <w:pPr>
              <w:pStyle w:val="Synopsis"/>
            </w:pPr>
            <w:r w:rsidRPr="000E175F">
              <w:rPr>
                <w:bCs/>
              </w:rPr>
              <w:t>Subjects participated in a 2-week placebo run-in period. I</w:t>
            </w:r>
            <w:r w:rsidRPr="000E175F">
              <w:t>f a subject remained eligible to be randomized into the Treatment Period,</w:t>
            </w:r>
            <w:r w:rsidRPr="000E175F">
              <w:rPr>
                <w:bCs/>
              </w:rPr>
              <w:t xml:space="preserve"> she received randomized study drug for 12 weeks. After the 12-week treatment period, subjects had a 1 week tapering period followed by a 4</w:t>
            </w:r>
            <w:r>
              <w:rPr>
                <w:bCs/>
              </w:rPr>
              <w:t>-</w:t>
            </w:r>
            <w:r w:rsidRPr="000E175F">
              <w:rPr>
                <w:bCs/>
              </w:rPr>
              <w:t>week safety follow up.</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
              </w:rPr>
            </w:pPr>
            <w:r w:rsidRPr="000E175F">
              <w:rPr>
                <w:b/>
              </w:rPr>
              <w:t>Criteria for Evaluation:</w:t>
            </w:r>
            <w:r w:rsidRPr="000E175F">
              <w:rPr>
                <w:bCs/>
              </w:rPr>
              <w:t xml:space="preserve">  </w:t>
            </w:r>
          </w:p>
          <w:p w:rsidR="0023131C" w:rsidRPr="000E175F" w:rsidRDefault="0023131C" w:rsidP="002A246E">
            <w:pPr>
              <w:pStyle w:val="Synopsis"/>
              <w:rPr>
                <w:b/>
                <w:u w:val="single"/>
              </w:rPr>
            </w:pPr>
            <w:r w:rsidRPr="000E175F">
              <w:rPr>
                <w:b/>
                <w:u w:val="single"/>
              </w:rPr>
              <w:t>Efficacy:</w:t>
            </w:r>
          </w:p>
          <w:p w:rsidR="0023131C" w:rsidRPr="000E175F" w:rsidRDefault="0023131C" w:rsidP="002A246E">
            <w:pPr>
              <w:pStyle w:val="Synopsis"/>
            </w:pPr>
            <w:r w:rsidRPr="000E175F">
              <w:t>Efficacy was assessed by number of urinary incontinence episodes, the number of incontinence pads used, the Patient’s Perception of Intensity of Urgency Scale (PPIUS), the Kings Health Questionnaire</w:t>
            </w:r>
            <w:r>
              <w:t xml:space="preserve"> (KHQ)</w:t>
            </w:r>
            <w:r w:rsidRPr="000E175F">
              <w:t>, the Patient Perception of Bladder Condition (PPBC), and the Patient Global Impression of Improvement (PGI-I).</w:t>
            </w:r>
          </w:p>
          <w:p w:rsidR="0023131C" w:rsidRPr="000E175F" w:rsidRDefault="0023131C" w:rsidP="002A246E">
            <w:pPr>
              <w:pStyle w:val="Synopsis"/>
              <w:rPr>
                <w:b/>
                <w:u w:val="single"/>
              </w:rPr>
            </w:pPr>
            <w:r w:rsidRPr="000E175F">
              <w:rPr>
                <w:b/>
                <w:u w:val="single"/>
              </w:rPr>
              <w:t xml:space="preserve">Safety: </w:t>
            </w:r>
          </w:p>
          <w:p w:rsidR="0023131C" w:rsidRPr="000E175F" w:rsidRDefault="0023131C" w:rsidP="002A246E">
            <w:pPr>
              <w:pStyle w:val="Synopsis"/>
            </w:pPr>
            <w:r w:rsidRPr="000E175F">
              <w:t>Safety assessments were conducted throughout the study and included physical examinations, vital signs, clinical laboratory evaluations, 12-lead electrocardiograms (ECGs), and adverse events (AEs).</w:t>
            </w:r>
          </w:p>
        </w:tc>
      </w:tr>
      <w:tr w:rsidR="0023131C" w:rsidRPr="00AD48BC" w:rsidTr="002A246E">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
                <w:bCs/>
              </w:rPr>
            </w:pPr>
            <w:r w:rsidRPr="000E175F">
              <w:rPr>
                <w:b/>
                <w:bCs/>
              </w:rPr>
              <w:t xml:space="preserve">Statistical Methods:  </w:t>
            </w:r>
          </w:p>
          <w:p w:rsidR="0023131C" w:rsidRPr="000E175F" w:rsidRDefault="0023131C" w:rsidP="002A246E">
            <w:pPr>
              <w:pStyle w:val="Synopsis"/>
              <w:rPr>
                <w:b/>
                <w:u w:val="single"/>
              </w:rPr>
            </w:pPr>
            <w:r w:rsidRPr="000E175F">
              <w:rPr>
                <w:b/>
                <w:u w:val="single"/>
              </w:rPr>
              <w:t xml:space="preserve">Efficacy: </w:t>
            </w:r>
          </w:p>
          <w:p w:rsidR="0023131C" w:rsidRPr="000E175F" w:rsidRDefault="0023131C" w:rsidP="002A246E">
            <w:pPr>
              <w:spacing w:before="40" w:after="40"/>
              <w:rPr>
                <w:sz w:val="20"/>
                <w:lang w:val="en-GB"/>
              </w:rPr>
            </w:pPr>
            <w:r w:rsidRPr="000E175F">
              <w:rPr>
                <w:sz w:val="20"/>
                <w:lang w:val="en-GB"/>
              </w:rPr>
              <w:t xml:space="preserve">The primary efficacy analysis was performed on the ITT population with the analysis of the primary endpoint on the mITT and PP populations as part of the secondary efficacy analysis. </w:t>
            </w:r>
          </w:p>
          <w:p w:rsidR="0023131C" w:rsidRPr="000E175F" w:rsidRDefault="0023131C" w:rsidP="002A246E">
            <w:pPr>
              <w:spacing w:before="40" w:after="40"/>
              <w:rPr>
                <w:sz w:val="20"/>
                <w:lang w:val="en-GB"/>
              </w:rPr>
            </w:pPr>
            <w:r w:rsidRPr="000E175F">
              <w:rPr>
                <w:sz w:val="20"/>
                <w:lang w:val="en-GB"/>
              </w:rPr>
              <w:t xml:space="preserve">The primary efficacy analysis planned was an analysis of covariance (ANCOVA), with percentage change between Visit 6 and baseline in incontinence episodes as the response variable. The factor variables were dose and site. The covariate was baseline episodes of incontinence. </w:t>
            </w:r>
          </w:p>
          <w:p w:rsidR="0023131C" w:rsidRPr="000E175F" w:rsidRDefault="0023131C" w:rsidP="002A246E">
            <w:pPr>
              <w:spacing w:before="40" w:after="40"/>
              <w:rPr>
                <w:sz w:val="20"/>
                <w:lang w:val="en-GB"/>
              </w:rPr>
            </w:pPr>
            <w:r w:rsidRPr="000E175F">
              <w:rPr>
                <w:sz w:val="20"/>
                <w:lang w:val="en-GB"/>
              </w:rPr>
              <w:t xml:space="preserve">The hypotheses were tested in a serial gate-keeping strategy with the following order: </w:t>
            </w:r>
          </w:p>
          <w:p w:rsidR="0023131C" w:rsidRPr="000E175F" w:rsidRDefault="0023131C" w:rsidP="0023131C">
            <w:pPr>
              <w:numPr>
                <w:ilvl w:val="0"/>
                <w:numId w:val="2"/>
              </w:numPr>
              <w:spacing w:before="40" w:after="40"/>
              <w:ind w:left="360"/>
              <w:rPr>
                <w:sz w:val="20"/>
                <w:lang w:val="en-GB"/>
              </w:rPr>
            </w:pPr>
            <w:r w:rsidRPr="000E175F">
              <w:rPr>
                <w:sz w:val="20"/>
                <w:lang w:val="en-GB"/>
              </w:rPr>
              <w:t xml:space="preserve">40 mg vs Placebo </w:t>
            </w:r>
          </w:p>
          <w:p w:rsidR="0023131C" w:rsidRPr="000E175F" w:rsidRDefault="0023131C" w:rsidP="0023131C">
            <w:pPr>
              <w:numPr>
                <w:ilvl w:val="0"/>
                <w:numId w:val="2"/>
              </w:numPr>
              <w:spacing w:before="40" w:after="40"/>
              <w:ind w:left="360"/>
              <w:rPr>
                <w:sz w:val="20"/>
                <w:lang w:val="en-GB"/>
              </w:rPr>
            </w:pPr>
            <w:r w:rsidRPr="000E175F">
              <w:rPr>
                <w:sz w:val="20"/>
                <w:lang w:val="en-GB"/>
              </w:rPr>
              <w:t xml:space="preserve">20 mg vs Placebo </w:t>
            </w:r>
          </w:p>
          <w:p w:rsidR="0023131C" w:rsidRPr="000E175F" w:rsidRDefault="0023131C" w:rsidP="0023131C">
            <w:pPr>
              <w:numPr>
                <w:ilvl w:val="0"/>
                <w:numId w:val="2"/>
              </w:numPr>
              <w:spacing w:before="40" w:after="40"/>
              <w:ind w:left="360"/>
              <w:rPr>
                <w:sz w:val="20"/>
                <w:lang w:val="en-GB"/>
              </w:rPr>
            </w:pPr>
            <w:r w:rsidRPr="000E175F">
              <w:rPr>
                <w:sz w:val="20"/>
                <w:lang w:val="en-GB"/>
              </w:rPr>
              <w:t xml:space="preserve">10 mg vs Placebo. </w:t>
            </w:r>
          </w:p>
          <w:p w:rsidR="0023131C" w:rsidRPr="000E175F" w:rsidRDefault="0023131C" w:rsidP="002A246E">
            <w:pPr>
              <w:pStyle w:val="Text"/>
              <w:spacing w:before="40" w:after="40"/>
              <w:rPr>
                <w:sz w:val="20"/>
                <w:szCs w:val="20"/>
                <w:lang w:val="en-GB"/>
              </w:rPr>
            </w:pPr>
            <w:r w:rsidRPr="000E175F">
              <w:rPr>
                <w:sz w:val="20"/>
                <w:szCs w:val="20"/>
                <w:lang w:val="en-GB"/>
              </w:rPr>
              <w:t>If the first hypothesis (40 mg vs Placebo) did not reach statistical significance, the other hypotheses (20</w:t>
            </w:r>
            <w:r>
              <w:rPr>
                <w:sz w:val="20"/>
                <w:szCs w:val="20"/>
                <w:lang w:val="en-GB"/>
              </w:rPr>
              <w:t> </w:t>
            </w:r>
            <w:r w:rsidRPr="000E175F">
              <w:rPr>
                <w:sz w:val="20"/>
                <w:szCs w:val="20"/>
                <w:lang w:val="en-GB"/>
              </w:rPr>
              <w:t>mg vs Placebo, 10 mg vs Placebo) were only to be analysed descriptively.</w:t>
            </w:r>
          </w:p>
          <w:p w:rsidR="0023131C" w:rsidRPr="000E175F" w:rsidRDefault="0023131C" w:rsidP="002A246E">
            <w:pPr>
              <w:pStyle w:val="Default"/>
              <w:spacing w:before="40" w:after="40"/>
              <w:rPr>
                <w:sz w:val="20"/>
                <w:szCs w:val="20"/>
                <w:lang w:val="en-GB"/>
              </w:rPr>
            </w:pPr>
            <w:r w:rsidRPr="000E175F">
              <w:rPr>
                <w:sz w:val="20"/>
                <w:szCs w:val="20"/>
                <w:lang w:val="en-GB"/>
              </w:rPr>
              <w:t xml:space="preserve">The secondary efficacy analyses were conducted with the same statistical methods used for the primary efficacy analysis, with appropriate baseline measures. There were no adjustments for multiple </w:t>
            </w:r>
            <w:r w:rsidRPr="000E175F">
              <w:rPr>
                <w:sz w:val="20"/>
                <w:szCs w:val="20"/>
                <w:lang w:val="en-GB"/>
              </w:rPr>
              <w:lastRenderedPageBreak/>
              <w:t xml:space="preserve">comparisons for the secondary endpoints; therefore, the gate-keeping strategy only applied to the primary endpoint. </w:t>
            </w:r>
          </w:p>
          <w:p w:rsidR="0023131C" w:rsidRPr="000E175F" w:rsidRDefault="0023131C" w:rsidP="002A246E">
            <w:pPr>
              <w:pStyle w:val="Text"/>
              <w:spacing w:before="40" w:after="40"/>
              <w:rPr>
                <w:sz w:val="20"/>
                <w:szCs w:val="20"/>
                <w:lang w:val="en-GB"/>
              </w:rPr>
            </w:pPr>
            <w:r w:rsidRPr="000E175F">
              <w:rPr>
                <w:sz w:val="20"/>
                <w:szCs w:val="20"/>
                <w:lang w:val="en-GB"/>
              </w:rPr>
              <w:t>The secondary efficacy analyses were performed on the ITT, mITT and PP populations.</w:t>
            </w:r>
          </w:p>
          <w:p w:rsidR="0023131C" w:rsidRPr="000E175F" w:rsidRDefault="0023131C" w:rsidP="002A246E">
            <w:pPr>
              <w:pStyle w:val="Synopsis"/>
              <w:rPr>
                <w:b/>
                <w:u w:val="single"/>
              </w:rPr>
            </w:pPr>
            <w:r w:rsidRPr="000E175F">
              <w:rPr>
                <w:b/>
                <w:u w:val="single"/>
              </w:rPr>
              <w:t xml:space="preserve">Safety: </w:t>
            </w:r>
          </w:p>
          <w:p w:rsidR="0023131C" w:rsidRPr="000E175F" w:rsidRDefault="0023131C" w:rsidP="002A246E">
            <w:pPr>
              <w:pStyle w:val="Synopsis"/>
            </w:pPr>
            <w:r w:rsidRPr="000E175F">
              <w:t>The number of treatment-emergent AEs, non-TEAEs, AEs occurring during follow-up or following discontinuation, AEs of interest, AEs leading to death, AEs leading to discontinuation and SAEs, and the number and the percentage of subjects experiencing those events were summarised by treatment group using descriptive statistics.</w:t>
            </w:r>
          </w:p>
          <w:p w:rsidR="0023131C" w:rsidRPr="000E175F" w:rsidRDefault="0023131C" w:rsidP="002A246E">
            <w:pPr>
              <w:pStyle w:val="Synopsis"/>
            </w:pPr>
            <w:r w:rsidRPr="000E175F">
              <w:t>Haematology and chemistry parameters were summarised by treatment at each visit using descriptive statistics.</w:t>
            </w:r>
          </w:p>
          <w:p w:rsidR="0023131C" w:rsidRPr="000E175F" w:rsidRDefault="0023131C" w:rsidP="002A246E">
            <w:pPr>
              <w:spacing w:before="40" w:after="40"/>
              <w:rPr>
                <w:sz w:val="20"/>
                <w:lang w:val="en-GB"/>
              </w:rPr>
            </w:pPr>
            <w:r w:rsidRPr="000E175F">
              <w:rPr>
                <w:sz w:val="20"/>
                <w:lang w:val="en-GB"/>
              </w:rPr>
              <w:t xml:space="preserve">For each physical examination a shift table presenting the number and the percentage of subjects in each bivariate category (baseline versus Week 12) with regards to </w:t>
            </w:r>
            <w:r>
              <w:rPr>
                <w:sz w:val="20"/>
                <w:lang w:val="en-GB"/>
              </w:rPr>
              <w:t>Investigator</w:t>
            </w:r>
            <w:r w:rsidRPr="000E175F">
              <w:rPr>
                <w:sz w:val="20"/>
                <w:lang w:val="en-GB"/>
              </w:rPr>
              <w:t xml:space="preserve">’s interpretation (Normal, Abnormal NCR, Abnormal CR, Not done) was provided by treatment group. </w:t>
            </w:r>
          </w:p>
          <w:p w:rsidR="0023131C" w:rsidRPr="000E175F" w:rsidRDefault="0023131C" w:rsidP="002A246E">
            <w:pPr>
              <w:pStyle w:val="Synopsis"/>
              <w:ind w:firstLine="14"/>
            </w:pPr>
            <w:r w:rsidRPr="000E175F">
              <w:t>Vital signs were summarised by treatment group at each visit using descriptive statistics. An additional analysis was performed also on blood pressure and radial heart rate. The actual change from baseline to each visit in standardised cuff systolic and diastolic blood pressure and radial heart rate was computed.</w:t>
            </w:r>
          </w:p>
          <w:p w:rsidR="0023131C" w:rsidRPr="000E175F" w:rsidRDefault="0023131C" w:rsidP="002A246E">
            <w:pPr>
              <w:pStyle w:val="Synopsis"/>
            </w:pPr>
            <w:r w:rsidRPr="000E175F">
              <w:t xml:space="preserve">Actual values and change from baseline in ECG readings were summarised using descriptive statistics. A shift table presenting the number and the percentage of subjects in each bivariate category (Baseline to Endpoint) with regards to </w:t>
            </w:r>
            <w:r>
              <w:t>Investigator</w:t>
            </w:r>
            <w:r w:rsidRPr="000E175F">
              <w:t>’s interpretation (Normal, Abnormal NCR, Abnormal CR, Not done) was provided by treatment group.</w:t>
            </w:r>
          </w:p>
          <w:p w:rsidR="0023131C" w:rsidRPr="000E175F" w:rsidRDefault="0023131C" w:rsidP="002A246E">
            <w:pPr>
              <w:pStyle w:val="Synopsis"/>
            </w:pPr>
            <w:r w:rsidRPr="000E175F">
              <w:t>Concomitant medications are presented in summary tables and listings.</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pPr>
            <w:r w:rsidRPr="000E175F">
              <w:rPr>
                <w:b/>
              </w:rPr>
              <w:lastRenderedPageBreak/>
              <w:t>Efficacy Results:</w:t>
            </w:r>
            <w:r w:rsidRPr="000E175F">
              <w:rPr>
                <w:bCs/>
              </w:rPr>
              <w:t xml:space="preserve"> </w:t>
            </w:r>
            <w:r w:rsidRPr="000E175F">
              <w:t xml:space="preserve"> </w:t>
            </w:r>
          </w:p>
          <w:p w:rsidR="0023131C" w:rsidRPr="00B00E7C" w:rsidRDefault="0023131C" w:rsidP="0023131C">
            <w:pPr>
              <w:pStyle w:val="Text"/>
              <w:numPr>
                <w:ilvl w:val="0"/>
                <w:numId w:val="1"/>
              </w:numPr>
              <w:tabs>
                <w:tab w:val="clear" w:pos="1080"/>
              </w:tabs>
              <w:spacing w:before="40" w:after="40"/>
              <w:ind w:left="360"/>
              <w:rPr>
                <w:snapToGrid w:val="0"/>
                <w:color w:val="000000"/>
                <w:sz w:val="20"/>
                <w:szCs w:val="20"/>
                <w:lang w:val="en-GB"/>
              </w:rPr>
            </w:pPr>
            <w:r w:rsidRPr="00D956D2">
              <w:rPr>
                <w:snapToGrid w:val="0"/>
                <w:sz w:val="20"/>
                <w:szCs w:val="20"/>
                <w:lang w:val="en-GB"/>
              </w:rPr>
              <w:t xml:space="preserve">The primary efficacy analysis was the percentage change from baseline (Visit 3) to Week 12 (Visit 6) </w:t>
            </w:r>
            <w:r w:rsidRPr="00D956D2">
              <w:rPr>
                <w:snapToGrid w:val="0"/>
                <w:color w:val="000000"/>
                <w:sz w:val="20"/>
                <w:szCs w:val="20"/>
                <w:lang w:val="en-GB"/>
              </w:rPr>
              <w:t>in the number of events that a subject had in a week</w:t>
            </w:r>
            <w:r>
              <w:rPr>
                <w:snapToGrid w:val="0"/>
                <w:color w:val="000000"/>
                <w:sz w:val="20"/>
                <w:szCs w:val="20"/>
                <w:lang w:val="en-GB"/>
              </w:rPr>
              <w:t>,</w:t>
            </w:r>
            <w:r w:rsidRPr="00D956D2">
              <w:rPr>
                <w:snapToGrid w:val="0"/>
                <w:color w:val="000000"/>
                <w:sz w:val="20"/>
                <w:szCs w:val="20"/>
                <w:lang w:val="en-GB"/>
              </w:rPr>
              <w:t xml:space="preserve"> on average. For the ITT population an imputation model was used to address missing data, while the PP population was analysed with the existing data. The primary analysis revealed a large placebo effect (50%), which was unexpectedly high – the sample size calculation for the </w:t>
            </w:r>
            <w:r>
              <w:rPr>
                <w:snapToGrid w:val="0"/>
                <w:color w:val="000000"/>
                <w:sz w:val="20"/>
                <w:szCs w:val="20"/>
                <w:lang w:val="en-GB"/>
              </w:rPr>
              <w:t>study</w:t>
            </w:r>
            <w:r w:rsidRPr="00D956D2">
              <w:rPr>
                <w:snapToGrid w:val="0"/>
                <w:color w:val="000000"/>
                <w:sz w:val="20"/>
                <w:szCs w:val="20"/>
                <w:lang w:val="en-GB"/>
              </w:rPr>
              <w:t xml:space="preserve"> had, based on prior studies in the field, estimated ~27% placebo response. </w:t>
            </w:r>
          </w:p>
          <w:p w:rsidR="0023131C" w:rsidRPr="00D956D2" w:rsidRDefault="0023131C" w:rsidP="0023131C">
            <w:pPr>
              <w:pStyle w:val="Text"/>
              <w:numPr>
                <w:ilvl w:val="0"/>
                <w:numId w:val="1"/>
              </w:numPr>
              <w:tabs>
                <w:tab w:val="clear" w:pos="1080"/>
              </w:tabs>
              <w:spacing w:before="40" w:after="40"/>
              <w:ind w:left="360"/>
              <w:rPr>
                <w:sz w:val="20"/>
                <w:szCs w:val="20"/>
                <w:lang w:val="en-GB"/>
              </w:rPr>
            </w:pPr>
            <w:r>
              <w:rPr>
                <w:snapToGrid w:val="0"/>
                <w:color w:val="000000"/>
                <w:sz w:val="20"/>
                <w:szCs w:val="20"/>
                <w:lang w:val="en-GB"/>
              </w:rPr>
              <w:t>Possibly for this reason,</w:t>
            </w:r>
            <w:r w:rsidRPr="00D956D2">
              <w:rPr>
                <w:snapToGrid w:val="0"/>
                <w:color w:val="000000"/>
                <w:sz w:val="20"/>
                <w:szCs w:val="20"/>
                <w:lang w:val="en-GB"/>
              </w:rPr>
              <w:t xml:space="preserve"> the comparison of litoxetine to placebo did not show a statistically significant difference</w:t>
            </w:r>
            <w:r>
              <w:rPr>
                <w:snapToGrid w:val="0"/>
                <w:color w:val="000000"/>
                <w:sz w:val="20"/>
                <w:szCs w:val="20"/>
                <w:lang w:val="en-GB"/>
              </w:rPr>
              <w:t xml:space="preserve"> on the primary endpoint</w:t>
            </w:r>
            <w:r w:rsidRPr="00D956D2">
              <w:rPr>
                <w:snapToGrid w:val="0"/>
                <w:color w:val="000000"/>
                <w:sz w:val="20"/>
                <w:szCs w:val="20"/>
                <w:lang w:val="en-GB"/>
              </w:rPr>
              <w:t xml:space="preserve">. </w:t>
            </w:r>
            <w:r w:rsidRPr="00D956D2">
              <w:rPr>
                <w:sz w:val="20"/>
                <w:szCs w:val="20"/>
                <w:lang w:val="en-GB"/>
              </w:rPr>
              <w:t xml:space="preserve">The same observations were noted for other endpoints. </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 xml:space="preserve">Despite the absence of statistical significance, it was noted that most, if not all, endpoints saw a greater numerical effect in litoxetine treated subjects, particularly the 40 mg </w:t>
            </w:r>
            <w:r>
              <w:rPr>
                <w:sz w:val="20"/>
                <w:szCs w:val="20"/>
                <w:lang w:val="en-GB"/>
              </w:rPr>
              <w:t xml:space="preserve">BID </w:t>
            </w:r>
            <w:r w:rsidRPr="000E175F">
              <w:rPr>
                <w:sz w:val="20"/>
                <w:szCs w:val="20"/>
                <w:lang w:val="en-GB"/>
              </w:rPr>
              <w:t>and 20 mg BID groups, while the 10 mg BID group was similar to placebo BID.</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 xml:space="preserve">Due to the unexpectedly high placebo response and the wide SD, post hoc analyses were performed to explore litoxetine treatment effects in </w:t>
            </w:r>
            <w:r>
              <w:rPr>
                <w:sz w:val="20"/>
                <w:szCs w:val="20"/>
                <w:lang w:val="en-GB"/>
              </w:rPr>
              <w:t>subjects</w:t>
            </w:r>
            <w:r w:rsidRPr="000E175F">
              <w:rPr>
                <w:sz w:val="20"/>
                <w:szCs w:val="20"/>
                <w:lang w:val="en-GB"/>
              </w:rPr>
              <w:t xml:space="preserve"> with a high need of treatment (ie, more severe UI, older subjects) where placebo response may reach a cap. In these analyses, it was observed that litoxetine 40</w:t>
            </w:r>
            <w:r>
              <w:rPr>
                <w:sz w:val="20"/>
                <w:szCs w:val="20"/>
                <w:lang w:val="en-GB"/>
              </w:rPr>
              <w:t> mg BID</w:t>
            </w:r>
            <w:r w:rsidRPr="000E175F">
              <w:rPr>
                <w:sz w:val="20"/>
                <w:szCs w:val="20"/>
                <w:lang w:val="en-GB"/>
              </w:rPr>
              <w:t xml:space="preserve"> significantly improved incontinence frequency compared </w:t>
            </w:r>
            <w:r>
              <w:rPr>
                <w:sz w:val="20"/>
                <w:szCs w:val="20"/>
                <w:lang w:val="en-GB"/>
              </w:rPr>
              <w:t>with</w:t>
            </w:r>
            <w:r w:rsidRPr="000E175F">
              <w:rPr>
                <w:sz w:val="20"/>
                <w:szCs w:val="20"/>
                <w:lang w:val="en-GB"/>
              </w:rPr>
              <w:t xml:space="preserve"> placebo, with a similar trend of the 20 mg BID dose, while </w:t>
            </w:r>
            <w:r>
              <w:rPr>
                <w:sz w:val="20"/>
                <w:szCs w:val="20"/>
                <w:lang w:val="en-GB"/>
              </w:rPr>
              <w:t>1</w:t>
            </w:r>
            <w:r w:rsidRPr="000E175F">
              <w:rPr>
                <w:sz w:val="20"/>
                <w:szCs w:val="20"/>
                <w:lang w:val="en-GB"/>
              </w:rPr>
              <w:t>0 mg BID did not exert such an effect in patients with a high need of treatment. The post hoc analysis shows a trend to cap the placebo effect, while the effect of litoxetine is more pronounced in this population.</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It was also noted that clinically meaningful changes in patient reported outcomes were more pronounced in subjects treated with litoxetine 40</w:t>
            </w:r>
            <w:r>
              <w:rPr>
                <w:sz w:val="20"/>
                <w:szCs w:val="20"/>
                <w:lang w:val="en-GB"/>
              </w:rPr>
              <w:t> mg BID</w:t>
            </w:r>
            <w:r w:rsidRPr="000E175F">
              <w:rPr>
                <w:sz w:val="20"/>
                <w:szCs w:val="20"/>
                <w:lang w:val="en-GB"/>
              </w:rPr>
              <w:t xml:space="preserve"> and 20 mg BID than with placebo</w:t>
            </w:r>
            <w:r>
              <w:rPr>
                <w:sz w:val="20"/>
                <w:szCs w:val="20"/>
                <w:lang w:val="en-GB"/>
              </w:rPr>
              <w:t>, in some analyses demonstrating statistically significant changes</w:t>
            </w:r>
            <w:r w:rsidRPr="000E175F">
              <w:rPr>
                <w:sz w:val="20"/>
                <w:szCs w:val="20"/>
                <w:lang w:val="en-GB"/>
              </w:rPr>
              <w:t>.</w:t>
            </w:r>
          </w:p>
        </w:tc>
      </w:tr>
      <w:tr w:rsidR="0023131C" w:rsidRPr="00AD48BC" w:rsidTr="002A246E">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pPr>
            <w:r w:rsidRPr="000E175F">
              <w:rPr>
                <w:b/>
                <w:bCs/>
              </w:rPr>
              <w:t>Safety Results:</w:t>
            </w:r>
            <w:r w:rsidRPr="000E175F">
              <w:t xml:space="preserve">  </w:t>
            </w:r>
          </w:p>
          <w:p w:rsidR="0023131C" w:rsidRPr="000E175F" w:rsidRDefault="0023131C" w:rsidP="0023131C">
            <w:pPr>
              <w:numPr>
                <w:ilvl w:val="0"/>
                <w:numId w:val="3"/>
              </w:numPr>
              <w:spacing w:before="40" w:after="40"/>
              <w:ind w:left="360"/>
              <w:rPr>
                <w:sz w:val="20"/>
                <w:lang w:val="en-GB"/>
              </w:rPr>
            </w:pPr>
            <w:r w:rsidRPr="000E175F">
              <w:rPr>
                <w:sz w:val="20"/>
                <w:lang w:val="en-GB"/>
              </w:rPr>
              <w:t xml:space="preserve">Overall, 83 subjects experienced 155 TEAEs. </w:t>
            </w:r>
          </w:p>
          <w:p w:rsidR="0023131C" w:rsidRPr="000E175F" w:rsidRDefault="0023131C" w:rsidP="0023131C">
            <w:pPr>
              <w:numPr>
                <w:ilvl w:val="0"/>
                <w:numId w:val="3"/>
              </w:numPr>
              <w:spacing w:before="40" w:after="40"/>
              <w:ind w:left="360"/>
              <w:rPr>
                <w:sz w:val="20"/>
                <w:lang w:val="en-GB"/>
              </w:rPr>
            </w:pPr>
            <w:r w:rsidRPr="000E175F">
              <w:rPr>
                <w:sz w:val="20"/>
                <w:lang w:val="en-GB"/>
              </w:rPr>
              <w:lastRenderedPageBreak/>
              <w:t xml:space="preserve">All TEAEs except one were not serious. One SAE was reported: severe somnolence, assessed as </w:t>
            </w:r>
            <w:r>
              <w:rPr>
                <w:sz w:val="20"/>
                <w:lang w:val="en-GB"/>
              </w:rPr>
              <w:t xml:space="preserve">a </w:t>
            </w:r>
            <w:r w:rsidRPr="00836734">
              <w:rPr>
                <w:sz w:val="20"/>
                <w:szCs w:val="20"/>
                <w:lang w:val="en-GB"/>
              </w:rPr>
              <w:t>persistent and significant disability</w:t>
            </w:r>
            <w:r w:rsidRPr="000E175F">
              <w:rPr>
                <w:sz w:val="20"/>
                <w:lang w:val="en-GB"/>
              </w:rPr>
              <w:t xml:space="preserve">, in the </w:t>
            </w:r>
            <w:r w:rsidRPr="007A5BEE">
              <w:rPr>
                <w:sz w:val="20"/>
                <w:lang w:val="en-GB"/>
              </w:rPr>
              <w:t xml:space="preserve">litoxetine 40 mg BID group that was considered by the </w:t>
            </w:r>
            <w:r>
              <w:rPr>
                <w:sz w:val="20"/>
                <w:lang w:val="en-GB"/>
              </w:rPr>
              <w:t>Investigator</w:t>
            </w:r>
            <w:r w:rsidRPr="007A5BEE">
              <w:rPr>
                <w:sz w:val="20"/>
                <w:lang w:val="en-GB"/>
              </w:rPr>
              <w:t xml:space="preserve"> as possibly related to study drug. The subject fully recovered from this SAE upon study drug tape</w:t>
            </w:r>
            <w:r w:rsidRPr="000E175F">
              <w:rPr>
                <w:sz w:val="20"/>
                <w:lang w:val="en-GB"/>
              </w:rPr>
              <w:t>ring and subsequent discontinuation. There were no deaths during the study.</w:t>
            </w:r>
          </w:p>
          <w:p w:rsidR="0023131C" w:rsidRPr="007A5BEE" w:rsidRDefault="0023131C" w:rsidP="0023131C">
            <w:pPr>
              <w:numPr>
                <w:ilvl w:val="0"/>
                <w:numId w:val="3"/>
              </w:numPr>
              <w:spacing w:before="40" w:after="40"/>
              <w:ind w:left="360"/>
              <w:rPr>
                <w:sz w:val="20"/>
                <w:lang w:val="en-GB"/>
              </w:rPr>
            </w:pPr>
            <w:r w:rsidRPr="007A5BEE">
              <w:rPr>
                <w:sz w:val="20"/>
                <w:lang w:val="en-GB"/>
              </w:rPr>
              <w:t xml:space="preserve">There was a dose-response relationship in the incidence of TEAEs. As the dose of litoxetine increased, the incidences of TEAEs increased; 56.3% of subjects in the 40 mg BID , 42.3% of subjects in the 20 mg BID group, and 35.4% in the 10 mg BID group experienced a TEAE. </w:t>
            </w:r>
            <w:r w:rsidRPr="007A5BEE">
              <w:rPr>
                <w:sz w:val="20"/>
                <w:szCs w:val="20"/>
                <w:lang w:val="en-GB"/>
              </w:rPr>
              <w:t>The incidence of TEAEs in the placebo BID group was 34.0%</w:t>
            </w:r>
            <w:r w:rsidRPr="00B505EE">
              <w:rPr>
                <w:lang w:val="en-GB"/>
              </w:rPr>
              <w:t>.</w:t>
            </w:r>
          </w:p>
          <w:p w:rsidR="0023131C" w:rsidRPr="000E175F" w:rsidRDefault="0023131C" w:rsidP="0023131C">
            <w:pPr>
              <w:numPr>
                <w:ilvl w:val="0"/>
                <w:numId w:val="3"/>
              </w:numPr>
              <w:spacing w:before="40" w:after="40"/>
              <w:ind w:left="360"/>
              <w:rPr>
                <w:sz w:val="20"/>
                <w:lang w:val="en-GB"/>
              </w:rPr>
            </w:pPr>
            <w:r w:rsidRPr="009D6F99">
              <w:rPr>
                <w:sz w:val="20"/>
                <w:lang w:val="en-GB"/>
              </w:rPr>
              <w:t>All Litoxetine group compared with placebo</w:t>
            </w:r>
            <w:r w:rsidRPr="000E175F">
              <w:rPr>
                <w:sz w:val="20"/>
                <w:lang w:val="en-GB"/>
              </w:rPr>
              <w:t>:</w:t>
            </w:r>
          </w:p>
          <w:p w:rsidR="0023131C" w:rsidRPr="007A5BEE" w:rsidRDefault="0023131C" w:rsidP="0023131C">
            <w:pPr>
              <w:numPr>
                <w:ilvl w:val="1"/>
                <w:numId w:val="3"/>
              </w:numPr>
              <w:spacing w:before="40" w:after="40"/>
              <w:ind w:left="720"/>
              <w:rPr>
                <w:sz w:val="20"/>
                <w:lang w:val="en-GB"/>
              </w:rPr>
            </w:pPr>
            <w:r w:rsidRPr="007A5BEE">
              <w:rPr>
                <w:sz w:val="20"/>
                <w:lang w:val="en-GB"/>
              </w:rPr>
              <w:t>Treatment emergent a</w:t>
            </w:r>
            <w:r w:rsidRPr="007A5BEE">
              <w:rPr>
                <w:color w:val="212121"/>
                <w:sz w:val="20"/>
                <w:lang w:val="en-GB"/>
              </w:rPr>
              <w:t xml:space="preserve">dverse events observed in the All Litoxetine group which had an incidence of at least 2% and had at least 2 times greater incidence than in the placebo group, included </w:t>
            </w:r>
            <w:r w:rsidRPr="007A5BEE">
              <w:rPr>
                <w:iCs/>
                <w:color w:val="212121"/>
                <w:sz w:val="20"/>
                <w:lang w:val="en-GB"/>
              </w:rPr>
              <w:t>nausea, headache, asthenia/fatigue, hypertension, vomiting, diarrhoea and rash</w:t>
            </w:r>
            <w:r w:rsidRPr="007A5BEE">
              <w:rPr>
                <w:color w:val="212121"/>
                <w:sz w:val="20"/>
                <w:lang w:val="en-GB"/>
              </w:rPr>
              <w:t xml:space="preserve">. These TEAEs could be considered as adverse drug reactions (ADRs) for litoxetine treatment in female subject with urinary incontinence. </w:t>
            </w:r>
          </w:p>
          <w:p w:rsidR="0023131C" w:rsidRPr="007A5BEE" w:rsidRDefault="0023131C" w:rsidP="0023131C">
            <w:pPr>
              <w:numPr>
                <w:ilvl w:val="1"/>
                <w:numId w:val="3"/>
              </w:numPr>
              <w:spacing w:before="40" w:after="40"/>
              <w:ind w:left="720"/>
              <w:rPr>
                <w:sz w:val="20"/>
                <w:lang w:val="en-GB"/>
              </w:rPr>
            </w:pPr>
            <w:r w:rsidRPr="007A5BEE">
              <w:rPr>
                <w:color w:val="212121"/>
                <w:sz w:val="20"/>
                <w:lang w:val="en-GB"/>
              </w:rPr>
              <w:t>Five additional TEAEs (dyspepsia, hypoaesthesia, dysuria, hyperhydrosis, and petechiae) were observed in at least 2 (1.4%) subjects in the All Litoxetine group and were not observed in the placebo group. These are known serotonergic effects and could be also considered as adverse drug reactions for litoxetine.</w:t>
            </w:r>
          </w:p>
          <w:p w:rsidR="0023131C" w:rsidRPr="000E175F" w:rsidRDefault="0023131C" w:rsidP="0023131C">
            <w:pPr>
              <w:numPr>
                <w:ilvl w:val="1"/>
                <w:numId w:val="3"/>
              </w:numPr>
              <w:spacing w:before="40" w:after="40"/>
              <w:ind w:left="720"/>
              <w:rPr>
                <w:sz w:val="20"/>
                <w:lang w:val="en-GB"/>
              </w:rPr>
            </w:pPr>
            <w:r w:rsidRPr="000E175F">
              <w:rPr>
                <w:color w:val="212121"/>
                <w:sz w:val="20"/>
                <w:lang w:val="en-GB"/>
              </w:rPr>
              <w:t>The remaining TEAEs were observed in only 1 subject in the All Litoxetine group or the incidence of TEAEs in the placebo group was either the same or higher than in the combined litoxetine group.</w:t>
            </w:r>
          </w:p>
          <w:p w:rsidR="0023131C" w:rsidRPr="000E175F" w:rsidRDefault="0023131C" w:rsidP="0023131C">
            <w:pPr>
              <w:numPr>
                <w:ilvl w:val="0"/>
                <w:numId w:val="3"/>
              </w:numPr>
              <w:spacing w:before="40" w:after="40"/>
              <w:ind w:left="360"/>
              <w:rPr>
                <w:sz w:val="20"/>
                <w:lang w:val="en-GB"/>
              </w:rPr>
            </w:pPr>
            <w:r w:rsidRPr="000E175F">
              <w:rPr>
                <w:color w:val="212121"/>
                <w:sz w:val="20"/>
                <w:lang w:val="en-GB"/>
              </w:rPr>
              <w:t>There was no clinically relevant difference in the incidence and nature of TEAEs observed in litoxetine group in subjects aged below and above 65 years.</w:t>
            </w:r>
          </w:p>
          <w:p w:rsidR="0023131C" w:rsidRPr="000E175F" w:rsidRDefault="0023131C" w:rsidP="0023131C">
            <w:pPr>
              <w:numPr>
                <w:ilvl w:val="0"/>
                <w:numId w:val="3"/>
              </w:numPr>
              <w:spacing w:before="40" w:after="40"/>
              <w:ind w:left="360"/>
              <w:rPr>
                <w:sz w:val="20"/>
                <w:lang w:val="en-GB"/>
              </w:rPr>
            </w:pPr>
            <w:r w:rsidRPr="000E175F">
              <w:rPr>
                <w:sz w:val="20"/>
                <w:lang w:val="en-GB"/>
              </w:rPr>
              <w:t xml:space="preserve">Of a total 198 randomised subjects, 10 subjects discontinued from the study because of a TEAE: 6 in the 40 mg BID group and 4 in the 20 mg BID group. </w:t>
            </w:r>
          </w:p>
          <w:p w:rsidR="0023131C" w:rsidRPr="000E175F" w:rsidRDefault="0023131C" w:rsidP="0023131C">
            <w:pPr>
              <w:numPr>
                <w:ilvl w:val="0"/>
                <w:numId w:val="3"/>
              </w:numPr>
              <w:spacing w:before="40" w:after="40"/>
              <w:ind w:left="360"/>
              <w:rPr>
                <w:sz w:val="20"/>
                <w:lang w:val="en-GB"/>
              </w:rPr>
            </w:pPr>
            <w:r w:rsidRPr="000E175F">
              <w:rPr>
                <w:sz w:val="20"/>
                <w:lang w:val="en-GB"/>
              </w:rPr>
              <w:t xml:space="preserve">Adverse events of interest included urinary retention and withdrawal symptoms. One subject (10 mg BID) experienced an AE of interest (mild urinary retention that was considered possibly related to study drug). </w:t>
            </w:r>
            <w:r w:rsidRPr="00A80005">
              <w:rPr>
                <w:iCs/>
                <w:sz w:val="20"/>
                <w:szCs w:val="20"/>
                <w:lang w:val="en-GB"/>
              </w:rPr>
              <w:t xml:space="preserve">Withdrawal symptoms are defined as those AEs that occurred either during the tapering phase or after the last dose of study drug. </w:t>
            </w:r>
            <w:r w:rsidRPr="00A80005">
              <w:rPr>
                <w:sz w:val="20"/>
                <w:szCs w:val="20"/>
                <w:lang w:val="en-GB"/>
              </w:rPr>
              <w:t>The incidences of AEs occurring in the follow-up period or after discontinuation were similar among the treatment groups.</w:t>
            </w:r>
          </w:p>
          <w:p w:rsidR="0023131C" w:rsidRPr="007A5BEE" w:rsidRDefault="0023131C" w:rsidP="0023131C">
            <w:pPr>
              <w:pStyle w:val="Text"/>
              <w:numPr>
                <w:ilvl w:val="0"/>
                <w:numId w:val="3"/>
              </w:numPr>
              <w:tabs>
                <w:tab w:val="clear" w:pos="1080"/>
              </w:tabs>
              <w:spacing w:before="40" w:after="40"/>
              <w:ind w:left="360"/>
              <w:rPr>
                <w:sz w:val="20"/>
                <w:szCs w:val="20"/>
                <w:lang w:val="en-GB"/>
              </w:rPr>
            </w:pPr>
            <w:r w:rsidRPr="000E175F">
              <w:rPr>
                <w:sz w:val="20"/>
                <w:szCs w:val="20"/>
                <w:lang w:val="en-GB"/>
              </w:rPr>
              <w:t xml:space="preserve">Overall, 5 subjects </w:t>
            </w:r>
            <w:r w:rsidRPr="007A5BEE">
              <w:rPr>
                <w:sz w:val="20"/>
                <w:szCs w:val="20"/>
                <w:lang w:val="en-GB"/>
              </w:rPr>
              <w:t>(3 subjects on litoxetine and 2 subjects on placebo) experienced a TEAE of special psychiatric interest.</w:t>
            </w:r>
          </w:p>
          <w:p w:rsidR="0023131C" w:rsidRPr="000E175F" w:rsidRDefault="0023131C" w:rsidP="0023131C">
            <w:pPr>
              <w:pStyle w:val="Text"/>
              <w:numPr>
                <w:ilvl w:val="0"/>
                <w:numId w:val="3"/>
              </w:numPr>
              <w:tabs>
                <w:tab w:val="clear" w:pos="1080"/>
              </w:tabs>
              <w:spacing w:before="40" w:after="40"/>
              <w:ind w:left="360"/>
              <w:rPr>
                <w:sz w:val="20"/>
                <w:szCs w:val="20"/>
                <w:lang w:val="en-GB"/>
              </w:rPr>
            </w:pPr>
            <w:r w:rsidRPr="007A5BEE">
              <w:rPr>
                <w:sz w:val="20"/>
                <w:szCs w:val="20"/>
                <w:lang w:val="en-GB"/>
              </w:rPr>
              <w:t>Overall, 6 subjects on litoxetine exp</w:t>
            </w:r>
            <w:r w:rsidRPr="000E175F">
              <w:rPr>
                <w:sz w:val="20"/>
                <w:szCs w:val="20"/>
                <w:lang w:val="en-GB"/>
              </w:rPr>
              <w:t>erienced 9 TEAEs during the tapering period.</w:t>
            </w:r>
          </w:p>
          <w:p w:rsidR="0023131C" w:rsidRPr="000E175F" w:rsidRDefault="0023131C" w:rsidP="0023131C">
            <w:pPr>
              <w:pStyle w:val="Text"/>
              <w:numPr>
                <w:ilvl w:val="0"/>
                <w:numId w:val="3"/>
              </w:numPr>
              <w:tabs>
                <w:tab w:val="clear" w:pos="1080"/>
              </w:tabs>
              <w:spacing w:before="40" w:after="40"/>
              <w:ind w:left="360"/>
              <w:rPr>
                <w:sz w:val="20"/>
                <w:szCs w:val="20"/>
                <w:lang w:val="en-GB"/>
              </w:rPr>
            </w:pPr>
            <w:r w:rsidRPr="000E175F">
              <w:rPr>
                <w:sz w:val="20"/>
                <w:szCs w:val="20"/>
                <w:lang w:val="en-GB"/>
              </w:rPr>
              <w:t>There were no reports of suicidal ideation or worsening of depression.</w:t>
            </w:r>
          </w:p>
          <w:p w:rsidR="0023131C" w:rsidRPr="000E175F" w:rsidRDefault="0023131C" w:rsidP="0023131C">
            <w:pPr>
              <w:pStyle w:val="Text"/>
              <w:numPr>
                <w:ilvl w:val="0"/>
                <w:numId w:val="3"/>
              </w:numPr>
              <w:tabs>
                <w:tab w:val="clear" w:pos="1080"/>
              </w:tabs>
              <w:spacing w:before="40" w:after="40"/>
              <w:ind w:left="360"/>
              <w:rPr>
                <w:sz w:val="20"/>
                <w:szCs w:val="20"/>
                <w:lang w:val="en-GB"/>
              </w:rPr>
            </w:pPr>
            <w:r w:rsidRPr="000E175F">
              <w:rPr>
                <w:sz w:val="20"/>
                <w:szCs w:val="20"/>
                <w:lang w:val="en-GB"/>
              </w:rPr>
              <w:t>No clinically meaningful changes in laboratory values, physical examination findings, or concomitant medication use were seen.</w:t>
            </w:r>
          </w:p>
          <w:p w:rsidR="0023131C" w:rsidRPr="00B00E7C" w:rsidRDefault="0023131C" w:rsidP="0023131C">
            <w:pPr>
              <w:pStyle w:val="Text"/>
              <w:numPr>
                <w:ilvl w:val="0"/>
                <w:numId w:val="3"/>
              </w:numPr>
              <w:tabs>
                <w:tab w:val="clear" w:pos="1080"/>
              </w:tabs>
              <w:spacing w:before="40" w:after="40"/>
              <w:ind w:left="360"/>
              <w:rPr>
                <w:sz w:val="20"/>
                <w:szCs w:val="20"/>
                <w:lang w:val="en-GB"/>
              </w:rPr>
            </w:pPr>
            <w:r w:rsidRPr="000E175F">
              <w:rPr>
                <w:sz w:val="20"/>
                <w:szCs w:val="20"/>
                <w:lang w:val="en-GB"/>
              </w:rPr>
              <w:t>Overall 2 subjects reported TEAEs of increased liver enzymes (ALT, AST, and GGT), both received 10 mg BID group</w:t>
            </w:r>
            <w:r w:rsidRPr="00B00E7C">
              <w:rPr>
                <w:sz w:val="20"/>
                <w:szCs w:val="20"/>
                <w:lang w:val="en-GB"/>
              </w:rPr>
              <w:t>. Two additional subjects were found to have increased liver enzymes (ALT, AST, and GGT) prior to the randomisation visit, which were reported as non-TEAEs.</w:t>
            </w:r>
          </w:p>
          <w:p w:rsidR="0023131C" w:rsidRPr="000E175F" w:rsidRDefault="0023131C" w:rsidP="0023131C">
            <w:pPr>
              <w:pStyle w:val="Text"/>
              <w:numPr>
                <w:ilvl w:val="0"/>
                <w:numId w:val="3"/>
              </w:numPr>
              <w:tabs>
                <w:tab w:val="clear" w:pos="1080"/>
              </w:tabs>
              <w:spacing w:before="40" w:after="40"/>
              <w:ind w:left="360"/>
              <w:rPr>
                <w:sz w:val="20"/>
                <w:szCs w:val="20"/>
                <w:lang w:val="en-GB"/>
              </w:rPr>
            </w:pPr>
            <w:r w:rsidRPr="00B00E7C">
              <w:rPr>
                <w:sz w:val="20"/>
                <w:szCs w:val="20"/>
                <w:lang w:val="en-GB"/>
              </w:rPr>
              <w:t>At the end of study treatment statistically significant</w:t>
            </w:r>
            <w:r w:rsidRPr="007A5BEE">
              <w:rPr>
                <w:sz w:val="20"/>
                <w:szCs w:val="20"/>
                <w:lang w:val="en-GB"/>
              </w:rPr>
              <w:t xml:space="preserve"> decrease in QTc interval using Bazett’s formula, Fridericia’s formula, and the Framingham correction were seen when comparing the 40 mg BID group with th</w:t>
            </w:r>
            <w:r w:rsidRPr="000E175F">
              <w:rPr>
                <w:sz w:val="20"/>
                <w:szCs w:val="20"/>
                <w:lang w:val="en-GB"/>
              </w:rPr>
              <w:t>e placebo BID group.</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rPr>
                <w:b/>
              </w:rPr>
            </w:pPr>
            <w:r w:rsidRPr="007A5BEE">
              <w:rPr>
                <w:snapToGrid/>
                <w:sz w:val="24"/>
                <w:szCs w:val="24"/>
                <w:lang w:val="en-US"/>
              </w:rPr>
              <w:lastRenderedPageBreak/>
              <w:br w:type="page"/>
            </w:r>
            <w:r w:rsidRPr="000E175F">
              <w:rPr>
                <w:b/>
              </w:rPr>
              <w:t xml:space="preserve">Conclusions:  </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The placebo response was unexpectedly high</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There was a large degree of variability with wide SD</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sz w:val="20"/>
                <w:szCs w:val="20"/>
                <w:lang w:val="en-GB"/>
              </w:rPr>
              <w:t xml:space="preserve">There was a biologic effect of </w:t>
            </w:r>
            <w:r w:rsidRPr="000E175F">
              <w:rPr>
                <w:bCs/>
                <w:color w:val="212121"/>
                <w:sz w:val="20"/>
                <w:szCs w:val="20"/>
                <w:lang w:val="en-GB"/>
              </w:rPr>
              <w:t>litoxetine at doses 20 and 40 mg BID (with a trend of 40 mg BID being more effective)</w:t>
            </w:r>
          </w:p>
          <w:p w:rsidR="0023131C" w:rsidRPr="000E175F" w:rsidRDefault="0023131C" w:rsidP="0023131C">
            <w:pPr>
              <w:pStyle w:val="Text"/>
              <w:numPr>
                <w:ilvl w:val="0"/>
                <w:numId w:val="1"/>
              </w:numPr>
              <w:tabs>
                <w:tab w:val="clear" w:pos="1080"/>
              </w:tabs>
              <w:spacing w:before="40" w:after="40"/>
              <w:ind w:left="360"/>
              <w:rPr>
                <w:sz w:val="20"/>
                <w:szCs w:val="20"/>
                <w:lang w:val="en-GB"/>
              </w:rPr>
            </w:pPr>
            <w:r w:rsidRPr="000E175F">
              <w:rPr>
                <w:bCs/>
                <w:color w:val="212121"/>
                <w:sz w:val="20"/>
                <w:szCs w:val="20"/>
                <w:lang w:val="en-GB"/>
              </w:rPr>
              <w:t>The following changes are considered clinically meaningful</w:t>
            </w:r>
          </w:p>
          <w:p w:rsidR="0023131C" w:rsidRPr="000E175F" w:rsidRDefault="0023131C" w:rsidP="0023131C">
            <w:pPr>
              <w:numPr>
                <w:ilvl w:val="1"/>
                <w:numId w:val="1"/>
              </w:numPr>
              <w:spacing w:before="40" w:after="40"/>
              <w:ind w:left="720"/>
              <w:rPr>
                <w:color w:val="212121"/>
                <w:sz w:val="20"/>
                <w:lang w:val="en-GB"/>
              </w:rPr>
            </w:pPr>
            <w:r w:rsidRPr="000E175F">
              <w:rPr>
                <w:bCs/>
                <w:color w:val="212121"/>
                <w:sz w:val="20"/>
                <w:lang w:val="en-GB"/>
              </w:rPr>
              <w:t>44% responders to treatment</w:t>
            </w:r>
            <w:r>
              <w:rPr>
                <w:bCs/>
                <w:color w:val="212121"/>
                <w:sz w:val="20"/>
                <w:lang w:val="en-GB"/>
              </w:rPr>
              <w:t xml:space="preserve"> with litoxetine 40 mg BID</w:t>
            </w:r>
          </w:p>
          <w:p w:rsidR="0023131C" w:rsidRPr="000E175F" w:rsidRDefault="0023131C" w:rsidP="0023131C">
            <w:pPr>
              <w:numPr>
                <w:ilvl w:val="1"/>
                <w:numId w:val="1"/>
              </w:numPr>
              <w:spacing w:before="40" w:after="40"/>
              <w:ind w:left="720"/>
              <w:rPr>
                <w:color w:val="212121"/>
                <w:sz w:val="20"/>
                <w:lang w:val="en-GB"/>
              </w:rPr>
            </w:pPr>
            <w:r w:rsidRPr="000E175F">
              <w:rPr>
                <w:bCs/>
                <w:color w:val="212121"/>
                <w:sz w:val="20"/>
                <w:lang w:val="en-GB"/>
              </w:rPr>
              <w:t>Improvement in subject perception of their condition</w:t>
            </w:r>
          </w:p>
          <w:p w:rsidR="0023131C" w:rsidRPr="000E175F" w:rsidRDefault="0023131C" w:rsidP="0023131C">
            <w:pPr>
              <w:numPr>
                <w:ilvl w:val="1"/>
                <w:numId w:val="1"/>
              </w:numPr>
              <w:spacing w:before="40" w:after="40"/>
              <w:ind w:left="720"/>
              <w:rPr>
                <w:color w:val="212121"/>
                <w:sz w:val="20"/>
                <w:lang w:val="en-GB"/>
              </w:rPr>
            </w:pPr>
            <w:r w:rsidRPr="000E175F">
              <w:rPr>
                <w:bCs/>
                <w:color w:val="212121"/>
                <w:sz w:val="20"/>
                <w:lang w:val="en-GB"/>
              </w:rPr>
              <w:t>More pronounced effects of litoxetine in subjects with more severe incontinence</w:t>
            </w:r>
          </w:p>
          <w:p w:rsidR="0023131C" w:rsidRPr="007A5BEE" w:rsidRDefault="0023131C" w:rsidP="0023131C">
            <w:pPr>
              <w:pStyle w:val="Synopsis"/>
              <w:numPr>
                <w:ilvl w:val="0"/>
                <w:numId w:val="1"/>
              </w:numPr>
              <w:ind w:left="360"/>
            </w:pPr>
            <w:r w:rsidRPr="0094004E">
              <w:rPr>
                <w:color w:val="212121"/>
              </w:rPr>
              <w:t xml:space="preserve">Post hoc analysis were conducted to explore the effect of litoxetine in subjects with more severe UI, in whom the placebo effect could be expected to be capped. The trend of litoxetine effect which was observed in the overall population was thus demonstrated to be further pronounced, while the placebo effect remained unchanged. </w:t>
            </w:r>
            <w:r w:rsidRPr="000E175F">
              <w:rPr>
                <w:color w:val="212121"/>
              </w:rPr>
              <w:t>The treatment effect of litoxetine was thus statistically significant.</w:t>
            </w:r>
          </w:p>
          <w:p w:rsidR="0023131C" w:rsidRDefault="0023131C" w:rsidP="0023131C">
            <w:pPr>
              <w:pStyle w:val="Synopsis"/>
              <w:numPr>
                <w:ilvl w:val="0"/>
                <w:numId w:val="1"/>
              </w:numPr>
              <w:ind w:left="360"/>
            </w:pPr>
            <w:r w:rsidRPr="000E175F">
              <w:t xml:space="preserve">Doses of litoxetine 40 mg BID, 20 mg BID, and 10 mg BID were generally safe and well tolerated. </w:t>
            </w:r>
          </w:p>
          <w:p w:rsidR="0023131C" w:rsidRPr="007A5BEE" w:rsidRDefault="0023131C" w:rsidP="0023131C">
            <w:pPr>
              <w:pStyle w:val="Text"/>
              <w:numPr>
                <w:ilvl w:val="0"/>
                <w:numId w:val="1"/>
              </w:numPr>
              <w:tabs>
                <w:tab w:val="clear" w:pos="1080"/>
              </w:tabs>
              <w:ind w:left="360"/>
              <w:rPr>
                <w:sz w:val="20"/>
                <w:szCs w:val="20"/>
                <w:lang w:val="en-GB"/>
              </w:rPr>
            </w:pPr>
            <w:r w:rsidRPr="007A5BEE">
              <w:rPr>
                <w:sz w:val="20"/>
                <w:szCs w:val="20"/>
                <w:lang w:val="en-GB"/>
              </w:rPr>
              <w:t xml:space="preserve">All TEAEs, except 1 SAE of somnolence, were not serious. Five percent of randomised subjects discontinued the study due to a TEAE. There were no TEAEs suggestive of suicidal ideation or worsening of depression. </w:t>
            </w:r>
          </w:p>
          <w:p w:rsidR="0023131C" w:rsidRPr="007A5BEE" w:rsidRDefault="0023131C" w:rsidP="0023131C">
            <w:pPr>
              <w:pStyle w:val="Text"/>
              <w:numPr>
                <w:ilvl w:val="0"/>
                <w:numId w:val="1"/>
              </w:numPr>
              <w:tabs>
                <w:tab w:val="clear" w:pos="1080"/>
              </w:tabs>
              <w:ind w:left="360"/>
              <w:rPr>
                <w:sz w:val="20"/>
                <w:szCs w:val="20"/>
                <w:lang w:val="en-GB"/>
              </w:rPr>
            </w:pPr>
            <w:r w:rsidRPr="007A5BEE">
              <w:rPr>
                <w:sz w:val="20"/>
                <w:szCs w:val="20"/>
                <w:lang w:val="en-GB"/>
              </w:rPr>
              <w:t>Most frequently reported TEAEs on litoxetine were dose related, and most likely associated with litoxetine pharmacological effect.</w:t>
            </w:r>
          </w:p>
          <w:p w:rsidR="0023131C" w:rsidRPr="000E175F" w:rsidRDefault="0023131C" w:rsidP="0023131C">
            <w:pPr>
              <w:pStyle w:val="Synopsis"/>
              <w:numPr>
                <w:ilvl w:val="0"/>
                <w:numId w:val="1"/>
              </w:numPr>
              <w:ind w:left="360"/>
            </w:pPr>
            <w:r w:rsidRPr="007A5BEE">
              <w:t>Nausea, headache, asthenia/fatigue, hypertension/increased blood pressure, vomiting, diarrhoea and rash - were identified as ADRs</w:t>
            </w:r>
            <w:r>
              <w:t>.</w:t>
            </w:r>
          </w:p>
        </w:tc>
      </w:tr>
      <w:tr w:rsidR="0023131C" w:rsidRPr="00AD48BC" w:rsidTr="002A246E">
        <w:trPr>
          <w:cantSplit/>
        </w:trPr>
        <w:tc>
          <w:tcPr>
            <w:tcW w:w="8755" w:type="dxa"/>
            <w:gridSpan w:val="4"/>
            <w:tcBorders>
              <w:top w:val="single" w:sz="4" w:space="0" w:color="auto"/>
              <w:left w:val="single" w:sz="4" w:space="0" w:color="auto"/>
              <w:bottom w:val="single" w:sz="4" w:space="0" w:color="auto"/>
              <w:right w:val="single" w:sz="4" w:space="0" w:color="auto"/>
            </w:tcBorders>
          </w:tcPr>
          <w:p w:rsidR="0023131C" w:rsidRPr="000E175F" w:rsidRDefault="0023131C" w:rsidP="002A246E">
            <w:pPr>
              <w:pStyle w:val="Synopsis"/>
            </w:pPr>
            <w:r w:rsidRPr="000E175F">
              <w:rPr>
                <w:b/>
              </w:rPr>
              <w:t>Date of Report, version</w:t>
            </w:r>
            <w:r w:rsidRPr="000E175F">
              <w:t xml:space="preserve">: </w:t>
            </w:r>
            <w:r>
              <w:t>13 March</w:t>
            </w:r>
            <w:r w:rsidRPr="000E175F">
              <w:t xml:space="preserve"> 2019; </w:t>
            </w:r>
            <w:r>
              <w:t>v1.0</w:t>
            </w:r>
          </w:p>
        </w:tc>
      </w:tr>
    </w:tbl>
    <w:p w:rsidR="00A254C4" w:rsidRDefault="00A254C4"/>
    <w:sectPr w:rsidR="00A254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9B1992"/>
    <w:multiLevelType w:val="hybridMultilevel"/>
    <w:tmpl w:val="C33A4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247585"/>
    <w:multiLevelType w:val="hybridMultilevel"/>
    <w:tmpl w:val="91E69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E30F8D"/>
    <w:multiLevelType w:val="hybridMultilevel"/>
    <w:tmpl w:val="BF12A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1C"/>
    <w:rsid w:val="0023131C"/>
    <w:rsid w:val="00A254C4"/>
    <w:rsid w:val="00DD4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3D3E"/>
  <w15:chartTrackingRefBased/>
  <w15:docId w15:val="{BB087C67-0096-4A54-B524-AFDAE640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31C"/>
    <w:pPr>
      <w:spacing w:after="0" w:line="240" w:lineRule="auto"/>
    </w:pPr>
    <w:rPr>
      <w:rFonts w:ascii="Times New Roman" w:eastAsia="Times New Roman" w:hAnsi="Times New Roman" w:cs="Times New Roman"/>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uiPriority w:val="99"/>
    <w:qFormat/>
    <w:rsid w:val="0023131C"/>
    <w:pPr>
      <w:tabs>
        <w:tab w:val="left" w:pos="1080"/>
      </w:tabs>
      <w:suppressAutoHyphens/>
    </w:pPr>
  </w:style>
  <w:style w:type="character" w:customStyle="1" w:styleId="TextChar">
    <w:name w:val="Text Char"/>
    <w:link w:val="Text"/>
    <w:uiPriority w:val="99"/>
    <w:rsid w:val="0023131C"/>
    <w:rPr>
      <w:rFonts w:ascii="Times New Roman" w:eastAsia="Times New Roman" w:hAnsi="Times New Roman" w:cs="Times New Roman"/>
      <w:sz w:val="24"/>
      <w:szCs w:val="24"/>
      <w:lang w:val="fr-FR"/>
    </w:rPr>
  </w:style>
  <w:style w:type="paragraph" w:customStyle="1" w:styleId="Synopsis">
    <w:name w:val="Synopsis"/>
    <w:rsid w:val="0023131C"/>
    <w:pPr>
      <w:spacing w:before="40" w:after="40" w:line="240" w:lineRule="auto"/>
      <w:ind w:firstLine="11"/>
    </w:pPr>
    <w:rPr>
      <w:rFonts w:ascii="Times New Roman" w:eastAsia="Times New Roman" w:hAnsi="Times New Roman" w:cs="Times New Roman"/>
      <w:snapToGrid w:val="0"/>
      <w:sz w:val="20"/>
      <w:szCs w:val="20"/>
      <w:lang w:val="en-GB"/>
    </w:rPr>
  </w:style>
  <w:style w:type="paragraph" w:customStyle="1" w:styleId="Default">
    <w:name w:val="Default"/>
    <w:rsid w:val="0023131C"/>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2288</Words>
  <Characters>12496</Characters>
  <Application>Microsoft Office Word</Application>
  <DocSecurity>0</DocSecurity>
  <Lines>208</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Van Pelt</dc:creator>
  <cp:keywords/>
  <dc:description/>
  <cp:lastModifiedBy>Beth Van Pelt</cp:lastModifiedBy>
  <cp:revision>2</cp:revision>
  <dcterms:created xsi:type="dcterms:W3CDTF">2019-03-21T14:00:00Z</dcterms:created>
  <dcterms:modified xsi:type="dcterms:W3CDTF">2019-03-21T14:07:00Z</dcterms:modified>
</cp:coreProperties>
</file>