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6372E" w14:textId="018FB7E8" w:rsidR="0021107F" w:rsidRPr="0021107F" w:rsidRDefault="00F84755" w:rsidP="0021107F">
      <w:pPr>
        <w:spacing w:before="360" w:after="240" w:line="240" w:lineRule="auto"/>
        <w:jc w:val="center"/>
        <w:outlineLvl w:val="0"/>
        <w:rPr>
          <w:rFonts w:ascii="Arial Black" w:eastAsia="SimHei" w:hAnsi="Arial Black" w:cs="Arial"/>
          <w:b/>
          <w:bCs/>
          <w:caps/>
          <w:color w:val="0070B9"/>
          <w:kern w:val="28"/>
          <w:sz w:val="36"/>
          <w:szCs w:val="36"/>
          <w:lang w:val="en-GB" w:eastAsia="es-ES"/>
        </w:rPr>
      </w:pPr>
      <w:bookmarkStart w:id="0" w:name="_Toc100231521"/>
      <w:r w:rsidRPr="00F84755">
        <w:rPr>
          <w:rFonts w:ascii="Arial Black" w:eastAsia="SimHei" w:hAnsi="Arial Black" w:cs="Arial"/>
          <w:b/>
          <w:bCs/>
          <w:caps/>
          <w:color w:val="0070B9"/>
          <w:kern w:val="28"/>
          <w:sz w:val="36"/>
          <w:szCs w:val="36"/>
          <w:lang w:val="en-GB" w:eastAsia="es-ES"/>
        </w:rPr>
        <w:t>SYNOPSIS</w:t>
      </w:r>
      <w:bookmarkEnd w:id="0"/>
    </w:p>
    <w:p w14:paraId="0E26B9D3" w14:textId="140E9852" w:rsidR="00F84755" w:rsidRPr="00F84755" w:rsidRDefault="0021107F" w:rsidP="00DF6713">
      <w:pPr>
        <w:spacing w:before="360" w:after="240" w:line="240" w:lineRule="auto"/>
        <w:jc w:val="center"/>
        <w:outlineLvl w:val="0"/>
        <w:rPr>
          <w:rFonts w:ascii="Arial Black" w:eastAsia="SimHei" w:hAnsi="Arial Black" w:cs="Arial"/>
          <w:b/>
          <w:bCs/>
          <w:caps/>
          <w:color w:val="0070B9"/>
          <w:kern w:val="28"/>
          <w:sz w:val="24"/>
          <w:szCs w:val="24"/>
          <w:lang w:val="en-GB" w:eastAsia="es-ES"/>
        </w:rPr>
      </w:pPr>
      <w:r w:rsidRPr="00C06BDC">
        <w:rPr>
          <w:rFonts w:ascii="Arial Black" w:eastAsia="SimHei" w:hAnsi="Arial Black" w:cs="Arial"/>
          <w:b/>
          <w:bCs/>
          <w:caps/>
          <w:color w:val="0070B9"/>
          <w:kern w:val="28"/>
          <w:sz w:val="24"/>
          <w:szCs w:val="24"/>
          <w:lang w:val="en-GB" w:eastAsia="es-ES"/>
        </w:rPr>
        <w:t xml:space="preserve">CLINICAL STUDY REPORT </w:t>
      </w:r>
      <w:r w:rsidR="00C06BDC" w:rsidRPr="00C06BDC">
        <w:rPr>
          <w:rFonts w:ascii="Arial Black" w:eastAsia="SimHei" w:hAnsi="Arial Black" w:cs="Arial"/>
          <w:b/>
          <w:bCs/>
          <w:caps/>
          <w:color w:val="0070B9"/>
          <w:kern w:val="28"/>
          <w:sz w:val="24"/>
          <w:szCs w:val="24"/>
          <w:lang w:val="en-GB" w:eastAsia="es-ES"/>
        </w:rPr>
        <w:t>- GEMCAD</w:t>
      </w:r>
      <w:r w:rsidR="00DF6713" w:rsidRPr="00C06BDC">
        <w:rPr>
          <w:rFonts w:ascii="Arial Black" w:eastAsia="SimHei" w:hAnsi="Arial Black" w:cs="Arial"/>
          <w:b/>
          <w:bCs/>
          <w:caps/>
          <w:color w:val="0070B9"/>
          <w:kern w:val="28"/>
          <w:sz w:val="24"/>
          <w:szCs w:val="24"/>
          <w:lang w:val="en-GB" w:eastAsia="es-ES"/>
        </w:rPr>
        <w:t>-16-03</w:t>
      </w:r>
      <w:r w:rsidR="00DF6713" w:rsidRPr="00C06BDC">
        <w:rPr>
          <w:rFonts w:ascii="Arial Black" w:eastAsia="SimHei" w:hAnsi="Arial Black" w:cs="Arial"/>
          <w:b/>
          <w:bCs/>
          <w:caps/>
          <w:color w:val="0070B9"/>
          <w:kern w:val="28"/>
          <w:sz w:val="24"/>
          <w:szCs w:val="24"/>
          <w:lang w:val="en-GB" w:eastAsia="es-ES"/>
        </w:rPr>
        <w:t xml:space="preserve"> (</w:t>
      </w:r>
      <w:r w:rsidR="000F0271" w:rsidRPr="00C06BDC">
        <w:rPr>
          <w:rFonts w:ascii="Arial Black" w:eastAsia="SimHei" w:hAnsi="Arial Black" w:cs="Arial"/>
          <w:b/>
          <w:bCs/>
          <w:caps/>
          <w:color w:val="0070B9"/>
          <w:kern w:val="28"/>
          <w:sz w:val="24"/>
          <w:szCs w:val="24"/>
          <w:lang w:val="en-GB" w:eastAsia="es-ES"/>
        </w:rPr>
        <w:t>OPALO TRIA</w:t>
      </w:r>
      <w:r w:rsidRPr="00C06BDC">
        <w:rPr>
          <w:rFonts w:ascii="Arial Black" w:eastAsia="SimHei" w:hAnsi="Arial Black" w:cs="Arial"/>
          <w:b/>
          <w:bCs/>
          <w:caps/>
          <w:color w:val="0070B9"/>
          <w:kern w:val="28"/>
          <w:sz w:val="24"/>
          <w:szCs w:val="24"/>
          <w:lang w:val="en-GB" w:eastAsia="es-ES"/>
        </w:rPr>
        <w:t>L</w:t>
      </w:r>
      <w:r w:rsidR="00DF6713" w:rsidRPr="00C06BDC">
        <w:rPr>
          <w:rFonts w:ascii="Arial Black" w:eastAsia="SimHei" w:hAnsi="Arial Black" w:cs="Arial"/>
          <w:b/>
          <w:bCs/>
          <w:caps/>
          <w:color w:val="0070B9"/>
          <w:kern w:val="28"/>
          <w:sz w:val="24"/>
          <w:szCs w:val="24"/>
          <w:lang w:val="en-GB" w:eastAsia="es-ES"/>
        </w:rPr>
        <w:t>)</w:t>
      </w:r>
    </w:p>
    <w:p w14:paraId="7EB37B10" w14:textId="77777777" w:rsidR="00F84755" w:rsidRPr="00F84755" w:rsidRDefault="00F84755" w:rsidP="00F84755">
      <w:pPr>
        <w:spacing w:line="44" w:lineRule="exact"/>
        <w:jc w:val="both"/>
        <w:rPr>
          <w:rFonts w:ascii="Arial" w:eastAsia="Times New Roman" w:hAnsi="Arial" w:cs="Times New Roman"/>
          <w:b/>
          <w:bCs/>
          <w:color w:val="3F3F3F"/>
          <w:sz w:val="23"/>
          <w:szCs w:val="23"/>
        </w:rPr>
      </w:pPr>
    </w:p>
    <w:tbl>
      <w:tblPr>
        <w:tblStyle w:val="TableGrid1"/>
        <w:tblW w:w="0" w:type="auto"/>
        <w:tblLook w:val="04A0" w:firstRow="1" w:lastRow="0" w:firstColumn="1" w:lastColumn="0" w:noHBand="0" w:noVBand="1"/>
      </w:tblPr>
      <w:tblGrid>
        <w:gridCol w:w="4675"/>
        <w:gridCol w:w="2337"/>
        <w:gridCol w:w="2338"/>
      </w:tblGrid>
      <w:tr w:rsidR="00F84755" w:rsidRPr="00F84755" w14:paraId="6201FC2B" w14:textId="77777777" w:rsidTr="001651A4">
        <w:trPr>
          <w:trHeight w:val="539"/>
        </w:trPr>
        <w:tc>
          <w:tcPr>
            <w:tcW w:w="4675" w:type="dxa"/>
          </w:tcPr>
          <w:p w14:paraId="4685037B"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lang w:val="es-ES"/>
              </w:rPr>
            </w:pPr>
            <w:r w:rsidRPr="00F84755">
              <w:rPr>
                <w:rFonts w:ascii="Arial" w:eastAsia="Times New Roman" w:hAnsi="Arial" w:cs="Times New Roman"/>
                <w:color w:val="3F3F3F"/>
                <w:sz w:val="19"/>
                <w:szCs w:val="19"/>
                <w:lang w:val="es-ES"/>
              </w:rPr>
              <w:t>Name of Sponsor/Company: Grupo Español Multidisciplinar en Cáncer Digestivo (GEMCAD)</w:t>
            </w:r>
          </w:p>
        </w:tc>
        <w:tc>
          <w:tcPr>
            <w:tcW w:w="2337" w:type="dxa"/>
            <w:vMerge w:val="restart"/>
          </w:tcPr>
          <w:p w14:paraId="77E36A7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Individual Study Table Referring to Part of the Dossier</w:t>
            </w:r>
          </w:p>
          <w:p w14:paraId="6A781678"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1C02DF20"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Volume:</w:t>
            </w:r>
          </w:p>
          <w:p w14:paraId="353686D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07DF08F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Page:</w:t>
            </w:r>
          </w:p>
        </w:tc>
        <w:tc>
          <w:tcPr>
            <w:tcW w:w="2338" w:type="dxa"/>
            <w:vMerge w:val="restart"/>
          </w:tcPr>
          <w:p w14:paraId="1267F467"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(For National Authority</w:t>
            </w:r>
          </w:p>
          <w:p w14:paraId="3917D2E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Use only)</w:t>
            </w:r>
          </w:p>
        </w:tc>
      </w:tr>
      <w:tr w:rsidR="00F84755" w:rsidRPr="00F84755" w14:paraId="42FF1F81" w14:textId="77777777" w:rsidTr="001651A4">
        <w:trPr>
          <w:trHeight w:val="440"/>
        </w:trPr>
        <w:tc>
          <w:tcPr>
            <w:tcW w:w="4675" w:type="dxa"/>
          </w:tcPr>
          <w:p w14:paraId="0133F62F"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Name of Finished Product: Vectibix®, 5- fluorouracil (5-FU), leucovorin (LV), irinotecan.</w:t>
            </w:r>
          </w:p>
        </w:tc>
        <w:tc>
          <w:tcPr>
            <w:tcW w:w="2337" w:type="dxa"/>
            <w:vMerge/>
          </w:tcPr>
          <w:p w14:paraId="41782684"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c>
          <w:tcPr>
            <w:tcW w:w="2338" w:type="dxa"/>
            <w:vMerge/>
          </w:tcPr>
          <w:p w14:paraId="396A6DB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r>
      <w:tr w:rsidR="00F84755" w:rsidRPr="00F84755" w14:paraId="40E9EE04" w14:textId="77777777" w:rsidTr="001651A4">
        <w:tc>
          <w:tcPr>
            <w:tcW w:w="4675" w:type="dxa"/>
          </w:tcPr>
          <w:p w14:paraId="5068698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Name of Active Ingredient: Panitumumab. 5-Fluorouracil, irinotecan, leucovorin.</w:t>
            </w:r>
          </w:p>
        </w:tc>
        <w:tc>
          <w:tcPr>
            <w:tcW w:w="2337" w:type="dxa"/>
            <w:vMerge/>
          </w:tcPr>
          <w:p w14:paraId="50A5862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c>
          <w:tcPr>
            <w:tcW w:w="2338" w:type="dxa"/>
            <w:vMerge/>
          </w:tcPr>
          <w:p w14:paraId="7918A11E"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r>
      <w:tr w:rsidR="00F84755" w:rsidRPr="00F84755" w14:paraId="2A5DCBB7" w14:textId="77777777" w:rsidTr="001651A4">
        <w:trPr>
          <w:trHeight w:val="746"/>
        </w:trPr>
        <w:tc>
          <w:tcPr>
            <w:tcW w:w="9350" w:type="dxa"/>
            <w:gridSpan w:val="3"/>
          </w:tcPr>
          <w:p w14:paraId="695CDB81" w14:textId="77777777" w:rsidR="00F84755" w:rsidRPr="00F84755" w:rsidRDefault="00F84755" w:rsidP="00F84755">
            <w:pPr>
              <w:spacing w:line="276" w:lineRule="auto"/>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Title of Study:</w:t>
            </w:r>
            <w:r w:rsidRPr="00F84755">
              <w:rPr>
                <w:rFonts w:ascii="Arial" w:eastAsia="Times New Roman" w:hAnsi="Arial" w:cs="Times New Roman"/>
                <w:color w:val="3F3F3F"/>
                <w:sz w:val="19"/>
                <w:szCs w:val="19"/>
              </w:rPr>
              <w:br/>
              <w:t>A phase II trial to evaluate the efficacy and safety of FOLFIRI + panitumumab as first-line treatment in elderly patients with RAS/BRAF wild-type unresectable metastatic colorectal cancer (mCRC) and good performance status</w:t>
            </w:r>
          </w:p>
        </w:tc>
      </w:tr>
      <w:tr w:rsidR="00F84755" w:rsidRPr="00F84755" w14:paraId="3160B551" w14:textId="77777777" w:rsidTr="001651A4">
        <w:tc>
          <w:tcPr>
            <w:tcW w:w="9350" w:type="dxa"/>
            <w:gridSpan w:val="3"/>
          </w:tcPr>
          <w:p w14:paraId="6B5CFBE0" w14:textId="77777777" w:rsidR="00F84755" w:rsidRPr="00F84755" w:rsidRDefault="00F84755" w:rsidP="00F84755">
            <w:pPr>
              <w:spacing w:line="276" w:lineRule="auto"/>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Investigators and Study Centres:</w:t>
            </w:r>
            <w:r w:rsidRPr="00F84755">
              <w:rPr>
                <w:rFonts w:ascii="Arial" w:eastAsia="Times New Roman" w:hAnsi="Arial" w:cs="Times New Roman"/>
                <w:color w:val="3F3F3F"/>
                <w:sz w:val="19"/>
                <w:szCs w:val="19"/>
              </w:rPr>
              <w:t xml:space="preserve"> </w:t>
            </w:r>
          </w:p>
          <w:p w14:paraId="6937BCC1" w14:textId="77777777" w:rsidR="00F84755" w:rsidRPr="00F84755" w:rsidRDefault="00F84755" w:rsidP="00F84755">
            <w:pPr>
              <w:spacing w:line="276" w:lineRule="auto"/>
              <w:rPr>
                <w:rFonts w:ascii="Arial" w:eastAsia="Times New Roman" w:hAnsi="Arial" w:cs="Times New Roman"/>
                <w:color w:val="3F3F3F"/>
                <w:sz w:val="19"/>
                <w:szCs w:val="19"/>
              </w:rPr>
            </w:pP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0"/>
              <w:gridCol w:w="3495"/>
            </w:tblGrid>
            <w:tr w:rsidR="00F84755" w:rsidRPr="00F84755" w14:paraId="747FA426" w14:textId="77777777" w:rsidTr="00F84755">
              <w:trPr>
                <w:trHeight w:val="255"/>
              </w:trPr>
              <w:tc>
                <w:tcPr>
                  <w:tcW w:w="4960" w:type="dxa"/>
                  <w:shd w:val="clear" w:color="auto" w:fill="FFFFFF"/>
                  <w:vAlign w:val="bottom"/>
                </w:tcPr>
                <w:p w14:paraId="1A512609" w14:textId="77777777" w:rsidR="00F84755" w:rsidRPr="00F84755" w:rsidRDefault="00F84755" w:rsidP="00F84755">
                  <w:pPr>
                    <w:spacing w:after="0" w:line="240" w:lineRule="auto"/>
                    <w:jc w:val="both"/>
                    <w:rPr>
                      <w:rFonts w:ascii="Arial" w:eastAsia="Times New Roman" w:hAnsi="Arial" w:cs="Arial"/>
                      <w:b/>
                      <w:bCs/>
                      <w:color w:val="3F3F3F"/>
                      <w:sz w:val="24"/>
                      <w:lang w:val="es-ES" w:eastAsia="es-ES"/>
                    </w:rPr>
                  </w:pPr>
                  <w:r w:rsidRPr="00F84755">
                    <w:rPr>
                      <w:rFonts w:ascii="Arial" w:eastAsia="Times New Roman" w:hAnsi="Arial" w:cs="Arial"/>
                      <w:b/>
                      <w:bCs/>
                      <w:color w:val="3F3F3F"/>
                      <w:sz w:val="24"/>
                      <w:lang w:val="es-ES" w:eastAsia="es-ES"/>
                    </w:rPr>
                    <w:t>STUDY CENTRE</w:t>
                  </w:r>
                </w:p>
              </w:tc>
              <w:tc>
                <w:tcPr>
                  <w:tcW w:w="3495" w:type="dxa"/>
                  <w:shd w:val="clear" w:color="auto" w:fill="FFFFFF"/>
                  <w:vAlign w:val="bottom"/>
                </w:tcPr>
                <w:p w14:paraId="362CECA7" w14:textId="77777777" w:rsidR="00F84755" w:rsidRPr="00F84755" w:rsidRDefault="00F84755" w:rsidP="00F84755">
                  <w:pPr>
                    <w:spacing w:after="0" w:line="240" w:lineRule="auto"/>
                    <w:jc w:val="both"/>
                    <w:rPr>
                      <w:rFonts w:ascii="Arial" w:eastAsia="Times New Roman" w:hAnsi="Arial" w:cs="Arial"/>
                      <w:b/>
                      <w:bCs/>
                      <w:color w:val="3F3F3F"/>
                      <w:sz w:val="24"/>
                      <w:lang w:val="es-ES" w:eastAsia="es-ES"/>
                    </w:rPr>
                  </w:pPr>
                  <w:r w:rsidRPr="00F84755">
                    <w:rPr>
                      <w:rFonts w:ascii="Arial" w:eastAsia="Times New Roman" w:hAnsi="Arial" w:cs="Arial"/>
                      <w:b/>
                      <w:bCs/>
                      <w:color w:val="3F3F3F"/>
                      <w:sz w:val="24"/>
                      <w:lang w:val="es-ES" w:eastAsia="es-ES"/>
                    </w:rPr>
                    <w:t>INVESTIGATORS</w:t>
                  </w:r>
                </w:p>
              </w:tc>
            </w:tr>
            <w:tr w:rsidR="00F84755" w:rsidRPr="00F84755" w14:paraId="367ECED3" w14:textId="77777777" w:rsidTr="00F84755">
              <w:trPr>
                <w:trHeight w:val="255"/>
              </w:trPr>
              <w:tc>
                <w:tcPr>
                  <w:tcW w:w="4960" w:type="dxa"/>
                  <w:shd w:val="clear" w:color="auto" w:fill="FFFFFF"/>
                  <w:vAlign w:val="bottom"/>
                </w:tcPr>
                <w:p w14:paraId="5FC92BB5" w14:textId="77777777" w:rsidR="00F84755" w:rsidRPr="00F84755" w:rsidRDefault="00F84755" w:rsidP="00F84755">
                  <w:pPr>
                    <w:spacing w:after="0" w:line="240" w:lineRule="auto"/>
                    <w:jc w:val="both"/>
                    <w:rPr>
                      <w:rFonts w:ascii="Times New Roman" w:eastAsia="Times New Roman" w:hAnsi="Times New Roman" w:cs="Times New Roman"/>
                      <w:color w:val="3F3F3F"/>
                      <w:sz w:val="24"/>
                      <w:lang w:val="es-ES" w:eastAsia="es-ES"/>
                    </w:rPr>
                  </w:pPr>
                  <w:r w:rsidRPr="00F84755">
                    <w:rPr>
                      <w:rFonts w:ascii="Times New Roman" w:eastAsia="Times New Roman" w:hAnsi="Times New Roman" w:cs="Times New Roman"/>
                      <w:color w:val="3F3F3F"/>
                      <w:sz w:val="20"/>
                      <w:szCs w:val="20"/>
                      <w:lang w:val="es-ES" w:eastAsia="es-ES"/>
                    </w:rPr>
                    <w:t>Hospital Clínic de Barcelona</w:t>
                  </w:r>
                </w:p>
              </w:tc>
              <w:tc>
                <w:tcPr>
                  <w:tcW w:w="3495" w:type="dxa"/>
                  <w:shd w:val="clear" w:color="auto" w:fill="FFFFFF"/>
                  <w:vAlign w:val="bottom"/>
                </w:tcPr>
                <w:p w14:paraId="439E99CB" w14:textId="77777777" w:rsidR="00F84755" w:rsidRPr="00F84755" w:rsidRDefault="00F84755" w:rsidP="00F84755">
                  <w:pPr>
                    <w:spacing w:after="0" w:line="240" w:lineRule="auto"/>
                    <w:jc w:val="both"/>
                    <w:rPr>
                      <w:rFonts w:ascii="Times New Roman" w:eastAsia="Times New Roman" w:hAnsi="Times New Roman" w:cs="Times New Roman"/>
                      <w:color w:val="3F3F3F"/>
                      <w:sz w:val="24"/>
                      <w:lang w:val="es-ES" w:eastAsia="es-ES"/>
                    </w:rPr>
                  </w:pPr>
                  <w:r w:rsidRPr="00F84755">
                    <w:rPr>
                      <w:rFonts w:ascii="Times New Roman" w:eastAsia="Times New Roman" w:hAnsi="Times New Roman" w:cs="Times New Roman"/>
                      <w:color w:val="3F3F3F"/>
                      <w:sz w:val="20"/>
                      <w:szCs w:val="20"/>
                      <w:lang w:val="es-ES" w:eastAsia="es-ES"/>
                    </w:rPr>
                    <w:t>Estela Pineda Losada</w:t>
                  </w:r>
                </w:p>
              </w:tc>
            </w:tr>
            <w:tr w:rsidR="00F84755" w:rsidRPr="00F84755" w14:paraId="2D4180B2" w14:textId="77777777" w:rsidTr="00F84755">
              <w:trPr>
                <w:trHeight w:val="255"/>
              </w:trPr>
              <w:tc>
                <w:tcPr>
                  <w:tcW w:w="4960" w:type="dxa"/>
                  <w:shd w:val="clear" w:color="auto" w:fill="FFFFFF"/>
                  <w:vAlign w:val="bottom"/>
                </w:tcPr>
                <w:p w14:paraId="39D13278"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Miguel Servet</w:t>
                  </w:r>
                </w:p>
              </w:tc>
              <w:tc>
                <w:tcPr>
                  <w:tcW w:w="3495" w:type="dxa"/>
                  <w:shd w:val="clear" w:color="auto" w:fill="FFFFFF"/>
                  <w:vAlign w:val="bottom"/>
                </w:tcPr>
                <w:p w14:paraId="2989F9D1"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Vicente Alonso Orduña</w:t>
                  </w:r>
                </w:p>
              </w:tc>
            </w:tr>
            <w:tr w:rsidR="00F84755" w:rsidRPr="00F84755" w14:paraId="2C0468A5" w14:textId="77777777" w:rsidTr="00F84755">
              <w:trPr>
                <w:trHeight w:val="255"/>
              </w:trPr>
              <w:tc>
                <w:tcPr>
                  <w:tcW w:w="4960" w:type="dxa"/>
                  <w:shd w:val="clear" w:color="auto" w:fill="FFFFFF"/>
                  <w:vAlign w:val="bottom"/>
                </w:tcPr>
                <w:p w14:paraId="44F3083A"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Centro Integral Oncológico Clara Campal (CIOCC) - H. M. Sanchinarro</w:t>
                  </w:r>
                </w:p>
              </w:tc>
              <w:tc>
                <w:tcPr>
                  <w:tcW w:w="3495" w:type="dxa"/>
                  <w:shd w:val="clear" w:color="auto" w:fill="FFFFFF"/>
                  <w:vAlign w:val="bottom"/>
                </w:tcPr>
                <w:p w14:paraId="3A8F7190"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Antonio Cubillo Gracián</w:t>
                  </w:r>
                </w:p>
              </w:tc>
            </w:tr>
            <w:tr w:rsidR="00F84755" w:rsidRPr="00F84755" w14:paraId="58FDB947" w14:textId="77777777" w:rsidTr="00F84755">
              <w:trPr>
                <w:trHeight w:val="255"/>
              </w:trPr>
              <w:tc>
                <w:tcPr>
                  <w:tcW w:w="4960" w:type="dxa"/>
                  <w:shd w:val="clear" w:color="auto" w:fill="FFFFFF"/>
                  <w:vAlign w:val="bottom"/>
                </w:tcPr>
                <w:p w14:paraId="402F58C9"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ICO L'Hospitalet de Llobregat - H. Durán i Reynals</w:t>
                  </w:r>
                </w:p>
              </w:tc>
              <w:tc>
                <w:tcPr>
                  <w:tcW w:w="3495" w:type="dxa"/>
                  <w:shd w:val="clear" w:color="auto" w:fill="FFFFFF"/>
                  <w:vAlign w:val="bottom"/>
                </w:tcPr>
                <w:p w14:paraId="736DDE80"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Gemma Soler González</w:t>
                  </w:r>
                </w:p>
              </w:tc>
            </w:tr>
            <w:tr w:rsidR="00F84755" w:rsidRPr="00F84755" w14:paraId="58D6C2CB" w14:textId="77777777" w:rsidTr="00F84755">
              <w:trPr>
                <w:trHeight w:val="255"/>
              </w:trPr>
              <w:tc>
                <w:tcPr>
                  <w:tcW w:w="4960" w:type="dxa"/>
                  <w:shd w:val="clear" w:color="auto" w:fill="FFFFFF"/>
                  <w:vAlign w:val="bottom"/>
                </w:tcPr>
                <w:p w14:paraId="18B9BE79"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General Universitario Morales Meseguer</w:t>
                  </w:r>
                </w:p>
              </w:tc>
              <w:tc>
                <w:tcPr>
                  <w:tcW w:w="3495" w:type="dxa"/>
                  <w:shd w:val="clear" w:color="auto" w:fill="FFFFFF"/>
                  <w:vAlign w:val="bottom"/>
                </w:tcPr>
                <w:p w14:paraId="28CCEE17"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Alberto Carmona Bayonas</w:t>
                  </w:r>
                </w:p>
              </w:tc>
            </w:tr>
            <w:tr w:rsidR="00F84755" w:rsidRPr="00F84755" w14:paraId="5BAE9833" w14:textId="77777777" w:rsidTr="00F84755">
              <w:trPr>
                <w:trHeight w:val="255"/>
              </w:trPr>
              <w:tc>
                <w:tcPr>
                  <w:tcW w:w="4960" w:type="dxa"/>
                  <w:shd w:val="clear" w:color="auto" w:fill="FFFFFF"/>
                  <w:vAlign w:val="bottom"/>
                </w:tcPr>
                <w:p w14:paraId="41FBC8CD"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Puerta de Hierro Majadahonda</w:t>
                  </w:r>
                </w:p>
              </w:tc>
              <w:tc>
                <w:tcPr>
                  <w:tcW w:w="3495" w:type="dxa"/>
                  <w:shd w:val="clear" w:color="auto" w:fill="FFFFFF"/>
                  <w:vAlign w:val="bottom"/>
                </w:tcPr>
                <w:p w14:paraId="73533F41"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Ana Ruíz Casado</w:t>
                  </w:r>
                </w:p>
              </w:tc>
            </w:tr>
            <w:tr w:rsidR="00F84755" w:rsidRPr="00F84755" w14:paraId="6B34A05D" w14:textId="77777777" w:rsidTr="00F84755">
              <w:trPr>
                <w:trHeight w:val="255"/>
              </w:trPr>
              <w:tc>
                <w:tcPr>
                  <w:tcW w:w="4960" w:type="dxa"/>
                  <w:shd w:val="clear" w:color="auto" w:fill="FFFFFF"/>
                  <w:vAlign w:val="bottom"/>
                </w:tcPr>
                <w:p w14:paraId="5411B278"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Rey Juan Carlos</w:t>
                  </w:r>
                </w:p>
              </w:tc>
              <w:tc>
                <w:tcPr>
                  <w:tcW w:w="3495" w:type="dxa"/>
                  <w:shd w:val="clear" w:color="auto" w:fill="FFFFFF"/>
                  <w:vAlign w:val="bottom"/>
                </w:tcPr>
                <w:p w14:paraId="45F88C8C"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Brezo Martínez-Amores Martínez</w:t>
                  </w:r>
                </w:p>
              </w:tc>
            </w:tr>
            <w:tr w:rsidR="00F84755" w:rsidRPr="00F84755" w14:paraId="50CD3AE4" w14:textId="77777777" w:rsidTr="00F84755">
              <w:trPr>
                <w:trHeight w:val="255"/>
              </w:trPr>
              <w:tc>
                <w:tcPr>
                  <w:tcW w:w="4960" w:type="dxa"/>
                  <w:shd w:val="clear" w:color="auto" w:fill="FFFFFF"/>
                  <w:vAlign w:val="bottom"/>
                </w:tcPr>
                <w:p w14:paraId="5CF8F0E4"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Son Espases</w:t>
                  </w:r>
                </w:p>
              </w:tc>
              <w:tc>
                <w:tcPr>
                  <w:tcW w:w="3495" w:type="dxa"/>
                  <w:shd w:val="clear" w:color="auto" w:fill="FFFFFF"/>
                  <w:vAlign w:val="bottom"/>
                </w:tcPr>
                <w:p w14:paraId="553E4440"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Mónica Guillot Morales</w:t>
                  </w:r>
                </w:p>
              </w:tc>
            </w:tr>
            <w:tr w:rsidR="00F84755" w:rsidRPr="00F84755" w14:paraId="14DD180F" w14:textId="77777777" w:rsidTr="00F84755">
              <w:trPr>
                <w:trHeight w:val="255"/>
              </w:trPr>
              <w:tc>
                <w:tcPr>
                  <w:tcW w:w="4960" w:type="dxa"/>
                  <w:shd w:val="clear" w:color="auto" w:fill="FFFFFF"/>
                  <w:vAlign w:val="bottom"/>
                </w:tcPr>
                <w:p w14:paraId="6C592F64"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General Universitario de Elda</w:t>
                  </w:r>
                </w:p>
              </w:tc>
              <w:tc>
                <w:tcPr>
                  <w:tcW w:w="3495" w:type="dxa"/>
                  <w:shd w:val="clear" w:color="auto" w:fill="FFFFFF"/>
                  <w:vAlign w:val="bottom"/>
                </w:tcPr>
                <w:p w14:paraId="347C051E"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Cristina Llorca Ferrándiz</w:t>
                  </w:r>
                </w:p>
              </w:tc>
            </w:tr>
            <w:tr w:rsidR="00F84755" w:rsidRPr="00F84755" w14:paraId="3F87C471" w14:textId="77777777" w:rsidTr="00F84755">
              <w:trPr>
                <w:trHeight w:val="255"/>
              </w:trPr>
              <w:tc>
                <w:tcPr>
                  <w:tcW w:w="4960" w:type="dxa"/>
                  <w:shd w:val="clear" w:color="auto" w:fill="FFFFFF"/>
                  <w:vAlign w:val="bottom"/>
                </w:tcPr>
                <w:p w14:paraId="00F0A7DB"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La Paz</w:t>
                  </w:r>
                </w:p>
              </w:tc>
              <w:tc>
                <w:tcPr>
                  <w:tcW w:w="3495" w:type="dxa"/>
                  <w:shd w:val="clear" w:color="auto" w:fill="FFFFFF"/>
                  <w:vAlign w:val="bottom"/>
                </w:tcPr>
                <w:p w14:paraId="2B643D13"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Jaime Feliu Batlle</w:t>
                  </w:r>
                </w:p>
              </w:tc>
            </w:tr>
            <w:tr w:rsidR="00F84755" w:rsidRPr="00F84755" w14:paraId="5A9F7567" w14:textId="77777777" w:rsidTr="00F84755">
              <w:trPr>
                <w:trHeight w:val="255"/>
              </w:trPr>
              <w:tc>
                <w:tcPr>
                  <w:tcW w:w="4960" w:type="dxa"/>
                  <w:shd w:val="clear" w:color="auto" w:fill="FFFFFF"/>
                  <w:vAlign w:val="bottom"/>
                </w:tcPr>
                <w:p w14:paraId="5687ED6B"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y Politécnico La Fe</w:t>
                  </w:r>
                </w:p>
              </w:tc>
              <w:tc>
                <w:tcPr>
                  <w:tcW w:w="3495" w:type="dxa"/>
                  <w:shd w:val="clear" w:color="auto" w:fill="FFFFFF"/>
                  <w:vAlign w:val="bottom"/>
                </w:tcPr>
                <w:p w14:paraId="37ABF33E"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Jorge Antonio Aparicio Urtasun</w:t>
                  </w:r>
                </w:p>
              </w:tc>
            </w:tr>
            <w:tr w:rsidR="00F84755" w:rsidRPr="00F84755" w14:paraId="3AC3F796" w14:textId="77777777" w:rsidTr="00F84755">
              <w:trPr>
                <w:trHeight w:val="255"/>
              </w:trPr>
              <w:tc>
                <w:tcPr>
                  <w:tcW w:w="4960" w:type="dxa"/>
                  <w:shd w:val="clear" w:color="auto" w:fill="FFFFFF"/>
                  <w:vAlign w:val="bottom"/>
                </w:tcPr>
                <w:p w14:paraId="3267CF21"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Complejo Asistencial Universitario de León</w:t>
                  </w:r>
                </w:p>
              </w:tc>
              <w:tc>
                <w:tcPr>
                  <w:tcW w:w="3495" w:type="dxa"/>
                  <w:shd w:val="clear" w:color="auto" w:fill="FFFFFF"/>
                  <w:vAlign w:val="bottom"/>
                </w:tcPr>
                <w:p w14:paraId="5381EF3E"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Carmen Castañón López</w:t>
                  </w:r>
                </w:p>
              </w:tc>
            </w:tr>
            <w:tr w:rsidR="00F84755" w:rsidRPr="00F84755" w14:paraId="5CCDA906" w14:textId="77777777" w:rsidTr="00F84755">
              <w:trPr>
                <w:trHeight w:val="255"/>
              </w:trPr>
              <w:tc>
                <w:tcPr>
                  <w:tcW w:w="4960" w:type="dxa"/>
                  <w:shd w:val="clear" w:color="auto" w:fill="FFFFFF"/>
                  <w:vAlign w:val="bottom"/>
                </w:tcPr>
                <w:p w14:paraId="0AFE1C13"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de Sant Joan Despí - Moises Broggi</w:t>
                  </w:r>
                </w:p>
              </w:tc>
              <w:tc>
                <w:tcPr>
                  <w:tcW w:w="3495" w:type="dxa"/>
                  <w:shd w:val="clear" w:color="auto" w:fill="FFFFFF"/>
                  <w:vAlign w:val="bottom"/>
                </w:tcPr>
                <w:p w14:paraId="5187AB91"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Gemma Soler González</w:t>
                  </w:r>
                </w:p>
              </w:tc>
            </w:tr>
            <w:tr w:rsidR="00F84755" w:rsidRPr="00F84755" w14:paraId="328100CB" w14:textId="77777777" w:rsidTr="00F84755">
              <w:trPr>
                <w:trHeight w:val="255"/>
              </w:trPr>
              <w:tc>
                <w:tcPr>
                  <w:tcW w:w="4960" w:type="dxa"/>
                  <w:shd w:val="clear" w:color="auto" w:fill="FFFFFF"/>
                  <w:vAlign w:val="bottom"/>
                </w:tcPr>
                <w:p w14:paraId="58DA32BB"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Clínico Universitario Lozano Blesa</w:t>
                  </w:r>
                </w:p>
              </w:tc>
              <w:tc>
                <w:tcPr>
                  <w:tcW w:w="3495" w:type="dxa"/>
                  <w:shd w:val="clear" w:color="auto" w:fill="FFFFFF"/>
                  <w:vAlign w:val="bottom"/>
                </w:tcPr>
                <w:p w14:paraId="45D90AD2"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Pilar Escudero Emperador</w:t>
                  </w:r>
                </w:p>
              </w:tc>
            </w:tr>
            <w:tr w:rsidR="00F84755" w:rsidRPr="00F84755" w14:paraId="01FFBA84" w14:textId="77777777" w:rsidTr="00F84755">
              <w:trPr>
                <w:trHeight w:val="255"/>
              </w:trPr>
              <w:tc>
                <w:tcPr>
                  <w:tcW w:w="4960" w:type="dxa"/>
                  <w:shd w:val="clear" w:color="auto" w:fill="FFFFFF"/>
                  <w:vAlign w:val="bottom"/>
                </w:tcPr>
                <w:p w14:paraId="1A0831CF"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Parc Taulí</w:t>
                  </w:r>
                </w:p>
              </w:tc>
              <w:tc>
                <w:tcPr>
                  <w:tcW w:w="3495" w:type="dxa"/>
                  <w:shd w:val="clear" w:color="auto" w:fill="FFFFFF"/>
                  <w:vAlign w:val="bottom"/>
                </w:tcPr>
                <w:p w14:paraId="476B7F4E"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Ismael Macías Declara</w:t>
                  </w:r>
                </w:p>
              </w:tc>
            </w:tr>
            <w:tr w:rsidR="00F84755" w:rsidRPr="00F84755" w14:paraId="429DA093" w14:textId="77777777" w:rsidTr="00F84755">
              <w:trPr>
                <w:trHeight w:val="255"/>
              </w:trPr>
              <w:tc>
                <w:tcPr>
                  <w:tcW w:w="4960" w:type="dxa"/>
                  <w:shd w:val="clear" w:color="auto" w:fill="FFFFFF"/>
                  <w:vAlign w:val="bottom"/>
                </w:tcPr>
                <w:p w14:paraId="4AA31200"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Hospital Universitario Arnau de Vilanova</w:t>
                  </w:r>
                </w:p>
              </w:tc>
              <w:tc>
                <w:tcPr>
                  <w:tcW w:w="3495" w:type="dxa"/>
                  <w:shd w:val="clear" w:color="auto" w:fill="FFFFFF"/>
                  <w:vAlign w:val="bottom"/>
                </w:tcPr>
                <w:p w14:paraId="6CF65EBE" w14:textId="77777777" w:rsidR="00F84755" w:rsidRPr="00F84755" w:rsidRDefault="00F84755" w:rsidP="00F84755">
                  <w:pPr>
                    <w:spacing w:after="0" w:line="240" w:lineRule="auto"/>
                    <w:jc w:val="both"/>
                    <w:rPr>
                      <w:rFonts w:ascii="Times New Roman" w:eastAsia="Times New Roman" w:hAnsi="Times New Roman" w:cs="Times New Roman"/>
                      <w:color w:val="3F3F3F"/>
                      <w:sz w:val="20"/>
                      <w:szCs w:val="20"/>
                      <w:lang w:val="es-ES" w:eastAsia="es-ES"/>
                    </w:rPr>
                  </w:pPr>
                  <w:r w:rsidRPr="00F84755">
                    <w:rPr>
                      <w:rFonts w:ascii="Times New Roman" w:eastAsia="Times New Roman" w:hAnsi="Times New Roman" w:cs="Times New Roman"/>
                      <w:color w:val="3F3F3F"/>
                      <w:sz w:val="20"/>
                      <w:szCs w:val="20"/>
                      <w:lang w:val="es-ES" w:eastAsia="es-ES"/>
                    </w:rPr>
                    <w:t>Antonieta Salud Salvia</w:t>
                  </w:r>
                </w:p>
              </w:tc>
            </w:tr>
          </w:tbl>
          <w:p w14:paraId="3426037E" w14:textId="77777777" w:rsidR="00F84755" w:rsidRPr="00F84755" w:rsidRDefault="00F84755" w:rsidP="00F84755">
            <w:pPr>
              <w:spacing w:line="276" w:lineRule="auto"/>
              <w:rPr>
                <w:rFonts w:ascii="Arial" w:eastAsia="Times New Roman" w:hAnsi="Arial" w:cs="Times New Roman"/>
                <w:color w:val="3F3F3F"/>
                <w:sz w:val="19"/>
                <w:szCs w:val="19"/>
                <w:lang w:val="es-ES"/>
              </w:rPr>
            </w:pPr>
          </w:p>
        </w:tc>
      </w:tr>
      <w:tr w:rsidR="00F84755" w:rsidRPr="00F84755" w14:paraId="1F947A99" w14:textId="77777777" w:rsidTr="001651A4">
        <w:trPr>
          <w:trHeight w:val="233"/>
        </w:trPr>
        <w:tc>
          <w:tcPr>
            <w:tcW w:w="9350" w:type="dxa"/>
            <w:gridSpan w:val="3"/>
            <w:vAlign w:val="bottom"/>
          </w:tcPr>
          <w:p w14:paraId="6618B54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Studied period (years):</w:t>
            </w:r>
            <w:r w:rsidRPr="00F84755">
              <w:rPr>
                <w:rFonts w:ascii="Arial" w:eastAsia="Times New Roman" w:hAnsi="Arial" w:cs="Times New Roman"/>
                <w:color w:val="3F3F3F"/>
                <w:sz w:val="19"/>
                <w:szCs w:val="19"/>
              </w:rPr>
              <w:t xml:space="preserve"> Recruitment Status: Finished. </w:t>
            </w:r>
            <w:r w:rsidRPr="00F84755">
              <w:rPr>
                <w:rFonts w:ascii="Arial" w:eastAsia="Times New Roman" w:hAnsi="Arial" w:cs="Times New Roman"/>
                <w:color w:val="3F3F3F"/>
                <w:sz w:val="19"/>
                <w:szCs w:val="19"/>
              </w:rPr>
              <w:br/>
              <w:t>date of the first enrolment: October 31</w:t>
            </w:r>
            <w:r w:rsidRPr="00F84755">
              <w:rPr>
                <w:rFonts w:ascii="Arial" w:eastAsia="Times New Roman" w:hAnsi="Arial" w:cs="Times New Roman"/>
                <w:color w:val="3F3F3F"/>
                <w:sz w:val="19"/>
                <w:szCs w:val="19"/>
                <w:vertAlign w:val="superscript"/>
              </w:rPr>
              <w:t>st</w:t>
            </w:r>
            <w:r w:rsidRPr="00F84755">
              <w:rPr>
                <w:rFonts w:ascii="Arial" w:eastAsia="Times New Roman" w:hAnsi="Arial" w:cs="Times New Roman"/>
                <w:color w:val="3F3F3F"/>
                <w:sz w:val="19"/>
                <w:szCs w:val="19"/>
              </w:rPr>
              <w:t xml:space="preserve">, 2017 (FPI) </w:t>
            </w:r>
          </w:p>
          <w:p w14:paraId="5CEF17E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date of last completed: January 21</w:t>
            </w:r>
            <w:r w:rsidRPr="00F84755">
              <w:rPr>
                <w:rFonts w:ascii="Arial" w:eastAsia="Times New Roman" w:hAnsi="Arial" w:cs="Times New Roman"/>
                <w:color w:val="3F3F3F"/>
                <w:sz w:val="19"/>
                <w:szCs w:val="19"/>
                <w:vertAlign w:val="superscript"/>
              </w:rPr>
              <w:t>st</w:t>
            </w:r>
            <w:r w:rsidRPr="00F84755">
              <w:rPr>
                <w:rFonts w:ascii="Arial" w:eastAsia="Times New Roman" w:hAnsi="Arial" w:cs="Times New Roman"/>
                <w:color w:val="3F3F3F"/>
                <w:sz w:val="19"/>
                <w:szCs w:val="19"/>
              </w:rPr>
              <w:t>, 2021 (LPO)</w:t>
            </w:r>
          </w:p>
          <w:p w14:paraId="5B74816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r>
      <w:tr w:rsidR="00F84755" w:rsidRPr="00F84755" w14:paraId="3446AD30" w14:textId="77777777" w:rsidTr="001651A4">
        <w:trPr>
          <w:trHeight w:val="233"/>
        </w:trPr>
        <w:tc>
          <w:tcPr>
            <w:tcW w:w="9350" w:type="dxa"/>
            <w:gridSpan w:val="3"/>
            <w:vAlign w:val="bottom"/>
          </w:tcPr>
          <w:p w14:paraId="1E300BF0"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Phase of development:</w:t>
            </w:r>
            <w:r w:rsidRPr="00F84755">
              <w:rPr>
                <w:rFonts w:ascii="Arial" w:eastAsia="Times New Roman" w:hAnsi="Arial" w:cs="Times New Roman"/>
                <w:color w:val="3F3F3F"/>
                <w:sz w:val="19"/>
                <w:szCs w:val="19"/>
              </w:rPr>
              <w:t xml:space="preserve"> Phase II</w:t>
            </w:r>
          </w:p>
        </w:tc>
      </w:tr>
      <w:tr w:rsidR="00F84755" w:rsidRPr="00F84755" w14:paraId="1E8E4EEE" w14:textId="77777777" w:rsidTr="001651A4">
        <w:trPr>
          <w:trHeight w:val="233"/>
        </w:trPr>
        <w:tc>
          <w:tcPr>
            <w:tcW w:w="9350" w:type="dxa"/>
            <w:gridSpan w:val="3"/>
            <w:vAlign w:val="bottom"/>
          </w:tcPr>
          <w:p w14:paraId="166ECA5B"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Objectives:</w:t>
            </w:r>
          </w:p>
          <w:p w14:paraId="3355B63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 xml:space="preserve">Primary objective: </w:t>
            </w:r>
            <w:r w:rsidRPr="00F84755">
              <w:rPr>
                <w:rFonts w:ascii="Arial" w:eastAsia="Times New Roman" w:hAnsi="Arial" w:cs="Times New Roman"/>
                <w:color w:val="3F3F3F"/>
                <w:sz w:val="19"/>
                <w:szCs w:val="19"/>
              </w:rPr>
              <w:br/>
              <w:t>To estimate progression-free survival at one year in elderly patients with RAS/BRAF wild-type unresectable mCRC and good performance status, treated with FOLFIRI + panitumumab as first-line therapy.</w:t>
            </w:r>
          </w:p>
          <w:p w14:paraId="7A3C1572"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 xml:space="preserve">Secondary objectives: </w:t>
            </w:r>
          </w:p>
          <w:p w14:paraId="6E0FC2D4"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lastRenderedPageBreak/>
              <w:t xml:space="preserve">Progression-free survival (PFS), others than PFS at one year.  </w:t>
            </w:r>
          </w:p>
          <w:p w14:paraId="6DB22823"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Objective response rate (ORR) </w:t>
            </w:r>
          </w:p>
          <w:p w14:paraId="66BAC0EC"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Disease control rate (DCR) </w:t>
            </w:r>
          </w:p>
          <w:p w14:paraId="25880177"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Duration of response </w:t>
            </w:r>
          </w:p>
          <w:p w14:paraId="6DAD0300"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Time to response (TTR) </w:t>
            </w:r>
          </w:p>
          <w:p w14:paraId="21590FDD"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Overall survival (OS) </w:t>
            </w:r>
          </w:p>
          <w:p w14:paraId="70C2444F"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Time to treatment failure (progression, death, or discontinuation due to toxicity)</w:t>
            </w:r>
          </w:p>
          <w:p w14:paraId="67C37F49"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Proportion of patients with early tumour shrinkage (ETS)</w:t>
            </w:r>
          </w:p>
          <w:p w14:paraId="51F705A2"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Depth of response (DpR) </w:t>
            </w:r>
          </w:p>
          <w:p w14:paraId="0CA00A32"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Safety and tolerability</w:t>
            </w:r>
          </w:p>
          <w:p w14:paraId="72B3DAAE" w14:textId="77777777" w:rsidR="00F84755" w:rsidRPr="00F84755" w:rsidRDefault="00F84755" w:rsidP="00F84755">
            <w:pPr>
              <w:numPr>
                <w:ilvl w:val="0"/>
                <w:numId w:val="1"/>
              </w:numPr>
              <w:tabs>
                <w:tab w:val="left" w:pos="1220"/>
              </w:tabs>
              <w:spacing w:line="276" w:lineRule="auto"/>
              <w:ind w:right="420"/>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Combined analysis of prognostic factors in metastatic disease</w:t>
            </w:r>
          </w:p>
          <w:p w14:paraId="78D94017"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p w14:paraId="417CAE5D"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 xml:space="preserve">Exploratory objective: </w:t>
            </w:r>
          </w:p>
          <w:p w14:paraId="6739F0F0"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Analysis of biomarkers in liquid biopsies.</w:t>
            </w:r>
          </w:p>
          <w:p w14:paraId="34DD0825"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tc>
      </w:tr>
      <w:tr w:rsidR="00F84755" w:rsidRPr="00F84755" w14:paraId="76B69616" w14:textId="77777777" w:rsidTr="001651A4">
        <w:trPr>
          <w:trHeight w:val="233"/>
        </w:trPr>
        <w:tc>
          <w:tcPr>
            <w:tcW w:w="9350" w:type="dxa"/>
            <w:gridSpan w:val="3"/>
            <w:vAlign w:val="bottom"/>
          </w:tcPr>
          <w:p w14:paraId="5476D1FB"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lastRenderedPageBreak/>
              <w:t>Methodology:</w:t>
            </w:r>
            <w:r w:rsidRPr="00F84755">
              <w:rPr>
                <w:rFonts w:ascii="Arial" w:eastAsia="Arial" w:hAnsi="Arial" w:cs="Times New Roman"/>
                <w:color w:val="3F3F3F"/>
              </w:rPr>
              <w:t xml:space="preserve"> </w:t>
            </w:r>
          </w:p>
          <w:p w14:paraId="6D627BFF"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A phase II, multicenter, national single-arm clinical trial, evaluating elderly patients with the diagnosis of RAS/BRAF wild-type unresectable mCRC, and good performance status.</w:t>
            </w:r>
          </w:p>
          <w:p w14:paraId="763BE277"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p>
          <w:p w14:paraId="726BE0BE"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Patients who were eligible received FOLFIRI plus Panitumumab for disease control until disease progression, unacceptable toxicity, investigator decision or patient's withdrawal of consent.</w:t>
            </w:r>
          </w:p>
          <w:p w14:paraId="2F99E06C"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Tumour response was evaluated by investigators using RECIST criteria (</w:t>
            </w:r>
            <w:r w:rsidRPr="00F84755">
              <w:rPr>
                <w:rFonts w:ascii="Arial" w:eastAsia="Times New Roman" w:hAnsi="Arial" w:cs="Times New Roman"/>
                <w:bCs/>
                <w:i/>
                <w:iCs/>
                <w:color w:val="3F3F3F"/>
                <w:sz w:val="19"/>
                <w:szCs w:val="19"/>
              </w:rPr>
              <w:t>Response Evaluation Criteria in Solid Tumours</w:t>
            </w:r>
            <w:r w:rsidRPr="00F84755">
              <w:rPr>
                <w:rFonts w:ascii="Arial" w:eastAsia="Times New Roman" w:hAnsi="Arial" w:cs="Times New Roman"/>
                <w:bCs/>
                <w:color w:val="3F3F3F"/>
                <w:sz w:val="19"/>
                <w:szCs w:val="19"/>
              </w:rPr>
              <w:t>) version 1.1., every 8 weeks until documented disease progression. Disease response was to be confirmed no less than 28 days after the response criteria were first met. In patients with symptoms indicating disease progression, a radiographic assessment had to be performed regardless of the planned schedule.</w:t>
            </w:r>
          </w:p>
          <w:p w14:paraId="3D434B67"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 xml:space="preserve">Following disease progression, information about the subsequent lines of treatment chosen by the investigator, and survival was collected at follow-up visits, held every 12 weeks (± 4 weeks) until completion of the trial (approximately 24 months after inclusion of the last patient). </w:t>
            </w:r>
          </w:p>
          <w:p w14:paraId="59B082C9"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p>
          <w:p w14:paraId="63964716"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 xml:space="preserve">A blood sample was planned at baseline and at the time of disease progression to determine the </w:t>
            </w:r>
            <w:r w:rsidRPr="00F84755">
              <w:rPr>
                <w:rFonts w:ascii="Arial" w:eastAsia="Times New Roman" w:hAnsi="Arial" w:cs="Times New Roman"/>
                <w:bCs/>
                <w:i/>
                <w:iCs/>
                <w:color w:val="3F3F3F"/>
                <w:sz w:val="19"/>
                <w:szCs w:val="19"/>
              </w:rPr>
              <w:t xml:space="preserve">RAS/BRAF </w:t>
            </w:r>
            <w:r w:rsidRPr="00F84755">
              <w:rPr>
                <w:rFonts w:ascii="Arial" w:eastAsia="Times New Roman" w:hAnsi="Arial" w:cs="Times New Roman"/>
                <w:bCs/>
                <w:color w:val="3F3F3F"/>
                <w:sz w:val="19"/>
                <w:szCs w:val="19"/>
              </w:rPr>
              <w:t>mutation status.</w:t>
            </w:r>
          </w:p>
          <w:p w14:paraId="173210AE"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tc>
      </w:tr>
      <w:tr w:rsidR="00F84755" w:rsidRPr="00F84755" w14:paraId="578C3D37" w14:textId="77777777" w:rsidTr="001651A4">
        <w:trPr>
          <w:trHeight w:val="233"/>
        </w:trPr>
        <w:tc>
          <w:tcPr>
            <w:tcW w:w="9350" w:type="dxa"/>
            <w:gridSpan w:val="3"/>
            <w:vAlign w:val="bottom"/>
          </w:tcPr>
          <w:p w14:paraId="55A8B0A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Number of patients (planned and analyzed):</w:t>
            </w:r>
            <w:r w:rsidRPr="00F84755">
              <w:rPr>
                <w:rFonts w:ascii="Arial" w:eastAsia="Arial" w:hAnsi="Arial" w:cs="Times New Roman"/>
                <w:color w:val="3F3F3F"/>
              </w:rPr>
              <w:t xml:space="preserve"> </w:t>
            </w:r>
          </w:p>
          <w:p w14:paraId="438D7E16"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A total number of 80 patients were planned to be included in 16 sites. Finally, 24 were enrolled in 11 sites, and 20 were analysed.</w:t>
            </w:r>
          </w:p>
          <w:p w14:paraId="262AEB29"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tc>
      </w:tr>
      <w:tr w:rsidR="00F84755" w:rsidRPr="00F84755" w14:paraId="12CDB934" w14:textId="77777777" w:rsidTr="001651A4">
        <w:trPr>
          <w:trHeight w:val="233"/>
        </w:trPr>
        <w:tc>
          <w:tcPr>
            <w:tcW w:w="9350" w:type="dxa"/>
            <w:gridSpan w:val="3"/>
            <w:vAlign w:val="bottom"/>
          </w:tcPr>
          <w:p w14:paraId="3A153F1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Diagnosis and main criteria for inclusion:</w:t>
            </w:r>
          </w:p>
          <w:p w14:paraId="5C226CEF"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Patients included were males or females aged 70 years or more; diagnosed of a histologically confirmed colorectal carcinoma with metastatic disease, with RAS/BRAF wild-type status in solid biopsy prior to inclusion in the trial; they shouldn’t have received previous treatment for metastatic disease and should start the study treatment with a treatment aim other than achieving potential resectability of the disease. They were independent for daily activities and had an Eastern Cooperative Oncology Group (ECOG) performance status of 0-1.  </w:t>
            </w:r>
          </w:p>
          <w:p w14:paraId="2FB9F84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0C765B0B"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Patients were excluded if they had central nervous system metastases (diagnosed or suspected), initially resectable metastases; history of interstitial lung disease or pulmonary fibrosis; geriatric syndromes; acute or subacute bowel obstruction, and/or any bowel active disease, significant cardiovascular disease, Gilbert’s syndrome, surgery and/or radiotherapy within 28 days prior to inclusion. </w:t>
            </w:r>
          </w:p>
          <w:p w14:paraId="338F5EA8"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lastRenderedPageBreak/>
              <w:t>No patients were included if they had previously received treatment with irinotecan, prior adjuvant chemotherapy for colorectal cancer finished less than 6 months before metastatic disease was diagnosed; or prior antiepidermal growth factor receptor (EGFR) antibody therapy, anti-vascular endothelial growth factor (VEGF) or treatment with small molecule EGFR inhibitors.</w:t>
            </w:r>
          </w:p>
          <w:p w14:paraId="1E2F2C93"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tc>
      </w:tr>
      <w:tr w:rsidR="00F84755" w:rsidRPr="00F84755" w14:paraId="644E2AA7" w14:textId="77777777" w:rsidTr="001651A4">
        <w:trPr>
          <w:trHeight w:val="233"/>
        </w:trPr>
        <w:tc>
          <w:tcPr>
            <w:tcW w:w="9350" w:type="dxa"/>
            <w:gridSpan w:val="3"/>
            <w:vAlign w:val="bottom"/>
          </w:tcPr>
          <w:p w14:paraId="7946C366"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lastRenderedPageBreak/>
              <w:t>Test product, dose, and mode of administration:</w:t>
            </w:r>
          </w:p>
          <w:p w14:paraId="2AC31325"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bookmarkStart w:id="1" w:name="_Hlk46416460"/>
            <w:r w:rsidRPr="00F84755">
              <w:rPr>
                <w:rFonts w:ascii="Arial" w:eastAsia="Times New Roman" w:hAnsi="Arial" w:cs="Times New Roman"/>
                <w:bCs/>
                <w:color w:val="3F3F3F"/>
                <w:sz w:val="19"/>
                <w:szCs w:val="19"/>
              </w:rPr>
              <w:t xml:space="preserve">14 day-cycles, as follows: </w:t>
            </w:r>
          </w:p>
          <w:p w14:paraId="18C24C48"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p>
          <w:p w14:paraId="70F537D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 </w:t>
            </w:r>
            <w:r w:rsidRPr="00F84755">
              <w:rPr>
                <w:rFonts w:ascii="Arial" w:eastAsia="Times New Roman" w:hAnsi="Arial" w:cs="Times New Roman"/>
                <w:b/>
                <w:bCs/>
                <w:color w:val="3F3F3F"/>
                <w:sz w:val="19"/>
                <w:szCs w:val="19"/>
              </w:rPr>
              <w:t>Panitumumab:</w:t>
            </w:r>
            <w:r w:rsidRPr="00F84755">
              <w:rPr>
                <w:rFonts w:ascii="Arial" w:eastAsia="Times New Roman" w:hAnsi="Arial" w:cs="Times New Roman"/>
                <w:color w:val="3F3F3F"/>
                <w:sz w:val="19"/>
                <w:szCs w:val="19"/>
              </w:rPr>
              <w:t xml:space="preserve"> 6 mg/kg, intravenous (IV) infusion, on day 1 of each cycle, before chemotherapy administration. </w:t>
            </w:r>
          </w:p>
          <w:p w14:paraId="0A6B996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5CE8F914"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 </w:t>
            </w:r>
            <w:r w:rsidRPr="00F84755">
              <w:rPr>
                <w:rFonts w:ascii="Arial" w:eastAsia="Times New Roman" w:hAnsi="Arial" w:cs="Times New Roman"/>
                <w:b/>
                <w:bCs/>
                <w:color w:val="3F3F3F"/>
                <w:sz w:val="19"/>
                <w:szCs w:val="19"/>
              </w:rPr>
              <w:t>FOLFIRI:</w:t>
            </w:r>
            <w:r w:rsidRPr="00F84755">
              <w:rPr>
                <w:rFonts w:ascii="Arial" w:eastAsia="Times New Roman" w:hAnsi="Arial" w:cs="Times New Roman"/>
                <w:color w:val="3F3F3F"/>
                <w:sz w:val="19"/>
                <w:szCs w:val="19"/>
              </w:rPr>
              <w:t xml:space="preserve"> </w:t>
            </w:r>
          </w:p>
          <w:p w14:paraId="70A86D5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Irinotecan 150 mg/m2, IV. infusion over 90 min on day 1 of first cycle. If this first dose was well tolerated, it was scaled to full dose (180 mg/m2), starting from the second cycle.</w:t>
            </w:r>
          </w:p>
          <w:p w14:paraId="0877DD8E"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Folinic acid (leucovorin) 200-400 mg/m2 IV. Infusion over 2 hours on day 1.</w:t>
            </w:r>
          </w:p>
          <w:p w14:paraId="797B4B8D"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- 5-FU 400 mg/m2 bolus IV., followed by 2400 mg/m2 IV continuous infusion over 46-48 hours on days 1 and 2, of each cycle. </w:t>
            </w:r>
          </w:p>
          <w:bookmarkEnd w:id="1"/>
          <w:p w14:paraId="0A0E5E8E"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r>
      <w:tr w:rsidR="00F84755" w:rsidRPr="00F84755" w14:paraId="7BE07ADD" w14:textId="77777777" w:rsidTr="001651A4">
        <w:trPr>
          <w:trHeight w:val="233"/>
        </w:trPr>
        <w:tc>
          <w:tcPr>
            <w:tcW w:w="9350" w:type="dxa"/>
            <w:gridSpan w:val="3"/>
            <w:vAlign w:val="bottom"/>
          </w:tcPr>
          <w:p w14:paraId="25C723EF"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Duration of treatment:</w:t>
            </w:r>
          </w:p>
          <w:p w14:paraId="63BA4470"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Until disease progression, unacceptable toxicity, investigator’s decision, or patient’s withdrawal of consent.</w:t>
            </w:r>
          </w:p>
        </w:tc>
      </w:tr>
      <w:tr w:rsidR="00F84755" w:rsidRPr="00F84755" w14:paraId="3FE620EC" w14:textId="77777777" w:rsidTr="001651A4">
        <w:trPr>
          <w:trHeight w:val="1360"/>
        </w:trPr>
        <w:tc>
          <w:tcPr>
            <w:tcW w:w="9350" w:type="dxa"/>
            <w:gridSpan w:val="3"/>
            <w:vAlign w:val="bottom"/>
          </w:tcPr>
          <w:p w14:paraId="6DD66BFD"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Criteria for evaluation:</w:t>
            </w:r>
          </w:p>
          <w:p w14:paraId="55F9C4EA"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 xml:space="preserve">1. Principal endpoint: </w:t>
            </w:r>
          </w:p>
          <w:p w14:paraId="6A04368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Progression-free survival (PFS) at one year.</w:t>
            </w:r>
          </w:p>
          <w:p w14:paraId="3EAC93A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7DA8AFB3"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2. Secondary endpoints:</w:t>
            </w:r>
          </w:p>
          <w:p w14:paraId="4B695DEA" w14:textId="77777777" w:rsidR="00F84755" w:rsidRPr="00F84755" w:rsidRDefault="00F84755" w:rsidP="00F84755">
            <w:pPr>
              <w:tabs>
                <w:tab w:val="left" w:pos="1220"/>
              </w:tabs>
              <w:ind w:right="420"/>
              <w:rPr>
                <w:rFonts w:ascii="Arial" w:eastAsia="Times New Roman" w:hAnsi="Arial" w:cs="Arial"/>
                <w:b/>
                <w:bCs/>
                <w:color w:val="3F3F3F"/>
                <w:sz w:val="19"/>
                <w:szCs w:val="19"/>
              </w:rPr>
            </w:pPr>
            <w:r w:rsidRPr="00F84755">
              <w:rPr>
                <w:rFonts w:ascii="Arial" w:eastAsia="Times New Roman" w:hAnsi="Arial" w:cs="Arial"/>
                <w:b/>
                <w:bCs/>
                <w:color w:val="3F3F3F"/>
                <w:sz w:val="19"/>
                <w:szCs w:val="19"/>
              </w:rPr>
              <w:t xml:space="preserve">Efficacy analysis: </w:t>
            </w:r>
          </w:p>
          <w:p w14:paraId="2444A576"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PFS other than PFS at one year.</w:t>
            </w:r>
          </w:p>
          <w:p w14:paraId="788C7655"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 xml:space="preserve">Proportion of patients with an objective response (complete or partial response) according to RECIST criteria version 1.1. </w:t>
            </w:r>
          </w:p>
          <w:p w14:paraId="3FA48C3F"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Proportion of patients with disease control (complete response, partial response, or stable disease).</w:t>
            </w:r>
          </w:p>
          <w:p w14:paraId="26A51FFC"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 xml:space="preserve">Duration of response </w:t>
            </w:r>
          </w:p>
          <w:p w14:paraId="27C8CAE2"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i/>
                <w:iCs/>
                <w:color w:val="3F3F3F"/>
                <w:sz w:val="19"/>
                <w:szCs w:val="19"/>
              </w:rPr>
            </w:pPr>
            <w:r w:rsidRPr="00F84755">
              <w:rPr>
                <w:rFonts w:ascii="Arial" w:eastAsia="Times New Roman" w:hAnsi="Arial" w:cs="Arial"/>
                <w:color w:val="3F3F3F"/>
                <w:sz w:val="19"/>
                <w:szCs w:val="19"/>
              </w:rPr>
              <w:t xml:space="preserve">Time to response </w:t>
            </w:r>
          </w:p>
          <w:p w14:paraId="5D1C0CC0"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 xml:space="preserve">Overall survival (OS) </w:t>
            </w:r>
          </w:p>
          <w:p w14:paraId="18221AFD"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 xml:space="preserve">Time to treatment failure </w:t>
            </w:r>
          </w:p>
          <w:p w14:paraId="6F720B56"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Proportion of patients with early tumour shrinkage (ETS).</w:t>
            </w:r>
          </w:p>
          <w:p w14:paraId="0529E1A0" w14:textId="77777777" w:rsidR="00F84755" w:rsidRPr="00F84755" w:rsidRDefault="00F84755" w:rsidP="00F84755">
            <w:pPr>
              <w:numPr>
                <w:ilvl w:val="0"/>
                <w:numId w:val="2"/>
              </w:numPr>
              <w:tabs>
                <w:tab w:val="left" w:pos="1220"/>
              </w:tabs>
              <w:ind w:right="420"/>
              <w:contextualSpacing/>
              <w:jc w:val="both"/>
              <w:rPr>
                <w:rFonts w:ascii="Arial" w:eastAsia="Times New Roman" w:hAnsi="Arial" w:cs="Arial"/>
                <w:color w:val="3F3F3F"/>
                <w:sz w:val="19"/>
                <w:szCs w:val="19"/>
              </w:rPr>
            </w:pPr>
            <w:r w:rsidRPr="00F84755">
              <w:rPr>
                <w:rFonts w:ascii="Arial" w:eastAsia="Times New Roman" w:hAnsi="Arial" w:cs="Arial"/>
                <w:color w:val="3F3F3F"/>
                <w:sz w:val="19"/>
                <w:szCs w:val="19"/>
              </w:rPr>
              <w:t>Depth of response (DpR).</w:t>
            </w:r>
          </w:p>
          <w:p w14:paraId="32C16282" w14:textId="77777777" w:rsidR="00F84755" w:rsidRPr="00F84755" w:rsidRDefault="00F84755" w:rsidP="00F84755">
            <w:pPr>
              <w:tabs>
                <w:tab w:val="left" w:pos="1220"/>
              </w:tabs>
              <w:ind w:left="360" w:right="420"/>
              <w:contextualSpacing/>
              <w:jc w:val="both"/>
              <w:rPr>
                <w:rFonts w:ascii="Arial" w:eastAsia="Times New Roman" w:hAnsi="Arial" w:cs="Arial"/>
                <w:color w:val="3F3F3F"/>
                <w:sz w:val="19"/>
                <w:szCs w:val="19"/>
              </w:rPr>
            </w:pPr>
          </w:p>
          <w:p w14:paraId="3FECF596" w14:textId="77777777" w:rsidR="00F84755" w:rsidRPr="00F84755" w:rsidRDefault="00F84755" w:rsidP="00F84755">
            <w:pPr>
              <w:tabs>
                <w:tab w:val="left" w:pos="1220"/>
              </w:tabs>
              <w:ind w:right="420"/>
              <w:rPr>
                <w:rFonts w:ascii="Arial" w:eastAsia="Times New Roman" w:hAnsi="Arial" w:cs="Arial"/>
                <w:color w:val="3F3F3F"/>
                <w:sz w:val="19"/>
                <w:szCs w:val="19"/>
              </w:rPr>
            </w:pPr>
            <w:r w:rsidRPr="00F84755">
              <w:rPr>
                <w:rFonts w:ascii="Arial" w:eastAsia="Times New Roman" w:hAnsi="Arial" w:cs="Arial"/>
                <w:b/>
                <w:bCs/>
                <w:color w:val="3F3F3F"/>
                <w:sz w:val="19"/>
                <w:szCs w:val="19"/>
              </w:rPr>
              <w:t xml:space="preserve">Safety analysis: </w:t>
            </w:r>
          </w:p>
          <w:p w14:paraId="0096459A"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Incidence and severity of AEs (according to the NCI (National Cancer Institute) Common Terminology Criteria for Adverse Events (CTCAE) version 4.03)</w:t>
            </w:r>
          </w:p>
          <w:p w14:paraId="1FF8CAB6"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Changes in laboratory values.</w:t>
            </w:r>
          </w:p>
          <w:p w14:paraId="26857093"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Changes in vital signs.</w:t>
            </w:r>
          </w:p>
          <w:p w14:paraId="683C8F2E"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Incidence of dose adjustments.</w:t>
            </w:r>
          </w:p>
          <w:p w14:paraId="764DBCC0"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Incidence of concomitant medication.</w:t>
            </w:r>
          </w:p>
          <w:p w14:paraId="1F4EFC9A" w14:textId="77777777" w:rsidR="00F84755" w:rsidRPr="00F84755" w:rsidRDefault="00F84755" w:rsidP="00F84755">
            <w:pPr>
              <w:numPr>
                <w:ilvl w:val="0"/>
                <w:numId w:val="3"/>
              </w:numPr>
              <w:tabs>
                <w:tab w:val="left" w:pos="1220"/>
              </w:tabs>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Changes from baseline in ECOG performance status.</w:t>
            </w:r>
          </w:p>
          <w:p w14:paraId="343D5452" w14:textId="77777777" w:rsidR="00F84755" w:rsidRPr="00F84755" w:rsidRDefault="00F84755" w:rsidP="00F84755">
            <w:pPr>
              <w:tabs>
                <w:tab w:val="left" w:pos="1220"/>
              </w:tabs>
              <w:ind w:right="420"/>
              <w:rPr>
                <w:rFonts w:ascii="Arial" w:eastAsia="Times New Roman" w:hAnsi="Arial" w:cs="Times New Roman"/>
                <w:color w:val="3F3F3F"/>
                <w:sz w:val="19"/>
                <w:szCs w:val="19"/>
              </w:rPr>
            </w:pPr>
          </w:p>
          <w:p w14:paraId="2FD8A65B" w14:textId="77777777" w:rsidR="00F84755" w:rsidRPr="00F84755" w:rsidRDefault="00F84755" w:rsidP="00F84755">
            <w:pPr>
              <w:tabs>
                <w:tab w:val="left" w:pos="1220"/>
              </w:tabs>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 xml:space="preserve">Prognostic factors in metastatic disease: </w:t>
            </w:r>
          </w:p>
          <w:p w14:paraId="2572BF5C" w14:textId="77777777" w:rsidR="00F84755" w:rsidRPr="00F84755" w:rsidRDefault="00F84755" w:rsidP="00F84755">
            <w:pPr>
              <w:spacing w:line="276" w:lineRule="auto"/>
              <w:jc w:val="both"/>
              <w:rPr>
                <w:rFonts w:ascii="Arial" w:eastAsia="Arial" w:hAnsi="Arial" w:cs="Times New Roman"/>
                <w:color w:val="3F3F3F"/>
                <w:sz w:val="19"/>
                <w:szCs w:val="19"/>
              </w:rPr>
            </w:pPr>
            <w:r w:rsidRPr="00F84755">
              <w:rPr>
                <w:rFonts w:ascii="Arial" w:eastAsia="Times New Roman" w:hAnsi="Arial" w:cs="Times New Roman"/>
                <w:bCs/>
                <w:color w:val="3F3F3F"/>
                <w:sz w:val="19"/>
                <w:szCs w:val="19"/>
              </w:rPr>
              <w:t>The number of lesions in liver and lung disease (1-3 vs 4-9 or ≥10), and the size of the largest lesion (&lt;5 cm or ≥ 5 cm) in correlation with the analytical values (mainly lactate dehydrogenase (LDH) and alkaline phosphatase (AP)) were analyzed.</w:t>
            </w:r>
          </w:p>
          <w:p w14:paraId="3E23FF25" w14:textId="77777777" w:rsidR="00F84755" w:rsidRPr="00F84755" w:rsidRDefault="00F84755" w:rsidP="00F84755">
            <w:pPr>
              <w:tabs>
                <w:tab w:val="left" w:pos="1220"/>
              </w:tabs>
              <w:ind w:right="420"/>
              <w:rPr>
                <w:rFonts w:ascii="Arial" w:eastAsia="Times New Roman" w:hAnsi="Arial" w:cs="Times New Roman"/>
                <w:color w:val="3F3F3F"/>
                <w:sz w:val="19"/>
                <w:szCs w:val="19"/>
              </w:rPr>
            </w:pPr>
          </w:p>
          <w:p w14:paraId="05FFF64D" w14:textId="77777777" w:rsidR="00F84755" w:rsidRPr="00F84755" w:rsidRDefault="00F84755" w:rsidP="00F84755">
            <w:pPr>
              <w:tabs>
                <w:tab w:val="left" w:pos="1220"/>
              </w:tabs>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lastRenderedPageBreak/>
              <w:t>3. Exploratory endpoints</w:t>
            </w:r>
          </w:p>
          <w:p w14:paraId="4798A2DE" w14:textId="77777777" w:rsidR="00F84755" w:rsidRPr="00F84755" w:rsidRDefault="00F84755" w:rsidP="00F84755">
            <w:pPr>
              <w:tabs>
                <w:tab w:val="left" w:pos="1220"/>
              </w:tabs>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Conversion rate of RAS/BRAF status.</w:t>
            </w:r>
          </w:p>
          <w:p w14:paraId="45ACEFA5" w14:textId="77777777" w:rsidR="00F84755" w:rsidRPr="00F84755" w:rsidRDefault="00F84755" w:rsidP="00F84755">
            <w:pPr>
              <w:tabs>
                <w:tab w:val="left" w:pos="1220"/>
              </w:tabs>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Detection rate of RAS/BRAF mutations in liquid biopsies at baseline in subjects with RAS/BRAF wild type mCRC according to the solid biopsy analysis.</w:t>
            </w:r>
          </w:p>
          <w:p w14:paraId="16727458" w14:textId="77777777" w:rsidR="00F84755" w:rsidRPr="00F84755" w:rsidRDefault="00F84755" w:rsidP="00F84755">
            <w:pPr>
              <w:tabs>
                <w:tab w:val="left" w:pos="1220"/>
              </w:tabs>
              <w:ind w:right="420"/>
              <w:rPr>
                <w:rFonts w:ascii="Arial" w:eastAsia="Times New Roman" w:hAnsi="Arial" w:cs="Times New Roman"/>
                <w:b/>
                <w:bCs/>
                <w:color w:val="3F3F3F"/>
                <w:sz w:val="19"/>
                <w:szCs w:val="19"/>
              </w:rPr>
            </w:pPr>
          </w:p>
        </w:tc>
      </w:tr>
      <w:tr w:rsidR="00F84755" w:rsidRPr="00F84755" w14:paraId="5D8E54CD" w14:textId="77777777" w:rsidTr="001651A4">
        <w:trPr>
          <w:trHeight w:val="233"/>
        </w:trPr>
        <w:tc>
          <w:tcPr>
            <w:tcW w:w="9350" w:type="dxa"/>
            <w:gridSpan w:val="3"/>
            <w:vAlign w:val="bottom"/>
          </w:tcPr>
          <w:p w14:paraId="7A89C61D"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lastRenderedPageBreak/>
              <w:t>Statistical methods:</w:t>
            </w:r>
          </w:p>
          <w:p w14:paraId="12823236"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p w14:paraId="27CCF5D8"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Descriptive statistics were obtained for all variables: mean, standard deviation (SD) and 95% confidence intervals (95% CI) for continuous variables; and frequencies and percentages for categorical variables. “Time to an event” variables were estimated using the Kaplan-Meier method.</w:t>
            </w:r>
          </w:p>
          <w:p w14:paraId="7D002A18" w14:textId="77777777" w:rsidR="00F84755" w:rsidRPr="00F84755" w:rsidRDefault="00F84755" w:rsidP="00F84755">
            <w:pPr>
              <w:tabs>
                <w:tab w:val="left" w:pos="1220"/>
              </w:tabs>
              <w:spacing w:line="276" w:lineRule="auto"/>
              <w:ind w:right="420"/>
              <w:rPr>
                <w:rFonts w:ascii="Arial" w:eastAsia="Times New Roman" w:hAnsi="Arial" w:cs="Times New Roman"/>
                <w:b/>
                <w:color w:val="3F3F3F"/>
                <w:sz w:val="19"/>
                <w:szCs w:val="19"/>
              </w:rPr>
            </w:pPr>
          </w:p>
          <w:p w14:paraId="0A5BD7A1"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 xml:space="preserve">There were 2 analysis populations, the </w:t>
            </w:r>
            <w:r w:rsidRPr="00F84755">
              <w:rPr>
                <w:rFonts w:ascii="Arial" w:eastAsia="Times New Roman" w:hAnsi="Arial" w:cs="Times New Roman"/>
                <w:b/>
                <w:color w:val="3F3F3F"/>
                <w:sz w:val="19"/>
                <w:szCs w:val="19"/>
              </w:rPr>
              <w:t>intention-to-treat (ITT) population</w:t>
            </w:r>
            <w:r w:rsidRPr="00F84755">
              <w:rPr>
                <w:rFonts w:ascii="Arial" w:eastAsia="Times New Roman" w:hAnsi="Arial" w:cs="Times New Roman"/>
                <w:bCs/>
                <w:color w:val="3F3F3F"/>
                <w:sz w:val="19"/>
                <w:szCs w:val="19"/>
              </w:rPr>
              <w:t xml:space="preserve"> (all subjects who signed the informed consent form and received at least one dose of panitumumab or chemotherapy) and </w:t>
            </w:r>
            <w:r w:rsidRPr="00F84755">
              <w:rPr>
                <w:rFonts w:ascii="Arial" w:eastAsia="Times New Roman" w:hAnsi="Arial" w:cs="Times New Roman"/>
                <w:b/>
                <w:color w:val="3F3F3F"/>
                <w:sz w:val="19"/>
                <w:szCs w:val="19"/>
              </w:rPr>
              <w:t xml:space="preserve">per-protocol (PP) population </w:t>
            </w:r>
            <w:r w:rsidRPr="00F84755">
              <w:rPr>
                <w:rFonts w:ascii="Arial" w:eastAsia="Times New Roman" w:hAnsi="Arial" w:cs="Times New Roman"/>
                <w:bCs/>
                <w:color w:val="3F3F3F"/>
                <w:sz w:val="19"/>
                <w:szCs w:val="19"/>
              </w:rPr>
              <w:t>(all subjects who signed the informed consent form and were included in the study and had no important protocol deviations).</w:t>
            </w:r>
          </w:p>
          <w:p w14:paraId="006BE72D"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p>
          <w:p w14:paraId="469058DA" w14:textId="77777777" w:rsidR="00F84755" w:rsidRPr="00F84755" w:rsidRDefault="00F84755" w:rsidP="00F84755">
            <w:pPr>
              <w:tabs>
                <w:tab w:val="left" w:pos="1220"/>
              </w:tabs>
              <w:spacing w:line="276" w:lineRule="auto"/>
              <w:ind w:right="420"/>
              <w:rPr>
                <w:rFonts w:ascii="Arial" w:eastAsia="Times New Roman" w:hAnsi="Arial" w:cs="Times New Roman"/>
                <w:bCs/>
                <w:color w:val="3F3F3F"/>
                <w:sz w:val="19"/>
                <w:szCs w:val="19"/>
              </w:rPr>
            </w:pPr>
            <w:r w:rsidRPr="00F84755">
              <w:rPr>
                <w:rFonts w:ascii="Arial" w:eastAsia="Times New Roman" w:hAnsi="Arial" w:cs="Times New Roman"/>
                <w:bCs/>
                <w:color w:val="3F3F3F"/>
                <w:sz w:val="19"/>
                <w:szCs w:val="19"/>
              </w:rPr>
              <w:t>Assuming 60% as the percentage of living patients free of progression at 12 months, a precision of 11.45% and a two-sided confidence interval of 95% the sample size was 80 patients. A loss to follow-up rate of 10% is assumed.</w:t>
            </w:r>
          </w:p>
          <w:p w14:paraId="2AAD832E"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tc>
      </w:tr>
      <w:tr w:rsidR="00F84755" w:rsidRPr="00F84755" w14:paraId="3A219046" w14:textId="77777777" w:rsidTr="001651A4">
        <w:trPr>
          <w:trHeight w:val="233"/>
        </w:trPr>
        <w:tc>
          <w:tcPr>
            <w:tcW w:w="9350" w:type="dxa"/>
            <w:gridSpan w:val="3"/>
            <w:vAlign w:val="bottom"/>
          </w:tcPr>
          <w:p w14:paraId="38581530"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Summary – Results and Conclusions</w:t>
            </w:r>
          </w:p>
          <w:p w14:paraId="2631AEAD"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The study was early closed due to low recruitment rate with only 20 (ITT) patients included.</w:t>
            </w:r>
          </w:p>
          <w:p w14:paraId="5B06ED5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33CB781F"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r w:rsidRPr="00F84755">
              <w:rPr>
                <w:rFonts w:ascii="Arial" w:eastAsia="Times New Roman" w:hAnsi="Arial" w:cs="Times New Roman"/>
                <w:b/>
                <w:bCs/>
                <w:color w:val="3F3F3F"/>
                <w:sz w:val="19"/>
                <w:szCs w:val="19"/>
              </w:rPr>
              <w:t xml:space="preserve">Demographics and baseline characteristics: </w:t>
            </w:r>
          </w:p>
          <w:p w14:paraId="1FCC177A"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The analysis of this data was performed on the ITT population (n=20), distributed in 11 sites in Spain. 24 patients with metastatic colorectal cancer were selected, 20 of them enrolled and received at least one dose of the study treatment (intention to treat, ITT, population). </w:t>
            </w:r>
          </w:p>
          <w:p w14:paraId="73AD7178"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The median age of the patients included was 74.50 years, with a range between 70 and 82; 14 were male (70.0%), all Caucasian. Fifty-five percent of the subjects (11) had 2 or more metastatic organs. Fifty percent of patients had an ECOG 0 at baseline. </w:t>
            </w:r>
          </w:p>
          <w:p w14:paraId="5FE6F3BD"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rPr>
            </w:pPr>
          </w:p>
        </w:tc>
      </w:tr>
      <w:tr w:rsidR="00F84755" w:rsidRPr="00F84755" w14:paraId="68AB4721" w14:textId="77777777" w:rsidTr="001651A4">
        <w:trPr>
          <w:trHeight w:val="233"/>
        </w:trPr>
        <w:tc>
          <w:tcPr>
            <w:tcW w:w="9350" w:type="dxa"/>
            <w:gridSpan w:val="3"/>
            <w:vAlign w:val="bottom"/>
          </w:tcPr>
          <w:p w14:paraId="34A8958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 xml:space="preserve">Efficacy Results: </w:t>
            </w:r>
          </w:p>
          <w:p w14:paraId="427C926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All efficacy analyses were performed on the ITT population.</w:t>
            </w:r>
          </w:p>
          <w:p w14:paraId="4008CAF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The primary endpoint, progression-free survival (PFS) at one year, was 26.92% (95% CI, 9.87 - 47.53).</w:t>
            </w:r>
          </w:p>
          <w:p w14:paraId="2C5F27E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Secondary endpoints: </w:t>
            </w:r>
          </w:p>
          <w:p w14:paraId="598A3E94"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b/>
                <w:bCs/>
                <w:color w:val="3F3F3F"/>
                <w:sz w:val="19"/>
                <w:szCs w:val="19"/>
              </w:rPr>
            </w:pPr>
            <w:r w:rsidRPr="00F84755">
              <w:rPr>
                <w:rFonts w:ascii="Arial" w:eastAsia="Times New Roman" w:hAnsi="Arial" w:cs="Times New Roman"/>
                <w:color w:val="3F3F3F"/>
                <w:sz w:val="19"/>
                <w:szCs w:val="19"/>
              </w:rPr>
              <w:t>The median progression free survival (PFS) was 7.53 months.</w:t>
            </w:r>
          </w:p>
          <w:p w14:paraId="278F8B0F"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Best Overall Response: 12 patients (60%) had an objective response: 11 PR and a patient with a complete response (CR). Additionally, a not confirmed CR, and two not confirmed PR were reported. </w:t>
            </w:r>
          </w:p>
          <w:p w14:paraId="48D68961"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Disease control: 18 patients (90%) had CR, PR or stable disease (SD).</w:t>
            </w:r>
          </w:p>
          <w:p w14:paraId="69611A4A"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Overall Survival: at the end of the study, 75% of patients (15) had died, with a median overall survival of 15.40 months. </w:t>
            </w:r>
          </w:p>
          <w:p w14:paraId="4D3A70BC"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color w:val="3F3F3F"/>
                <w:sz w:val="19"/>
                <w:szCs w:val="19"/>
              </w:rPr>
            </w:pPr>
            <w:bookmarkStart w:id="2" w:name="_Hlk97225414"/>
            <w:r w:rsidRPr="00F84755">
              <w:rPr>
                <w:rFonts w:ascii="Arial" w:eastAsia="Times New Roman" w:hAnsi="Arial" w:cs="Times New Roman"/>
                <w:color w:val="3F3F3F"/>
                <w:sz w:val="19"/>
                <w:szCs w:val="19"/>
              </w:rPr>
              <w:t xml:space="preserve">At completion of the study, 5 patients were still alive, while the other 15 had died, 11 due to the study disease, and 4 because of other reasons.  </w:t>
            </w:r>
          </w:p>
          <w:bookmarkEnd w:id="2"/>
          <w:p w14:paraId="5603ACB2" w14:textId="77777777" w:rsidR="00F84755" w:rsidRPr="00F84755" w:rsidRDefault="00F84755" w:rsidP="00F84755">
            <w:pPr>
              <w:numPr>
                <w:ilvl w:val="0"/>
                <w:numId w:val="4"/>
              </w:numPr>
              <w:tabs>
                <w:tab w:val="left" w:pos="1220"/>
              </w:tabs>
              <w:spacing w:line="276" w:lineRule="auto"/>
              <w:ind w:right="420"/>
              <w:contextualSpacing/>
              <w:jc w:val="both"/>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The median time to treatment failure was 7.53 months.</w:t>
            </w:r>
          </w:p>
          <w:p w14:paraId="6604FEAE" w14:textId="77777777" w:rsidR="00F84755" w:rsidRPr="00F84755" w:rsidRDefault="00F84755" w:rsidP="00F84755">
            <w:pPr>
              <w:tabs>
                <w:tab w:val="left" w:pos="1220"/>
              </w:tabs>
              <w:spacing w:line="276" w:lineRule="auto"/>
              <w:ind w:left="720" w:right="420"/>
              <w:contextualSpacing/>
              <w:rPr>
                <w:rFonts w:ascii="Arial" w:eastAsia="Times New Roman" w:hAnsi="Arial" w:cs="Times New Roman"/>
                <w:b/>
                <w:bCs/>
                <w:color w:val="3F3F3F"/>
                <w:sz w:val="19"/>
                <w:szCs w:val="19"/>
              </w:rPr>
            </w:pPr>
          </w:p>
        </w:tc>
      </w:tr>
      <w:tr w:rsidR="00F84755" w:rsidRPr="00F84755" w14:paraId="1CD25710" w14:textId="77777777" w:rsidTr="001651A4">
        <w:trPr>
          <w:trHeight w:val="233"/>
        </w:trPr>
        <w:tc>
          <w:tcPr>
            <w:tcW w:w="9350" w:type="dxa"/>
            <w:gridSpan w:val="3"/>
            <w:vAlign w:val="bottom"/>
          </w:tcPr>
          <w:p w14:paraId="0DD4A8BD"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Safety Results</w:t>
            </w:r>
            <w:r w:rsidRPr="00F84755">
              <w:rPr>
                <w:rFonts w:ascii="Arial" w:eastAsia="Times New Roman" w:hAnsi="Arial" w:cs="Times New Roman"/>
                <w:color w:val="3F3F3F"/>
                <w:sz w:val="19"/>
                <w:szCs w:val="19"/>
              </w:rPr>
              <w:t xml:space="preserve">: </w:t>
            </w:r>
          </w:p>
          <w:p w14:paraId="325A15C8"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These analyses were performed on the safety population, all the subjects who signed the informed consent form, and received at least one dose of panitumumab or chemotherapy.</w:t>
            </w:r>
          </w:p>
          <w:p w14:paraId="4502593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0624AE3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lastRenderedPageBreak/>
              <w:t>The mean duration of exposure to panitumumab was of 24.06 weeks. 16 patients (88.9%) had at least one dose delay in panitumumab administration, 15 of them due to an adverse event; 13 patients (72.22%) had at least one dose reduction, 8 of them because of an adverse event. Finally, panitumumab administration was interrupted in 14 patients (77.78%), most of them (11 patients) due to an adverse event.</w:t>
            </w:r>
          </w:p>
          <w:p w14:paraId="483BCEF7"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397FBDE9"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For irinotecan, the mean duration of exposure was 23.31 weeks; 16 patients had at least one dose delay, 13 patients had at least one dose reduction, and 11 had dose interruption. </w:t>
            </w:r>
          </w:p>
          <w:p w14:paraId="74A567DC"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For 5-FU bolus, the mean duration of exposure was 26.13 weeks, with 16 patients reporting at least one dose delay, 13 patients at least one dose reduction, and 8 at least one dose interruption. </w:t>
            </w:r>
          </w:p>
          <w:p w14:paraId="088E696C"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Finally, for the 5-FU infusion, the mean duration of exposure was 27.64 weeks; 16 patients had at least one dose delay, 12, at least one dose reduction, and 7, at least one dose interruption.</w:t>
            </w:r>
          </w:p>
          <w:p w14:paraId="5A6F0982"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highlight w:val="yellow"/>
              </w:rPr>
            </w:pPr>
          </w:p>
          <w:p w14:paraId="70CC9FAF"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Nine out of twenty patients (9 out of 20) received another line after study treatment. </w:t>
            </w:r>
          </w:p>
          <w:p w14:paraId="7516E62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All twenty patients have presented at least one adverse event (AE), sixteen of them (80%), a grade 3-5 adverse event.  Eighteen patients (90%) presented at least one AE related with panitumumab, and in eleven of them (55% of the total), it was an adverse event grade 3-5. Hypomagnesemia was detected in three patients (15%).</w:t>
            </w:r>
          </w:p>
          <w:p w14:paraId="0A88171A"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p>
          <w:p w14:paraId="21EAE516"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rPr>
              <w:t xml:space="preserve">16 serious adverse events (SAE) were reported in nine patients (45.0%): one cardiac arrest (5%), one case of febrile neutropenia (5%), and one chemical pneumonitis plus febrile neutropenia (5%). One patient reported a venous thrombosis and viral pneumonia; another had a pulmonary embolism and rash. </w:t>
            </w:r>
          </w:p>
          <w:p w14:paraId="4B635003"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highlight w:val="yellow"/>
              </w:rPr>
            </w:pPr>
            <w:r w:rsidRPr="00F84755">
              <w:rPr>
                <w:rFonts w:ascii="Arial" w:eastAsia="Times New Roman" w:hAnsi="Arial" w:cs="Times New Roman"/>
                <w:color w:val="3F3F3F"/>
                <w:sz w:val="19"/>
                <w:szCs w:val="19"/>
              </w:rPr>
              <w:t>Other SAEs were a case of intestinal obstruction, a urinary tract infection, one case of diarrhoea, one episode of catheter site hemorrhage, a rectal hemorrhage, and a respiratory tract infection (these last two reported by the same patient).</w:t>
            </w:r>
          </w:p>
          <w:p w14:paraId="3C0166D2" w14:textId="77777777" w:rsidR="00F84755" w:rsidRPr="00F84755" w:rsidRDefault="00F84755" w:rsidP="00F84755">
            <w:pPr>
              <w:tabs>
                <w:tab w:val="left" w:pos="1220"/>
              </w:tabs>
              <w:spacing w:line="276" w:lineRule="auto"/>
              <w:ind w:right="420"/>
              <w:rPr>
                <w:rFonts w:ascii="Arial" w:eastAsia="Times New Roman" w:hAnsi="Arial" w:cs="Times New Roman"/>
                <w:b/>
                <w:bCs/>
                <w:color w:val="3F3F3F"/>
                <w:sz w:val="19"/>
                <w:szCs w:val="19"/>
                <w:highlight w:val="yellow"/>
              </w:rPr>
            </w:pPr>
          </w:p>
        </w:tc>
      </w:tr>
      <w:tr w:rsidR="00F84755" w:rsidRPr="00F84755" w14:paraId="7983FBB5" w14:textId="77777777" w:rsidTr="001651A4">
        <w:trPr>
          <w:trHeight w:val="233"/>
        </w:trPr>
        <w:tc>
          <w:tcPr>
            <w:tcW w:w="9350" w:type="dxa"/>
            <w:gridSpan w:val="3"/>
            <w:vAlign w:val="bottom"/>
          </w:tcPr>
          <w:p w14:paraId="4C62D34F"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lang w:val="en-GB"/>
              </w:rPr>
            </w:pPr>
            <w:r w:rsidRPr="00F84755">
              <w:rPr>
                <w:rFonts w:ascii="Arial" w:eastAsia="Times New Roman" w:hAnsi="Arial" w:cs="Times New Roman"/>
                <w:b/>
                <w:bCs/>
                <w:color w:val="3F3F3F"/>
                <w:sz w:val="19"/>
                <w:szCs w:val="19"/>
              </w:rPr>
              <w:lastRenderedPageBreak/>
              <w:t xml:space="preserve">Conclusion: </w:t>
            </w:r>
            <w:r w:rsidRPr="00F84755">
              <w:rPr>
                <w:rFonts w:ascii="Arial" w:eastAsia="Times New Roman" w:hAnsi="Arial" w:cs="Times New Roman"/>
                <w:color w:val="3F3F3F"/>
                <w:sz w:val="19"/>
                <w:szCs w:val="19"/>
                <w:lang w:val="en-GB"/>
              </w:rPr>
              <w:t>Though limited by the size of the sample the main end point was not obtained.</w:t>
            </w:r>
          </w:p>
          <w:p w14:paraId="06515705"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color w:val="3F3F3F"/>
                <w:sz w:val="19"/>
                <w:szCs w:val="19"/>
                <w:lang w:val="en-GB"/>
              </w:rPr>
              <w:t>Nearly half of the 20 patients experienced a serious adverse event, probably related to the age of the population</w:t>
            </w:r>
            <w:r w:rsidRPr="00F84755">
              <w:rPr>
                <w:rFonts w:ascii="Arial" w:eastAsia="Times New Roman" w:hAnsi="Arial" w:cs="Times New Roman"/>
                <w:color w:val="3F3F3F"/>
                <w:sz w:val="19"/>
                <w:szCs w:val="19"/>
              </w:rPr>
              <w:t>.</w:t>
            </w:r>
          </w:p>
        </w:tc>
      </w:tr>
      <w:tr w:rsidR="00F84755" w:rsidRPr="00F84755" w14:paraId="09CF9008" w14:textId="77777777" w:rsidTr="001651A4">
        <w:trPr>
          <w:trHeight w:val="233"/>
        </w:trPr>
        <w:tc>
          <w:tcPr>
            <w:tcW w:w="9350" w:type="dxa"/>
            <w:gridSpan w:val="3"/>
            <w:vAlign w:val="bottom"/>
          </w:tcPr>
          <w:p w14:paraId="575C44FD" w14:textId="77777777" w:rsidR="00F84755" w:rsidRPr="00F84755" w:rsidRDefault="00F84755" w:rsidP="00F84755">
            <w:pPr>
              <w:tabs>
                <w:tab w:val="left" w:pos="1220"/>
              </w:tabs>
              <w:spacing w:line="276" w:lineRule="auto"/>
              <w:ind w:right="420"/>
              <w:rPr>
                <w:rFonts w:ascii="Arial" w:eastAsia="Times New Roman" w:hAnsi="Arial" w:cs="Times New Roman"/>
                <w:color w:val="3F3F3F"/>
                <w:sz w:val="19"/>
                <w:szCs w:val="19"/>
              </w:rPr>
            </w:pPr>
            <w:r w:rsidRPr="00F84755">
              <w:rPr>
                <w:rFonts w:ascii="Arial" w:eastAsia="Times New Roman" w:hAnsi="Arial" w:cs="Times New Roman"/>
                <w:b/>
                <w:bCs/>
                <w:color w:val="3F3F3F"/>
                <w:sz w:val="19"/>
                <w:szCs w:val="19"/>
              </w:rPr>
              <w:t xml:space="preserve">Date of report: </w:t>
            </w:r>
            <w:r w:rsidRPr="00F84755">
              <w:rPr>
                <w:rFonts w:ascii="Arial" w:eastAsia="Times New Roman" w:hAnsi="Arial" w:cs="Times New Roman"/>
                <w:color w:val="3F3F3F"/>
                <w:sz w:val="19"/>
                <w:szCs w:val="19"/>
              </w:rPr>
              <w:t>6</w:t>
            </w:r>
            <w:r w:rsidRPr="00F84755">
              <w:rPr>
                <w:rFonts w:ascii="Arial" w:eastAsia="Times New Roman" w:hAnsi="Arial" w:cs="Times New Roman"/>
                <w:color w:val="3F3F3F"/>
                <w:sz w:val="19"/>
                <w:szCs w:val="19"/>
                <w:vertAlign w:val="superscript"/>
              </w:rPr>
              <w:t>th</w:t>
            </w:r>
            <w:r w:rsidRPr="00F84755">
              <w:rPr>
                <w:rFonts w:ascii="Arial" w:eastAsia="Times New Roman" w:hAnsi="Arial" w:cs="Times New Roman"/>
                <w:color w:val="3F3F3F"/>
                <w:sz w:val="19"/>
                <w:szCs w:val="19"/>
              </w:rPr>
              <w:t xml:space="preserve"> April 2022</w:t>
            </w:r>
          </w:p>
        </w:tc>
      </w:tr>
    </w:tbl>
    <w:p w14:paraId="7AD52884" w14:textId="77777777" w:rsidR="00F84755" w:rsidRPr="00F84755" w:rsidRDefault="00F84755" w:rsidP="00F84755">
      <w:pPr>
        <w:spacing w:line="276" w:lineRule="auto"/>
        <w:jc w:val="both"/>
        <w:rPr>
          <w:rFonts w:ascii="Arial" w:eastAsia="Arial" w:hAnsi="Arial" w:cs="Times New Roman"/>
          <w:color w:val="3F3F3F"/>
        </w:rPr>
      </w:pPr>
    </w:p>
    <w:p w14:paraId="2BCFF5C9" w14:textId="77777777" w:rsidR="00356B92" w:rsidRDefault="00C06BDC"/>
    <w:sectPr w:rsidR="00356B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56198"/>
    <w:multiLevelType w:val="multilevel"/>
    <w:tmpl w:val="27C56198"/>
    <w:lvl w:ilvl="0">
      <w:start w:val="3"/>
      <w:numFmt w:val="bullet"/>
      <w:lvlText w:val="-"/>
      <w:lvlJc w:val="left"/>
      <w:pPr>
        <w:ind w:left="720" w:hanging="360"/>
      </w:pPr>
      <w:rPr>
        <w:rFonts w:ascii="Arial" w:eastAsia="Times New Roman" w:hAnsi="Arial" w:cs="Aria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1B11615"/>
    <w:multiLevelType w:val="multilevel"/>
    <w:tmpl w:val="61B116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E19162C"/>
    <w:multiLevelType w:val="multilevel"/>
    <w:tmpl w:val="6E19162C"/>
    <w:lvl w:ilvl="0">
      <w:start w:val="1"/>
      <w:numFmt w:val="bullet"/>
      <w:lvlText w:val=""/>
      <w:lvlJc w:val="left"/>
      <w:pPr>
        <w:ind w:left="720" w:hanging="360"/>
      </w:pPr>
      <w:rPr>
        <w:rFonts w:ascii="Symbol" w:hAnsi="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A67C54"/>
    <w:multiLevelType w:val="multilevel"/>
    <w:tmpl w:val="77A67C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85413277">
    <w:abstractNumId w:val="2"/>
  </w:num>
  <w:num w:numId="2" w16cid:durableId="1467351697">
    <w:abstractNumId w:val="1"/>
  </w:num>
  <w:num w:numId="3" w16cid:durableId="850416736">
    <w:abstractNumId w:val="3"/>
  </w:num>
  <w:num w:numId="4" w16cid:durableId="642203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1E2"/>
    <w:rsid w:val="000F0271"/>
    <w:rsid w:val="001411E2"/>
    <w:rsid w:val="001D5753"/>
    <w:rsid w:val="0021107F"/>
    <w:rsid w:val="00545BF8"/>
    <w:rsid w:val="00C06BDC"/>
    <w:rsid w:val="00DF6713"/>
    <w:rsid w:val="00F84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50AF"/>
  <w15:chartTrackingRefBased/>
  <w15:docId w15:val="{E764C62A-03DE-4132-AAF7-086F0590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qFormat/>
    <w:rsid w:val="00F8475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84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1860</Words>
  <Characters>10603</Characters>
  <Application>Microsoft Office Word</Application>
  <DocSecurity>0</DocSecurity>
  <Lines>88</Lines>
  <Paragraphs>24</Paragraphs>
  <ScaleCrop>false</ScaleCrop>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Lizandro</dc:creator>
  <cp:keywords/>
  <dc:description/>
  <cp:lastModifiedBy>Victor Lizandro</cp:lastModifiedBy>
  <cp:revision>6</cp:revision>
  <dcterms:created xsi:type="dcterms:W3CDTF">2023-01-11T09:40:00Z</dcterms:created>
  <dcterms:modified xsi:type="dcterms:W3CDTF">2023-01-11T09:44:00Z</dcterms:modified>
</cp:coreProperties>
</file>