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0DBD" w14:textId="73B71BCB" w:rsidR="00AB2150" w:rsidRDefault="00D54E98" w:rsidP="00D54E98">
      <w:r>
        <w:rPr>
          <w:noProof/>
          <w:sz w:val="20"/>
        </w:rPr>
        <w:drawing>
          <wp:inline distT="0" distB="0" distL="0" distR="0" wp14:anchorId="25CD3200" wp14:editId="4C03EE09">
            <wp:extent cx="3024927" cy="2889504"/>
            <wp:effectExtent l="0" t="0" r="0" b="0"/>
            <wp:docPr id="17" name="image9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927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95947" w14:textId="77777777" w:rsidR="00D54E98" w:rsidRDefault="00D54E98" w:rsidP="00D54E98">
      <w:pPr>
        <w:spacing w:before="106" w:line="278" w:lineRule="auto"/>
        <w:ind w:left="131" w:right="109"/>
        <w:jc w:val="both"/>
        <w:rPr>
          <w:sz w:val="14"/>
        </w:rPr>
      </w:pPr>
      <w:r>
        <w:rPr>
          <w:w w:val="105"/>
          <w:sz w:val="14"/>
        </w:rPr>
        <w:t>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 AUDIT  total score values  from  Baseline to  Week 12.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jittered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around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values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 of conditional sample means of Naloxone group and placebo group are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analysis, treatment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 xml:space="preserve">0.324, time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>0.041. (For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interpretation of the references to colour in this figure legend, the reader is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52B221D9" w14:textId="77777777" w:rsidR="00D54E98" w:rsidRPr="00D54E98" w:rsidRDefault="00D54E98" w:rsidP="00D54E98"/>
    <w:sectPr w:rsidR="00D54E98" w:rsidRPr="00D54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E98"/>
    <w:rsid w:val="00596E91"/>
    <w:rsid w:val="00AB2150"/>
    <w:rsid w:val="00D54E98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3D8D404"/>
  <w15:chartTrackingRefBased/>
  <w15:docId w15:val="{9D00B00E-B401-884B-82E4-5ACA08D5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2022-04-12T23:32:00Z</dcterms:created>
  <dcterms:modified xsi:type="dcterms:W3CDTF">2022-04-12T23:34:00Z</dcterms:modified>
</cp:coreProperties>
</file>