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BDB385" w14:textId="77777777" w:rsidR="00625C3F" w:rsidRPr="00205923" w:rsidRDefault="0060292B" w:rsidP="00344BF3">
      <w:pPr>
        <w:pStyle w:val="Heading1"/>
      </w:pPr>
      <w:bookmarkStart w:id="0" w:name="_Toc53990295"/>
      <w:r w:rsidRPr="00205923">
        <w:t>TITLE PAGE</w:t>
      </w:r>
      <w:bookmarkEnd w:id="0"/>
    </w:p>
    <w:tbl>
      <w:tblPr>
        <w:tblW w:w="0" w:type="auto"/>
        <w:tblLook w:val="04A0" w:firstRow="1" w:lastRow="0" w:firstColumn="1" w:lastColumn="0" w:noHBand="0" w:noVBand="1"/>
      </w:tblPr>
      <w:tblGrid>
        <w:gridCol w:w="3376"/>
        <w:gridCol w:w="5984"/>
      </w:tblGrid>
      <w:tr w:rsidR="00776D4D" w:rsidRPr="004A5AF1" w14:paraId="65B62661" w14:textId="77777777" w:rsidTr="00620F84">
        <w:tc>
          <w:tcPr>
            <w:tcW w:w="9576" w:type="dxa"/>
            <w:gridSpan w:val="2"/>
          </w:tcPr>
          <w:p w14:paraId="269CBAC7" w14:textId="77777777" w:rsidR="00776D4D" w:rsidRPr="00457224" w:rsidRDefault="004F449A" w:rsidP="004F449A">
            <w:pPr>
              <w:pStyle w:val="TitlePage-Title"/>
            </w:pPr>
            <w:r>
              <w:t xml:space="preserve">A Phase 3 Randomized, Double-Blind, Parallel-Group, Placebo-Controlled Trial to Evaluate the Efficacy and Safety of Daily Subcutaneous Injections of </w:t>
            </w:r>
            <w:proofErr w:type="spellStart"/>
            <w:r>
              <w:t>Elamipretide</w:t>
            </w:r>
            <w:proofErr w:type="spellEnd"/>
            <w:r>
              <w:t xml:space="preserve"> in Subjects with Primary Mitochondrial Myopathy Followed by an Open-Label Treatment Extension</w:t>
            </w:r>
          </w:p>
        </w:tc>
      </w:tr>
      <w:tr w:rsidR="000D3594" w:rsidRPr="004A5AF1" w14:paraId="35F7503B" w14:textId="77777777" w:rsidTr="00620F84">
        <w:tc>
          <w:tcPr>
            <w:tcW w:w="9576" w:type="dxa"/>
            <w:gridSpan w:val="2"/>
          </w:tcPr>
          <w:p w14:paraId="17EB3906" w14:textId="77777777" w:rsidR="000D3594" w:rsidRPr="00BC6DF9" w:rsidRDefault="000D3594" w:rsidP="008D1283">
            <w:pPr>
              <w:pStyle w:val="TitlePage-Text"/>
            </w:pPr>
          </w:p>
        </w:tc>
      </w:tr>
      <w:tr w:rsidR="00776D4D" w:rsidRPr="004A5AF1" w14:paraId="132F994B" w14:textId="77777777" w:rsidTr="004E5910">
        <w:tc>
          <w:tcPr>
            <w:tcW w:w="3438" w:type="dxa"/>
          </w:tcPr>
          <w:p w14:paraId="6BCDB1FC" w14:textId="77777777" w:rsidR="00776D4D" w:rsidRPr="004A5AF1" w:rsidRDefault="00776D4D" w:rsidP="00154C04">
            <w:pPr>
              <w:pStyle w:val="TitlePage-Heading"/>
              <w:rPr>
                <w:rFonts w:ascii="Times New Roman" w:hAnsi="Times New Roman"/>
              </w:rPr>
            </w:pPr>
            <w:r w:rsidRPr="004A5AF1">
              <w:rPr>
                <w:rFonts w:ascii="Times New Roman" w:hAnsi="Times New Roman"/>
              </w:rPr>
              <w:t>Included Protocol(s):</w:t>
            </w:r>
          </w:p>
        </w:tc>
        <w:tc>
          <w:tcPr>
            <w:tcW w:w="6138" w:type="dxa"/>
          </w:tcPr>
          <w:p w14:paraId="4D32067C" w14:textId="77777777" w:rsidR="00776D4D" w:rsidRPr="005203FB" w:rsidRDefault="004F449A" w:rsidP="00007970">
            <w:pPr>
              <w:pStyle w:val="TitlePage-Text"/>
            </w:pPr>
            <w:r>
              <w:t>SPIMM-301</w:t>
            </w:r>
          </w:p>
        </w:tc>
      </w:tr>
      <w:tr w:rsidR="00154C04" w:rsidRPr="004A5AF1" w14:paraId="5C33775A" w14:textId="77777777" w:rsidTr="00154C04">
        <w:tc>
          <w:tcPr>
            <w:tcW w:w="9576" w:type="dxa"/>
            <w:gridSpan w:val="2"/>
          </w:tcPr>
          <w:p w14:paraId="24188859" w14:textId="77777777" w:rsidR="00154C04" w:rsidRPr="00774E9D" w:rsidRDefault="00154C04" w:rsidP="00774E9D">
            <w:pPr>
              <w:pStyle w:val="TitlePage-Text"/>
            </w:pPr>
          </w:p>
        </w:tc>
      </w:tr>
      <w:tr w:rsidR="00776D4D" w:rsidRPr="004A5AF1" w14:paraId="49C45BA6" w14:textId="77777777" w:rsidTr="004E5910">
        <w:tc>
          <w:tcPr>
            <w:tcW w:w="3438" w:type="dxa"/>
          </w:tcPr>
          <w:p w14:paraId="3D769A4D" w14:textId="77777777" w:rsidR="00776D4D" w:rsidRPr="004A5AF1" w:rsidRDefault="00776D4D" w:rsidP="004F449A">
            <w:pPr>
              <w:pStyle w:val="TitlePage-Heading"/>
              <w:rPr>
                <w:rFonts w:ascii="Times New Roman" w:hAnsi="Times New Roman"/>
              </w:rPr>
            </w:pPr>
            <w:r w:rsidRPr="004A5AF1">
              <w:rPr>
                <w:rFonts w:ascii="Times New Roman" w:hAnsi="Times New Roman"/>
              </w:rPr>
              <w:t xml:space="preserve">Study </w:t>
            </w:r>
            <w:r w:rsidR="003E4DDA">
              <w:rPr>
                <w:rFonts w:ascii="Times New Roman" w:hAnsi="Times New Roman"/>
              </w:rPr>
              <w:t>Treatment</w:t>
            </w:r>
            <w:r w:rsidRPr="004A5AF1">
              <w:rPr>
                <w:rFonts w:ascii="Times New Roman" w:hAnsi="Times New Roman"/>
              </w:rPr>
              <w:t>:</w:t>
            </w:r>
          </w:p>
        </w:tc>
        <w:tc>
          <w:tcPr>
            <w:tcW w:w="6138" w:type="dxa"/>
          </w:tcPr>
          <w:p w14:paraId="0A0A5750" w14:textId="77777777" w:rsidR="00776D4D" w:rsidRPr="005203FB" w:rsidRDefault="004F449A" w:rsidP="00E60704">
            <w:pPr>
              <w:pStyle w:val="TitlePage-Text"/>
            </w:pPr>
            <w:proofErr w:type="spellStart"/>
            <w:r>
              <w:t>Elamipretide</w:t>
            </w:r>
            <w:proofErr w:type="spellEnd"/>
          </w:p>
        </w:tc>
      </w:tr>
      <w:tr w:rsidR="00154C04" w:rsidRPr="004A5AF1" w14:paraId="57D1ACB8" w14:textId="77777777" w:rsidTr="00154C04">
        <w:tc>
          <w:tcPr>
            <w:tcW w:w="9576" w:type="dxa"/>
            <w:gridSpan w:val="2"/>
          </w:tcPr>
          <w:p w14:paraId="0CFCC301" w14:textId="77777777" w:rsidR="00154C04" w:rsidRPr="00774E9D" w:rsidRDefault="00154C04" w:rsidP="00774E9D">
            <w:pPr>
              <w:pStyle w:val="TitlePage-Text"/>
            </w:pPr>
          </w:p>
        </w:tc>
      </w:tr>
      <w:tr w:rsidR="005A4ED1" w:rsidRPr="004A5AF1" w14:paraId="7F3D6CA5" w14:textId="77777777" w:rsidTr="004E5910">
        <w:tc>
          <w:tcPr>
            <w:tcW w:w="3438" w:type="dxa"/>
          </w:tcPr>
          <w:p w14:paraId="21DBE0E4" w14:textId="77777777" w:rsidR="005A4ED1" w:rsidRPr="004A5AF1" w:rsidRDefault="005A4ED1" w:rsidP="005A4ED1">
            <w:pPr>
              <w:pStyle w:val="TitlePage-Heading"/>
              <w:rPr>
                <w:rFonts w:ascii="Times New Roman" w:hAnsi="Times New Roman"/>
              </w:rPr>
            </w:pPr>
            <w:r w:rsidRPr="004A5AF1">
              <w:rPr>
                <w:rFonts w:ascii="Times New Roman" w:hAnsi="Times New Roman"/>
              </w:rPr>
              <w:t>Name of Sponsor(s):</w:t>
            </w:r>
          </w:p>
        </w:tc>
        <w:tc>
          <w:tcPr>
            <w:tcW w:w="6138" w:type="dxa"/>
          </w:tcPr>
          <w:p w14:paraId="0B4F60B3" w14:textId="5FE5E165" w:rsidR="005A4ED1" w:rsidRPr="00CA297E" w:rsidRDefault="004F449A" w:rsidP="00A16D17">
            <w:pPr>
              <w:pStyle w:val="TitlePage-Text"/>
            </w:pPr>
            <w:r w:rsidRPr="00CA297E">
              <w:t xml:space="preserve">Stealth </w:t>
            </w:r>
            <w:proofErr w:type="spellStart"/>
            <w:r w:rsidRPr="00CA297E">
              <w:t>BioTherapeutics</w:t>
            </w:r>
            <w:proofErr w:type="spellEnd"/>
            <w:r w:rsidRPr="00CA297E">
              <w:t xml:space="preserve"> Inc.</w:t>
            </w:r>
            <w:r w:rsidR="005A4ED1" w:rsidRPr="00CA297E">
              <w:t xml:space="preserve"> </w:t>
            </w:r>
          </w:p>
        </w:tc>
      </w:tr>
      <w:tr w:rsidR="005A4ED1" w:rsidRPr="004A5AF1" w14:paraId="6139B4D2" w14:textId="77777777" w:rsidTr="004E5910">
        <w:tc>
          <w:tcPr>
            <w:tcW w:w="3438" w:type="dxa"/>
          </w:tcPr>
          <w:p w14:paraId="727DE9ED" w14:textId="77777777" w:rsidR="005A4ED1" w:rsidRPr="004A5AF1" w:rsidRDefault="005A4ED1" w:rsidP="00154C04">
            <w:pPr>
              <w:pStyle w:val="TitlePage-Heading"/>
              <w:rPr>
                <w:rFonts w:ascii="Times New Roman" w:hAnsi="Times New Roman"/>
              </w:rPr>
            </w:pPr>
          </w:p>
        </w:tc>
        <w:tc>
          <w:tcPr>
            <w:tcW w:w="6138" w:type="dxa"/>
          </w:tcPr>
          <w:p w14:paraId="63843031" w14:textId="77777777" w:rsidR="005A4ED1" w:rsidRPr="00CA297E" w:rsidRDefault="005A4ED1" w:rsidP="00774E9D">
            <w:pPr>
              <w:pStyle w:val="TitlePage-Text"/>
            </w:pPr>
          </w:p>
        </w:tc>
      </w:tr>
      <w:tr w:rsidR="005A4ED1" w:rsidRPr="004A5AF1" w14:paraId="7911B7C9" w14:textId="77777777" w:rsidTr="004E5910">
        <w:tc>
          <w:tcPr>
            <w:tcW w:w="3438" w:type="dxa"/>
          </w:tcPr>
          <w:p w14:paraId="7DDAC124" w14:textId="77777777" w:rsidR="005A4ED1" w:rsidRPr="004A5AF1" w:rsidRDefault="005A4ED1" w:rsidP="00154C04">
            <w:pPr>
              <w:pStyle w:val="TitlePage-Heading"/>
              <w:rPr>
                <w:rFonts w:ascii="Times New Roman" w:hAnsi="Times New Roman"/>
              </w:rPr>
            </w:pPr>
            <w:r w:rsidRPr="004A5AF1">
              <w:rPr>
                <w:rFonts w:ascii="Times New Roman" w:hAnsi="Times New Roman"/>
              </w:rPr>
              <w:t>Indication:</w:t>
            </w:r>
          </w:p>
        </w:tc>
        <w:tc>
          <w:tcPr>
            <w:tcW w:w="6138" w:type="dxa"/>
          </w:tcPr>
          <w:p w14:paraId="4C306EA6" w14:textId="77777777" w:rsidR="005A4ED1" w:rsidRPr="00CA297E" w:rsidRDefault="004F449A" w:rsidP="005273FA">
            <w:pPr>
              <w:pStyle w:val="TitlePage-Text"/>
            </w:pPr>
            <w:r w:rsidRPr="00CA297E">
              <w:t>Primary Mitochondrial Myopathy</w:t>
            </w:r>
          </w:p>
        </w:tc>
      </w:tr>
      <w:tr w:rsidR="005A4ED1" w:rsidRPr="004A5AF1" w14:paraId="40098901" w14:textId="77777777" w:rsidTr="004E5910">
        <w:tc>
          <w:tcPr>
            <w:tcW w:w="3438" w:type="dxa"/>
          </w:tcPr>
          <w:p w14:paraId="37C47FEC" w14:textId="77777777" w:rsidR="005A4ED1" w:rsidRPr="004A5AF1" w:rsidRDefault="005A4ED1" w:rsidP="00154C04">
            <w:pPr>
              <w:pStyle w:val="TitlePage-Heading"/>
              <w:rPr>
                <w:rFonts w:ascii="Times New Roman" w:hAnsi="Times New Roman"/>
              </w:rPr>
            </w:pPr>
          </w:p>
        </w:tc>
        <w:tc>
          <w:tcPr>
            <w:tcW w:w="6138" w:type="dxa"/>
          </w:tcPr>
          <w:p w14:paraId="086C5BC7" w14:textId="77777777" w:rsidR="005A4ED1" w:rsidRPr="00CA297E" w:rsidRDefault="005A4ED1" w:rsidP="00774E9D">
            <w:pPr>
              <w:pStyle w:val="TitlePage-Text"/>
            </w:pPr>
          </w:p>
        </w:tc>
      </w:tr>
      <w:tr w:rsidR="005A4ED1" w:rsidRPr="004A5AF1" w14:paraId="6728DB9D" w14:textId="77777777" w:rsidTr="004E5910">
        <w:tc>
          <w:tcPr>
            <w:tcW w:w="3438" w:type="dxa"/>
          </w:tcPr>
          <w:p w14:paraId="48D9CF8B" w14:textId="77777777" w:rsidR="005A4ED1" w:rsidRPr="004A5AF1" w:rsidRDefault="005A4ED1" w:rsidP="00154C04">
            <w:pPr>
              <w:pStyle w:val="TitlePage-Heading"/>
              <w:rPr>
                <w:rFonts w:ascii="Times New Roman" w:hAnsi="Times New Roman"/>
              </w:rPr>
            </w:pPr>
            <w:r>
              <w:rPr>
                <w:rFonts w:ascii="Times New Roman" w:hAnsi="Times New Roman"/>
              </w:rPr>
              <w:t>Study Design:</w:t>
            </w:r>
          </w:p>
        </w:tc>
        <w:tc>
          <w:tcPr>
            <w:tcW w:w="6138" w:type="dxa"/>
          </w:tcPr>
          <w:p w14:paraId="66FBDBB7" w14:textId="6616D498" w:rsidR="00503327" w:rsidRPr="00CA297E" w:rsidRDefault="009130EA" w:rsidP="009130EA">
            <w:pPr>
              <w:pStyle w:val="TitlePage-Text"/>
            </w:pPr>
            <w:r w:rsidRPr="00CA297E">
              <w:t xml:space="preserve">This was a 2-part trial. Part 1 was a randomized, double-blind, parallel-group, placebo-controlled </w:t>
            </w:r>
            <w:r w:rsidR="007B4A32">
              <w:t>trial</w:t>
            </w:r>
            <w:r w:rsidRPr="00CA297E">
              <w:t>. Part 2 was an open-label treatment extension</w:t>
            </w:r>
            <w:r w:rsidR="005A4ED1" w:rsidRPr="00CA297E">
              <w:t>.</w:t>
            </w:r>
          </w:p>
        </w:tc>
      </w:tr>
      <w:tr w:rsidR="005A4ED1" w:rsidRPr="004A5AF1" w14:paraId="6BAA5312" w14:textId="77777777" w:rsidTr="00154C04">
        <w:tc>
          <w:tcPr>
            <w:tcW w:w="9576" w:type="dxa"/>
            <w:gridSpan w:val="2"/>
          </w:tcPr>
          <w:p w14:paraId="257DF199" w14:textId="77777777" w:rsidR="005A4ED1" w:rsidRPr="00774E9D" w:rsidRDefault="005A4ED1" w:rsidP="00774E9D">
            <w:pPr>
              <w:pStyle w:val="TitlePage-Text"/>
            </w:pPr>
          </w:p>
        </w:tc>
      </w:tr>
      <w:tr w:rsidR="005A4ED1" w:rsidRPr="004A5AF1" w14:paraId="6C1B9E0F" w14:textId="77777777" w:rsidTr="004E5910">
        <w:tc>
          <w:tcPr>
            <w:tcW w:w="3438" w:type="dxa"/>
          </w:tcPr>
          <w:p w14:paraId="0041C73D" w14:textId="77777777" w:rsidR="005A4ED1" w:rsidRPr="004A5AF1" w:rsidRDefault="005A4ED1" w:rsidP="00154C04">
            <w:pPr>
              <w:pStyle w:val="TitlePage-Heading"/>
              <w:rPr>
                <w:rFonts w:ascii="Times New Roman" w:hAnsi="Times New Roman"/>
              </w:rPr>
            </w:pPr>
            <w:r w:rsidRPr="004A5AF1">
              <w:rPr>
                <w:rFonts w:ascii="Times New Roman" w:hAnsi="Times New Roman"/>
              </w:rPr>
              <w:t>Development Phase of Study:</w:t>
            </w:r>
          </w:p>
        </w:tc>
        <w:tc>
          <w:tcPr>
            <w:tcW w:w="6138" w:type="dxa"/>
          </w:tcPr>
          <w:p w14:paraId="76851FA3" w14:textId="77777777" w:rsidR="005A4ED1" w:rsidRPr="005203FB" w:rsidRDefault="004F449A" w:rsidP="00007970">
            <w:pPr>
              <w:pStyle w:val="TitlePage-Text"/>
            </w:pPr>
            <w:r>
              <w:t>3</w:t>
            </w:r>
          </w:p>
        </w:tc>
      </w:tr>
      <w:tr w:rsidR="005A4ED1" w:rsidRPr="004A5AF1" w14:paraId="586A9FEB" w14:textId="77777777" w:rsidTr="00154C04">
        <w:tc>
          <w:tcPr>
            <w:tcW w:w="9576" w:type="dxa"/>
            <w:gridSpan w:val="2"/>
          </w:tcPr>
          <w:p w14:paraId="7A8B989C" w14:textId="77777777" w:rsidR="005A4ED1" w:rsidRPr="00BC6DF9" w:rsidRDefault="005A4ED1" w:rsidP="00154C04">
            <w:pPr>
              <w:pStyle w:val="TitlePage-Text"/>
            </w:pPr>
          </w:p>
        </w:tc>
      </w:tr>
      <w:tr w:rsidR="005A4ED1" w:rsidRPr="004A5AF1" w14:paraId="7C9D14EC" w14:textId="77777777" w:rsidTr="004E5910">
        <w:tc>
          <w:tcPr>
            <w:tcW w:w="3438" w:type="dxa"/>
          </w:tcPr>
          <w:p w14:paraId="0D85CEF8" w14:textId="77777777" w:rsidR="005A4ED1" w:rsidRPr="004A5AF1" w:rsidRDefault="005A4ED1" w:rsidP="00154C04">
            <w:pPr>
              <w:pStyle w:val="TitlePage-Heading"/>
              <w:rPr>
                <w:rFonts w:ascii="Times New Roman" w:hAnsi="Times New Roman"/>
              </w:rPr>
            </w:pPr>
            <w:r w:rsidRPr="004A5AF1">
              <w:rPr>
                <w:rFonts w:ascii="Times New Roman" w:hAnsi="Times New Roman"/>
              </w:rPr>
              <w:t>Study Initiation Date:</w:t>
            </w:r>
          </w:p>
        </w:tc>
        <w:tc>
          <w:tcPr>
            <w:tcW w:w="6138" w:type="dxa"/>
          </w:tcPr>
          <w:p w14:paraId="1BBF3067" w14:textId="14E6B40C" w:rsidR="00431824" w:rsidRDefault="00431824" w:rsidP="00431824">
            <w:pPr>
              <w:pStyle w:val="TitlePage-Text"/>
            </w:pPr>
            <w:r w:rsidRPr="00C9657E">
              <w:t>0</w:t>
            </w:r>
            <w:r>
              <w:t>9 Oct 2017</w:t>
            </w:r>
            <w:r w:rsidRPr="00C9657E">
              <w:t xml:space="preserve"> (First subject’s informed consent date)</w:t>
            </w:r>
          </w:p>
          <w:p w14:paraId="1AEE4358" w14:textId="77777777" w:rsidR="00C26D6E" w:rsidRPr="00C9657E" w:rsidRDefault="00C26D6E" w:rsidP="00431824">
            <w:pPr>
              <w:pStyle w:val="TitlePage-Text"/>
            </w:pPr>
          </w:p>
          <w:p w14:paraId="41A8FDBC" w14:textId="6E1AB6E0" w:rsidR="00762481" w:rsidRDefault="00762481" w:rsidP="00431824">
            <w:pPr>
              <w:pStyle w:val="TitlePage-Text"/>
            </w:pPr>
            <w:r>
              <w:t>Part 1: 03 Nov 2017 (First subject’s dose date)</w:t>
            </w:r>
          </w:p>
          <w:p w14:paraId="6161B657" w14:textId="67C9BEC8" w:rsidR="005A4ED1" w:rsidRPr="00457224" w:rsidRDefault="00431824" w:rsidP="00431824">
            <w:pPr>
              <w:pStyle w:val="TitlePage-Text"/>
            </w:pPr>
            <w:r w:rsidRPr="00C9657E">
              <w:t xml:space="preserve">Part 2: </w:t>
            </w:r>
            <w:r>
              <w:t>30 Apr 2018</w:t>
            </w:r>
            <w:r w:rsidRPr="00C9657E">
              <w:t xml:space="preserve"> (First subject’s </w:t>
            </w:r>
            <w:r>
              <w:t>dose</w:t>
            </w:r>
            <w:r w:rsidRPr="00C9657E">
              <w:t xml:space="preserve"> date)</w:t>
            </w:r>
          </w:p>
        </w:tc>
      </w:tr>
      <w:tr w:rsidR="005A4ED1" w:rsidRPr="004A5AF1" w14:paraId="64BD651A" w14:textId="77777777" w:rsidTr="00154C04">
        <w:tc>
          <w:tcPr>
            <w:tcW w:w="9576" w:type="dxa"/>
            <w:gridSpan w:val="2"/>
          </w:tcPr>
          <w:p w14:paraId="3138A276" w14:textId="77777777" w:rsidR="005A4ED1" w:rsidRPr="00BC6DF9" w:rsidRDefault="005A4ED1" w:rsidP="00154C04">
            <w:pPr>
              <w:pStyle w:val="TitlePage-Text"/>
            </w:pPr>
          </w:p>
        </w:tc>
      </w:tr>
      <w:tr w:rsidR="005A4ED1" w:rsidRPr="004A5AF1" w14:paraId="03B697A1" w14:textId="77777777" w:rsidTr="004E5910">
        <w:tc>
          <w:tcPr>
            <w:tcW w:w="3438" w:type="dxa"/>
          </w:tcPr>
          <w:p w14:paraId="50DC8749" w14:textId="77777777" w:rsidR="005A4ED1" w:rsidRPr="004A5AF1" w:rsidRDefault="005A4ED1" w:rsidP="00154C04">
            <w:pPr>
              <w:pStyle w:val="TitlePage-Heading"/>
              <w:rPr>
                <w:rFonts w:ascii="Times New Roman" w:hAnsi="Times New Roman"/>
              </w:rPr>
            </w:pPr>
            <w:r w:rsidRPr="004A5AF1">
              <w:rPr>
                <w:rFonts w:ascii="Times New Roman" w:hAnsi="Times New Roman"/>
              </w:rPr>
              <w:t>Study Completion Date:</w:t>
            </w:r>
          </w:p>
        </w:tc>
        <w:tc>
          <w:tcPr>
            <w:tcW w:w="6138" w:type="dxa"/>
          </w:tcPr>
          <w:p w14:paraId="1A09EFA8" w14:textId="0113AC9A" w:rsidR="00431824" w:rsidRPr="00C9657E" w:rsidRDefault="00EF46FD" w:rsidP="00431824">
            <w:pPr>
              <w:pStyle w:val="TitlePage-Text"/>
            </w:pPr>
            <w:r w:rsidRPr="00C9657E">
              <w:t xml:space="preserve">Part 1: </w:t>
            </w:r>
            <w:r>
              <w:t xml:space="preserve">04 </w:t>
            </w:r>
            <w:r w:rsidR="00431824">
              <w:t>Nov 2019</w:t>
            </w:r>
            <w:r w:rsidR="00431824" w:rsidRPr="00C9657E">
              <w:t xml:space="preserve"> (Last subject last visit/contact)</w:t>
            </w:r>
          </w:p>
          <w:p w14:paraId="373EEA7D" w14:textId="5AAD2F0D" w:rsidR="005A4ED1" w:rsidRPr="00457224" w:rsidRDefault="00431824" w:rsidP="00431824">
            <w:pPr>
              <w:pStyle w:val="TitlePage-Text"/>
            </w:pPr>
            <w:r w:rsidRPr="00C9657E">
              <w:t xml:space="preserve">Part 2: </w:t>
            </w:r>
            <w:r>
              <w:t>10 Feb 2020</w:t>
            </w:r>
            <w:r w:rsidRPr="00C9657E">
              <w:t xml:space="preserve"> (Last subject last visit/contact)</w:t>
            </w:r>
          </w:p>
        </w:tc>
      </w:tr>
      <w:tr w:rsidR="005A4ED1" w:rsidRPr="004A5AF1" w14:paraId="4925C0DD" w14:textId="77777777" w:rsidTr="004E5910">
        <w:tc>
          <w:tcPr>
            <w:tcW w:w="3438" w:type="dxa"/>
          </w:tcPr>
          <w:p w14:paraId="0EE3A347" w14:textId="77777777" w:rsidR="005A4ED1" w:rsidRPr="004A5AF1" w:rsidRDefault="005A4ED1" w:rsidP="00FD4F47">
            <w:pPr>
              <w:pStyle w:val="TitlePage-Text"/>
            </w:pPr>
          </w:p>
        </w:tc>
        <w:tc>
          <w:tcPr>
            <w:tcW w:w="6138" w:type="dxa"/>
          </w:tcPr>
          <w:p w14:paraId="4DFB9F94" w14:textId="77777777" w:rsidR="005A4ED1" w:rsidRPr="00BC6DF9" w:rsidRDefault="005A4ED1" w:rsidP="00733B9A">
            <w:pPr>
              <w:pStyle w:val="TitlePage-Text"/>
            </w:pPr>
          </w:p>
        </w:tc>
      </w:tr>
      <w:tr w:rsidR="005A4ED1" w:rsidRPr="004A5AF1" w14:paraId="5F338E44" w14:textId="77777777" w:rsidTr="004E5910">
        <w:tc>
          <w:tcPr>
            <w:tcW w:w="3438" w:type="dxa"/>
          </w:tcPr>
          <w:p w14:paraId="4864BECB" w14:textId="77777777" w:rsidR="005A4ED1" w:rsidRPr="004A5AF1" w:rsidRDefault="005A4ED1" w:rsidP="00154C04">
            <w:pPr>
              <w:pStyle w:val="TitlePage-Heading"/>
              <w:rPr>
                <w:rFonts w:ascii="Times New Roman" w:hAnsi="Times New Roman"/>
              </w:rPr>
            </w:pPr>
            <w:r>
              <w:rPr>
                <w:rFonts w:ascii="Times New Roman" w:hAnsi="Times New Roman"/>
              </w:rPr>
              <w:t>Investigators:</w:t>
            </w:r>
          </w:p>
        </w:tc>
        <w:tc>
          <w:tcPr>
            <w:tcW w:w="6138" w:type="dxa"/>
          </w:tcPr>
          <w:p w14:paraId="5BF849C9" w14:textId="77777777" w:rsidR="005A4ED1" w:rsidRPr="00457224" w:rsidRDefault="004F449A" w:rsidP="003D2371">
            <w:pPr>
              <w:pStyle w:val="TitlePage-Text"/>
            </w:pPr>
            <w:r>
              <w:t>Multicenter</w:t>
            </w:r>
          </w:p>
        </w:tc>
      </w:tr>
      <w:tr w:rsidR="005A4ED1" w:rsidRPr="004A5AF1" w14:paraId="228E60AA" w14:textId="77777777" w:rsidTr="00154C04">
        <w:tc>
          <w:tcPr>
            <w:tcW w:w="9576" w:type="dxa"/>
            <w:gridSpan w:val="2"/>
          </w:tcPr>
          <w:p w14:paraId="57E5B645" w14:textId="77777777" w:rsidR="005A4ED1" w:rsidRPr="00BC6DF9" w:rsidRDefault="005A4ED1" w:rsidP="00154C04">
            <w:pPr>
              <w:pStyle w:val="TitlePage-Text"/>
            </w:pPr>
          </w:p>
        </w:tc>
      </w:tr>
      <w:tr w:rsidR="005A4ED1" w:rsidRPr="004A5AF1" w14:paraId="27784630" w14:textId="77777777" w:rsidTr="004E5910">
        <w:tc>
          <w:tcPr>
            <w:tcW w:w="3438" w:type="dxa"/>
          </w:tcPr>
          <w:p w14:paraId="4B1F2D4D" w14:textId="77777777" w:rsidR="005A4ED1" w:rsidRPr="004A5AF1" w:rsidRDefault="005A4ED1" w:rsidP="00154C04">
            <w:pPr>
              <w:pStyle w:val="TitlePage-Heading"/>
              <w:rPr>
                <w:rFonts w:ascii="Times New Roman" w:hAnsi="Times New Roman"/>
              </w:rPr>
            </w:pPr>
            <w:r w:rsidRPr="004A5AF1">
              <w:rPr>
                <w:rFonts w:ascii="Times New Roman" w:hAnsi="Times New Roman"/>
              </w:rPr>
              <w:t>GCP Compliance:</w:t>
            </w:r>
          </w:p>
        </w:tc>
        <w:tc>
          <w:tcPr>
            <w:tcW w:w="6138" w:type="dxa"/>
          </w:tcPr>
          <w:p w14:paraId="0619D11F" w14:textId="1EFBF2C9" w:rsidR="005A4ED1" w:rsidRPr="004A5AF1" w:rsidRDefault="005A4ED1" w:rsidP="005B17BC">
            <w:pPr>
              <w:pStyle w:val="TitlePage-Text"/>
            </w:pPr>
            <w:r w:rsidRPr="004A5AF1">
              <w:t xml:space="preserve">This </w:t>
            </w:r>
            <w:r w:rsidR="007B4A32">
              <w:t>trial</w:t>
            </w:r>
            <w:r w:rsidRPr="004A5AF1">
              <w:t xml:space="preserve"> was performed in compliance with Good Clinical Practices</w:t>
            </w:r>
            <w:r w:rsidR="005273FA">
              <w:t xml:space="preserve"> (GCP)</w:t>
            </w:r>
            <w:r w:rsidRPr="004A5AF1">
              <w:t>, including the archiving of essential documents.</w:t>
            </w:r>
          </w:p>
        </w:tc>
      </w:tr>
      <w:tr w:rsidR="005A4ED1" w:rsidRPr="004A5AF1" w14:paraId="6D69529C" w14:textId="77777777" w:rsidTr="00154C04">
        <w:tc>
          <w:tcPr>
            <w:tcW w:w="9576" w:type="dxa"/>
            <w:gridSpan w:val="2"/>
          </w:tcPr>
          <w:p w14:paraId="4C29748E" w14:textId="77777777" w:rsidR="005A4ED1" w:rsidRPr="004A5AF1" w:rsidRDefault="005A4ED1" w:rsidP="00154C04">
            <w:pPr>
              <w:pStyle w:val="TitlePage-Text"/>
            </w:pPr>
          </w:p>
        </w:tc>
      </w:tr>
      <w:tr w:rsidR="005A4ED1" w:rsidRPr="004A5AF1" w14:paraId="50CCA23B" w14:textId="77777777" w:rsidTr="004E5910">
        <w:tc>
          <w:tcPr>
            <w:tcW w:w="3438" w:type="dxa"/>
          </w:tcPr>
          <w:p w14:paraId="7C932181" w14:textId="429DD586" w:rsidR="005A4ED1" w:rsidRPr="004A5AF1" w:rsidRDefault="005A4ED1" w:rsidP="006B7413">
            <w:pPr>
              <w:pStyle w:val="TitlePage-Heading"/>
              <w:rPr>
                <w:rFonts w:ascii="Times New Roman" w:hAnsi="Times New Roman"/>
              </w:rPr>
            </w:pPr>
            <w:r w:rsidRPr="004A5AF1">
              <w:rPr>
                <w:rFonts w:ascii="Times New Roman" w:hAnsi="Times New Roman"/>
              </w:rPr>
              <w:t>Date of the Report:</w:t>
            </w:r>
          </w:p>
        </w:tc>
        <w:tc>
          <w:tcPr>
            <w:tcW w:w="6138" w:type="dxa"/>
          </w:tcPr>
          <w:p w14:paraId="3379555D" w14:textId="68E16E11" w:rsidR="005A4ED1" w:rsidRPr="005203FB" w:rsidRDefault="00661301" w:rsidP="00661301">
            <w:pPr>
              <w:pStyle w:val="TitlePage-Text"/>
            </w:pPr>
            <w:r>
              <w:t>19</w:t>
            </w:r>
            <w:r w:rsidR="00CC52E8">
              <w:t xml:space="preserve"> October</w:t>
            </w:r>
            <w:r w:rsidR="005369EB">
              <w:t xml:space="preserve"> </w:t>
            </w:r>
            <w:r w:rsidR="009130EA">
              <w:t>2020</w:t>
            </w:r>
            <w:r w:rsidR="004F449A">
              <w:t xml:space="preserve"> (</w:t>
            </w:r>
            <w:r w:rsidR="00BD0E6B">
              <w:t>Final</w:t>
            </w:r>
            <w:r w:rsidR="004F449A">
              <w:t>)</w:t>
            </w:r>
          </w:p>
        </w:tc>
      </w:tr>
    </w:tbl>
    <w:p w14:paraId="55789C48" w14:textId="77777777" w:rsidR="00776D4D" w:rsidRDefault="00776D4D" w:rsidP="00F3641D">
      <w:pPr>
        <w:pStyle w:val="Paragraph"/>
      </w:pPr>
    </w:p>
    <w:p w14:paraId="0F1050BF" w14:textId="77777777" w:rsidR="002C203E" w:rsidRPr="004A5AF1" w:rsidRDefault="002C203E" w:rsidP="00F3641D">
      <w:pPr>
        <w:pStyle w:val="Paragraph"/>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2"/>
      </w:tblGrid>
      <w:tr w:rsidR="002C203E" w14:paraId="2DB3C1FF" w14:textId="77777777" w:rsidTr="006C4E8A">
        <w:tc>
          <w:tcPr>
            <w:tcW w:w="9540" w:type="dxa"/>
          </w:tcPr>
          <w:p w14:paraId="7FF67A03" w14:textId="17B03A64" w:rsidR="002C203E" w:rsidRPr="006C4E8A" w:rsidRDefault="002C203E" w:rsidP="006135FD">
            <w:pPr>
              <w:pStyle w:val="Confidential"/>
              <w:ind w:left="432" w:right="432"/>
              <w:rPr>
                <w:szCs w:val="24"/>
              </w:rPr>
            </w:pPr>
            <w:r w:rsidRPr="006C4E8A">
              <w:t xml:space="preserve">This document contains confidential information belonging to </w:t>
            </w:r>
            <w:r w:rsidR="004F449A">
              <w:t xml:space="preserve">Stealth </w:t>
            </w:r>
            <w:proofErr w:type="spellStart"/>
            <w:r w:rsidR="004F449A">
              <w:t>BioTherapeutics</w:t>
            </w:r>
            <w:proofErr w:type="spellEnd"/>
            <w:r w:rsidR="006135FD">
              <w:t> </w:t>
            </w:r>
            <w:r w:rsidR="004F449A">
              <w:t>Inc.</w:t>
            </w:r>
            <w:r w:rsidRPr="006C4E8A">
              <w:t xml:space="preserve"> and is provided for the exclusive use of those authorized. This information is not to be copied or distributed without the written permission of </w:t>
            </w:r>
            <w:r w:rsidR="004F449A">
              <w:t xml:space="preserve">Stealth </w:t>
            </w:r>
            <w:proofErr w:type="spellStart"/>
            <w:r w:rsidR="004F449A">
              <w:t>BioTherapeutics</w:t>
            </w:r>
            <w:proofErr w:type="spellEnd"/>
            <w:r w:rsidR="006135FD">
              <w:t xml:space="preserve"> Inc</w:t>
            </w:r>
            <w:r w:rsidRPr="006C4E8A">
              <w:t>.</w:t>
            </w:r>
          </w:p>
        </w:tc>
      </w:tr>
    </w:tbl>
    <w:p w14:paraId="26808072" w14:textId="77777777" w:rsidR="00310C19" w:rsidRDefault="00310C19" w:rsidP="00691847">
      <w:pPr>
        <w:pStyle w:val="TitlePage-Text"/>
      </w:pPr>
    </w:p>
    <w:p w14:paraId="44B3735A" w14:textId="77777777" w:rsidR="00625C3F" w:rsidRPr="004A5AF1" w:rsidRDefault="00625C3F" w:rsidP="00344BF3">
      <w:pPr>
        <w:pStyle w:val="Heading1"/>
      </w:pPr>
      <w:bookmarkStart w:id="1" w:name="_Toc53990296"/>
      <w:r w:rsidRPr="004A5AF1">
        <w:lastRenderedPageBreak/>
        <w:t>SYNOPSIS</w:t>
      </w:r>
      <w:bookmarkEnd w:id="1"/>
    </w:p>
    <w:tbl>
      <w:tblPr>
        <w:tblW w:w="9337" w:type="dxa"/>
        <w:tblInd w:w="18" w:type="dxa"/>
        <w:tblBorders>
          <w:insideH w:val="single" w:sz="4" w:space="0" w:color="auto"/>
          <w:insideV w:val="single" w:sz="4" w:space="0" w:color="auto"/>
        </w:tblBorders>
        <w:tblLayout w:type="fixed"/>
        <w:tblLook w:val="04A0" w:firstRow="1" w:lastRow="0" w:firstColumn="1" w:lastColumn="0" w:noHBand="0" w:noVBand="1"/>
      </w:tblPr>
      <w:tblGrid>
        <w:gridCol w:w="2047"/>
        <w:gridCol w:w="4793"/>
        <w:gridCol w:w="1530"/>
        <w:gridCol w:w="967"/>
      </w:tblGrid>
      <w:tr w:rsidR="00154C04" w:rsidRPr="004A5AF1" w14:paraId="40C064CF" w14:textId="77777777" w:rsidTr="00551B95">
        <w:tc>
          <w:tcPr>
            <w:tcW w:w="2047" w:type="dxa"/>
            <w:tcBorders>
              <w:top w:val="single" w:sz="4" w:space="0" w:color="auto"/>
              <w:left w:val="single" w:sz="4" w:space="0" w:color="auto"/>
              <w:bottom w:val="single" w:sz="4" w:space="0" w:color="auto"/>
              <w:right w:val="nil"/>
            </w:tcBorders>
          </w:tcPr>
          <w:p w14:paraId="335D10F3" w14:textId="77777777" w:rsidR="00154C04" w:rsidRPr="004A5AF1" w:rsidRDefault="00154C04" w:rsidP="003C1332">
            <w:pPr>
              <w:pStyle w:val="SynopsisHeading"/>
            </w:pPr>
            <w:r w:rsidRPr="004A5AF1">
              <w:t xml:space="preserve">Title of the Study: </w:t>
            </w:r>
          </w:p>
        </w:tc>
        <w:tc>
          <w:tcPr>
            <w:tcW w:w="7290" w:type="dxa"/>
            <w:gridSpan w:val="3"/>
            <w:tcBorders>
              <w:top w:val="single" w:sz="4" w:space="0" w:color="auto"/>
              <w:left w:val="nil"/>
              <w:bottom w:val="single" w:sz="4" w:space="0" w:color="auto"/>
              <w:right w:val="single" w:sz="4" w:space="0" w:color="auto"/>
            </w:tcBorders>
          </w:tcPr>
          <w:p w14:paraId="145FF82C" w14:textId="77777777" w:rsidR="00154C04" w:rsidRPr="004F449A" w:rsidRDefault="004F449A" w:rsidP="004F449A">
            <w:pPr>
              <w:pStyle w:val="SynopsisHeading"/>
            </w:pPr>
            <w:r w:rsidRPr="004F449A">
              <w:rPr>
                <w:b w:val="0"/>
                <w:szCs w:val="18"/>
              </w:rPr>
              <w:t xml:space="preserve">A Phase 3 Randomized, Double-Blind, Parallel-Group, Placebo-Controlled Trial to Evaluate the Efficacy and Safety of Daily Subcutaneous Injections of </w:t>
            </w:r>
            <w:proofErr w:type="spellStart"/>
            <w:r w:rsidRPr="004F449A">
              <w:rPr>
                <w:b w:val="0"/>
                <w:szCs w:val="18"/>
              </w:rPr>
              <w:t>Elamipretide</w:t>
            </w:r>
            <w:proofErr w:type="spellEnd"/>
            <w:r w:rsidRPr="004F449A">
              <w:rPr>
                <w:b w:val="0"/>
                <w:szCs w:val="18"/>
              </w:rPr>
              <w:t xml:space="preserve"> in Subjects with Primary Mitochondrial Myopathy Followed by an Open-Label Treatment Extension</w:t>
            </w:r>
          </w:p>
        </w:tc>
      </w:tr>
      <w:tr w:rsidR="001C0039" w:rsidRPr="004A5AF1" w14:paraId="2543008E" w14:textId="77777777" w:rsidTr="00551B95">
        <w:tc>
          <w:tcPr>
            <w:tcW w:w="2047" w:type="dxa"/>
            <w:tcBorders>
              <w:top w:val="single" w:sz="4" w:space="0" w:color="auto"/>
              <w:left w:val="single" w:sz="4" w:space="0" w:color="auto"/>
              <w:bottom w:val="single" w:sz="4" w:space="0" w:color="auto"/>
              <w:right w:val="nil"/>
            </w:tcBorders>
          </w:tcPr>
          <w:p w14:paraId="2FE83536" w14:textId="77777777" w:rsidR="001C0039" w:rsidRPr="00BF030F" w:rsidRDefault="001C0039" w:rsidP="003C1332">
            <w:pPr>
              <w:pStyle w:val="SynopsisHeading"/>
            </w:pPr>
            <w:r w:rsidRPr="00BF030F">
              <w:t>Investigator(s)</w:t>
            </w:r>
            <w:r w:rsidR="006D1E3C" w:rsidRPr="00BF030F">
              <w:t>/Study Center(s)</w:t>
            </w:r>
            <w:r w:rsidRPr="00BF030F">
              <w:t>:</w:t>
            </w:r>
          </w:p>
        </w:tc>
        <w:tc>
          <w:tcPr>
            <w:tcW w:w="7290" w:type="dxa"/>
            <w:gridSpan w:val="3"/>
            <w:tcBorders>
              <w:top w:val="single" w:sz="4" w:space="0" w:color="auto"/>
              <w:left w:val="nil"/>
              <w:bottom w:val="single" w:sz="4" w:space="0" w:color="auto"/>
              <w:right w:val="single" w:sz="4" w:space="0" w:color="auto"/>
            </w:tcBorders>
          </w:tcPr>
          <w:p w14:paraId="7A4E348D" w14:textId="7145DB07" w:rsidR="001C0039" w:rsidRPr="004913A4" w:rsidRDefault="004F449A" w:rsidP="006B7413">
            <w:pPr>
              <w:pStyle w:val="SynopsisText"/>
            </w:pPr>
            <w:r>
              <w:t>Multicenter</w:t>
            </w:r>
            <w:r w:rsidR="00431824">
              <w:t xml:space="preserve">; </w:t>
            </w:r>
            <w:r w:rsidR="00431824" w:rsidRPr="00431824">
              <w:t>27 sites in Canada, Denmark, Germany, Hungary, Italy, the United Kingdom, and the United States (US)</w:t>
            </w:r>
          </w:p>
        </w:tc>
      </w:tr>
      <w:tr w:rsidR="001C0039" w:rsidRPr="004A5AF1" w14:paraId="07BCF556" w14:textId="77777777" w:rsidTr="00551B95">
        <w:tc>
          <w:tcPr>
            <w:tcW w:w="2047" w:type="dxa"/>
            <w:tcBorders>
              <w:top w:val="single" w:sz="4" w:space="0" w:color="auto"/>
              <w:left w:val="single" w:sz="4" w:space="0" w:color="auto"/>
              <w:bottom w:val="single" w:sz="4" w:space="0" w:color="auto"/>
              <w:right w:val="nil"/>
            </w:tcBorders>
          </w:tcPr>
          <w:p w14:paraId="167920D4" w14:textId="77777777" w:rsidR="001C0039" w:rsidRPr="00BF030F" w:rsidRDefault="001C0039" w:rsidP="003C1332">
            <w:pPr>
              <w:pStyle w:val="SynopsisHeading"/>
            </w:pPr>
            <w:r w:rsidRPr="00BF030F">
              <w:t>Publication(s):</w:t>
            </w:r>
          </w:p>
        </w:tc>
        <w:tc>
          <w:tcPr>
            <w:tcW w:w="7290" w:type="dxa"/>
            <w:gridSpan w:val="3"/>
            <w:tcBorders>
              <w:top w:val="single" w:sz="4" w:space="0" w:color="auto"/>
              <w:left w:val="nil"/>
              <w:bottom w:val="single" w:sz="4" w:space="0" w:color="auto"/>
              <w:right w:val="single" w:sz="4" w:space="0" w:color="auto"/>
            </w:tcBorders>
          </w:tcPr>
          <w:p w14:paraId="3FED254E" w14:textId="41BEA66D" w:rsidR="001C0039" w:rsidRPr="004A5AF1" w:rsidRDefault="009130EA" w:rsidP="00FE5E5D">
            <w:pPr>
              <w:pStyle w:val="SynopsisText"/>
            </w:pPr>
            <w:r>
              <w:t>Not applicable</w:t>
            </w:r>
          </w:p>
        </w:tc>
      </w:tr>
      <w:tr w:rsidR="001037F2" w:rsidRPr="004A5AF1" w14:paraId="547990DA" w14:textId="77777777" w:rsidTr="00551B95">
        <w:tc>
          <w:tcPr>
            <w:tcW w:w="2047" w:type="dxa"/>
            <w:tcBorders>
              <w:top w:val="single" w:sz="4" w:space="0" w:color="auto"/>
              <w:left w:val="single" w:sz="4" w:space="0" w:color="auto"/>
              <w:bottom w:val="single" w:sz="4" w:space="0" w:color="auto"/>
              <w:right w:val="nil"/>
            </w:tcBorders>
          </w:tcPr>
          <w:p w14:paraId="771C891B" w14:textId="33AEB2A6" w:rsidR="001037F2" w:rsidRPr="004A5AF1" w:rsidRDefault="001037F2" w:rsidP="00431824">
            <w:pPr>
              <w:pStyle w:val="SynopsisHeading"/>
            </w:pPr>
            <w:r w:rsidRPr="004A5AF1">
              <w:t>Stud</w:t>
            </w:r>
            <w:r w:rsidR="005079B3">
              <w:t>y</w:t>
            </w:r>
            <w:r w:rsidRPr="004A5AF1">
              <w:t xml:space="preserve"> Period:</w:t>
            </w:r>
          </w:p>
        </w:tc>
        <w:tc>
          <w:tcPr>
            <w:tcW w:w="4793" w:type="dxa"/>
            <w:tcBorders>
              <w:top w:val="single" w:sz="4" w:space="0" w:color="auto"/>
              <w:left w:val="nil"/>
              <w:bottom w:val="single" w:sz="4" w:space="0" w:color="auto"/>
            </w:tcBorders>
          </w:tcPr>
          <w:p w14:paraId="29F6B73A" w14:textId="6C2964FE" w:rsidR="000A5EE3" w:rsidRDefault="00431824" w:rsidP="00431824">
            <w:pPr>
              <w:pStyle w:val="SynopsisText"/>
            </w:pPr>
            <w:r>
              <w:t>09 Oct</w:t>
            </w:r>
            <w:r w:rsidRPr="00C9657E">
              <w:t xml:space="preserve"> 2017 (First subject’s informed consent date)</w:t>
            </w:r>
          </w:p>
          <w:p w14:paraId="774B3352" w14:textId="247FBAC3" w:rsidR="00431824" w:rsidRPr="00C9657E" w:rsidRDefault="000A5EE3" w:rsidP="00431824">
            <w:pPr>
              <w:pStyle w:val="SynopsisText"/>
            </w:pPr>
            <w:r w:rsidRPr="003B2F09">
              <w:rPr>
                <w:u w:val="single"/>
              </w:rPr>
              <w:t>Part 1</w:t>
            </w:r>
            <w:r>
              <w:t>:</w:t>
            </w:r>
            <w:r w:rsidR="00762481">
              <w:t xml:space="preserve"> 03 Nov 2017 (First subject’s dose date)</w:t>
            </w:r>
            <w:r w:rsidR="00431824" w:rsidRPr="00C9657E">
              <w:t xml:space="preserve"> to </w:t>
            </w:r>
            <w:r w:rsidR="00762481">
              <w:t>04</w:t>
            </w:r>
            <w:r w:rsidR="003B2F09">
              <w:t> </w:t>
            </w:r>
            <w:r w:rsidR="00762481">
              <w:t>Nov 2019</w:t>
            </w:r>
            <w:r w:rsidR="00431824" w:rsidRPr="00C9657E">
              <w:t xml:space="preserve"> (Last subject’s last visit or contact)</w:t>
            </w:r>
          </w:p>
          <w:p w14:paraId="1CC4B8BD" w14:textId="532C8E20" w:rsidR="001037F2" w:rsidRPr="00774E9D" w:rsidRDefault="00431824" w:rsidP="00762481">
            <w:pPr>
              <w:pStyle w:val="SynopsisText"/>
            </w:pPr>
            <w:r w:rsidRPr="00C9657E">
              <w:rPr>
                <w:u w:val="single"/>
              </w:rPr>
              <w:t>Part 2</w:t>
            </w:r>
            <w:r w:rsidRPr="003B2F09">
              <w:t>:</w:t>
            </w:r>
            <w:r w:rsidRPr="00C9657E">
              <w:t xml:space="preserve"> </w:t>
            </w:r>
            <w:r w:rsidR="00762481">
              <w:t>30 Apr 2018</w:t>
            </w:r>
            <w:r w:rsidRPr="00C9657E">
              <w:t xml:space="preserve"> (First subject’s </w:t>
            </w:r>
            <w:r>
              <w:t>dose</w:t>
            </w:r>
            <w:r w:rsidRPr="00C9657E">
              <w:t xml:space="preserve"> date) to </w:t>
            </w:r>
            <w:r>
              <w:t>10 Feb 2020</w:t>
            </w:r>
            <w:r w:rsidRPr="00C9657E">
              <w:t xml:space="preserve"> (Last subject’s last visit or contact).</w:t>
            </w:r>
          </w:p>
        </w:tc>
        <w:tc>
          <w:tcPr>
            <w:tcW w:w="1530" w:type="dxa"/>
            <w:tcBorders>
              <w:top w:val="single" w:sz="4" w:space="0" w:color="auto"/>
              <w:bottom w:val="single" w:sz="4" w:space="0" w:color="auto"/>
              <w:right w:val="nil"/>
            </w:tcBorders>
          </w:tcPr>
          <w:p w14:paraId="41EFDBBD" w14:textId="77777777" w:rsidR="001037F2" w:rsidRPr="00774E9D" w:rsidRDefault="001037F2" w:rsidP="00FE5E5D">
            <w:pPr>
              <w:pStyle w:val="SynopsisHeading"/>
            </w:pPr>
            <w:r w:rsidRPr="00774E9D">
              <w:t>Clinical Phase:</w:t>
            </w:r>
          </w:p>
        </w:tc>
        <w:tc>
          <w:tcPr>
            <w:tcW w:w="967" w:type="dxa"/>
            <w:tcBorders>
              <w:top w:val="single" w:sz="4" w:space="0" w:color="auto"/>
              <w:left w:val="nil"/>
              <w:bottom w:val="single" w:sz="4" w:space="0" w:color="auto"/>
              <w:right w:val="single" w:sz="4" w:space="0" w:color="auto"/>
            </w:tcBorders>
          </w:tcPr>
          <w:p w14:paraId="29CDBA87" w14:textId="77777777" w:rsidR="001037F2" w:rsidRPr="004913A4" w:rsidRDefault="004F449A" w:rsidP="004F449A">
            <w:pPr>
              <w:pStyle w:val="SynopsisText"/>
            </w:pPr>
            <w:r>
              <w:t>Phase 3</w:t>
            </w:r>
          </w:p>
        </w:tc>
      </w:tr>
      <w:tr w:rsidR="0060292B" w:rsidRPr="004A5AF1" w14:paraId="416A048E"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56B6E3CB" w14:textId="77777777" w:rsidR="00F0607A" w:rsidRDefault="0060292B" w:rsidP="00FE5E5D">
            <w:pPr>
              <w:pStyle w:val="SynopsisHeading"/>
            </w:pPr>
            <w:r w:rsidRPr="004A5AF1">
              <w:t>Objectives:</w:t>
            </w:r>
            <w:r w:rsidR="00F75500">
              <w:t xml:space="preserve"> </w:t>
            </w:r>
          </w:p>
          <w:p w14:paraId="414DD277" w14:textId="534DB987" w:rsidR="0060292B" w:rsidRPr="00025134" w:rsidRDefault="00025134" w:rsidP="00F0607A">
            <w:pPr>
              <w:pStyle w:val="SynopsisText"/>
              <w:rPr>
                <w:u w:val="single"/>
              </w:rPr>
            </w:pPr>
            <w:r w:rsidRPr="00025134">
              <w:rPr>
                <w:u w:val="single"/>
              </w:rPr>
              <w:t>Part 1</w:t>
            </w:r>
          </w:p>
          <w:p w14:paraId="618FF266" w14:textId="77777777" w:rsidR="001037F2" w:rsidRPr="004A5AF1" w:rsidRDefault="00154C04" w:rsidP="001037F2">
            <w:pPr>
              <w:pStyle w:val="SynopsisText"/>
            </w:pPr>
            <w:r w:rsidRPr="004A5AF1">
              <w:t>Primary:</w:t>
            </w:r>
          </w:p>
          <w:p w14:paraId="4583B5E7" w14:textId="4D3D1B63" w:rsidR="00025134" w:rsidRPr="00025134" w:rsidRDefault="00025134" w:rsidP="00025134">
            <w:pPr>
              <w:pStyle w:val="SynopsisBulletList"/>
              <w:spacing w:after="0"/>
              <w:ind w:left="360"/>
            </w:pPr>
            <w:r w:rsidRPr="00025134">
              <w:t xml:space="preserve">To evaluate the effect of single daily </w:t>
            </w:r>
            <w:r w:rsidR="00DD628C">
              <w:t>subcutaneous (</w:t>
            </w:r>
            <w:r w:rsidRPr="00025134">
              <w:t>SC</w:t>
            </w:r>
            <w:r w:rsidR="00DD628C">
              <w:t>)</w:t>
            </w:r>
            <w:r w:rsidRPr="00025134">
              <w:t xml:space="preserve"> doses of 40 mg </w:t>
            </w:r>
            <w:proofErr w:type="spellStart"/>
            <w:r w:rsidRPr="00025134">
              <w:t>elamipretide</w:t>
            </w:r>
            <w:proofErr w:type="spellEnd"/>
            <w:r w:rsidRPr="00025134">
              <w:t xml:space="preserve"> administered with the </w:t>
            </w:r>
            <w:proofErr w:type="spellStart"/>
            <w:r w:rsidRPr="00025134">
              <w:t>elamipretide</w:t>
            </w:r>
            <w:proofErr w:type="spellEnd"/>
            <w:r w:rsidRPr="00025134">
              <w:t xml:space="preserve"> delivery system </w:t>
            </w:r>
            <w:r w:rsidR="00F54998" w:rsidRPr="00A34A03">
              <w:rPr>
                <w:rFonts w:eastAsia="Calibri"/>
              </w:rPr>
              <w:t>(the investigational medicinal product [IMP</w:t>
            </w:r>
            <w:r w:rsidR="00F54998">
              <w:rPr>
                <w:rFonts w:eastAsia="Calibri"/>
              </w:rPr>
              <w:t xml:space="preserve">; </w:t>
            </w:r>
            <w:proofErr w:type="spellStart"/>
            <w:r w:rsidR="00F54998" w:rsidRPr="00A34A03">
              <w:rPr>
                <w:rFonts w:eastAsia="Calibri"/>
              </w:rPr>
              <w:t>elamipretide</w:t>
            </w:r>
            <w:proofErr w:type="spellEnd"/>
            <w:r w:rsidR="00F54998" w:rsidRPr="00A34A03">
              <w:rPr>
                <w:rFonts w:eastAsia="Calibri"/>
              </w:rPr>
              <w:t xml:space="preserve"> or placebo], the </w:t>
            </w:r>
            <w:proofErr w:type="spellStart"/>
            <w:r w:rsidR="00F54998" w:rsidRPr="00A34A03">
              <w:rPr>
                <w:rFonts w:eastAsia="Calibri"/>
              </w:rPr>
              <w:t>elamipretide</w:t>
            </w:r>
            <w:proofErr w:type="spellEnd"/>
            <w:r w:rsidR="00F54998" w:rsidRPr="00A34A03">
              <w:rPr>
                <w:rFonts w:eastAsia="Calibri"/>
              </w:rPr>
              <w:t xml:space="preserve"> pen injector, and needle)</w:t>
            </w:r>
            <w:r w:rsidR="00F54998">
              <w:rPr>
                <w:rFonts w:eastAsia="Calibri"/>
              </w:rPr>
              <w:t xml:space="preserve"> </w:t>
            </w:r>
            <w:r w:rsidRPr="00025134">
              <w:t>for 24 weeks on the:</w:t>
            </w:r>
          </w:p>
          <w:p w14:paraId="68E638C1" w14:textId="2660FD7A" w:rsidR="00025134" w:rsidRPr="00025134" w:rsidRDefault="00025134" w:rsidP="000C6B46">
            <w:pPr>
              <w:pStyle w:val="SynopsisBulletList"/>
              <w:numPr>
                <w:ilvl w:val="0"/>
                <w:numId w:val="32"/>
              </w:numPr>
              <w:spacing w:after="0"/>
              <w:rPr>
                <w:rFonts w:eastAsia="Calibri"/>
                <w:lang w:val="en-CA"/>
              </w:rPr>
            </w:pPr>
            <w:r w:rsidRPr="00025134">
              <w:t xml:space="preserve">Distance Walked on </w:t>
            </w:r>
            <w:r w:rsidRPr="00025134">
              <w:rPr>
                <w:rFonts w:eastAsia="Calibri"/>
                <w:lang w:val="en-CA"/>
              </w:rPr>
              <w:t>the 6</w:t>
            </w:r>
            <w:r w:rsidR="00DD628C">
              <w:rPr>
                <w:rFonts w:eastAsia="Calibri"/>
                <w:lang w:val="en-CA"/>
              </w:rPr>
              <w:t>-Minute Walk Test (6</w:t>
            </w:r>
            <w:r w:rsidRPr="00025134">
              <w:rPr>
                <w:rFonts w:eastAsia="Calibri"/>
                <w:lang w:val="en-CA"/>
              </w:rPr>
              <w:t>MWT</w:t>
            </w:r>
            <w:r w:rsidR="00DD628C">
              <w:rPr>
                <w:rFonts w:eastAsia="Calibri"/>
                <w:lang w:val="en-CA"/>
              </w:rPr>
              <w:t>)</w:t>
            </w:r>
          </w:p>
          <w:p w14:paraId="631C3C26" w14:textId="77777777" w:rsidR="00025134" w:rsidRPr="00025134" w:rsidRDefault="00025134" w:rsidP="000C6B46">
            <w:pPr>
              <w:pStyle w:val="SynopsisBulletList"/>
              <w:numPr>
                <w:ilvl w:val="0"/>
                <w:numId w:val="32"/>
              </w:numPr>
            </w:pPr>
            <w:r w:rsidRPr="00025134">
              <w:rPr>
                <w:rFonts w:eastAsia="Calibri"/>
                <w:lang w:val="en-CA"/>
              </w:rPr>
              <w:t>Total Fatigue on the Primary</w:t>
            </w:r>
            <w:r w:rsidRPr="00025134">
              <w:t xml:space="preserve"> Mitochondrial Myopathy Symptom Assessment</w:t>
            </w:r>
            <w:r w:rsidRPr="00025134">
              <w:rPr>
                <w:vertAlign w:val="superscript"/>
              </w:rPr>
              <w:t>©</w:t>
            </w:r>
            <w:r w:rsidRPr="00025134">
              <w:t xml:space="preserve"> (PMMSA)</w:t>
            </w:r>
          </w:p>
          <w:p w14:paraId="12B495BE" w14:textId="77777777" w:rsidR="00154C04" w:rsidRPr="004A5AF1" w:rsidRDefault="00154C04" w:rsidP="001037F2">
            <w:pPr>
              <w:pStyle w:val="SynopsisText"/>
            </w:pPr>
            <w:r w:rsidRPr="004A5AF1">
              <w:t>Secondary:</w:t>
            </w:r>
          </w:p>
          <w:p w14:paraId="7A6BF708" w14:textId="4621BED0" w:rsidR="00025134" w:rsidRPr="009E7862" w:rsidRDefault="00025134" w:rsidP="00025134">
            <w:pPr>
              <w:pStyle w:val="SynopsisBulletList"/>
              <w:spacing w:after="0"/>
              <w:ind w:left="360"/>
              <w:rPr>
                <w:rFonts w:eastAsia="Calibri"/>
                <w:lang w:val="en-CA"/>
              </w:rPr>
            </w:pPr>
            <w:r w:rsidRPr="009E7862">
              <w:rPr>
                <w:rFonts w:eastAsia="Calibri"/>
                <w:lang w:val="en-CA"/>
              </w:rPr>
              <w:t xml:space="preserve">To evaluate the effect of single daily SC doses of 40 mg </w:t>
            </w:r>
            <w:proofErr w:type="spellStart"/>
            <w:r w:rsidRPr="009E7862">
              <w:rPr>
                <w:rFonts w:eastAsia="Calibri"/>
                <w:lang w:val="en-CA"/>
              </w:rPr>
              <w:t>elamipretide</w:t>
            </w:r>
            <w:proofErr w:type="spellEnd"/>
            <w:r w:rsidRPr="009E7862">
              <w:rPr>
                <w:rFonts w:eastAsia="Calibri"/>
                <w:lang w:val="en-CA"/>
              </w:rPr>
              <w:t xml:space="preserve"> administered with the </w:t>
            </w:r>
            <w:proofErr w:type="spellStart"/>
            <w:r w:rsidRPr="009E7862">
              <w:rPr>
                <w:rFonts w:eastAsia="Calibri"/>
                <w:lang w:val="en-CA"/>
              </w:rPr>
              <w:t>elamipretide</w:t>
            </w:r>
            <w:proofErr w:type="spellEnd"/>
            <w:r w:rsidRPr="009E7862">
              <w:rPr>
                <w:rFonts w:eastAsia="Calibri"/>
                <w:lang w:val="en-CA"/>
              </w:rPr>
              <w:t xml:space="preserve"> delivery system for 24 weeks as measured by changes in the:</w:t>
            </w:r>
          </w:p>
          <w:p w14:paraId="1AF0E352" w14:textId="77777777" w:rsidR="00025134" w:rsidRDefault="00025134" w:rsidP="000C6B46">
            <w:pPr>
              <w:pStyle w:val="SynopsisBulletList"/>
              <w:numPr>
                <w:ilvl w:val="0"/>
                <w:numId w:val="32"/>
              </w:numPr>
              <w:spacing w:after="0"/>
              <w:rPr>
                <w:rFonts w:eastAsia="Calibri"/>
                <w:lang w:val="en-CA"/>
              </w:rPr>
            </w:pPr>
            <w:r>
              <w:rPr>
                <w:rFonts w:eastAsia="Calibri"/>
                <w:lang w:val="en-CA"/>
              </w:rPr>
              <w:t>Fatigue During Activities on the PMMSA</w:t>
            </w:r>
          </w:p>
          <w:p w14:paraId="264D8C8B" w14:textId="6DB23F5D" w:rsidR="00025134" w:rsidRDefault="00DD628C" w:rsidP="000C6B46">
            <w:pPr>
              <w:pStyle w:val="SynopsisBulletList"/>
              <w:numPr>
                <w:ilvl w:val="0"/>
                <w:numId w:val="32"/>
              </w:numPr>
              <w:spacing w:after="0"/>
              <w:rPr>
                <w:rFonts w:eastAsia="Calibri"/>
                <w:lang w:val="en-CA"/>
              </w:rPr>
            </w:pPr>
            <w:r>
              <w:rPr>
                <w:rFonts w:eastAsia="Calibri"/>
                <w:lang w:val="en-CA"/>
              </w:rPr>
              <w:t>Quality of Life in Neurological Disorders (</w:t>
            </w:r>
            <w:r w:rsidR="00025134">
              <w:rPr>
                <w:rFonts w:eastAsia="Calibri"/>
                <w:lang w:val="en-CA"/>
              </w:rPr>
              <w:t>Neuro-QoL</w:t>
            </w:r>
            <w:r>
              <w:rPr>
                <w:rFonts w:eastAsia="Calibri"/>
                <w:lang w:val="en-CA"/>
              </w:rPr>
              <w:t>)</w:t>
            </w:r>
            <w:r w:rsidR="00025134">
              <w:rPr>
                <w:rFonts w:eastAsia="Calibri"/>
                <w:lang w:val="en-CA"/>
              </w:rPr>
              <w:t xml:space="preserve"> Short Form Fatigue</w:t>
            </w:r>
          </w:p>
          <w:p w14:paraId="08157C7A" w14:textId="77777777" w:rsidR="00025134" w:rsidRDefault="00025134" w:rsidP="000C6B46">
            <w:pPr>
              <w:pStyle w:val="SynopsisBulletList"/>
              <w:numPr>
                <w:ilvl w:val="0"/>
                <w:numId w:val="32"/>
              </w:numPr>
              <w:spacing w:after="0"/>
              <w:rPr>
                <w:rFonts w:eastAsia="Calibri"/>
                <w:lang w:val="en-CA"/>
              </w:rPr>
            </w:pPr>
            <w:r>
              <w:rPr>
                <w:rFonts w:eastAsia="Calibri"/>
                <w:lang w:val="en-CA"/>
              </w:rPr>
              <w:t>Most bothersome symptom on the PMMSA</w:t>
            </w:r>
          </w:p>
          <w:p w14:paraId="3B550ED7" w14:textId="77777777" w:rsidR="00025134" w:rsidRPr="009E7862" w:rsidRDefault="00025134" w:rsidP="000C6B46">
            <w:pPr>
              <w:pStyle w:val="SynopsisBulletList"/>
              <w:numPr>
                <w:ilvl w:val="0"/>
                <w:numId w:val="32"/>
              </w:numPr>
              <w:spacing w:after="60"/>
              <w:rPr>
                <w:rFonts w:eastAsia="Calibri"/>
                <w:lang w:val="en-CA"/>
              </w:rPr>
            </w:pPr>
            <w:r w:rsidRPr="009E7862">
              <w:rPr>
                <w:rFonts w:eastAsia="Calibri"/>
                <w:lang w:val="en-CA"/>
              </w:rPr>
              <w:t>Neuro-QoL Fatigue activities of daily living (specific items from the Neuro-QoL Item Bank)</w:t>
            </w:r>
          </w:p>
          <w:p w14:paraId="548E5D7D" w14:textId="77777777" w:rsidR="00154C04" w:rsidRPr="00025134" w:rsidRDefault="00025134" w:rsidP="00025134">
            <w:pPr>
              <w:pStyle w:val="SynopsisBulletList"/>
              <w:ind w:left="360"/>
            </w:pPr>
            <w:r w:rsidRPr="009E7862">
              <w:rPr>
                <w:rFonts w:eastAsia="Calibri"/>
                <w:lang w:val="en-CA"/>
              </w:rPr>
              <w:t xml:space="preserve">To evaluate the safety and tolerability of single daily SC doses of 40 mg </w:t>
            </w:r>
            <w:proofErr w:type="spellStart"/>
            <w:r w:rsidRPr="009E7862">
              <w:rPr>
                <w:rFonts w:eastAsia="Calibri"/>
                <w:lang w:val="en-CA"/>
              </w:rPr>
              <w:t>elamipretide</w:t>
            </w:r>
            <w:proofErr w:type="spellEnd"/>
            <w:r w:rsidRPr="009E7862">
              <w:rPr>
                <w:rFonts w:eastAsia="Calibri"/>
                <w:lang w:val="en-CA"/>
              </w:rPr>
              <w:t xml:space="preserve"> administered with the </w:t>
            </w:r>
            <w:proofErr w:type="spellStart"/>
            <w:r w:rsidRPr="009E7862">
              <w:rPr>
                <w:rFonts w:eastAsia="Calibri"/>
                <w:lang w:val="en-CA"/>
              </w:rPr>
              <w:t>elamipretide</w:t>
            </w:r>
            <w:proofErr w:type="spellEnd"/>
            <w:r w:rsidRPr="009E7862">
              <w:rPr>
                <w:rFonts w:eastAsia="Calibri"/>
                <w:lang w:val="en-CA"/>
              </w:rPr>
              <w:t xml:space="preserve"> delivery system for 24 weeks.</w:t>
            </w:r>
          </w:p>
          <w:p w14:paraId="2488B335" w14:textId="77777777" w:rsidR="00025134" w:rsidRDefault="00025134" w:rsidP="00025134">
            <w:pPr>
              <w:pStyle w:val="SynopsisText"/>
              <w:rPr>
                <w:rFonts w:eastAsia="Calibri"/>
                <w:lang w:val="en-CA"/>
              </w:rPr>
            </w:pPr>
            <w:r w:rsidRPr="00025134">
              <w:t>Exploratory</w:t>
            </w:r>
            <w:r>
              <w:rPr>
                <w:rFonts w:eastAsia="Calibri"/>
                <w:lang w:val="en-CA"/>
              </w:rPr>
              <w:t>:</w:t>
            </w:r>
          </w:p>
          <w:p w14:paraId="7BA8C6D5" w14:textId="134C3458" w:rsidR="00025134" w:rsidRDefault="00025134" w:rsidP="00A446BE">
            <w:pPr>
              <w:pStyle w:val="SynopsisBulletList"/>
              <w:spacing w:after="0"/>
              <w:ind w:left="360"/>
              <w:rPr>
                <w:rFonts w:eastAsia="Calibri"/>
                <w:sz w:val="24"/>
                <w:lang w:val="en-CA"/>
              </w:rPr>
            </w:pPr>
            <w:r>
              <w:rPr>
                <w:rFonts w:eastAsia="Calibri"/>
                <w:lang w:val="en-CA"/>
              </w:rPr>
              <w:t xml:space="preserve">To evaluate the </w:t>
            </w:r>
            <w:r w:rsidRPr="00025134">
              <w:rPr>
                <w:rFonts w:eastAsia="Calibri"/>
              </w:rPr>
              <w:t>effect</w:t>
            </w:r>
            <w:r>
              <w:rPr>
                <w:rFonts w:eastAsia="Calibri"/>
                <w:lang w:val="en-CA"/>
              </w:rPr>
              <w:t xml:space="preserve"> of single daily SC doses of 40 mg </w:t>
            </w:r>
            <w:proofErr w:type="spellStart"/>
            <w:r w:rsidRPr="009E7862">
              <w:rPr>
                <w:rFonts w:eastAsia="Calibri"/>
              </w:rPr>
              <w:t>elamipretide</w:t>
            </w:r>
            <w:proofErr w:type="spellEnd"/>
            <w:r w:rsidRPr="009E7862">
              <w:rPr>
                <w:rFonts w:eastAsia="Calibri"/>
              </w:rPr>
              <w:t xml:space="preserve"> administered with the </w:t>
            </w:r>
            <w:proofErr w:type="spellStart"/>
            <w:r w:rsidRPr="009E7862">
              <w:rPr>
                <w:rFonts w:eastAsia="Calibri"/>
              </w:rPr>
              <w:t>elamipretide</w:t>
            </w:r>
            <w:proofErr w:type="spellEnd"/>
            <w:r w:rsidRPr="009E7862">
              <w:rPr>
                <w:rFonts w:eastAsia="Calibri"/>
              </w:rPr>
              <w:t xml:space="preserve"> delivery system for 24 weeks as measured by changes in the:</w:t>
            </w:r>
          </w:p>
          <w:p w14:paraId="14E0D40A" w14:textId="77777777" w:rsidR="00025134" w:rsidRDefault="00025134" w:rsidP="000C6B46">
            <w:pPr>
              <w:pStyle w:val="SynopsisBulletList"/>
              <w:numPr>
                <w:ilvl w:val="0"/>
                <w:numId w:val="32"/>
              </w:numPr>
              <w:spacing w:after="0"/>
              <w:rPr>
                <w:rFonts w:eastAsia="Calibri"/>
                <w:lang w:val="en-CA"/>
              </w:rPr>
            </w:pPr>
            <w:r>
              <w:rPr>
                <w:rFonts w:eastAsia="Calibri"/>
                <w:lang w:val="en-CA"/>
              </w:rPr>
              <w:t>Individual symptoms on the PMMSA</w:t>
            </w:r>
          </w:p>
          <w:p w14:paraId="10334473" w14:textId="77777777" w:rsidR="00025134" w:rsidRDefault="00025134" w:rsidP="000C6B46">
            <w:pPr>
              <w:pStyle w:val="SynopsisBulletList"/>
              <w:numPr>
                <w:ilvl w:val="0"/>
                <w:numId w:val="32"/>
              </w:numPr>
              <w:spacing w:after="0"/>
              <w:rPr>
                <w:rFonts w:eastAsia="Calibri"/>
                <w:lang w:val="en-CA"/>
              </w:rPr>
            </w:pPr>
            <w:r>
              <w:rPr>
                <w:rFonts w:eastAsia="Calibri"/>
                <w:lang w:val="en-CA"/>
              </w:rPr>
              <w:t>Alternate version of the PMMSA Total Fatigue Score</w:t>
            </w:r>
          </w:p>
          <w:p w14:paraId="19D5A7D4" w14:textId="77777777" w:rsidR="00025134" w:rsidRDefault="00025134" w:rsidP="000C6B46">
            <w:pPr>
              <w:pStyle w:val="SynopsisBulletList"/>
              <w:numPr>
                <w:ilvl w:val="0"/>
                <w:numId w:val="32"/>
              </w:numPr>
              <w:spacing w:after="0"/>
              <w:rPr>
                <w:rFonts w:eastAsia="Calibri"/>
                <w:lang w:val="en-CA"/>
              </w:rPr>
            </w:pPr>
            <w:r>
              <w:rPr>
                <w:rFonts w:eastAsia="Calibri"/>
                <w:lang w:val="en-CA"/>
              </w:rPr>
              <w:t>Individual items on the Neuro-QoL Fatigue</w:t>
            </w:r>
          </w:p>
          <w:p w14:paraId="34941E66" w14:textId="1A3992D3" w:rsidR="00025134" w:rsidRDefault="00025134" w:rsidP="000C6B46">
            <w:pPr>
              <w:pStyle w:val="SynopsisBulletList"/>
              <w:numPr>
                <w:ilvl w:val="0"/>
                <w:numId w:val="32"/>
              </w:numPr>
              <w:spacing w:after="0"/>
              <w:rPr>
                <w:rFonts w:eastAsia="Calibri"/>
                <w:lang w:val="en-CA"/>
              </w:rPr>
            </w:pPr>
            <w:r>
              <w:rPr>
                <w:rFonts w:eastAsia="Calibri"/>
                <w:lang w:val="en-CA"/>
              </w:rPr>
              <w:t>E</w:t>
            </w:r>
            <w:r w:rsidR="00752C3A">
              <w:rPr>
                <w:rFonts w:eastAsia="Calibri"/>
                <w:lang w:val="en-CA"/>
              </w:rPr>
              <w:t>uroQoL-5 dimensions-5 levels (E</w:t>
            </w:r>
            <w:r>
              <w:rPr>
                <w:rFonts w:eastAsia="Calibri"/>
                <w:lang w:val="en-CA"/>
              </w:rPr>
              <w:t>Q-5D-5L</w:t>
            </w:r>
            <w:r w:rsidR="00752C3A">
              <w:rPr>
                <w:rFonts w:eastAsia="Calibri"/>
                <w:lang w:val="en-CA"/>
              </w:rPr>
              <w:t>)</w:t>
            </w:r>
          </w:p>
          <w:p w14:paraId="315EF33E" w14:textId="77777777" w:rsidR="00025134" w:rsidRDefault="00025134" w:rsidP="000C6B46">
            <w:pPr>
              <w:pStyle w:val="SynopsisBulletList"/>
              <w:numPr>
                <w:ilvl w:val="0"/>
                <w:numId w:val="32"/>
              </w:numPr>
              <w:spacing w:after="0"/>
              <w:rPr>
                <w:rFonts w:eastAsia="Calibri"/>
                <w:lang w:val="en-CA"/>
              </w:rPr>
            </w:pPr>
            <w:r>
              <w:rPr>
                <w:rFonts w:eastAsia="Calibri"/>
                <w:lang w:val="en-CA"/>
              </w:rPr>
              <w:t>Patient Global Impression (PGI) Scales</w:t>
            </w:r>
          </w:p>
          <w:p w14:paraId="3466BA8C" w14:textId="77777777" w:rsidR="00025134" w:rsidRDefault="00025134" w:rsidP="000C6B46">
            <w:pPr>
              <w:pStyle w:val="SynopsisBulletList"/>
              <w:numPr>
                <w:ilvl w:val="0"/>
                <w:numId w:val="32"/>
              </w:numPr>
              <w:spacing w:after="60"/>
              <w:rPr>
                <w:rFonts w:eastAsia="Calibri"/>
                <w:lang w:val="en-CA"/>
              </w:rPr>
            </w:pPr>
            <w:r>
              <w:rPr>
                <w:rFonts w:eastAsia="Calibri"/>
                <w:lang w:val="en-CA"/>
              </w:rPr>
              <w:t>Clinician Global Impression (CGI) Scales</w:t>
            </w:r>
          </w:p>
          <w:p w14:paraId="1EA3B141" w14:textId="23319A89" w:rsidR="00025134" w:rsidRDefault="00025134" w:rsidP="00025134">
            <w:pPr>
              <w:pStyle w:val="SynopsisText"/>
              <w:rPr>
                <w:rFonts w:eastAsia="Calibri"/>
                <w:lang w:val="en-CA"/>
              </w:rPr>
            </w:pPr>
            <w:r w:rsidRPr="00025134">
              <w:t>Pharmacokinetic</w:t>
            </w:r>
            <w:r w:rsidR="00A446BE">
              <w:t xml:space="preserve"> (PK)</w:t>
            </w:r>
            <w:r>
              <w:rPr>
                <w:rFonts w:eastAsia="Calibri"/>
                <w:lang w:val="en-CA"/>
              </w:rPr>
              <w:t>:</w:t>
            </w:r>
          </w:p>
          <w:p w14:paraId="7B3081A7" w14:textId="37878BBC" w:rsidR="00025134" w:rsidRDefault="00431824" w:rsidP="00025134">
            <w:pPr>
              <w:pStyle w:val="SynopsisBulletList"/>
              <w:ind w:left="360"/>
              <w:rPr>
                <w:rFonts w:eastAsia="Calibri"/>
                <w:lang w:val="en-CA"/>
              </w:rPr>
            </w:pPr>
            <w:r>
              <w:rPr>
                <w:rFonts w:eastAsia="Calibri"/>
                <w:lang w:val="en-CA"/>
              </w:rPr>
              <w:t>To e</w:t>
            </w:r>
            <w:r w:rsidR="00DD628C">
              <w:rPr>
                <w:rFonts w:eastAsia="Calibri"/>
                <w:lang w:val="en-CA"/>
              </w:rPr>
              <w:t>valuate t</w:t>
            </w:r>
            <w:r w:rsidR="00025134">
              <w:rPr>
                <w:rFonts w:eastAsia="Calibri"/>
                <w:lang w:val="en-CA"/>
              </w:rPr>
              <w:t xml:space="preserve">he PK of </w:t>
            </w:r>
            <w:proofErr w:type="spellStart"/>
            <w:r w:rsidR="00D33E8C">
              <w:rPr>
                <w:rFonts w:eastAsia="Calibri"/>
                <w:lang w:val="en-CA"/>
              </w:rPr>
              <w:t>elamipretide</w:t>
            </w:r>
            <w:proofErr w:type="spellEnd"/>
          </w:p>
          <w:p w14:paraId="49DF09A4" w14:textId="77777777" w:rsidR="00025134" w:rsidRPr="00025134" w:rsidRDefault="00025134" w:rsidP="00025134">
            <w:pPr>
              <w:pStyle w:val="SynopsisBulletList"/>
              <w:numPr>
                <w:ilvl w:val="0"/>
                <w:numId w:val="0"/>
              </w:numPr>
              <w:rPr>
                <w:rFonts w:eastAsia="Calibri"/>
                <w:u w:val="single"/>
                <w:lang w:val="en-CA"/>
              </w:rPr>
            </w:pPr>
            <w:r w:rsidRPr="00025134">
              <w:rPr>
                <w:rFonts w:eastAsia="Calibri"/>
                <w:u w:val="single"/>
                <w:lang w:val="en-CA"/>
              </w:rPr>
              <w:t>Part 2</w:t>
            </w:r>
          </w:p>
          <w:p w14:paraId="34E146E8" w14:textId="7FB9273C" w:rsidR="00025134" w:rsidRPr="004913A4" w:rsidRDefault="00025134" w:rsidP="00025134">
            <w:pPr>
              <w:pStyle w:val="SynopsisBulletList"/>
              <w:ind w:left="360"/>
            </w:pPr>
            <w:r>
              <w:rPr>
                <w:szCs w:val="24"/>
              </w:rPr>
              <w:t>T</w:t>
            </w:r>
            <w:r w:rsidRPr="009E7862">
              <w:rPr>
                <w:szCs w:val="24"/>
              </w:rPr>
              <w:t xml:space="preserve">o </w:t>
            </w:r>
            <w:r w:rsidRPr="00025134">
              <w:rPr>
                <w:rFonts w:eastAsia="Calibri"/>
                <w:lang w:val="en-CA"/>
              </w:rPr>
              <w:t>assess</w:t>
            </w:r>
            <w:r w:rsidRPr="009E7862">
              <w:rPr>
                <w:szCs w:val="24"/>
              </w:rPr>
              <w:t xml:space="preserve"> the long-term safety and tolerability of single daily SC doses</w:t>
            </w:r>
            <w:r>
              <w:rPr>
                <w:szCs w:val="24"/>
              </w:rPr>
              <w:t xml:space="preserve"> </w:t>
            </w:r>
            <w:r w:rsidRPr="009E7862">
              <w:rPr>
                <w:szCs w:val="24"/>
              </w:rPr>
              <w:t xml:space="preserve">of 40 mg </w:t>
            </w:r>
            <w:proofErr w:type="spellStart"/>
            <w:r w:rsidRPr="009E7862">
              <w:rPr>
                <w:szCs w:val="24"/>
              </w:rPr>
              <w:t>elamipretide</w:t>
            </w:r>
            <w:proofErr w:type="spellEnd"/>
            <w:r w:rsidRPr="009E7862">
              <w:rPr>
                <w:szCs w:val="24"/>
              </w:rPr>
              <w:t xml:space="preserve"> administered with the </w:t>
            </w:r>
            <w:proofErr w:type="spellStart"/>
            <w:r w:rsidRPr="009E7862">
              <w:rPr>
                <w:szCs w:val="24"/>
              </w:rPr>
              <w:t>elamipretide</w:t>
            </w:r>
            <w:proofErr w:type="spellEnd"/>
            <w:r w:rsidRPr="009E7862">
              <w:rPr>
                <w:szCs w:val="24"/>
              </w:rPr>
              <w:t xml:space="preserve"> delivery system for up to 144 weeks</w:t>
            </w:r>
          </w:p>
        </w:tc>
      </w:tr>
      <w:tr w:rsidR="0060292B" w:rsidRPr="004A5AF1" w14:paraId="10B3B4BE"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1B3D7FFF" w14:textId="77777777" w:rsidR="0060292B" w:rsidRPr="004A5AF1" w:rsidRDefault="0060292B" w:rsidP="00CC52E8">
            <w:pPr>
              <w:pStyle w:val="SynopsisHeading"/>
              <w:keepNext/>
              <w:widowControl/>
            </w:pPr>
            <w:r w:rsidRPr="004A5AF1">
              <w:lastRenderedPageBreak/>
              <w:t>Methodology:</w:t>
            </w:r>
            <w:r w:rsidR="00F75500">
              <w:t xml:space="preserve"> </w:t>
            </w:r>
          </w:p>
          <w:p w14:paraId="2D9B5097" w14:textId="77777777" w:rsidR="004015D4" w:rsidRPr="004015D4" w:rsidRDefault="004015D4" w:rsidP="00CC52E8">
            <w:pPr>
              <w:pStyle w:val="SynopsisText"/>
              <w:keepNext/>
              <w:widowControl/>
              <w:rPr>
                <w:u w:val="single"/>
              </w:rPr>
            </w:pPr>
            <w:r w:rsidRPr="004015D4">
              <w:rPr>
                <w:u w:val="single"/>
              </w:rPr>
              <w:t>Part 1</w:t>
            </w:r>
          </w:p>
          <w:p w14:paraId="529A2220" w14:textId="6F553FCF" w:rsidR="00025134" w:rsidRDefault="00025134" w:rsidP="001037F2">
            <w:pPr>
              <w:pStyle w:val="SynopsisText"/>
            </w:pPr>
            <w:r>
              <w:t>Part 1</w:t>
            </w:r>
            <w:r w:rsidR="004015D4">
              <w:t xml:space="preserve"> of this </w:t>
            </w:r>
            <w:r w:rsidR="007B4A32">
              <w:t>trial</w:t>
            </w:r>
            <w:r>
              <w:t xml:space="preserve"> was a 24-week, randomized, double-blind, parallel-group, placebo-controlled assessment of the efficacy and safety of single daily SC doses of 40 mg </w:t>
            </w:r>
            <w:proofErr w:type="spellStart"/>
            <w:r>
              <w:t>elamipretide</w:t>
            </w:r>
            <w:proofErr w:type="spellEnd"/>
            <w:r>
              <w:t xml:space="preserve"> vs</w:t>
            </w:r>
            <w:r w:rsidR="004015D4">
              <w:t>.</w:t>
            </w:r>
            <w:r>
              <w:t xml:space="preserve"> placebo, administered with the </w:t>
            </w:r>
            <w:proofErr w:type="spellStart"/>
            <w:r>
              <w:t>elamipretide</w:t>
            </w:r>
            <w:proofErr w:type="spellEnd"/>
            <w:r>
              <w:t xml:space="preserve"> delivery system</w:t>
            </w:r>
            <w:r w:rsidR="004015D4">
              <w:t>,</w:t>
            </w:r>
            <w:r>
              <w:t xml:space="preserve"> as a treatment for subjects with </w:t>
            </w:r>
            <w:r w:rsidR="00ED7433">
              <w:t>Primary Mitochondrial Myopathy (</w:t>
            </w:r>
            <w:r>
              <w:t>PMM</w:t>
            </w:r>
            <w:r w:rsidR="00ED7433">
              <w:t>)</w:t>
            </w:r>
            <w:r>
              <w:t xml:space="preserve">. </w:t>
            </w:r>
          </w:p>
          <w:p w14:paraId="2464B2D5" w14:textId="347DCE67" w:rsidR="00025134" w:rsidRDefault="00025134" w:rsidP="00C94869">
            <w:pPr>
              <w:pStyle w:val="SynopsisText"/>
            </w:pPr>
            <w:r w:rsidRPr="00025134">
              <w:t>Subjects who complete</w:t>
            </w:r>
            <w:r w:rsidR="00C94869">
              <w:t>d</w:t>
            </w:r>
            <w:r w:rsidRPr="00025134">
              <w:t xml:space="preserve"> Screening and continue</w:t>
            </w:r>
            <w:r w:rsidR="00C94869">
              <w:t>d</w:t>
            </w:r>
            <w:r w:rsidRPr="00025134">
              <w:t xml:space="preserve"> to meet all </w:t>
            </w:r>
            <w:r w:rsidR="007B4A32">
              <w:t>trial</w:t>
            </w:r>
            <w:r w:rsidR="00DD628C" w:rsidRPr="00025134">
              <w:t xml:space="preserve"> </w:t>
            </w:r>
            <w:r w:rsidRPr="00025134">
              <w:t>requirements</w:t>
            </w:r>
            <w:r w:rsidR="004015D4">
              <w:t xml:space="preserve"> </w:t>
            </w:r>
            <w:r w:rsidR="00C94869">
              <w:t xml:space="preserve">were </w:t>
            </w:r>
            <w:r w:rsidRPr="00025134">
              <w:t>randomized</w:t>
            </w:r>
            <w:r w:rsidR="00C94869">
              <w:t xml:space="preserve"> </w:t>
            </w:r>
            <w:r w:rsidR="004015D4">
              <w:t xml:space="preserve">1:1 to </w:t>
            </w:r>
            <w:r w:rsidR="00DD628C">
              <w:t>40 </w:t>
            </w:r>
            <w:r w:rsidR="004015D4">
              <w:t xml:space="preserve">mg </w:t>
            </w:r>
            <w:proofErr w:type="spellStart"/>
            <w:r w:rsidR="004015D4">
              <w:t>elamipretide</w:t>
            </w:r>
            <w:proofErr w:type="spellEnd"/>
            <w:r w:rsidR="004015D4">
              <w:t xml:space="preserve"> or placebo </w:t>
            </w:r>
            <w:r w:rsidR="00C94869">
              <w:t xml:space="preserve">and entered </w:t>
            </w:r>
            <w:r w:rsidR="00DD628C">
              <w:t xml:space="preserve">into </w:t>
            </w:r>
            <w:r w:rsidR="00C94869">
              <w:t xml:space="preserve">the Treatment Period. Randomization was </w:t>
            </w:r>
            <w:r w:rsidRPr="00025134">
              <w:t>stratified by the subclassification of the genetic abnormality determined to be the primary cause of the subject</w:t>
            </w:r>
            <w:r w:rsidR="00160255">
              <w:t>’</w:t>
            </w:r>
            <w:r w:rsidRPr="00025134">
              <w:t xml:space="preserve">s PMM </w:t>
            </w:r>
            <w:r w:rsidR="004015D4">
              <w:t>by the Adjudication Committee</w:t>
            </w:r>
            <w:r w:rsidRPr="00025134">
              <w:t>.</w:t>
            </w:r>
          </w:p>
          <w:p w14:paraId="150E5619" w14:textId="4F83383B" w:rsidR="00C94869" w:rsidRDefault="00C94869" w:rsidP="00C94869">
            <w:pPr>
              <w:pStyle w:val="SynopsisText"/>
            </w:pPr>
            <w:r w:rsidRPr="00C94869">
              <w:t xml:space="preserve">The Treatment Period </w:t>
            </w:r>
            <w:r>
              <w:t xml:space="preserve">began </w:t>
            </w:r>
            <w:r w:rsidRPr="00C94869">
              <w:t>on the day of the Baseline Visit, defined as Day 1, and last</w:t>
            </w:r>
            <w:r>
              <w:t>ed</w:t>
            </w:r>
            <w:r w:rsidRPr="00C94869">
              <w:t xml:space="preserve"> for 24 weeks. Subjects (and caregivers if needed) </w:t>
            </w:r>
            <w:r>
              <w:t>were</w:t>
            </w:r>
            <w:r w:rsidRPr="00C94869">
              <w:t xml:space="preserve"> trained on the procedure for administration of the </w:t>
            </w:r>
            <w:proofErr w:type="spellStart"/>
            <w:r w:rsidRPr="00C94869">
              <w:t>elamipretide</w:t>
            </w:r>
            <w:proofErr w:type="spellEnd"/>
            <w:r w:rsidRPr="00C94869">
              <w:t xml:space="preserve"> delivery system</w:t>
            </w:r>
            <w:r>
              <w:t xml:space="preserve"> and recording of the IMP administration daily in the electronic or paper diary. Subjects returned to the clinical </w:t>
            </w:r>
            <w:r w:rsidR="001F57A6">
              <w:t xml:space="preserve">center/investigational </w:t>
            </w:r>
            <w:r>
              <w:t>site for the Week 4, Week 12, and Week 24 Visits for assessments, to administer IMP, and to return all used IMP supplies. Assessments included</w:t>
            </w:r>
            <w:r w:rsidR="008A0C87">
              <w:t xml:space="preserve"> review of adverse events (AEs) and concomitant medications/procedures, physical examination</w:t>
            </w:r>
            <w:r w:rsidR="0027664C">
              <w:t>, vital signs, electrocardiogram (ECG), Columbia-Suicide Severity Rating Scale (C-SSRS), laboratory tests (chemistry, hematology, urinalysis, pregnancy test), PK samples, questionnaires (PMMSA, Neuro-QoL Fatigue), EQ-5D-5L, PGI, CGI, 6MWT, and injection site reactions (ISRs)</w:t>
            </w:r>
            <w:r>
              <w:t xml:space="preserve">. During the </w:t>
            </w:r>
            <w:r w:rsidR="004015D4">
              <w:t>T</w:t>
            </w:r>
            <w:r>
              <w:t xml:space="preserve">reatment </w:t>
            </w:r>
            <w:r w:rsidR="004015D4">
              <w:t>P</w:t>
            </w:r>
            <w:r>
              <w:t>eriod, daily activities included completion of the PMMSA and IMP administration.</w:t>
            </w:r>
          </w:p>
          <w:p w14:paraId="142C366C" w14:textId="6FAB88AF" w:rsidR="00C94869" w:rsidRDefault="00C94869" w:rsidP="00C94869">
            <w:pPr>
              <w:pStyle w:val="SynopsisText"/>
              <w:rPr>
                <w:rFonts w:eastAsia="Calibri"/>
                <w:lang w:val="en-CA"/>
              </w:rPr>
            </w:pPr>
            <w:r w:rsidRPr="00C94869">
              <w:t>At the Week 24 Visit, if the subject confirm</w:t>
            </w:r>
            <w:r w:rsidR="004015D4">
              <w:t>ed</w:t>
            </w:r>
            <w:r w:rsidRPr="00C94869">
              <w:t xml:space="preserve"> they </w:t>
            </w:r>
            <w:r w:rsidR="004015D4">
              <w:t>were</w:t>
            </w:r>
            <w:r w:rsidRPr="00C94869">
              <w:t xml:space="preserve"> willing and able to continue to adhere to trial requirements and the Investigator determine</w:t>
            </w:r>
            <w:r w:rsidR="004015D4">
              <w:t>d</w:t>
            </w:r>
            <w:r w:rsidRPr="00C94869">
              <w:t xml:space="preserve"> the subject met the Continuation Criteria</w:t>
            </w:r>
            <w:r w:rsidR="004015D4">
              <w:t>,</w:t>
            </w:r>
            <w:r w:rsidRPr="00C94869">
              <w:t xml:space="preserve"> the subject </w:t>
            </w:r>
            <w:r>
              <w:rPr>
                <w:rFonts w:eastAsia="Calibri"/>
                <w:lang w:val="en-CA"/>
              </w:rPr>
              <w:t>continue</w:t>
            </w:r>
            <w:r w:rsidR="004015D4">
              <w:rPr>
                <w:rFonts w:eastAsia="Calibri"/>
                <w:lang w:val="en-CA"/>
              </w:rPr>
              <w:t>d</w:t>
            </w:r>
            <w:r>
              <w:rPr>
                <w:rFonts w:eastAsia="Calibri"/>
                <w:lang w:val="en-CA"/>
              </w:rPr>
              <w:t xml:space="preserve"> into Part</w:t>
            </w:r>
            <w:r w:rsidR="004015D4">
              <w:rPr>
                <w:rFonts w:eastAsia="Calibri"/>
                <w:lang w:val="en-CA"/>
              </w:rPr>
              <w:t> </w:t>
            </w:r>
            <w:r>
              <w:rPr>
                <w:rFonts w:eastAsia="Calibri"/>
                <w:lang w:val="en-CA"/>
              </w:rPr>
              <w:t>2</w:t>
            </w:r>
            <w:r w:rsidR="004015D4">
              <w:rPr>
                <w:rFonts w:eastAsia="Calibri"/>
                <w:lang w:val="en-CA"/>
              </w:rPr>
              <w:t xml:space="preserve"> of the </w:t>
            </w:r>
            <w:r w:rsidR="007B4A32">
              <w:rPr>
                <w:rFonts w:eastAsia="Calibri"/>
                <w:lang w:val="en-CA"/>
              </w:rPr>
              <w:t>trial</w:t>
            </w:r>
            <w:r>
              <w:rPr>
                <w:rFonts w:eastAsia="Calibri"/>
                <w:lang w:val="en-CA"/>
              </w:rPr>
              <w:t>. Subjects who d</w:t>
            </w:r>
            <w:r w:rsidR="004015D4">
              <w:rPr>
                <w:rFonts w:eastAsia="Calibri"/>
                <w:lang w:val="en-CA"/>
              </w:rPr>
              <w:t xml:space="preserve">id </w:t>
            </w:r>
            <w:r>
              <w:rPr>
                <w:rFonts w:eastAsia="Calibri"/>
                <w:lang w:val="en-CA"/>
              </w:rPr>
              <w:t>not continue into Part 2 enter</w:t>
            </w:r>
            <w:r w:rsidR="004015D4">
              <w:rPr>
                <w:rFonts w:eastAsia="Calibri"/>
                <w:lang w:val="en-CA"/>
              </w:rPr>
              <w:t>ed</w:t>
            </w:r>
            <w:r>
              <w:rPr>
                <w:rFonts w:eastAsia="Calibri"/>
                <w:lang w:val="en-CA"/>
              </w:rPr>
              <w:t xml:space="preserve"> the </w:t>
            </w:r>
            <w:r w:rsidR="00CA297E">
              <w:rPr>
                <w:rFonts w:eastAsia="Calibri"/>
                <w:lang w:val="en-CA"/>
              </w:rPr>
              <w:t>4-week</w:t>
            </w:r>
            <w:r w:rsidR="00F15C88">
              <w:rPr>
                <w:rFonts w:eastAsia="Calibri"/>
                <w:lang w:val="en-CA"/>
              </w:rPr>
              <w:t xml:space="preserve"> </w:t>
            </w:r>
            <w:r>
              <w:rPr>
                <w:rFonts w:eastAsia="Calibri"/>
                <w:lang w:val="en-CA"/>
              </w:rPr>
              <w:t>Part 1 Follow-up Period</w:t>
            </w:r>
            <w:r w:rsidR="004015D4">
              <w:rPr>
                <w:rFonts w:eastAsia="Calibri"/>
                <w:lang w:val="en-CA"/>
              </w:rPr>
              <w:t xml:space="preserve"> instead</w:t>
            </w:r>
            <w:r>
              <w:rPr>
                <w:rFonts w:eastAsia="Calibri"/>
                <w:lang w:val="en-CA"/>
              </w:rPr>
              <w:t xml:space="preserve">. </w:t>
            </w:r>
            <w:r w:rsidRPr="00C94869">
              <w:rPr>
                <w:rFonts w:eastAsia="Calibri"/>
                <w:lang w:val="en-CA"/>
              </w:rPr>
              <w:t>Subjects return</w:t>
            </w:r>
            <w:r w:rsidR="004015D4">
              <w:rPr>
                <w:rFonts w:eastAsia="Calibri"/>
                <w:lang w:val="en-CA"/>
              </w:rPr>
              <w:t>ed</w:t>
            </w:r>
            <w:r w:rsidRPr="00C94869">
              <w:rPr>
                <w:rFonts w:eastAsia="Calibri"/>
                <w:lang w:val="en-CA"/>
              </w:rPr>
              <w:t xml:space="preserve"> to the </w:t>
            </w:r>
            <w:r w:rsidR="001F57A6">
              <w:rPr>
                <w:rFonts w:eastAsia="Calibri"/>
                <w:lang w:val="en-CA"/>
              </w:rPr>
              <w:t>investigational</w:t>
            </w:r>
            <w:r w:rsidR="001F57A6" w:rsidRPr="00C94869">
              <w:rPr>
                <w:rFonts w:eastAsia="Calibri"/>
                <w:lang w:val="en-CA"/>
              </w:rPr>
              <w:t xml:space="preserve"> </w:t>
            </w:r>
            <w:r w:rsidRPr="00C94869">
              <w:rPr>
                <w:rFonts w:eastAsia="Calibri"/>
                <w:lang w:val="en-CA"/>
              </w:rPr>
              <w:t xml:space="preserve">site for the </w:t>
            </w:r>
            <w:r w:rsidR="00A65D00">
              <w:rPr>
                <w:rFonts w:eastAsia="Calibri"/>
                <w:lang w:val="en-CA"/>
              </w:rPr>
              <w:t>Part</w:t>
            </w:r>
            <w:r w:rsidRPr="00C94869">
              <w:rPr>
                <w:rFonts w:eastAsia="Calibri"/>
                <w:lang w:val="en-CA"/>
              </w:rPr>
              <w:t xml:space="preserve"> 1 End-of-Trial Visit for final safety assessments and return</w:t>
            </w:r>
            <w:r w:rsidR="004015D4">
              <w:rPr>
                <w:rFonts w:eastAsia="Calibri"/>
                <w:lang w:val="en-CA"/>
              </w:rPr>
              <w:t>ed</w:t>
            </w:r>
            <w:r w:rsidRPr="00C94869">
              <w:rPr>
                <w:rFonts w:eastAsia="Calibri"/>
                <w:lang w:val="en-CA"/>
              </w:rPr>
              <w:t xml:space="preserve"> all remaining trial related supplies.</w:t>
            </w:r>
          </w:p>
          <w:p w14:paraId="466ED4FA" w14:textId="77777777" w:rsidR="00C94869" w:rsidRPr="004015D4" w:rsidRDefault="00C94869" w:rsidP="00C94869">
            <w:pPr>
              <w:pStyle w:val="SynopsisText"/>
              <w:rPr>
                <w:u w:val="single"/>
              </w:rPr>
            </w:pPr>
            <w:r w:rsidRPr="004015D4">
              <w:rPr>
                <w:u w:val="single"/>
              </w:rPr>
              <w:t>Part 2</w:t>
            </w:r>
          </w:p>
          <w:p w14:paraId="15C05C5C" w14:textId="4C9ECC9D" w:rsidR="00C94869" w:rsidRPr="004015D4" w:rsidRDefault="00A65D00" w:rsidP="004015D4">
            <w:pPr>
              <w:pStyle w:val="SynopsisText"/>
              <w:rPr>
                <w:rFonts w:eastAsia="Calibri"/>
                <w:lang w:val="en-CA"/>
              </w:rPr>
            </w:pPr>
            <w:r w:rsidRPr="004015D4">
              <w:rPr>
                <w:rFonts w:eastAsia="Calibri"/>
                <w:lang w:val="en-CA"/>
              </w:rPr>
              <w:t>Part</w:t>
            </w:r>
            <w:r w:rsidR="00C94869" w:rsidRPr="004015D4">
              <w:rPr>
                <w:rFonts w:eastAsia="Calibri"/>
                <w:lang w:val="en-CA"/>
              </w:rPr>
              <w:t xml:space="preserve"> 2 </w:t>
            </w:r>
            <w:r w:rsidR="004015D4">
              <w:rPr>
                <w:rFonts w:eastAsia="Calibri"/>
                <w:lang w:val="en-CA"/>
              </w:rPr>
              <w:t>was</w:t>
            </w:r>
            <w:r w:rsidR="00C94869" w:rsidRPr="004015D4">
              <w:rPr>
                <w:rFonts w:eastAsia="Calibri"/>
                <w:lang w:val="en-CA"/>
              </w:rPr>
              <w:t xml:space="preserve"> an up to 144-week, open-label assessment of the long-term safety and tolerability of single daily SC doses of 40 mg </w:t>
            </w:r>
            <w:proofErr w:type="spellStart"/>
            <w:r w:rsidR="00C94869" w:rsidRPr="004015D4">
              <w:rPr>
                <w:rFonts w:eastAsia="Calibri"/>
                <w:lang w:val="en-CA"/>
              </w:rPr>
              <w:t>elamipretide</w:t>
            </w:r>
            <w:proofErr w:type="spellEnd"/>
            <w:r w:rsidR="004015D4">
              <w:rPr>
                <w:rFonts w:eastAsia="Calibri"/>
                <w:lang w:val="en-CA"/>
              </w:rPr>
              <w:t>,</w:t>
            </w:r>
            <w:r w:rsidR="00C94869" w:rsidRPr="004015D4">
              <w:rPr>
                <w:rFonts w:eastAsia="Calibri"/>
                <w:lang w:val="en-CA"/>
              </w:rPr>
              <w:t xml:space="preserve"> administered with the </w:t>
            </w:r>
            <w:proofErr w:type="spellStart"/>
            <w:r w:rsidR="00C94869" w:rsidRPr="004015D4">
              <w:rPr>
                <w:rFonts w:eastAsia="Calibri"/>
                <w:lang w:val="en-CA"/>
              </w:rPr>
              <w:t>elamipretide</w:t>
            </w:r>
            <w:proofErr w:type="spellEnd"/>
            <w:r w:rsidR="00C94869" w:rsidRPr="004015D4">
              <w:rPr>
                <w:rFonts w:eastAsia="Calibri"/>
                <w:lang w:val="en-CA"/>
              </w:rPr>
              <w:t xml:space="preserve"> delivery system</w:t>
            </w:r>
            <w:r w:rsidR="004015D4">
              <w:rPr>
                <w:rFonts w:eastAsia="Calibri"/>
                <w:lang w:val="en-CA"/>
              </w:rPr>
              <w:t>,</w:t>
            </w:r>
            <w:r w:rsidR="00C94869" w:rsidRPr="004015D4">
              <w:rPr>
                <w:rFonts w:eastAsia="Calibri"/>
                <w:lang w:val="en-CA"/>
              </w:rPr>
              <w:t xml:space="preserve"> in subjects with PMM. Subjects who were originally randomized to </w:t>
            </w:r>
            <w:proofErr w:type="spellStart"/>
            <w:r w:rsidR="00C94869" w:rsidRPr="004015D4">
              <w:rPr>
                <w:rFonts w:eastAsia="Calibri"/>
                <w:lang w:val="en-CA"/>
              </w:rPr>
              <w:t>elamipretide</w:t>
            </w:r>
            <w:proofErr w:type="spellEnd"/>
            <w:r w:rsidR="00C94869" w:rsidRPr="004015D4">
              <w:rPr>
                <w:rFonts w:eastAsia="Calibri"/>
                <w:lang w:val="en-CA"/>
              </w:rPr>
              <w:t xml:space="preserve"> during Part 1 continue</w:t>
            </w:r>
            <w:r w:rsidR="004015D4">
              <w:rPr>
                <w:rFonts w:eastAsia="Calibri"/>
                <w:lang w:val="en-CA"/>
              </w:rPr>
              <w:t>d</w:t>
            </w:r>
            <w:r w:rsidR="00C94869" w:rsidRPr="004015D4">
              <w:rPr>
                <w:rFonts w:eastAsia="Calibri"/>
                <w:lang w:val="en-CA"/>
              </w:rPr>
              <w:t xml:space="preserve"> to receive </w:t>
            </w:r>
            <w:proofErr w:type="spellStart"/>
            <w:r w:rsidR="00C94869" w:rsidRPr="004015D4">
              <w:rPr>
                <w:rFonts w:eastAsia="Calibri"/>
                <w:lang w:val="en-CA"/>
              </w:rPr>
              <w:t>elamipretide</w:t>
            </w:r>
            <w:proofErr w:type="spellEnd"/>
            <w:r w:rsidR="00C94869" w:rsidRPr="004015D4">
              <w:rPr>
                <w:rFonts w:eastAsia="Calibri"/>
                <w:lang w:val="en-CA"/>
              </w:rPr>
              <w:t xml:space="preserve"> in Part 2 while those randomized to placebo during Part </w:t>
            </w:r>
            <w:r w:rsidR="00ED7433">
              <w:rPr>
                <w:rFonts w:eastAsia="Calibri"/>
                <w:lang w:val="en-CA"/>
              </w:rPr>
              <w:t>1</w:t>
            </w:r>
            <w:r w:rsidR="00C94869" w:rsidRPr="004015D4">
              <w:rPr>
                <w:rFonts w:eastAsia="Calibri"/>
                <w:lang w:val="en-CA"/>
              </w:rPr>
              <w:t xml:space="preserve"> switch</w:t>
            </w:r>
            <w:r w:rsidR="004015D4">
              <w:rPr>
                <w:rFonts w:eastAsia="Calibri"/>
                <w:lang w:val="en-CA"/>
              </w:rPr>
              <w:t>ed</w:t>
            </w:r>
            <w:r w:rsidR="00C94869" w:rsidRPr="004015D4">
              <w:rPr>
                <w:rFonts w:eastAsia="Calibri"/>
                <w:lang w:val="en-CA"/>
              </w:rPr>
              <w:t xml:space="preserve"> to treatment with </w:t>
            </w:r>
            <w:proofErr w:type="spellStart"/>
            <w:r w:rsidR="00C94869" w:rsidRPr="004015D4">
              <w:rPr>
                <w:rFonts w:eastAsia="Calibri"/>
                <w:lang w:val="en-CA"/>
              </w:rPr>
              <w:t>elamipretide</w:t>
            </w:r>
            <w:proofErr w:type="spellEnd"/>
            <w:r w:rsidR="00C94869" w:rsidRPr="004015D4">
              <w:rPr>
                <w:rFonts w:eastAsia="Calibri"/>
                <w:lang w:val="en-CA"/>
              </w:rPr>
              <w:t xml:space="preserve"> during Part 2. Duration of treatment was the shortest of the following: 144 weeks</w:t>
            </w:r>
            <w:r w:rsidR="004015D4">
              <w:rPr>
                <w:rFonts w:eastAsia="Calibri"/>
                <w:lang w:val="en-CA"/>
              </w:rPr>
              <w:t>; r</w:t>
            </w:r>
            <w:r w:rsidR="00C94869" w:rsidRPr="004015D4">
              <w:rPr>
                <w:rFonts w:eastAsia="Calibri"/>
                <w:lang w:val="en-CA"/>
              </w:rPr>
              <w:t xml:space="preserve">egulatory approval and commercial availability of the </w:t>
            </w:r>
            <w:proofErr w:type="spellStart"/>
            <w:r w:rsidR="00C94869" w:rsidRPr="004015D4">
              <w:rPr>
                <w:rFonts w:eastAsia="Calibri"/>
                <w:lang w:val="en-CA"/>
              </w:rPr>
              <w:t>elamipretide</w:t>
            </w:r>
            <w:proofErr w:type="spellEnd"/>
            <w:r w:rsidR="00C94869" w:rsidRPr="004015D4">
              <w:rPr>
                <w:rFonts w:eastAsia="Calibri"/>
                <w:lang w:val="en-CA"/>
              </w:rPr>
              <w:t xml:space="preserve"> delivery system in the subject</w:t>
            </w:r>
            <w:r w:rsidR="00160255" w:rsidRPr="004015D4">
              <w:rPr>
                <w:rFonts w:eastAsia="Calibri"/>
                <w:lang w:val="en-CA"/>
              </w:rPr>
              <w:t>’</w:t>
            </w:r>
            <w:r w:rsidR="00C94869" w:rsidRPr="004015D4">
              <w:rPr>
                <w:rFonts w:eastAsia="Calibri"/>
                <w:lang w:val="en-CA"/>
              </w:rPr>
              <w:t>s respective country</w:t>
            </w:r>
            <w:r w:rsidR="004015D4">
              <w:rPr>
                <w:rFonts w:eastAsia="Calibri"/>
                <w:lang w:val="en-CA"/>
              </w:rPr>
              <w:t>; or t</w:t>
            </w:r>
            <w:r w:rsidR="00C94869" w:rsidRPr="004015D4">
              <w:rPr>
                <w:rFonts w:eastAsia="Calibri"/>
                <w:lang w:val="en-CA"/>
              </w:rPr>
              <w:t xml:space="preserve">ermination of the </w:t>
            </w:r>
            <w:r w:rsidR="00EF46FD">
              <w:rPr>
                <w:rFonts w:eastAsia="Calibri"/>
                <w:lang w:val="en-CA"/>
              </w:rPr>
              <w:t>trial/</w:t>
            </w:r>
            <w:r w:rsidR="00C94869" w:rsidRPr="004015D4">
              <w:rPr>
                <w:rFonts w:eastAsia="Calibri"/>
                <w:lang w:val="en-CA"/>
              </w:rPr>
              <w:t xml:space="preserve">clinical development for </w:t>
            </w:r>
            <w:proofErr w:type="spellStart"/>
            <w:r w:rsidR="00C94869" w:rsidRPr="004015D4">
              <w:rPr>
                <w:rFonts w:eastAsia="Calibri"/>
                <w:lang w:val="en-CA"/>
              </w:rPr>
              <w:t>elamipretide</w:t>
            </w:r>
            <w:proofErr w:type="spellEnd"/>
            <w:r w:rsidR="00C94869" w:rsidRPr="004015D4">
              <w:rPr>
                <w:rFonts w:eastAsia="Calibri"/>
                <w:lang w:val="en-CA"/>
              </w:rPr>
              <w:t xml:space="preserve"> in subjects with PMM.</w:t>
            </w:r>
          </w:p>
          <w:p w14:paraId="2DCD2219" w14:textId="0FFC8ED3" w:rsidR="00C94869" w:rsidRDefault="00C94869" w:rsidP="00C94869">
            <w:pPr>
              <w:pStyle w:val="SynopsisText"/>
            </w:pPr>
            <w:r>
              <w:t xml:space="preserve">The Part 2 Treatment Period </w:t>
            </w:r>
            <w:r w:rsidRPr="00C94869">
              <w:t>beg</w:t>
            </w:r>
            <w:r>
              <w:t>a</w:t>
            </w:r>
            <w:r w:rsidRPr="00C94869">
              <w:t xml:space="preserve">n on the day of the </w:t>
            </w:r>
            <w:r w:rsidR="00A65D00">
              <w:t>Part</w:t>
            </w:r>
            <w:r w:rsidRPr="00C94869">
              <w:t xml:space="preserve"> 1 Week 24 Visit (at the administration of IMP) using the </w:t>
            </w:r>
            <w:r w:rsidR="00A65D00">
              <w:t>Part</w:t>
            </w:r>
            <w:r w:rsidRPr="00C94869">
              <w:t xml:space="preserve"> 2 supply of IMP. Subjects (or trained caregivers) administer</w:t>
            </w:r>
            <w:r w:rsidR="004015D4">
              <w:t>ed</w:t>
            </w:r>
            <w:r w:rsidRPr="00C94869">
              <w:t xml:space="preserve"> the IMP daily during the Treatment Period. The subject </w:t>
            </w:r>
            <w:r w:rsidR="004015D4">
              <w:t>r</w:t>
            </w:r>
            <w:r w:rsidRPr="00C94869">
              <w:t>eturn</w:t>
            </w:r>
            <w:r w:rsidR="004015D4">
              <w:t>ed</w:t>
            </w:r>
            <w:r w:rsidRPr="00C94869">
              <w:t xml:space="preserve"> to the </w:t>
            </w:r>
            <w:r w:rsidR="001F57A6">
              <w:t>investigational</w:t>
            </w:r>
            <w:r w:rsidR="001F57A6" w:rsidRPr="00C94869">
              <w:t xml:space="preserve"> </w:t>
            </w:r>
            <w:r w:rsidRPr="00C94869">
              <w:t xml:space="preserve">site for the Week 28, Week 36, and Week 48 Visits for assessments, to administer the IMP (subject or trained caregiver), and to return all used IMP supplies. </w:t>
            </w:r>
            <w:r w:rsidR="004015D4">
              <w:t xml:space="preserve">Assessments included </w:t>
            </w:r>
            <w:r w:rsidR="0027664C">
              <w:t>review of AEs and concomitant medications/procedures, physical examination, vital signs, ECG, C-SSRS, laboratory tests (chemistry, hematology, urinalysis, pregnancy test), and ISRs</w:t>
            </w:r>
            <w:r w:rsidR="004015D4">
              <w:t xml:space="preserve">. </w:t>
            </w:r>
            <w:r w:rsidRPr="00C94869">
              <w:t>Additional visits occur</w:t>
            </w:r>
            <w:r w:rsidR="004015D4">
              <w:t>red</w:t>
            </w:r>
            <w:r w:rsidRPr="00C94869">
              <w:t xml:space="preserve"> every 24 weeks for the remainder of the Treatment Period, with phone calls to the subject every 12 weeks between </w:t>
            </w:r>
            <w:r w:rsidR="001F57A6">
              <w:t xml:space="preserve">investigational </w:t>
            </w:r>
            <w:r w:rsidRPr="00C94869">
              <w:t>site visits.</w:t>
            </w:r>
          </w:p>
          <w:p w14:paraId="28A430D5" w14:textId="0A099CE9" w:rsidR="00C94869" w:rsidRDefault="00C94869" w:rsidP="00F15C88">
            <w:pPr>
              <w:pStyle w:val="SynopsisText"/>
            </w:pPr>
            <w:r w:rsidRPr="00C94869">
              <w:t xml:space="preserve">The </w:t>
            </w:r>
            <w:r w:rsidR="00A65D00">
              <w:t>Part</w:t>
            </w:r>
            <w:r w:rsidRPr="00C94869">
              <w:t xml:space="preserve"> 2 Follow-Up Period last</w:t>
            </w:r>
            <w:r w:rsidR="004015D4">
              <w:t>ed</w:t>
            </w:r>
            <w:r w:rsidRPr="00C94869">
              <w:t xml:space="preserve"> for 4 weeks</w:t>
            </w:r>
            <w:r w:rsidR="00817B97">
              <w:t xml:space="preserve"> and began after active subjects were discontinued early from the </w:t>
            </w:r>
            <w:r w:rsidR="005E1755">
              <w:t>trial</w:t>
            </w:r>
            <w:r w:rsidR="00817B97">
              <w:t xml:space="preserve"> due to trial termination</w:t>
            </w:r>
            <w:r w:rsidRPr="00C94869">
              <w:t>. Subjects return</w:t>
            </w:r>
            <w:r w:rsidR="004015D4">
              <w:t>ed</w:t>
            </w:r>
            <w:r w:rsidRPr="00C94869">
              <w:t xml:space="preserve"> to the </w:t>
            </w:r>
            <w:r w:rsidR="001F57A6">
              <w:t>investigational</w:t>
            </w:r>
            <w:r w:rsidR="001F57A6" w:rsidRPr="00C94869">
              <w:t xml:space="preserve"> </w:t>
            </w:r>
            <w:r w:rsidRPr="00C94869">
              <w:t xml:space="preserve">site for the </w:t>
            </w:r>
            <w:r w:rsidR="00A65D00">
              <w:t>Part</w:t>
            </w:r>
            <w:r w:rsidRPr="00C94869">
              <w:t xml:space="preserve"> 2 End-of-Trial Visit for final safety assessments and return</w:t>
            </w:r>
            <w:r w:rsidR="004015D4">
              <w:t>ed</w:t>
            </w:r>
            <w:r w:rsidRPr="00C94869">
              <w:t xml:space="preserve"> all remaining trial-related supplies.</w:t>
            </w:r>
          </w:p>
          <w:p w14:paraId="1B290BBB" w14:textId="682AD438" w:rsidR="00540601" w:rsidRPr="00025134" w:rsidRDefault="00540601" w:rsidP="003B2F09">
            <w:pPr>
              <w:pStyle w:val="SynopsisText"/>
            </w:pPr>
            <w:r>
              <w:t xml:space="preserve">Following evaluation of the data </w:t>
            </w:r>
            <w:r w:rsidR="00431824">
              <w:t xml:space="preserve">from </w:t>
            </w:r>
            <w:r>
              <w:t xml:space="preserve">Part 1, the </w:t>
            </w:r>
            <w:r w:rsidR="007B4A32">
              <w:t>trial</w:t>
            </w:r>
            <w:r>
              <w:t xml:space="preserve"> was terminated due to Sponsor’s decision to terminate </w:t>
            </w:r>
            <w:r w:rsidR="00EF46FD">
              <w:t xml:space="preserve">open </w:t>
            </w:r>
            <w:r w:rsidR="003B2F09">
              <w:t>trials</w:t>
            </w:r>
            <w:r>
              <w:t xml:space="preserve"> evaluating </w:t>
            </w:r>
            <w:proofErr w:type="spellStart"/>
            <w:r>
              <w:t>elamipretide</w:t>
            </w:r>
            <w:proofErr w:type="spellEnd"/>
            <w:r>
              <w:t xml:space="preserve"> as a treatment for PMM.</w:t>
            </w:r>
          </w:p>
        </w:tc>
      </w:tr>
      <w:tr w:rsidR="0060292B" w:rsidRPr="004A5AF1" w14:paraId="6716E256"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59298C27" w14:textId="77777777" w:rsidR="0060292B" w:rsidRPr="004A5AF1" w:rsidRDefault="0060292B" w:rsidP="00FE5E5D">
            <w:pPr>
              <w:pStyle w:val="SynopsisHeading"/>
            </w:pPr>
            <w:r w:rsidRPr="004A5AF1">
              <w:t>Number of Subjects:</w:t>
            </w:r>
          </w:p>
          <w:p w14:paraId="52E804C0" w14:textId="30E6CB6C" w:rsidR="009E0024" w:rsidRDefault="009E0024" w:rsidP="001037F2">
            <w:pPr>
              <w:pStyle w:val="SynopsisText"/>
            </w:pPr>
            <w:r>
              <w:t xml:space="preserve">This </w:t>
            </w:r>
            <w:r w:rsidR="007B4A32">
              <w:t>trial</w:t>
            </w:r>
            <w:r>
              <w:t xml:space="preserve"> </w:t>
            </w:r>
            <w:r w:rsidR="000673D1">
              <w:t>randomized 218</w:t>
            </w:r>
            <w:r w:rsidR="001A5080">
              <w:t xml:space="preserve"> subjects </w:t>
            </w:r>
            <w:r w:rsidR="00EF6F2F">
              <w:t xml:space="preserve">in Part 1 of the </w:t>
            </w:r>
            <w:r w:rsidR="007B4A32">
              <w:t>trial</w:t>
            </w:r>
            <w:r w:rsidR="00C878F3">
              <w:t xml:space="preserve">; 109 were randomized to 40 mg </w:t>
            </w:r>
            <w:proofErr w:type="spellStart"/>
            <w:r w:rsidR="00C878F3">
              <w:t>elamipretide</w:t>
            </w:r>
            <w:proofErr w:type="spellEnd"/>
            <w:r w:rsidR="00C878F3">
              <w:t xml:space="preserve"> and 109 were randomized to placebo. All </w:t>
            </w:r>
            <w:r w:rsidR="000673D1">
              <w:t xml:space="preserve">218 </w:t>
            </w:r>
            <w:r w:rsidR="00C878F3">
              <w:t xml:space="preserve">subjects </w:t>
            </w:r>
            <w:r w:rsidR="00EF6F2F">
              <w:t xml:space="preserve">were </w:t>
            </w:r>
            <w:r w:rsidR="00C878F3">
              <w:t>included in the</w:t>
            </w:r>
            <w:r w:rsidR="00ED7433">
              <w:t xml:space="preserve"> Intent-to-treat</w:t>
            </w:r>
            <w:r w:rsidR="00C878F3">
              <w:t xml:space="preserve"> </w:t>
            </w:r>
            <w:r w:rsidR="00ED7433">
              <w:t>(</w:t>
            </w:r>
            <w:r w:rsidR="00C878F3">
              <w:t>ITT</w:t>
            </w:r>
            <w:r w:rsidR="00ED7433">
              <w:t>)</w:t>
            </w:r>
            <w:r w:rsidR="00C878F3">
              <w:t xml:space="preserve"> and Safety Populations and </w:t>
            </w:r>
            <w:r w:rsidR="00EF6F2F">
              <w:t>assessed for efficacy and for safety.</w:t>
            </w:r>
            <w:r w:rsidR="00C878F3">
              <w:t xml:space="preserve"> The </w:t>
            </w:r>
            <w:r w:rsidR="00ED7433">
              <w:t>Per Protocol (</w:t>
            </w:r>
            <w:r w:rsidR="00C878F3">
              <w:t>PP</w:t>
            </w:r>
            <w:r w:rsidR="00ED7433">
              <w:t>)</w:t>
            </w:r>
            <w:r w:rsidR="00C878F3">
              <w:t xml:space="preserve"> Population included 198 subjects. The PK Population included 106 subjects randomized and treated with </w:t>
            </w:r>
            <w:proofErr w:type="spellStart"/>
            <w:r w:rsidR="00C878F3">
              <w:t>elamipretide</w:t>
            </w:r>
            <w:proofErr w:type="spellEnd"/>
            <w:r w:rsidR="00383DFB">
              <w:t>, with at least one PK sample taken during their participation</w:t>
            </w:r>
            <w:r w:rsidR="00C878F3">
              <w:t>.</w:t>
            </w:r>
          </w:p>
          <w:p w14:paraId="5AB183B7" w14:textId="2116C827" w:rsidR="00EF6F2F" w:rsidRPr="009E0024" w:rsidRDefault="00C878F3" w:rsidP="00C878F3">
            <w:pPr>
              <w:pStyle w:val="SynopsisText"/>
            </w:pPr>
            <w:r>
              <w:lastRenderedPageBreak/>
              <w:t>A total of 196</w:t>
            </w:r>
            <w:r w:rsidR="00EF6F2F">
              <w:t xml:space="preserve"> subjects continued in</w:t>
            </w:r>
            <w:r w:rsidR="00431824">
              <w:t>to</w:t>
            </w:r>
            <w:r w:rsidR="00EF6F2F">
              <w:t xml:space="preserve"> Part 2 of the </w:t>
            </w:r>
            <w:r w:rsidR="007B4A32">
              <w:t>trial</w:t>
            </w:r>
            <w:r>
              <w:t xml:space="preserve">; all 196 were included in the Part 2 Safety Population and </w:t>
            </w:r>
            <w:r w:rsidR="00EF6F2F">
              <w:t>were assessed for safety.</w:t>
            </w:r>
          </w:p>
        </w:tc>
      </w:tr>
      <w:tr w:rsidR="0060292B" w:rsidRPr="004A5AF1" w14:paraId="3C635A5E" w14:textId="77777777" w:rsidTr="00551B95">
        <w:trPr>
          <w:cantSplit/>
        </w:trPr>
        <w:tc>
          <w:tcPr>
            <w:tcW w:w="9337" w:type="dxa"/>
            <w:gridSpan w:val="4"/>
            <w:tcBorders>
              <w:top w:val="single" w:sz="4" w:space="0" w:color="auto"/>
              <w:left w:val="single" w:sz="4" w:space="0" w:color="auto"/>
              <w:bottom w:val="single" w:sz="4" w:space="0" w:color="auto"/>
              <w:right w:val="single" w:sz="4" w:space="0" w:color="auto"/>
            </w:tcBorders>
          </w:tcPr>
          <w:p w14:paraId="73F5FBCB" w14:textId="77777777" w:rsidR="0060292B" w:rsidRPr="004A5AF1" w:rsidRDefault="0060292B" w:rsidP="00FE5E5D">
            <w:pPr>
              <w:pStyle w:val="SynopsisHeading"/>
            </w:pPr>
            <w:r w:rsidRPr="004A5AF1">
              <w:lastRenderedPageBreak/>
              <w:t>Diagnosis and Criteria for Inclusion:</w:t>
            </w:r>
          </w:p>
          <w:p w14:paraId="24CA1897" w14:textId="35E114AF" w:rsidR="001037F2" w:rsidRDefault="000B060B" w:rsidP="009E0024">
            <w:pPr>
              <w:pStyle w:val="SynopsisText"/>
            </w:pPr>
            <w:r>
              <w:t xml:space="preserve">Subjects were </w:t>
            </w:r>
            <w:r w:rsidRPr="000B060B">
              <w:t>≥16 and ≤80 years of age</w:t>
            </w:r>
            <w:r>
              <w:t xml:space="preserve"> (</w:t>
            </w:r>
            <w:r w:rsidRPr="000B060B">
              <w:t>≥18 years of age</w:t>
            </w:r>
            <w:r>
              <w:t xml:space="preserve"> in Germany), diagnosed with PM</w:t>
            </w:r>
            <w:r w:rsidR="00F15C88">
              <w:t>M</w:t>
            </w:r>
            <w:r>
              <w:t xml:space="preserve"> in the opinion of the Investigator, </w:t>
            </w:r>
            <w:r w:rsidR="00EF6F2F">
              <w:t xml:space="preserve">which </w:t>
            </w:r>
            <w:r>
              <w:t>consist</w:t>
            </w:r>
            <w:r w:rsidR="00F15C88">
              <w:t>ed</w:t>
            </w:r>
            <w:r>
              <w:t xml:space="preserve"> of a molecular genetic abnormality of the mitochondrial respiratory chain and subject reported symptoms or physical examination findings of myopathy that were the predominant symptoms of the subject</w:t>
            </w:r>
            <w:r w:rsidR="00160255">
              <w:t>’</w:t>
            </w:r>
            <w:r>
              <w:t xml:space="preserve">s </w:t>
            </w:r>
            <w:r w:rsidR="009E0024">
              <w:t>mitochondrial respiratory chain disorder.</w:t>
            </w:r>
            <w:r>
              <w:t xml:space="preserve"> </w:t>
            </w:r>
            <w:r w:rsidR="009E0024">
              <w:t xml:space="preserve">The molecular genetic abnormality was consistent with PMM as confirmed by the </w:t>
            </w:r>
            <w:r w:rsidR="007B4A32">
              <w:t>trial</w:t>
            </w:r>
            <w:r w:rsidR="00160255">
              <w:t>’</w:t>
            </w:r>
            <w:r w:rsidR="009E0024">
              <w:t xml:space="preserve">s Adjudication committee. </w:t>
            </w:r>
            <w:r>
              <w:t xml:space="preserve">Subjects were previously enrolled in </w:t>
            </w:r>
            <w:r w:rsidR="007B4A32">
              <w:t>trial</w:t>
            </w:r>
            <w:r>
              <w:t xml:space="preserve"> SPIMM</w:t>
            </w:r>
            <w:r w:rsidR="009C5111">
              <w:noBreakHyphen/>
            </w:r>
            <w:r>
              <w:t>300 or</w:t>
            </w:r>
            <w:r w:rsidR="009C5111">
              <w:t>,</w:t>
            </w:r>
            <w:r>
              <w:t xml:space="preserve"> with prior Sponsor-approval</w:t>
            </w:r>
            <w:r w:rsidR="009C5111">
              <w:t>,</w:t>
            </w:r>
            <w:r>
              <w:t xml:space="preserve"> enroll</w:t>
            </w:r>
            <w:r w:rsidR="009C5111">
              <w:t>ed</w:t>
            </w:r>
            <w:r>
              <w:t xml:space="preserve"> without SPIMM-300 participation</w:t>
            </w:r>
            <w:r w:rsidR="009E0024">
              <w:t>.</w:t>
            </w:r>
          </w:p>
          <w:p w14:paraId="5DDA000D" w14:textId="16E34C2E" w:rsidR="009E0024" w:rsidRDefault="009E0024" w:rsidP="009E0024">
            <w:pPr>
              <w:pStyle w:val="SynopsisText"/>
            </w:pPr>
            <w:r>
              <w:t xml:space="preserve">Subjects who walked &lt;100 m or &gt;450 m during the 6MWT at the Screening Visit or the Baseline Visit were not eligible for the </w:t>
            </w:r>
            <w:r w:rsidR="007B4A32">
              <w:t>trial</w:t>
            </w:r>
            <w:r>
              <w:t>.</w:t>
            </w:r>
          </w:p>
          <w:p w14:paraId="1B49C90C" w14:textId="77777777" w:rsidR="004606C2" w:rsidRDefault="009E0024" w:rsidP="009E0024">
            <w:pPr>
              <w:pStyle w:val="SynopsisText"/>
            </w:pPr>
            <w:r>
              <w:t xml:space="preserve">Subjects in Part 2 met the Part 2 Continuation Criteria at the Week 24 Visit: </w:t>
            </w:r>
          </w:p>
          <w:p w14:paraId="1F52EDFD" w14:textId="71FA109B" w:rsidR="009E0024" w:rsidRDefault="004606C2" w:rsidP="004606C2">
            <w:pPr>
              <w:pStyle w:val="SynopsisBulletList"/>
              <w:spacing w:after="0"/>
              <w:ind w:left="360"/>
            </w:pPr>
            <w:r>
              <w:t>S</w:t>
            </w:r>
            <w:r w:rsidR="009E0024">
              <w:t xml:space="preserve">ubjects must </w:t>
            </w:r>
            <w:r w:rsidR="00431824">
              <w:t xml:space="preserve">have </w:t>
            </w:r>
            <w:r w:rsidR="009E0024">
              <w:t>continue</w:t>
            </w:r>
            <w:r w:rsidR="00431824">
              <w:t>d</w:t>
            </w:r>
            <w:r w:rsidR="009E0024">
              <w:t xml:space="preserve"> to be able and willing to adhere to the trial requirements.</w:t>
            </w:r>
          </w:p>
          <w:p w14:paraId="4B80C752" w14:textId="0CDB41B6" w:rsidR="009E0024" w:rsidRDefault="009E0024" w:rsidP="004606C2">
            <w:pPr>
              <w:pStyle w:val="SynopsisBulletList"/>
              <w:spacing w:after="0"/>
              <w:ind w:left="360"/>
            </w:pPr>
            <w:r>
              <w:t xml:space="preserve">Subject was appropriate to continue in </w:t>
            </w:r>
            <w:r w:rsidR="00A65D00">
              <w:t>Part</w:t>
            </w:r>
            <w:r>
              <w:t xml:space="preserve"> 2 (i.e.</w:t>
            </w:r>
            <w:r w:rsidR="004015D4">
              <w:t>,</w:t>
            </w:r>
            <w:r>
              <w:t xml:space="preserve"> subject was compliant in SPIMM-301), in the opinion of the Investigator.</w:t>
            </w:r>
          </w:p>
          <w:p w14:paraId="266B6869" w14:textId="2C0B3F21" w:rsidR="009E0024" w:rsidRDefault="009E0024" w:rsidP="004606C2">
            <w:pPr>
              <w:pStyle w:val="SynopsisBulletList"/>
              <w:spacing w:after="0"/>
              <w:ind w:left="360"/>
            </w:pPr>
            <w:r>
              <w:t xml:space="preserve">Subject had not had a serious adverse event (SAE)/serious adverse device effect (SADE) attributed to the </w:t>
            </w:r>
            <w:proofErr w:type="spellStart"/>
            <w:r>
              <w:t>elamipretide</w:t>
            </w:r>
            <w:proofErr w:type="spellEnd"/>
            <w:r>
              <w:t xml:space="preserve"> delivery system.</w:t>
            </w:r>
          </w:p>
          <w:p w14:paraId="56169BC9" w14:textId="7E2C6F2B" w:rsidR="009E0024" w:rsidRPr="000B060B" w:rsidRDefault="009E0024" w:rsidP="004606C2">
            <w:pPr>
              <w:pStyle w:val="SynopsisBulletList"/>
              <w:ind w:left="360"/>
            </w:pPr>
            <w:r>
              <w:t xml:space="preserve">Subject had not permanently discontinued the </w:t>
            </w:r>
            <w:proofErr w:type="spellStart"/>
            <w:r>
              <w:t>elamipretide</w:t>
            </w:r>
            <w:proofErr w:type="spellEnd"/>
            <w:r>
              <w:t xml:space="preserve"> delivery system.</w:t>
            </w:r>
          </w:p>
        </w:tc>
      </w:tr>
      <w:tr w:rsidR="0060292B" w:rsidRPr="004A5AF1" w14:paraId="4DFB4973"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4A8E94A6" w14:textId="7A5DE688" w:rsidR="0060292B" w:rsidRPr="004A5AF1" w:rsidRDefault="0060292B" w:rsidP="00FE5E5D">
            <w:pPr>
              <w:pStyle w:val="SynopsisHeading"/>
            </w:pPr>
            <w:r w:rsidRPr="004A5AF1">
              <w:t>Test Product, Dose, Mode of Administration,</w:t>
            </w:r>
            <w:r w:rsidR="00540601">
              <w:t xml:space="preserve"> Batch Numbers</w:t>
            </w:r>
            <w:r w:rsidRPr="004A5AF1">
              <w:t>:</w:t>
            </w:r>
          </w:p>
          <w:p w14:paraId="2D978BBD" w14:textId="1F0EAF2B" w:rsidR="009E0024" w:rsidRDefault="009E0024" w:rsidP="001037F2">
            <w:pPr>
              <w:pStyle w:val="SynopsisText"/>
            </w:pPr>
            <w:r>
              <w:t xml:space="preserve">Part 1: 24 weeks of single, daily SC doses of 40 mg </w:t>
            </w:r>
            <w:proofErr w:type="spellStart"/>
            <w:r>
              <w:t>elamipretide</w:t>
            </w:r>
            <w:proofErr w:type="spellEnd"/>
            <w:r>
              <w:t xml:space="preserve"> administered with the </w:t>
            </w:r>
            <w:proofErr w:type="spellStart"/>
            <w:r>
              <w:t>elamipretide</w:t>
            </w:r>
            <w:proofErr w:type="spellEnd"/>
            <w:r>
              <w:t xml:space="preserve"> delivery system.</w:t>
            </w:r>
          </w:p>
          <w:p w14:paraId="1162D28D" w14:textId="5AD17BA3" w:rsidR="004606C2" w:rsidRDefault="004606C2" w:rsidP="00540601">
            <w:pPr>
              <w:pStyle w:val="SynopsisText"/>
            </w:pPr>
            <w:r>
              <w:t xml:space="preserve">Batch/Lot Numbers: </w:t>
            </w:r>
            <w:r w:rsidR="00540601">
              <w:t>P171451-0004L001, P171451-0009L001, P171451-0009L001.A1, P171451-0009L001.A2, P171451-0017L001, P171451-0017L001.A1</w:t>
            </w:r>
          </w:p>
          <w:p w14:paraId="323E7C7F" w14:textId="77777777" w:rsidR="009E0024" w:rsidRDefault="009E0024" w:rsidP="001037F2">
            <w:pPr>
              <w:pStyle w:val="SynopsisText"/>
            </w:pPr>
            <w:r>
              <w:t xml:space="preserve">Part 2: Up to 144 weeks of single, daily SC doses of 40 mg </w:t>
            </w:r>
            <w:proofErr w:type="spellStart"/>
            <w:r>
              <w:t>elamipretide</w:t>
            </w:r>
            <w:proofErr w:type="spellEnd"/>
            <w:r>
              <w:t xml:space="preserve"> administered with the </w:t>
            </w:r>
            <w:proofErr w:type="spellStart"/>
            <w:r>
              <w:t>elamipretide</w:t>
            </w:r>
            <w:proofErr w:type="spellEnd"/>
            <w:r>
              <w:t xml:space="preserve"> delivery system.</w:t>
            </w:r>
          </w:p>
          <w:p w14:paraId="4D36E4FB" w14:textId="6A8F71B5" w:rsidR="004606C2" w:rsidRPr="009E0024" w:rsidRDefault="004606C2" w:rsidP="00540601">
            <w:pPr>
              <w:pStyle w:val="SynopsisText"/>
            </w:pPr>
            <w:r>
              <w:t xml:space="preserve">Batch/Lot Numbers: </w:t>
            </w:r>
            <w:r w:rsidR="00540601">
              <w:t>P186371-0003L001, P186371-0003L002, P186371-0003L002.A1, P186371-0006L001, P186371-0006L001.A1, P186371-0006L001.A2, P186371-0006L001.A3, P186371-0011L001, P186371-0011L002.A1, P186371-0011L002.A2, P186371-0012L001, P186371-0015L001</w:t>
            </w:r>
          </w:p>
        </w:tc>
      </w:tr>
      <w:tr w:rsidR="0060292B" w:rsidRPr="004A5AF1" w14:paraId="4E3A4DD9"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3C3D9991" w14:textId="6C9AC38E" w:rsidR="0060292B" w:rsidRPr="004A5AF1" w:rsidRDefault="0060292B" w:rsidP="00FE5E5D">
            <w:pPr>
              <w:pStyle w:val="SynopsisHeading"/>
            </w:pPr>
            <w:r w:rsidRPr="004A5AF1">
              <w:t xml:space="preserve">Reference </w:t>
            </w:r>
            <w:r w:rsidR="003E4DDA">
              <w:t>Treatment</w:t>
            </w:r>
            <w:r w:rsidRPr="004A5AF1">
              <w:t>, Dose, Mode of Administration, Batch N</w:t>
            </w:r>
            <w:r w:rsidR="00540601">
              <w:t>umbers</w:t>
            </w:r>
            <w:r w:rsidRPr="004A5AF1">
              <w:t>:</w:t>
            </w:r>
          </w:p>
          <w:p w14:paraId="00268F53" w14:textId="23D122FC" w:rsidR="009E0024" w:rsidRDefault="009E0024" w:rsidP="009E0024">
            <w:pPr>
              <w:pStyle w:val="SynopsisText"/>
            </w:pPr>
            <w:r>
              <w:t xml:space="preserve">Part 1: Single, daily SC doses of placebo administered with the </w:t>
            </w:r>
            <w:proofErr w:type="spellStart"/>
            <w:r>
              <w:t>elamipretide</w:t>
            </w:r>
            <w:proofErr w:type="spellEnd"/>
            <w:r>
              <w:t xml:space="preserve"> delivery system.</w:t>
            </w:r>
          </w:p>
          <w:p w14:paraId="3885E3CC" w14:textId="77777777" w:rsidR="00540601" w:rsidRDefault="00540601" w:rsidP="009E0024">
            <w:pPr>
              <w:pStyle w:val="SynopsisText"/>
            </w:pPr>
            <w:r>
              <w:t>Batch/Lot Numbers: P171451-0005L001, P171451-0010L001, P171451-0010L001.A1, P171451-0010L001.A2, P171451-0018L001, P171451-0018L001.A1</w:t>
            </w:r>
          </w:p>
          <w:p w14:paraId="0761CE77" w14:textId="04EDF969" w:rsidR="009E0024" w:rsidRPr="009E0024" w:rsidRDefault="009E0024" w:rsidP="009E0024">
            <w:pPr>
              <w:pStyle w:val="SynopsisText"/>
            </w:pPr>
            <w:r>
              <w:t>Part 2: None</w:t>
            </w:r>
          </w:p>
        </w:tc>
      </w:tr>
      <w:tr w:rsidR="0060292B" w:rsidRPr="004A5AF1" w14:paraId="4FD92971"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2DC95487" w14:textId="77777777" w:rsidR="00BE5262" w:rsidRDefault="0060292B" w:rsidP="00D33D77">
            <w:pPr>
              <w:pStyle w:val="SynopsisHeading"/>
              <w:spacing w:after="0"/>
            </w:pPr>
            <w:r w:rsidRPr="004A5AF1">
              <w:t>Duration of Treatment:</w:t>
            </w:r>
          </w:p>
          <w:p w14:paraId="425A39B4" w14:textId="66435726" w:rsidR="009E0024" w:rsidRPr="009E0024" w:rsidRDefault="009E0024" w:rsidP="00344BF3">
            <w:pPr>
              <w:pStyle w:val="SynopsisText"/>
            </w:pPr>
            <w:r w:rsidRPr="009E0024">
              <w:t>Part 1: 24 weeks of double-blind treatment.</w:t>
            </w:r>
          </w:p>
          <w:p w14:paraId="1C6AFF84" w14:textId="0501A732" w:rsidR="009E0024" w:rsidRPr="004A5AF1" w:rsidRDefault="009E0024" w:rsidP="00344BF3">
            <w:pPr>
              <w:pStyle w:val="SynopsisText"/>
            </w:pPr>
            <w:r w:rsidRPr="009E0024">
              <w:t>Part 2: Up to 144 weeks of open-label treatment.</w:t>
            </w:r>
          </w:p>
        </w:tc>
      </w:tr>
      <w:tr w:rsidR="0060292B" w:rsidRPr="004A5AF1" w14:paraId="4EF013D2"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5917C09F" w14:textId="77777777" w:rsidR="00BE5262" w:rsidRDefault="0060292B" w:rsidP="00D33D77">
            <w:pPr>
              <w:pStyle w:val="SynopsisHeading"/>
              <w:spacing w:after="0"/>
            </w:pPr>
            <w:r w:rsidRPr="004A5AF1">
              <w:t>Statistical Methods:</w:t>
            </w:r>
          </w:p>
          <w:p w14:paraId="26094332" w14:textId="28EE3995" w:rsidR="001037F2" w:rsidRDefault="00010794" w:rsidP="001037F2">
            <w:pPr>
              <w:pStyle w:val="SynopsisText"/>
            </w:pPr>
            <w:r w:rsidRPr="00010794">
              <w:t xml:space="preserve">Detailed methodology for the display, summary, and statistical analyses of the data collected in this </w:t>
            </w:r>
            <w:r w:rsidR="007B4A32">
              <w:t>trial</w:t>
            </w:r>
            <w:r w:rsidRPr="00010794">
              <w:t xml:space="preserve"> were documented in a statistical analysis plan (SAP), dated 29 Nov 2019, prior to database lock</w:t>
            </w:r>
            <w:r>
              <w:t xml:space="preserve">. </w:t>
            </w:r>
            <w:r w:rsidRPr="00010794">
              <w:t>Except where specified, all continuous variables were summarized with descriptive statistics (the number of non-missing values, mean, standard deviation</w:t>
            </w:r>
            <w:r w:rsidR="00EF6F2F">
              <w:t xml:space="preserve"> (SD)</w:t>
            </w:r>
            <w:r w:rsidRPr="00010794">
              <w:t>, median, minimum and maximum) and all categorical variables were summarized with frequency counts and percentages including a category of “missing”, by treatment group.</w:t>
            </w:r>
          </w:p>
          <w:p w14:paraId="3900EAD1" w14:textId="77777777" w:rsidR="00010794" w:rsidRPr="00010794" w:rsidRDefault="00010794" w:rsidP="001037F2">
            <w:pPr>
              <w:pStyle w:val="SynopsisText"/>
              <w:rPr>
                <w:u w:val="single"/>
              </w:rPr>
            </w:pPr>
            <w:r w:rsidRPr="00010794">
              <w:rPr>
                <w:u w:val="single"/>
              </w:rPr>
              <w:t>Efficacy</w:t>
            </w:r>
          </w:p>
          <w:p w14:paraId="75A89A36" w14:textId="77777777" w:rsidR="00540601" w:rsidRDefault="00540601" w:rsidP="001037F2">
            <w:pPr>
              <w:pStyle w:val="SynopsisText"/>
            </w:pPr>
            <w:r>
              <w:t>Primary efficacy endpoints were the following:</w:t>
            </w:r>
          </w:p>
          <w:p w14:paraId="195DDE6B" w14:textId="3FDA9747" w:rsidR="00540601" w:rsidRDefault="00540601" w:rsidP="00540601">
            <w:pPr>
              <w:pStyle w:val="SynopsisBulletList"/>
              <w:spacing w:after="0"/>
              <w:ind w:left="360"/>
            </w:pPr>
            <w:r>
              <w:t>Distance walked (meters) during the 6MWT</w:t>
            </w:r>
          </w:p>
          <w:p w14:paraId="4C84847C" w14:textId="5B0EA528" w:rsidR="00540601" w:rsidRDefault="00540601" w:rsidP="00540601">
            <w:pPr>
              <w:pStyle w:val="SynopsisBulletList"/>
              <w:spacing w:after="0"/>
              <w:ind w:left="360"/>
            </w:pPr>
            <w:r>
              <w:t>Total Fatigue score on the PMMSA</w:t>
            </w:r>
          </w:p>
          <w:p w14:paraId="49365726" w14:textId="255F1A66" w:rsidR="00540601" w:rsidRDefault="00540601" w:rsidP="00540601">
            <w:pPr>
              <w:pStyle w:val="SynopsisText"/>
            </w:pPr>
            <w:r>
              <w:t>Secondary efficacy endpoints were the following:</w:t>
            </w:r>
          </w:p>
          <w:p w14:paraId="0FCA8989" w14:textId="7470CA76" w:rsidR="00540601" w:rsidRDefault="00540601" w:rsidP="00540601">
            <w:pPr>
              <w:pStyle w:val="SynopsisBulletList"/>
              <w:spacing w:after="0"/>
              <w:ind w:left="360"/>
            </w:pPr>
            <w:r>
              <w:lastRenderedPageBreak/>
              <w:t>Fatigue During Activities score on the PMMSA</w:t>
            </w:r>
          </w:p>
          <w:p w14:paraId="680AFF1C" w14:textId="50DD26B1" w:rsidR="00540601" w:rsidRDefault="00540601" w:rsidP="00540601">
            <w:pPr>
              <w:pStyle w:val="SynopsisBulletList"/>
              <w:spacing w:after="0"/>
              <w:ind w:left="360"/>
            </w:pPr>
            <w:r>
              <w:t>Neuro-QoL Fatigue Short Form score</w:t>
            </w:r>
          </w:p>
          <w:p w14:paraId="08E9C887" w14:textId="65A768B1" w:rsidR="00540601" w:rsidRDefault="00540601" w:rsidP="00540601">
            <w:pPr>
              <w:pStyle w:val="SynopsisBulletList"/>
              <w:spacing w:after="0"/>
              <w:ind w:left="360"/>
            </w:pPr>
            <w:r>
              <w:t>Most bothersome symptom score on the PMMSA</w:t>
            </w:r>
          </w:p>
          <w:p w14:paraId="054024FA" w14:textId="5D920C8E" w:rsidR="00540601" w:rsidRDefault="00540601" w:rsidP="00540601">
            <w:pPr>
              <w:pStyle w:val="SynopsisBulletList"/>
              <w:spacing w:after="0"/>
              <w:ind w:left="360"/>
            </w:pPr>
            <w:r>
              <w:t>Neuro-QoL Fatigue activities of daily living (specific items from the Neuro-QoL Item Bank)</w:t>
            </w:r>
          </w:p>
          <w:p w14:paraId="5D0485C7" w14:textId="4F6F8B4F" w:rsidR="00540601" w:rsidRDefault="00540601" w:rsidP="00540601">
            <w:pPr>
              <w:pStyle w:val="SynopsisText"/>
            </w:pPr>
            <w:r>
              <w:t>Exploratory endpoints were the following:</w:t>
            </w:r>
          </w:p>
          <w:p w14:paraId="4971F1B1" w14:textId="2E46B8A7" w:rsidR="00540601" w:rsidRDefault="00540601" w:rsidP="00540601">
            <w:pPr>
              <w:pStyle w:val="SynopsisBulletList"/>
              <w:spacing w:after="0"/>
              <w:ind w:left="360"/>
            </w:pPr>
            <w:r>
              <w:t>Individual symptom scores on the PMMSA</w:t>
            </w:r>
          </w:p>
          <w:p w14:paraId="33520019" w14:textId="4EF35B35" w:rsidR="00540601" w:rsidRDefault="00540601" w:rsidP="00540601">
            <w:pPr>
              <w:pStyle w:val="SynopsisBulletList"/>
              <w:spacing w:after="0"/>
              <w:ind w:left="360"/>
            </w:pPr>
            <w:r>
              <w:t>Alternate version of the PMMSA Total Fatigue Score</w:t>
            </w:r>
          </w:p>
          <w:p w14:paraId="6BDA8F07" w14:textId="31927AE1" w:rsidR="00540601" w:rsidRDefault="00540601" w:rsidP="00540601">
            <w:pPr>
              <w:pStyle w:val="SynopsisBulletList"/>
              <w:spacing w:after="0"/>
              <w:ind w:left="360"/>
            </w:pPr>
            <w:r>
              <w:t>Individual item scores of the Neuro-QoL Fatigue</w:t>
            </w:r>
          </w:p>
          <w:p w14:paraId="3AADF87A" w14:textId="57D08711" w:rsidR="00540601" w:rsidRDefault="00540601" w:rsidP="00540601">
            <w:pPr>
              <w:pStyle w:val="SynopsisBulletList"/>
              <w:spacing w:after="0"/>
              <w:ind w:left="360"/>
            </w:pPr>
            <w:r>
              <w:t>EQ-5D-5L scores</w:t>
            </w:r>
          </w:p>
          <w:p w14:paraId="3F2240C1" w14:textId="54A7DD2C" w:rsidR="00540601" w:rsidRDefault="00540601" w:rsidP="00540601">
            <w:pPr>
              <w:pStyle w:val="SynopsisBulletList"/>
              <w:spacing w:after="0"/>
              <w:ind w:left="360"/>
            </w:pPr>
            <w:r>
              <w:t>PGI Scales - PGI of Symptom scores and PGI of Change scores</w:t>
            </w:r>
          </w:p>
          <w:p w14:paraId="33EB6D89" w14:textId="7822E43C" w:rsidR="00540601" w:rsidRDefault="00540601" w:rsidP="00540601">
            <w:pPr>
              <w:pStyle w:val="SynopsisBulletList"/>
              <w:spacing w:after="0"/>
              <w:ind w:left="360"/>
            </w:pPr>
            <w:r>
              <w:t>CGI Scales - CGI of Symptom scores and CGI of Change scores</w:t>
            </w:r>
          </w:p>
          <w:p w14:paraId="41CFC231" w14:textId="37D62D14" w:rsidR="00431824" w:rsidRDefault="003D408D" w:rsidP="001037F2">
            <w:pPr>
              <w:pStyle w:val="SynopsisText"/>
            </w:pPr>
            <w:r w:rsidRPr="003D408D">
              <w:t xml:space="preserve">In order to characterize combined evidence associated with multiple endpoints for the comparison of </w:t>
            </w:r>
            <w:proofErr w:type="spellStart"/>
            <w:r w:rsidRPr="003D408D">
              <w:t>elamipretide</w:t>
            </w:r>
            <w:proofErr w:type="spellEnd"/>
            <w:r w:rsidRPr="003D408D">
              <w:t xml:space="preserve"> to placebo, a visit-level Multi-Domain Responder Index (MDRI) per subject was </w:t>
            </w:r>
            <w:r>
              <w:t>also assessed</w:t>
            </w:r>
            <w:r w:rsidR="00431824">
              <w:t>.</w:t>
            </w:r>
          </w:p>
          <w:p w14:paraId="7F9B3895" w14:textId="5623DDCC" w:rsidR="00010794" w:rsidRDefault="00010794" w:rsidP="001037F2">
            <w:pPr>
              <w:pStyle w:val="SynopsisText"/>
            </w:pPr>
            <w:r w:rsidRPr="00010794">
              <w:t xml:space="preserve">Efficacy analyses were conducted on the ITT </w:t>
            </w:r>
            <w:r w:rsidR="00F15C88">
              <w:t>P</w:t>
            </w:r>
            <w:r w:rsidR="00F15C88" w:rsidRPr="00010794">
              <w:t>opulation</w:t>
            </w:r>
            <w:r w:rsidRPr="00010794">
              <w:t xml:space="preserve">, for Part 1 of the </w:t>
            </w:r>
            <w:r w:rsidR="007B4A32">
              <w:t>trial</w:t>
            </w:r>
          </w:p>
          <w:p w14:paraId="50A49695" w14:textId="77777777" w:rsidR="00010794" w:rsidRDefault="00010794" w:rsidP="00010794">
            <w:pPr>
              <w:pStyle w:val="SynopsisText"/>
            </w:pPr>
            <w:r w:rsidRPr="00010794">
              <w:t>The distance walked (meters) during the 6MWT and Total Fatigue score on the PMMSA constituted the primary endpoint family</w:t>
            </w:r>
            <w:r>
              <w:t xml:space="preserve">. A family-wise alpha level of 0.05 was maintained for the primary endpoint family, using Hochberg’s procedure at the primary time point of 24 weeks. If both primary endpoints were significantly different from placebo at the 0.05 (two-sided) level of significance (in favor of treatment), then both were considered statistically significant. </w:t>
            </w:r>
            <w:proofErr w:type="gramStart"/>
            <w:r>
              <w:t>Otherwise</w:t>
            </w:r>
            <w:proofErr w:type="gramEnd"/>
            <w:r>
              <w:t xml:space="preserve"> the endpoint with the smaller p-value of the two was considered statistically significant, if statistically significant at the 0.025 (two-sided) level of significance. In the event that both endpoints in the primary endpoint family were significant at the 5% level, then selected secondary endpoints were tested with Type I error control, achieved by testing sequentially using a two-sided alpha level of 0.05.</w:t>
            </w:r>
          </w:p>
          <w:p w14:paraId="15B63078" w14:textId="7F332B50" w:rsidR="00010794" w:rsidRDefault="00010794" w:rsidP="00010794">
            <w:pPr>
              <w:pStyle w:val="SynopsisText"/>
            </w:pPr>
            <w:r w:rsidRPr="00010794">
              <w:t>A mixed effect repeated measures (MMRM) approach, with fixed effects for treatment, visit, the treatment-by-visit interaction, genetic abnormality sub classification strata group, baseline, baseline-by-visit, and subject as a random effect was used to analyze the two primary endpoints separately</w:t>
            </w:r>
            <w:r>
              <w:t xml:space="preserve">. </w:t>
            </w:r>
            <w:r w:rsidRPr="00010794">
              <w:t>The outcome was the change from baseline to each on-treatment time point and all protocol-scheduled time points were included in the model.</w:t>
            </w:r>
            <w:r>
              <w:t xml:space="preserve"> </w:t>
            </w:r>
          </w:p>
          <w:p w14:paraId="2B5BD57F" w14:textId="1C3B0736" w:rsidR="00010794" w:rsidRDefault="00010794" w:rsidP="00010794">
            <w:pPr>
              <w:pStyle w:val="SynopsisText"/>
            </w:pPr>
            <w:r w:rsidRPr="00010794">
              <w:t xml:space="preserve">To assess the robustness of the primary results based on the ITT Population, the analyses of the primary endpoints were repeated using the </w:t>
            </w:r>
            <w:r w:rsidR="00F15C88">
              <w:t>PP</w:t>
            </w:r>
            <w:r w:rsidRPr="00010794">
              <w:t xml:space="preserve"> Population</w:t>
            </w:r>
            <w:r>
              <w:t>, and sensitivity analyses with respect to missing values using multiple imputation methods were performed</w:t>
            </w:r>
            <w:r w:rsidRPr="00010794">
              <w:t>.</w:t>
            </w:r>
          </w:p>
          <w:p w14:paraId="68E371C3" w14:textId="315BBF00" w:rsidR="00010794" w:rsidRDefault="00010794" w:rsidP="00010794">
            <w:pPr>
              <w:pStyle w:val="SynopsisText"/>
            </w:pPr>
            <w:r>
              <w:t xml:space="preserve">Subgroup analyses were performed for the primary endpoints. Subgroup analyses were performed for </w:t>
            </w:r>
            <w:r w:rsidRPr="00010794">
              <w:t>subgroups defined by baseline values (below vs. at or above the median for the respective endpoint), age (below vs. at or above the median for ITT population), gender (Male vs. Female), race (White vs. Non-White), country (</w:t>
            </w:r>
            <w:r w:rsidR="009C5111">
              <w:t>United States of America [</w:t>
            </w:r>
            <w:r w:rsidRPr="00010794">
              <w:t>US</w:t>
            </w:r>
            <w:r w:rsidR="009C5111">
              <w:t>]</w:t>
            </w:r>
            <w:r w:rsidRPr="00010794">
              <w:t xml:space="preserve"> </w:t>
            </w:r>
            <w:r w:rsidR="00CA297E">
              <w:t xml:space="preserve">vs. </w:t>
            </w:r>
            <w:r w:rsidRPr="00010794">
              <w:t>non-US), and genetic abnormality subclass group (mitochondrial, nuclear</w:t>
            </w:r>
            <w:r>
              <w:t>). For the 6MWT, subgroups based on use of a walking aid device at Baseline (Yes vs. No) was also assessed.</w:t>
            </w:r>
          </w:p>
          <w:p w14:paraId="7FFEFAC6" w14:textId="1C51D856" w:rsidR="00010794" w:rsidRDefault="00010794" w:rsidP="00010794">
            <w:pPr>
              <w:pStyle w:val="SynopsisText"/>
            </w:pPr>
            <w:r w:rsidRPr="00010794">
              <w:t xml:space="preserve">Secondary efficacy and exploratory analyses were performed using similar MMRM models as described for the primary efficacy analyses. </w:t>
            </w:r>
            <w:r w:rsidR="00F15C88">
              <w:t>PP</w:t>
            </w:r>
            <w:r w:rsidRPr="00010794">
              <w:t xml:space="preserve"> Population analyses were also performed for secondary efficacy endpoints.</w:t>
            </w:r>
          </w:p>
          <w:p w14:paraId="5AA614A4" w14:textId="0F6821C0" w:rsidR="00010794" w:rsidRPr="00431711" w:rsidRDefault="00010794" w:rsidP="00010794">
            <w:pPr>
              <w:pStyle w:val="SynopsisText"/>
              <w:rPr>
                <w:u w:val="single"/>
              </w:rPr>
            </w:pPr>
            <w:r w:rsidRPr="00431711">
              <w:rPr>
                <w:u w:val="single"/>
              </w:rPr>
              <w:t>Safety</w:t>
            </w:r>
          </w:p>
          <w:p w14:paraId="45AFB3DE" w14:textId="77777777" w:rsidR="00540601" w:rsidRDefault="00540601" w:rsidP="00010794">
            <w:pPr>
              <w:pStyle w:val="SynopsisText"/>
            </w:pPr>
            <w:r>
              <w:t>Safety endpoints were the following:</w:t>
            </w:r>
          </w:p>
          <w:p w14:paraId="0AC41992" w14:textId="57F59453" w:rsidR="00540601" w:rsidRDefault="00540601" w:rsidP="00540601">
            <w:pPr>
              <w:pStyle w:val="SynopsisBulletList"/>
              <w:spacing w:after="0"/>
              <w:ind w:left="360"/>
            </w:pPr>
            <w:r>
              <w:t>AEs/</w:t>
            </w:r>
            <w:r w:rsidR="00D33E8C">
              <w:t>adverse device effects (</w:t>
            </w:r>
            <w:r>
              <w:t>ADEs</w:t>
            </w:r>
            <w:r w:rsidR="00D33E8C">
              <w:t>)</w:t>
            </w:r>
          </w:p>
          <w:p w14:paraId="20159C08" w14:textId="3B65AAAF" w:rsidR="00540601" w:rsidRDefault="00540601" w:rsidP="00540601">
            <w:pPr>
              <w:pStyle w:val="SynopsisBulletList"/>
              <w:spacing w:after="0"/>
              <w:ind w:left="360"/>
            </w:pPr>
            <w:r>
              <w:t xml:space="preserve">Vital </w:t>
            </w:r>
            <w:r w:rsidR="003D408D">
              <w:t>s</w:t>
            </w:r>
            <w:r>
              <w:t>igns</w:t>
            </w:r>
          </w:p>
          <w:p w14:paraId="780F95E7" w14:textId="25F5316E" w:rsidR="00540601" w:rsidRDefault="00540601" w:rsidP="00540601">
            <w:pPr>
              <w:pStyle w:val="SynopsisBulletList"/>
              <w:spacing w:after="0"/>
              <w:ind w:left="360"/>
            </w:pPr>
            <w:r>
              <w:t>Electrocardiograms</w:t>
            </w:r>
          </w:p>
          <w:p w14:paraId="08F6A533" w14:textId="67E0BD01" w:rsidR="00540601" w:rsidRDefault="00540601" w:rsidP="00540601">
            <w:pPr>
              <w:pStyle w:val="SynopsisBulletList"/>
              <w:spacing w:after="0"/>
              <w:ind w:left="360"/>
            </w:pPr>
            <w:r>
              <w:t>Clinical laboratory evaluations</w:t>
            </w:r>
          </w:p>
          <w:p w14:paraId="11DEA1A9" w14:textId="77469014" w:rsidR="00540601" w:rsidRDefault="00540601" w:rsidP="00540601">
            <w:pPr>
              <w:pStyle w:val="SynopsisBulletList"/>
              <w:spacing w:after="0"/>
              <w:ind w:left="360"/>
            </w:pPr>
            <w:r>
              <w:t>C-SSRS</w:t>
            </w:r>
          </w:p>
          <w:p w14:paraId="30A8EF02" w14:textId="2B4872F2" w:rsidR="00010794" w:rsidRDefault="00010794" w:rsidP="00540601">
            <w:pPr>
              <w:pStyle w:val="SynopsisText"/>
            </w:pPr>
            <w:r w:rsidRPr="00010794">
              <w:t>Safety analyses were performed using the Safety Population</w:t>
            </w:r>
            <w:r>
              <w:t xml:space="preserve">. </w:t>
            </w:r>
            <w:r w:rsidR="00AB4A90">
              <w:t xml:space="preserve">AEs/ADEs were coded </w:t>
            </w:r>
            <w:r w:rsidR="00AB4A90" w:rsidRPr="00010794">
              <w:t xml:space="preserve">to </w:t>
            </w:r>
            <w:r w:rsidR="003D408D">
              <w:t>S</w:t>
            </w:r>
            <w:r w:rsidR="00AB4A90" w:rsidRPr="00010794">
              <w:t xml:space="preserve">ystem </w:t>
            </w:r>
            <w:r w:rsidR="003D408D">
              <w:t>O</w:t>
            </w:r>
            <w:r w:rsidR="00AB4A90" w:rsidRPr="00010794">
              <w:t xml:space="preserve">rgan </w:t>
            </w:r>
            <w:r w:rsidR="003D408D">
              <w:t>C</w:t>
            </w:r>
            <w:r w:rsidR="00AB4A90" w:rsidRPr="00010794">
              <w:t xml:space="preserve">lass (SOC) and </w:t>
            </w:r>
            <w:r w:rsidR="003D408D">
              <w:t>P</w:t>
            </w:r>
            <w:r w:rsidR="00AB4A90" w:rsidRPr="00010794">
              <w:t xml:space="preserve">referred </w:t>
            </w:r>
            <w:r w:rsidR="003D408D">
              <w:t>T</w:t>
            </w:r>
            <w:r w:rsidR="00AB4A90" w:rsidRPr="00010794">
              <w:t xml:space="preserve">erm (PT) </w:t>
            </w:r>
            <w:r w:rsidR="00AB4A90">
              <w:t xml:space="preserve">using </w:t>
            </w:r>
            <w:r w:rsidR="00431711">
              <w:t>version 22.0</w:t>
            </w:r>
            <w:r w:rsidR="003D408D">
              <w:t xml:space="preserve"> (for Part 1) and 22.1 (for Part 1 and 2)</w:t>
            </w:r>
            <w:r w:rsidR="00431711">
              <w:t xml:space="preserve"> of the </w:t>
            </w:r>
            <w:r w:rsidR="00AB4A90" w:rsidRPr="00010794">
              <w:t xml:space="preserve">Medical Dictionary for Regulatory Activities </w:t>
            </w:r>
            <w:r w:rsidR="000C2E4B">
              <w:t xml:space="preserve">(MedDRA) </w:t>
            </w:r>
            <w:r w:rsidR="00AB4A90" w:rsidRPr="00010794">
              <w:t xml:space="preserve">coding dictionary </w:t>
            </w:r>
            <w:r w:rsidR="00AB4A90">
              <w:t xml:space="preserve">and </w:t>
            </w:r>
            <w:r w:rsidR="00F15C88">
              <w:t>medications</w:t>
            </w:r>
            <w:r w:rsidR="00F15C88">
              <w:rPr>
                <w:rFonts w:eastAsia="Calibri"/>
                <w:szCs w:val="22"/>
                <w:lang w:val="en-CA"/>
              </w:rPr>
              <w:t xml:space="preserve"> </w:t>
            </w:r>
            <w:r w:rsidR="00AB4A90">
              <w:rPr>
                <w:rFonts w:eastAsia="Calibri"/>
                <w:szCs w:val="22"/>
                <w:lang w:val="en-CA"/>
              </w:rPr>
              <w:t xml:space="preserve">were coded using Anatomical Therapeutic Chemical 4 classification codes and preferred drug name via </w:t>
            </w:r>
            <w:r w:rsidR="00431711">
              <w:rPr>
                <w:rFonts w:eastAsia="Calibri"/>
                <w:szCs w:val="22"/>
                <w:lang w:val="en-CA"/>
              </w:rPr>
              <w:t xml:space="preserve">version </w:t>
            </w:r>
            <w:r w:rsidR="000673D1" w:rsidRPr="009C5111">
              <w:rPr>
                <w:rFonts w:eastAsia="Calibri"/>
                <w:szCs w:val="22"/>
                <w:lang w:val="en-CA"/>
              </w:rPr>
              <w:t>1Q2019</w:t>
            </w:r>
            <w:r w:rsidR="000673D1">
              <w:rPr>
                <w:rFonts w:eastAsia="Calibri"/>
                <w:szCs w:val="22"/>
                <w:lang w:val="en-CA"/>
              </w:rPr>
              <w:t xml:space="preserve"> </w:t>
            </w:r>
            <w:r w:rsidR="003D408D">
              <w:rPr>
                <w:rFonts w:eastAsia="Calibri"/>
                <w:szCs w:val="22"/>
                <w:lang w:val="en-CA"/>
              </w:rPr>
              <w:t xml:space="preserve">(for Part 1) and </w:t>
            </w:r>
            <w:r w:rsidR="008D310F">
              <w:rPr>
                <w:rFonts w:eastAsia="Calibri"/>
                <w:szCs w:val="22"/>
                <w:lang w:val="en-CA"/>
              </w:rPr>
              <w:t xml:space="preserve">3Q2019 C3 </w:t>
            </w:r>
            <w:r w:rsidR="003D408D">
              <w:rPr>
                <w:rFonts w:eastAsia="Calibri"/>
                <w:szCs w:val="22"/>
                <w:lang w:val="en-CA"/>
              </w:rPr>
              <w:t xml:space="preserve">(for Part 1 and 2) </w:t>
            </w:r>
            <w:r w:rsidR="00431711">
              <w:rPr>
                <w:rFonts w:eastAsia="Calibri"/>
                <w:szCs w:val="22"/>
                <w:lang w:val="en-CA"/>
              </w:rPr>
              <w:t xml:space="preserve">of </w:t>
            </w:r>
            <w:r w:rsidR="00AB4A90">
              <w:rPr>
                <w:rFonts w:eastAsia="Calibri"/>
                <w:szCs w:val="22"/>
                <w:lang w:val="en-CA"/>
              </w:rPr>
              <w:t>the World Health Organization Drug Dictionary (WHO-DD).</w:t>
            </w:r>
          </w:p>
          <w:p w14:paraId="40E5A824" w14:textId="59F6DF9F" w:rsidR="00010794" w:rsidRDefault="00010794" w:rsidP="00010794">
            <w:pPr>
              <w:pStyle w:val="SynopsisText"/>
              <w:rPr>
                <w:rFonts w:eastAsia="Calibri"/>
                <w:lang w:val="en-CA"/>
              </w:rPr>
            </w:pPr>
            <w:r w:rsidRPr="00010794">
              <w:t xml:space="preserve">All reported AEs/ADEs were listed, but only treatment-emergent AEs (TEAEs)/treatment-emergent adverse device effects (TEADEs) were summarized. All listings of AEs/ADEs included a field to indicate whether the event was related to the use of the </w:t>
            </w:r>
            <w:proofErr w:type="spellStart"/>
            <w:r w:rsidRPr="00010794">
              <w:t>elamipretide</w:t>
            </w:r>
            <w:proofErr w:type="spellEnd"/>
            <w:r w:rsidRPr="00010794">
              <w:t xml:space="preserve"> delivery system.</w:t>
            </w:r>
            <w:r>
              <w:t xml:space="preserve"> </w:t>
            </w:r>
            <w:r>
              <w:rPr>
                <w:rFonts w:eastAsia="Calibri"/>
                <w:lang w:val="en-CA"/>
              </w:rPr>
              <w:t xml:space="preserve">If a subject had the same AE/ADE on multiple </w:t>
            </w:r>
            <w:r>
              <w:rPr>
                <w:rFonts w:eastAsia="Calibri"/>
                <w:lang w:val="en-CA"/>
              </w:rPr>
              <w:lastRenderedPageBreak/>
              <w:t>occasions, the highest severity (severe &gt; moderate &gt; mild) or IMP relationship (probable &gt; possibly related &gt; unlikely related &gt; unrelated) recorded for the event was presented.</w:t>
            </w:r>
          </w:p>
          <w:p w14:paraId="1A73A8DB" w14:textId="586E671E" w:rsidR="00010794" w:rsidRDefault="00010794" w:rsidP="00010794">
            <w:pPr>
              <w:pStyle w:val="SynopsisText"/>
              <w:rPr>
                <w:rFonts w:eastAsia="Calibri"/>
                <w:szCs w:val="22"/>
                <w:lang w:val="en-CA"/>
              </w:rPr>
            </w:pPr>
            <w:r>
              <w:rPr>
                <w:rFonts w:eastAsia="Calibri"/>
                <w:lang w:val="en-CA"/>
              </w:rPr>
              <w:t xml:space="preserve">Laboratory parameters, vital signs, and ECG data </w:t>
            </w:r>
            <w:r>
              <w:rPr>
                <w:rFonts w:eastAsia="Calibri"/>
                <w:szCs w:val="22"/>
                <w:lang w:val="en-CA"/>
              </w:rPr>
              <w:t>including change from baseline values were summarized by treatment group and visit using descriptive statistics. Shifts in laboratory parameters between baseline to post-baseline were presented</w:t>
            </w:r>
            <w:r w:rsidR="00AB4A90">
              <w:rPr>
                <w:rFonts w:eastAsia="Calibri"/>
                <w:szCs w:val="22"/>
                <w:lang w:val="en-CA"/>
              </w:rPr>
              <w:t>. Pregnancy and physical examination data were listed. S</w:t>
            </w:r>
            <w:r w:rsidR="00AB4A90" w:rsidRPr="00AB4A90">
              <w:rPr>
                <w:rFonts w:eastAsia="Calibri"/>
                <w:szCs w:val="22"/>
                <w:lang w:val="en-CA"/>
              </w:rPr>
              <w:t>uicidal ideation, suicidal behavior, and self-injurious behavior without suicidal intent for screening/baseline and post-screening were presented</w:t>
            </w:r>
            <w:r w:rsidR="00AB4A90">
              <w:rPr>
                <w:rFonts w:eastAsia="Calibri"/>
                <w:szCs w:val="22"/>
                <w:lang w:val="en-CA"/>
              </w:rPr>
              <w:t>.</w:t>
            </w:r>
          </w:p>
          <w:p w14:paraId="27832F6C" w14:textId="77777777" w:rsidR="00AB4A90" w:rsidRDefault="00AB4A90" w:rsidP="00AB4A90">
            <w:pPr>
              <w:pStyle w:val="SynopsisText"/>
              <w:rPr>
                <w:rFonts w:eastAsia="Calibri"/>
                <w:szCs w:val="22"/>
                <w:lang w:val="en-CA"/>
              </w:rPr>
            </w:pPr>
            <w:r>
              <w:rPr>
                <w:rFonts w:eastAsia="Calibri"/>
                <w:szCs w:val="22"/>
                <w:lang w:val="en-CA"/>
              </w:rPr>
              <w:t>All prior and concomitant medication data were presented in individual subject data listings and all concomitant medications were summarized by treatment group. If a subject has taken a concomitant medication more than once, the subject was counted only once for the medication.</w:t>
            </w:r>
          </w:p>
          <w:p w14:paraId="712A6AE7" w14:textId="77777777" w:rsidR="00431711" w:rsidRPr="00431711" w:rsidRDefault="00431711" w:rsidP="00AB4A90">
            <w:pPr>
              <w:pStyle w:val="SynopsisText"/>
              <w:rPr>
                <w:rFonts w:eastAsia="Calibri"/>
                <w:szCs w:val="22"/>
                <w:u w:val="single"/>
                <w:lang w:val="en-CA"/>
              </w:rPr>
            </w:pPr>
            <w:r w:rsidRPr="00431711">
              <w:rPr>
                <w:rFonts w:eastAsia="Calibri"/>
                <w:szCs w:val="22"/>
                <w:u w:val="single"/>
                <w:lang w:val="en-CA"/>
              </w:rPr>
              <w:t>Pharmacokinetic Analysis</w:t>
            </w:r>
          </w:p>
          <w:p w14:paraId="77070B14" w14:textId="77777777" w:rsidR="00D16C3A" w:rsidRDefault="00D16C3A" w:rsidP="00D16C3A">
            <w:pPr>
              <w:pStyle w:val="SynopsisText"/>
            </w:pPr>
            <w:r>
              <w:t>PK endpoints were the following:</w:t>
            </w:r>
          </w:p>
          <w:p w14:paraId="6440E836" w14:textId="77777777" w:rsidR="00D16C3A" w:rsidRDefault="00D16C3A" w:rsidP="00D16C3A">
            <w:pPr>
              <w:pStyle w:val="SynopsisBulletList"/>
              <w:spacing w:after="0"/>
              <w:ind w:left="360"/>
            </w:pPr>
            <w:r w:rsidRPr="00540601">
              <w:t>PK parameters</w:t>
            </w:r>
          </w:p>
          <w:p w14:paraId="7602AE91" w14:textId="3900BEB1" w:rsidR="00431711" w:rsidRDefault="00431711" w:rsidP="00431711">
            <w:pPr>
              <w:pStyle w:val="SynopsisText"/>
              <w:rPr>
                <w:rFonts w:eastAsia="Calibri"/>
                <w:lang w:val="en-CA"/>
              </w:rPr>
            </w:pPr>
            <w:r>
              <w:rPr>
                <w:rFonts w:eastAsia="Calibri"/>
                <w:lang w:val="en-CA"/>
              </w:rPr>
              <w:t>For PK analyse</w:t>
            </w:r>
            <w:r w:rsidR="00ED7433">
              <w:rPr>
                <w:rFonts w:eastAsia="Calibri"/>
                <w:lang w:val="en-CA"/>
              </w:rPr>
              <w:t>s</w:t>
            </w:r>
            <w:r>
              <w:rPr>
                <w:rFonts w:eastAsia="Calibri"/>
                <w:lang w:val="en-CA"/>
              </w:rPr>
              <w:t xml:space="preserve">, all model assumptions, validation, and data analysis were detailed in the PK </w:t>
            </w:r>
            <w:r w:rsidR="00107DED">
              <w:rPr>
                <w:rFonts w:eastAsia="Calibri"/>
                <w:lang w:val="en-CA"/>
              </w:rPr>
              <w:t>Report</w:t>
            </w:r>
            <w:r>
              <w:rPr>
                <w:rFonts w:eastAsia="Calibri"/>
                <w:lang w:val="en-CA"/>
              </w:rPr>
              <w:t>.</w:t>
            </w:r>
            <w:r w:rsidR="00D16C3A">
              <w:rPr>
                <w:rFonts w:eastAsia="Calibri"/>
                <w:lang w:val="en-CA"/>
              </w:rPr>
              <w:t xml:space="preserve"> </w:t>
            </w:r>
          </w:p>
          <w:p w14:paraId="717F3F44" w14:textId="77777777" w:rsidR="00D16C3A" w:rsidRDefault="00D16C3A" w:rsidP="00D16C3A">
            <w:pPr>
              <w:pStyle w:val="SynopsisText"/>
            </w:pPr>
            <w:r w:rsidRPr="00540601">
              <w:t xml:space="preserve">Collected PK data </w:t>
            </w:r>
            <w:r>
              <w:t>were</w:t>
            </w:r>
            <w:r w:rsidRPr="00540601">
              <w:t xml:space="preserve"> listed.</w:t>
            </w:r>
          </w:p>
          <w:p w14:paraId="26ACD18F" w14:textId="2FBCE8EF" w:rsidR="00431711" w:rsidRPr="00010794" w:rsidRDefault="00F54998" w:rsidP="0085428B">
            <w:pPr>
              <w:pStyle w:val="SynopsisText"/>
            </w:pPr>
            <w:r>
              <w:t xml:space="preserve">Analyses on population PK and exposure-response were performed. </w:t>
            </w:r>
            <w:r w:rsidR="0085428B" w:rsidRPr="00431711">
              <w:t>P</w:t>
            </w:r>
            <w:r w:rsidR="0085428B">
              <w:t>K</w:t>
            </w:r>
            <w:r w:rsidR="0085428B" w:rsidRPr="00431711">
              <w:t xml:space="preserve"> </w:t>
            </w:r>
            <w:r w:rsidR="00431711" w:rsidRPr="00431711">
              <w:t xml:space="preserve">modelling </w:t>
            </w:r>
            <w:r>
              <w:t xml:space="preserve">for </w:t>
            </w:r>
            <w:proofErr w:type="spellStart"/>
            <w:r>
              <w:t>elamipretide</w:t>
            </w:r>
            <w:proofErr w:type="spellEnd"/>
            <w:r>
              <w:t xml:space="preserve"> and its metabolites, M1 and M2, were </w:t>
            </w:r>
            <w:r w:rsidR="00431711" w:rsidRPr="00431711">
              <w:t>performed using NONMEM computer software</w:t>
            </w:r>
            <w:r w:rsidR="00431711">
              <w:t xml:space="preserve">. </w:t>
            </w:r>
            <w:proofErr w:type="spellStart"/>
            <w:r w:rsidR="00431711" w:rsidRPr="00431711">
              <w:t>Elamipretide</w:t>
            </w:r>
            <w:proofErr w:type="spellEnd"/>
            <w:r w:rsidR="00431711" w:rsidRPr="00431711">
              <w:t xml:space="preserve"> plasma concentration data collected on repeated occasions in all subjects (Week 4, Week 12 and Week 24) was used in a non-linear mixed effects model.</w:t>
            </w:r>
            <w:r w:rsidR="00431711">
              <w:t xml:space="preserve"> </w:t>
            </w:r>
            <w:r>
              <w:t>Estimates were obtained for population mean parameters (typical values), inter-individual variability, residual variability and, if possible, standard errors of the parameter. C</w:t>
            </w:r>
            <w:r w:rsidR="00431711" w:rsidRPr="00431711">
              <w:t xml:space="preserve">ovariates included age, </w:t>
            </w:r>
            <w:r>
              <w:t xml:space="preserve">race, ethnicity, genotype, weight, height, lean body mass, body mass index, alkaline phosphatase, alanine aminotransferase, aspartate aminotransferase, total bilirubin, serum creatinine, and </w:t>
            </w:r>
            <w:r w:rsidR="00431711" w:rsidRPr="00431711">
              <w:t>renal function (as described by</w:t>
            </w:r>
            <w:r w:rsidR="00EF6F2F">
              <w:t xml:space="preserve"> estimated glomerular filtration rate</w:t>
            </w:r>
            <w:r w:rsidR="00431711" w:rsidRPr="00431711">
              <w:t xml:space="preserve"> </w:t>
            </w:r>
            <w:r w:rsidR="00EF6F2F">
              <w:t>[</w:t>
            </w:r>
            <w:r w:rsidR="00431711" w:rsidRPr="00431711">
              <w:t>eGFR</w:t>
            </w:r>
            <w:r w:rsidR="00EF6F2F">
              <w:t>]</w:t>
            </w:r>
            <w:r w:rsidR="00431711" w:rsidRPr="00431711">
              <w:t>)</w:t>
            </w:r>
            <w:r w:rsidR="00431711">
              <w:t>.</w:t>
            </w:r>
            <w:r w:rsidR="000C597F">
              <w:t xml:space="preserve"> The exposure-response analysis examined response based on the 6MWT as a function of steady-state exposure to </w:t>
            </w:r>
            <w:proofErr w:type="spellStart"/>
            <w:r w:rsidR="000C597F">
              <w:t>elamipretide</w:t>
            </w:r>
            <w:proofErr w:type="spellEnd"/>
            <w:r w:rsidR="000C597F">
              <w:t xml:space="preserve"> and its metabolites.</w:t>
            </w:r>
            <w:r w:rsidR="00D16C3A">
              <w:t xml:space="preserve"> </w:t>
            </w:r>
          </w:p>
        </w:tc>
      </w:tr>
      <w:tr w:rsidR="004D5EEF" w:rsidRPr="004A5AF1" w14:paraId="417D6333" w14:textId="77777777" w:rsidTr="00551B95">
        <w:trPr>
          <w:trHeight w:val="288"/>
        </w:trPr>
        <w:tc>
          <w:tcPr>
            <w:tcW w:w="9337" w:type="dxa"/>
            <w:gridSpan w:val="4"/>
            <w:tcBorders>
              <w:top w:val="single" w:sz="4" w:space="0" w:color="auto"/>
              <w:left w:val="single" w:sz="4" w:space="0" w:color="auto"/>
              <w:bottom w:val="nil"/>
              <w:right w:val="single" w:sz="4" w:space="0" w:color="auto"/>
            </w:tcBorders>
          </w:tcPr>
          <w:p w14:paraId="6B3533F5" w14:textId="77777777" w:rsidR="004D5EEF" w:rsidRPr="004A5AF1" w:rsidRDefault="004D5EEF" w:rsidP="009E0EE8">
            <w:pPr>
              <w:pStyle w:val="SynopsisHeading"/>
            </w:pPr>
            <w:r>
              <w:lastRenderedPageBreak/>
              <w:t>SUMMARY OF RESULTS</w:t>
            </w:r>
          </w:p>
          <w:p w14:paraId="73172195" w14:textId="113E106B" w:rsidR="00BE5262" w:rsidRDefault="004D5EEF" w:rsidP="00D33D77">
            <w:pPr>
              <w:pStyle w:val="SynopsisHeading"/>
              <w:keepNext/>
              <w:keepLines/>
              <w:spacing w:after="0"/>
            </w:pPr>
            <w:r w:rsidRPr="004A5AF1">
              <w:t>Efficacy:</w:t>
            </w:r>
          </w:p>
          <w:p w14:paraId="1EC78831" w14:textId="6CA04F22" w:rsidR="000C597F" w:rsidRDefault="000C597F" w:rsidP="000C597F">
            <w:pPr>
              <w:pStyle w:val="SynopsisBulletList"/>
              <w:spacing w:after="60"/>
              <w:ind w:left="360"/>
              <w:contextualSpacing/>
            </w:pPr>
            <w:r>
              <w:t xml:space="preserve">Efficacy was assessed only for Part 1 of the </w:t>
            </w:r>
            <w:r w:rsidR="007B4A32">
              <w:t>trial</w:t>
            </w:r>
            <w:r>
              <w:t>.</w:t>
            </w:r>
          </w:p>
          <w:p w14:paraId="67C072C0" w14:textId="6E042790" w:rsidR="000C597F" w:rsidRDefault="000C597F" w:rsidP="000C597F">
            <w:pPr>
              <w:pStyle w:val="SynopsisBulletList"/>
              <w:spacing w:after="60"/>
              <w:ind w:left="360"/>
              <w:contextualSpacing/>
            </w:pPr>
            <w:r>
              <w:t xml:space="preserve">At Week 24, subjects randomized to </w:t>
            </w:r>
            <w:proofErr w:type="spellStart"/>
            <w:r>
              <w:t>elamipretide</w:t>
            </w:r>
            <w:proofErr w:type="spellEnd"/>
            <w:r>
              <w:t xml:space="preserve"> and placebo walked a mean distance of 15.33 m and 17.386 m f</w:t>
            </w:r>
            <w:r w:rsidR="000B7DE6">
              <w:t>a</w:t>
            </w:r>
            <w:r>
              <w:t>rther during the 6MWT compared to baseline, respectively, with an adjusted mean difference between treatments of -3.185 m (95% CI: -18.693, 12.322); the difference was not significant. Similar results were noted in the sensitivity analysis (which used multiple imputation) and with the PP Population.</w:t>
            </w:r>
          </w:p>
          <w:p w14:paraId="5CFF1D5E" w14:textId="36890F5F" w:rsidR="000C597F" w:rsidRDefault="000C597F" w:rsidP="000C597F">
            <w:pPr>
              <w:pStyle w:val="SynopsisBulletList"/>
              <w:spacing w:after="60"/>
              <w:ind w:left="360"/>
              <w:contextualSpacing/>
            </w:pPr>
            <w:r>
              <w:t xml:space="preserve">At Week 24, the mean Total Fatigue Score </w:t>
            </w:r>
            <w:r w:rsidR="0066034C">
              <w:t xml:space="preserve">(Q1 to Q4) </w:t>
            </w:r>
            <w:r>
              <w:t xml:space="preserve">was decreased from baseline for both treatment groups, with an adjusted mean difference of </w:t>
            </w:r>
            <w:r w:rsidR="00B97AD1">
              <w:t>-</w:t>
            </w:r>
            <w:r>
              <w:t>0.07 (95% CI: -0.69, 0.54); the difference was not significant. Similar results were noted in the sensitivity analysis (which used multiple imputation) and with the PP Population.</w:t>
            </w:r>
          </w:p>
          <w:p w14:paraId="42169563" w14:textId="5D08CC74" w:rsidR="000C597F" w:rsidRDefault="000C597F" w:rsidP="000C597F">
            <w:pPr>
              <w:pStyle w:val="SynopsisBulletList"/>
              <w:spacing w:after="60"/>
              <w:ind w:left="360"/>
              <w:contextualSpacing/>
            </w:pPr>
            <w:r>
              <w:t xml:space="preserve">No hypothesis testing was performed on the secondary outcomes as the primary family endpoints </w:t>
            </w:r>
            <w:r w:rsidR="006B7413">
              <w:t xml:space="preserve">were </w:t>
            </w:r>
            <w:r>
              <w:t>not found significant.</w:t>
            </w:r>
          </w:p>
          <w:p w14:paraId="776DC290" w14:textId="0713E091" w:rsidR="000C597F" w:rsidRDefault="000C597F" w:rsidP="00411A80">
            <w:pPr>
              <w:pStyle w:val="SynopsisBulletList"/>
              <w:spacing w:after="0"/>
              <w:ind w:left="360"/>
            </w:pPr>
            <w:r>
              <w:t xml:space="preserve">At Week 24, </w:t>
            </w:r>
            <w:r w:rsidR="0085428B" w:rsidRPr="0085428B">
              <w:t>similar scores and/or changes from baseline were typically observed between treatment groups for the secondary efficacy evaluations including those for Fatigue During Activities Score from the PMMSA, the Most Bothersome Symptom score from the PMMSA, the Neuro-QoL Fatigue Short Form score, and the Neuro QoL Fatigue Activities of Daily Living score.</w:t>
            </w:r>
          </w:p>
          <w:p w14:paraId="48CE1914" w14:textId="57E094FE" w:rsidR="000C597F" w:rsidRDefault="000C597F" w:rsidP="000C597F">
            <w:pPr>
              <w:pStyle w:val="SynopsisBulletList"/>
              <w:spacing w:after="60"/>
              <w:ind w:left="360"/>
              <w:contextualSpacing/>
            </w:pPr>
            <w:r>
              <w:t xml:space="preserve">At Week 24, </w:t>
            </w:r>
            <w:r w:rsidR="0085428B">
              <w:t>similar scores and/or changes from baseline were typically observed between treatment groups for the exploratory efficacy evaluations of the 3-day post visit PMMSA, individual symptom scores from the PMMSA, individual item scores on the Neuro-QoL Fatigue, PGI scores, CGI scores, or the MDRI. Similar results were noted with the PP Population.</w:t>
            </w:r>
          </w:p>
          <w:p w14:paraId="25A4FD64" w14:textId="77777777" w:rsidR="000C597F" w:rsidRDefault="000C597F" w:rsidP="000C597F">
            <w:pPr>
              <w:pStyle w:val="SynopsisBulletList"/>
              <w:spacing w:after="60"/>
              <w:ind w:left="360"/>
              <w:contextualSpacing/>
            </w:pPr>
            <w:r>
              <w:t xml:space="preserve">A significantly greater decrease from baseline in the exploratory efficacy evaluation of EQ-5D-5L raw score for anxiety/depression was noted at Week 24 for placebo compared to </w:t>
            </w:r>
            <w:proofErr w:type="spellStart"/>
            <w:r>
              <w:t>elamipretide</w:t>
            </w:r>
            <w:proofErr w:type="spellEnd"/>
            <w:r>
              <w:t xml:space="preserve"> (LSM difference 0.3 [95% CI: 0.1, 0.5]; p = 0.0025), but no other significant differences between treatments were observed. Similar results were noted with the PP Population.</w:t>
            </w:r>
          </w:p>
          <w:p w14:paraId="4599B919" w14:textId="77777777" w:rsidR="000C597F" w:rsidRDefault="000C597F" w:rsidP="000C597F">
            <w:pPr>
              <w:pStyle w:val="SynopsisBulletList"/>
              <w:spacing w:after="60"/>
              <w:ind w:left="360"/>
              <w:contextualSpacing/>
            </w:pPr>
            <w:r>
              <w:t>No significant treatment differences were noted in subgroup analyses in the 6MWT for distance walked, age, gender, race, or use of a walking device or in subgroup analyses in the PMMSA for baseline total fatigue score, genetic abnormality subclass, age, gender, race, or country.</w:t>
            </w:r>
          </w:p>
          <w:p w14:paraId="355ED0C5" w14:textId="359856C8" w:rsidR="000C597F" w:rsidRDefault="000C597F" w:rsidP="000C597F">
            <w:pPr>
              <w:pStyle w:val="SynopsisBulletList"/>
              <w:spacing w:after="60"/>
              <w:ind w:left="360"/>
              <w:contextualSpacing/>
            </w:pPr>
            <w:r>
              <w:lastRenderedPageBreak/>
              <w:t xml:space="preserve">For the subgroup of subjects with a </w:t>
            </w:r>
            <w:proofErr w:type="spellStart"/>
            <w:r>
              <w:t>nDNA</w:t>
            </w:r>
            <w:proofErr w:type="spellEnd"/>
            <w:r>
              <w:t xml:space="preserve"> mutation, those randomized to </w:t>
            </w:r>
            <w:proofErr w:type="spellStart"/>
            <w:r>
              <w:t>elamipretide</w:t>
            </w:r>
            <w:proofErr w:type="spellEnd"/>
            <w:r>
              <w:t xml:space="preserve"> walked f</w:t>
            </w:r>
            <w:r w:rsidR="000B7DE6">
              <w:t>a</w:t>
            </w:r>
            <w:r>
              <w:t xml:space="preserve">rther than those randomized to placebo at Week 24 for both the ITT Population (adjusted mean difference of 16.360 m; 95% CI: -18.498, 51.218; p = 0.3507) and the PP Population (adjusted mean difference of 24.113 m; 95% CI: -0.088, 48.314; p = 0.0508). Significant differences favoring </w:t>
            </w:r>
            <w:proofErr w:type="spellStart"/>
            <w:r>
              <w:t>elamipretide</w:t>
            </w:r>
            <w:proofErr w:type="spellEnd"/>
            <w:r>
              <w:t xml:space="preserve"> were noted at Week 4 for the ITT Population (adjusted mean difference of 22.</w:t>
            </w:r>
            <w:r w:rsidR="0066034C">
              <w:t>387</w:t>
            </w:r>
            <w:r>
              <w:t xml:space="preserve"> m; p = 0.0419), and for overall during Part 1 for the PP Population (adjusted mean difference of 22.509 m; p = 0.0356). No significant treatment differences were noted with the </w:t>
            </w:r>
            <w:proofErr w:type="spellStart"/>
            <w:r>
              <w:t>mtDNA</w:t>
            </w:r>
            <w:proofErr w:type="spellEnd"/>
            <w:r>
              <w:t xml:space="preserve"> mutation subgroup.</w:t>
            </w:r>
          </w:p>
          <w:p w14:paraId="753E63EB" w14:textId="30460BED" w:rsidR="0085428B" w:rsidRDefault="0085428B" w:rsidP="00A20AD6">
            <w:pPr>
              <w:pStyle w:val="SynopsisBulletList"/>
              <w:spacing w:after="60"/>
              <w:ind w:left="360"/>
              <w:contextualSpacing/>
            </w:pPr>
            <w:r>
              <w:t xml:space="preserve">In the exposure-response analysis, subjects with </w:t>
            </w:r>
            <w:r w:rsidR="003B2F09">
              <w:t xml:space="preserve">an </w:t>
            </w:r>
            <w:proofErr w:type="spellStart"/>
            <w:r>
              <w:t>nDNA</w:t>
            </w:r>
            <w:proofErr w:type="spellEnd"/>
            <w:r>
              <w:t xml:space="preserve"> mutation had an increase in the change and fractional change at Week 24 compared to the Day 1 (i.e., baseline) value for the 6MWT as a function of the </w:t>
            </w:r>
            <w:proofErr w:type="spellStart"/>
            <w:r>
              <w:t>elamipretide</w:t>
            </w:r>
            <w:proofErr w:type="spellEnd"/>
            <w:r>
              <w:t xml:space="preserve"> steady state area under </w:t>
            </w:r>
            <w:r w:rsidR="00EF46FD">
              <w:t>the curve</w:t>
            </w:r>
            <w:r w:rsidR="00F23404">
              <w:t xml:space="preserve"> (p = 0.0262 and p = 0.0345, respectively)</w:t>
            </w:r>
            <w:r>
              <w:t>.</w:t>
            </w:r>
          </w:p>
          <w:p w14:paraId="59703A67" w14:textId="64675F02" w:rsidR="00530EF4" w:rsidRPr="00530EF4" w:rsidRDefault="00146625" w:rsidP="00530EF4">
            <w:pPr>
              <w:pStyle w:val="SynopsisBulletList"/>
              <w:ind w:left="360"/>
              <w:rPr>
                <w:i/>
              </w:rPr>
            </w:pPr>
            <w:r>
              <w:t xml:space="preserve">Population pharmacokinetic models were fit successfully for </w:t>
            </w:r>
            <w:proofErr w:type="spellStart"/>
            <w:r>
              <w:t>elamipretide</w:t>
            </w:r>
            <w:proofErr w:type="spellEnd"/>
            <w:r>
              <w:t xml:space="preserve"> and its two metabolites, M1 and M2. For </w:t>
            </w:r>
            <w:proofErr w:type="spellStart"/>
            <w:r>
              <w:t>elamipretide</w:t>
            </w:r>
            <w:proofErr w:type="spellEnd"/>
            <w:r>
              <w:t>, no covariates influenced the systemic or absorption parameters. For both M1 and M2, apparent clearance decreased with age and increased with renal function and no other covariates influenced the systemic parameters.</w:t>
            </w:r>
          </w:p>
        </w:tc>
      </w:tr>
      <w:tr w:rsidR="0060292B" w:rsidRPr="004A5AF1" w14:paraId="39EAC963" w14:textId="77777777" w:rsidTr="00551B95">
        <w:tc>
          <w:tcPr>
            <w:tcW w:w="9337" w:type="dxa"/>
            <w:gridSpan w:val="4"/>
            <w:tcBorders>
              <w:top w:val="nil"/>
              <w:left w:val="single" w:sz="4" w:space="0" w:color="auto"/>
              <w:bottom w:val="single" w:sz="4" w:space="0" w:color="auto"/>
              <w:right w:val="single" w:sz="4" w:space="0" w:color="auto"/>
            </w:tcBorders>
          </w:tcPr>
          <w:p w14:paraId="025376F2" w14:textId="77777777" w:rsidR="00BE5262" w:rsidRDefault="0060292B" w:rsidP="009A4228">
            <w:pPr>
              <w:pStyle w:val="SynopsisHeading"/>
              <w:spacing w:before="0" w:after="0"/>
              <w:contextualSpacing/>
            </w:pPr>
            <w:r w:rsidRPr="004A5AF1">
              <w:lastRenderedPageBreak/>
              <w:t>Safety:</w:t>
            </w:r>
          </w:p>
          <w:p w14:paraId="42BCFFDE" w14:textId="7485407D" w:rsidR="009A4228" w:rsidRPr="006362A5" w:rsidRDefault="009A4228" w:rsidP="009A4228">
            <w:pPr>
              <w:pStyle w:val="SynopsisBulletList"/>
              <w:numPr>
                <w:ilvl w:val="0"/>
                <w:numId w:val="0"/>
              </w:numPr>
              <w:spacing w:before="60" w:after="60"/>
              <w:rPr>
                <w:u w:val="single"/>
              </w:rPr>
            </w:pPr>
            <w:r w:rsidRPr="006362A5">
              <w:rPr>
                <w:u w:val="single"/>
              </w:rPr>
              <w:t>Part 1</w:t>
            </w:r>
          </w:p>
          <w:p w14:paraId="6CB594C3" w14:textId="0A4451B3" w:rsidR="006362A5" w:rsidRDefault="006362A5" w:rsidP="006362A5">
            <w:pPr>
              <w:pStyle w:val="SynopsisBulletList"/>
              <w:spacing w:after="60"/>
              <w:ind w:left="360"/>
              <w:contextualSpacing/>
            </w:pPr>
            <w:r>
              <w:t xml:space="preserve">A higher proportion of subjects randomized to </w:t>
            </w:r>
            <w:proofErr w:type="spellStart"/>
            <w:r>
              <w:t>elamipretide</w:t>
            </w:r>
            <w:proofErr w:type="spellEnd"/>
            <w:r>
              <w:t xml:space="preserve"> had at least one TEAE (107 [98.2%] subjects) compared to those randomized to placebo (8</w:t>
            </w:r>
            <w:r w:rsidR="00CC52E8">
              <w:t>3</w:t>
            </w:r>
            <w:r>
              <w:t xml:space="preserve"> [76.1%] subjects). The majority of TEAEs were mild or moderate in severity.</w:t>
            </w:r>
          </w:p>
          <w:p w14:paraId="0D18FD92" w14:textId="77777777" w:rsidR="006362A5" w:rsidRDefault="006362A5" w:rsidP="006362A5">
            <w:pPr>
              <w:pStyle w:val="SynopsisBulletList"/>
              <w:spacing w:after="60"/>
              <w:ind w:left="360"/>
              <w:contextualSpacing/>
            </w:pPr>
            <w:r>
              <w:t xml:space="preserve">For </w:t>
            </w:r>
            <w:proofErr w:type="spellStart"/>
            <w:r>
              <w:t>elamipretide</w:t>
            </w:r>
            <w:proofErr w:type="spellEnd"/>
            <w:r>
              <w:t>, the most common TEAEs were injection site erythema (86.2%) and injection site pruritus (75.2%), and for placebo, the most common TEAEs were injection site erythema (28.4%) and injection site pain (18.3%).</w:t>
            </w:r>
          </w:p>
          <w:p w14:paraId="12C47FEA" w14:textId="77777777" w:rsidR="006362A5" w:rsidRDefault="006362A5" w:rsidP="006362A5">
            <w:pPr>
              <w:pStyle w:val="SynopsisBulletList"/>
              <w:spacing w:after="60"/>
              <w:ind w:left="360"/>
              <w:contextualSpacing/>
            </w:pPr>
            <w:r>
              <w:t xml:space="preserve">The majority of subjects randomized to </w:t>
            </w:r>
            <w:proofErr w:type="spellStart"/>
            <w:r>
              <w:t>elamipretide</w:t>
            </w:r>
            <w:proofErr w:type="spellEnd"/>
            <w:r>
              <w:t xml:space="preserve"> had a related TEAEs (106 [97.2%] subjects) while approximately half of the placebo subjects had a related TEAE (56 [51.4%] subjects). </w:t>
            </w:r>
          </w:p>
          <w:p w14:paraId="176BFE7D" w14:textId="77777777" w:rsidR="006362A5" w:rsidRDefault="006362A5" w:rsidP="006362A5">
            <w:pPr>
              <w:pStyle w:val="SynopsisBulletList"/>
              <w:spacing w:after="60"/>
              <w:ind w:left="360"/>
              <w:contextualSpacing/>
            </w:pPr>
            <w:r>
              <w:t xml:space="preserve">A higher proportion of subjects randomized to </w:t>
            </w:r>
            <w:proofErr w:type="spellStart"/>
            <w:r>
              <w:t>elamipretide</w:t>
            </w:r>
            <w:proofErr w:type="spellEnd"/>
            <w:r>
              <w:t xml:space="preserve"> had TEAEs leading to IMP discontinuation or interruption (7.3% and 11.9%, respectively) compared to those randomized to placebo (1.8% and 4.6%, respectively).</w:t>
            </w:r>
          </w:p>
          <w:p w14:paraId="250ECA05" w14:textId="77777777" w:rsidR="006362A5" w:rsidRDefault="006362A5" w:rsidP="006362A5">
            <w:pPr>
              <w:pStyle w:val="SynopsisBulletList"/>
              <w:spacing w:after="60"/>
              <w:ind w:left="360"/>
              <w:contextualSpacing/>
            </w:pPr>
            <w:r>
              <w:t xml:space="preserve">There were 9 SAEs reported in 8 (3.7%) subjects overall, including 6 SAEs in 5 (4.6%) subjects randomized to </w:t>
            </w:r>
            <w:proofErr w:type="spellStart"/>
            <w:r>
              <w:t>elamipretide</w:t>
            </w:r>
            <w:proofErr w:type="spellEnd"/>
            <w:r>
              <w:t xml:space="preserve"> and 3 SAEs in 3 (2.8%) subjects randomized to placebo. None of the SAEs were related to study treatment. Four SAEs were categorized in the SOC of infections and infestations. There were no deaths.</w:t>
            </w:r>
          </w:p>
          <w:p w14:paraId="4368D5AB" w14:textId="77777777" w:rsidR="006362A5" w:rsidRDefault="006362A5" w:rsidP="006362A5">
            <w:pPr>
              <w:pStyle w:val="SynopsisBulletList"/>
              <w:spacing w:after="60"/>
              <w:ind w:left="360"/>
              <w:contextualSpacing/>
            </w:pPr>
            <w:r>
              <w:t xml:space="preserve">There were 7 TEADEs reported in 2 (1.8%) </w:t>
            </w:r>
            <w:proofErr w:type="spellStart"/>
            <w:r>
              <w:t>elamipretide</w:t>
            </w:r>
            <w:proofErr w:type="spellEnd"/>
            <w:r>
              <w:t xml:space="preserve"> subjects and 5 (4.6%) placebo subjects; none were serious. One TEADE in a placebo subject lead to discontinuation of IMP.</w:t>
            </w:r>
          </w:p>
          <w:p w14:paraId="27D9CF46" w14:textId="77777777" w:rsidR="006362A5" w:rsidRDefault="006362A5" w:rsidP="006362A5">
            <w:pPr>
              <w:pStyle w:val="SynopsisBulletList"/>
              <w:spacing w:after="60"/>
              <w:ind w:left="360"/>
              <w:contextualSpacing/>
            </w:pPr>
            <w:r>
              <w:t xml:space="preserve">There were 7 (6.4%) </w:t>
            </w:r>
            <w:proofErr w:type="spellStart"/>
            <w:r>
              <w:t>elamipretide</w:t>
            </w:r>
            <w:proofErr w:type="spellEnd"/>
            <w:r>
              <w:t xml:space="preserve"> subjects with mild TEAEs of eosinophil count increased, 2 (1.8%) with eosinophilia, and 1 (0.9%) subject with eosinophil percentage increased. No placebo subjects had a TEAE related to eosinophil counts.</w:t>
            </w:r>
          </w:p>
          <w:p w14:paraId="69F17536" w14:textId="47ECA9B6" w:rsidR="006362A5" w:rsidRDefault="006362A5" w:rsidP="006362A5">
            <w:pPr>
              <w:pStyle w:val="SynopsisBulletList"/>
              <w:spacing w:after="60"/>
              <w:ind w:left="360"/>
              <w:contextualSpacing/>
            </w:pPr>
            <w:r>
              <w:t xml:space="preserve">Eosinophil levels slightly increased during Part 1 of the </w:t>
            </w:r>
            <w:r w:rsidR="007B4A32">
              <w:t>trial</w:t>
            </w:r>
            <w:r>
              <w:t xml:space="preserve"> for </w:t>
            </w:r>
            <w:proofErr w:type="spellStart"/>
            <w:r>
              <w:t>elamipretide</w:t>
            </w:r>
            <w:proofErr w:type="spellEnd"/>
            <w:r>
              <w:t xml:space="preserve"> subjects while remaining similar to baseline levels for placebo subjects. Leukocytes, neutrophils, creatine kinase, and lactate dehydrogenase levels were also typically increased from baseline for </w:t>
            </w:r>
            <w:proofErr w:type="spellStart"/>
            <w:r>
              <w:t>elamipretide</w:t>
            </w:r>
            <w:proofErr w:type="spellEnd"/>
            <w:r>
              <w:t xml:space="preserve"> subjects while remaining similar to or decreased from baseline levels for placebo subjects. Other laboratory values, vital signs, and ECG measured parameters were stable overall throughout Part 1 of the </w:t>
            </w:r>
            <w:r w:rsidR="007B4A32">
              <w:t>trial</w:t>
            </w:r>
            <w:r>
              <w:t>.</w:t>
            </w:r>
          </w:p>
          <w:p w14:paraId="6F2A8F14" w14:textId="5D378DF2" w:rsidR="006362A5" w:rsidRDefault="006362A5" w:rsidP="006362A5">
            <w:pPr>
              <w:pStyle w:val="SynopsisBulletList"/>
              <w:spacing w:after="60"/>
              <w:ind w:left="360"/>
              <w:contextualSpacing/>
            </w:pPr>
            <w:r>
              <w:t xml:space="preserve">There were no subjects with suicidal behavior, or </w:t>
            </w:r>
            <w:proofErr w:type="spellStart"/>
            <w:r>
              <w:t>non suicidal</w:t>
            </w:r>
            <w:proofErr w:type="spellEnd"/>
            <w:r>
              <w:t xml:space="preserve"> self-injurious behavior during Part 1 of the </w:t>
            </w:r>
            <w:r w:rsidR="007B4A32">
              <w:t>trial</w:t>
            </w:r>
            <w:r>
              <w:t>. Suicidal ideation was noted in 1-5 subjects during the trial and was primarily of the intensity of “wish to be dead” and “non-specific active suicidal thoughts”. One subject had a severe SAE of suicidal ideation, which resolved with treatment and was assessed as unrelated to IMP.</w:t>
            </w:r>
          </w:p>
          <w:p w14:paraId="2C64578A" w14:textId="23E8823C" w:rsidR="00181A46" w:rsidRDefault="006362A5" w:rsidP="006362A5">
            <w:pPr>
              <w:pStyle w:val="SynopsisBulletList"/>
              <w:spacing w:after="60"/>
              <w:ind w:left="360"/>
              <w:contextualSpacing/>
            </w:pPr>
            <w:r>
              <w:t>The majority of subjects (99.1%) received at least one concomitant medication during the trial with the most common medication being ubidecarenone (40.4%).</w:t>
            </w:r>
          </w:p>
          <w:p w14:paraId="688A0299" w14:textId="71BD5F5D" w:rsidR="009A4228" w:rsidRPr="006362A5" w:rsidRDefault="009A4228" w:rsidP="00CC52E8">
            <w:pPr>
              <w:pStyle w:val="SynopsisBulletList"/>
              <w:keepNext/>
              <w:numPr>
                <w:ilvl w:val="0"/>
                <w:numId w:val="0"/>
              </w:numPr>
              <w:spacing w:before="60" w:after="60"/>
              <w:rPr>
                <w:u w:val="single"/>
              </w:rPr>
            </w:pPr>
            <w:r w:rsidRPr="006362A5">
              <w:rPr>
                <w:u w:val="single"/>
              </w:rPr>
              <w:t>Part 2</w:t>
            </w:r>
          </w:p>
          <w:p w14:paraId="1F83FAB8" w14:textId="374D6D28" w:rsidR="006362A5" w:rsidRPr="006362A5" w:rsidRDefault="006362A5" w:rsidP="006362A5">
            <w:pPr>
              <w:pStyle w:val="SynopsisBulletList"/>
              <w:spacing w:after="60"/>
              <w:ind w:left="360"/>
              <w:contextualSpacing/>
            </w:pPr>
            <w:r w:rsidRPr="00E9757D">
              <w:t xml:space="preserve">Overall, </w:t>
            </w:r>
            <w:r>
              <w:t>190</w:t>
            </w:r>
            <w:r w:rsidRPr="00E9757D">
              <w:t xml:space="preserve"> (</w:t>
            </w:r>
            <w:r>
              <w:t>96</w:t>
            </w:r>
            <w:r w:rsidRPr="00E9757D">
              <w:t xml:space="preserve">.9%) subjects </w:t>
            </w:r>
            <w:r>
              <w:t xml:space="preserve">had at least one TEAE and </w:t>
            </w:r>
            <w:r w:rsidRPr="00E9757D">
              <w:t>1</w:t>
            </w:r>
            <w:r>
              <w:t>77</w:t>
            </w:r>
            <w:r w:rsidRPr="00E9757D">
              <w:t xml:space="preserve"> (</w:t>
            </w:r>
            <w:r>
              <w:t>90.3</w:t>
            </w:r>
            <w:r w:rsidRPr="00E9757D">
              <w:t>%) subjects</w:t>
            </w:r>
            <w:r>
              <w:t xml:space="preserve"> had at least one</w:t>
            </w:r>
            <w:r w:rsidRPr="00E9757D">
              <w:t xml:space="preserve"> related TEAE</w:t>
            </w:r>
            <w:r>
              <w:t xml:space="preserve"> during Part 2 of the </w:t>
            </w:r>
            <w:r w:rsidR="007B4A32">
              <w:t>trial</w:t>
            </w:r>
            <w:r>
              <w:t xml:space="preserve">. The number of events included those with onset in Part 1 that were entered in the database in Part 2. </w:t>
            </w:r>
            <w:r w:rsidRPr="00581F37">
              <w:t xml:space="preserve">There was a slightly lower proportion of subjects with at least one TEAE and related TEAE in Part 2 for those randomized to </w:t>
            </w:r>
            <w:proofErr w:type="spellStart"/>
            <w:r w:rsidRPr="00581F37">
              <w:t>elamipretide</w:t>
            </w:r>
            <w:proofErr w:type="spellEnd"/>
            <w:r w:rsidRPr="00581F37">
              <w:t xml:space="preserve"> or placebo in Part 1 (94.6% vs. 99.0%, and 83.9% vs. 96.1%)</w:t>
            </w:r>
            <w:r>
              <w:t>.</w:t>
            </w:r>
          </w:p>
          <w:p w14:paraId="25363398" w14:textId="156E6F8E" w:rsidR="006362A5" w:rsidRPr="006362A5" w:rsidRDefault="006362A5" w:rsidP="006362A5">
            <w:pPr>
              <w:pStyle w:val="SynopsisBulletList"/>
              <w:spacing w:after="60"/>
              <w:ind w:left="360"/>
              <w:contextualSpacing/>
            </w:pPr>
            <w:r>
              <w:lastRenderedPageBreak/>
              <w:t>The most common TEAEs and related TEAEs overall were injection site erythema (</w:t>
            </w:r>
            <w:r w:rsidR="00272E3E">
              <w:t>78.1</w:t>
            </w:r>
            <w:r>
              <w:t>%), and injection site pruritus (70.4%).</w:t>
            </w:r>
          </w:p>
          <w:p w14:paraId="2B662463" w14:textId="3061751E" w:rsidR="006362A5" w:rsidRPr="006362A5" w:rsidRDefault="006362A5" w:rsidP="006362A5">
            <w:pPr>
              <w:pStyle w:val="SynopsisBulletList"/>
              <w:spacing w:after="60"/>
              <w:ind w:left="360"/>
              <w:contextualSpacing/>
            </w:pPr>
            <w:r>
              <w:t xml:space="preserve">There were 10 (5.1%) subjects with a TEAE leading to IMP discontinuation in Part 2 of the </w:t>
            </w:r>
            <w:r w:rsidR="007B4A32">
              <w:t>trial</w:t>
            </w:r>
            <w:r>
              <w:t xml:space="preserve">, with a lower incidence in those randomized to </w:t>
            </w:r>
            <w:proofErr w:type="spellStart"/>
            <w:r>
              <w:t>elamipretide</w:t>
            </w:r>
            <w:proofErr w:type="spellEnd"/>
            <w:r>
              <w:t xml:space="preserve"> in Part 1 compared to those randomized to placebo (1.1% vs. 8.7%).</w:t>
            </w:r>
          </w:p>
          <w:p w14:paraId="088EBF76" w14:textId="085EBF5B" w:rsidR="006362A5" w:rsidRPr="008469A1" w:rsidRDefault="00EF46FD" w:rsidP="00AF7A3F">
            <w:pPr>
              <w:pStyle w:val="SynopsisBulletList"/>
              <w:spacing w:after="0"/>
              <w:ind w:left="360"/>
            </w:pPr>
            <w:r>
              <w:t xml:space="preserve">There were </w:t>
            </w:r>
            <w:r w:rsidR="008A6A63">
              <w:t xml:space="preserve">30 </w:t>
            </w:r>
            <w:r>
              <w:t xml:space="preserve">SAEs </w:t>
            </w:r>
            <w:r w:rsidR="006362A5">
              <w:t>reported in 21 (10.7%) subjects overall</w:t>
            </w:r>
            <w:r w:rsidR="00AF7A3F">
              <w:t xml:space="preserve"> (</w:t>
            </w:r>
            <w:r w:rsidR="00AF7A3F" w:rsidRPr="00AF7A3F">
              <w:t xml:space="preserve">this included 1 event </w:t>
            </w:r>
            <w:r w:rsidR="00CC52E8">
              <w:t>with onset in Part 1</w:t>
            </w:r>
            <w:r w:rsidR="00AF7A3F">
              <w:t>)</w:t>
            </w:r>
            <w:r w:rsidR="006362A5">
              <w:t>. The majority of SAEs (</w:t>
            </w:r>
            <w:r w:rsidR="008A6A63">
              <w:t>24</w:t>
            </w:r>
            <w:r w:rsidR="006362A5">
              <w:t>/</w:t>
            </w:r>
            <w:r w:rsidR="008A6A63">
              <w:t xml:space="preserve">30 </w:t>
            </w:r>
            <w:r w:rsidR="006362A5">
              <w:t>events) were severe but none were assessed as related to study treatment. Five SAEs were categorized in the SOC of nervous system disorders. There were no deaths.</w:t>
            </w:r>
          </w:p>
          <w:p w14:paraId="6753CF02" w14:textId="77777777" w:rsidR="006362A5" w:rsidRPr="009A4228" w:rsidRDefault="006362A5" w:rsidP="006362A5">
            <w:pPr>
              <w:pStyle w:val="SynopsisBulletList"/>
              <w:spacing w:after="60"/>
              <w:ind w:left="360"/>
              <w:contextualSpacing/>
            </w:pPr>
            <w:r w:rsidRPr="009A4228">
              <w:t xml:space="preserve">There were </w:t>
            </w:r>
            <w:r>
              <w:t>8</w:t>
            </w:r>
            <w:r w:rsidRPr="009A4228">
              <w:t xml:space="preserve"> TEADEs reported in </w:t>
            </w:r>
            <w:r>
              <w:t>7</w:t>
            </w:r>
            <w:r w:rsidRPr="009A4228">
              <w:t xml:space="preserve"> (</w:t>
            </w:r>
            <w:r>
              <w:t>3.6</w:t>
            </w:r>
            <w:r w:rsidRPr="009A4228">
              <w:t xml:space="preserve">%) </w:t>
            </w:r>
            <w:r>
              <w:t xml:space="preserve">subjects overall, with a lower incidence in subjects randomized to </w:t>
            </w:r>
            <w:proofErr w:type="spellStart"/>
            <w:r>
              <w:t>elamipretide</w:t>
            </w:r>
            <w:proofErr w:type="spellEnd"/>
            <w:r>
              <w:t xml:space="preserve"> in Part 1 compared to those randomized to placebo (2.2% vs. 4.9%). There were no serious or related TEADEs, or any that lead to IMP discontinuation</w:t>
            </w:r>
            <w:r w:rsidRPr="009A4228">
              <w:t>.</w:t>
            </w:r>
          </w:p>
          <w:p w14:paraId="153961F6" w14:textId="35DFB21E" w:rsidR="006362A5" w:rsidRPr="006362A5" w:rsidRDefault="006362A5" w:rsidP="006362A5">
            <w:pPr>
              <w:pStyle w:val="SynopsisBulletList"/>
              <w:spacing w:after="60"/>
              <w:ind w:left="360"/>
              <w:contextualSpacing/>
              <w:rPr>
                <w:i/>
              </w:rPr>
            </w:pPr>
            <w:r>
              <w:t xml:space="preserve">There were 14 (7.1%) subjects with TEAEs of eosinophil count increased, 10 (5.1%) subjects with TEAEs of eosinophilia, and 1 (0.5%) subject with a TEAE of eosinophil percentage increased in Part 2 of the </w:t>
            </w:r>
            <w:r w:rsidR="007B4A32">
              <w:t>trial</w:t>
            </w:r>
            <w:r>
              <w:t xml:space="preserve">, with approximately half starting in Part 1. Those TEAEs with onset in Part 2 were primarily in subjects randomized to placebo in Part 1, with the exception of 1 event of eosinophil count increased reported in 1 subject who was randomized to </w:t>
            </w:r>
            <w:proofErr w:type="spellStart"/>
            <w:r>
              <w:t>elamipretide</w:t>
            </w:r>
            <w:proofErr w:type="spellEnd"/>
            <w:r>
              <w:t xml:space="preserve"> in Part 1.</w:t>
            </w:r>
          </w:p>
          <w:p w14:paraId="556FD2DD" w14:textId="3DE6DF34" w:rsidR="006362A5" w:rsidRPr="006362A5" w:rsidRDefault="006362A5" w:rsidP="006362A5">
            <w:pPr>
              <w:pStyle w:val="SynopsisBulletList"/>
              <w:spacing w:after="60"/>
              <w:ind w:left="360"/>
              <w:contextualSpacing/>
            </w:pPr>
            <w:r>
              <w:t xml:space="preserve">Eosinophil levels slightly increased during Part 2 of the </w:t>
            </w:r>
            <w:r w:rsidR="007B4A32">
              <w:t>trial</w:t>
            </w:r>
            <w:r>
              <w:t xml:space="preserve"> before returning towards Baseline the end of the </w:t>
            </w:r>
            <w:r w:rsidR="007B4A32">
              <w:t>trial</w:t>
            </w:r>
            <w:r>
              <w:t>. Other l</w:t>
            </w:r>
            <w:r w:rsidRPr="009B43D9">
              <w:t>aborato</w:t>
            </w:r>
            <w:r>
              <w:t>ry values, vital signs, and ECG measured parameters</w:t>
            </w:r>
            <w:r w:rsidRPr="009B43D9">
              <w:t xml:space="preserve"> were stable </w:t>
            </w:r>
            <w:r>
              <w:t>overall throughout</w:t>
            </w:r>
            <w:r w:rsidRPr="009B43D9">
              <w:t xml:space="preserve"> </w:t>
            </w:r>
            <w:r>
              <w:t xml:space="preserve">Part 2 of the </w:t>
            </w:r>
            <w:r w:rsidR="007B4A32">
              <w:t>trial</w:t>
            </w:r>
            <w:r>
              <w:t>.</w:t>
            </w:r>
          </w:p>
          <w:p w14:paraId="3DF9407A" w14:textId="5D0D9D03" w:rsidR="006362A5" w:rsidRPr="006362A5" w:rsidRDefault="006362A5" w:rsidP="006362A5">
            <w:pPr>
              <w:pStyle w:val="SynopsisBulletList"/>
              <w:spacing w:after="60"/>
              <w:ind w:left="360"/>
              <w:contextualSpacing/>
            </w:pPr>
            <w:r>
              <w:t>T</w:t>
            </w:r>
            <w:r w:rsidRPr="009B43D9">
              <w:t>here were no subjects wit</w:t>
            </w:r>
            <w:r>
              <w:t xml:space="preserve">h </w:t>
            </w:r>
            <w:r w:rsidRPr="009B43D9">
              <w:t>suicidal behavior, or non</w:t>
            </w:r>
            <w:r>
              <w:noBreakHyphen/>
            </w:r>
            <w:r w:rsidRPr="009B43D9">
              <w:t>suicidal self</w:t>
            </w:r>
            <w:r>
              <w:noBreakHyphen/>
            </w:r>
            <w:r w:rsidRPr="009B43D9">
              <w:t>injurious behavior</w:t>
            </w:r>
            <w:r>
              <w:t xml:space="preserve"> during Part 2 of the </w:t>
            </w:r>
            <w:r w:rsidR="007B4A32">
              <w:t>trial</w:t>
            </w:r>
            <w:r>
              <w:t>. Suicidal ideation was noted in 2-7 subjects</w:t>
            </w:r>
            <w:r w:rsidRPr="009B43D9">
              <w:t xml:space="preserve"> </w:t>
            </w:r>
            <w:r>
              <w:t>and was primarily of the intensity of “wish to be dead” and “non-specific active suicidal thoughts”</w:t>
            </w:r>
            <w:r w:rsidRPr="009B43D9">
              <w:t>.</w:t>
            </w:r>
            <w:r>
              <w:t xml:space="preserve"> Two subjects had moderate TEAEs of suicidal ideation with resolved with treatment and were assessed as not related to IMP.</w:t>
            </w:r>
          </w:p>
          <w:p w14:paraId="5706C61A" w14:textId="48BA528F" w:rsidR="009A4228" w:rsidRPr="00345789" w:rsidRDefault="006362A5" w:rsidP="00272E3E">
            <w:pPr>
              <w:pStyle w:val="SynopsisBulletList"/>
              <w:spacing w:after="60"/>
              <w:ind w:left="360"/>
              <w:contextualSpacing/>
            </w:pPr>
            <w:r>
              <w:t xml:space="preserve">The majority of subjects (98.5%) received at least one concomitant medication during the trial with the most common medication being </w:t>
            </w:r>
            <w:r w:rsidRPr="00EA70F6">
              <w:t>ubidecarenone</w:t>
            </w:r>
            <w:r>
              <w:t xml:space="preserve"> (</w:t>
            </w:r>
            <w:r w:rsidR="00272E3E">
              <w:t>55.1</w:t>
            </w:r>
            <w:r>
              <w:t>%).</w:t>
            </w:r>
          </w:p>
        </w:tc>
      </w:tr>
      <w:tr w:rsidR="0060292B" w:rsidRPr="004A5AF1" w14:paraId="21891E93"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5A6318A2" w14:textId="77777777" w:rsidR="00EF46FD" w:rsidRDefault="00EF46FD" w:rsidP="00EF46FD">
            <w:pPr>
              <w:pStyle w:val="SynopsisHeading"/>
            </w:pPr>
            <w:r w:rsidRPr="004A5AF1">
              <w:lastRenderedPageBreak/>
              <w:t>CONCLUSIONS:</w:t>
            </w:r>
          </w:p>
          <w:p w14:paraId="26B4DFF6" w14:textId="6E4D7519" w:rsidR="00EF46FD" w:rsidRDefault="00EF46FD" w:rsidP="00EF46FD">
            <w:pPr>
              <w:pStyle w:val="SynopsisBulletList"/>
              <w:spacing w:after="60"/>
              <w:ind w:left="360"/>
              <w:contextualSpacing/>
            </w:pPr>
            <w:r>
              <w:t xml:space="preserve">This </w:t>
            </w:r>
            <w:r w:rsidR="007B4A32">
              <w:t>trial</w:t>
            </w:r>
            <w:r>
              <w:t xml:space="preserve"> failed to show that </w:t>
            </w:r>
            <w:proofErr w:type="spellStart"/>
            <w:r>
              <w:t>elamipretide</w:t>
            </w:r>
            <w:proofErr w:type="spellEnd"/>
            <w:r>
              <w:t xml:space="preserve"> was significantly effective at treating the symptoms of PMM compared to placebo. </w:t>
            </w:r>
            <w:r w:rsidRPr="000C597F">
              <w:t xml:space="preserve">However, the observed effect on the 6MWT in the </w:t>
            </w:r>
            <w:proofErr w:type="spellStart"/>
            <w:r w:rsidRPr="000C597F">
              <w:t>nDNA</w:t>
            </w:r>
            <w:proofErr w:type="spellEnd"/>
            <w:r w:rsidRPr="000C597F">
              <w:t xml:space="preserve"> subgroup </w:t>
            </w:r>
            <w:r w:rsidR="00107DED">
              <w:t xml:space="preserve">(which </w:t>
            </w:r>
            <w:r w:rsidR="00AF7A3F">
              <w:t>was</w:t>
            </w:r>
            <w:r w:rsidR="00107DED">
              <w:t xml:space="preserve"> predominantly made up of those with </w:t>
            </w:r>
            <w:proofErr w:type="spellStart"/>
            <w:r w:rsidR="00AF7A3F">
              <w:t>nDNA</w:t>
            </w:r>
            <w:proofErr w:type="spellEnd"/>
            <w:r w:rsidR="00AF7A3F">
              <w:t xml:space="preserve"> mutations causing defects of intergenomic </w:t>
            </w:r>
            <w:r w:rsidR="00421276">
              <w:t>signaling</w:t>
            </w:r>
            <w:r w:rsidR="00107DED">
              <w:t xml:space="preserve">) </w:t>
            </w:r>
            <w:r w:rsidRPr="000C597F">
              <w:t xml:space="preserve">is hypothesis generating. </w:t>
            </w:r>
            <w:r>
              <w:t>Further research in a subsequent trial is required for confirmation of this effect.</w:t>
            </w:r>
          </w:p>
          <w:p w14:paraId="0400A36F" w14:textId="77777777" w:rsidR="00EF46FD" w:rsidRDefault="00EF46FD" w:rsidP="00EF46FD">
            <w:pPr>
              <w:pStyle w:val="SynopsisBulletList"/>
              <w:spacing w:after="60"/>
              <w:ind w:left="360"/>
              <w:contextualSpacing/>
            </w:pPr>
            <w:r>
              <w:t>There were no deaths or SAEs related to IMP, and the majority of TEAEs and TEADEs were mild or moderate in intensity.</w:t>
            </w:r>
          </w:p>
          <w:p w14:paraId="5414157C" w14:textId="2C922756" w:rsidR="00154C04" w:rsidRPr="00345789" w:rsidRDefault="00EF46FD" w:rsidP="00A06D5E">
            <w:pPr>
              <w:pStyle w:val="SynopsisBulletList"/>
              <w:spacing w:after="60"/>
              <w:ind w:left="360"/>
              <w:contextualSpacing/>
            </w:pPr>
            <w:r>
              <w:t xml:space="preserve">Mild elevations of eosinophils were observed in subjects treated with </w:t>
            </w:r>
            <w:proofErr w:type="spellStart"/>
            <w:r>
              <w:t>elamipretide</w:t>
            </w:r>
            <w:proofErr w:type="spellEnd"/>
            <w:r>
              <w:t>.</w:t>
            </w:r>
          </w:p>
        </w:tc>
      </w:tr>
      <w:tr w:rsidR="00310C19" w:rsidRPr="004A5AF1" w14:paraId="1272AFAD" w14:textId="77777777" w:rsidTr="00551B95">
        <w:tc>
          <w:tcPr>
            <w:tcW w:w="9337" w:type="dxa"/>
            <w:gridSpan w:val="4"/>
            <w:tcBorders>
              <w:top w:val="single" w:sz="4" w:space="0" w:color="auto"/>
              <w:left w:val="single" w:sz="4" w:space="0" w:color="auto"/>
              <w:bottom w:val="single" w:sz="4" w:space="0" w:color="auto"/>
              <w:right w:val="single" w:sz="4" w:space="0" w:color="auto"/>
            </w:tcBorders>
          </w:tcPr>
          <w:p w14:paraId="2466AFCA" w14:textId="4D88F3E6" w:rsidR="00310C19" w:rsidRPr="00774E9D" w:rsidRDefault="00310C19" w:rsidP="00661301">
            <w:pPr>
              <w:pStyle w:val="SynopsisText"/>
            </w:pPr>
            <w:r w:rsidRPr="008C0BEE">
              <w:rPr>
                <w:b/>
              </w:rPr>
              <w:t>Date of the Report:</w:t>
            </w:r>
            <w:r w:rsidRPr="004A5AF1">
              <w:t xml:space="preserve"> </w:t>
            </w:r>
            <w:r w:rsidR="00661301">
              <w:t>19</w:t>
            </w:r>
            <w:r w:rsidR="00BD0E6B">
              <w:t xml:space="preserve"> </w:t>
            </w:r>
            <w:r w:rsidR="00CC52E8">
              <w:t>October</w:t>
            </w:r>
            <w:r w:rsidR="005369EB" w:rsidRPr="005369EB">
              <w:t xml:space="preserve"> 2020 (</w:t>
            </w:r>
            <w:r w:rsidR="00BD0E6B">
              <w:t>Final</w:t>
            </w:r>
            <w:r w:rsidR="005369EB" w:rsidRPr="005369EB">
              <w:t>)</w:t>
            </w:r>
          </w:p>
        </w:tc>
      </w:tr>
    </w:tbl>
    <w:p w14:paraId="7BD81012" w14:textId="4B24F9F1" w:rsidR="00B547E7" w:rsidRPr="004A5AF1" w:rsidRDefault="00B547E7" w:rsidP="00F3641D">
      <w:pPr>
        <w:pStyle w:val="Paragraph"/>
      </w:pPr>
    </w:p>
    <w:sectPr w:rsidR="00B547E7" w:rsidRPr="004A5AF1" w:rsidSect="00B547E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91071D" w14:textId="77777777" w:rsidR="003A4C02" w:rsidRDefault="003A4C02" w:rsidP="00625C3F">
      <w:r>
        <w:separator/>
      </w:r>
    </w:p>
    <w:p w14:paraId="03CA990A" w14:textId="77777777" w:rsidR="003A4C02" w:rsidRDefault="003A4C02"/>
  </w:endnote>
  <w:endnote w:type="continuationSeparator" w:id="0">
    <w:p w14:paraId="3D0C8047" w14:textId="77777777" w:rsidR="003A4C02" w:rsidRDefault="003A4C02" w:rsidP="00625C3F">
      <w:r>
        <w:continuationSeparator/>
      </w:r>
    </w:p>
    <w:p w14:paraId="23A1FC23" w14:textId="77777777" w:rsidR="003A4C02" w:rsidRDefault="003A4C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B06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9045F" w14:textId="2B7DDBA6" w:rsidR="00661301" w:rsidRDefault="00661301" w:rsidP="00AA5F0E">
    <w:pPr>
      <w:pStyle w:val="Footer"/>
    </w:pPr>
    <w:r w:rsidRPr="00E26BDC">
      <w:t>CONFIDENTIAL</w:t>
    </w:r>
    <w:r>
      <w:tab/>
    </w:r>
    <w:r w:rsidRPr="009F1E26">
      <w:t xml:space="preserve">Page </w:t>
    </w:r>
    <w:r>
      <w:fldChar w:fldCharType="begin"/>
    </w:r>
    <w:r>
      <w:instrText xml:space="preserve"> PAGE </w:instrText>
    </w:r>
    <w:r>
      <w:fldChar w:fldCharType="separate"/>
    </w:r>
    <w:r w:rsidR="004F184C">
      <w:rPr>
        <w:noProof/>
      </w:rPr>
      <w:t>121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4EC39" w14:textId="77777777" w:rsidR="003A4C02" w:rsidRDefault="003A4C02" w:rsidP="00625C3F">
      <w:r>
        <w:separator/>
      </w:r>
    </w:p>
    <w:p w14:paraId="66471288" w14:textId="77777777" w:rsidR="003A4C02" w:rsidRDefault="003A4C02"/>
  </w:footnote>
  <w:footnote w:type="continuationSeparator" w:id="0">
    <w:p w14:paraId="1DB91D3E" w14:textId="77777777" w:rsidR="003A4C02" w:rsidRDefault="003A4C02" w:rsidP="00625C3F">
      <w:r>
        <w:continuationSeparator/>
      </w:r>
    </w:p>
    <w:p w14:paraId="61A3A86A" w14:textId="77777777" w:rsidR="003A4C02" w:rsidRDefault="003A4C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4" w:space="0" w:color="auto"/>
      </w:tblBorders>
      <w:tblLook w:val="04A0" w:firstRow="1" w:lastRow="0" w:firstColumn="1" w:lastColumn="0" w:noHBand="0" w:noVBand="1"/>
    </w:tblPr>
    <w:tblGrid>
      <w:gridCol w:w="4692"/>
      <w:gridCol w:w="4668"/>
    </w:tblGrid>
    <w:tr w:rsidR="00661301" w14:paraId="080069BC" w14:textId="77777777" w:rsidTr="008B3858">
      <w:tc>
        <w:tcPr>
          <w:tcW w:w="4692" w:type="dxa"/>
        </w:tcPr>
        <w:p w14:paraId="7104B1DB" w14:textId="6C61E0CD" w:rsidR="00661301" w:rsidRDefault="00661301" w:rsidP="008B3858">
          <w:pPr>
            <w:pStyle w:val="Header"/>
          </w:pPr>
          <w:r>
            <w:t xml:space="preserve">Stealth </w:t>
          </w:r>
          <w:proofErr w:type="spellStart"/>
          <w:r>
            <w:t>BioTherapeutics</w:t>
          </w:r>
          <w:proofErr w:type="spellEnd"/>
          <w:r>
            <w:t xml:space="preserve"> Inc, </w:t>
          </w:r>
          <w:proofErr w:type="spellStart"/>
          <w:r>
            <w:t>Elamipretide</w:t>
          </w:r>
          <w:proofErr w:type="spellEnd"/>
        </w:p>
      </w:tc>
      <w:tc>
        <w:tcPr>
          <w:tcW w:w="4668" w:type="dxa"/>
        </w:tcPr>
        <w:p w14:paraId="5C281026" w14:textId="712746E3" w:rsidR="00661301" w:rsidRDefault="00661301" w:rsidP="008B3858">
          <w:pPr>
            <w:pStyle w:val="Header"/>
            <w:jc w:val="right"/>
          </w:pPr>
          <w:r>
            <w:t>Protocol No: SPIMM-301</w:t>
          </w:r>
        </w:p>
      </w:tc>
    </w:tr>
    <w:tr w:rsidR="00661301" w14:paraId="76D1D3F1" w14:textId="77777777" w:rsidTr="008B3858">
      <w:tc>
        <w:tcPr>
          <w:tcW w:w="4692" w:type="dxa"/>
        </w:tcPr>
        <w:p w14:paraId="12E5024E" w14:textId="04A4E667" w:rsidR="00661301" w:rsidRDefault="00661301" w:rsidP="008B3858">
          <w:pPr>
            <w:pStyle w:val="Header"/>
            <w:spacing w:after="60"/>
          </w:pPr>
          <w:r w:rsidRPr="00D13CF7">
            <w:t>Clinical Study Report</w:t>
          </w:r>
        </w:p>
      </w:tc>
      <w:tc>
        <w:tcPr>
          <w:tcW w:w="4668" w:type="dxa"/>
        </w:tcPr>
        <w:p w14:paraId="769615DE" w14:textId="3B069669" w:rsidR="00661301" w:rsidRDefault="00661301" w:rsidP="00661301">
          <w:pPr>
            <w:pStyle w:val="Header"/>
            <w:spacing w:after="60"/>
            <w:jc w:val="right"/>
          </w:pPr>
          <w:r>
            <w:t>Final, 19 October 2020</w:t>
          </w:r>
        </w:p>
      </w:tc>
    </w:tr>
  </w:tbl>
  <w:p w14:paraId="6ABCACC6" w14:textId="77777777" w:rsidR="00661301" w:rsidRDefault="00661301" w:rsidP="009F1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560678F8"/>
    <w:lvl w:ilvl="0">
      <w:start w:val="1"/>
      <w:numFmt w:val="decimal"/>
      <w:pStyle w:val="ListNumber5"/>
      <w:lvlText w:val="%1."/>
      <w:lvlJc w:val="left"/>
      <w:pPr>
        <w:tabs>
          <w:tab w:val="num" w:pos="1800"/>
        </w:tabs>
        <w:ind w:left="1800" w:hanging="360"/>
      </w:pPr>
    </w:lvl>
  </w:abstractNum>
  <w:abstractNum w:abstractNumId="1" w15:restartNumberingAfterBreak="0">
    <w:nsid w:val="FFFFFF80"/>
    <w:multiLevelType w:val="singleLevel"/>
    <w:tmpl w:val="88140DC8"/>
    <w:lvl w:ilvl="0">
      <w:start w:val="1"/>
      <w:numFmt w:val="bullet"/>
      <w:pStyle w:val="ListBullet5"/>
      <w:lvlText w:val=""/>
      <w:lvlJc w:val="left"/>
      <w:pPr>
        <w:tabs>
          <w:tab w:val="num" w:pos="1800"/>
        </w:tabs>
        <w:ind w:left="1800" w:hanging="360"/>
      </w:pPr>
      <w:rPr>
        <w:rFonts w:ascii="Symbol" w:hAnsi="Symbol" w:hint="default"/>
      </w:rPr>
    </w:lvl>
  </w:abstractNum>
  <w:abstractNum w:abstractNumId="2" w15:restartNumberingAfterBreak="0">
    <w:nsid w:val="FFFFFF89"/>
    <w:multiLevelType w:val="singleLevel"/>
    <w:tmpl w:val="FFF02EA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10300DF"/>
    <w:multiLevelType w:val="singleLevel"/>
    <w:tmpl w:val="DDF812FA"/>
    <w:lvl w:ilvl="0">
      <w:start w:val="1"/>
      <w:numFmt w:val="lowerLetter"/>
      <w:pStyle w:val="ListLetter3"/>
      <w:lvlText w:val="%1."/>
      <w:lvlJc w:val="left"/>
      <w:pPr>
        <w:tabs>
          <w:tab w:val="num" w:pos="1080"/>
        </w:tabs>
        <w:ind w:left="1080" w:hanging="360"/>
      </w:pPr>
      <w:rPr>
        <w:rFonts w:ascii="Times New Roman" w:hAnsi="Times New Roman" w:cs="Times New Roman"/>
        <w:b w:val="0"/>
        <w:bCs w:val="0"/>
        <w:i w:val="0"/>
        <w:iCs w:val="0"/>
        <w:caps w:val="0"/>
        <w:sz w:val="22"/>
        <w:szCs w:val="24"/>
        <w:u w:val="none"/>
        <w:vertAlign w:val="baseline"/>
      </w:rPr>
    </w:lvl>
  </w:abstractNum>
  <w:abstractNum w:abstractNumId="4" w15:restartNumberingAfterBreak="0">
    <w:nsid w:val="071A188C"/>
    <w:multiLevelType w:val="hybridMultilevel"/>
    <w:tmpl w:val="EB920766"/>
    <w:lvl w:ilvl="0" w:tplc="F436729A">
      <w:start w:val="1"/>
      <w:numFmt w:val="lowerLetter"/>
      <w:pStyle w:val="ListLetter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05F48B2"/>
    <w:multiLevelType w:val="hybridMultilevel"/>
    <w:tmpl w:val="EC0E810A"/>
    <w:lvl w:ilvl="0" w:tplc="19E00B7C">
      <w:start w:val="1"/>
      <w:numFmt w:val="decimal"/>
      <w:pStyle w:val="TableFootnoteList"/>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superscript"/>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E149BB"/>
    <w:multiLevelType w:val="hybridMultilevel"/>
    <w:tmpl w:val="A31AA790"/>
    <w:lvl w:ilvl="0" w:tplc="CEC4EC84">
      <w:start w:val="1"/>
      <w:numFmt w:val="decimal"/>
      <w:pStyle w:val="TableFootnoteNumbered"/>
      <w:lvlText w:val="%1"/>
      <w:lvlJc w:val="left"/>
      <w:pPr>
        <w:ind w:left="720" w:hanging="360"/>
      </w:pPr>
      <w:rPr>
        <w:rFonts w:ascii="Times New Roman" w:hAnsi="Times New Roman" w:cs="Times New Roman" w:hint="default"/>
        <w:b w:val="0"/>
        <w:bCs w:val="0"/>
        <w:i w:val="0"/>
        <w:iCs w:val="0"/>
        <w:caps w:val="0"/>
        <w:sz w:val="20"/>
        <w:szCs w:val="20"/>
        <w:u w:val="none"/>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2F7D1B"/>
    <w:multiLevelType w:val="hybridMultilevel"/>
    <w:tmpl w:val="66867D18"/>
    <w:lvl w:ilvl="0" w:tplc="999214AE">
      <w:start w:val="1"/>
      <w:numFmt w:val="bullet"/>
      <w:pStyle w:val="SynopsisBulletList"/>
      <w:lvlText w:val=""/>
      <w:lvlJc w:val="left"/>
      <w:pPr>
        <w:ind w:left="720" w:hanging="360"/>
      </w:pPr>
      <w:rPr>
        <w:rFonts w:ascii="Symbol" w:hAnsi="Symbol" w:hint="default"/>
        <w:sz w:val="20"/>
      </w:rPr>
    </w:lvl>
    <w:lvl w:ilvl="1" w:tplc="AFDCFD94" w:tentative="1">
      <w:start w:val="1"/>
      <w:numFmt w:val="bullet"/>
      <w:lvlText w:val="o"/>
      <w:lvlJc w:val="left"/>
      <w:pPr>
        <w:ind w:left="1440" w:hanging="360"/>
      </w:pPr>
      <w:rPr>
        <w:rFonts w:ascii="Courier New" w:hAnsi="Courier New" w:cs="Courier New" w:hint="default"/>
      </w:rPr>
    </w:lvl>
    <w:lvl w:ilvl="2" w:tplc="BEAE9B18" w:tentative="1">
      <w:start w:val="1"/>
      <w:numFmt w:val="bullet"/>
      <w:lvlText w:val=""/>
      <w:lvlJc w:val="left"/>
      <w:pPr>
        <w:ind w:left="2160" w:hanging="360"/>
      </w:pPr>
      <w:rPr>
        <w:rFonts w:ascii="Wingdings" w:hAnsi="Wingdings" w:hint="default"/>
      </w:rPr>
    </w:lvl>
    <w:lvl w:ilvl="3" w:tplc="5FB050C6" w:tentative="1">
      <w:start w:val="1"/>
      <w:numFmt w:val="bullet"/>
      <w:lvlText w:val=""/>
      <w:lvlJc w:val="left"/>
      <w:pPr>
        <w:ind w:left="2880" w:hanging="360"/>
      </w:pPr>
      <w:rPr>
        <w:rFonts w:ascii="Symbol" w:hAnsi="Symbol" w:hint="default"/>
      </w:rPr>
    </w:lvl>
    <w:lvl w:ilvl="4" w:tplc="3496B098" w:tentative="1">
      <w:start w:val="1"/>
      <w:numFmt w:val="bullet"/>
      <w:lvlText w:val="o"/>
      <w:lvlJc w:val="left"/>
      <w:pPr>
        <w:ind w:left="3600" w:hanging="360"/>
      </w:pPr>
      <w:rPr>
        <w:rFonts w:ascii="Courier New" w:hAnsi="Courier New" w:cs="Courier New" w:hint="default"/>
      </w:rPr>
    </w:lvl>
    <w:lvl w:ilvl="5" w:tplc="552E26B6" w:tentative="1">
      <w:start w:val="1"/>
      <w:numFmt w:val="bullet"/>
      <w:lvlText w:val=""/>
      <w:lvlJc w:val="left"/>
      <w:pPr>
        <w:ind w:left="4320" w:hanging="360"/>
      </w:pPr>
      <w:rPr>
        <w:rFonts w:ascii="Wingdings" w:hAnsi="Wingdings" w:hint="default"/>
      </w:rPr>
    </w:lvl>
    <w:lvl w:ilvl="6" w:tplc="A1C0D52C" w:tentative="1">
      <w:start w:val="1"/>
      <w:numFmt w:val="bullet"/>
      <w:lvlText w:val=""/>
      <w:lvlJc w:val="left"/>
      <w:pPr>
        <w:ind w:left="5040" w:hanging="360"/>
      </w:pPr>
      <w:rPr>
        <w:rFonts w:ascii="Symbol" w:hAnsi="Symbol" w:hint="default"/>
      </w:rPr>
    </w:lvl>
    <w:lvl w:ilvl="7" w:tplc="843210B8" w:tentative="1">
      <w:start w:val="1"/>
      <w:numFmt w:val="bullet"/>
      <w:lvlText w:val="o"/>
      <w:lvlJc w:val="left"/>
      <w:pPr>
        <w:ind w:left="5760" w:hanging="360"/>
      </w:pPr>
      <w:rPr>
        <w:rFonts w:ascii="Courier New" w:hAnsi="Courier New" w:cs="Courier New" w:hint="default"/>
      </w:rPr>
    </w:lvl>
    <w:lvl w:ilvl="8" w:tplc="CA6E82B4" w:tentative="1">
      <w:start w:val="1"/>
      <w:numFmt w:val="bullet"/>
      <w:lvlText w:val=""/>
      <w:lvlJc w:val="left"/>
      <w:pPr>
        <w:ind w:left="6480" w:hanging="360"/>
      </w:pPr>
      <w:rPr>
        <w:rFonts w:ascii="Wingdings" w:hAnsi="Wingdings" w:hint="default"/>
      </w:rPr>
    </w:lvl>
  </w:abstractNum>
  <w:abstractNum w:abstractNumId="8" w15:restartNumberingAfterBreak="0">
    <w:nsid w:val="2E9826BD"/>
    <w:multiLevelType w:val="singleLevel"/>
    <w:tmpl w:val="8D08110A"/>
    <w:name w:val="WWln222227"/>
    <w:lvl w:ilvl="0">
      <w:start w:val="1"/>
      <w:numFmt w:val="bullet"/>
      <w:pStyle w:val="ListBullet"/>
      <w:lvlText w:val=""/>
      <w:lvlJc w:val="left"/>
      <w:pPr>
        <w:ind w:left="360" w:hanging="360"/>
      </w:pPr>
      <w:rPr>
        <w:rFonts w:ascii="Symbol" w:hAnsi="Symbol" w:hint="default"/>
        <w:b w:val="0"/>
        <w:bCs w:val="0"/>
        <w:i w:val="0"/>
        <w:iCs w:val="0"/>
        <w:caps w:val="0"/>
        <w:sz w:val="22"/>
        <w:szCs w:val="28"/>
        <w:u w:val="none"/>
        <w:vertAlign w:val="baseline"/>
      </w:rPr>
    </w:lvl>
  </w:abstractNum>
  <w:abstractNum w:abstractNumId="9" w15:restartNumberingAfterBreak="0">
    <w:nsid w:val="32A52292"/>
    <w:multiLevelType w:val="hybridMultilevel"/>
    <w:tmpl w:val="C2C6E17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5A122DB"/>
    <w:multiLevelType w:val="hybridMultilevel"/>
    <w:tmpl w:val="94108CC0"/>
    <w:lvl w:ilvl="0" w:tplc="0E58AEDE">
      <w:start w:val="1"/>
      <w:numFmt w:val="bullet"/>
      <w:pStyle w:val="ListBullet3"/>
      <w:lvlText w:val=""/>
      <w:lvlJc w:val="left"/>
      <w:pPr>
        <w:ind w:left="720" w:hanging="360"/>
      </w:pPr>
      <w:rPr>
        <w:rFonts w:ascii="Symbol" w:hAnsi="Symbol" w:hint="default"/>
      </w:rPr>
    </w:lvl>
    <w:lvl w:ilvl="1" w:tplc="2E665124" w:tentative="1">
      <w:start w:val="1"/>
      <w:numFmt w:val="bullet"/>
      <w:lvlText w:val="o"/>
      <w:lvlJc w:val="left"/>
      <w:pPr>
        <w:ind w:left="1440" w:hanging="360"/>
      </w:pPr>
      <w:rPr>
        <w:rFonts w:ascii="Courier New" w:hAnsi="Courier New" w:cs="Courier New" w:hint="default"/>
      </w:rPr>
    </w:lvl>
    <w:lvl w:ilvl="2" w:tplc="28D4D882" w:tentative="1">
      <w:start w:val="1"/>
      <w:numFmt w:val="bullet"/>
      <w:lvlText w:val=""/>
      <w:lvlJc w:val="left"/>
      <w:pPr>
        <w:ind w:left="2160" w:hanging="360"/>
      </w:pPr>
      <w:rPr>
        <w:rFonts w:ascii="Wingdings" w:hAnsi="Wingdings" w:hint="default"/>
      </w:rPr>
    </w:lvl>
    <w:lvl w:ilvl="3" w:tplc="8034CFFC" w:tentative="1">
      <w:start w:val="1"/>
      <w:numFmt w:val="bullet"/>
      <w:lvlText w:val=""/>
      <w:lvlJc w:val="left"/>
      <w:pPr>
        <w:ind w:left="2880" w:hanging="360"/>
      </w:pPr>
      <w:rPr>
        <w:rFonts w:ascii="Symbol" w:hAnsi="Symbol" w:hint="default"/>
      </w:rPr>
    </w:lvl>
    <w:lvl w:ilvl="4" w:tplc="7132EA16" w:tentative="1">
      <w:start w:val="1"/>
      <w:numFmt w:val="bullet"/>
      <w:lvlText w:val="o"/>
      <w:lvlJc w:val="left"/>
      <w:pPr>
        <w:ind w:left="3600" w:hanging="360"/>
      </w:pPr>
      <w:rPr>
        <w:rFonts w:ascii="Courier New" w:hAnsi="Courier New" w:cs="Courier New" w:hint="default"/>
      </w:rPr>
    </w:lvl>
    <w:lvl w:ilvl="5" w:tplc="F24CFB3E" w:tentative="1">
      <w:start w:val="1"/>
      <w:numFmt w:val="bullet"/>
      <w:lvlText w:val=""/>
      <w:lvlJc w:val="left"/>
      <w:pPr>
        <w:ind w:left="4320" w:hanging="360"/>
      </w:pPr>
      <w:rPr>
        <w:rFonts w:ascii="Wingdings" w:hAnsi="Wingdings" w:hint="default"/>
      </w:rPr>
    </w:lvl>
    <w:lvl w:ilvl="6" w:tplc="1BB6945A" w:tentative="1">
      <w:start w:val="1"/>
      <w:numFmt w:val="bullet"/>
      <w:lvlText w:val=""/>
      <w:lvlJc w:val="left"/>
      <w:pPr>
        <w:ind w:left="5040" w:hanging="360"/>
      </w:pPr>
      <w:rPr>
        <w:rFonts w:ascii="Symbol" w:hAnsi="Symbol" w:hint="default"/>
      </w:rPr>
    </w:lvl>
    <w:lvl w:ilvl="7" w:tplc="B5E83A0A" w:tentative="1">
      <w:start w:val="1"/>
      <w:numFmt w:val="bullet"/>
      <w:lvlText w:val="o"/>
      <w:lvlJc w:val="left"/>
      <w:pPr>
        <w:ind w:left="5760" w:hanging="360"/>
      </w:pPr>
      <w:rPr>
        <w:rFonts w:ascii="Courier New" w:hAnsi="Courier New" w:cs="Courier New" w:hint="default"/>
      </w:rPr>
    </w:lvl>
    <w:lvl w:ilvl="8" w:tplc="DEA04A34" w:tentative="1">
      <w:start w:val="1"/>
      <w:numFmt w:val="bullet"/>
      <w:lvlText w:val=""/>
      <w:lvlJc w:val="left"/>
      <w:pPr>
        <w:ind w:left="6480" w:hanging="360"/>
      </w:pPr>
      <w:rPr>
        <w:rFonts w:ascii="Wingdings" w:hAnsi="Wingdings" w:hint="default"/>
      </w:rPr>
    </w:lvl>
  </w:abstractNum>
  <w:abstractNum w:abstractNumId="11" w15:restartNumberingAfterBreak="0">
    <w:nsid w:val="38554715"/>
    <w:multiLevelType w:val="hybridMultilevel"/>
    <w:tmpl w:val="6696E61A"/>
    <w:lvl w:ilvl="0" w:tplc="03C859E4">
      <w:start w:val="1"/>
      <w:numFmt w:val="lowerLetter"/>
      <w:pStyle w:val="ListLetter5"/>
      <w:lvlText w:val="%1."/>
      <w:lvlJc w:val="left"/>
      <w:pPr>
        <w:ind w:left="1800" w:hanging="360"/>
      </w:p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2" w15:restartNumberingAfterBreak="0">
    <w:nsid w:val="3AA763E0"/>
    <w:multiLevelType w:val="hybridMultilevel"/>
    <w:tmpl w:val="B89490F6"/>
    <w:lvl w:ilvl="0" w:tplc="AE34843A">
      <w:start w:val="1"/>
      <w:numFmt w:val="bullet"/>
      <w:pStyle w:val="ListBullet4"/>
      <w:lvlText w:val=""/>
      <w:lvlJc w:val="left"/>
      <w:pPr>
        <w:ind w:left="1800" w:hanging="360"/>
      </w:pPr>
      <w:rPr>
        <w:rFonts w:ascii="Symbol" w:hAnsi="Symbol" w:cs="Symbol" w:hint="default"/>
      </w:rPr>
    </w:lvl>
    <w:lvl w:ilvl="1" w:tplc="04090019">
      <w:start w:val="1"/>
      <w:numFmt w:val="bullet"/>
      <w:lvlText w:val="o"/>
      <w:lvlJc w:val="left"/>
      <w:pPr>
        <w:ind w:left="2520" w:hanging="360"/>
      </w:pPr>
      <w:rPr>
        <w:rFonts w:ascii="Courier New" w:hAnsi="Courier New" w:cs="Courier New" w:hint="default"/>
      </w:rPr>
    </w:lvl>
    <w:lvl w:ilvl="2" w:tplc="0409001B">
      <w:start w:val="1"/>
      <w:numFmt w:val="bullet"/>
      <w:lvlText w:val=""/>
      <w:lvlJc w:val="left"/>
      <w:pPr>
        <w:ind w:left="3240" w:hanging="360"/>
      </w:pPr>
      <w:rPr>
        <w:rFonts w:ascii="Wingdings" w:hAnsi="Wingdings" w:cs="Wingdings" w:hint="default"/>
      </w:rPr>
    </w:lvl>
    <w:lvl w:ilvl="3" w:tplc="0409000F">
      <w:start w:val="1"/>
      <w:numFmt w:val="bullet"/>
      <w:lvlText w:val=""/>
      <w:lvlJc w:val="left"/>
      <w:pPr>
        <w:ind w:left="3960" w:hanging="360"/>
      </w:pPr>
      <w:rPr>
        <w:rFonts w:ascii="Symbol" w:hAnsi="Symbol" w:cs="Symbol" w:hint="default"/>
      </w:rPr>
    </w:lvl>
    <w:lvl w:ilvl="4" w:tplc="04090019">
      <w:start w:val="1"/>
      <w:numFmt w:val="bullet"/>
      <w:lvlText w:val="o"/>
      <w:lvlJc w:val="left"/>
      <w:pPr>
        <w:ind w:left="4680" w:hanging="360"/>
      </w:pPr>
      <w:rPr>
        <w:rFonts w:ascii="Courier New" w:hAnsi="Courier New" w:cs="Courier New" w:hint="default"/>
      </w:rPr>
    </w:lvl>
    <w:lvl w:ilvl="5" w:tplc="0409001B">
      <w:start w:val="1"/>
      <w:numFmt w:val="bullet"/>
      <w:lvlText w:val=""/>
      <w:lvlJc w:val="left"/>
      <w:pPr>
        <w:ind w:left="5400" w:hanging="360"/>
      </w:pPr>
      <w:rPr>
        <w:rFonts w:ascii="Wingdings" w:hAnsi="Wingdings" w:cs="Wingdings" w:hint="default"/>
      </w:rPr>
    </w:lvl>
    <w:lvl w:ilvl="6" w:tplc="0409000F">
      <w:start w:val="1"/>
      <w:numFmt w:val="bullet"/>
      <w:lvlText w:val=""/>
      <w:lvlJc w:val="left"/>
      <w:pPr>
        <w:ind w:left="6120" w:hanging="360"/>
      </w:pPr>
      <w:rPr>
        <w:rFonts w:ascii="Symbol" w:hAnsi="Symbol" w:cs="Symbol" w:hint="default"/>
      </w:rPr>
    </w:lvl>
    <w:lvl w:ilvl="7" w:tplc="04090019">
      <w:start w:val="1"/>
      <w:numFmt w:val="bullet"/>
      <w:lvlText w:val="o"/>
      <w:lvlJc w:val="left"/>
      <w:pPr>
        <w:ind w:left="6840" w:hanging="360"/>
      </w:pPr>
      <w:rPr>
        <w:rFonts w:ascii="Courier New" w:hAnsi="Courier New" w:cs="Courier New" w:hint="default"/>
      </w:rPr>
    </w:lvl>
    <w:lvl w:ilvl="8" w:tplc="0409001B">
      <w:start w:val="1"/>
      <w:numFmt w:val="bullet"/>
      <w:lvlText w:val=""/>
      <w:lvlJc w:val="left"/>
      <w:pPr>
        <w:ind w:left="7560" w:hanging="360"/>
      </w:pPr>
      <w:rPr>
        <w:rFonts w:ascii="Wingdings" w:hAnsi="Wingdings" w:cs="Wingdings" w:hint="default"/>
      </w:rPr>
    </w:lvl>
  </w:abstractNum>
  <w:abstractNum w:abstractNumId="13" w15:restartNumberingAfterBreak="0">
    <w:nsid w:val="40BB7754"/>
    <w:multiLevelType w:val="hybridMultilevel"/>
    <w:tmpl w:val="C11E36A8"/>
    <w:name w:val="WWln22"/>
    <w:lvl w:ilvl="0" w:tplc="6382ED32">
      <w:start w:val="1"/>
      <w:numFmt w:val="decimal"/>
      <w:pStyle w:val="ListNumber"/>
      <w:lvlText w:val="%1."/>
      <w:lvlJc w:val="left"/>
      <w:pPr>
        <w:ind w:left="720" w:hanging="360"/>
      </w:pPr>
    </w:lvl>
    <w:lvl w:ilvl="1" w:tplc="195C3B10" w:tentative="1">
      <w:start w:val="1"/>
      <w:numFmt w:val="lowerLetter"/>
      <w:lvlText w:val="%2."/>
      <w:lvlJc w:val="left"/>
      <w:pPr>
        <w:ind w:left="1440" w:hanging="360"/>
      </w:pPr>
    </w:lvl>
    <w:lvl w:ilvl="2" w:tplc="2BA24586" w:tentative="1">
      <w:start w:val="1"/>
      <w:numFmt w:val="lowerRoman"/>
      <w:lvlText w:val="%3."/>
      <w:lvlJc w:val="right"/>
      <w:pPr>
        <w:ind w:left="2160" w:hanging="180"/>
      </w:pPr>
    </w:lvl>
    <w:lvl w:ilvl="3" w:tplc="9BC8C2F4" w:tentative="1">
      <w:start w:val="1"/>
      <w:numFmt w:val="decimal"/>
      <w:lvlText w:val="%4."/>
      <w:lvlJc w:val="left"/>
      <w:pPr>
        <w:ind w:left="2880" w:hanging="360"/>
      </w:pPr>
    </w:lvl>
    <w:lvl w:ilvl="4" w:tplc="9368883E" w:tentative="1">
      <w:start w:val="1"/>
      <w:numFmt w:val="lowerLetter"/>
      <w:lvlText w:val="%5."/>
      <w:lvlJc w:val="left"/>
      <w:pPr>
        <w:ind w:left="3600" w:hanging="360"/>
      </w:pPr>
    </w:lvl>
    <w:lvl w:ilvl="5" w:tplc="3A08B8E4" w:tentative="1">
      <w:start w:val="1"/>
      <w:numFmt w:val="lowerRoman"/>
      <w:lvlText w:val="%6."/>
      <w:lvlJc w:val="right"/>
      <w:pPr>
        <w:ind w:left="4320" w:hanging="180"/>
      </w:pPr>
    </w:lvl>
    <w:lvl w:ilvl="6" w:tplc="96DE3D16" w:tentative="1">
      <w:start w:val="1"/>
      <w:numFmt w:val="decimal"/>
      <w:lvlText w:val="%7."/>
      <w:lvlJc w:val="left"/>
      <w:pPr>
        <w:ind w:left="5040" w:hanging="360"/>
      </w:pPr>
    </w:lvl>
    <w:lvl w:ilvl="7" w:tplc="C4A0D7DC" w:tentative="1">
      <w:start w:val="1"/>
      <w:numFmt w:val="lowerLetter"/>
      <w:lvlText w:val="%8."/>
      <w:lvlJc w:val="left"/>
      <w:pPr>
        <w:ind w:left="5760" w:hanging="360"/>
      </w:pPr>
    </w:lvl>
    <w:lvl w:ilvl="8" w:tplc="D5B402EA" w:tentative="1">
      <w:start w:val="1"/>
      <w:numFmt w:val="lowerRoman"/>
      <w:lvlText w:val="%9."/>
      <w:lvlJc w:val="right"/>
      <w:pPr>
        <w:ind w:left="6480" w:hanging="180"/>
      </w:pPr>
    </w:lvl>
  </w:abstractNum>
  <w:abstractNum w:abstractNumId="14" w15:restartNumberingAfterBreak="0">
    <w:nsid w:val="4138451D"/>
    <w:multiLevelType w:val="hybridMultilevel"/>
    <w:tmpl w:val="5EAC66AC"/>
    <w:lvl w:ilvl="0" w:tplc="2F4A7950">
      <w:start w:val="1"/>
      <w:numFmt w:val="lowerLetter"/>
      <w:lvlText w:val="%1."/>
      <w:lvlJc w:val="left"/>
      <w:pPr>
        <w:ind w:left="360" w:hanging="360"/>
      </w:pPr>
      <w:rPr>
        <w:rFonts w:ascii="Times New Roman" w:eastAsia="Times New Roman" w:hAnsi="Times New Roman" w:hint="default"/>
        <w:w w:val="99"/>
        <w:sz w:val="20"/>
        <w:szCs w:val="20"/>
      </w:rPr>
    </w:lvl>
    <w:lvl w:ilvl="1" w:tplc="563470E2">
      <w:start w:val="1"/>
      <w:numFmt w:val="decimal"/>
      <w:lvlText w:val="%2."/>
      <w:lvlJc w:val="left"/>
      <w:pPr>
        <w:ind w:left="341" w:hanging="360"/>
      </w:pPr>
      <w:rPr>
        <w:rFonts w:ascii="Times New Roman" w:eastAsia="Times New Roman" w:hAnsi="Times New Roman" w:hint="default"/>
        <w:sz w:val="24"/>
        <w:szCs w:val="24"/>
      </w:rPr>
    </w:lvl>
    <w:lvl w:ilvl="2" w:tplc="F050F606">
      <w:start w:val="1"/>
      <w:numFmt w:val="lowerLetter"/>
      <w:lvlText w:val="%3."/>
      <w:lvlJc w:val="left"/>
      <w:pPr>
        <w:ind w:left="1061" w:hanging="360"/>
      </w:pPr>
      <w:rPr>
        <w:rFonts w:ascii="Times New Roman" w:eastAsia="Times New Roman" w:hAnsi="Times New Roman" w:hint="default"/>
        <w:spacing w:val="-1"/>
        <w:sz w:val="24"/>
        <w:szCs w:val="24"/>
      </w:rPr>
    </w:lvl>
    <w:lvl w:ilvl="3" w:tplc="EAA2D17A">
      <w:start w:val="1"/>
      <w:numFmt w:val="lowerRoman"/>
      <w:lvlText w:val="%4."/>
      <w:lvlJc w:val="left"/>
      <w:pPr>
        <w:ind w:left="1781" w:hanging="308"/>
        <w:jc w:val="right"/>
      </w:pPr>
      <w:rPr>
        <w:rFonts w:ascii="Times New Roman" w:eastAsia="Times New Roman" w:hAnsi="Times New Roman" w:hint="default"/>
        <w:sz w:val="24"/>
        <w:szCs w:val="24"/>
      </w:rPr>
    </w:lvl>
    <w:lvl w:ilvl="4" w:tplc="B5AE7DB2">
      <w:start w:val="1"/>
      <w:numFmt w:val="bullet"/>
      <w:lvlText w:val="•"/>
      <w:lvlJc w:val="left"/>
      <w:pPr>
        <w:ind w:left="1061" w:hanging="308"/>
      </w:pPr>
      <w:rPr>
        <w:rFonts w:hint="default"/>
      </w:rPr>
    </w:lvl>
    <w:lvl w:ilvl="5" w:tplc="A66CEAD8">
      <w:start w:val="1"/>
      <w:numFmt w:val="bullet"/>
      <w:lvlText w:val="•"/>
      <w:lvlJc w:val="left"/>
      <w:pPr>
        <w:ind w:left="1781" w:hanging="308"/>
      </w:pPr>
      <w:rPr>
        <w:rFonts w:hint="default"/>
      </w:rPr>
    </w:lvl>
    <w:lvl w:ilvl="6" w:tplc="0316A0C2">
      <w:start w:val="1"/>
      <w:numFmt w:val="bullet"/>
      <w:lvlText w:val="•"/>
      <w:lvlJc w:val="left"/>
      <w:pPr>
        <w:ind w:left="1781" w:hanging="308"/>
      </w:pPr>
      <w:rPr>
        <w:rFonts w:hint="default"/>
      </w:rPr>
    </w:lvl>
    <w:lvl w:ilvl="7" w:tplc="E4868820">
      <w:start w:val="1"/>
      <w:numFmt w:val="bullet"/>
      <w:lvlText w:val="•"/>
      <w:lvlJc w:val="left"/>
      <w:pPr>
        <w:ind w:left="1781" w:hanging="308"/>
      </w:pPr>
      <w:rPr>
        <w:rFonts w:hint="default"/>
      </w:rPr>
    </w:lvl>
    <w:lvl w:ilvl="8" w:tplc="A30A566C">
      <w:start w:val="1"/>
      <w:numFmt w:val="bullet"/>
      <w:lvlText w:val="•"/>
      <w:lvlJc w:val="left"/>
      <w:pPr>
        <w:ind w:left="1781" w:hanging="308"/>
      </w:pPr>
      <w:rPr>
        <w:rFonts w:hint="default"/>
      </w:rPr>
    </w:lvl>
  </w:abstractNum>
  <w:abstractNum w:abstractNumId="15" w15:restartNumberingAfterBreak="0">
    <w:nsid w:val="44D0260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49546488"/>
    <w:multiLevelType w:val="hybridMultilevel"/>
    <w:tmpl w:val="7E8649EE"/>
    <w:lvl w:ilvl="0" w:tplc="8BD875E2">
      <w:start w:val="1"/>
      <w:numFmt w:val="bullet"/>
      <w:pStyle w:val="Table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4A20137"/>
    <w:multiLevelType w:val="hybridMultilevel"/>
    <w:tmpl w:val="6F28C1DA"/>
    <w:lvl w:ilvl="0" w:tplc="10090003">
      <w:start w:val="1"/>
      <w:numFmt w:val="bullet"/>
      <w:lvlText w:val="o"/>
      <w:lvlJc w:val="left"/>
      <w:pPr>
        <w:ind w:left="720" w:hanging="360"/>
      </w:pPr>
      <w:rPr>
        <w:rFonts w:ascii="Courier New" w:hAnsi="Courier New" w:cs="Courier New" w:hint="default"/>
      </w:rPr>
    </w:lvl>
    <w:lvl w:ilvl="1" w:tplc="AFDCFD94" w:tentative="1">
      <w:start w:val="1"/>
      <w:numFmt w:val="bullet"/>
      <w:lvlText w:val="o"/>
      <w:lvlJc w:val="left"/>
      <w:pPr>
        <w:ind w:left="1440" w:hanging="360"/>
      </w:pPr>
      <w:rPr>
        <w:rFonts w:ascii="Courier New" w:hAnsi="Courier New" w:cs="Courier New" w:hint="default"/>
      </w:rPr>
    </w:lvl>
    <w:lvl w:ilvl="2" w:tplc="BEAE9B18" w:tentative="1">
      <w:start w:val="1"/>
      <w:numFmt w:val="bullet"/>
      <w:lvlText w:val=""/>
      <w:lvlJc w:val="left"/>
      <w:pPr>
        <w:ind w:left="2160" w:hanging="360"/>
      </w:pPr>
      <w:rPr>
        <w:rFonts w:ascii="Wingdings" w:hAnsi="Wingdings" w:hint="default"/>
      </w:rPr>
    </w:lvl>
    <w:lvl w:ilvl="3" w:tplc="5FB050C6" w:tentative="1">
      <w:start w:val="1"/>
      <w:numFmt w:val="bullet"/>
      <w:lvlText w:val=""/>
      <w:lvlJc w:val="left"/>
      <w:pPr>
        <w:ind w:left="2880" w:hanging="360"/>
      </w:pPr>
      <w:rPr>
        <w:rFonts w:ascii="Symbol" w:hAnsi="Symbol" w:hint="default"/>
      </w:rPr>
    </w:lvl>
    <w:lvl w:ilvl="4" w:tplc="3496B098" w:tentative="1">
      <w:start w:val="1"/>
      <w:numFmt w:val="bullet"/>
      <w:lvlText w:val="o"/>
      <w:lvlJc w:val="left"/>
      <w:pPr>
        <w:ind w:left="3600" w:hanging="360"/>
      </w:pPr>
      <w:rPr>
        <w:rFonts w:ascii="Courier New" w:hAnsi="Courier New" w:cs="Courier New" w:hint="default"/>
      </w:rPr>
    </w:lvl>
    <w:lvl w:ilvl="5" w:tplc="552E26B6" w:tentative="1">
      <w:start w:val="1"/>
      <w:numFmt w:val="bullet"/>
      <w:lvlText w:val=""/>
      <w:lvlJc w:val="left"/>
      <w:pPr>
        <w:ind w:left="4320" w:hanging="360"/>
      </w:pPr>
      <w:rPr>
        <w:rFonts w:ascii="Wingdings" w:hAnsi="Wingdings" w:hint="default"/>
      </w:rPr>
    </w:lvl>
    <w:lvl w:ilvl="6" w:tplc="A1C0D52C" w:tentative="1">
      <w:start w:val="1"/>
      <w:numFmt w:val="bullet"/>
      <w:lvlText w:val=""/>
      <w:lvlJc w:val="left"/>
      <w:pPr>
        <w:ind w:left="5040" w:hanging="360"/>
      </w:pPr>
      <w:rPr>
        <w:rFonts w:ascii="Symbol" w:hAnsi="Symbol" w:hint="default"/>
      </w:rPr>
    </w:lvl>
    <w:lvl w:ilvl="7" w:tplc="843210B8" w:tentative="1">
      <w:start w:val="1"/>
      <w:numFmt w:val="bullet"/>
      <w:lvlText w:val="o"/>
      <w:lvlJc w:val="left"/>
      <w:pPr>
        <w:ind w:left="5760" w:hanging="360"/>
      </w:pPr>
      <w:rPr>
        <w:rFonts w:ascii="Courier New" w:hAnsi="Courier New" w:cs="Courier New" w:hint="default"/>
      </w:rPr>
    </w:lvl>
    <w:lvl w:ilvl="8" w:tplc="CA6E82B4" w:tentative="1">
      <w:start w:val="1"/>
      <w:numFmt w:val="bullet"/>
      <w:lvlText w:val=""/>
      <w:lvlJc w:val="left"/>
      <w:pPr>
        <w:ind w:left="6480" w:hanging="360"/>
      </w:pPr>
      <w:rPr>
        <w:rFonts w:ascii="Wingdings" w:hAnsi="Wingdings" w:hint="default"/>
      </w:rPr>
    </w:lvl>
  </w:abstractNum>
  <w:abstractNum w:abstractNumId="18" w15:restartNumberingAfterBreak="0">
    <w:nsid w:val="55393FB9"/>
    <w:multiLevelType w:val="singleLevel"/>
    <w:tmpl w:val="3CCCAE64"/>
    <w:lvl w:ilvl="0">
      <w:start w:val="1"/>
      <w:numFmt w:val="decimal"/>
      <w:pStyle w:val="ListNumber2"/>
      <w:lvlText w:val="%1."/>
      <w:lvlJc w:val="left"/>
      <w:pPr>
        <w:tabs>
          <w:tab w:val="num" w:pos="720"/>
        </w:tabs>
        <w:ind w:left="720" w:hanging="360"/>
      </w:pPr>
      <w:rPr>
        <w:rFonts w:ascii="Times New Roman" w:hAnsi="Times New Roman" w:cs="Times New Roman" w:hint="default"/>
        <w:b w:val="0"/>
        <w:bCs w:val="0"/>
        <w:i w:val="0"/>
        <w:iCs w:val="0"/>
        <w:caps w:val="0"/>
        <w:sz w:val="22"/>
        <w:szCs w:val="24"/>
        <w:u w:val="none"/>
        <w:vertAlign w:val="baseline"/>
      </w:rPr>
    </w:lvl>
  </w:abstractNum>
  <w:abstractNum w:abstractNumId="19" w15:restartNumberingAfterBreak="0">
    <w:nsid w:val="574A0746"/>
    <w:multiLevelType w:val="hybridMultilevel"/>
    <w:tmpl w:val="869C7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823DEC"/>
    <w:multiLevelType w:val="singleLevel"/>
    <w:tmpl w:val="664E5DD4"/>
    <w:lvl w:ilvl="0">
      <w:start w:val="1"/>
      <w:numFmt w:val="lowerLetter"/>
      <w:pStyle w:val="ListLetter2"/>
      <w:lvlText w:val="%1."/>
      <w:lvlJc w:val="left"/>
      <w:pPr>
        <w:tabs>
          <w:tab w:val="num" w:pos="720"/>
        </w:tabs>
        <w:ind w:left="720" w:hanging="360"/>
      </w:pPr>
      <w:rPr>
        <w:rFonts w:ascii="Times New Roman" w:hAnsi="Times New Roman" w:cs="Times New Roman"/>
        <w:b w:val="0"/>
        <w:bCs w:val="0"/>
        <w:i w:val="0"/>
        <w:iCs w:val="0"/>
        <w:caps w:val="0"/>
        <w:sz w:val="22"/>
        <w:szCs w:val="24"/>
        <w:u w:val="none"/>
        <w:vertAlign w:val="baseline"/>
      </w:rPr>
    </w:lvl>
  </w:abstractNum>
  <w:abstractNum w:abstractNumId="21" w15:restartNumberingAfterBreak="0">
    <w:nsid w:val="5E2D38DA"/>
    <w:multiLevelType w:val="singleLevel"/>
    <w:tmpl w:val="783AE168"/>
    <w:lvl w:ilvl="0">
      <w:start w:val="1"/>
      <w:numFmt w:val="bullet"/>
      <w:pStyle w:val="ListBullet2"/>
      <w:lvlText w:val="o"/>
      <w:lvlJc w:val="left"/>
      <w:pPr>
        <w:ind w:left="720" w:hanging="360"/>
      </w:pPr>
      <w:rPr>
        <w:rFonts w:ascii="Courier New" w:hAnsi="Courier New" w:cs="Courier New" w:hint="default"/>
        <w:b w:val="0"/>
        <w:bCs w:val="0"/>
        <w:i w:val="0"/>
        <w:iCs w:val="0"/>
        <w:caps w:val="0"/>
        <w:sz w:val="22"/>
        <w:szCs w:val="24"/>
        <w:u w:val="none"/>
        <w:vertAlign w:val="baseline"/>
      </w:rPr>
    </w:lvl>
  </w:abstractNum>
  <w:abstractNum w:abstractNumId="22" w15:restartNumberingAfterBreak="0">
    <w:nsid w:val="608B6CC7"/>
    <w:multiLevelType w:val="hybridMultilevel"/>
    <w:tmpl w:val="5EAC66AC"/>
    <w:lvl w:ilvl="0" w:tplc="2F4A7950">
      <w:start w:val="1"/>
      <w:numFmt w:val="lowerLetter"/>
      <w:lvlText w:val="%1."/>
      <w:lvlJc w:val="left"/>
      <w:pPr>
        <w:ind w:left="360" w:hanging="360"/>
      </w:pPr>
      <w:rPr>
        <w:rFonts w:ascii="Times New Roman" w:eastAsia="Times New Roman" w:hAnsi="Times New Roman" w:hint="default"/>
        <w:w w:val="99"/>
        <w:sz w:val="20"/>
        <w:szCs w:val="20"/>
      </w:rPr>
    </w:lvl>
    <w:lvl w:ilvl="1" w:tplc="563470E2">
      <w:start w:val="1"/>
      <w:numFmt w:val="decimal"/>
      <w:lvlText w:val="%2."/>
      <w:lvlJc w:val="left"/>
      <w:pPr>
        <w:ind w:left="341" w:hanging="360"/>
      </w:pPr>
      <w:rPr>
        <w:rFonts w:ascii="Times New Roman" w:eastAsia="Times New Roman" w:hAnsi="Times New Roman" w:hint="default"/>
        <w:sz w:val="24"/>
        <w:szCs w:val="24"/>
      </w:rPr>
    </w:lvl>
    <w:lvl w:ilvl="2" w:tplc="F050F606">
      <w:start w:val="1"/>
      <w:numFmt w:val="lowerLetter"/>
      <w:lvlText w:val="%3."/>
      <w:lvlJc w:val="left"/>
      <w:pPr>
        <w:ind w:left="1061" w:hanging="360"/>
      </w:pPr>
      <w:rPr>
        <w:rFonts w:ascii="Times New Roman" w:eastAsia="Times New Roman" w:hAnsi="Times New Roman" w:hint="default"/>
        <w:spacing w:val="-1"/>
        <w:sz w:val="24"/>
        <w:szCs w:val="24"/>
      </w:rPr>
    </w:lvl>
    <w:lvl w:ilvl="3" w:tplc="EAA2D17A">
      <w:start w:val="1"/>
      <w:numFmt w:val="lowerRoman"/>
      <w:lvlText w:val="%4."/>
      <w:lvlJc w:val="left"/>
      <w:pPr>
        <w:ind w:left="1781" w:hanging="308"/>
        <w:jc w:val="right"/>
      </w:pPr>
      <w:rPr>
        <w:rFonts w:ascii="Times New Roman" w:eastAsia="Times New Roman" w:hAnsi="Times New Roman" w:hint="default"/>
        <w:sz w:val="24"/>
        <w:szCs w:val="24"/>
      </w:rPr>
    </w:lvl>
    <w:lvl w:ilvl="4" w:tplc="B5AE7DB2">
      <w:start w:val="1"/>
      <w:numFmt w:val="bullet"/>
      <w:lvlText w:val="•"/>
      <w:lvlJc w:val="left"/>
      <w:pPr>
        <w:ind w:left="1061" w:hanging="308"/>
      </w:pPr>
      <w:rPr>
        <w:rFonts w:hint="default"/>
      </w:rPr>
    </w:lvl>
    <w:lvl w:ilvl="5" w:tplc="A66CEAD8">
      <w:start w:val="1"/>
      <w:numFmt w:val="bullet"/>
      <w:lvlText w:val="•"/>
      <w:lvlJc w:val="left"/>
      <w:pPr>
        <w:ind w:left="1781" w:hanging="308"/>
      </w:pPr>
      <w:rPr>
        <w:rFonts w:hint="default"/>
      </w:rPr>
    </w:lvl>
    <w:lvl w:ilvl="6" w:tplc="0316A0C2">
      <w:start w:val="1"/>
      <w:numFmt w:val="bullet"/>
      <w:lvlText w:val="•"/>
      <w:lvlJc w:val="left"/>
      <w:pPr>
        <w:ind w:left="1781" w:hanging="308"/>
      </w:pPr>
      <w:rPr>
        <w:rFonts w:hint="default"/>
      </w:rPr>
    </w:lvl>
    <w:lvl w:ilvl="7" w:tplc="E4868820">
      <w:start w:val="1"/>
      <w:numFmt w:val="bullet"/>
      <w:lvlText w:val="•"/>
      <w:lvlJc w:val="left"/>
      <w:pPr>
        <w:ind w:left="1781" w:hanging="308"/>
      </w:pPr>
      <w:rPr>
        <w:rFonts w:hint="default"/>
      </w:rPr>
    </w:lvl>
    <w:lvl w:ilvl="8" w:tplc="A30A566C">
      <w:start w:val="1"/>
      <w:numFmt w:val="bullet"/>
      <w:lvlText w:val="•"/>
      <w:lvlJc w:val="left"/>
      <w:pPr>
        <w:ind w:left="1781" w:hanging="308"/>
      </w:pPr>
      <w:rPr>
        <w:rFonts w:hint="default"/>
      </w:rPr>
    </w:lvl>
  </w:abstractNum>
  <w:abstractNum w:abstractNumId="23" w15:restartNumberingAfterBreak="0">
    <w:nsid w:val="609323E4"/>
    <w:multiLevelType w:val="multilevel"/>
    <w:tmpl w:val="09A67934"/>
    <w:name w:val="WWln2"/>
    <w:lvl w:ilvl="0">
      <w:start w:val="1"/>
      <w:numFmt w:val="decimal"/>
      <w:pStyle w:val="Heading1"/>
      <w:lvlText w:val="%1."/>
      <w:lvlJc w:val="left"/>
      <w:pPr>
        <w:ind w:left="432"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666" w:hanging="666"/>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1170" w:hanging="117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ind w:left="864" w:hanging="864"/>
      </w:pPr>
      <w:rPr>
        <w:rFonts w:ascii="Times New Roman" w:hAnsi="Times New Roman" w:cs="Times New Roman" w:hint="default"/>
        <w:b/>
        <w:bCs w:val="0"/>
        <w:i w:val="0"/>
        <w:iCs w:val="0"/>
        <w:caps w:val="0"/>
        <w:sz w:val="24"/>
        <w:szCs w:val="24"/>
        <w:u w:val="none"/>
        <w:vertAlign w:val="baseline"/>
      </w:rPr>
    </w:lvl>
    <w:lvl w:ilvl="4">
      <w:start w:val="1"/>
      <w:numFmt w:val="decimal"/>
      <w:pStyle w:val="Heading5"/>
      <w:lvlText w:val="%1.%2.%3.%4.%5"/>
      <w:lvlJc w:val="left"/>
      <w:pPr>
        <w:ind w:left="1008" w:hanging="1008"/>
      </w:pPr>
      <w:rPr>
        <w:rFonts w:ascii="Times New Roman" w:hAnsi="Times New Roman" w:cs="Times New Roman" w:hint="default"/>
        <w:b/>
        <w:bCs w:val="0"/>
        <w:i w:val="0"/>
        <w:iCs w:val="0"/>
        <w:caps w:val="0"/>
        <w:sz w:val="24"/>
        <w:szCs w:val="24"/>
        <w:u w:val="none"/>
        <w:vertAlign w:val="baseline"/>
      </w:rPr>
    </w:lvl>
    <w:lvl w:ilvl="5">
      <w:start w:val="1"/>
      <w:numFmt w:val="decimal"/>
      <w:pStyle w:val="Heading6"/>
      <w:lvlText w:val="%1.%2.%3.%4.%5.%6"/>
      <w:lvlJc w:val="left"/>
      <w:pPr>
        <w:ind w:left="1152" w:hanging="115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Heading7"/>
      <w:lvlText w:val="%1.%2.%3.%4.%5.%6.%7"/>
      <w:lvlJc w:val="left"/>
      <w:pPr>
        <w:ind w:left="1296" w:hanging="1296"/>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pStyle w:val="Heading8"/>
      <w:lvlText w:val="%1.%2.%3.%4.%5.%6.%7.%8"/>
      <w:lvlJc w:val="left"/>
      <w:pPr>
        <w:ind w:left="2700" w:hanging="270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pStyle w:val="Heading9"/>
      <w:lvlText w:val="%1.%2.%3.%4.%5.%6.%7.%8.%9"/>
      <w:lvlJc w:val="left"/>
      <w:pPr>
        <w:ind w:left="1584" w:hanging="158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40018FA"/>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496273D"/>
    <w:multiLevelType w:val="hybridMultilevel"/>
    <w:tmpl w:val="D5BAE386"/>
    <w:lvl w:ilvl="0" w:tplc="6B4A7A66">
      <w:start w:val="1"/>
      <w:numFmt w:val="decimal"/>
      <w:pStyle w:val="ListNumber4"/>
      <w:lvlText w:val="%1."/>
      <w:lvlJc w:val="left"/>
      <w:pPr>
        <w:ind w:left="720" w:hanging="360"/>
      </w:pPr>
      <w:rPr>
        <w:rFonts w:ascii="Times New Roman" w:hAnsi="Times New Roman" w:cs="Times New Roman" w:hint="default"/>
        <w:b w:val="0"/>
        <w:bCs w:val="0"/>
        <w:i w:val="0"/>
        <w:iCs w:val="0"/>
        <w:caps w:val="0"/>
        <w:sz w:val="22"/>
        <w:szCs w:val="24"/>
        <w:u w:val="none"/>
        <w:vertAlign w:val="baseline"/>
      </w:rPr>
    </w:lvl>
    <w:lvl w:ilvl="1" w:tplc="1FB4B7FC">
      <w:start w:val="1"/>
      <w:numFmt w:val="lowerLetter"/>
      <w:lvlText w:val="%2."/>
      <w:lvlJc w:val="left"/>
      <w:pPr>
        <w:ind w:left="1440" w:hanging="360"/>
      </w:pPr>
    </w:lvl>
    <w:lvl w:ilvl="2" w:tplc="B9208110">
      <w:start w:val="1"/>
      <w:numFmt w:val="lowerRoman"/>
      <w:lvlText w:val="%3."/>
      <w:lvlJc w:val="right"/>
      <w:pPr>
        <w:ind w:left="2160" w:hanging="180"/>
      </w:pPr>
    </w:lvl>
    <w:lvl w:ilvl="3" w:tplc="DFD48A4A">
      <w:start w:val="1"/>
      <w:numFmt w:val="decimal"/>
      <w:lvlText w:val="%4."/>
      <w:lvlJc w:val="left"/>
      <w:pPr>
        <w:ind w:left="2880" w:hanging="360"/>
      </w:pPr>
    </w:lvl>
    <w:lvl w:ilvl="4" w:tplc="DC2ADE76">
      <w:start w:val="1"/>
      <w:numFmt w:val="lowerLetter"/>
      <w:lvlText w:val="%5."/>
      <w:lvlJc w:val="left"/>
      <w:pPr>
        <w:ind w:left="3600" w:hanging="360"/>
      </w:pPr>
    </w:lvl>
    <w:lvl w:ilvl="5" w:tplc="ED76872C">
      <w:start w:val="1"/>
      <w:numFmt w:val="lowerRoman"/>
      <w:lvlText w:val="%6."/>
      <w:lvlJc w:val="right"/>
      <w:pPr>
        <w:ind w:left="4320" w:hanging="180"/>
      </w:pPr>
    </w:lvl>
    <w:lvl w:ilvl="6" w:tplc="44C4AA0A">
      <w:start w:val="1"/>
      <w:numFmt w:val="decimal"/>
      <w:lvlText w:val="%7."/>
      <w:lvlJc w:val="left"/>
      <w:pPr>
        <w:ind w:left="5040" w:hanging="360"/>
      </w:pPr>
    </w:lvl>
    <w:lvl w:ilvl="7" w:tplc="EE1EB524">
      <w:start w:val="1"/>
      <w:numFmt w:val="lowerLetter"/>
      <w:lvlText w:val="%8."/>
      <w:lvlJc w:val="left"/>
      <w:pPr>
        <w:ind w:left="5760" w:hanging="360"/>
      </w:pPr>
    </w:lvl>
    <w:lvl w:ilvl="8" w:tplc="9594DCE2">
      <w:start w:val="1"/>
      <w:numFmt w:val="lowerRoman"/>
      <w:lvlText w:val="%9."/>
      <w:lvlJc w:val="right"/>
      <w:pPr>
        <w:ind w:left="6480" w:hanging="180"/>
      </w:pPr>
    </w:lvl>
  </w:abstractNum>
  <w:abstractNum w:abstractNumId="26" w15:restartNumberingAfterBreak="0">
    <w:nsid w:val="66FD3616"/>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530E3F"/>
    <w:multiLevelType w:val="hybridMultilevel"/>
    <w:tmpl w:val="19E49856"/>
    <w:lvl w:ilvl="0" w:tplc="6204A144">
      <w:start w:val="2"/>
      <w:numFmt w:val="decimal"/>
      <w:pStyle w:val="Heading2-Section16"/>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7C439F"/>
    <w:multiLevelType w:val="singleLevel"/>
    <w:tmpl w:val="C03AF03C"/>
    <w:lvl w:ilvl="0">
      <w:start w:val="1"/>
      <w:numFmt w:val="decimal"/>
      <w:pStyle w:val="ListNumber3"/>
      <w:lvlText w:val="%1."/>
      <w:lvlJc w:val="left"/>
      <w:pPr>
        <w:tabs>
          <w:tab w:val="num" w:pos="1080"/>
        </w:tabs>
        <w:ind w:left="1080" w:hanging="360"/>
      </w:pPr>
      <w:rPr>
        <w:rFonts w:ascii="Times New Roman" w:hAnsi="Times New Roman" w:cs="Times New Roman"/>
        <w:b w:val="0"/>
        <w:bCs w:val="0"/>
        <w:i w:val="0"/>
        <w:iCs w:val="0"/>
        <w:caps w:val="0"/>
        <w:sz w:val="22"/>
        <w:szCs w:val="24"/>
        <w:u w:val="none"/>
        <w:vertAlign w:val="baseline"/>
      </w:rPr>
    </w:lvl>
  </w:abstractNum>
  <w:abstractNum w:abstractNumId="29" w15:restartNumberingAfterBreak="0">
    <w:nsid w:val="76090B43"/>
    <w:multiLevelType w:val="singleLevel"/>
    <w:tmpl w:val="6930C1C0"/>
    <w:lvl w:ilvl="0">
      <w:start w:val="1"/>
      <w:numFmt w:val="lowerLetter"/>
      <w:pStyle w:val="TableFootnoteLetter"/>
      <w:lvlText w:val="%1"/>
      <w:lvlJc w:val="left"/>
      <w:pPr>
        <w:tabs>
          <w:tab w:val="num" w:pos="360"/>
        </w:tabs>
        <w:ind w:left="360" w:hanging="360"/>
      </w:pPr>
      <w:rPr>
        <w:rFonts w:ascii="Times New Roman" w:hAnsi="Times New Roman" w:cs="Times New Roman"/>
        <w:b w:val="0"/>
        <w:bCs w:val="0"/>
        <w:i w:val="0"/>
        <w:iCs w:val="0"/>
        <w:caps w:val="0"/>
        <w:sz w:val="20"/>
        <w:szCs w:val="20"/>
        <w:u w:val="none"/>
        <w:vertAlign w:val="superscript"/>
      </w:rPr>
    </w:lvl>
  </w:abstractNum>
  <w:abstractNum w:abstractNumId="30" w15:restartNumberingAfterBreak="0">
    <w:nsid w:val="7CA81392"/>
    <w:multiLevelType w:val="singleLevel"/>
    <w:tmpl w:val="C91AA346"/>
    <w:lvl w:ilvl="0">
      <w:start w:val="1"/>
      <w:numFmt w:val="lowerLetter"/>
      <w:pStyle w:val="ListLetter"/>
      <w:lvlText w:val="%1."/>
      <w:lvlJc w:val="left"/>
      <w:pPr>
        <w:tabs>
          <w:tab w:val="num" w:pos="360"/>
        </w:tabs>
        <w:ind w:left="360" w:hanging="360"/>
      </w:pPr>
      <w:rPr>
        <w:rFonts w:ascii="Times New Roman" w:hAnsi="Times New Roman" w:cs="Times New Roman"/>
        <w:b w:val="0"/>
        <w:bCs w:val="0"/>
        <w:i w:val="0"/>
        <w:iCs w:val="0"/>
        <w:caps w:val="0"/>
        <w:sz w:val="22"/>
        <w:szCs w:val="24"/>
        <w:u w:val="none"/>
        <w:vertAlign w:val="baseline"/>
      </w:rPr>
    </w:lvl>
  </w:abstractNum>
  <w:num w:numId="1">
    <w:abstractNumId w:val="29"/>
  </w:num>
  <w:num w:numId="2">
    <w:abstractNumId w:val="5"/>
  </w:num>
  <w:num w:numId="3">
    <w:abstractNumId w:val="7"/>
  </w:num>
  <w:num w:numId="4">
    <w:abstractNumId w:val="15"/>
  </w:num>
  <w:num w:numId="5">
    <w:abstractNumId w:val="26"/>
  </w:num>
  <w:num w:numId="6">
    <w:abstractNumId w:val="24"/>
  </w:num>
  <w:num w:numId="7">
    <w:abstractNumId w:val="23"/>
  </w:num>
  <w:num w:numId="8">
    <w:abstractNumId w:val="8"/>
  </w:num>
  <w:num w:numId="9">
    <w:abstractNumId w:val="21"/>
  </w:num>
  <w:num w:numId="10">
    <w:abstractNumId w:val="10"/>
  </w:num>
  <w:num w:numId="11">
    <w:abstractNumId w:val="12"/>
  </w:num>
  <w:num w:numId="12">
    <w:abstractNumId w:val="1"/>
  </w:num>
  <w:num w:numId="13">
    <w:abstractNumId w:val="30"/>
  </w:num>
  <w:num w:numId="14">
    <w:abstractNumId w:val="20"/>
  </w:num>
  <w:num w:numId="15">
    <w:abstractNumId w:val="3"/>
  </w:num>
  <w:num w:numId="16">
    <w:abstractNumId w:val="4"/>
  </w:num>
  <w:num w:numId="17">
    <w:abstractNumId w:val="11"/>
    <w:lvlOverride w:ilvl="0">
      <w:startOverride w:val="1"/>
    </w:lvlOverride>
  </w:num>
  <w:num w:numId="18">
    <w:abstractNumId w:val="13"/>
  </w:num>
  <w:num w:numId="19">
    <w:abstractNumId w:val="18"/>
  </w:num>
  <w:num w:numId="20">
    <w:abstractNumId w:val="28"/>
  </w:num>
  <w:num w:numId="21">
    <w:abstractNumId w:val="25"/>
  </w:num>
  <w:num w:numId="22">
    <w:abstractNumId w:val="0"/>
  </w:num>
  <w:num w:numId="23">
    <w:abstractNumId w:val="6"/>
  </w:num>
  <w:num w:numId="24">
    <w:abstractNumId w:val="27"/>
  </w:num>
  <w:num w:numId="25">
    <w:abstractNumId w:val="9"/>
  </w:num>
  <w:num w:numId="26">
    <w:abstractNumId w:val="5"/>
    <w:lvlOverride w:ilvl="0">
      <w:startOverride w:val="1"/>
    </w:lvlOverride>
  </w:num>
  <w:num w:numId="27">
    <w:abstractNumId w:val="13"/>
    <w:lvlOverride w:ilvl="0">
      <w:startOverride w:val="1"/>
    </w:lvlOverride>
  </w:num>
  <w:num w:numId="28">
    <w:abstractNumId w:val="13"/>
    <w:lvlOverride w:ilvl="0">
      <w:startOverride w:val="1"/>
    </w:lvlOverride>
  </w:num>
  <w:num w:numId="29">
    <w:abstractNumId w:val="13"/>
    <w:lvlOverride w:ilvl="0">
      <w:startOverride w:val="1"/>
    </w:lvlOverride>
  </w:num>
  <w:num w:numId="30">
    <w:abstractNumId w:val="20"/>
    <w:lvlOverride w:ilvl="0">
      <w:startOverride w:val="1"/>
    </w:lvlOverride>
  </w:num>
  <w:num w:numId="31">
    <w:abstractNumId w:val="20"/>
    <w:lvlOverride w:ilvl="0">
      <w:startOverride w:val="1"/>
    </w:lvlOverride>
  </w:num>
  <w:num w:numId="32">
    <w:abstractNumId w:val="17"/>
  </w:num>
  <w:num w:numId="33">
    <w:abstractNumId w:val="13"/>
    <w:lvlOverride w:ilvl="0">
      <w:startOverride w:val="1"/>
    </w:lvlOverride>
  </w:num>
  <w:num w:numId="34">
    <w:abstractNumId w:val="13"/>
    <w:lvlOverride w:ilvl="0">
      <w:startOverride w:val="1"/>
    </w:lvlOverride>
  </w:num>
  <w:num w:numId="35">
    <w:abstractNumId w:val="22"/>
  </w:num>
  <w:num w:numId="36">
    <w:abstractNumId w:val="14"/>
  </w:num>
  <w:num w:numId="37">
    <w:abstractNumId w:val="29"/>
    <w:lvlOverride w:ilvl="0">
      <w:startOverride w:val="1"/>
    </w:lvlOverride>
  </w:num>
  <w:num w:numId="38">
    <w:abstractNumId w:val="5"/>
    <w:lvlOverride w:ilvl="0">
      <w:startOverride w:val="1"/>
    </w:lvlOverride>
  </w:num>
  <w:num w:numId="39">
    <w:abstractNumId w:val="23"/>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16"/>
  </w:num>
  <w:num w:numId="42">
    <w:abstractNumId w:val="16"/>
  </w:num>
  <w:num w:numId="43">
    <w:abstractNumId w:val="16"/>
  </w:num>
  <w:num w:numId="44">
    <w:abstractNumId w:val="16"/>
  </w:num>
  <w:num w:numId="45">
    <w:abstractNumId w:val="23"/>
  </w:num>
  <w:num w:numId="46">
    <w:abstractNumId w:val="11"/>
  </w:num>
  <w:num w:numId="47">
    <w:abstractNumId w:val="19"/>
  </w:num>
  <w:num w:numId="48">
    <w:abstractNumId w:val="5"/>
    <w:lvlOverride w:ilvl="0">
      <w:startOverride w:val="1"/>
    </w:lvlOverride>
  </w:num>
  <w:num w:numId="49">
    <w:abstractNumId w:val="23"/>
  </w:num>
  <w:num w:numId="50">
    <w:abstractNumId w:val="5"/>
    <w:lvlOverride w:ilvl="0">
      <w:startOverride w:val="1"/>
    </w:lvlOverride>
  </w:num>
  <w:num w:numId="51">
    <w:abstractNumId w:val="8"/>
  </w:num>
  <w:num w:numId="52">
    <w:abstractNumId w:val="8"/>
  </w:num>
  <w:num w:numId="53">
    <w:abstractNumId w:val="2"/>
  </w:num>
  <w:num w:numId="54">
    <w:abstractNumId w:val="7"/>
  </w:num>
  <w:num w:numId="55">
    <w:abstractNumId w:val="7"/>
  </w:num>
  <w:num w:numId="56">
    <w:abstractNumId w:val="23"/>
  </w:num>
  <w:num w:numId="57">
    <w:abstractNumId w:val="8"/>
  </w:num>
  <w:num w:numId="58">
    <w:abstractNumId w:val="7"/>
  </w:num>
  <w:num w:numId="59">
    <w:abstractNumId w:val="7"/>
  </w:num>
  <w:num w:numId="60">
    <w:abstractNumId w:val="7"/>
  </w:num>
  <w:num w:numId="61">
    <w:abstractNumId w:val="7"/>
  </w:num>
  <w:num w:numId="62">
    <w:abstractNumId w:val="7"/>
  </w:num>
  <w:num w:numId="63">
    <w:abstractNumId w:val="7"/>
  </w:num>
  <w:num w:numId="64">
    <w:abstractNumId w:val="7"/>
  </w:num>
  <w:num w:numId="65">
    <w:abstractNumId w:val="7"/>
  </w:num>
  <w:num w:numId="66">
    <w:abstractNumId w:val="7"/>
  </w:num>
  <w:num w:numId="67">
    <w:abstractNumId w:val="13"/>
    <w:lvlOverride w:ilvl="0">
      <w:startOverride w:val="1"/>
    </w:lvlOverride>
  </w:num>
  <w:num w:numId="68">
    <w:abstractNumId w:val="7"/>
  </w:num>
  <w:num w:numId="69">
    <w:abstractNumId w:val="7"/>
  </w:num>
  <w:num w:numId="70">
    <w:abstractNumId w:val="7"/>
  </w:num>
  <w:num w:numId="71">
    <w:abstractNumId w:val="7"/>
  </w:num>
  <w:num w:numId="72">
    <w:abstractNumId w:val="7"/>
  </w:num>
  <w:num w:numId="73">
    <w:abstractNumId w:val="5"/>
  </w:num>
  <w:num w:numId="74">
    <w:abstractNumId w:val="5"/>
    <w:lvlOverride w:ilvl="0">
      <w:startOverride w:val="1"/>
    </w:lvlOverride>
  </w:num>
  <w:num w:numId="75">
    <w:abstractNumId w:val="23"/>
  </w:num>
  <w:num w:numId="76">
    <w:abstractNumId w:val="23"/>
  </w:num>
  <w:num w:numId="77">
    <w:abstractNumId w:val="23"/>
  </w:num>
  <w:num w:numId="78">
    <w:abstractNumId w:val="23"/>
  </w:num>
  <w:num w:numId="79">
    <w:abstractNumId w:val="23"/>
  </w:num>
  <w:num w:numId="80">
    <w:abstractNumId w:val="23"/>
  </w:num>
  <w:num w:numId="81">
    <w:abstractNumId w:val="23"/>
  </w:num>
  <w:num w:numId="82">
    <w:abstractNumId w:val="2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C3F"/>
    <w:rsid w:val="00003862"/>
    <w:rsid w:val="00007970"/>
    <w:rsid w:val="00007A1D"/>
    <w:rsid w:val="00007BC4"/>
    <w:rsid w:val="00010794"/>
    <w:rsid w:val="00010DE8"/>
    <w:rsid w:val="00012EAA"/>
    <w:rsid w:val="00015502"/>
    <w:rsid w:val="00021AE8"/>
    <w:rsid w:val="00025134"/>
    <w:rsid w:val="0002616A"/>
    <w:rsid w:val="00026D9E"/>
    <w:rsid w:val="00027720"/>
    <w:rsid w:val="000315E8"/>
    <w:rsid w:val="00031A21"/>
    <w:rsid w:val="000358F3"/>
    <w:rsid w:val="00037C9E"/>
    <w:rsid w:val="00043B14"/>
    <w:rsid w:val="00044536"/>
    <w:rsid w:val="000504F1"/>
    <w:rsid w:val="000513B7"/>
    <w:rsid w:val="000540AF"/>
    <w:rsid w:val="000544E0"/>
    <w:rsid w:val="00054A9F"/>
    <w:rsid w:val="0005578A"/>
    <w:rsid w:val="0005617F"/>
    <w:rsid w:val="000632B5"/>
    <w:rsid w:val="000646A0"/>
    <w:rsid w:val="00065755"/>
    <w:rsid w:val="000673D1"/>
    <w:rsid w:val="0007200C"/>
    <w:rsid w:val="00073BBA"/>
    <w:rsid w:val="000750C6"/>
    <w:rsid w:val="0007612E"/>
    <w:rsid w:val="000802CA"/>
    <w:rsid w:val="00080413"/>
    <w:rsid w:val="00080C38"/>
    <w:rsid w:val="0008415B"/>
    <w:rsid w:val="000842F5"/>
    <w:rsid w:val="00084FAF"/>
    <w:rsid w:val="00085046"/>
    <w:rsid w:val="00085AEB"/>
    <w:rsid w:val="000907AE"/>
    <w:rsid w:val="000916FF"/>
    <w:rsid w:val="00091DB9"/>
    <w:rsid w:val="00094182"/>
    <w:rsid w:val="000945DC"/>
    <w:rsid w:val="00095746"/>
    <w:rsid w:val="000A0AD8"/>
    <w:rsid w:val="000A1883"/>
    <w:rsid w:val="000A23AA"/>
    <w:rsid w:val="000A2866"/>
    <w:rsid w:val="000A468C"/>
    <w:rsid w:val="000A4E0B"/>
    <w:rsid w:val="000A5703"/>
    <w:rsid w:val="000A5EE3"/>
    <w:rsid w:val="000A614E"/>
    <w:rsid w:val="000B060B"/>
    <w:rsid w:val="000B0B57"/>
    <w:rsid w:val="000B1764"/>
    <w:rsid w:val="000B2646"/>
    <w:rsid w:val="000B3A72"/>
    <w:rsid w:val="000B5A6A"/>
    <w:rsid w:val="000B72F7"/>
    <w:rsid w:val="000B78FE"/>
    <w:rsid w:val="000B7DE6"/>
    <w:rsid w:val="000C13EE"/>
    <w:rsid w:val="000C14BA"/>
    <w:rsid w:val="000C2E4B"/>
    <w:rsid w:val="000C597F"/>
    <w:rsid w:val="000C6ACA"/>
    <w:rsid w:val="000C6B46"/>
    <w:rsid w:val="000D044F"/>
    <w:rsid w:val="000D3594"/>
    <w:rsid w:val="000D4506"/>
    <w:rsid w:val="000D7221"/>
    <w:rsid w:val="000E2E8C"/>
    <w:rsid w:val="000E3C65"/>
    <w:rsid w:val="000E5A4C"/>
    <w:rsid w:val="000E7041"/>
    <w:rsid w:val="000E7488"/>
    <w:rsid w:val="000E7AFC"/>
    <w:rsid w:val="000F050C"/>
    <w:rsid w:val="000F45E0"/>
    <w:rsid w:val="000F58E2"/>
    <w:rsid w:val="000F5C83"/>
    <w:rsid w:val="000F5DCB"/>
    <w:rsid w:val="000F74E7"/>
    <w:rsid w:val="00101590"/>
    <w:rsid w:val="00101FE9"/>
    <w:rsid w:val="00103036"/>
    <w:rsid w:val="001031AF"/>
    <w:rsid w:val="001037F2"/>
    <w:rsid w:val="0010583B"/>
    <w:rsid w:val="00107C3F"/>
    <w:rsid w:val="00107DED"/>
    <w:rsid w:val="001144E8"/>
    <w:rsid w:val="001146BC"/>
    <w:rsid w:val="0011527A"/>
    <w:rsid w:val="0011544D"/>
    <w:rsid w:val="001154DC"/>
    <w:rsid w:val="00115D39"/>
    <w:rsid w:val="00116045"/>
    <w:rsid w:val="001161FB"/>
    <w:rsid w:val="00120965"/>
    <w:rsid w:val="001222A7"/>
    <w:rsid w:val="00123805"/>
    <w:rsid w:val="001251A6"/>
    <w:rsid w:val="00130831"/>
    <w:rsid w:val="0013134F"/>
    <w:rsid w:val="00131A10"/>
    <w:rsid w:val="0013271D"/>
    <w:rsid w:val="00134210"/>
    <w:rsid w:val="0013488C"/>
    <w:rsid w:val="00134BFC"/>
    <w:rsid w:val="00136495"/>
    <w:rsid w:val="0013798F"/>
    <w:rsid w:val="00140B91"/>
    <w:rsid w:val="001421CE"/>
    <w:rsid w:val="00144994"/>
    <w:rsid w:val="00145919"/>
    <w:rsid w:val="00145EA5"/>
    <w:rsid w:val="00146625"/>
    <w:rsid w:val="0014759F"/>
    <w:rsid w:val="001534A4"/>
    <w:rsid w:val="00154C04"/>
    <w:rsid w:val="001577A4"/>
    <w:rsid w:val="00160255"/>
    <w:rsid w:val="001604F9"/>
    <w:rsid w:val="00160D34"/>
    <w:rsid w:val="00161256"/>
    <w:rsid w:val="00162624"/>
    <w:rsid w:val="00167109"/>
    <w:rsid w:val="001671E0"/>
    <w:rsid w:val="00171EBA"/>
    <w:rsid w:val="001752BC"/>
    <w:rsid w:val="0017530C"/>
    <w:rsid w:val="001767C4"/>
    <w:rsid w:val="0018025B"/>
    <w:rsid w:val="001803A9"/>
    <w:rsid w:val="00181A46"/>
    <w:rsid w:val="001835F8"/>
    <w:rsid w:val="00184156"/>
    <w:rsid w:val="00184BE7"/>
    <w:rsid w:val="0018502E"/>
    <w:rsid w:val="00185875"/>
    <w:rsid w:val="00185E28"/>
    <w:rsid w:val="00185E9E"/>
    <w:rsid w:val="001903BD"/>
    <w:rsid w:val="00190E02"/>
    <w:rsid w:val="00191552"/>
    <w:rsid w:val="00194D4A"/>
    <w:rsid w:val="001A0E54"/>
    <w:rsid w:val="001A3FFD"/>
    <w:rsid w:val="001A4039"/>
    <w:rsid w:val="001A4E0C"/>
    <w:rsid w:val="001A5080"/>
    <w:rsid w:val="001A588C"/>
    <w:rsid w:val="001A65B1"/>
    <w:rsid w:val="001A7076"/>
    <w:rsid w:val="001A73FC"/>
    <w:rsid w:val="001B06D2"/>
    <w:rsid w:val="001B38B5"/>
    <w:rsid w:val="001B499A"/>
    <w:rsid w:val="001B5987"/>
    <w:rsid w:val="001B7216"/>
    <w:rsid w:val="001C0039"/>
    <w:rsid w:val="001C0189"/>
    <w:rsid w:val="001C0D6F"/>
    <w:rsid w:val="001C62DA"/>
    <w:rsid w:val="001D1289"/>
    <w:rsid w:val="001D3A54"/>
    <w:rsid w:val="001D6CD2"/>
    <w:rsid w:val="001E040D"/>
    <w:rsid w:val="001E38F6"/>
    <w:rsid w:val="001E3951"/>
    <w:rsid w:val="001E39DA"/>
    <w:rsid w:val="001E473E"/>
    <w:rsid w:val="001E56ED"/>
    <w:rsid w:val="001E794A"/>
    <w:rsid w:val="001F05FD"/>
    <w:rsid w:val="001F4A92"/>
    <w:rsid w:val="001F57A6"/>
    <w:rsid w:val="001F7A1F"/>
    <w:rsid w:val="001F7A77"/>
    <w:rsid w:val="001F7F12"/>
    <w:rsid w:val="00203CC3"/>
    <w:rsid w:val="00204BA3"/>
    <w:rsid w:val="00205908"/>
    <w:rsid w:val="00205923"/>
    <w:rsid w:val="00205F4E"/>
    <w:rsid w:val="002063BC"/>
    <w:rsid w:val="00211652"/>
    <w:rsid w:val="00211BEA"/>
    <w:rsid w:val="00213226"/>
    <w:rsid w:val="00214F52"/>
    <w:rsid w:val="00216074"/>
    <w:rsid w:val="00216A5D"/>
    <w:rsid w:val="00220345"/>
    <w:rsid w:val="002217AE"/>
    <w:rsid w:val="00221884"/>
    <w:rsid w:val="002236B1"/>
    <w:rsid w:val="00223DA8"/>
    <w:rsid w:val="002243CA"/>
    <w:rsid w:val="00224B9C"/>
    <w:rsid w:val="002251CB"/>
    <w:rsid w:val="0022538D"/>
    <w:rsid w:val="002327D3"/>
    <w:rsid w:val="00232D5F"/>
    <w:rsid w:val="00233334"/>
    <w:rsid w:val="00233758"/>
    <w:rsid w:val="00233A4F"/>
    <w:rsid w:val="00233E79"/>
    <w:rsid w:val="00234A16"/>
    <w:rsid w:val="00235D9A"/>
    <w:rsid w:val="002360D1"/>
    <w:rsid w:val="00236ACD"/>
    <w:rsid w:val="00240E0F"/>
    <w:rsid w:val="0024213C"/>
    <w:rsid w:val="0024325F"/>
    <w:rsid w:val="00246117"/>
    <w:rsid w:val="002476C3"/>
    <w:rsid w:val="00247F03"/>
    <w:rsid w:val="0025167B"/>
    <w:rsid w:val="00252164"/>
    <w:rsid w:val="0025305D"/>
    <w:rsid w:val="00253ABF"/>
    <w:rsid w:val="002545BB"/>
    <w:rsid w:val="00256BDE"/>
    <w:rsid w:val="00262819"/>
    <w:rsid w:val="00263937"/>
    <w:rsid w:val="00265BA1"/>
    <w:rsid w:val="0026726F"/>
    <w:rsid w:val="00272E3E"/>
    <w:rsid w:val="00273C4B"/>
    <w:rsid w:val="00276225"/>
    <w:rsid w:val="0027664C"/>
    <w:rsid w:val="00277D09"/>
    <w:rsid w:val="00277E19"/>
    <w:rsid w:val="00280DB3"/>
    <w:rsid w:val="00281A34"/>
    <w:rsid w:val="002820BF"/>
    <w:rsid w:val="00282440"/>
    <w:rsid w:val="00283700"/>
    <w:rsid w:val="00287210"/>
    <w:rsid w:val="002879C6"/>
    <w:rsid w:val="00291D2C"/>
    <w:rsid w:val="002950C5"/>
    <w:rsid w:val="00295E86"/>
    <w:rsid w:val="0029614A"/>
    <w:rsid w:val="00297C50"/>
    <w:rsid w:val="002A1BF8"/>
    <w:rsid w:val="002A2369"/>
    <w:rsid w:val="002A3053"/>
    <w:rsid w:val="002A3372"/>
    <w:rsid w:val="002A3E38"/>
    <w:rsid w:val="002A409F"/>
    <w:rsid w:val="002A4669"/>
    <w:rsid w:val="002A5441"/>
    <w:rsid w:val="002A67CF"/>
    <w:rsid w:val="002A7E21"/>
    <w:rsid w:val="002B0DB5"/>
    <w:rsid w:val="002B1482"/>
    <w:rsid w:val="002B1CB4"/>
    <w:rsid w:val="002B4B67"/>
    <w:rsid w:val="002C0699"/>
    <w:rsid w:val="002C203E"/>
    <w:rsid w:val="002C2279"/>
    <w:rsid w:val="002C2EA8"/>
    <w:rsid w:val="002C3E45"/>
    <w:rsid w:val="002C3F47"/>
    <w:rsid w:val="002C49CB"/>
    <w:rsid w:val="002C6EEB"/>
    <w:rsid w:val="002D0AA0"/>
    <w:rsid w:val="002D1BAD"/>
    <w:rsid w:val="002D1F3F"/>
    <w:rsid w:val="002D5701"/>
    <w:rsid w:val="002D5964"/>
    <w:rsid w:val="002D7C3E"/>
    <w:rsid w:val="002E10BE"/>
    <w:rsid w:val="002E3190"/>
    <w:rsid w:val="002E3E8C"/>
    <w:rsid w:val="002E5031"/>
    <w:rsid w:val="002F018B"/>
    <w:rsid w:val="002F0789"/>
    <w:rsid w:val="002F22B5"/>
    <w:rsid w:val="002F2E39"/>
    <w:rsid w:val="002F467E"/>
    <w:rsid w:val="002F5CFC"/>
    <w:rsid w:val="002F5DAD"/>
    <w:rsid w:val="002F76E2"/>
    <w:rsid w:val="0030016E"/>
    <w:rsid w:val="003026EC"/>
    <w:rsid w:val="00306CA6"/>
    <w:rsid w:val="003073AC"/>
    <w:rsid w:val="0030798A"/>
    <w:rsid w:val="00307BA0"/>
    <w:rsid w:val="00307F0B"/>
    <w:rsid w:val="00310C19"/>
    <w:rsid w:val="00311305"/>
    <w:rsid w:val="003115BF"/>
    <w:rsid w:val="00312596"/>
    <w:rsid w:val="003128FE"/>
    <w:rsid w:val="003174B1"/>
    <w:rsid w:val="0032264B"/>
    <w:rsid w:val="00324C1D"/>
    <w:rsid w:val="00327A64"/>
    <w:rsid w:val="0033078D"/>
    <w:rsid w:val="00332E10"/>
    <w:rsid w:val="00333B74"/>
    <w:rsid w:val="00334B23"/>
    <w:rsid w:val="003353E0"/>
    <w:rsid w:val="003368B0"/>
    <w:rsid w:val="00337350"/>
    <w:rsid w:val="0033799B"/>
    <w:rsid w:val="00337D47"/>
    <w:rsid w:val="00340FA7"/>
    <w:rsid w:val="003431B5"/>
    <w:rsid w:val="00344BF3"/>
    <w:rsid w:val="00345789"/>
    <w:rsid w:val="003457D1"/>
    <w:rsid w:val="003474EA"/>
    <w:rsid w:val="00351A95"/>
    <w:rsid w:val="00352C6E"/>
    <w:rsid w:val="0035457D"/>
    <w:rsid w:val="00354D0B"/>
    <w:rsid w:val="00360C53"/>
    <w:rsid w:val="003630DE"/>
    <w:rsid w:val="00363C2D"/>
    <w:rsid w:val="0036655A"/>
    <w:rsid w:val="003701AB"/>
    <w:rsid w:val="00371399"/>
    <w:rsid w:val="00372A39"/>
    <w:rsid w:val="003739FF"/>
    <w:rsid w:val="0037433D"/>
    <w:rsid w:val="003751B2"/>
    <w:rsid w:val="003760F6"/>
    <w:rsid w:val="0037789A"/>
    <w:rsid w:val="00380024"/>
    <w:rsid w:val="00383DFB"/>
    <w:rsid w:val="00385477"/>
    <w:rsid w:val="003861EC"/>
    <w:rsid w:val="00386284"/>
    <w:rsid w:val="00390F96"/>
    <w:rsid w:val="00391E37"/>
    <w:rsid w:val="00392F36"/>
    <w:rsid w:val="0039362C"/>
    <w:rsid w:val="00394820"/>
    <w:rsid w:val="00394F68"/>
    <w:rsid w:val="00395785"/>
    <w:rsid w:val="00396B1B"/>
    <w:rsid w:val="00397BAC"/>
    <w:rsid w:val="003A0CA6"/>
    <w:rsid w:val="003A2381"/>
    <w:rsid w:val="003A2ADC"/>
    <w:rsid w:val="003A462F"/>
    <w:rsid w:val="003A4C02"/>
    <w:rsid w:val="003A519A"/>
    <w:rsid w:val="003A6896"/>
    <w:rsid w:val="003A6A0E"/>
    <w:rsid w:val="003B1B42"/>
    <w:rsid w:val="003B2DC6"/>
    <w:rsid w:val="003B2F09"/>
    <w:rsid w:val="003B7D82"/>
    <w:rsid w:val="003C03CF"/>
    <w:rsid w:val="003C1332"/>
    <w:rsid w:val="003C5217"/>
    <w:rsid w:val="003C576C"/>
    <w:rsid w:val="003C5C85"/>
    <w:rsid w:val="003C6019"/>
    <w:rsid w:val="003D0C47"/>
    <w:rsid w:val="003D15C8"/>
    <w:rsid w:val="003D2371"/>
    <w:rsid w:val="003D408D"/>
    <w:rsid w:val="003D51F5"/>
    <w:rsid w:val="003D52AA"/>
    <w:rsid w:val="003D5B58"/>
    <w:rsid w:val="003D6D8E"/>
    <w:rsid w:val="003D7E3A"/>
    <w:rsid w:val="003E003B"/>
    <w:rsid w:val="003E1123"/>
    <w:rsid w:val="003E22F0"/>
    <w:rsid w:val="003E4AE5"/>
    <w:rsid w:val="003E4B19"/>
    <w:rsid w:val="003E4D59"/>
    <w:rsid w:val="003E4DDA"/>
    <w:rsid w:val="003E5180"/>
    <w:rsid w:val="003E5992"/>
    <w:rsid w:val="003E5D6A"/>
    <w:rsid w:val="003E6344"/>
    <w:rsid w:val="003E69CD"/>
    <w:rsid w:val="003F1737"/>
    <w:rsid w:val="003F5534"/>
    <w:rsid w:val="003F562E"/>
    <w:rsid w:val="003F6ED6"/>
    <w:rsid w:val="003F739C"/>
    <w:rsid w:val="004015D4"/>
    <w:rsid w:val="00401EB0"/>
    <w:rsid w:val="00404015"/>
    <w:rsid w:val="00406781"/>
    <w:rsid w:val="00411A80"/>
    <w:rsid w:val="004137A4"/>
    <w:rsid w:val="00414215"/>
    <w:rsid w:val="0041425D"/>
    <w:rsid w:val="00414345"/>
    <w:rsid w:val="004210BC"/>
    <w:rsid w:val="00421276"/>
    <w:rsid w:val="004238D9"/>
    <w:rsid w:val="00423A92"/>
    <w:rsid w:val="0042551E"/>
    <w:rsid w:val="0042743F"/>
    <w:rsid w:val="0043002D"/>
    <w:rsid w:val="00431711"/>
    <w:rsid w:val="00431824"/>
    <w:rsid w:val="0043293A"/>
    <w:rsid w:val="00432D2B"/>
    <w:rsid w:val="00435339"/>
    <w:rsid w:val="004379C9"/>
    <w:rsid w:val="0044168F"/>
    <w:rsid w:val="00441D2E"/>
    <w:rsid w:val="00441D6F"/>
    <w:rsid w:val="00443680"/>
    <w:rsid w:val="00443947"/>
    <w:rsid w:val="0044517E"/>
    <w:rsid w:val="004477EA"/>
    <w:rsid w:val="00447E7D"/>
    <w:rsid w:val="0045012A"/>
    <w:rsid w:val="004501EB"/>
    <w:rsid w:val="00451419"/>
    <w:rsid w:val="00451630"/>
    <w:rsid w:val="00454B09"/>
    <w:rsid w:val="004556E0"/>
    <w:rsid w:val="00456412"/>
    <w:rsid w:val="00457224"/>
    <w:rsid w:val="004606C2"/>
    <w:rsid w:val="00461A32"/>
    <w:rsid w:val="00463E54"/>
    <w:rsid w:val="00465A34"/>
    <w:rsid w:val="00465E3C"/>
    <w:rsid w:val="00466C23"/>
    <w:rsid w:val="00470094"/>
    <w:rsid w:val="00473C0E"/>
    <w:rsid w:val="004761A5"/>
    <w:rsid w:val="00476572"/>
    <w:rsid w:val="004769F0"/>
    <w:rsid w:val="00481E2B"/>
    <w:rsid w:val="0048375E"/>
    <w:rsid w:val="00483A76"/>
    <w:rsid w:val="00484C17"/>
    <w:rsid w:val="00484F77"/>
    <w:rsid w:val="004854C2"/>
    <w:rsid w:val="00485F1A"/>
    <w:rsid w:val="004913A4"/>
    <w:rsid w:val="004967A2"/>
    <w:rsid w:val="00497738"/>
    <w:rsid w:val="004A183A"/>
    <w:rsid w:val="004A3CD6"/>
    <w:rsid w:val="004A42DC"/>
    <w:rsid w:val="004A590A"/>
    <w:rsid w:val="004A5AF1"/>
    <w:rsid w:val="004A68B4"/>
    <w:rsid w:val="004A7C0C"/>
    <w:rsid w:val="004B13AE"/>
    <w:rsid w:val="004B14C4"/>
    <w:rsid w:val="004B2314"/>
    <w:rsid w:val="004B7717"/>
    <w:rsid w:val="004B7BAD"/>
    <w:rsid w:val="004C014A"/>
    <w:rsid w:val="004C084A"/>
    <w:rsid w:val="004C0E6A"/>
    <w:rsid w:val="004C14A4"/>
    <w:rsid w:val="004C2A2D"/>
    <w:rsid w:val="004C31EC"/>
    <w:rsid w:val="004C54AE"/>
    <w:rsid w:val="004C6605"/>
    <w:rsid w:val="004D07C1"/>
    <w:rsid w:val="004D2339"/>
    <w:rsid w:val="004D585A"/>
    <w:rsid w:val="004D5EEF"/>
    <w:rsid w:val="004D67F3"/>
    <w:rsid w:val="004D6852"/>
    <w:rsid w:val="004D74D0"/>
    <w:rsid w:val="004E026D"/>
    <w:rsid w:val="004E140C"/>
    <w:rsid w:val="004E14B6"/>
    <w:rsid w:val="004E1C6F"/>
    <w:rsid w:val="004E52A3"/>
    <w:rsid w:val="004E5910"/>
    <w:rsid w:val="004E66EA"/>
    <w:rsid w:val="004E7875"/>
    <w:rsid w:val="004F184C"/>
    <w:rsid w:val="004F353D"/>
    <w:rsid w:val="004F421C"/>
    <w:rsid w:val="004F449A"/>
    <w:rsid w:val="004F450E"/>
    <w:rsid w:val="004F490E"/>
    <w:rsid w:val="004F54FD"/>
    <w:rsid w:val="004F645B"/>
    <w:rsid w:val="0050173E"/>
    <w:rsid w:val="00503327"/>
    <w:rsid w:val="00505141"/>
    <w:rsid w:val="005079B3"/>
    <w:rsid w:val="00507A08"/>
    <w:rsid w:val="005104E4"/>
    <w:rsid w:val="0051380B"/>
    <w:rsid w:val="00513BEC"/>
    <w:rsid w:val="00514E96"/>
    <w:rsid w:val="00516198"/>
    <w:rsid w:val="0051674C"/>
    <w:rsid w:val="005203FB"/>
    <w:rsid w:val="005209B4"/>
    <w:rsid w:val="00521AEC"/>
    <w:rsid w:val="00521F8B"/>
    <w:rsid w:val="005228EA"/>
    <w:rsid w:val="00522B32"/>
    <w:rsid w:val="005232FC"/>
    <w:rsid w:val="0052353A"/>
    <w:rsid w:val="00524092"/>
    <w:rsid w:val="005268C4"/>
    <w:rsid w:val="00527158"/>
    <w:rsid w:val="005273FA"/>
    <w:rsid w:val="00530EF4"/>
    <w:rsid w:val="00533EB6"/>
    <w:rsid w:val="005369EB"/>
    <w:rsid w:val="00540601"/>
    <w:rsid w:val="00540B66"/>
    <w:rsid w:val="00542E56"/>
    <w:rsid w:val="00543415"/>
    <w:rsid w:val="00543E50"/>
    <w:rsid w:val="0054643A"/>
    <w:rsid w:val="005469E7"/>
    <w:rsid w:val="005504DB"/>
    <w:rsid w:val="00550F78"/>
    <w:rsid w:val="00551B2B"/>
    <w:rsid w:val="00551B95"/>
    <w:rsid w:val="00556011"/>
    <w:rsid w:val="00560AE7"/>
    <w:rsid w:val="0056239C"/>
    <w:rsid w:val="0056355A"/>
    <w:rsid w:val="00564098"/>
    <w:rsid w:val="0056493B"/>
    <w:rsid w:val="00564D09"/>
    <w:rsid w:val="0056629C"/>
    <w:rsid w:val="005663FE"/>
    <w:rsid w:val="00566AC0"/>
    <w:rsid w:val="00566B9E"/>
    <w:rsid w:val="00567A8F"/>
    <w:rsid w:val="00571C0F"/>
    <w:rsid w:val="00571F91"/>
    <w:rsid w:val="00573484"/>
    <w:rsid w:val="00576482"/>
    <w:rsid w:val="005777BB"/>
    <w:rsid w:val="00577C9A"/>
    <w:rsid w:val="00581F37"/>
    <w:rsid w:val="00582B99"/>
    <w:rsid w:val="00584C87"/>
    <w:rsid w:val="00587398"/>
    <w:rsid w:val="00592EDB"/>
    <w:rsid w:val="00594E6A"/>
    <w:rsid w:val="00595819"/>
    <w:rsid w:val="0059594A"/>
    <w:rsid w:val="005959EA"/>
    <w:rsid w:val="00596396"/>
    <w:rsid w:val="005969DC"/>
    <w:rsid w:val="00596A8A"/>
    <w:rsid w:val="00596D44"/>
    <w:rsid w:val="00597077"/>
    <w:rsid w:val="005A12DC"/>
    <w:rsid w:val="005A1326"/>
    <w:rsid w:val="005A1686"/>
    <w:rsid w:val="005A3BC4"/>
    <w:rsid w:val="005A4787"/>
    <w:rsid w:val="005A4AEE"/>
    <w:rsid w:val="005A4ED1"/>
    <w:rsid w:val="005A605C"/>
    <w:rsid w:val="005A61E6"/>
    <w:rsid w:val="005B1577"/>
    <w:rsid w:val="005B17BC"/>
    <w:rsid w:val="005B19C7"/>
    <w:rsid w:val="005B2852"/>
    <w:rsid w:val="005B326D"/>
    <w:rsid w:val="005B32C5"/>
    <w:rsid w:val="005B35C4"/>
    <w:rsid w:val="005B4C51"/>
    <w:rsid w:val="005B6250"/>
    <w:rsid w:val="005B6B89"/>
    <w:rsid w:val="005B7B4E"/>
    <w:rsid w:val="005B7F6C"/>
    <w:rsid w:val="005C0CC0"/>
    <w:rsid w:val="005C4E35"/>
    <w:rsid w:val="005C4EE0"/>
    <w:rsid w:val="005C58C4"/>
    <w:rsid w:val="005C77CA"/>
    <w:rsid w:val="005D0F70"/>
    <w:rsid w:val="005D48E0"/>
    <w:rsid w:val="005D5908"/>
    <w:rsid w:val="005D626F"/>
    <w:rsid w:val="005D6763"/>
    <w:rsid w:val="005D717A"/>
    <w:rsid w:val="005E1507"/>
    <w:rsid w:val="005E1755"/>
    <w:rsid w:val="005E2240"/>
    <w:rsid w:val="005E4C05"/>
    <w:rsid w:val="005E4F31"/>
    <w:rsid w:val="005E7ADB"/>
    <w:rsid w:val="005F238D"/>
    <w:rsid w:val="005F2768"/>
    <w:rsid w:val="005F2CED"/>
    <w:rsid w:val="005F4372"/>
    <w:rsid w:val="005F508E"/>
    <w:rsid w:val="005F6189"/>
    <w:rsid w:val="0060011F"/>
    <w:rsid w:val="00600DA3"/>
    <w:rsid w:val="006011CB"/>
    <w:rsid w:val="0060292B"/>
    <w:rsid w:val="00604014"/>
    <w:rsid w:val="00610B8E"/>
    <w:rsid w:val="00611115"/>
    <w:rsid w:val="00611861"/>
    <w:rsid w:val="00612878"/>
    <w:rsid w:val="006135FD"/>
    <w:rsid w:val="00615053"/>
    <w:rsid w:val="006156D0"/>
    <w:rsid w:val="006164FB"/>
    <w:rsid w:val="00620F84"/>
    <w:rsid w:val="00624DF7"/>
    <w:rsid w:val="006252A9"/>
    <w:rsid w:val="00625C3F"/>
    <w:rsid w:val="006261E3"/>
    <w:rsid w:val="00627C0E"/>
    <w:rsid w:val="00630B36"/>
    <w:rsid w:val="006318E6"/>
    <w:rsid w:val="006331D3"/>
    <w:rsid w:val="00633C41"/>
    <w:rsid w:val="00633CE5"/>
    <w:rsid w:val="006341E7"/>
    <w:rsid w:val="006362A5"/>
    <w:rsid w:val="0064012C"/>
    <w:rsid w:val="00640D17"/>
    <w:rsid w:val="0064348E"/>
    <w:rsid w:val="006448F0"/>
    <w:rsid w:val="00645885"/>
    <w:rsid w:val="00645A09"/>
    <w:rsid w:val="006460B6"/>
    <w:rsid w:val="006461B7"/>
    <w:rsid w:val="00646D1B"/>
    <w:rsid w:val="0065160D"/>
    <w:rsid w:val="00652026"/>
    <w:rsid w:val="00653591"/>
    <w:rsid w:val="006543DC"/>
    <w:rsid w:val="00654D3A"/>
    <w:rsid w:val="00654D4D"/>
    <w:rsid w:val="00655C40"/>
    <w:rsid w:val="0065687B"/>
    <w:rsid w:val="006569B4"/>
    <w:rsid w:val="00657DCF"/>
    <w:rsid w:val="0066034C"/>
    <w:rsid w:val="00661301"/>
    <w:rsid w:val="00661D97"/>
    <w:rsid w:val="00663375"/>
    <w:rsid w:val="0066595D"/>
    <w:rsid w:val="00665B9B"/>
    <w:rsid w:val="006661EF"/>
    <w:rsid w:val="0067129C"/>
    <w:rsid w:val="006726C2"/>
    <w:rsid w:val="0067749F"/>
    <w:rsid w:val="00681BF6"/>
    <w:rsid w:val="00681F92"/>
    <w:rsid w:val="00683419"/>
    <w:rsid w:val="006835CB"/>
    <w:rsid w:val="00684EF6"/>
    <w:rsid w:val="00684F93"/>
    <w:rsid w:val="006878AD"/>
    <w:rsid w:val="00690209"/>
    <w:rsid w:val="00690B79"/>
    <w:rsid w:val="00691847"/>
    <w:rsid w:val="00692CE4"/>
    <w:rsid w:val="00693F5D"/>
    <w:rsid w:val="006942BA"/>
    <w:rsid w:val="00694AAC"/>
    <w:rsid w:val="00697FD5"/>
    <w:rsid w:val="006A1C3C"/>
    <w:rsid w:val="006A3D29"/>
    <w:rsid w:val="006A7858"/>
    <w:rsid w:val="006A7AB4"/>
    <w:rsid w:val="006A7F7A"/>
    <w:rsid w:val="006B13BC"/>
    <w:rsid w:val="006B5E6B"/>
    <w:rsid w:val="006B5FB6"/>
    <w:rsid w:val="006B61D1"/>
    <w:rsid w:val="006B6408"/>
    <w:rsid w:val="006B70E1"/>
    <w:rsid w:val="006B7413"/>
    <w:rsid w:val="006B7E5D"/>
    <w:rsid w:val="006C1DCF"/>
    <w:rsid w:val="006C4A2F"/>
    <w:rsid w:val="006C4E8A"/>
    <w:rsid w:val="006C66E8"/>
    <w:rsid w:val="006C69AC"/>
    <w:rsid w:val="006C797F"/>
    <w:rsid w:val="006D0B8D"/>
    <w:rsid w:val="006D1E3C"/>
    <w:rsid w:val="006D1EAD"/>
    <w:rsid w:val="006D35D4"/>
    <w:rsid w:val="006D6D0E"/>
    <w:rsid w:val="006D6FDB"/>
    <w:rsid w:val="006E0BDC"/>
    <w:rsid w:val="006E17B1"/>
    <w:rsid w:val="006E43BF"/>
    <w:rsid w:val="006E690A"/>
    <w:rsid w:val="006E73CF"/>
    <w:rsid w:val="006F186B"/>
    <w:rsid w:val="006F3BB9"/>
    <w:rsid w:val="006F43BE"/>
    <w:rsid w:val="006F4E50"/>
    <w:rsid w:val="006F55CD"/>
    <w:rsid w:val="006F6500"/>
    <w:rsid w:val="006F6B3D"/>
    <w:rsid w:val="006F71FB"/>
    <w:rsid w:val="00700882"/>
    <w:rsid w:val="007020CB"/>
    <w:rsid w:val="00702CFA"/>
    <w:rsid w:val="00702DDD"/>
    <w:rsid w:val="00703D80"/>
    <w:rsid w:val="0070414A"/>
    <w:rsid w:val="00705683"/>
    <w:rsid w:val="00707FDB"/>
    <w:rsid w:val="0071086D"/>
    <w:rsid w:val="00710ED0"/>
    <w:rsid w:val="007118A7"/>
    <w:rsid w:val="00711936"/>
    <w:rsid w:val="00712143"/>
    <w:rsid w:val="007121E6"/>
    <w:rsid w:val="00715E09"/>
    <w:rsid w:val="00720F3D"/>
    <w:rsid w:val="007229F7"/>
    <w:rsid w:val="00722D59"/>
    <w:rsid w:val="007245A8"/>
    <w:rsid w:val="00726D5E"/>
    <w:rsid w:val="007277E4"/>
    <w:rsid w:val="00730AC2"/>
    <w:rsid w:val="00731728"/>
    <w:rsid w:val="007326BF"/>
    <w:rsid w:val="0073356D"/>
    <w:rsid w:val="007339EA"/>
    <w:rsid w:val="00733B9A"/>
    <w:rsid w:val="00735ED6"/>
    <w:rsid w:val="007409A2"/>
    <w:rsid w:val="007410FA"/>
    <w:rsid w:val="00741B65"/>
    <w:rsid w:val="00742A9E"/>
    <w:rsid w:val="007442CA"/>
    <w:rsid w:val="007468AB"/>
    <w:rsid w:val="00750F72"/>
    <w:rsid w:val="007510AE"/>
    <w:rsid w:val="00751EE9"/>
    <w:rsid w:val="00752155"/>
    <w:rsid w:val="00752B30"/>
    <w:rsid w:val="00752C3A"/>
    <w:rsid w:val="00753B6B"/>
    <w:rsid w:val="00755BEF"/>
    <w:rsid w:val="00755F5E"/>
    <w:rsid w:val="00760649"/>
    <w:rsid w:val="00760B55"/>
    <w:rsid w:val="00762481"/>
    <w:rsid w:val="00762614"/>
    <w:rsid w:val="00763426"/>
    <w:rsid w:val="00767F5A"/>
    <w:rsid w:val="00774E9D"/>
    <w:rsid w:val="00776576"/>
    <w:rsid w:val="00776D4D"/>
    <w:rsid w:val="007778C3"/>
    <w:rsid w:val="00777E46"/>
    <w:rsid w:val="00780290"/>
    <w:rsid w:val="00785731"/>
    <w:rsid w:val="00785F54"/>
    <w:rsid w:val="0079016F"/>
    <w:rsid w:val="00791015"/>
    <w:rsid w:val="007966F2"/>
    <w:rsid w:val="007A00BD"/>
    <w:rsid w:val="007A0945"/>
    <w:rsid w:val="007A1501"/>
    <w:rsid w:val="007A1833"/>
    <w:rsid w:val="007A58CD"/>
    <w:rsid w:val="007A68C4"/>
    <w:rsid w:val="007A7C61"/>
    <w:rsid w:val="007B46E3"/>
    <w:rsid w:val="007B4A32"/>
    <w:rsid w:val="007B73D2"/>
    <w:rsid w:val="007C0472"/>
    <w:rsid w:val="007C3720"/>
    <w:rsid w:val="007C48DD"/>
    <w:rsid w:val="007C4AB8"/>
    <w:rsid w:val="007C68C0"/>
    <w:rsid w:val="007D0762"/>
    <w:rsid w:val="007D15B8"/>
    <w:rsid w:val="007D164E"/>
    <w:rsid w:val="007D1B3B"/>
    <w:rsid w:val="007D31A8"/>
    <w:rsid w:val="007D4876"/>
    <w:rsid w:val="007D5DF4"/>
    <w:rsid w:val="007D69F6"/>
    <w:rsid w:val="007D6C5A"/>
    <w:rsid w:val="007E459F"/>
    <w:rsid w:val="007E4D99"/>
    <w:rsid w:val="007E72AC"/>
    <w:rsid w:val="007F5CBD"/>
    <w:rsid w:val="00800631"/>
    <w:rsid w:val="00800D33"/>
    <w:rsid w:val="00801627"/>
    <w:rsid w:val="00801ADD"/>
    <w:rsid w:val="00801AE0"/>
    <w:rsid w:val="00802911"/>
    <w:rsid w:val="00803FA9"/>
    <w:rsid w:val="00804617"/>
    <w:rsid w:val="00805C8D"/>
    <w:rsid w:val="0081168E"/>
    <w:rsid w:val="0081184A"/>
    <w:rsid w:val="008118A4"/>
    <w:rsid w:val="00812EFE"/>
    <w:rsid w:val="0081387F"/>
    <w:rsid w:val="00813B44"/>
    <w:rsid w:val="0081502D"/>
    <w:rsid w:val="00815B80"/>
    <w:rsid w:val="00815C96"/>
    <w:rsid w:val="00816F76"/>
    <w:rsid w:val="0081704F"/>
    <w:rsid w:val="00817A6A"/>
    <w:rsid w:val="00817B97"/>
    <w:rsid w:val="00821BAE"/>
    <w:rsid w:val="00822DEB"/>
    <w:rsid w:val="008244A8"/>
    <w:rsid w:val="00827C96"/>
    <w:rsid w:val="00827CF8"/>
    <w:rsid w:val="008300FF"/>
    <w:rsid w:val="00830C17"/>
    <w:rsid w:val="0083325A"/>
    <w:rsid w:val="00835AB4"/>
    <w:rsid w:val="00836984"/>
    <w:rsid w:val="008413F5"/>
    <w:rsid w:val="00842289"/>
    <w:rsid w:val="008469A1"/>
    <w:rsid w:val="00847A19"/>
    <w:rsid w:val="008504F0"/>
    <w:rsid w:val="00853A65"/>
    <w:rsid w:val="00853D5F"/>
    <w:rsid w:val="0085428B"/>
    <w:rsid w:val="00855280"/>
    <w:rsid w:val="00855670"/>
    <w:rsid w:val="008561F8"/>
    <w:rsid w:val="008561FB"/>
    <w:rsid w:val="00856653"/>
    <w:rsid w:val="00856B02"/>
    <w:rsid w:val="00856D30"/>
    <w:rsid w:val="008579C9"/>
    <w:rsid w:val="0086176E"/>
    <w:rsid w:val="00861C9D"/>
    <w:rsid w:val="008629C2"/>
    <w:rsid w:val="0086414C"/>
    <w:rsid w:val="008665E9"/>
    <w:rsid w:val="00871ACC"/>
    <w:rsid w:val="008727F3"/>
    <w:rsid w:val="0087579D"/>
    <w:rsid w:val="008760BA"/>
    <w:rsid w:val="0087617A"/>
    <w:rsid w:val="00876181"/>
    <w:rsid w:val="00877A0F"/>
    <w:rsid w:val="00877B18"/>
    <w:rsid w:val="00877CA7"/>
    <w:rsid w:val="00880546"/>
    <w:rsid w:val="00881278"/>
    <w:rsid w:val="00881775"/>
    <w:rsid w:val="00882946"/>
    <w:rsid w:val="00882EFA"/>
    <w:rsid w:val="00884E31"/>
    <w:rsid w:val="00885927"/>
    <w:rsid w:val="00887AAB"/>
    <w:rsid w:val="00887C6E"/>
    <w:rsid w:val="008906C8"/>
    <w:rsid w:val="00892672"/>
    <w:rsid w:val="00894158"/>
    <w:rsid w:val="008956FE"/>
    <w:rsid w:val="008957A6"/>
    <w:rsid w:val="008A0C87"/>
    <w:rsid w:val="008A1C0E"/>
    <w:rsid w:val="008A2DDC"/>
    <w:rsid w:val="008A62A3"/>
    <w:rsid w:val="008A6A63"/>
    <w:rsid w:val="008A6E57"/>
    <w:rsid w:val="008A7C70"/>
    <w:rsid w:val="008B117B"/>
    <w:rsid w:val="008B1E7F"/>
    <w:rsid w:val="008B2427"/>
    <w:rsid w:val="008B2653"/>
    <w:rsid w:val="008B3858"/>
    <w:rsid w:val="008B4866"/>
    <w:rsid w:val="008B5336"/>
    <w:rsid w:val="008B609D"/>
    <w:rsid w:val="008B7CAA"/>
    <w:rsid w:val="008C06B6"/>
    <w:rsid w:val="008C0BC4"/>
    <w:rsid w:val="008C0BEE"/>
    <w:rsid w:val="008C1C16"/>
    <w:rsid w:val="008C27A3"/>
    <w:rsid w:val="008C42E8"/>
    <w:rsid w:val="008D00C8"/>
    <w:rsid w:val="008D1283"/>
    <w:rsid w:val="008D1A6B"/>
    <w:rsid w:val="008D275E"/>
    <w:rsid w:val="008D310F"/>
    <w:rsid w:val="008D3661"/>
    <w:rsid w:val="008D3C02"/>
    <w:rsid w:val="008D3D0E"/>
    <w:rsid w:val="008D4E91"/>
    <w:rsid w:val="008D63A1"/>
    <w:rsid w:val="008D74BC"/>
    <w:rsid w:val="008E0B93"/>
    <w:rsid w:val="008E2EBA"/>
    <w:rsid w:val="008E5135"/>
    <w:rsid w:val="008E5185"/>
    <w:rsid w:val="008F0BD3"/>
    <w:rsid w:val="008F2CB6"/>
    <w:rsid w:val="008F3F2C"/>
    <w:rsid w:val="008F4787"/>
    <w:rsid w:val="008F5877"/>
    <w:rsid w:val="008F6209"/>
    <w:rsid w:val="009039E2"/>
    <w:rsid w:val="009057F8"/>
    <w:rsid w:val="00906B71"/>
    <w:rsid w:val="00907292"/>
    <w:rsid w:val="00910F1F"/>
    <w:rsid w:val="009126CF"/>
    <w:rsid w:val="00912CC4"/>
    <w:rsid w:val="009130EA"/>
    <w:rsid w:val="009133A9"/>
    <w:rsid w:val="00914FFD"/>
    <w:rsid w:val="00915265"/>
    <w:rsid w:val="0091598B"/>
    <w:rsid w:val="0091603D"/>
    <w:rsid w:val="009160B6"/>
    <w:rsid w:val="0091622F"/>
    <w:rsid w:val="00917450"/>
    <w:rsid w:val="009214FF"/>
    <w:rsid w:val="00921D75"/>
    <w:rsid w:val="009231F0"/>
    <w:rsid w:val="0092480A"/>
    <w:rsid w:val="00924AA0"/>
    <w:rsid w:val="00924F51"/>
    <w:rsid w:val="009273B2"/>
    <w:rsid w:val="009328E0"/>
    <w:rsid w:val="00941263"/>
    <w:rsid w:val="009420D4"/>
    <w:rsid w:val="0094237E"/>
    <w:rsid w:val="00943686"/>
    <w:rsid w:val="00943A2D"/>
    <w:rsid w:val="009472E7"/>
    <w:rsid w:val="00947C38"/>
    <w:rsid w:val="00950BC4"/>
    <w:rsid w:val="0095492F"/>
    <w:rsid w:val="00954B81"/>
    <w:rsid w:val="0095537C"/>
    <w:rsid w:val="00956D1F"/>
    <w:rsid w:val="00956D47"/>
    <w:rsid w:val="009577E5"/>
    <w:rsid w:val="00957869"/>
    <w:rsid w:val="00960CC1"/>
    <w:rsid w:val="0096114B"/>
    <w:rsid w:val="009624C2"/>
    <w:rsid w:val="009624EA"/>
    <w:rsid w:val="00962641"/>
    <w:rsid w:val="009636C7"/>
    <w:rsid w:val="009647B0"/>
    <w:rsid w:val="00965421"/>
    <w:rsid w:val="00970078"/>
    <w:rsid w:val="00970813"/>
    <w:rsid w:val="00972181"/>
    <w:rsid w:val="009741DE"/>
    <w:rsid w:val="009743FB"/>
    <w:rsid w:val="00975E41"/>
    <w:rsid w:val="00975FCF"/>
    <w:rsid w:val="009800F0"/>
    <w:rsid w:val="009801DD"/>
    <w:rsid w:val="009809AA"/>
    <w:rsid w:val="009850D3"/>
    <w:rsid w:val="00985827"/>
    <w:rsid w:val="00987E71"/>
    <w:rsid w:val="00990899"/>
    <w:rsid w:val="00991BF9"/>
    <w:rsid w:val="009954BB"/>
    <w:rsid w:val="00995D70"/>
    <w:rsid w:val="009A00F1"/>
    <w:rsid w:val="009A058D"/>
    <w:rsid w:val="009A1748"/>
    <w:rsid w:val="009A20CE"/>
    <w:rsid w:val="009A279F"/>
    <w:rsid w:val="009A2D0F"/>
    <w:rsid w:val="009A3AA7"/>
    <w:rsid w:val="009A4228"/>
    <w:rsid w:val="009A4F6D"/>
    <w:rsid w:val="009B1536"/>
    <w:rsid w:val="009B15A0"/>
    <w:rsid w:val="009B40F1"/>
    <w:rsid w:val="009B50CF"/>
    <w:rsid w:val="009B6B99"/>
    <w:rsid w:val="009B7B22"/>
    <w:rsid w:val="009C0554"/>
    <w:rsid w:val="009C1BBA"/>
    <w:rsid w:val="009C5111"/>
    <w:rsid w:val="009C56EC"/>
    <w:rsid w:val="009C6948"/>
    <w:rsid w:val="009C6A0C"/>
    <w:rsid w:val="009C7547"/>
    <w:rsid w:val="009D035F"/>
    <w:rsid w:val="009D0B1E"/>
    <w:rsid w:val="009D1FC3"/>
    <w:rsid w:val="009D2EFC"/>
    <w:rsid w:val="009D57A5"/>
    <w:rsid w:val="009E0024"/>
    <w:rsid w:val="009E085E"/>
    <w:rsid w:val="009E0EE8"/>
    <w:rsid w:val="009E136B"/>
    <w:rsid w:val="009E3B64"/>
    <w:rsid w:val="009E4A3F"/>
    <w:rsid w:val="009E5532"/>
    <w:rsid w:val="009E6203"/>
    <w:rsid w:val="009E7819"/>
    <w:rsid w:val="009E7862"/>
    <w:rsid w:val="009F1DAB"/>
    <w:rsid w:val="009F1E26"/>
    <w:rsid w:val="009F5713"/>
    <w:rsid w:val="00A00AD1"/>
    <w:rsid w:val="00A00D2E"/>
    <w:rsid w:val="00A02074"/>
    <w:rsid w:val="00A024DB"/>
    <w:rsid w:val="00A02F65"/>
    <w:rsid w:val="00A03D13"/>
    <w:rsid w:val="00A06C26"/>
    <w:rsid w:val="00A06D5E"/>
    <w:rsid w:val="00A07DCE"/>
    <w:rsid w:val="00A10F36"/>
    <w:rsid w:val="00A11783"/>
    <w:rsid w:val="00A127C6"/>
    <w:rsid w:val="00A13F44"/>
    <w:rsid w:val="00A14606"/>
    <w:rsid w:val="00A147CD"/>
    <w:rsid w:val="00A14915"/>
    <w:rsid w:val="00A14BAB"/>
    <w:rsid w:val="00A164D7"/>
    <w:rsid w:val="00A166AC"/>
    <w:rsid w:val="00A16A94"/>
    <w:rsid w:val="00A16C46"/>
    <w:rsid w:val="00A16D17"/>
    <w:rsid w:val="00A17375"/>
    <w:rsid w:val="00A20AD6"/>
    <w:rsid w:val="00A21145"/>
    <w:rsid w:val="00A2386D"/>
    <w:rsid w:val="00A26CC1"/>
    <w:rsid w:val="00A26DCF"/>
    <w:rsid w:val="00A32389"/>
    <w:rsid w:val="00A3388F"/>
    <w:rsid w:val="00A34A03"/>
    <w:rsid w:val="00A34B5F"/>
    <w:rsid w:val="00A35BDB"/>
    <w:rsid w:val="00A36C0C"/>
    <w:rsid w:val="00A3729C"/>
    <w:rsid w:val="00A40121"/>
    <w:rsid w:val="00A402F5"/>
    <w:rsid w:val="00A40F07"/>
    <w:rsid w:val="00A41B23"/>
    <w:rsid w:val="00A42C12"/>
    <w:rsid w:val="00A42E0B"/>
    <w:rsid w:val="00A430DE"/>
    <w:rsid w:val="00A43AF1"/>
    <w:rsid w:val="00A446BE"/>
    <w:rsid w:val="00A4528C"/>
    <w:rsid w:val="00A456EE"/>
    <w:rsid w:val="00A45DE3"/>
    <w:rsid w:val="00A46930"/>
    <w:rsid w:val="00A50573"/>
    <w:rsid w:val="00A5272D"/>
    <w:rsid w:val="00A52841"/>
    <w:rsid w:val="00A53A5E"/>
    <w:rsid w:val="00A541F5"/>
    <w:rsid w:val="00A550D2"/>
    <w:rsid w:val="00A57128"/>
    <w:rsid w:val="00A6341F"/>
    <w:rsid w:val="00A64980"/>
    <w:rsid w:val="00A65550"/>
    <w:rsid w:val="00A65D00"/>
    <w:rsid w:val="00A66CA8"/>
    <w:rsid w:val="00A66CC8"/>
    <w:rsid w:val="00A70224"/>
    <w:rsid w:val="00A72CB1"/>
    <w:rsid w:val="00A73974"/>
    <w:rsid w:val="00A7400A"/>
    <w:rsid w:val="00A744FC"/>
    <w:rsid w:val="00A74F43"/>
    <w:rsid w:val="00A75CC9"/>
    <w:rsid w:val="00A770CB"/>
    <w:rsid w:val="00A81842"/>
    <w:rsid w:val="00A8230D"/>
    <w:rsid w:val="00A866BE"/>
    <w:rsid w:val="00A86A2D"/>
    <w:rsid w:val="00A900D1"/>
    <w:rsid w:val="00A9171D"/>
    <w:rsid w:val="00A91E77"/>
    <w:rsid w:val="00A92F33"/>
    <w:rsid w:val="00A92F40"/>
    <w:rsid w:val="00A93407"/>
    <w:rsid w:val="00AA06A9"/>
    <w:rsid w:val="00AA167F"/>
    <w:rsid w:val="00AA295C"/>
    <w:rsid w:val="00AA2D5E"/>
    <w:rsid w:val="00AA4055"/>
    <w:rsid w:val="00AA47B2"/>
    <w:rsid w:val="00AA4860"/>
    <w:rsid w:val="00AA5EA4"/>
    <w:rsid w:val="00AA5F0E"/>
    <w:rsid w:val="00AA79DB"/>
    <w:rsid w:val="00AB1D61"/>
    <w:rsid w:val="00AB1DCA"/>
    <w:rsid w:val="00AB30FC"/>
    <w:rsid w:val="00AB4A90"/>
    <w:rsid w:val="00AB4B43"/>
    <w:rsid w:val="00AB6094"/>
    <w:rsid w:val="00AB63AB"/>
    <w:rsid w:val="00AB66AC"/>
    <w:rsid w:val="00AB6D30"/>
    <w:rsid w:val="00AB787F"/>
    <w:rsid w:val="00AC1486"/>
    <w:rsid w:val="00AC2786"/>
    <w:rsid w:val="00AC30EC"/>
    <w:rsid w:val="00AC314F"/>
    <w:rsid w:val="00AC495E"/>
    <w:rsid w:val="00AC4BC0"/>
    <w:rsid w:val="00AC4E8B"/>
    <w:rsid w:val="00AC4FE2"/>
    <w:rsid w:val="00AC693D"/>
    <w:rsid w:val="00AC755C"/>
    <w:rsid w:val="00AD0EA0"/>
    <w:rsid w:val="00AD10DA"/>
    <w:rsid w:val="00AD30A4"/>
    <w:rsid w:val="00AD5CC5"/>
    <w:rsid w:val="00AD6736"/>
    <w:rsid w:val="00AD696D"/>
    <w:rsid w:val="00AD721A"/>
    <w:rsid w:val="00AD78F3"/>
    <w:rsid w:val="00AE47EC"/>
    <w:rsid w:val="00AE481E"/>
    <w:rsid w:val="00AE4D2C"/>
    <w:rsid w:val="00AE4E27"/>
    <w:rsid w:val="00AE555E"/>
    <w:rsid w:val="00AE6296"/>
    <w:rsid w:val="00AE6C91"/>
    <w:rsid w:val="00AE6DB6"/>
    <w:rsid w:val="00AE6F4A"/>
    <w:rsid w:val="00AE754E"/>
    <w:rsid w:val="00AF1199"/>
    <w:rsid w:val="00AF199E"/>
    <w:rsid w:val="00AF2259"/>
    <w:rsid w:val="00AF318B"/>
    <w:rsid w:val="00AF371A"/>
    <w:rsid w:val="00AF3FAF"/>
    <w:rsid w:val="00AF4091"/>
    <w:rsid w:val="00AF40C4"/>
    <w:rsid w:val="00AF4693"/>
    <w:rsid w:val="00AF4D23"/>
    <w:rsid w:val="00AF7A3F"/>
    <w:rsid w:val="00AF7BA1"/>
    <w:rsid w:val="00AF7F05"/>
    <w:rsid w:val="00B023F8"/>
    <w:rsid w:val="00B04BB4"/>
    <w:rsid w:val="00B060A6"/>
    <w:rsid w:val="00B06294"/>
    <w:rsid w:val="00B063B9"/>
    <w:rsid w:val="00B11BAC"/>
    <w:rsid w:val="00B13C24"/>
    <w:rsid w:val="00B14295"/>
    <w:rsid w:val="00B15B68"/>
    <w:rsid w:val="00B168CE"/>
    <w:rsid w:val="00B178C8"/>
    <w:rsid w:val="00B20CE6"/>
    <w:rsid w:val="00B230AA"/>
    <w:rsid w:val="00B23B5C"/>
    <w:rsid w:val="00B249FF"/>
    <w:rsid w:val="00B25680"/>
    <w:rsid w:val="00B30833"/>
    <w:rsid w:val="00B346F8"/>
    <w:rsid w:val="00B3544C"/>
    <w:rsid w:val="00B359BD"/>
    <w:rsid w:val="00B35DDD"/>
    <w:rsid w:val="00B35F31"/>
    <w:rsid w:val="00B407EE"/>
    <w:rsid w:val="00B417F0"/>
    <w:rsid w:val="00B42C8F"/>
    <w:rsid w:val="00B42D11"/>
    <w:rsid w:val="00B4517C"/>
    <w:rsid w:val="00B45789"/>
    <w:rsid w:val="00B5080D"/>
    <w:rsid w:val="00B5109C"/>
    <w:rsid w:val="00B51EFB"/>
    <w:rsid w:val="00B547E7"/>
    <w:rsid w:val="00B5598E"/>
    <w:rsid w:val="00B55DE9"/>
    <w:rsid w:val="00B5603C"/>
    <w:rsid w:val="00B56A5F"/>
    <w:rsid w:val="00B56F04"/>
    <w:rsid w:val="00B56FF3"/>
    <w:rsid w:val="00B57224"/>
    <w:rsid w:val="00B577EA"/>
    <w:rsid w:val="00B64941"/>
    <w:rsid w:val="00B650B2"/>
    <w:rsid w:val="00B656FB"/>
    <w:rsid w:val="00B66D13"/>
    <w:rsid w:val="00B7021C"/>
    <w:rsid w:val="00B70893"/>
    <w:rsid w:val="00B70B71"/>
    <w:rsid w:val="00B711A3"/>
    <w:rsid w:val="00B71703"/>
    <w:rsid w:val="00B71D9B"/>
    <w:rsid w:val="00B72109"/>
    <w:rsid w:val="00B76231"/>
    <w:rsid w:val="00B775DD"/>
    <w:rsid w:val="00B818BF"/>
    <w:rsid w:val="00B827C6"/>
    <w:rsid w:val="00B82B2B"/>
    <w:rsid w:val="00B8586B"/>
    <w:rsid w:val="00B87DFE"/>
    <w:rsid w:val="00B902CD"/>
    <w:rsid w:val="00B91F0E"/>
    <w:rsid w:val="00B94B55"/>
    <w:rsid w:val="00B96A27"/>
    <w:rsid w:val="00B97AD1"/>
    <w:rsid w:val="00BA0B29"/>
    <w:rsid w:val="00BA146D"/>
    <w:rsid w:val="00BA1C57"/>
    <w:rsid w:val="00BA1CA5"/>
    <w:rsid w:val="00BA22E2"/>
    <w:rsid w:val="00BA372C"/>
    <w:rsid w:val="00BA45DE"/>
    <w:rsid w:val="00BB3D26"/>
    <w:rsid w:val="00BB69EC"/>
    <w:rsid w:val="00BC1AB1"/>
    <w:rsid w:val="00BC1B81"/>
    <w:rsid w:val="00BC4627"/>
    <w:rsid w:val="00BC5CC8"/>
    <w:rsid w:val="00BC6523"/>
    <w:rsid w:val="00BC6DF9"/>
    <w:rsid w:val="00BC7166"/>
    <w:rsid w:val="00BD0305"/>
    <w:rsid w:val="00BD0E6B"/>
    <w:rsid w:val="00BD113D"/>
    <w:rsid w:val="00BD1CCE"/>
    <w:rsid w:val="00BD3E0D"/>
    <w:rsid w:val="00BD4122"/>
    <w:rsid w:val="00BE12F3"/>
    <w:rsid w:val="00BE2338"/>
    <w:rsid w:val="00BE435C"/>
    <w:rsid w:val="00BE5262"/>
    <w:rsid w:val="00BE6043"/>
    <w:rsid w:val="00BE67F8"/>
    <w:rsid w:val="00BE7A7E"/>
    <w:rsid w:val="00BF030F"/>
    <w:rsid w:val="00BF183F"/>
    <w:rsid w:val="00BF1D38"/>
    <w:rsid w:val="00BF3C39"/>
    <w:rsid w:val="00BF4BB5"/>
    <w:rsid w:val="00BF4BCE"/>
    <w:rsid w:val="00BF4D58"/>
    <w:rsid w:val="00BF4F7F"/>
    <w:rsid w:val="00BF57FC"/>
    <w:rsid w:val="00C007AF"/>
    <w:rsid w:val="00C02972"/>
    <w:rsid w:val="00C107A3"/>
    <w:rsid w:val="00C129F1"/>
    <w:rsid w:val="00C12BC7"/>
    <w:rsid w:val="00C130EF"/>
    <w:rsid w:val="00C13802"/>
    <w:rsid w:val="00C13C2E"/>
    <w:rsid w:val="00C14187"/>
    <w:rsid w:val="00C2199A"/>
    <w:rsid w:val="00C238E5"/>
    <w:rsid w:val="00C244D8"/>
    <w:rsid w:val="00C24FD2"/>
    <w:rsid w:val="00C26092"/>
    <w:rsid w:val="00C263AA"/>
    <w:rsid w:val="00C266DE"/>
    <w:rsid w:val="00C26D6E"/>
    <w:rsid w:val="00C275DD"/>
    <w:rsid w:val="00C30319"/>
    <w:rsid w:val="00C30E02"/>
    <w:rsid w:val="00C30E7B"/>
    <w:rsid w:val="00C323BB"/>
    <w:rsid w:val="00C3252E"/>
    <w:rsid w:val="00C32DA6"/>
    <w:rsid w:val="00C332FB"/>
    <w:rsid w:val="00C335B9"/>
    <w:rsid w:val="00C33C5B"/>
    <w:rsid w:val="00C34F52"/>
    <w:rsid w:val="00C4006F"/>
    <w:rsid w:val="00C40974"/>
    <w:rsid w:val="00C40C6F"/>
    <w:rsid w:val="00C43125"/>
    <w:rsid w:val="00C4460A"/>
    <w:rsid w:val="00C45A94"/>
    <w:rsid w:val="00C45B43"/>
    <w:rsid w:val="00C45EAB"/>
    <w:rsid w:val="00C46606"/>
    <w:rsid w:val="00C50AB9"/>
    <w:rsid w:val="00C50CCF"/>
    <w:rsid w:val="00C517AF"/>
    <w:rsid w:val="00C52ABE"/>
    <w:rsid w:val="00C54A88"/>
    <w:rsid w:val="00C5548B"/>
    <w:rsid w:val="00C55F25"/>
    <w:rsid w:val="00C56730"/>
    <w:rsid w:val="00C56A07"/>
    <w:rsid w:val="00C57826"/>
    <w:rsid w:val="00C62813"/>
    <w:rsid w:val="00C64CBB"/>
    <w:rsid w:val="00C66761"/>
    <w:rsid w:val="00C67987"/>
    <w:rsid w:val="00C701AB"/>
    <w:rsid w:val="00C73EB9"/>
    <w:rsid w:val="00C75B0B"/>
    <w:rsid w:val="00C822A9"/>
    <w:rsid w:val="00C82CC4"/>
    <w:rsid w:val="00C83EFC"/>
    <w:rsid w:val="00C842A3"/>
    <w:rsid w:val="00C870E9"/>
    <w:rsid w:val="00C878F3"/>
    <w:rsid w:val="00C91534"/>
    <w:rsid w:val="00C91A91"/>
    <w:rsid w:val="00C94869"/>
    <w:rsid w:val="00C94D66"/>
    <w:rsid w:val="00CA0AB3"/>
    <w:rsid w:val="00CA0CBB"/>
    <w:rsid w:val="00CA297E"/>
    <w:rsid w:val="00CA2AC2"/>
    <w:rsid w:val="00CC1CD3"/>
    <w:rsid w:val="00CC2170"/>
    <w:rsid w:val="00CC3183"/>
    <w:rsid w:val="00CC3D7D"/>
    <w:rsid w:val="00CC52E8"/>
    <w:rsid w:val="00CC6BC1"/>
    <w:rsid w:val="00CC789C"/>
    <w:rsid w:val="00CD075B"/>
    <w:rsid w:val="00CD173F"/>
    <w:rsid w:val="00CD37B6"/>
    <w:rsid w:val="00CD6EBC"/>
    <w:rsid w:val="00CD7673"/>
    <w:rsid w:val="00CE1B76"/>
    <w:rsid w:val="00CE1DBC"/>
    <w:rsid w:val="00CE37AE"/>
    <w:rsid w:val="00CE51E6"/>
    <w:rsid w:val="00CE71C3"/>
    <w:rsid w:val="00CF034D"/>
    <w:rsid w:val="00CF2C1B"/>
    <w:rsid w:val="00CF305A"/>
    <w:rsid w:val="00CF4293"/>
    <w:rsid w:val="00D001A8"/>
    <w:rsid w:val="00D04DBB"/>
    <w:rsid w:val="00D05A55"/>
    <w:rsid w:val="00D062B8"/>
    <w:rsid w:val="00D074D8"/>
    <w:rsid w:val="00D108FC"/>
    <w:rsid w:val="00D109F3"/>
    <w:rsid w:val="00D12788"/>
    <w:rsid w:val="00D13CF7"/>
    <w:rsid w:val="00D152C3"/>
    <w:rsid w:val="00D16294"/>
    <w:rsid w:val="00D16C3A"/>
    <w:rsid w:val="00D174C3"/>
    <w:rsid w:val="00D253EF"/>
    <w:rsid w:val="00D2581B"/>
    <w:rsid w:val="00D25D1B"/>
    <w:rsid w:val="00D25D46"/>
    <w:rsid w:val="00D26661"/>
    <w:rsid w:val="00D26C26"/>
    <w:rsid w:val="00D273E6"/>
    <w:rsid w:val="00D27D26"/>
    <w:rsid w:val="00D311C7"/>
    <w:rsid w:val="00D32D2F"/>
    <w:rsid w:val="00D33D77"/>
    <w:rsid w:val="00D33E8C"/>
    <w:rsid w:val="00D34F3F"/>
    <w:rsid w:val="00D35032"/>
    <w:rsid w:val="00D359C0"/>
    <w:rsid w:val="00D36238"/>
    <w:rsid w:val="00D362FC"/>
    <w:rsid w:val="00D36F84"/>
    <w:rsid w:val="00D42B5F"/>
    <w:rsid w:val="00D44A6A"/>
    <w:rsid w:val="00D502E8"/>
    <w:rsid w:val="00D509AD"/>
    <w:rsid w:val="00D526D6"/>
    <w:rsid w:val="00D53462"/>
    <w:rsid w:val="00D53AD9"/>
    <w:rsid w:val="00D5462A"/>
    <w:rsid w:val="00D55B64"/>
    <w:rsid w:val="00D56340"/>
    <w:rsid w:val="00D57DE8"/>
    <w:rsid w:val="00D60271"/>
    <w:rsid w:val="00D620B3"/>
    <w:rsid w:val="00D67BBA"/>
    <w:rsid w:val="00D7043A"/>
    <w:rsid w:val="00D715AA"/>
    <w:rsid w:val="00D7385F"/>
    <w:rsid w:val="00D74727"/>
    <w:rsid w:val="00D75ED7"/>
    <w:rsid w:val="00D76DBC"/>
    <w:rsid w:val="00D77E3F"/>
    <w:rsid w:val="00D81C5F"/>
    <w:rsid w:val="00D83C6A"/>
    <w:rsid w:val="00D84794"/>
    <w:rsid w:val="00D86950"/>
    <w:rsid w:val="00D86D00"/>
    <w:rsid w:val="00D9095E"/>
    <w:rsid w:val="00D91100"/>
    <w:rsid w:val="00D91EA9"/>
    <w:rsid w:val="00D9549B"/>
    <w:rsid w:val="00D96B6E"/>
    <w:rsid w:val="00D976A9"/>
    <w:rsid w:val="00DA029B"/>
    <w:rsid w:val="00DA02E6"/>
    <w:rsid w:val="00DA10AE"/>
    <w:rsid w:val="00DA31FA"/>
    <w:rsid w:val="00DA4933"/>
    <w:rsid w:val="00DA4963"/>
    <w:rsid w:val="00DA5E0A"/>
    <w:rsid w:val="00DA63AC"/>
    <w:rsid w:val="00DB027A"/>
    <w:rsid w:val="00DB03D0"/>
    <w:rsid w:val="00DB0F5F"/>
    <w:rsid w:val="00DB3371"/>
    <w:rsid w:val="00DB5B58"/>
    <w:rsid w:val="00DC1857"/>
    <w:rsid w:val="00DC33AA"/>
    <w:rsid w:val="00DC4003"/>
    <w:rsid w:val="00DC47F1"/>
    <w:rsid w:val="00DC4B65"/>
    <w:rsid w:val="00DC5290"/>
    <w:rsid w:val="00DC5775"/>
    <w:rsid w:val="00DC6B85"/>
    <w:rsid w:val="00DD041B"/>
    <w:rsid w:val="00DD09E7"/>
    <w:rsid w:val="00DD4E90"/>
    <w:rsid w:val="00DD5813"/>
    <w:rsid w:val="00DD628C"/>
    <w:rsid w:val="00DD6618"/>
    <w:rsid w:val="00DD66A1"/>
    <w:rsid w:val="00DD68FF"/>
    <w:rsid w:val="00DE12C2"/>
    <w:rsid w:val="00DE2CF9"/>
    <w:rsid w:val="00DE43BA"/>
    <w:rsid w:val="00DE75DA"/>
    <w:rsid w:val="00DE7BEA"/>
    <w:rsid w:val="00DF321E"/>
    <w:rsid w:val="00DF703C"/>
    <w:rsid w:val="00DF7AF1"/>
    <w:rsid w:val="00E0083C"/>
    <w:rsid w:val="00E0190E"/>
    <w:rsid w:val="00E01A63"/>
    <w:rsid w:val="00E02BEA"/>
    <w:rsid w:val="00E03B6A"/>
    <w:rsid w:val="00E03B92"/>
    <w:rsid w:val="00E118B9"/>
    <w:rsid w:val="00E11BB1"/>
    <w:rsid w:val="00E12595"/>
    <w:rsid w:val="00E128CA"/>
    <w:rsid w:val="00E12BFB"/>
    <w:rsid w:val="00E138EB"/>
    <w:rsid w:val="00E14522"/>
    <w:rsid w:val="00E14598"/>
    <w:rsid w:val="00E145FF"/>
    <w:rsid w:val="00E15261"/>
    <w:rsid w:val="00E15E14"/>
    <w:rsid w:val="00E161F8"/>
    <w:rsid w:val="00E1624E"/>
    <w:rsid w:val="00E21E14"/>
    <w:rsid w:val="00E21F92"/>
    <w:rsid w:val="00E2264A"/>
    <w:rsid w:val="00E22A18"/>
    <w:rsid w:val="00E22EB0"/>
    <w:rsid w:val="00E234D7"/>
    <w:rsid w:val="00E2353D"/>
    <w:rsid w:val="00E23AAA"/>
    <w:rsid w:val="00E24DD6"/>
    <w:rsid w:val="00E25011"/>
    <w:rsid w:val="00E251BE"/>
    <w:rsid w:val="00E25C7D"/>
    <w:rsid w:val="00E26BDC"/>
    <w:rsid w:val="00E26D2E"/>
    <w:rsid w:val="00E2773A"/>
    <w:rsid w:val="00E30E05"/>
    <w:rsid w:val="00E366AC"/>
    <w:rsid w:val="00E3786E"/>
    <w:rsid w:val="00E37ECA"/>
    <w:rsid w:val="00E415A7"/>
    <w:rsid w:val="00E41D7A"/>
    <w:rsid w:val="00E424CE"/>
    <w:rsid w:val="00E44D1E"/>
    <w:rsid w:val="00E47F58"/>
    <w:rsid w:val="00E50711"/>
    <w:rsid w:val="00E5240F"/>
    <w:rsid w:val="00E53759"/>
    <w:rsid w:val="00E544FF"/>
    <w:rsid w:val="00E55E85"/>
    <w:rsid w:val="00E55FFB"/>
    <w:rsid w:val="00E560DC"/>
    <w:rsid w:val="00E56A40"/>
    <w:rsid w:val="00E56EB8"/>
    <w:rsid w:val="00E60704"/>
    <w:rsid w:val="00E61105"/>
    <w:rsid w:val="00E61194"/>
    <w:rsid w:val="00E61EA0"/>
    <w:rsid w:val="00E63861"/>
    <w:rsid w:val="00E63D4E"/>
    <w:rsid w:val="00E6645B"/>
    <w:rsid w:val="00E674DE"/>
    <w:rsid w:val="00E716F8"/>
    <w:rsid w:val="00E73839"/>
    <w:rsid w:val="00E765FE"/>
    <w:rsid w:val="00E77D6E"/>
    <w:rsid w:val="00E80151"/>
    <w:rsid w:val="00E81B7A"/>
    <w:rsid w:val="00E8337D"/>
    <w:rsid w:val="00E85D60"/>
    <w:rsid w:val="00E90A06"/>
    <w:rsid w:val="00E91260"/>
    <w:rsid w:val="00E92479"/>
    <w:rsid w:val="00E9257C"/>
    <w:rsid w:val="00E92B6A"/>
    <w:rsid w:val="00E940EA"/>
    <w:rsid w:val="00E966C7"/>
    <w:rsid w:val="00E96B4D"/>
    <w:rsid w:val="00E9757D"/>
    <w:rsid w:val="00EA432D"/>
    <w:rsid w:val="00EA6412"/>
    <w:rsid w:val="00EA7DAC"/>
    <w:rsid w:val="00EB0558"/>
    <w:rsid w:val="00EB2EBD"/>
    <w:rsid w:val="00EB3BE5"/>
    <w:rsid w:val="00EB509A"/>
    <w:rsid w:val="00EB51AB"/>
    <w:rsid w:val="00EB57C6"/>
    <w:rsid w:val="00EB5E82"/>
    <w:rsid w:val="00EC0514"/>
    <w:rsid w:val="00EC0A13"/>
    <w:rsid w:val="00EC31CA"/>
    <w:rsid w:val="00EC47C0"/>
    <w:rsid w:val="00EC730F"/>
    <w:rsid w:val="00ED1E56"/>
    <w:rsid w:val="00ED3E42"/>
    <w:rsid w:val="00ED4082"/>
    <w:rsid w:val="00ED4835"/>
    <w:rsid w:val="00ED5A0A"/>
    <w:rsid w:val="00ED7433"/>
    <w:rsid w:val="00EE3034"/>
    <w:rsid w:val="00EE4073"/>
    <w:rsid w:val="00EE6A45"/>
    <w:rsid w:val="00EE7D3D"/>
    <w:rsid w:val="00EF068E"/>
    <w:rsid w:val="00EF46FD"/>
    <w:rsid w:val="00EF55B1"/>
    <w:rsid w:val="00EF587C"/>
    <w:rsid w:val="00EF6069"/>
    <w:rsid w:val="00EF6F2F"/>
    <w:rsid w:val="00F023F4"/>
    <w:rsid w:val="00F03815"/>
    <w:rsid w:val="00F038B0"/>
    <w:rsid w:val="00F0607A"/>
    <w:rsid w:val="00F103EA"/>
    <w:rsid w:val="00F10875"/>
    <w:rsid w:val="00F10EDB"/>
    <w:rsid w:val="00F139C0"/>
    <w:rsid w:val="00F15C88"/>
    <w:rsid w:val="00F172C9"/>
    <w:rsid w:val="00F17EF6"/>
    <w:rsid w:val="00F20373"/>
    <w:rsid w:val="00F233EA"/>
    <w:rsid w:val="00F23404"/>
    <w:rsid w:val="00F24894"/>
    <w:rsid w:val="00F24C64"/>
    <w:rsid w:val="00F25088"/>
    <w:rsid w:val="00F251D0"/>
    <w:rsid w:val="00F253A8"/>
    <w:rsid w:val="00F25E06"/>
    <w:rsid w:val="00F30815"/>
    <w:rsid w:val="00F325EB"/>
    <w:rsid w:val="00F327C8"/>
    <w:rsid w:val="00F32A81"/>
    <w:rsid w:val="00F3385D"/>
    <w:rsid w:val="00F34A5E"/>
    <w:rsid w:val="00F34AD0"/>
    <w:rsid w:val="00F3641D"/>
    <w:rsid w:val="00F37981"/>
    <w:rsid w:val="00F37CF1"/>
    <w:rsid w:val="00F40EDA"/>
    <w:rsid w:val="00F415A5"/>
    <w:rsid w:val="00F42E06"/>
    <w:rsid w:val="00F45C10"/>
    <w:rsid w:val="00F5133E"/>
    <w:rsid w:val="00F51676"/>
    <w:rsid w:val="00F5265E"/>
    <w:rsid w:val="00F54998"/>
    <w:rsid w:val="00F56500"/>
    <w:rsid w:val="00F60B3A"/>
    <w:rsid w:val="00F625D5"/>
    <w:rsid w:val="00F637CE"/>
    <w:rsid w:val="00F65BF2"/>
    <w:rsid w:val="00F6617E"/>
    <w:rsid w:val="00F6627A"/>
    <w:rsid w:val="00F673AF"/>
    <w:rsid w:val="00F67512"/>
    <w:rsid w:val="00F7047F"/>
    <w:rsid w:val="00F70D1D"/>
    <w:rsid w:val="00F715AB"/>
    <w:rsid w:val="00F75500"/>
    <w:rsid w:val="00F77A8C"/>
    <w:rsid w:val="00F77D05"/>
    <w:rsid w:val="00F803E3"/>
    <w:rsid w:val="00F80AB6"/>
    <w:rsid w:val="00F85164"/>
    <w:rsid w:val="00F853D8"/>
    <w:rsid w:val="00F872D1"/>
    <w:rsid w:val="00F879D4"/>
    <w:rsid w:val="00F90205"/>
    <w:rsid w:val="00F90538"/>
    <w:rsid w:val="00F934EB"/>
    <w:rsid w:val="00F93D84"/>
    <w:rsid w:val="00F94632"/>
    <w:rsid w:val="00F95E9A"/>
    <w:rsid w:val="00F963A5"/>
    <w:rsid w:val="00F972BA"/>
    <w:rsid w:val="00FA04C3"/>
    <w:rsid w:val="00FA0ACB"/>
    <w:rsid w:val="00FA10EF"/>
    <w:rsid w:val="00FA29A5"/>
    <w:rsid w:val="00FA2A3F"/>
    <w:rsid w:val="00FA2D5A"/>
    <w:rsid w:val="00FA4826"/>
    <w:rsid w:val="00FA58E8"/>
    <w:rsid w:val="00FA6025"/>
    <w:rsid w:val="00FA60A0"/>
    <w:rsid w:val="00FA613E"/>
    <w:rsid w:val="00FA6365"/>
    <w:rsid w:val="00FA69F3"/>
    <w:rsid w:val="00FA730D"/>
    <w:rsid w:val="00FA789F"/>
    <w:rsid w:val="00FB025A"/>
    <w:rsid w:val="00FB10F4"/>
    <w:rsid w:val="00FB26F3"/>
    <w:rsid w:val="00FB34CD"/>
    <w:rsid w:val="00FB515C"/>
    <w:rsid w:val="00FB5A85"/>
    <w:rsid w:val="00FB6459"/>
    <w:rsid w:val="00FC15E7"/>
    <w:rsid w:val="00FC32BE"/>
    <w:rsid w:val="00FC4810"/>
    <w:rsid w:val="00FC6093"/>
    <w:rsid w:val="00FC78C3"/>
    <w:rsid w:val="00FD1E72"/>
    <w:rsid w:val="00FD21DE"/>
    <w:rsid w:val="00FD2D64"/>
    <w:rsid w:val="00FD4F47"/>
    <w:rsid w:val="00FD5E9A"/>
    <w:rsid w:val="00FE0E9D"/>
    <w:rsid w:val="00FE1337"/>
    <w:rsid w:val="00FE1DC3"/>
    <w:rsid w:val="00FE36F6"/>
    <w:rsid w:val="00FE5E5D"/>
    <w:rsid w:val="00FE65A1"/>
    <w:rsid w:val="00FE7FD2"/>
    <w:rsid w:val="00FF0264"/>
    <w:rsid w:val="00FF0807"/>
    <w:rsid w:val="00FF31CD"/>
    <w:rsid w:val="00FF468C"/>
    <w:rsid w:val="00FF4B88"/>
    <w:rsid w:val="00FF4C00"/>
    <w:rsid w:val="00FF7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749F2"/>
  <w15:docId w15:val="{9671A377-E1FA-48F1-8BE1-D6937B9F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Paragraph"/>
    <w:rsid w:val="00F60B3A"/>
    <w:pPr>
      <w:spacing w:after="120"/>
    </w:pPr>
    <w:rPr>
      <w:rFonts w:eastAsia="Times New Roman"/>
      <w:sz w:val="22"/>
      <w:szCs w:val="24"/>
    </w:rPr>
  </w:style>
  <w:style w:type="paragraph" w:styleId="Heading1">
    <w:name w:val="heading 1"/>
    <w:next w:val="Paragraph"/>
    <w:link w:val="Heading1Char"/>
    <w:uiPriority w:val="99"/>
    <w:qFormat/>
    <w:rsid w:val="008B7CAA"/>
    <w:pPr>
      <w:keepNext/>
      <w:pageBreakBefore/>
      <w:numPr>
        <w:numId w:val="7"/>
      </w:numPr>
      <w:tabs>
        <w:tab w:val="left" w:pos="576"/>
      </w:tabs>
      <w:spacing w:before="240" w:after="120"/>
      <w:ind w:left="576" w:hanging="576"/>
      <w:outlineLvl w:val="0"/>
    </w:pPr>
    <w:rPr>
      <w:rFonts w:eastAsia="Times New Roman"/>
      <w:b/>
      <w:bCs/>
      <w:caps/>
      <w:kern w:val="32"/>
      <w:sz w:val="24"/>
    </w:rPr>
  </w:style>
  <w:style w:type="paragraph" w:styleId="Heading2">
    <w:name w:val="heading 2"/>
    <w:next w:val="Paragraph"/>
    <w:link w:val="Heading2Char"/>
    <w:uiPriority w:val="99"/>
    <w:qFormat/>
    <w:rsid w:val="008B7CAA"/>
    <w:pPr>
      <w:keepNext/>
      <w:numPr>
        <w:ilvl w:val="1"/>
        <w:numId w:val="7"/>
      </w:numPr>
      <w:tabs>
        <w:tab w:val="left" w:pos="720"/>
      </w:tabs>
      <w:spacing w:before="240" w:after="120"/>
      <w:ind w:left="720" w:hanging="720"/>
      <w:outlineLvl w:val="1"/>
    </w:pPr>
    <w:rPr>
      <w:rFonts w:eastAsia="Times New Roman"/>
      <w:b/>
      <w:bCs/>
      <w:sz w:val="24"/>
      <w:szCs w:val="24"/>
    </w:rPr>
  </w:style>
  <w:style w:type="paragraph" w:styleId="Heading3">
    <w:name w:val="heading 3"/>
    <w:next w:val="Paragraph"/>
    <w:link w:val="Heading3Char"/>
    <w:uiPriority w:val="99"/>
    <w:qFormat/>
    <w:rsid w:val="00D77E3F"/>
    <w:pPr>
      <w:keepNext/>
      <w:numPr>
        <w:ilvl w:val="2"/>
        <w:numId w:val="7"/>
      </w:numPr>
      <w:tabs>
        <w:tab w:val="left" w:pos="1008"/>
      </w:tabs>
      <w:spacing w:before="240" w:after="120"/>
      <w:ind w:left="1008" w:hanging="1008"/>
      <w:outlineLvl w:val="2"/>
    </w:pPr>
    <w:rPr>
      <w:rFonts w:eastAsia="Times New Roman"/>
      <w:b/>
      <w:sz w:val="24"/>
      <w:szCs w:val="24"/>
    </w:rPr>
  </w:style>
  <w:style w:type="paragraph" w:styleId="Heading4">
    <w:name w:val="heading 4"/>
    <w:next w:val="Paragraph"/>
    <w:link w:val="Heading4Char"/>
    <w:uiPriority w:val="99"/>
    <w:qFormat/>
    <w:rsid w:val="00D77E3F"/>
    <w:pPr>
      <w:keepNext/>
      <w:numPr>
        <w:ilvl w:val="3"/>
        <w:numId w:val="7"/>
      </w:numPr>
      <w:tabs>
        <w:tab w:val="left" w:pos="1152"/>
      </w:tabs>
      <w:spacing w:before="240" w:after="120"/>
      <w:outlineLvl w:val="3"/>
    </w:pPr>
    <w:rPr>
      <w:rFonts w:eastAsia="Times New Roman"/>
      <w:b/>
      <w:sz w:val="24"/>
      <w:szCs w:val="24"/>
    </w:rPr>
  </w:style>
  <w:style w:type="paragraph" w:styleId="Heading5">
    <w:name w:val="heading 5"/>
    <w:next w:val="Paragraph"/>
    <w:link w:val="Heading5Char"/>
    <w:uiPriority w:val="99"/>
    <w:qFormat/>
    <w:rsid w:val="00F45C10"/>
    <w:pPr>
      <w:keepNext/>
      <w:numPr>
        <w:ilvl w:val="4"/>
        <w:numId w:val="7"/>
      </w:numPr>
      <w:tabs>
        <w:tab w:val="left" w:pos="1296"/>
      </w:tabs>
      <w:spacing w:before="240" w:after="120"/>
      <w:ind w:left="1296" w:hanging="1296"/>
      <w:outlineLvl w:val="4"/>
    </w:pPr>
    <w:rPr>
      <w:rFonts w:eastAsia="Times New Roman"/>
      <w:b/>
      <w:sz w:val="24"/>
      <w:szCs w:val="24"/>
    </w:rPr>
  </w:style>
  <w:style w:type="paragraph" w:styleId="Heading6">
    <w:name w:val="heading 6"/>
    <w:next w:val="Paragraph"/>
    <w:link w:val="Heading6Char"/>
    <w:uiPriority w:val="99"/>
    <w:qFormat/>
    <w:rsid w:val="00BC6DF9"/>
    <w:pPr>
      <w:keepNext/>
      <w:numPr>
        <w:ilvl w:val="5"/>
        <w:numId w:val="7"/>
      </w:numPr>
      <w:spacing w:before="240" w:after="120"/>
      <w:outlineLvl w:val="5"/>
    </w:pPr>
    <w:rPr>
      <w:rFonts w:eastAsia="Times New Roman"/>
      <w:bCs/>
      <w:iCs/>
      <w:sz w:val="24"/>
      <w:szCs w:val="24"/>
    </w:rPr>
  </w:style>
  <w:style w:type="paragraph" w:styleId="Heading7">
    <w:name w:val="heading 7"/>
    <w:next w:val="Paragraph"/>
    <w:link w:val="Heading7Char"/>
    <w:uiPriority w:val="99"/>
    <w:qFormat/>
    <w:rsid w:val="00BC6DF9"/>
    <w:pPr>
      <w:keepNext/>
      <w:numPr>
        <w:ilvl w:val="6"/>
        <w:numId w:val="7"/>
      </w:numPr>
      <w:spacing w:before="240" w:after="120"/>
      <w:outlineLvl w:val="6"/>
    </w:pPr>
    <w:rPr>
      <w:rFonts w:eastAsia="Times New Roman" w:cs="Arial"/>
      <w:iCs/>
      <w:sz w:val="24"/>
    </w:rPr>
  </w:style>
  <w:style w:type="paragraph" w:styleId="Heading8">
    <w:name w:val="heading 8"/>
    <w:next w:val="Paragraph"/>
    <w:link w:val="Heading8Char"/>
    <w:uiPriority w:val="99"/>
    <w:qFormat/>
    <w:rsid w:val="00BC6DF9"/>
    <w:pPr>
      <w:keepNext/>
      <w:numPr>
        <w:ilvl w:val="7"/>
        <w:numId w:val="7"/>
      </w:numPr>
      <w:spacing w:before="240" w:after="120"/>
      <w:outlineLvl w:val="7"/>
    </w:pPr>
    <w:rPr>
      <w:rFonts w:eastAsia="Times New Roman" w:cs="Arial"/>
      <w:iCs/>
      <w:sz w:val="24"/>
    </w:rPr>
  </w:style>
  <w:style w:type="paragraph" w:styleId="Heading9">
    <w:name w:val="heading 9"/>
    <w:next w:val="Paragraph"/>
    <w:link w:val="Heading9Char"/>
    <w:uiPriority w:val="99"/>
    <w:qFormat/>
    <w:rsid w:val="00BC6DF9"/>
    <w:pPr>
      <w:keepNext/>
      <w:numPr>
        <w:ilvl w:val="8"/>
        <w:numId w:val="7"/>
      </w:numPr>
      <w:spacing w:before="240" w:after="120"/>
      <w:outlineLvl w:val="8"/>
    </w:pPr>
    <w:rPr>
      <w:rFonts w:eastAsia="Times New Roman" w:cs="Arial"/>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B7CAA"/>
    <w:rPr>
      <w:rFonts w:eastAsia="Times New Roman"/>
      <w:b/>
      <w:bCs/>
      <w:caps/>
      <w:kern w:val="32"/>
      <w:sz w:val="24"/>
    </w:rPr>
  </w:style>
  <w:style w:type="character" w:customStyle="1" w:styleId="Heading2Char">
    <w:name w:val="Heading 2 Char"/>
    <w:basedOn w:val="DefaultParagraphFont"/>
    <w:link w:val="Heading2"/>
    <w:uiPriority w:val="99"/>
    <w:rsid w:val="008B7CAA"/>
    <w:rPr>
      <w:rFonts w:eastAsia="Times New Roman"/>
      <w:b/>
      <w:bCs/>
      <w:sz w:val="24"/>
      <w:szCs w:val="24"/>
    </w:rPr>
  </w:style>
  <w:style w:type="character" w:customStyle="1" w:styleId="Heading3Char">
    <w:name w:val="Heading 3 Char"/>
    <w:basedOn w:val="DefaultParagraphFont"/>
    <w:link w:val="Heading3"/>
    <w:uiPriority w:val="99"/>
    <w:rsid w:val="00D77E3F"/>
    <w:rPr>
      <w:rFonts w:eastAsia="Times New Roman"/>
      <w:b/>
      <w:sz w:val="24"/>
      <w:szCs w:val="24"/>
    </w:rPr>
  </w:style>
  <w:style w:type="character" w:customStyle="1" w:styleId="Heading4Char">
    <w:name w:val="Heading 4 Char"/>
    <w:basedOn w:val="DefaultParagraphFont"/>
    <w:link w:val="Heading4"/>
    <w:uiPriority w:val="99"/>
    <w:rsid w:val="00D77E3F"/>
    <w:rPr>
      <w:rFonts w:eastAsia="Times New Roman"/>
      <w:b/>
      <w:sz w:val="24"/>
      <w:szCs w:val="24"/>
    </w:rPr>
  </w:style>
  <w:style w:type="character" w:customStyle="1" w:styleId="Heading5Char">
    <w:name w:val="Heading 5 Char"/>
    <w:basedOn w:val="DefaultParagraphFont"/>
    <w:link w:val="Heading5"/>
    <w:uiPriority w:val="99"/>
    <w:rsid w:val="00F45C10"/>
    <w:rPr>
      <w:rFonts w:eastAsia="Times New Roman"/>
      <w:b/>
      <w:sz w:val="24"/>
      <w:szCs w:val="24"/>
    </w:rPr>
  </w:style>
  <w:style w:type="character" w:customStyle="1" w:styleId="Heading6Char">
    <w:name w:val="Heading 6 Char"/>
    <w:basedOn w:val="DefaultParagraphFont"/>
    <w:link w:val="Heading6"/>
    <w:uiPriority w:val="99"/>
    <w:rsid w:val="00540B66"/>
    <w:rPr>
      <w:rFonts w:eastAsia="Times New Roman"/>
      <w:bCs/>
      <w:iCs/>
      <w:sz w:val="24"/>
      <w:szCs w:val="24"/>
    </w:rPr>
  </w:style>
  <w:style w:type="character" w:customStyle="1" w:styleId="Heading7Char">
    <w:name w:val="Heading 7 Char"/>
    <w:basedOn w:val="DefaultParagraphFont"/>
    <w:link w:val="Heading7"/>
    <w:uiPriority w:val="99"/>
    <w:rsid w:val="0067129C"/>
    <w:rPr>
      <w:rFonts w:eastAsia="Times New Roman" w:cs="Arial"/>
      <w:iCs/>
      <w:sz w:val="24"/>
    </w:rPr>
  </w:style>
  <w:style w:type="character" w:customStyle="1" w:styleId="Heading8Char">
    <w:name w:val="Heading 8 Char"/>
    <w:basedOn w:val="DefaultParagraphFont"/>
    <w:link w:val="Heading8"/>
    <w:uiPriority w:val="99"/>
    <w:rsid w:val="0067129C"/>
    <w:rPr>
      <w:rFonts w:eastAsia="Times New Roman" w:cs="Arial"/>
      <w:iCs/>
      <w:sz w:val="24"/>
    </w:rPr>
  </w:style>
  <w:style w:type="character" w:customStyle="1" w:styleId="Heading9Char">
    <w:name w:val="Heading 9 Char"/>
    <w:basedOn w:val="DefaultParagraphFont"/>
    <w:link w:val="Heading9"/>
    <w:uiPriority w:val="99"/>
    <w:rsid w:val="0067129C"/>
    <w:rPr>
      <w:rFonts w:eastAsia="Times New Roman" w:cs="Arial"/>
      <w:iCs/>
      <w:sz w:val="24"/>
    </w:rPr>
  </w:style>
  <w:style w:type="paragraph" w:styleId="Index1">
    <w:name w:val="index 1"/>
    <w:next w:val="Paragraph"/>
    <w:uiPriority w:val="99"/>
    <w:semiHidden/>
    <w:rsid w:val="00BC6DF9"/>
    <w:pPr>
      <w:spacing w:after="120"/>
      <w:ind w:left="245" w:hanging="245"/>
    </w:pPr>
    <w:rPr>
      <w:rFonts w:eastAsia="Times New Roman"/>
      <w:sz w:val="22"/>
      <w:szCs w:val="24"/>
    </w:rPr>
  </w:style>
  <w:style w:type="paragraph" w:styleId="Index2">
    <w:name w:val="index 2"/>
    <w:next w:val="Paragraph"/>
    <w:uiPriority w:val="99"/>
    <w:semiHidden/>
    <w:rsid w:val="00BC6DF9"/>
    <w:pPr>
      <w:spacing w:after="120"/>
      <w:ind w:left="490" w:hanging="245"/>
    </w:pPr>
    <w:rPr>
      <w:rFonts w:eastAsia="Times New Roman"/>
      <w:sz w:val="22"/>
      <w:szCs w:val="24"/>
    </w:rPr>
  </w:style>
  <w:style w:type="paragraph" w:styleId="Index3">
    <w:name w:val="index 3"/>
    <w:next w:val="Paragraph"/>
    <w:autoRedefine/>
    <w:uiPriority w:val="99"/>
    <w:semiHidden/>
    <w:rsid w:val="00BC6DF9"/>
    <w:pPr>
      <w:spacing w:after="120"/>
      <w:ind w:left="720" w:hanging="245"/>
    </w:pPr>
    <w:rPr>
      <w:rFonts w:eastAsia="Times New Roman"/>
      <w:sz w:val="22"/>
      <w:szCs w:val="24"/>
    </w:rPr>
  </w:style>
  <w:style w:type="paragraph" w:styleId="Index4">
    <w:name w:val="index 4"/>
    <w:next w:val="Paragraph"/>
    <w:uiPriority w:val="99"/>
    <w:semiHidden/>
    <w:rsid w:val="00BC6DF9"/>
    <w:pPr>
      <w:spacing w:after="120"/>
      <w:ind w:left="965" w:hanging="245"/>
    </w:pPr>
    <w:rPr>
      <w:rFonts w:eastAsia="Times New Roman"/>
      <w:sz w:val="22"/>
      <w:szCs w:val="24"/>
    </w:rPr>
  </w:style>
  <w:style w:type="paragraph" w:styleId="Index5">
    <w:name w:val="index 5"/>
    <w:next w:val="Paragraph"/>
    <w:uiPriority w:val="99"/>
    <w:semiHidden/>
    <w:rsid w:val="00BC6DF9"/>
    <w:pPr>
      <w:spacing w:after="120"/>
      <w:ind w:left="1210" w:hanging="245"/>
    </w:pPr>
    <w:rPr>
      <w:rFonts w:eastAsia="Times New Roman"/>
      <w:sz w:val="22"/>
      <w:szCs w:val="24"/>
    </w:rPr>
  </w:style>
  <w:style w:type="paragraph" w:styleId="Index6">
    <w:name w:val="index 6"/>
    <w:next w:val="Paragraph"/>
    <w:uiPriority w:val="99"/>
    <w:semiHidden/>
    <w:rsid w:val="00BC6DF9"/>
    <w:pPr>
      <w:spacing w:after="200" w:line="276" w:lineRule="auto"/>
      <w:ind w:left="1440" w:hanging="240"/>
    </w:pPr>
    <w:rPr>
      <w:rFonts w:eastAsia="Times New Roman"/>
      <w:sz w:val="22"/>
    </w:rPr>
  </w:style>
  <w:style w:type="paragraph" w:styleId="Index7">
    <w:name w:val="index 7"/>
    <w:next w:val="Paragraph"/>
    <w:uiPriority w:val="99"/>
    <w:semiHidden/>
    <w:rsid w:val="00BC6DF9"/>
    <w:pPr>
      <w:spacing w:after="120"/>
      <w:ind w:left="1685" w:hanging="245"/>
    </w:pPr>
    <w:rPr>
      <w:rFonts w:eastAsia="Times New Roman"/>
      <w:sz w:val="22"/>
      <w:szCs w:val="24"/>
    </w:rPr>
  </w:style>
  <w:style w:type="paragraph" w:styleId="Index8">
    <w:name w:val="index 8"/>
    <w:next w:val="Paragraph"/>
    <w:uiPriority w:val="99"/>
    <w:semiHidden/>
    <w:rsid w:val="00BC6DF9"/>
    <w:pPr>
      <w:spacing w:after="200" w:line="276" w:lineRule="auto"/>
      <w:ind w:left="1920" w:hanging="240"/>
    </w:pPr>
    <w:rPr>
      <w:rFonts w:eastAsia="Times New Roman"/>
      <w:sz w:val="22"/>
      <w:szCs w:val="24"/>
    </w:rPr>
  </w:style>
  <w:style w:type="paragraph" w:styleId="Index9">
    <w:name w:val="index 9"/>
    <w:next w:val="Paragraph"/>
    <w:uiPriority w:val="99"/>
    <w:semiHidden/>
    <w:rsid w:val="00BC6DF9"/>
    <w:pPr>
      <w:spacing w:after="120"/>
      <w:ind w:left="2160" w:hanging="245"/>
    </w:pPr>
    <w:rPr>
      <w:rFonts w:eastAsia="Times New Roman"/>
      <w:sz w:val="22"/>
      <w:szCs w:val="24"/>
    </w:rPr>
  </w:style>
  <w:style w:type="paragraph" w:styleId="TOC1">
    <w:name w:val="toc 1"/>
    <w:next w:val="Paragraph"/>
    <w:link w:val="TOC1Char"/>
    <w:uiPriority w:val="39"/>
    <w:rsid w:val="00BC6DF9"/>
    <w:pPr>
      <w:tabs>
        <w:tab w:val="right" w:leader="dot" w:pos="9360"/>
      </w:tabs>
      <w:spacing w:before="60"/>
      <w:ind w:left="432" w:right="360" w:hanging="432"/>
    </w:pPr>
    <w:rPr>
      <w:rFonts w:eastAsia="Times New Roman"/>
      <w:caps/>
      <w:noProof/>
      <w:sz w:val="22"/>
      <w:szCs w:val="24"/>
    </w:rPr>
  </w:style>
  <w:style w:type="paragraph" w:styleId="TOC2">
    <w:name w:val="toc 2"/>
    <w:next w:val="Paragraph"/>
    <w:uiPriority w:val="39"/>
    <w:rsid w:val="00BC6DF9"/>
    <w:pPr>
      <w:tabs>
        <w:tab w:val="left" w:pos="1008"/>
        <w:tab w:val="right" w:leader="dot" w:pos="9360"/>
      </w:tabs>
      <w:spacing w:before="60"/>
      <w:ind w:left="1008" w:right="360" w:hanging="576"/>
    </w:pPr>
    <w:rPr>
      <w:rFonts w:eastAsia="Times New Roman"/>
      <w:noProof/>
      <w:sz w:val="22"/>
      <w:szCs w:val="24"/>
    </w:rPr>
  </w:style>
  <w:style w:type="paragraph" w:styleId="TOC3">
    <w:name w:val="toc 3"/>
    <w:next w:val="Paragraph"/>
    <w:uiPriority w:val="39"/>
    <w:rsid w:val="00BC6DF9"/>
    <w:pPr>
      <w:tabs>
        <w:tab w:val="right" w:leader="dot" w:pos="9360"/>
      </w:tabs>
      <w:spacing w:before="60"/>
      <w:ind w:left="1800" w:right="360" w:hanging="792"/>
    </w:pPr>
    <w:rPr>
      <w:rFonts w:eastAsia="Times New Roman"/>
      <w:noProof/>
      <w:sz w:val="22"/>
      <w:szCs w:val="22"/>
    </w:rPr>
  </w:style>
  <w:style w:type="paragraph" w:styleId="TOC4">
    <w:name w:val="toc 4"/>
    <w:next w:val="Paragraph"/>
    <w:uiPriority w:val="39"/>
    <w:rsid w:val="003F6ED6"/>
    <w:pPr>
      <w:tabs>
        <w:tab w:val="right" w:leader="dot" w:pos="3240"/>
        <w:tab w:val="right" w:leader="dot" w:pos="9360"/>
      </w:tabs>
      <w:spacing w:before="60"/>
      <w:ind w:left="2707" w:right="360" w:hanging="907"/>
    </w:pPr>
    <w:rPr>
      <w:rFonts w:eastAsia="Times New Roman"/>
      <w:noProof/>
      <w:sz w:val="22"/>
      <w:szCs w:val="24"/>
    </w:rPr>
  </w:style>
  <w:style w:type="paragraph" w:styleId="TOC5">
    <w:name w:val="toc 5"/>
    <w:next w:val="Paragraph"/>
    <w:uiPriority w:val="39"/>
    <w:rsid w:val="00BC6DF9"/>
    <w:pPr>
      <w:tabs>
        <w:tab w:val="right" w:leader="dot" w:pos="9360"/>
      </w:tabs>
      <w:spacing w:before="60"/>
      <w:ind w:left="3859" w:right="360" w:hanging="1152"/>
    </w:pPr>
    <w:rPr>
      <w:rFonts w:eastAsia="Times New Roman"/>
      <w:noProof/>
      <w:sz w:val="22"/>
      <w:szCs w:val="24"/>
    </w:rPr>
  </w:style>
  <w:style w:type="paragraph" w:styleId="TOC6">
    <w:name w:val="toc 6"/>
    <w:next w:val="Paragraph"/>
    <w:uiPriority w:val="39"/>
    <w:rsid w:val="00BC6DF9"/>
    <w:pPr>
      <w:tabs>
        <w:tab w:val="right" w:leader="dot" w:pos="9360"/>
      </w:tabs>
      <w:spacing w:before="60"/>
      <w:ind w:left="4003" w:right="360" w:hanging="1296"/>
    </w:pPr>
    <w:rPr>
      <w:rFonts w:eastAsia="Times New Roman"/>
      <w:bCs/>
      <w:iCs/>
      <w:sz w:val="22"/>
      <w:szCs w:val="24"/>
    </w:rPr>
  </w:style>
  <w:style w:type="paragraph" w:styleId="TOC7">
    <w:name w:val="toc 7"/>
    <w:next w:val="Paragraph"/>
    <w:uiPriority w:val="39"/>
    <w:rsid w:val="00BC6DF9"/>
    <w:pPr>
      <w:tabs>
        <w:tab w:val="left" w:pos="4147"/>
        <w:tab w:val="right" w:leader="dot" w:pos="9360"/>
      </w:tabs>
      <w:spacing w:before="60"/>
      <w:ind w:left="4147" w:right="360" w:hanging="1440"/>
    </w:pPr>
    <w:rPr>
      <w:rFonts w:eastAsia="Times New Roman"/>
      <w:sz w:val="22"/>
      <w:szCs w:val="24"/>
    </w:rPr>
  </w:style>
  <w:style w:type="paragraph" w:styleId="TOC8">
    <w:name w:val="toc 8"/>
    <w:next w:val="Paragraph"/>
    <w:uiPriority w:val="39"/>
    <w:rsid w:val="00BC6DF9"/>
    <w:pPr>
      <w:tabs>
        <w:tab w:val="right" w:leader="dot" w:pos="9360"/>
      </w:tabs>
      <w:spacing w:before="60"/>
      <w:ind w:left="4363" w:right="360" w:hanging="1656"/>
    </w:pPr>
    <w:rPr>
      <w:rFonts w:eastAsia="Times New Roman"/>
      <w:sz w:val="22"/>
      <w:szCs w:val="24"/>
    </w:rPr>
  </w:style>
  <w:style w:type="paragraph" w:styleId="TOC9">
    <w:name w:val="toc 9"/>
    <w:next w:val="Paragraph"/>
    <w:uiPriority w:val="39"/>
    <w:rsid w:val="00BC6DF9"/>
    <w:pPr>
      <w:tabs>
        <w:tab w:val="right" w:leader="dot" w:pos="9360"/>
      </w:tabs>
      <w:spacing w:before="60"/>
      <w:ind w:left="4507" w:right="360" w:hanging="1800"/>
    </w:pPr>
    <w:rPr>
      <w:rFonts w:eastAsia="Times New Roman"/>
      <w:sz w:val="22"/>
      <w:szCs w:val="24"/>
    </w:rPr>
  </w:style>
  <w:style w:type="paragraph" w:styleId="CommentText">
    <w:name w:val="annotation text"/>
    <w:link w:val="CommentTextChar"/>
    <w:uiPriority w:val="99"/>
    <w:unhideWhenUsed/>
    <w:rsid w:val="00BC6DF9"/>
    <w:pPr>
      <w:spacing w:after="120"/>
    </w:pPr>
    <w:rPr>
      <w:rFonts w:eastAsia="Times New Roman"/>
    </w:rPr>
  </w:style>
  <w:style w:type="character" w:customStyle="1" w:styleId="CommentTextChar">
    <w:name w:val="Comment Text Char"/>
    <w:basedOn w:val="DefaultParagraphFont"/>
    <w:link w:val="CommentText"/>
    <w:uiPriority w:val="99"/>
    <w:rsid w:val="00312596"/>
    <w:rPr>
      <w:rFonts w:eastAsia="Times New Roman"/>
    </w:rPr>
  </w:style>
  <w:style w:type="paragraph" w:styleId="Header">
    <w:name w:val="header"/>
    <w:link w:val="HeaderChar"/>
    <w:uiPriority w:val="99"/>
    <w:qFormat/>
    <w:rsid w:val="00BC6DF9"/>
    <w:rPr>
      <w:rFonts w:eastAsia="Times New Roman"/>
      <w:sz w:val="22"/>
    </w:rPr>
  </w:style>
  <w:style w:type="character" w:customStyle="1" w:styleId="HeaderChar">
    <w:name w:val="Header Char"/>
    <w:basedOn w:val="DefaultParagraphFont"/>
    <w:link w:val="Header"/>
    <w:uiPriority w:val="99"/>
    <w:rsid w:val="00E55E85"/>
    <w:rPr>
      <w:rFonts w:eastAsia="Times New Roman"/>
      <w:sz w:val="22"/>
    </w:rPr>
  </w:style>
  <w:style w:type="paragraph" w:styleId="Footer">
    <w:name w:val="footer"/>
    <w:link w:val="FooterChar"/>
    <w:uiPriority w:val="99"/>
    <w:qFormat/>
    <w:rsid w:val="00344BF3"/>
    <w:pPr>
      <w:tabs>
        <w:tab w:val="right" w:pos="9360"/>
      </w:tabs>
    </w:pPr>
    <w:rPr>
      <w:rFonts w:eastAsia="Times New Roman"/>
    </w:rPr>
  </w:style>
  <w:style w:type="character" w:customStyle="1" w:styleId="FooterChar">
    <w:name w:val="Footer Char"/>
    <w:basedOn w:val="DefaultParagraphFont"/>
    <w:link w:val="Footer"/>
    <w:uiPriority w:val="99"/>
    <w:rsid w:val="00344BF3"/>
    <w:rPr>
      <w:rFonts w:eastAsia="Times New Roman"/>
    </w:rPr>
  </w:style>
  <w:style w:type="paragraph" w:styleId="IndexHeading">
    <w:name w:val="index heading"/>
    <w:next w:val="Index1"/>
    <w:uiPriority w:val="99"/>
    <w:semiHidden/>
    <w:rsid w:val="00BC6DF9"/>
    <w:pPr>
      <w:spacing w:after="120"/>
    </w:pPr>
    <w:rPr>
      <w:rFonts w:ascii="Arial" w:eastAsia="Times New Roman" w:hAnsi="Arial" w:cs="Arial"/>
      <w:b/>
      <w:bCs/>
      <w:sz w:val="22"/>
      <w:szCs w:val="24"/>
    </w:rPr>
  </w:style>
  <w:style w:type="paragraph" w:styleId="TableofFigures">
    <w:name w:val="table of figures"/>
    <w:next w:val="Paragraph"/>
    <w:uiPriority w:val="99"/>
    <w:rsid w:val="00BC6DF9"/>
    <w:pPr>
      <w:tabs>
        <w:tab w:val="right" w:leader="dot" w:pos="9360"/>
      </w:tabs>
      <w:spacing w:before="60"/>
      <w:ind w:left="1152" w:right="360" w:hanging="1152"/>
    </w:pPr>
    <w:rPr>
      <w:rFonts w:eastAsia="Times New Roman"/>
      <w:noProof/>
      <w:sz w:val="22"/>
      <w:szCs w:val="24"/>
    </w:rPr>
  </w:style>
  <w:style w:type="character" w:styleId="CommentReference">
    <w:name w:val="annotation reference"/>
    <w:basedOn w:val="DefaultParagraphFont"/>
    <w:uiPriority w:val="99"/>
    <w:unhideWhenUsed/>
    <w:rsid w:val="00BC6DF9"/>
    <w:rPr>
      <w:sz w:val="16"/>
      <w:szCs w:val="16"/>
    </w:rPr>
  </w:style>
  <w:style w:type="paragraph" w:styleId="TableofAuthorities">
    <w:name w:val="table of authorities"/>
    <w:next w:val="Paragraph"/>
    <w:uiPriority w:val="99"/>
    <w:semiHidden/>
    <w:rsid w:val="00BC6DF9"/>
    <w:pPr>
      <w:spacing w:after="120"/>
      <w:ind w:left="245" w:hanging="245"/>
    </w:pPr>
    <w:rPr>
      <w:rFonts w:eastAsia="Times New Roman"/>
      <w:sz w:val="22"/>
      <w:szCs w:val="24"/>
    </w:rPr>
  </w:style>
  <w:style w:type="paragraph" w:styleId="MacroText">
    <w:name w:val="macro"/>
    <w:link w:val="MacroTextChar"/>
    <w:uiPriority w:val="99"/>
    <w:semiHidden/>
    <w:rsid w:val="00BC6DF9"/>
    <w:pPr>
      <w:tabs>
        <w:tab w:val="left" w:pos="480"/>
        <w:tab w:val="left" w:pos="960"/>
        <w:tab w:val="left" w:pos="1440"/>
        <w:tab w:val="left" w:pos="1920"/>
        <w:tab w:val="left" w:pos="2400"/>
        <w:tab w:val="left" w:pos="2880"/>
        <w:tab w:val="left" w:pos="3360"/>
        <w:tab w:val="left" w:pos="3840"/>
        <w:tab w:val="left" w:pos="4320"/>
      </w:tabs>
      <w:ind w:left="144" w:hanging="144"/>
    </w:pPr>
    <w:rPr>
      <w:rFonts w:ascii="Courier New" w:eastAsia="Times New Roman" w:hAnsi="Courier New" w:cs="Courier New"/>
    </w:rPr>
  </w:style>
  <w:style w:type="character" w:customStyle="1" w:styleId="MacroTextChar">
    <w:name w:val="Macro Text Char"/>
    <w:basedOn w:val="DefaultParagraphFont"/>
    <w:link w:val="MacroText"/>
    <w:uiPriority w:val="99"/>
    <w:semiHidden/>
    <w:rsid w:val="00F872D1"/>
    <w:rPr>
      <w:rFonts w:ascii="Courier New" w:eastAsia="Times New Roman" w:hAnsi="Courier New" w:cs="Courier New"/>
    </w:rPr>
  </w:style>
  <w:style w:type="paragraph" w:styleId="TOAHeading">
    <w:name w:val="toa heading"/>
    <w:next w:val="Paragraph"/>
    <w:uiPriority w:val="99"/>
    <w:semiHidden/>
    <w:rsid w:val="00BC6DF9"/>
    <w:pPr>
      <w:spacing w:before="120" w:after="120"/>
    </w:pPr>
    <w:rPr>
      <w:rFonts w:eastAsia="Times New Roman" w:cs="Arial"/>
      <w:b/>
      <w:bCs/>
      <w:sz w:val="22"/>
      <w:szCs w:val="24"/>
    </w:rPr>
  </w:style>
  <w:style w:type="paragraph" w:styleId="ListNumber">
    <w:name w:val="List Number"/>
    <w:qFormat/>
    <w:rsid w:val="00FD4F47"/>
    <w:pPr>
      <w:numPr>
        <w:numId w:val="18"/>
      </w:numPr>
      <w:spacing w:after="120"/>
      <w:contextualSpacing/>
    </w:pPr>
    <w:rPr>
      <w:rFonts w:eastAsia="Times New Roman"/>
      <w:sz w:val="22"/>
      <w:szCs w:val="24"/>
    </w:rPr>
  </w:style>
  <w:style w:type="paragraph" w:styleId="ListBullet2">
    <w:name w:val="List Bullet 2"/>
    <w:uiPriority w:val="99"/>
    <w:qFormat/>
    <w:rsid w:val="00655C40"/>
    <w:pPr>
      <w:numPr>
        <w:numId w:val="9"/>
      </w:numPr>
      <w:spacing w:after="120"/>
      <w:contextualSpacing/>
    </w:pPr>
    <w:rPr>
      <w:rFonts w:eastAsia="Times New Roman"/>
      <w:sz w:val="22"/>
      <w:szCs w:val="24"/>
    </w:rPr>
  </w:style>
  <w:style w:type="paragraph" w:styleId="ListBullet3">
    <w:name w:val="List Bullet 3"/>
    <w:uiPriority w:val="99"/>
    <w:rsid w:val="00FD4F47"/>
    <w:pPr>
      <w:numPr>
        <w:numId w:val="10"/>
      </w:numPr>
      <w:spacing w:after="120"/>
      <w:ind w:left="1080"/>
      <w:contextualSpacing/>
    </w:pPr>
    <w:rPr>
      <w:rFonts w:eastAsia="Times New Roman"/>
      <w:sz w:val="22"/>
      <w:szCs w:val="24"/>
    </w:rPr>
  </w:style>
  <w:style w:type="paragraph" w:styleId="ListNumber2">
    <w:name w:val="List Number 2"/>
    <w:uiPriority w:val="99"/>
    <w:rsid w:val="00BC6DF9"/>
    <w:pPr>
      <w:numPr>
        <w:numId w:val="19"/>
      </w:numPr>
      <w:tabs>
        <w:tab w:val="left" w:pos="360"/>
      </w:tabs>
      <w:spacing w:after="120"/>
      <w:contextualSpacing/>
    </w:pPr>
    <w:rPr>
      <w:rFonts w:eastAsia="Times New Roman"/>
      <w:sz w:val="22"/>
      <w:szCs w:val="24"/>
    </w:rPr>
  </w:style>
  <w:style w:type="paragraph" w:styleId="ListNumber3">
    <w:name w:val="List Number 3"/>
    <w:uiPriority w:val="99"/>
    <w:rsid w:val="00BC6DF9"/>
    <w:pPr>
      <w:numPr>
        <w:numId w:val="20"/>
      </w:numPr>
      <w:spacing w:after="120"/>
      <w:contextualSpacing/>
    </w:pPr>
    <w:rPr>
      <w:rFonts w:eastAsia="Times New Roman"/>
      <w:sz w:val="22"/>
      <w:szCs w:val="24"/>
    </w:rPr>
  </w:style>
  <w:style w:type="character" w:styleId="Hyperlink">
    <w:name w:val="Hyperlink"/>
    <w:basedOn w:val="DefaultParagraphFont"/>
    <w:uiPriority w:val="99"/>
    <w:rsid w:val="00BC6DF9"/>
    <w:rPr>
      <w:b/>
      <w:color w:val="0000FF"/>
    </w:rPr>
  </w:style>
  <w:style w:type="paragraph" w:styleId="DocumentMap">
    <w:name w:val="Document Map"/>
    <w:link w:val="DocumentMapChar"/>
    <w:uiPriority w:val="99"/>
    <w:semiHidden/>
    <w:rsid w:val="00BC6DF9"/>
    <w:pPr>
      <w:shd w:val="clear" w:color="auto" w:fill="000080"/>
      <w:spacing w:after="120"/>
    </w:pPr>
    <w:rPr>
      <w:rFonts w:eastAsia="Times New Roman" w:cs="Tahoma"/>
      <w:sz w:val="22"/>
      <w:szCs w:val="24"/>
    </w:rPr>
  </w:style>
  <w:style w:type="character" w:customStyle="1" w:styleId="DocumentMapChar">
    <w:name w:val="Document Map Char"/>
    <w:basedOn w:val="DefaultParagraphFont"/>
    <w:link w:val="DocumentMap"/>
    <w:uiPriority w:val="99"/>
    <w:semiHidden/>
    <w:rsid w:val="00F872D1"/>
    <w:rPr>
      <w:rFonts w:eastAsia="Times New Roman" w:cs="Tahoma"/>
      <w:sz w:val="22"/>
      <w:szCs w:val="24"/>
      <w:shd w:val="clear" w:color="auto" w:fill="000080"/>
    </w:rPr>
  </w:style>
  <w:style w:type="paragraph" w:styleId="CommentSubject">
    <w:name w:val="annotation subject"/>
    <w:next w:val="Paragraph"/>
    <w:link w:val="CommentSubjectChar"/>
    <w:uiPriority w:val="99"/>
    <w:semiHidden/>
    <w:rsid w:val="00BC6DF9"/>
    <w:pPr>
      <w:spacing w:after="120"/>
    </w:pPr>
    <w:rPr>
      <w:rFonts w:eastAsia="Times New Roman"/>
      <w:b/>
      <w:bCs/>
    </w:rPr>
  </w:style>
  <w:style w:type="character" w:customStyle="1" w:styleId="CommentSubjectChar">
    <w:name w:val="Comment Subject Char"/>
    <w:basedOn w:val="DefaultParagraphFont"/>
    <w:link w:val="CommentSubject"/>
    <w:uiPriority w:val="99"/>
    <w:semiHidden/>
    <w:rsid w:val="00380024"/>
    <w:rPr>
      <w:rFonts w:eastAsia="Times New Roman"/>
      <w:b/>
      <w:bCs/>
    </w:rPr>
  </w:style>
  <w:style w:type="numbering" w:styleId="1ai">
    <w:name w:val="Outline List 1"/>
    <w:basedOn w:val="NoList"/>
    <w:uiPriority w:val="99"/>
    <w:semiHidden/>
    <w:unhideWhenUsed/>
    <w:rsid w:val="00BC6DF9"/>
    <w:pPr>
      <w:numPr>
        <w:numId w:val="5"/>
      </w:numPr>
    </w:pPr>
  </w:style>
  <w:style w:type="numbering" w:styleId="111111">
    <w:name w:val="Outline List 2"/>
    <w:basedOn w:val="NoList"/>
    <w:uiPriority w:val="99"/>
    <w:semiHidden/>
    <w:unhideWhenUsed/>
    <w:rsid w:val="00BC6DF9"/>
    <w:pPr>
      <w:numPr>
        <w:numId w:val="4"/>
      </w:numPr>
    </w:pPr>
  </w:style>
  <w:style w:type="numbering" w:styleId="ArticleSection">
    <w:name w:val="Outline List 3"/>
    <w:basedOn w:val="NoList"/>
    <w:uiPriority w:val="99"/>
    <w:semiHidden/>
    <w:unhideWhenUsed/>
    <w:rsid w:val="00BC6DF9"/>
    <w:pPr>
      <w:numPr>
        <w:numId w:val="6"/>
      </w:numPr>
    </w:pPr>
  </w:style>
  <w:style w:type="table" w:styleId="TableSimple1">
    <w:name w:val="Table Simple 1"/>
    <w:basedOn w:val="TableNormal"/>
    <w:uiPriority w:val="99"/>
    <w:rsid w:val="00BC6DF9"/>
    <w:rPr>
      <w:rFonts w:eastAsia="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BC6DF9"/>
    <w:rPr>
      <w:rFonts w:eastAsia="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BC6DF9"/>
    <w:rPr>
      <w:rFonts w:eastAsia="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rsid w:val="00BC6DF9"/>
    <w:rPr>
      <w:rFonts w:eastAsia="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rsid w:val="00BC6DF9"/>
    <w:rPr>
      <w:rFonts w:eastAsia="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BC6DF9"/>
    <w:rPr>
      <w:rFonts w:eastAsia="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BC6DF9"/>
    <w:rPr>
      <w:rFonts w:eastAsia="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rsid w:val="00BC6DF9"/>
    <w:rPr>
      <w:rFonts w:eastAsia="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rsid w:val="00BC6DF9"/>
    <w:rPr>
      <w:rFonts w:eastAsia="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rsid w:val="00BC6DF9"/>
    <w:rPr>
      <w:rFonts w:eastAsia="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BC6DF9"/>
    <w:rPr>
      <w:rFonts w:eastAsia="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rsid w:val="00BC6DF9"/>
    <w:rPr>
      <w:rFonts w:eastAsia="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rsid w:val="00BC6DF9"/>
    <w:rPr>
      <w:rFonts w:eastAsia="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rsid w:val="00BC6DF9"/>
    <w:rPr>
      <w:rFonts w:eastAsia="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rsid w:val="00BC6DF9"/>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iPriority w:val="99"/>
    <w:rsid w:val="00BC6DF9"/>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rsid w:val="00BC6DF9"/>
    <w:rPr>
      <w:rFonts w:eastAsia="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rsid w:val="00BC6DF9"/>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rsid w:val="00BC6DF9"/>
    <w:rPr>
      <w:rFonts w:eastAsia="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BC6DF9"/>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rsid w:val="00BC6DF9"/>
    <w:rPr>
      <w:rFonts w:eastAsia="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BC6DF9"/>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rsid w:val="00BC6DF9"/>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BC6DF9"/>
    <w:rPr>
      <w:rFonts w:eastAsia="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rsid w:val="00BC6DF9"/>
    <w:rPr>
      <w:rFonts w:eastAsia="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rsid w:val="00BC6DF9"/>
    <w:rPr>
      <w:rFonts w:eastAsia="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BC6DF9"/>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BC6DF9"/>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rsid w:val="00BC6DF9"/>
    <w:rPr>
      <w:rFonts w:eastAsia="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BC6DF9"/>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BC6DF9"/>
    <w:rPr>
      <w:rFonts w:eastAsia="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iPriority w:val="99"/>
    <w:rsid w:val="00BC6DF9"/>
    <w:rPr>
      <w:rFonts w:eastAsia="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BC6DF9"/>
    <w:rPr>
      <w:rFonts w:eastAsia="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BC6DF9"/>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iPriority w:val="99"/>
    <w:rsid w:val="00BC6DF9"/>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BC6DF9"/>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iPriority w:val="99"/>
    <w:rsid w:val="00BC6DF9"/>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BC6DF9"/>
    <w:rPr>
      <w:rFonts w:eastAsia="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BC6DF9"/>
    <w:rPr>
      <w:rFonts w:eastAsia="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rsid w:val="00BC6DF9"/>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rsid w:val="00BC6DF9"/>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BC6DF9"/>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basedOn w:val="TableNormal"/>
    <w:uiPriority w:val="59"/>
    <w:rsid w:val="00BC6DF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iPriority w:val="99"/>
    <w:rsid w:val="00BC6DF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link w:val="ParagraphChar"/>
    <w:qFormat/>
    <w:rsid w:val="00BC6DF9"/>
    <w:pPr>
      <w:spacing w:after="120"/>
    </w:pPr>
    <w:rPr>
      <w:rFonts w:eastAsia="Times New Roman"/>
      <w:sz w:val="22"/>
      <w:szCs w:val="24"/>
    </w:rPr>
  </w:style>
  <w:style w:type="paragraph" w:customStyle="1" w:styleId="TableText">
    <w:name w:val="Table Text"/>
    <w:link w:val="TableTextChar"/>
    <w:uiPriority w:val="99"/>
    <w:rsid w:val="00BC6DF9"/>
    <w:pPr>
      <w:spacing w:before="60" w:after="60"/>
    </w:pPr>
    <w:rPr>
      <w:rFonts w:eastAsia="Times New Roman"/>
      <w:szCs w:val="24"/>
    </w:rPr>
  </w:style>
  <w:style w:type="paragraph" w:customStyle="1" w:styleId="TableFootnoteList">
    <w:name w:val="Table Footnote List"/>
    <w:uiPriority w:val="99"/>
    <w:qFormat/>
    <w:rsid w:val="00712143"/>
    <w:pPr>
      <w:numPr>
        <w:numId w:val="2"/>
      </w:numPr>
      <w:tabs>
        <w:tab w:val="left" w:pos="288"/>
      </w:tabs>
    </w:pPr>
    <w:rPr>
      <w:rFonts w:eastAsia="Times New Roman"/>
      <w:sz w:val="18"/>
    </w:rPr>
  </w:style>
  <w:style w:type="paragraph" w:customStyle="1" w:styleId="TableTitle">
    <w:name w:val="Table Title"/>
    <w:next w:val="Paragraph"/>
    <w:uiPriority w:val="99"/>
    <w:qFormat/>
    <w:rsid w:val="00BC6DF9"/>
    <w:pPr>
      <w:keepNext/>
      <w:keepLines/>
      <w:tabs>
        <w:tab w:val="left" w:pos="1440"/>
      </w:tabs>
      <w:spacing w:before="240" w:after="120"/>
      <w:ind w:left="1152" w:hanging="1152"/>
    </w:pPr>
    <w:rPr>
      <w:rFonts w:eastAsia="Times New Roman"/>
      <w:b/>
      <w:bCs/>
      <w:color w:val="000000"/>
      <w:sz w:val="22"/>
      <w:szCs w:val="24"/>
    </w:rPr>
  </w:style>
  <w:style w:type="paragraph" w:customStyle="1" w:styleId="FigureTitle">
    <w:name w:val="Figure Title"/>
    <w:next w:val="Paragraph"/>
    <w:uiPriority w:val="99"/>
    <w:qFormat/>
    <w:rsid w:val="00BC6DF9"/>
    <w:pPr>
      <w:tabs>
        <w:tab w:val="left" w:pos="1080"/>
      </w:tabs>
      <w:spacing w:after="120"/>
      <w:ind w:left="1080" w:hanging="1080"/>
    </w:pPr>
    <w:rPr>
      <w:rFonts w:eastAsia="Times New Roman"/>
      <w:b/>
      <w:bCs/>
      <w:color w:val="000000"/>
      <w:sz w:val="22"/>
      <w:szCs w:val="24"/>
    </w:rPr>
  </w:style>
  <w:style w:type="paragraph" w:customStyle="1" w:styleId="HeaderLandscape">
    <w:name w:val="Header Landscape"/>
    <w:uiPriority w:val="99"/>
    <w:qFormat/>
    <w:rsid w:val="00432D2B"/>
    <w:pPr>
      <w:tabs>
        <w:tab w:val="center" w:pos="6523"/>
        <w:tab w:val="right" w:pos="13050"/>
      </w:tabs>
      <w:ind w:left="-86" w:firstLine="86"/>
    </w:pPr>
    <w:rPr>
      <w:rFonts w:eastAsia="Times New Roman"/>
    </w:rPr>
  </w:style>
  <w:style w:type="paragraph" w:customStyle="1" w:styleId="Heading1Unnumbered">
    <w:name w:val="Heading 1 Unnumbered"/>
    <w:basedOn w:val="Heading1"/>
    <w:next w:val="Paragraph"/>
    <w:rsid w:val="00C822A9"/>
    <w:pPr>
      <w:numPr>
        <w:numId w:val="0"/>
      </w:numPr>
      <w:tabs>
        <w:tab w:val="left" w:pos="480"/>
      </w:tabs>
      <w:spacing w:before="360" w:after="240"/>
      <w:jc w:val="center"/>
    </w:pPr>
  </w:style>
  <w:style w:type="paragraph" w:customStyle="1" w:styleId="Figure">
    <w:name w:val="Figure"/>
    <w:next w:val="Paragraph"/>
    <w:uiPriority w:val="99"/>
    <w:qFormat/>
    <w:rsid w:val="00BC6DF9"/>
    <w:pPr>
      <w:keepNext/>
      <w:spacing w:after="120"/>
    </w:pPr>
    <w:rPr>
      <w:rFonts w:eastAsia="Times New Roman"/>
    </w:rPr>
  </w:style>
  <w:style w:type="paragraph" w:customStyle="1" w:styleId="ListLetter">
    <w:name w:val="List Letter"/>
    <w:uiPriority w:val="99"/>
    <w:qFormat/>
    <w:rsid w:val="00BC6DF9"/>
    <w:pPr>
      <w:numPr>
        <w:numId w:val="13"/>
      </w:numPr>
      <w:spacing w:after="120"/>
      <w:contextualSpacing/>
    </w:pPr>
    <w:rPr>
      <w:rFonts w:eastAsia="Times New Roman"/>
      <w:sz w:val="22"/>
      <w:szCs w:val="24"/>
    </w:rPr>
  </w:style>
  <w:style w:type="paragraph" w:customStyle="1" w:styleId="FooterLandscape">
    <w:name w:val="FooterLandscape"/>
    <w:uiPriority w:val="99"/>
    <w:qFormat/>
    <w:rsid w:val="00BC6DF9"/>
    <w:rPr>
      <w:rFonts w:eastAsia="Times New Roman"/>
    </w:rPr>
  </w:style>
  <w:style w:type="paragraph" w:customStyle="1" w:styleId="Heading1NoTOC">
    <w:name w:val="Heading 1 No TOC"/>
    <w:next w:val="Paragraph"/>
    <w:uiPriority w:val="99"/>
    <w:qFormat/>
    <w:rsid w:val="00C822A9"/>
    <w:pPr>
      <w:keepNext/>
      <w:keepLines/>
      <w:pageBreakBefore/>
      <w:tabs>
        <w:tab w:val="left" w:pos="576"/>
      </w:tabs>
      <w:spacing w:before="360" w:after="240"/>
      <w:jc w:val="center"/>
    </w:pPr>
    <w:rPr>
      <w:rFonts w:eastAsia="Times New Roman"/>
      <w:b/>
      <w:caps/>
      <w:kern w:val="32"/>
      <w:sz w:val="24"/>
      <w:szCs w:val="22"/>
    </w:rPr>
  </w:style>
  <w:style w:type="paragraph" w:customStyle="1" w:styleId="Heading2NoTOC">
    <w:name w:val="Heading 2 No TOC"/>
    <w:basedOn w:val="Heading2"/>
    <w:next w:val="Paragraph"/>
    <w:uiPriority w:val="99"/>
    <w:rsid w:val="008B7CAA"/>
    <w:pPr>
      <w:outlineLvl w:val="9"/>
    </w:pPr>
  </w:style>
  <w:style w:type="paragraph" w:customStyle="1" w:styleId="TableFootnoteSymbol">
    <w:name w:val="Table Footnote Symbol"/>
    <w:basedOn w:val="TableFootnoteList"/>
    <w:uiPriority w:val="99"/>
    <w:rsid w:val="00F872D1"/>
    <w:pPr>
      <w:numPr>
        <w:numId w:val="0"/>
      </w:numPr>
    </w:pPr>
  </w:style>
  <w:style w:type="paragraph" w:customStyle="1" w:styleId="Heading2Unnumbered">
    <w:name w:val="Heading 2 Unnumbered"/>
    <w:basedOn w:val="Heading2"/>
    <w:next w:val="Paragraph"/>
    <w:uiPriority w:val="99"/>
    <w:rsid w:val="00F872D1"/>
  </w:style>
  <w:style w:type="paragraph" w:customStyle="1" w:styleId="TableFootnoteLetter">
    <w:name w:val="Table Footnote Letter"/>
    <w:basedOn w:val="TableFootnoteList"/>
    <w:uiPriority w:val="99"/>
    <w:rsid w:val="00F872D1"/>
    <w:pPr>
      <w:numPr>
        <w:numId w:val="1"/>
      </w:numPr>
    </w:pPr>
  </w:style>
  <w:style w:type="paragraph" w:customStyle="1" w:styleId="ListEnd">
    <w:name w:val="List End"/>
    <w:next w:val="Paragraph"/>
    <w:qFormat/>
    <w:rsid w:val="00BC6DF9"/>
    <w:rPr>
      <w:rFonts w:eastAsia="Times New Roman"/>
      <w:sz w:val="22"/>
    </w:rPr>
  </w:style>
  <w:style w:type="paragraph" w:customStyle="1" w:styleId="ListLetter2">
    <w:name w:val="List Letter 2"/>
    <w:uiPriority w:val="99"/>
    <w:rsid w:val="00BC6DF9"/>
    <w:pPr>
      <w:numPr>
        <w:numId w:val="14"/>
      </w:numPr>
      <w:spacing w:after="120"/>
      <w:contextualSpacing/>
    </w:pPr>
    <w:rPr>
      <w:rFonts w:eastAsia="Times New Roman"/>
      <w:sz w:val="22"/>
      <w:szCs w:val="24"/>
    </w:rPr>
  </w:style>
  <w:style w:type="paragraph" w:customStyle="1" w:styleId="ListLetter3">
    <w:name w:val="List Letter 3"/>
    <w:uiPriority w:val="99"/>
    <w:rsid w:val="00BC6DF9"/>
    <w:pPr>
      <w:numPr>
        <w:numId w:val="15"/>
      </w:numPr>
      <w:spacing w:after="120"/>
      <w:contextualSpacing/>
    </w:pPr>
    <w:rPr>
      <w:rFonts w:eastAsia="Times New Roman"/>
      <w:sz w:val="22"/>
      <w:szCs w:val="24"/>
    </w:rPr>
  </w:style>
  <w:style w:type="paragraph" w:customStyle="1" w:styleId="FigureCaption">
    <w:name w:val="Figure Caption"/>
    <w:uiPriority w:val="99"/>
    <w:qFormat/>
    <w:rsid w:val="00BC6DF9"/>
    <w:pPr>
      <w:keepNext/>
      <w:spacing w:before="60" w:after="60"/>
    </w:pPr>
    <w:rPr>
      <w:rFonts w:eastAsia="Times New Roman"/>
      <w:sz w:val="18"/>
      <w:szCs w:val="18"/>
    </w:rPr>
  </w:style>
  <w:style w:type="paragraph" w:customStyle="1" w:styleId="SynopsisHeading">
    <w:name w:val="Synopsis Heading"/>
    <w:qFormat/>
    <w:rsid w:val="00BC4627"/>
    <w:pPr>
      <w:widowControl w:val="0"/>
      <w:spacing w:before="60" w:after="60"/>
    </w:pPr>
    <w:rPr>
      <w:rFonts w:eastAsia="Times New Roman"/>
      <w:b/>
    </w:rPr>
  </w:style>
  <w:style w:type="paragraph" w:customStyle="1" w:styleId="SynopsisText">
    <w:name w:val="Synopsis Text"/>
    <w:qFormat/>
    <w:rsid w:val="00154C04"/>
    <w:pPr>
      <w:widowControl w:val="0"/>
      <w:spacing w:before="60" w:after="60"/>
    </w:pPr>
    <w:rPr>
      <w:rFonts w:eastAsia="Times New Roman"/>
      <w:szCs w:val="18"/>
    </w:rPr>
  </w:style>
  <w:style w:type="paragraph" w:customStyle="1" w:styleId="Confidential">
    <w:name w:val="Confidential"/>
    <w:rsid w:val="006C4E8A"/>
    <w:pPr>
      <w:spacing w:before="120" w:after="120"/>
      <w:ind w:left="634" w:right="720"/>
      <w:jc w:val="center"/>
    </w:pPr>
    <w:rPr>
      <w:rFonts w:eastAsia="Times New Roman"/>
      <w:sz w:val="22"/>
      <w:szCs w:val="22"/>
    </w:rPr>
  </w:style>
  <w:style w:type="paragraph" w:customStyle="1" w:styleId="TableColumnHeadings">
    <w:name w:val="Table Column Headings"/>
    <w:rsid w:val="00BC6DF9"/>
    <w:pPr>
      <w:spacing w:before="60" w:after="60"/>
      <w:jc w:val="center"/>
    </w:pPr>
    <w:rPr>
      <w:rFonts w:eastAsia="Times New Roman"/>
      <w:b/>
      <w:szCs w:val="24"/>
    </w:rPr>
  </w:style>
  <w:style w:type="paragraph" w:styleId="Revision">
    <w:name w:val="Revision"/>
    <w:hidden/>
    <w:uiPriority w:val="99"/>
    <w:semiHidden/>
    <w:rsid w:val="00C67987"/>
    <w:rPr>
      <w:sz w:val="24"/>
      <w:szCs w:val="22"/>
    </w:rPr>
  </w:style>
  <w:style w:type="paragraph" w:customStyle="1" w:styleId="TableTextCentered">
    <w:name w:val="Table Text Centered"/>
    <w:basedOn w:val="TableText"/>
    <w:next w:val="Paragraph"/>
    <w:qFormat/>
    <w:rsid w:val="00E14522"/>
    <w:pPr>
      <w:jc w:val="center"/>
    </w:pPr>
  </w:style>
  <w:style w:type="paragraph" w:customStyle="1" w:styleId="TitlePage-Heading">
    <w:name w:val="Title Page - Heading"/>
    <w:qFormat/>
    <w:rsid w:val="00154C04"/>
    <w:pPr>
      <w:widowControl w:val="0"/>
      <w:ind w:left="90"/>
    </w:pPr>
    <w:rPr>
      <w:rFonts w:ascii="Times New Roman Bold" w:eastAsia="Times New Roman" w:hAnsi="Times New Roman Bold"/>
      <w:b/>
      <w:sz w:val="24"/>
    </w:rPr>
  </w:style>
  <w:style w:type="paragraph" w:customStyle="1" w:styleId="TitlePage-Text">
    <w:name w:val="Title Page - Text"/>
    <w:qFormat/>
    <w:rsid w:val="00154C04"/>
    <w:pPr>
      <w:widowControl w:val="0"/>
      <w:ind w:right="86"/>
    </w:pPr>
    <w:rPr>
      <w:rFonts w:eastAsia="Times New Roman"/>
      <w:sz w:val="24"/>
      <w:szCs w:val="18"/>
    </w:rPr>
  </w:style>
  <w:style w:type="paragraph" w:customStyle="1" w:styleId="TitlePage-Title">
    <w:name w:val="Title Page - Title"/>
    <w:qFormat/>
    <w:rsid w:val="00154C04"/>
    <w:pPr>
      <w:spacing w:before="120" w:after="120"/>
      <w:jc w:val="center"/>
    </w:pPr>
    <w:rPr>
      <w:rFonts w:ascii="Times New Roman Bold" w:eastAsia="Times New Roman" w:hAnsi="Times New Roman Bold"/>
      <w:b/>
      <w:sz w:val="28"/>
      <w:szCs w:val="24"/>
    </w:rPr>
  </w:style>
  <w:style w:type="paragraph" w:customStyle="1" w:styleId="TableFootnoteText">
    <w:name w:val="Table Footnote Text"/>
    <w:rsid w:val="00BC6DF9"/>
    <w:rPr>
      <w:rFonts w:eastAsia="Times New Roman"/>
      <w:sz w:val="18"/>
      <w:szCs w:val="18"/>
    </w:rPr>
  </w:style>
  <w:style w:type="paragraph" w:customStyle="1" w:styleId="SynopsisBulletList">
    <w:name w:val="Synopsis Bullet List"/>
    <w:qFormat/>
    <w:rsid w:val="00A52841"/>
    <w:pPr>
      <w:numPr>
        <w:numId w:val="3"/>
      </w:numPr>
      <w:spacing w:after="120"/>
    </w:pPr>
    <w:rPr>
      <w:rFonts w:eastAsia="Times New Roman"/>
      <w:szCs w:val="22"/>
    </w:rPr>
  </w:style>
  <w:style w:type="paragraph" w:customStyle="1" w:styleId="Approval">
    <w:name w:val="Approval"/>
    <w:rsid w:val="004B7BAD"/>
    <w:pPr>
      <w:tabs>
        <w:tab w:val="left" w:pos="1080"/>
        <w:tab w:val="left" w:pos="5040"/>
        <w:tab w:val="left" w:pos="5760"/>
        <w:tab w:val="left" w:pos="6480"/>
        <w:tab w:val="left" w:pos="8640"/>
      </w:tabs>
    </w:pPr>
    <w:rPr>
      <w:rFonts w:eastAsia="Arial Unicode MS"/>
      <w:sz w:val="24"/>
      <w:szCs w:val="24"/>
    </w:rPr>
  </w:style>
  <w:style w:type="character" w:customStyle="1" w:styleId="ParagraphChar">
    <w:name w:val="Paragraph Char"/>
    <w:link w:val="Paragraph"/>
    <w:locked/>
    <w:rsid w:val="004B7BAD"/>
    <w:rPr>
      <w:rFonts w:eastAsia="Times New Roman"/>
      <w:sz w:val="22"/>
      <w:szCs w:val="24"/>
    </w:rPr>
  </w:style>
  <w:style w:type="paragraph" w:customStyle="1" w:styleId="Title-Section16">
    <w:name w:val="Title - Section 16"/>
    <w:next w:val="Paragraph"/>
    <w:rsid w:val="009801DD"/>
    <w:pPr>
      <w:spacing w:after="240"/>
      <w:jc w:val="center"/>
    </w:pPr>
    <w:rPr>
      <w:rFonts w:eastAsia="Times New Roman"/>
      <w:b/>
      <w:sz w:val="32"/>
      <w:szCs w:val="24"/>
    </w:rPr>
  </w:style>
  <w:style w:type="character" w:customStyle="1" w:styleId="TOC1Char">
    <w:name w:val="TOC 1 Char"/>
    <w:basedOn w:val="DefaultParagraphFont"/>
    <w:link w:val="TOC1"/>
    <w:uiPriority w:val="39"/>
    <w:rsid w:val="00205923"/>
    <w:rPr>
      <w:rFonts w:eastAsia="Times New Roman"/>
      <w:caps/>
      <w:noProof/>
      <w:sz w:val="22"/>
      <w:szCs w:val="24"/>
    </w:rPr>
  </w:style>
  <w:style w:type="paragraph" w:styleId="BodyTextIndent">
    <w:name w:val="Body Text Indent"/>
    <w:link w:val="BodyTextIndentChar"/>
    <w:uiPriority w:val="99"/>
    <w:unhideWhenUsed/>
    <w:rsid w:val="00BC6DF9"/>
    <w:pPr>
      <w:spacing w:after="120"/>
      <w:ind w:left="360"/>
    </w:pPr>
    <w:rPr>
      <w:rFonts w:eastAsia="Times New Roman"/>
      <w:sz w:val="22"/>
      <w:szCs w:val="24"/>
    </w:rPr>
  </w:style>
  <w:style w:type="character" w:customStyle="1" w:styleId="BodyTextIndentChar">
    <w:name w:val="Body Text Indent Char"/>
    <w:basedOn w:val="DefaultParagraphFont"/>
    <w:link w:val="BodyTextIndent"/>
    <w:uiPriority w:val="99"/>
    <w:rsid w:val="00BC6DF9"/>
    <w:rPr>
      <w:rFonts w:eastAsia="Times New Roman"/>
      <w:sz w:val="22"/>
      <w:szCs w:val="24"/>
    </w:rPr>
  </w:style>
  <w:style w:type="paragraph" w:styleId="Caption">
    <w:name w:val="caption"/>
    <w:next w:val="Paragraph"/>
    <w:uiPriority w:val="35"/>
    <w:unhideWhenUsed/>
    <w:rsid w:val="00BC6DF9"/>
    <w:pPr>
      <w:spacing w:after="120"/>
    </w:pPr>
    <w:rPr>
      <w:rFonts w:eastAsia="Times New Roman"/>
      <w:b/>
      <w:bCs/>
      <w:sz w:val="22"/>
      <w:szCs w:val="18"/>
    </w:rPr>
  </w:style>
  <w:style w:type="paragraph" w:styleId="Closing">
    <w:name w:val="Closing"/>
    <w:link w:val="ClosingChar"/>
    <w:uiPriority w:val="99"/>
    <w:unhideWhenUsed/>
    <w:rsid w:val="00BC6DF9"/>
    <w:pPr>
      <w:ind w:left="4320"/>
    </w:pPr>
    <w:rPr>
      <w:rFonts w:eastAsia="Times New Roman"/>
      <w:sz w:val="22"/>
      <w:szCs w:val="24"/>
    </w:rPr>
  </w:style>
  <w:style w:type="character" w:customStyle="1" w:styleId="ClosingChar">
    <w:name w:val="Closing Char"/>
    <w:basedOn w:val="DefaultParagraphFont"/>
    <w:link w:val="Closing"/>
    <w:uiPriority w:val="99"/>
    <w:rsid w:val="00BC6DF9"/>
    <w:rPr>
      <w:rFonts w:eastAsia="Times New Roman"/>
      <w:sz w:val="22"/>
      <w:szCs w:val="24"/>
    </w:rPr>
  </w:style>
  <w:style w:type="paragraph" w:styleId="Date">
    <w:name w:val="Date"/>
    <w:next w:val="Paragraph"/>
    <w:link w:val="DateChar"/>
    <w:uiPriority w:val="99"/>
    <w:unhideWhenUsed/>
    <w:rsid w:val="00BC6DF9"/>
    <w:pPr>
      <w:spacing w:after="120"/>
    </w:pPr>
    <w:rPr>
      <w:rFonts w:eastAsia="Times New Roman"/>
      <w:sz w:val="22"/>
      <w:szCs w:val="24"/>
    </w:rPr>
  </w:style>
  <w:style w:type="character" w:customStyle="1" w:styleId="DateChar">
    <w:name w:val="Date Char"/>
    <w:basedOn w:val="DefaultParagraphFont"/>
    <w:link w:val="Date"/>
    <w:uiPriority w:val="99"/>
    <w:rsid w:val="00BC6DF9"/>
    <w:rPr>
      <w:rFonts w:eastAsia="Times New Roman"/>
      <w:sz w:val="22"/>
      <w:szCs w:val="24"/>
    </w:rPr>
  </w:style>
  <w:style w:type="paragraph" w:customStyle="1" w:styleId="HeaderLandscape0">
    <w:name w:val="HeaderLandscape"/>
    <w:uiPriority w:val="99"/>
    <w:qFormat/>
    <w:rsid w:val="00BC6DF9"/>
    <w:pPr>
      <w:ind w:left="144" w:hanging="144"/>
    </w:pPr>
    <w:rPr>
      <w:rFonts w:eastAsia="Times New Roman"/>
      <w:sz w:val="22"/>
    </w:rPr>
  </w:style>
  <w:style w:type="character" w:customStyle="1" w:styleId="Instructionaltext">
    <w:name w:val="Instructional text"/>
    <w:basedOn w:val="DefaultParagraphFont"/>
    <w:uiPriority w:val="1"/>
    <w:rsid w:val="00E15261"/>
    <w:rPr>
      <w:i/>
      <w:color w:val="0000FF"/>
    </w:rPr>
  </w:style>
  <w:style w:type="character" w:styleId="LineNumber">
    <w:name w:val="line number"/>
    <w:basedOn w:val="DefaultParagraphFont"/>
    <w:uiPriority w:val="99"/>
    <w:unhideWhenUsed/>
    <w:rsid w:val="00BC6DF9"/>
  </w:style>
  <w:style w:type="paragraph" w:styleId="List">
    <w:name w:val="List"/>
    <w:uiPriority w:val="99"/>
    <w:unhideWhenUsed/>
    <w:rsid w:val="00BC6DF9"/>
    <w:pPr>
      <w:spacing w:after="120"/>
      <w:ind w:left="360" w:hanging="360"/>
      <w:contextualSpacing/>
    </w:pPr>
    <w:rPr>
      <w:rFonts w:eastAsia="Times New Roman"/>
      <w:sz w:val="22"/>
      <w:szCs w:val="24"/>
    </w:rPr>
  </w:style>
  <w:style w:type="paragraph" w:styleId="List2">
    <w:name w:val="List 2"/>
    <w:uiPriority w:val="99"/>
    <w:unhideWhenUsed/>
    <w:rsid w:val="00BC6DF9"/>
    <w:pPr>
      <w:spacing w:after="120"/>
      <w:ind w:left="720" w:hanging="360"/>
      <w:contextualSpacing/>
    </w:pPr>
    <w:rPr>
      <w:rFonts w:eastAsia="Times New Roman"/>
      <w:sz w:val="22"/>
      <w:szCs w:val="24"/>
    </w:rPr>
  </w:style>
  <w:style w:type="paragraph" w:styleId="List3">
    <w:name w:val="List 3"/>
    <w:uiPriority w:val="99"/>
    <w:unhideWhenUsed/>
    <w:rsid w:val="00BC6DF9"/>
    <w:pPr>
      <w:spacing w:after="120"/>
      <w:ind w:left="1080" w:hanging="360"/>
      <w:contextualSpacing/>
    </w:pPr>
    <w:rPr>
      <w:rFonts w:eastAsia="Times New Roman"/>
      <w:sz w:val="22"/>
      <w:szCs w:val="24"/>
    </w:rPr>
  </w:style>
  <w:style w:type="paragraph" w:styleId="List4">
    <w:name w:val="List 4"/>
    <w:uiPriority w:val="99"/>
    <w:unhideWhenUsed/>
    <w:rsid w:val="00BC6DF9"/>
    <w:pPr>
      <w:spacing w:after="120"/>
      <w:ind w:left="1440" w:hanging="360"/>
      <w:contextualSpacing/>
    </w:pPr>
    <w:rPr>
      <w:rFonts w:eastAsia="Times New Roman"/>
      <w:sz w:val="22"/>
      <w:szCs w:val="24"/>
    </w:rPr>
  </w:style>
  <w:style w:type="paragraph" w:styleId="List5">
    <w:name w:val="List 5"/>
    <w:uiPriority w:val="99"/>
    <w:unhideWhenUsed/>
    <w:rsid w:val="00BC6DF9"/>
    <w:pPr>
      <w:spacing w:after="120"/>
      <w:ind w:left="1800" w:hanging="360"/>
      <w:contextualSpacing/>
    </w:pPr>
    <w:rPr>
      <w:rFonts w:eastAsia="Times New Roman"/>
      <w:sz w:val="22"/>
      <w:szCs w:val="24"/>
    </w:rPr>
  </w:style>
  <w:style w:type="paragraph" w:styleId="ListBullet">
    <w:name w:val="List Bullet"/>
    <w:uiPriority w:val="99"/>
    <w:qFormat/>
    <w:rsid w:val="00BC6DF9"/>
    <w:pPr>
      <w:numPr>
        <w:numId w:val="8"/>
      </w:numPr>
      <w:spacing w:after="120"/>
      <w:contextualSpacing/>
    </w:pPr>
    <w:rPr>
      <w:rFonts w:eastAsia="Times New Roman"/>
      <w:sz w:val="22"/>
      <w:szCs w:val="24"/>
    </w:rPr>
  </w:style>
  <w:style w:type="paragraph" w:styleId="ListBullet4">
    <w:name w:val="List Bullet 4"/>
    <w:uiPriority w:val="99"/>
    <w:rsid w:val="00FD4F47"/>
    <w:pPr>
      <w:numPr>
        <w:numId w:val="11"/>
      </w:numPr>
      <w:spacing w:after="120"/>
      <w:ind w:left="1440"/>
      <w:contextualSpacing/>
    </w:pPr>
    <w:rPr>
      <w:rFonts w:eastAsia="Times New Roman"/>
      <w:sz w:val="22"/>
      <w:szCs w:val="24"/>
    </w:rPr>
  </w:style>
  <w:style w:type="paragraph" w:styleId="ListBullet5">
    <w:name w:val="List Bullet 5"/>
    <w:basedOn w:val="Normal"/>
    <w:uiPriority w:val="99"/>
    <w:unhideWhenUsed/>
    <w:rsid w:val="00BC6DF9"/>
    <w:pPr>
      <w:numPr>
        <w:numId w:val="12"/>
      </w:numPr>
      <w:contextualSpacing/>
    </w:pPr>
  </w:style>
  <w:style w:type="paragraph" w:styleId="ListContinue">
    <w:name w:val="List Continue"/>
    <w:uiPriority w:val="99"/>
    <w:unhideWhenUsed/>
    <w:rsid w:val="00BC6DF9"/>
    <w:pPr>
      <w:spacing w:after="120"/>
      <w:ind w:left="360"/>
      <w:contextualSpacing/>
    </w:pPr>
    <w:rPr>
      <w:rFonts w:eastAsia="Times New Roman"/>
      <w:sz w:val="22"/>
      <w:szCs w:val="24"/>
    </w:rPr>
  </w:style>
  <w:style w:type="paragraph" w:styleId="ListContinue2">
    <w:name w:val="List Continue 2"/>
    <w:uiPriority w:val="99"/>
    <w:unhideWhenUsed/>
    <w:rsid w:val="00BC6DF9"/>
    <w:pPr>
      <w:spacing w:after="120"/>
      <w:ind w:left="720"/>
      <w:contextualSpacing/>
    </w:pPr>
    <w:rPr>
      <w:rFonts w:eastAsia="Times New Roman"/>
      <w:sz w:val="22"/>
      <w:szCs w:val="24"/>
    </w:rPr>
  </w:style>
  <w:style w:type="paragraph" w:styleId="ListContinue3">
    <w:name w:val="List Continue 3"/>
    <w:uiPriority w:val="99"/>
    <w:unhideWhenUsed/>
    <w:rsid w:val="00BC6DF9"/>
    <w:pPr>
      <w:spacing w:after="120"/>
      <w:ind w:left="1080"/>
      <w:contextualSpacing/>
    </w:pPr>
    <w:rPr>
      <w:rFonts w:eastAsia="Times New Roman"/>
      <w:sz w:val="22"/>
      <w:szCs w:val="24"/>
    </w:rPr>
  </w:style>
  <w:style w:type="paragraph" w:styleId="ListContinue4">
    <w:name w:val="List Continue 4"/>
    <w:uiPriority w:val="99"/>
    <w:unhideWhenUsed/>
    <w:rsid w:val="00BC6DF9"/>
    <w:pPr>
      <w:spacing w:after="120"/>
      <w:ind w:left="1440"/>
      <w:contextualSpacing/>
    </w:pPr>
    <w:rPr>
      <w:rFonts w:eastAsia="Times New Roman"/>
      <w:sz w:val="22"/>
      <w:szCs w:val="24"/>
    </w:rPr>
  </w:style>
  <w:style w:type="paragraph" w:styleId="ListContinue5">
    <w:name w:val="List Continue 5"/>
    <w:uiPriority w:val="99"/>
    <w:unhideWhenUsed/>
    <w:rsid w:val="00BC6DF9"/>
    <w:pPr>
      <w:spacing w:after="120"/>
      <w:ind w:left="1800"/>
      <w:contextualSpacing/>
    </w:pPr>
    <w:rPr>
      <w:rFonts w:eastAsia="Times New Roman"/>
      <w:sz w:val="22"/>
      <w:szCs w:val="24"/>
    </w:rPr>
  </w:style>
  <w:style w:type="paragraph" w:customStyle="1" w:styleId="ListLetter4">
    <w:name w:val="List Letter 4"/>
    <w:rsid w:val="00FD4F47"/>
    <w:pPr>
      <w:numPr>
        <w:numId w:val="16"/>
      </w:numPr>
      <w:spacing w:after="120"/>
      <w:ind w:left="1440"/>
      <w:contextualSpacing/>
    </w:pPr>
    <w:rPr>
      <w:rFonts w:eastAsia="Times New Roman"/>
      <w:sz w:val="22"/>
      <w:szCs w:val="24"/>
    </w:rPr>
  </w:style>
  <w:style w:type="paragraph" w:customStyle="1" w:styleId="ListLetter5">
    <w:name w:val="List Letter 5"/>
    <w:basedOn w:val="ListLetter4"/>
    <w:rsid w:val="00BC6DF9"/>
    <w:pPr>
      <w:numPr>
        <w:numId w:val="17"/>
      </w:numPr>
    </w:pPr>
  </w:style>
  <w:style w:type="paragraph" w:styleId="ListNumber4">
    <w:name w:val="List Number 4"/>
    <w:uiPriority w:val="99"/>
    <w:rsid w:val="00FD4F47"/>
    <w:pPr>
      <w:numPr>
        <w:numId w:val="21"/>
      </w:numPr>
      <w:spacing w:after="120"/>
      <w:ind w:left="1440"/>
      <w:contextualSpacing/>
    </w:pPr>
    <w:rPr>
      <w:rFonts w:eastAsia="Times New Roman"/>
      <w:sz w:val="22"/>
    </w:rPr>
  </w:style>
  <w:style w:type="paragraph" w:styleId="ListNumber5">
    <w:name w:val="List Number 5"/>
    <w:basedOn w:val="Normal"/>
    <w:uiPriority w:val="99"/>
    <w:unhideWhenUsed/>
    <w:rsid w:val="00BC6DF9"/>
    <w:pPr>
      <w:numPr>
        <w:numId w:val="22"/>
      </w:numPr>
      <w:contextualSpacing/>
    </w:pPr>
  </w:style>
  <w:style w:type="paragraph" w:styleId="MessageHeader">
    <w:name w:val="Message Header"/>
    <w:link w:val="MessageHeaderChar"/>
    <w:uiPriority w:val="99"/>
    <w:unhideWhenUsed/>
    <w:rsid w:val="00BC6DF9"/>
    <w:pPr>
      <w:pBdr>
        <w:top w:val="single" w:sz="6" w:space="1" w:color="auto"/>
        <w:left w:val="single" w:sz="6" w:space="1" w:color="auto"/>
        <w:bottom w:val="single" w:sz="6" w:space="1" w:color="auto"/>
        <w:right w:val="single" w:sz="6" w:space="1" w:color="auto"/>
      </w:pBdr>
      <w:shd w:val="pct20" w:color="auto" w:fill="auto"/>
    </w:pPr>
    <w:rPr>
      <w:rFonts w:eastAsia="Times New Roman"/>
      <w:sz w:val="22"/>
      <w:szCs w:val="24"/>
    </w:rPr>
  </w:style>
  <w:style w:type="character" w:customStyle="1" w:styleId="MessageHeaderChar">
    <w:name w:val="Message Header Char"/>
    <w:basedOn w:val="DefaultParagraphFont"/>
    <w:link w:val="MessageHeader"/>
    <w:uiPriority w:val="99"/>
    <w:rsid w:val="00BC6DF9"/>
    <w:rPr>
      <w:rFonts w:eastAsia="Times New Roman"/>
      <w:sz w:val="22"/>
      <w:szCs w:val="24"/>
      <w:shd w:val="pct20" w:color="auto" w:fill="auto"/>
    </w:rPr>
  </w:style>
  <w:style w:type="character" w:styleId="PageNumber">
    <w:name w:val="page number"/>
    <w:basedOn w:val="DefaultParagraphFont"/>
    <w:uiPriority w:val="99"/>
    <w:unhideWhenUsed/>
    <w:rsid w:val="00BC6DF9"/>
  </w:style>
  <w:style w:type="character" w:styleId="PlaceholderText">
    <w:name w:val="Placeholder Text"/>
    <w:basedOn w:val="DefaultParagraphFont"/>
    <w:uiPriority w:val="99"/>
    <w:semiHidden/>
    <w:rsid w:val="00BC6DF9"/>
    <w:rPr>
      <w:color w:val="808080"/>
    </w:rPr>
  </w:style>
  <w:style w:type="paragraph" w:styleId="Subtitle">
    <w:name w:val="Subtitle"/>
    <w:next w:val="Paragraph"/>
    <w:link w:val="SubtitleChar"/>
    <w:uiPriority w:val="11"/>
    <w:rsid w:val="00BC6DF9"/>
    <w:pPr>
      <w:numPr>
        <w:ilvl w:val="1"/>
      </w:numPr>
      <w:spacing w:after="120"/>
      <w:jc w:val="center"/>
    </w:pPr>
    <w:rPr>
      <w:rFonts w:ascii="Times New Roman Bold" w:eastAsia="Times New Roman" w:hAnsi="Times New Roman Bold"/>
      <w:b/>
      <w:iCs/>
      <w:sz w:val="24"/>
      <w:szCs w:val="24"/>
    </w:rPr>
  </w:style>
  <w:style w:type="character" w:customStyle="1" w:styleId="SubtitleChar">
    <w:name w:val="Subtitle Char"/>
    <w:basedOn w:val="DefaultParagraphFont"/>
    <w:link w:val="Subtitle"/>
    <w:uiPriority w:val="11"/>
    <w:rsid w:val="00BC6DF9"/>
    <w:rPr>
      <w:rFonts w:ascii="Times New Roman Bold" w:eastAsia="Times New Roman" w:hAnsi="Times New Roman Bold"/>
      <w:b/>
      <w:iCs/>
      <w:sz w:val="24"/>
      <w:szCs w:val="24"/>
    </w:rPr>
  </w:style>
  <w:style w:type="paragraph" w:customStyle="1" w:styleId="TableFootnote">
    <w:name w:val="Table Footnote"/>
    <w:rsid w:val="00BC6DF9"/>
    <w:rPr>
      <w:rFonts w:eastAsia="Times New Roman"/>
      <w:sz w:val="18"/>
      <w:szCs w:val="18"/>
    </w:rPr>
  </w:style>
  <w:style w:type="paragraph" w:customStyle="1" w:styleId="TableFootnoteNumbered">
    <w:name w:val="Table Footnote Numbered"/>
    <w:qFormat/>
    <w:rsid w:val="00BC6DF9"/>
    <w:pPr>
      <w:numPr>
        <w:numId w:val="23"/>
      </w:numPr>
      <w:tabs>
        <w:tab w:val="left" w:pos="216"/>
      </w:tabs>
    </w:pPr>
    <w:rPr>
      <w:rFonts w:eastAsia="Times New Roman"/>
      <w:sz w:val="18"/>
    </w:rPr>
  </w:style>
  <w:style w:type="paragraph" w:customStyle="1" w:styleId="TableRowHeadings">
    <w:name w:val="Table Row Headings"/>
    <w:rsid w:val="00BC6DF9"/>
    <w:pPr>
      <w:spacing w:before="60" w:after="60"/>
    </w:pPr>
    <w:rPr>
      <w:rFonts w:eastAsia="Times New Roman"/>
      <w:b/>
      <w:szCs w:val="24"/>
    </w:rPr>
  </w:style>
  <w:style w:type="paragraph" w:customStyle="1" w:styleId="TableText-Numerals">
    <w:name w:val="Table Text - Numerals"/>
    <w:basedOn w:val="TableText"/>
    <w:qFormat/>
    <w:rsid w:val="00BC6DF9"/>
    <w:pPr>
      <w:keepNext/>
      <w:jc w:val="center"/>
    </w:pPr>
  </w:style>
  <w:style w:type="paragraph" w:styleId="Title">
    <w:name w:val="Title"/>
    <w:next w:val="Paragraph"/>
    <w:link w:val="TitleChar"/>
    <w:uiPriority w:val="10"/>
    <w:qFormat/>
    <w:rsid w:val="00BC6DF9"/>
    <w:pPr>
      <w:spacing w:before="240" w:after="240"/>
      <w:jc w:val="center"/>
    </w:pPr>
    <w:rPr>
      <w:rFonts w:eastAsia="Times New Roman"/>
      <w:b/>
      <w:bCs/>
      <w:kern w:val="28"/>
      <w:sz w:val="36"/>
      <w:szCs w:val="36"/>
    </w:rPr>
  </w:style>
  <w:style w:type="character" w:customStyle="1" w:styleId="TitleChar">
    <w:name w:val="Title Char"/>
    <w:basedOn w:val="DefaultParagraphFont"/>
    <w:link w:val="Title"/>
    <w:uiPriority w:val="10"/>
    <w:rsid w:val="00BC6DF9"/>
    <w:rPr>
      <w:rFonts w:eastAsia="Times New Roman"/>
      <w:b/>
      <w:bCs/>
      <w:kern w:val="28"/>
      <w:sz w:val="36"/>
      <w:szCs w:val="36"/>
    </w:rPr>
  </w:style>
  <w:style w:type="paragraph" w:styleId="TOCHeading">
    <w:name w:val="TOC Heading"/>
    <w:basedOn w:val="Heading1"/>
    <w:next w:val="Paragraph"/>
    <w:uiPriority w:val="39"/>
    <w:unhideWhenUsed/>
    <w:rsid w:val="00BC6DF9"/>
    <w:pPr>
      <w:keepLines/>
      <w:numPr>
        <w:numId w:val="0"/>
      </w:numPr>
      <w:tabs>
        <w:tab w:val="clear" w:pos="576"/>
      </w:tabs>
      <w:jc w:val="center"/>
      <w:outlineLvl w:val="9"/>
    </w:pPr>
    <w:rPr>
      <w:caps w:val="0"/>
      <w:kern w:val="0"/>
      <w:szCs w:val="28"/>
    </w:rPr>
  </w:style>
  <w:style w:type="paragraph" w:customStyle="1" w:styleId="Heading2-Section16">
    <w:name w:val="Heading 2 - Section 16"/>
    <w:qFormat/>
    <w:rsid w:val="00C33C5B"/>
    <w:pPr>
      <w:numPr>
        <w:numId w:val="24"/>
      </w:numPr>
    </w:pPr>
    <w:rPr>
      <w:rFonts w:ascii="Times New Roman Bold" w:eastAsia="Times New Roman" w:hAnsi="Times New Roman Bold"/>
      <w:b/>
      <w:bCs/>
      <w:kern w:val="32"/>
      <w:sz w:val="24"/>
      <w:szCs w:val="24"/>
    </w:rPr>
  </w:style>
  <w:style w:type="paragraph" w:styleId="BalloonText">
    <w:name w:val="Balloon Text"/>
    <w:basedOn w:val="Normal"/>
    <w:link w:val="BalloonTextChar"/>
    <w:uiPriority w:val="99"/>
    <w:semiHidden/>
    <w:unhideWhenUsed/>
    <w:rsid w:val="009E786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862"/>
    <w:rPr>
      <w:rFonts w:ascii="Segoe UI" w:eastAsia="Times New Roman" w:hAnsi="Segoe UI" w:cs="Segoe UI"/>
      <w:sz w:val="18"/>
      <w:szCs w:val="18"/>
    </w:rPr>
  </w:style>
  <w:style w:type="character" w:styleId="HTMLSample">
    <w:name w:val="HTML Sample"/>
    <w:uiPriority w:val="99"/>
    <w:unhideWhenUsed/>
    <w:rsid w:val="00D502E8"/>
    <w:rPr>
      <w:rFonts w:ascii="Consolas" w:hAnsi="Consolas"/>
      <w:sz w:val="24"/>
      <w:szCs w:val="24"/>
    </w:rPr>
  </w:style>
  <w:style w:type="paragraph" w:customStyle="1" w:styleId="Normal1">
    <w:name w:val="Normal1"/>
    <w:basedOn w:val="Normal"/>
    <w:rsid w:val="004A7C0C"/>
    <w:pPr>
      <w:spacing w:after="0"/>
      <w:ind w:right="1440"/>
    </w:pPr>
    <w:rPr>
      <w:sz w:val="18"/>
      <w:szCs w:val="20"/>
    </w:rPr>
  </w:style>
  <w:style w:type="paragraph" w:customStyle="1" w:styleId="SynopsisBulletList2">
    <w:name w:val="Synopsis Bullet List 2"/>
    <w:basedOn w:val="SynopsisBulletList"/>
    <w:rsid w:val="00584C87"/>
    <w:pPr>
      <w:numPr>
        <w:numId w:val="0"/>
      </w:numPr>
      <w:spacing w:before="40" w:after="0"/>
      <w:ind w:left="1130" w:hanging="360"/>
    </w:pPr>
    <w:rPr>
      <w:rFonts w:eastAsia="Calibri"/>
    </w:rPr>
  </w:style>
  <w:style w:type="character" w:customStyle="1" w:styleId="TableTextChar">
    <w:name w:val="Table Text Char"/>
    <w:link w:val="TableText"/>
    <w:uiPriority w:val="99"/>
    <w:rsid w:val="00584C87"/>
    <w:rPr>
      <w:rFonts w:eastAsia="Times New Roman"/>
      <w:szCs w:val="24"/>
    </w:rPr>
  </w:style>
  <w:style w:type="character" w:customStyle="1" w:styleId="highlight">
    <w:name w:val="highlight"/>
    <w:basedOn w:val="DefaultParagraphFont"/>
    <w:rsid w:val="00690B79"/>
  </w:style>
  <w:style w:type="character" w:customStyle="1" w:styleId="C-Hyperlink">
    <w:name w:val="C-Hyperlink"/>
    <w:rsid w:val="00690B79"/>
    <w:rPr>
      <w:color w:val="0000FF"/>
    </w:rPr>
  </w:style>
  <w:style w:type="paragraph" w:customStyle="1" w:styleId="TableBullet">
    <w:name w:val="Table Bullet"/>
    <w:basedOn w:val="TableText"/>
    <w:rsid w:val="009E136B"/>
    <w:pPr>
      <w:numPr>
        <w:numId w:val="40"/>
      </w:numPr>
    </w:pPr>
    <w:rPr>
      <w:rFonts w:eastAsia="Calibri"/>
      <w:lang w:val="en-CA"/>
    </w:rPr>
  </w:style>
  <w:style w:type="paragraph" w:customStyle="1" w:styleId="Default">
    <w:name w:val="Default"/>
    <w:rsid w:val="009C1BBA"/>
    <w:pPr>
      <w:autoSpaceDE w:val="0"/>
      <w:autoSpaceDN w:val="0"/>
      <w:adjustRightInd w:val="0"/>
    </w:pPr>
    <w:rPr>
      <w:color w:val="000000"/>
      <w:sz w:val="24"/>
      <w:szCs w:val="24"/>
    </w:rPr>
  </w:style>
  <w:style w:type="paragraph" w:styleId="IntenseQuote">
    <w:name w:val="Intense Quote"/>
    <w:basedOn w:val="Normal"/>
    <w:next w:val="Normal"/>
    <w:link w:val="IntenseQuoteChar"/>
    <w:uiPriority w:val="30"/>
    <w:rsid w:val="00E22EB0"/>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22EB0"/>
    <w:rPr>
      <w:rFonts w:eastAsia="Times New Roman"/>
      <w:b/>
      <w:bCs/>
      <w:i/>
      <w:iCs/>
      <w:color w:val="4F81BD"/>
      <w:sz w:val="22"/>
      <w:szCs w:val="24"/>
    </w:rPr>
  </w:style>
  <w:style w:type="paragraph" w:customStyle="1" w:styleId="C-BodyText">
    <w:name w:val="C-Body Text"/>
    <w:link w:val="C-BodyTextChar"/>
    <w:uiPriority w:val="99"/>
    <w:qFormat/>
    <w:rsid w:val="0002616A"/>
    <w:pPr>
      <w:spacing w:before="120" w:after="120" w:line="280" w:lineRule="atLeast"/>
    </w:pPr>
    <w:rPr>
      <w:rFonts w:eastAsia="Times New Roman"/>
      <w:sz w:val="24"/>
    </w:rPr>
  </w:style>
  <w:style w:type="character" w:customStyle="1" w:styleId="C-BodyTextChar">
    <w:name w:val="C-Body Text Char"/>
    <w:link w:val="C-BodyText"/>
    <w:uiPriority w:val="99"/>
    <w:rsid w:val="0002616A"/>
    <w:rPr>
      <w:rFonts w:eastAsia="Times New Roman"/>
      <w:sz w:val="24"/>
    </w:rPr>
  </w:style>
  <w:style w:type="table" w:customStyle="1" w:styleId="C-Table">
    <w:name w:val="C-Table"/>
    <w:basedOn w:val="TableNormal"/>
    <w:rsid w:val="00D33E8C"/>
    <w:rPr>
      <w:rFonts w:eastAsia="Times New Roman"/>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223861">
      <w:bodyDiv w:val="1"/>
      <w:marLeft w:val="0"/>
      <w:marRight w:val="0"/>
      <w:marTop w:val="0"/>
      <w:marBottom w:val="0"/>
      <w:divBdr>
        <w:top w:val="none" w:sz="0" w:space="0" w:color="auto"/>
        <w:left w:val="none" w:sz="0" w:space="0" w:color="auto"/>
        <w:bottom w:val="none" w:sz="0" w:space="0" w:color="auto"/>
        <w:right w:val="none" w:sz="0" w:space="0" w:color="auto"/>
      </w:divBdr>
    </w:div>
    <w:div w:id="768894770">
      <w:bodyDiv w:val="1"/>
      <w:marLeft w:val="0"/>
      <w:marRight w:val="0"/>
      <w:marTop w:val="0"/>
      <w:marBottom w:val="0"/>
      <w:divBdr>
        <w:top w:val="none" w:sz="0" w:space="0" w:color="auto"/>
        <w:left w:val="none" w:sz="0" w:space="0" w:color="auto"/>
        <w:bottom w:val="none" w:sz="0" w:space="0" w:color="auto"/>
        <w:right w:val="none" w:sz="0" w:space="0" w:color="auto"/>
      </w:divBdr>
    </w:div>
    <w:div w:id="831065271">
      <w:bodyDiv w:val="1"/>
      <w:marLeft w:val="0"/>
      <w:marRight w:val="0"/>
      <w:marTop w:val="0"/>
      <w:marBottom w:val="0"/>
      <w:divBdr>
        <w:top w:val="none" w:sz="0" w:space="0" w:color="auto"/>
        <w:left w:val="none" w:sz="0" w:space="0" w:color="auto"/>
        <w:bottom w:val="none" w:sz="0" w:space="0" w:color="auto"/>
        <w:right w:val="none" w:sz="0" w:space="0" w:color="auto"/>
      </w:divBdr>
    </w:div>
    <w:div w:id="1236892087">
      <w:bodyDiv w:val="1"/>
      <w:marLeft w:val="0"/>
      <w:marRight w:val="0"/>
      <w:marTop w:val="0"/>
      <w:marBottom w:val="0"/>
      <w:divBdr>
        <w:top w:val="none" w:sz="0" w:space="0" w:color="auto"/>
        <w:left w:val="none" w:sz="0" w:space="0" w:color="auto"/>
        <w:bottom w:val="none" w:sz="0" w:space="0" w:color="auto"/>
        <w:right w:val="none" w:sz="0" w:space="0" w:color="auto"/>
      </w:divBdr>
    </w:div>
    <w:div w:id="1329868031">
      <w:bodyDiv w:val="1"/>
      <w:marLeft w:val="0"/>
      <w:marRight w:val="0"/>
      <w:marTop w:val="0"/>
      <w:marBottom w:val="0"/>
      <w:divBdr>
        <w:top w:val="none" w:sz="0" w:space="0" w:color="auto"/>
        <w:left w:val="none" w:sz="0" w:space="0" w:color="auto"/>
        <w:bottom w:val="none" w:sz="0" w:space="0" w:color="auto"/>
        <w:right w:val="none" w:sz="0" w:space="0" w:color="auto"/>
      </w:divBdr>
    </w:div>
    <w:div w:id="1734696720">
      <w:bodyDiv w:val="1"/>
      <w:marLeft w:val="0"/>
      <w:marRight w:val="0"/>
      <w:marTop w:val="0"/>
      <w:marBottom w:val="0"/>
      <w:divBdr>
        <w:top w:val="none" w:sz="0" w:space="0" w:color="auto"/>
        <w:left w:val="none" w:sz="0" w:space="0" w:color="auto"/>
        <w:bottom w:val="none" w:sz="0" w:space="0" w:color="auto"/>
        <w:right w:val="none" w:sz="0" w:space="0" w:color="auto"/>
      </w:divBdr>
    </w:div>
    <w:div w:id="183783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A1BA3C-DBD1-4984-8D2C-F61744297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4100</Words>
  <Characters>23374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Everest Clinical Research Services</Company>
  <LinksUpToDate>false</LinksUpToDate>
  <CharactersWithSpaces>27420</CharactersWithSpaces>
  <SharedDoc>false</SharedDoc>
  <HLinks>
    <vt:vector size="1260" baseType="variant">
      <vt:variant>
        <vt:i4>1769534</vt:i4>
      </vt:variant>
      <vt:variant>
        <vt:i4>1272</vt:i4>
      </vt:variant>
      <vt:variant>
        <vt:i4>0</vt:i4>
      </vt:variant>
      <vt:variant>
        <vt:i4>5</vt:i4>
      </vt:variant>
      <vt:variant>
        <vt:lpwstr/>
      </vt:variant>
      <vt:variant>
        <vt:lpwstr>_Toc346535880</vt:lpwstr>
      </vt:variant>
      <vt:variant>
        <vt:i4>1310782</vt:i4>
      </vt:variant>
      <vt:variant>
        <vt:i4>1266</vt:i4>
      </vt:variant>
      <vt:variant>
        <vt:i4>0</vt:i4>
      </vt:variant>
      <vt:variant>
        <vt:i4>5</vt:i4>
      </vt:variant>
      <vt:variant>
        <vt:lpwstr/>
      </vt:variant>
      <vt:variant>
        <vt:lpwstr>_Toc346535879</vt:lpwstr>
      </vt:variant>
      <vt:variant>
        <vt:i4>1310782</vt:i4>
      </vt:variant>
      <vt:variant>
        <vt:i4>1260</vt:i4>
      </vt:variant>
      <vt:variant>
        <vt:i4>0</vt:i4>
      </vt:variant>
      <vt:variant>
        <vt:i4>5</vt:i4>
      </vt:variant>
      <vt:variant>
        <vt:lpwstr/>
      </vt:variant>
      <vt:variant>
        <vt:lpwstr>_Toc346535878</vt:lpwstr>
      </vt:variant>
      <vt:variant>
        <vt:i4>1310782</vt:i4>
      </vt:variant>
      <vt:variant>
        <vt:i4>1254</vt:i4>
      </vt:variant>
      <vt:variant>
        <vt:i4>0</vt:i4>
      </vt:variant>
      <vt:variant>
        <vt:i4>5</vt:i4>
      </vt:variant>
      <vt:variant>
        <vt:lpwstr/>
      </vt:variant>
      <vt:variant>
        <vt:lpwstr>_Toc346535877</vt:lpwstr>
      </vt:variant>
      <vt:variant>
        <vt:i4>1310782</vt:i4>
      </vt:variant>
      <vt:variant>
        <vt:i4>1245</vt:i4>
      </vt:variant>
      <vt:variant>
        <vt:i4>0</vt:i4>
      </vt:variant>
      <vt:variant>
        <vt:i4>5</vt:i4>
      </vt:variant>
      <vt:variant>
        <vt:lpwstr/>
      </vt:variant>
      <vt:variant>
        <vt:lpwstr>_Toc346535876</vt:lpwstr>
      </vt:variant>
      <vt:variant>
        <vt:i4>1310782</vt:i4>
      </vt:variant>
      <vt:variant>
        <vt:i4>1239</vt:i4>
      </vt:variant>
      <vt:variant>
        <vt:i4>0</vt:i4>
      </vt:variant>
      <vt:variant>
        <vt:i4>5</vt:i4>
      </vt:variant>
      <vt:variant>
        <vt:lpwstr/>
      </vt:variant>
      <vt:variant>
        <vt:lpwstr>_Toc346535875</vt:lpwstr>
      </vt:variant>
      <vt:variant>
        <vt:i4>1310782</vt:i4>
      </vt:variant>
      <vt:variant>
        <vt:i4>1233</vt:i4>
      </vt:variant>
      <vt:variant>
        <vt:i4>0</vt:i4>
      </vt:variant>
      <vt:variant>
        <vt:i4>5</vt:i4>
      </vt:variant>
      <vt:variant>
        <vt:lpwstr/>
      </vt:variant>
      <vt:variant>
        <vt:lpwstr>_Toc346535874</vt:lpwstr>
      </vt:variant>
      <vt:variant>
        <vt:i4>1310782</vt:i4>
      </vt:variant>
      <vt:variant>
        <vt:i4>1227</vt:i4>
      </vt:variant>
      <vt:variant>
        <vt:i4>0</vt:i4>
      </vt:variant>
      <vt:variant>
        <vt:i4>5</vt:i4>
      </vt:variant>
      <vt:variant>
        <vt:lpwstr/>
      </vt:variant>
      <vt:variant>
        <vt:lpwstr>_Toc346535873</vt:lpwstr>
      </vt:variant>
      <vt:variant>
        <vt:i4>1310782</vt:i4>
      </vt:variant>
      <vt:variant>
        <vt:i4>1221</vt:i4>
      </vt:variant>
      <vt:variant>
        <vt:i4>0</vt:i4>
      </vt:variant>
      <vt:variant>
        <vt:i4>5</vt:i4>
      </vt:variant>
      <vt:variant>
        <vt:lpwstr/>
      </vt:variant>
      <vt:variant>
        <vt:lpwstr>_Toc346535872</vt:lpwstr>
      </vt:variant>
      <vt:variant>
        <vt:i4>1310782</vt:i4>
      </vt:variant>
      <vt:variant>
        <vt:i4>1215</vt:i4>
      </vt:variant>
      <vt:variant>
        <vt:i4>0</vt:i4>
      </vt:variant>
      <vt:variant>
        <vt:i4>5</vt:i4>
      </vt:variant>
      <vt:variant>
        <vt:lpwstr/>
      </vt:variant>
      <vt:variant>
        <vt:lpwstr>_Toc346535871</vt:lpwstr>
      </vt:variant>
      <vt:variant>
        <vt:i4>1310782</vt:i4>
      </vt:variant>
      <vt:variant>
        <vt:i4>1209</vt:i4>
      </vt:variant>
      <vt:variant>
        <vt:i4>0</vt:i4>
      </vt:variant>
      <vt:variant>
        <vt:i4>5</vt:i4>
      </vt:variant>
      <vt:variant>
        <vt:lpwstr/>
      </vt:variant>
      <vt:variant>
        <vt:lpwstr>_Toc346535870</vt:lpwstr>
      </vt:variant>
      <vt:variant>
        <vt:i4>1376318</vt:i4>
      </vt:variant>
      <vt:variant>
        <vt:i4>1203</vt:i4>
      </vt:variant>
      <vt:variant>
        <vt:i4>0</vt:i4>
      </vt:variant>
      <vt:variant>
        <vt:i4>5</vt:i4>
      </vt:variant>
      <vt:variant>
        <vt:lpwstr/>
      </vt:variant>
      <vt:variant>
        <vt:lpwstr>_Toc346535869</vt:lpwstr>
      </vt:variant>
      <vt:variant>
        <vt:i4>1376318</vt:i4>
      </vt:variant>
      <vt:variant>
        <vt:i4>1194</vt:i4>
      </vt:variant>
      <vt:variant>
        <vt:i4>0</vt:i4>
      </vt:variant>
      <vt:variant>
        <vt:i4>5</vt:i4>
      </vt:variant>
      <vt:variant>
        <vt:lpwstr/>
      </vt:variant>
      <vt:variant>
        <vt:lpwstr>_Toc346535868</vt:lpwstr>
      </vt:variant>
      <vt:variant>
        <vt:i4>1376318</vt:i4>
      </vt:variant>
      <vt:variant>
        <vt:i4>1188</vt:i4>
      </vt:variant>
      <vt:variant>
        <vt:i4>0</vt:i4>
      </vt:variant>
      <vt:variant>
        <vt:i4>5</vt:i4>
      </vt:variant>
      <vt:variant>
        <vt:lpwstr/>
      </vt:variant>
      <vt:variant>
        <vt:lpwstr>_Toc346535867</vt:lpwstr>
      </vt:variant>
      <vt:variant>
        <vt:i4>1376318</vt:i4>
      </vt:variant>
      <vt:variant>
        <vt:i4>1182</vt:i4>
      </vt:variant>
      <vt:variant>
        <vt:i4>0</vt:i4>
      </vt:variant>
      <vt:variant>
        <vt:i4>5</vt:i4>
      </vt:variant>
      <vt:variant>
        <vt:lpwstr/>
      </vt:variant>
      <vt:variant>
        <vt:lpwstr>_Toc346535866</vt:lpwstr>
      </vt:variant>
      <vt:variant>
        <vt:i4>1376318</vt:i4>
      </vt:variant>
      <vt:variant>
        <vt:i4>1176</vt:i4>
      </vt:variant>
      <vt:variant>
        <vt:i4>0</vt:i4>
      </vt:variant>
      <vt:variant>
        <vt:i4>5</vt:i4>
      </vt:variant>
      <vt:variant>
        <vt:lpwstr/>
      </vt:variant>
      <vt:variant>
        <vt:lpwstr>_Toc346535865</vt:lpwstr>
      </vt:variant>
      <vt:variant>
        <vt:i4>1376318</vt:i4>
      </vt:variant>
      <vt:variant>
        <vt:i4>1170</vt:i4>
      </vt:variant>
      <vt:variant>
        <vt:i4>0</vt:i4>
      </vt:variant>
      <vt:variant>
        <vt:i4>5</vt:i4>
      </vt:variant>
      <vt:variant>
        <vt:lpwstr/>
      </vt:variant>
      <vt:variant>
        <vt:lpwstr>_Toc346535864</vt:lpwstr>
      </vt:variant>
      <vt:variant>
        <vt:i4>1376318</vt:i4>
      </vt:variant>
      <vt:variant>
        <vt:i4>1164</vt:i4>
      </vt:variant>
      <vt:variant>
        <vt:i4>0</vt:i4>
      </vt:variant>
      <vt:variant>
        <vt:i4>5</vt:i4>
      </vt:variant>
      <vt:variant>
        <vt:lpwstr/>
      </vt:variant>
      <vt:variant>
        <vt:lpwstr>_Toc346535863</vt:lpwstr>
      </vt:variant>
      <vt:variant>
        <vt:i4>1376318</vt:i4>
      </vt:variant>
      <vt:variant>
        <vt:i4>1158</vt:i4>
      </vt:variant>
      <vt:variant>
        <vt:i4>0</vt:i4>
      </vt:variant>
      <vt:variant>
        <vt:i4>5</vt:i4>
      </vt:variant>
      <vt:variant>
        <vt:lpwstr/>
      </vt:variant>
      <vt:variant>
        <vt:lpwstr>_Toc346535862</vt:lpwstr>
      </vt:variant>
      <vt:variant>
        <vt:i4>1376318</vt:i4>
      </vt:variant>
      <vt:variant>
        <vt:i4>1152</vt:i4>
      </vt:variant>
      <vt:variant>
        <vt:i4>0</vt:i4>
      </vt:variant>
      <vt:variant>
        <vt:i4>5</vt:i4>
      </vt:variant>
      <vt:variant>
        <vt:lpwstr/>
      </vt:variant>
      <vt:variant>
        <vt:lpwstr>_Toc346535861</vt:lpwstr>
      </vt:variant>
      <vt:variant>
        <vt:i4>1376318</vt:i4>
      </vt:variant>
      <vt:variant>
        <vt:i4>1146</vt:i4>
      </vt:variant>
      <vt:variant>
        <vt:i4>0</vt:i4>
      </vt:variant>
      <vt:variant>
        <vt:i4>5</vt:i4>
      </vt:variant>
      <vt:variant>
        <vt:lpwstr/>
      </vt:variant>
      <vt:variant>
        <vt:lpwstr>_Toc346535860</vt:lpwstr>
      </vt:variant>
      <vt:variant>
        <vt:i4>1441854</vt:i4>
      </vt:variant>
      <vt:variant>
        <vt:i4>1140</vt:i4>
      </vt:variant>
      <vt:variant>
        <vt:i4>0</vt:i4>
      </vt:variant>
      <vt:variant>
        <vt:i4>5</vt:i4>
      </vt:variant>
      <vt:variant>
        <vt:lpwstr/>
      </vt:variant>
      <vt:variant>
        <vt:lpwstr>_Toc346535859</vt:lpwstr>
      </vt:variant>
      <vt:variant>
        <vt:i4>1441854</vt:i4>
      </vt:variant>
      <vt:variant>
        <vt:i4>1134</vt:i4>
      </vt:variant>
      <vt:variant>
        <vt:i4>0</vt:i4>
      </vt:variant>
      <vt:variant>
        <vt:i4>5</vt:i4>
      </vt:variant>
      <vt:variant>
        <vt:lpwstr/>
      </vt:variant>
      <vt:variant>
        <vt:lpwstr>_Toc346535858</vt:lpwstr>
      </vt:variant>
      <vt:variant>
        <vt:i4>1441854</vt:i4>
      </vt:variant>
      <vt:variant>
        <vt:i4>1128</vt:i4>
      </vt:variant>
      <vt:variant>
        <vt:i4>0</vt:i4>
      </vt:variant>
      <vt:variant>
        <vt:i4>5</vt:i4>
      </vt:variant>
      <vt:variant>
        <vt:lpwstr/>
      </vt:variant>
      <vt:variant>
        <vt:lpwstr>_Toc346535857</vt:lpwstr>
      </vt:variant>
      <vt:variant>
        <vt:i4>1441854</vt:i4>
      </vt:variant>
      <vt:variant>
        <vt:i4>1122</vt:i4>
      </vt:variant>
      <vt:variant>
        <vt:i4>0</vt:i4>
      </vt:variant>
      <vt:variant>
        <vt:i4>5</vt:i4>
      </vt:variant>
      <vt:variant>
        <vt:lpwstr/>
      </vt:variant>
      <vt:variant>
        <vt:lpwstr>_Toc346535856</vt:lpwstr>
      </vt:variant>
      <vt:variant>
        <vt:i4>1441854</vt:i4>
      </vt:variant>
      <vt:variant>
        <vt:i4>1116</vt:i4>
      </vt:variant>
      <vt:variant>
        <vt:i4>0</vt:i4>
      </vt:variant>
      <vt:variant>
        <vt:i4>5</vt:i4>
      </vt:variant>
      <vt:variant>
        <vt:lpwstr/>
      </vt:variant>
      <vt:variant>
        <vt:lpwstr>_Toc346535855</vt:lpwstr>
      </vt:variant>
      <vt:variant>
        <vt:i4>1441854</vt:i4>
      </vt:variant>
      <vt:variant>
        <vt:i4>1110</vt:i4>
      </vt:variant>
      <vt:variant>
        <vt:i4>0</vt:i4>
      </vt:variant>
      <vt:variant>
        <vt:i4>5</vt:i4>
      </vt:variant>
      <vt:variant>
        <vt:lpwstr/>
      </vt:variant>
      <vt:variant>
        <vt:lpwstr>_Toc346535854</vt:lpwstr>
      </vt:variant>
      <vt:variant>
        <vt:i4>1441854</vt:i4>
      </vt:variant>
      <vt:variant>
        <vt:i4>1104</vt:i4>
      </vt:variant>
      <vt:variant>
        <vt:i4>0</vt:i4>
      </vt:variant>
      <vt:variant>
        <vt:i4>5</vt:i4>
      </vt:variant>
      <vt:variant>
        <vt:lpwstr/>
      </vt:variant>
      <vt:variant>
        <vt:lpwstr>_Toc346535853</vt:lpwstr>
      </vt:variant>
      <vt:variant>
        <vt:i4>1441854</vt:i4>
      </vt:variant>
      <vt:variant>
        <vt:i4>1098</vt:i4>
      </vt:variant>
      <vt:variant>
        <vt:i4>0</vt:i4>
      </vt:variant>
      <vt:variant>
        <vt:i4>5</vt:i4>
      </vt:variant>
      <vt:variant>
        <vt:lpwstr/>
      </vt:variant>
      <vt:variant>
        <vt:lpwstr>_Toc346535852</vt:lpwstr>
      </vt:variant>
      <vt:variant>
        <vt:i4>1441854</vt:i4>
      </vt:variant>
      <vt:variant>
        <vt:i4>1092</vt:i4>
      </vt:variant>
      <vt:variant>
        <vt:i4>0</vt:i4>
      </vt:variant>
      <vt:variant>
        <vt:i4>5</vt:i4>
      </vt:variant>
      <vt:variant>
        <vt:lpwstr/>
      </vt:variant>
      <vt:variant>
        <vt:lpwstr>_Toc346535851</vt:lpwstr>
      </vt:variant>
      <vt:variant>
        <vt:i4>1441854</vt:i4>
      </vt:variant>
      <vt:variant>
        <vt:i4>1086</vt:i4>
      </vt:variant>
      <vt:variant>
        <vt:i4>0</vt:i4>
      </vt:variant>
      <vt:variant>
        <vt:i4>5</vt:i4>
      </vt:variant>
      <vt:variant>
        <vt:lpwstr/>
      </vt:variant>
      <vt:variant>
        <vt:lpwstr>_Toc346535850</vt:lpwstr>
      </vt:variant>
      <vt:variant>
        <vt:i4>1507390</vt:i4>
      </vt:variant>
      <vt:variant>
        <vt:i4>1080</vt:i4>
      </vt:variant>
      <vt:variant>
        <vt:i4>0</vt:i4>
      </vt:variant>
      <vt:variant>
        <vt:i4>5</vt:i4>
      </vt:variant>
      <vt:variant>
        <vt:lpwstr/>
      </vt:variant>
      <vt:variant>
        <vt:lpwstr>_Toc346535849</vt:lpwstr>
      </vt:variant>
      <vt:variant>
        <vt:i4>1507390</vt:i4>
      </vt:variant>
      <vt:variant>
        <vt:i4>1074</vt:i4>
      </vt:variant>
      <vt:variant>
        <vt:i4>0</vt:i4>
      </vt:variant>
      <vt:variant>
        <vt:i4>5</vt:i4>
      </vt:variant>
      <vt:variant>
        <vt:lpwstr/>
      </vt:variant>
      <vt:variant>
        <vt:lpwstr>_Toc346535848</vt:lpwstr>
      </vt:variant>
      <vt:variant>
        <vt:i4>1507390</vt:i4>
      </vt:variant>
      <vt:variant>
        <vt:i4>1068</vt:i4>
      </vt:variant>
      <vt:variant>
        <vt:i4>0</vt:i4>
      </vt:variant>
      <vt:variant>
        <vt:i4>5</vt:i4>
      </vt:variant>
      <vt:variant>
        <vt:lpwstr/>
      </vt:variant>
      <vt:variant>
        <vt:lpwstr>_Toc346535847</vt:lpwstr>
      </vt:variant>
      <vt:variant>
        <vt:i4>1507390</vt:i4>
      </vt:variant>
      <vt:variant>
        <vt:i4>1062</vt:i4>
      </vt:variant>
      <vt:variant>
        <vt:i4>0</vt:i4>
      </vt:variant>
      <vt:variant>
        <vt:i4>5</vt:i4>
      </vt:variant>
      <vt:variant>
        <vt:lpwstr/>
      </vt:variant>
      <vt:variant>
        <vt:lpwstr>_Toc346535846</vt:lpwstr>
      </vt:variant>
      <vt:variant>
        <vt:i4>1507390</vt:i4>
      </vt:variant>
      <vt:variant>
        <vt:i4>1056</vt:i4>
      </vt:variant>
      <vt:variant>
        <vt:i4>0</vt:i4>
      </vt:variant>
      <vt:variant>
        <vt:i4>5</vt:i4>
      </vt:variant>
      <vt:variant>
        <vt:lpwstr/>
      </vt:variant>
      <vt:variant>
        <vt:lpwstr>_Toc346535845</vt:lpwstr>
      </vt:variant>
      <vt:variant>
        <vt:i4>1507390</vt:i4>
      </vt:variant>
      <vt:variant>
        <vt:i4>1050</vt:i4>
      </vt:variant>
      <vt:variant>
        <vt:i4>0</vt:i4>
      </vt:variant>
      <vt:variant>
        <vt:i4>5</vt:i4>
      </vt:variant>
      <vt:variant>
        <vt:lpwstr/>
      </vt:variant>
      <vt:variant>
        <vt:lpwstr>_Toc346535844</vt:lpwstr>
      </vt:variant>
      <vt:variant>
        <vt:i4>1507390</vt:i4>
      </vt:variant>
      <vt:variant>
        <vt:i4>1044</vt:i4>
      </vt:variant>
      <vt:variant>
        <vt:i4>0</vt:i4>
      </vt:variant>
      <vt:variant>
        <vt:i4>5</vt:i4>
      </vt:variant>
      <vt:variant>
        <vt:lpwstr/>
      </vt:variant>
      <vt:variant>
        <vt:lpwstr>_Toc346535843</vt:lpwstr>
      </vt:variant>
      <vt:variant>
        <vt:i4>1507390</vt:i4>
      </vt:variant>
      <vt:variant>
        <vt:i4>1038</vt:i4>
      </vt:variant>
      <vt:variant>
        <vt:i4>0</vt:i4>
      </vt:variant>
      <vt:variant>
        <vt:i4>5</vt:i4>
      </vt:variant>
      <vt:variant>
        <vt:lpwstr/>
      </vt:variant>
      <vt:variant>
        <vt:lpwstr>_Toc346535842</vt:lpwstr>
      </vt:variant>
      <vt:variant>
        <vt:i4>1507390</vt:i4>
      </vt:variant>
      <vt:variant>
        <vt:i4>1032</vt:i4>
      </vt:variant>
      <vt:variant>
        <vt:i4>0</vt:i4>
      </vt:variant>
      <vt:variant>
        <vt:i4>5</vt:i4>
      </vt:variant>
      <vt:variant>
        <vt:lpwstr/>
      </vt:variant>
      <vt:variant>
        <vt:lpwstr>_Toc346535841</vt:lpwstr>
      </vt:variant>
      <vt:variant>
        <vt:i4>1507390</vt:i4>
      </vt:variant>
      <vt:variant>
        <vt:i4>1026</vt:i4>
      </vt:variant>
      <vt:variant>
        <vt:i4>0</vt:i4>
      </vt:variant>
      <vt:variant>
        <vt:i4>5</vt:i4>
      </vt:variant>
      <vt:variant>
        <vt:lpwstr/>
      </vt:variant>
      <vt:variant>
        <vt:lpwstr>_Toc346535840</vt:lpwstr>
      </vt:variant>
      <vt:variant>
        <vt:i4>1048638</vt:i4>
      </vt:variant>
      <vt:variant>
        <vt:i4>1020</vt:i4>
      </vt:variant>
      <vt:variant>
        <vt:i4>0</vt:i4>
      </vt:variant>
      <vt:variant>
        <vt:i4>5</vt:i4>
      </vt:variant>
      <vt:variant>
        <vt:lpwstr/>
      </vt:variant>
      <vt:variant>
        <vt:lpwstr>_Toc346535839</vt:lpwstr>
      </vt:variant>
      <vt:variant>
        <vt:i4>1048638</vt:i4>
      </vt:variant>
      <vt:variant>
        <vt:i4>1014</vt:i4>
      </vt:variant>
      <vt:variant>
        <vt:i4>0</vt:i4>
      </vt:variant>
      <vt:variant>
        <vt:i4>5</vt:i4>
      </vt:variant>
      <vt:variant>
        <vt:lpwstr/>
      </vt:variant>
      <vt:variant>
        <vt:lpwstr>_Toc346535838</vt:lpwstr>
      </vt:variant>
      <vt:variant>
        <vt:i4>1048638</vt:i4>
      </vt:variant>
      <vt:variant>
        <vt:i4>1008</vt:i4>
      </vt:variant>
      <vt:variant>
        <vt:i4>0</vt:i4>
      </vt:variant>
      <vt:variant>
        <vt:i4>5</vt:i4>
      </vt:variant>
      <vt:variant>
        <vt:lpwstr/>
      </vt:variant>
      <vt:variant>
        <vt:lpwstr>_Toc346535837</vt:lpwstr>
      </vt:variant>
      <vt:variant>
        <vt:i4>1048638</vt:i4>
      </vt:variant>
      <vt:variant>
        <vt:i4>1002</vt:i4>
      </vt:variant>
      <vt:variant>
        <vt:i4>0</vt:i4>
      </vt:variant>
      <vt:variant>
        <vt:i4>5</vt:i4>
      </vt:variant>
      <vt:variant>
        <vt:lpwstr/>
      </vt:variant>
      <vt:variant>
        <vt:lpwstr>_Toc346535836</vt:lpwstr>
      </vt:variant>
      <vt:variant>
        <vt:i4>1048638</vt:i4>
      </vt:variant>
      <vt:variant>
        <vt:i4>996</vt:i4>
      </vt:variant>
      <vt:variant>
        <vt:i4>0</vt:i4>
      </vt:variant>
      <vt:variant>
        <vt:i4>5</vt:i4>
      </vt:variant>
      <vt:variant>
        <vt:lpwstr/>
      </vt:variant>
      <vt:variant>
        <vt:lpwstr>_Toc346535835</vt:lpwstr>
      </vt:variant>
      <vt:variant>
        <vt:i4>1048638</vt:i4>
      </vt:variant>
      <vt:variant>
        <vt:i4>990</vt:i4>
      </vt:variant>
      <vt:variant>
        <vt:i4>0</vt:i4>
      </vt:variant>
      <vt:variant>
        <vt:i4>5</vt:i4>
      </vt:variant>
      <vt:variant>
        <vt:lpwstr/>
      </vt:variant>
      <vt:variant>
        <vt:lpwstr>_Toc346535834</vt:lpwstr>
      </vt:variant>
      <vt:variant>
        <vt:i4>1048638</vt:i4>
      </vt:variant>
      <vt:variant>
        <vt:i4>984</vt:i4>
      </vt:variant>
      <vt:variant>
        <vt:i4>0</vt:i4>
      </vt:variant>
      <vt:variant>
        <vt:i4>5</vt:i4>
      </vt:variant>
      <vt:variant>
        <vt:lpwstr/>
      </vt:variant>
      <vt:variant>
        <vt:lpwstr>_Toc346535833</vt:lpwstr>
      </vt:variant>
      <vt:variant>
        <vt:i4>1048638</vt:i4>
      </vt:variant>
      <vt:variant>
        <vt:i4>978</vt:i4>
      </vt:variant>
      <vt:variant>
        <vt:i4>0</vt:i4>
      </vt:variant>
      <vt:variant>
        <vt:i4>5</vt:i4>
      </vt:variant>
      <vt:variant>
        <vt:lpwstr/>
      </vt:variant>
      <vt:variant>
        <vt:lpwstr>_Toc346535832</vt:lpwstr>
      </vt:variant>
      <vt:variant>
        <vt:i4>1048638</vt:i4>
      </vt:variant>
      <vt:variant>
        <vt:i4>972</vt:i4>
      </vt:variant>
      <vt:variant>
        <vt:i4>0</vt:i4>
      </vt:variant>
      <vt:variant>
        <vt:i4>5</vt:i4>
      </vt:variant>
      <vt:variant>
        <vt:lpwstr/>
      </vt:variant>
      <vt:variant>
        <vt:lpwstr>_Toc346535831</vt:lpwstr>
      </vt:variant>
      <vt:variant>
        <vt:i4>1048638</vt:i4>
      </vt:variant>
      <vt:variant>
        <vt:i4>966</vt:i4>
      </vt:variant>
      <vt:variant>
        <vt:i4>0</vt:i4>
      </vt:variant>
      <vt:variant>
        <vt:i4>5</vt:i4>
      </vt:variant>
      <vt:variant>
        <vt:lpwstr/>
      </vt:variant>
      <vt:variant>
        <vt:lpwstr>_Toc346535830</vt:lpwstr>
      </vt:variant>
      <vt:variant>
        <vt:i4>1114174</vt:i4>
      </vt:variant>
      <vt:variant>
        <vt:i4>960</vt:i4>
      </vt:variant>
      <vt:variant>
        <vt:i4>0</vt:i4>
      </vt:variant>
      <vt:variant>
        <vt:i4>5</vt:i4>
      </vt:variant>
      <vt:variant>
        <vt:lpwstr/>
      </vt:variant>
      <vt:variant>
        <vt:lpwstr>_Toc346535829</vt:lpwstr>
      </vt:variant>
      <vt:variant>
        <vt:i4>1114174</vt:i4>
      </vt:variant>
      <vt:variant>
        <vt:i4>954</vt:i4>
      </vt:variant>
      <vt:variant>
        <vt:i4>0</vt:i4>
      </vt:variant>
      <vt:variant>
        <vt:i4>5</vt:i4>
      </vt:variant>
      <vt:variant>
        <vt:lpwstr/>
      </vt:variant>
      <vt:variant>
        <vt:lpwstr>_Toc346535828</vt:lpwstr>
      </vt:variant>
      <vt:variant>
        <vt:i4>1114174</vt:i4>
      </vt:variant>
      <vt:variant>
        <vt:i4>948</vt:i4>
      </vt:variant>
      <vt:variant>
        <vt:i4>0</vt:i4>
      </vt:variant>
      <vt:variant>
        <vt:i4>5</vt:i4>
      </vt:variant>
      <vt:variant>
        <vt:lpwstr/>
      </vt:variant>
      <vt:variant>
        <vt:lpwstr>_Toc346535827</vt:lpwstr>
      </vt:variant>
      <vt:variant>
        <vt:i4>1114174</vt:i4>
      </vt:variant>
      <vt:variant>
        <vt:i4>942</vt:i4>
      </vt:variant>
      <vt:variant>
        <vt:i4>0</vt:i4>
      </vt:variant>
      <vt:variant>
        <vt:i4>5</vt:i4>
      </vt:variant>
      <vt:variant>
        <vt:lpwstr/>
      </vt:variant>
      <vt:variant>
        <vt:lpwstr>_Toc346535826</vt:lpwstr>
      </vt:variant>
      <vt:variant>
        <vt:i4>1114174</vt:i4>
      </vt:variant>
      <vt:variant>
        <vt:i4>936</vt:i4>
      </vt:variant>
      <vt:variant>
        <vt:i4>0</vt:i4>
      </vt:variant>
      <vt:variant>
        <vt:i4>5</vt:i4>
      </vt:variant>
      <vt:variant>
        <vt:lpwstr/>
      </vt:variant>
      <vt:variant>
        <vt:lpwstr>_Toc346535825</vt:lpwstr>
      </vt:variant>
      <vt:variant>
        <vt:i4>1114174</vt:i4>
      </vt:variant>
      <vt:variant>
        <vt:i4>930</vt:i4>
      </vt:variant>
      <vt:variant>
        <vt:i4>0</vt:i4>
      </vt:variant>
      <vt:variant>
        <vt:i4>5</vt:i4>
      </vt:variant>
      <vt:variant>
        <vt:lpwstr/>
      </vt:variant>
      <vt:variant>
        <vt:lpwstr>_Toc346535824</vt:lpwstr>
      </vt:variant>
      <vt:variant>
        <vt:i4>1114174</vt:i4>
      </vt:variant>
      <vt:variant>
        <vt:i4>924</vt:i4>
      </vt:variant>
      <vt:variant>
        <vt:i4>0</vt:i4>
      </vt:variant>
      <vt:variant>
        <vt:i4>5</vt:i4>
      </vt:variant>
      <vt:variant>
        <vt:lpwstr/>
      </vt:variant>
      <vt:variant>
        <vt:lpwstr>_Toc346535823</vt:lpwstr>
      </vt:variant>
      <vt:variant>
        <vt:i4>1114174</vt:i4>
      </vt:variant>
      <vt:variant>
        <vt:i4>918</vt:i4>
      </vt:variant>
      <vt:variant>
        <vt:i4>0</vt:i4>
      </vt:variant>
      <vt:variant>
        <vt:i4>5</vt:i4>
      </vt:variant>
      <vt:variant>
        <vt:lpwstr/>
      </vt:variant>
      <vt:variant>
        <vt:lpwstr>_Toc346535822</vt:lpwstr>
      </vt:variant>
      <vt:variant>
        <vt:i4>1114174</vt:i4>
      </vt:variant>
      <vt:variant>
        <vt:i4>912</vt:i4>
      </vt:variant>
      <vt:variant>
        <vt:i4>0</vt:i4>
      </vt:variant>
      <vt:variant>
        <vt:i4>5</vt:i4>
      </vt:variant>
      <vt:variant>
        <vt:lpwstr/>
      </vt:variant>
      <vt:variant>
        <vt:lpwstr>_Toc346535821</vt:lpwstr>
      </vt:variant>
      <vt:variant>
        <vt:i4>1114174</vt:i4>
      </vt:variant>
      <vt:variant>
        <vt:i4>906</vt:i4>
      </vt:variant>
      <vt:variant>
        <vt:i4>0</vt:i4>
      </vt:variant>
      <vt:variant>
        <vt:i4>5</vt:i4>
      </vt:variant>
      <vt:variant>
        <vt:lpwstr/>
      </vt:variant>
      <vt:variant>
        <vt:lpwstr>_Toc346535820</vt:lpwstr>
      </vt:variant>
      <vt:variant>
        <vt:i4>1179710</vt:i4>
      </vt:variant>
      <vt:variant>
        <vt:i4>900</vt:i4>
      </vt:variant>
      <vt:variant>
        <vt:i4>0</vt:i4>
      </vt:variant>
      <vt:variant>
        <vt:i4>5</vt:i4>
      </vt:variant>
      <vt:variant>
        <vt:lpwstr/>
      </vt:variant>
      <vt:variant>
        <vt:lpwstr>_Toc346535819</vt:lpwstr>
      </vt:variant>
      <vt:variant>
        <vt:i4>1179710</vt:i4>
      </vt:variant>
      <vt:variant>
        <vt:i4>894</vt:i4>
      </vt:variant>
      <vt:variant>
        <vt:i4>0</vt:i4>
      </vt:variant>
      <vt:variant>
        <vt:i4>5</vt:i4>
      </vt:variant>
      <vt:variant>
        <vt:lpwstr/>
      </vt:variant>
      <vt:variant>
        <vt:lpwstr>_Toc346535818</vt:lpwstr>
      </vt:variant>
      <vt:variant>
        <vt:i4>1179710</vt:i4>
      </vt:variant>
      <vt:variant>
        <vt:i4>888</vt:i4>
      </vt:variant>
      <vt:variant>
        <vt:i4>0</vt:i4>
      </vt:variant>
      <vt:variant>
        <vt:i4>5</vt:i4>
      </vt:variant>
      <vt:variant>
        <vt:lpwstr/>
      </vt:variant>
      <vt:variant>
        <vt:lpwstr>_Toc346535817</vt:lpwstr>
      </vt:variant>
      <vt:variant>
        <vt:i4>1179710</vt:i4>
      </vt:variant>
      <vt:variant>
        <vt:i4>882</vt:i4>
      </vt:variant>
      <vt:variant>
        <vt:i4>0</vt:i4>
      </vt:variant>
      <vt:variant>
        <vt:i4>5</vt:i4>
      </vt:variant>
      <vt:variant>
        <vt:lpwstr/>
      </vt:variant>
      <vt:variant>
        <vt:lpwstr>_Toc346535816</vt:lpwstr>
      </vt:variant>
      <vt:variant>
        <vt:i4>1179710</vt:i4>
      </vt:variant>
      <vt:variant>
        <vt:i4>876</vt:i4>
      </vt:variant>
      <vt:variant>
        <vt:i4>0</vt:i4>
      </vt:variant>
      <vt:variant>
        <vt:i4>5</vt:i4>
      </vt:variant>
      <vt:variant>
        <vt:lpwstr/>
      </vt:variant>
      <vt:variant>
        <vt:lpwstr>_Toc346535815</vt:lpwstr>
      </vt:variant>
      <vt:variant>
        <vt:i4>1179710</vt:i4>
      </vt:variant>
      <vt:variant>
        <vt:i4>870</vt:i4>
      </vt:variant>
      <vt:variant>
        <vt:i4>0</vt:i4>
      </vt:variant>
      <vt:variant>
        <vt:i4>5</vt:i4>
      </vt:variant>
      <vt:variant>
        <vt:lpwstr/>
      </vt:variant>
      <vt:variant>
        <vt:lpwstr>_Toc346535814</vt:lpwstr>
      </vt:variant>
      <vt:variant>
        <vt:i4>1179710</vt:i4>
      </vt:variant>
      <vt:variant>
        <vt:i4>864</vt:i4>
      </vt:variant>
      <vt:variant>
        <vt:i4>0</vt:i4>
      </vt:variant>
      <vt:variant>
        <vt:i4>5</vt:i4>
      </vt:variant>
      <vt:variant>
        <vt:lpwstr/>
      </vt:variant>
      <vt:variant>
        <vt:lpwstr>_Toc346535813</vt:lpwstr>
      </vt:variant>
      <vt:variant>
        <vt:i4>1179710</vt:i4>
      </vt:variant>
      <vt:variant>
        <vt:i4>858</vt:i4>
      </vt:variant>
      <vt:variant>
        <vt:i4>0</vt:i4>
      </vt:variant>
      <vt:variant>
        <vt:i4>5</vt:i4>
      </vt:variant>
      <vt:variant>
        <vt:lpwstr/>
      </vt:variant>
      <vt:variant>
        <vt:lpwstr>_Toc346535812</vt:lpwstr>
      </vt:variant>
      <vt:variant>
        <vt:i4>1179710</vt:i4>
      </vt:variant>
      <vt:variant>
        <vt:i4>852</vt:i4>
      </vt:variant>
      <vt:variant>
        <vt:i4>0</vt:i4>
      </vt:variant>
      <vt:variant>
        <vt:i4>5</vt:i4>
      </vt:variant>
      <vt:variant>
        <vt:lpwstr/>
      </vt:variant>
      <vt:variant>
        <vt:lpwstr>_Toc346535811</vt:lpwstr>
      </vt:variant>
      <vt:variant>
        <vt:i4>1179710</vt:i4>
      </vt:variant>
      <vt:variant>
        <vt:i4>846</vt:i4>
      </vt:variant>
      <vt:variant>
        <vt:i4>0</vt:i4>
      </vt:variant>
      <vt:variant>
        <vt:i4>5</vt:i4>
      </vt:variant>
      <vt:variant>
        <vt:lpwstr/>
      </vt:variant>
      <vt:variant>
        <vt:lpwstr>_Toc346535810</vt:lpwstr>
      </vt:variant>
      <vt:variant>
        <vt:i4>1245246</vt:i4>
      </vt:variant>
      <vt:variant>
        <vt:i4>840</vt:i4>
      </vt:variant>
      <vt:variant>
        <vt:i4>0</vt:i4>
      </vt:variant>
      <vt:variant>
        <vt:i4>5</vt:i4>
      </vt:variant>
      <vt:variant>
        <vt:lpwstr/>
      </vt:variant>
      <vt:variant>
        <vt:lpwstr>_Toc346535809</vt:lpwstr>
      </vt:variant>
      <vt:variant>
        <vt:i4>1245246</vt:i4>
      </vt:variant>
      <vt:variant>
        <vt:i4>834</vt:i4>
      </vt:variant>
      <vt:variant>
        <vt:i4>0</vt:i4>
      </vt:variant>
      <vt:variant>
        <vt:i4>5</vt:i4>
      </vt:variant>
      <vt:variant>
        <vt:lpwstr/>
      </vt:variant>
      <vt:variant>
        <vt:lpwstr>_Toc346535808</vt:lpwstr>
      </vt:variant>
      <vt:variant>
        <vt:i4>1245246</vt:i4>
      </vt:variant>
      <vt:variant>
        <vt:i4>828</vt:i4>
      </vt:variant>
      <vt:variant>
        <vt:i4>0</vt:i4>
      </vt:variant>
      <vt:variant>
        <vt:i4>5</vt:i4>
      </vt:variant>
      <vt:variant>
        <vt:lpwstr/>
      </vt:variant>
      <vt:variant>
        <vt:lpwstr>_Toc346535807</vt:lpwstr>
      </vt:variant>
      <vt:variant>
        <vt:i4>1245246</vt:i4>
      </vt:variant>
      <vt:variant>
        <vt:i4>822</vt:i4>
      </vt:variant>
      <vt:variant>
        <vt:i4>0</vt:i4>
      </vt:variant>
      <vt:variant>
        <vt:i4>5</vt:i4>
      </vt:variant>
      <vt:variant>
        <vt:lpwstr/>
      </vt:variant>
      <vt:variant>
        <vt:lpwstr>_Toc346535806</vt:lpwstr>
      </vt:variant>
      <vt:variant>
        <vt:i4>1245246</vt:i4>
      </vt:variant>
      <vt:variant>
        <vt:i4>816</vt:i4>
      </vt:variant>
      <vt:variant>
        <vt:i4>0</vt:i4>
      </vt:variant>
      <vt:variant>
        <vt:i4>5</vt:i4>
      </vt:variant>
      <vt:variant>
        <vt:lpwstr/>
      </vt:variant>
      <vt:variant>
        <vt:lpwstr>_Toc346535805</vt:lpwstr>
      </vt:variant>
      <vt:variant>
        <vt:i4>1245246</vt:i4>
      </vt:variant>
      <vt:variant>
        <vt:i4>810</vt:i4>
      </vt:variant>
      <vt:variant>
        <vt:i4>0</vt:i4>
      </vt:variant>
      <vt:variant>
        <vt:i4>5</vt:i4>
      </vt:variant>
      <vt:variant>
        <vt:lpwstr/>
      </vt:variant>
      <vt:variant>
        <vt:lpwstr>_Toc346535804</vt:lpwstr>
      </vt:variant>
      <vt:variant>
        <vt:i4>1245246</vt:i4>
      </vt:variant>
      <vt:variant>
        <vt:i4>804</vt:i4>
      </vt:variant>
      <vt:variant>
        <vt:i4>0</vt:i4>
      </vt:variant>
      <vt:variant>
        <vt:i4>5</vt:i4>
      </vt:variant>
      <vt:variant>
        <vt:lpwstr/>
      </vt:variant>
      <vt:variant>
        <vt:lpwstr>_Toc346535803</vt:lpwstr>
      </vt:variant>
      <vt:variant>
        <vt:i4>1245246</vt:i4>
      </vt:variant>
      <vt:variant>
        <vt:i4>798</vt:i4>
      </vt:variant>
      <vt:variant>
        <vt:i4>0</vt:i4>
      </vt:variant>
      <vt:variant>
        <vt:i4>5</vt:i4>
      </vt:variant>
      <vt:variant>
        <vt:lpwstr/>
      </vt:variant>
      <vt:variant>
        <vt:lpwstr>_Toc346535802</vt:lpwstr>
      </vt:variant>
      <vt:variant>
        <vt:i4>1245246</vt:i4>
      </vt:variant>
      <vt:variant>
        <vt:i4>792</vt:i4>
      </vt:variant>
      <vt:variant>
        <vt:i4>0</vt:i4>
      </vt:variant>
      <vt:variant>
        <vt:i4>5</vt:i4>
      </vt:variant>
      <vt:variant>
        <vt:lpwstr/>
      </vt:variant>
      <vt:variant>
        <vt:lpwstr>_Toc346535801</vt:lpwstr>
      </vt:variant>
      <vt:variant>
        <vt:i4>1245246</vt:i4>
      </vt:variant>
      <vt:variant>
        <vt:i4>786</vt:i4>
      </vt:variant>
      <vt:variant>
        <vt:i4>0</vt:i4>
      </vt:variant>
      <vt:variant>
        <vt:i4>5</vt:i4>
      </vt:variant>
      <vt:variant>
        <vt:lpwstr/>
      </vt:variant>
      <vt:variant>
        <vt:lpwstr>_Toc346535800</vt:lpwstr>
      </vt:variant>
      <vt:variant>
        <vt:i4>1703985</vt:i4>
      </vt:variant>
      <vt:variant>
        <vt:i4>780</vt:i4>
      </vt:variant>
      <vt:variant>
        <vt:i4>0</vt:i4>
      </vt:variant>
      <vt:variant>
        <vt:i4>5</vt:i4>
      </vt:variant>
      <vt:variant>
        <vt:lpwstr/>
      </vt:variant>
      <vt:variant>
        <vt:lpwstr>_Toc346535799</vt:lpwstr>
      </vt:variant>
      <vt:variant>
        <vt:i4>1703985</vt:i4>
      </vt:variant>
      <vt:variant>
        <vt:i4>774</vt:i4>
      </vt:variant>
      <vt:variant>
        <vt:i4>0</vt:i4>
      </vt:variant>
      <vt:variant>
        <vt:i4>5</vt:i4>
      </vt:variant>
      <vt:variant>
        <vt:lpwstr/>
      </vt:variant>
      <vt:variant>
        <vt:lpwstr>_Toc346535798</vt:lpwstr>
      </vt:variant>
      <vt:variant>
        <vt:i4>1703985</vt:i4>
      </vt:variant>
      <vt:variant>
        <vt:i4>768</vt:i4>
      </vt:variant>
      <vt:variant>
        <vt:i4>0</vt:i4>
      </vt:variant>
      <vt:variant>
        <vt:i4>5</vt:i4>
      </vt:variant>
      <vt:variant>
        <vt:lpwstr/>
      </vt:variant>
      <vt:variant>
        <vt:lpwstr>_Toc346535797</vt:lpwstr>
      </vt:variant>
      <vt:variant>
        <vt:i4>1703985</vt:i4>
      </vt:variant>
      <vt:variant>
        <vt:i4>762</vt:i4>
      </vt:variant>
      <vt:variant>
        <vt:i4>0</vt:i4>
      </vt:variant>
      <vt:variant>
        <vt:i4>5</vt:i4>
      </vt:variant>
      <vt:variant>
        <vt:lpwstr/>
      </vt:variant>
      <vt:variant>
        <vt:lpwstr>_Toc346535796</vt:lpwstr>
      </vt:variant>
      <vt:variant>
        <vt:i4>1703985</vt:i4>
      </vt:variant>
      <vt:variant>
        <vt:i4>756</vt:i4>
      </vt:variant>
      <vt:variant>
        <vt:i4>0</vt:i4>
      </vt:variant>
      <vt:variant>
        <vt:i4>5</vt:i4>
      </vt:variant>
      <vt:variant>
        <vt:lpwstr/>
      </vt:variant>
      <vt:variant>
        <vt:lpwstr>_Toc346535795</vt:lpwstr>
      </vt:variant>
      <vt:variant>
        <vt:i4>1703985</vt:i4>
      </vt:variant>
      <vt:variant>
        <vt:i4>750</vt:i4>
      </vt:variant>
      <vt:variant>
        <vt:i4>0</vt:i4>
      </vt:variant>
      <vt:variant>
        <vt:i4>5</vt:i4>
      </vt:variant>
      <vt:variant>
        <vt:lpwstr/>
      </vt:variant>
      <vt:variant>
        <vt:lpwstr>_Toc346535794</vt:lpwstr>
      </vt:variant>
      <vt:variant>
        <vt:i4>1703985</vt:i4>
      </vt:variant>
      <vt:variant>
        <vt:i4>744</vt:i4>
      </vt:variant>
      <vt:variant>
        <vt:i4>0</vt:i4>
      </vt:variant>
      <vt:variant>
        <vt:i4>5</vt:i4>
      </vt:variant>
      <vt:variant>
        <vt:lpwstr/>
      </vt:variant>
      <vt:variant>
        <vt:lpwstr>_Toc346535793</vt:lpwstr>
      </vt:variant>
      <vt:variant>
        <vt:i4>1703985</vt:i4>
      </vt:variant>
      <vt:variant>
        <vt:i4>738</vt:i4>
      </vt:variant>
      <vt:variant>
        <vt:i4>0</vt:i4>
      </vt:variant>
      <vt:variant>
        <vt:i4>5</vt:i4>
      </vt:variant>
      <vt:variant>
        <vt:lpwstr/>
      </vt:variant>
      <vt:variant>
        <vt:lpwstr>_Toc346535792</vt:lpwstr>
      </vt:variant>
      <vt:variant>
        <vt:i4>1703985</vt:i4>
      </vt:variant>
      <vt:variant>
        <vt:i4>732</vt:i4>
      </vt:variant>
      <vt:variant>
        <vt:i4>0</vt:i4>
      </vt:variant>
      <vt:variant>
        <vt:i4>5</vt:i4>
      </vt:variant>
      <vt:variant>
        <vt:lpwstr/>
      </vt:variant>
      <vt:variant>
        <vt:lpwstr>_Toc346535791</vt:lpwstr>
      </vt:variant>
      <vt:variant>
        <vt:i4>1703985</vt:i4>
      </vt:variant>
      <vt:variant>
        <vt:i4>726</vt:i4>
      </vt:variant>
      <vt:variant>
        <vt:i4>0</vt:i4>
      </vt:variant>
      <vt:variant>
        <vt:i4>5</vt:i4>
      </vt:variant>
      <vt:variant>
        <vt:lpwstr/>
      </vt:variant>
      <vt:variant>
        <vt:lpwstr>_Toc346535790</vt:lpwstr>
      </vt:variant>
      <vt:variant>
        <vt:i4>1769521</vt:i4>
      </vt:variant>
      <vt:variant>
        <vt:i4>720</vt:i4>
      </vt:variant>
      <vt:variant>
        <vt:i4>0</vt:i4>
      </vt:variant>
      <vt:variant>
        <vt:i4>5</vt:i4>
      </vt:variant>
      <vt:variant>
        <vt:lpwstr/>
      </vt:variant>
      <vt:variant>
        <vt:lpwstr>_Toc346535789</vt:lpwstr>
      </vt:variant>
      <vt:variant>
        <vt:i4>1769521</vt:i4>
      </vt:variant>
      <vt:variant>
        <vt:i4>714</vt:i4>
      </vt:variant>
      <vt:variant>
        <vt:i4>0</vt:i4>
      </vt:variant>
      <vt:variant>
        <vt:i4>5</vt:i4>
      </vt:variant>
      <vt:variant>
        <vt:lpwstr/>
      </vt:variant>
      <vt:variant>
        <vt:lpwstr>_Toc346535788</vt:lpwstr>
      </vt:variant>
      <vt:variant>
        <vt:i4>1769521</vt:i4>
      </vt:variant>
      <vt:variant>
        <vt:i4>708</vt:i4>
      </vt:variant>
      <vt:variant>
        <vt:i4>0</vt:i4>
      </vt:variant>
      <vt:variant>
        <vt:i4>5</vt:i4>
      </vt:variant>
      <vt:variant>
        <vt:lpwstr/>
      </vt:variant>
      <vt:variant>
        <vt:lpwstr>_Toc346535787</vt:lpwstr>
      </vt:variant>
      <vt:variant>
        <vt:i4>1769521</vt:i4>
      </vt:variant>
      <vt:variant>
        <vt:i4>702</vt:i4>
      </vt:variant>
      <vt:variant>
        <vt:i4>0</vt:i4>
      </vt:variant>
      <vt:variant>
        <vt:i4>5</vt:i4>
      </vt:variant>
      <vt:variant>
        <vt:lpwstr/>
      </vt:variant>
      <vt:variant>
        <vt:lpwstr>_Toc346535786</vt:lpwstr>
      </vt:variant>
      <vt:variant>
        <vt:i4>1769521</vt:i4>
      </vt:variant>
      <vt:variant>
        <vt:i4>696</vt:i4>
      </vt:variant>
      <vt:variant>
        <vt:i4>0</vt:i4>
      </vt:variant>
      <vt:variant>
        <vt:i4>5</vt:i4>
      </vt:variant>
      <vt:variant>
        <vt:lpwstr/>
      </vt:variant>
      <vt:variant>
        <vt:lpwstr>_Toc346535785</vt:lpwstr>
      </vt:variant>
      <vt:variant>
        <vt:i4>1769521</vt:i4>
      </vt:variant>
      <vt:variant>
        <vt:i4>690</vt:i4>
      </vt:variant>
      <vt:variant>
        <vt:i4>0</vt:i4>
      </vt:variant>
      <vt:variant>
        <vt:i4>5</vt:i4>
      </vt:variant>
      <vt:variant>
        <vt:lpwstr/>
      </vt:variant>
      <vt:variant>
        <vt:lpwstr>_Toc346535784</vt:lpwstr>
      </vt:variant>
      <vt:variant>
        <vt:i4>1769521</vt:i4>
      </vt:variant>
      <vt:variant>
        <vt:i4>684</vt:i4>
      </vt:variant>
      <vt:variant>
        <vt:i4>0</vt:i4>
      </vt:variant>
      <vt:variant>
        <vt:i4>5</vt:i4>
      </vt:variant>
      <vt:variant>
        <vt:lpwstr/>
      </vt:variant>
      <vt:variant>
        <vt:lpwstr>_Toc346535783</vt:lpwstr>
      </vt:variant>
      <vt:variant>
        <vt:i4>1769521</vt:i4>
      </vt:variant>
      <vt:variant>
        <vt:i4>678</vt:i4>
      </vt:variant>
      <vt:variant>
        <vt:i4>0</vt:i4>
      </vt:variant>
      <vt:variant>
        <vt:i4>5</vt:i4>
      </vt:variant>
      <vt:variant>
        <vt:lpwstr/>
      </vt:variant>
      <vt:variant>
        <vt:lpwstr>_Toc346535782</vt:lpwstr>
      </vt:variant>
      <vt:variant>
        <vt:i4>1769521</vt:i4>
      </vt:variant>
      <vt:variant>
        <vt:i4>672</vt:i4>
      </vt:variant>
      <vt:variant>
        <vt:i4>0</vt:i4>
      </vt:variant>
      <vt:variant>
        <vt:i4>5</vt:i4>
      </vt:variant>
      <vt:variant>
        <vt:lpwstr/>
      </vt:variant>
      <vt:variant>
        <vt:lpwstr>_Toc346535781</vt:lpwstr>
      </vt:variant>
      <vt:variant>
        <vt:i4>1769521</vt:i4>
      </vt:variant>
      <vt:variant>
        <vt:i4>666</vt:i4>
      </vt:variant>
      <vt:variant>
        <vt:i4>0</vt:i4>
      </vt:variant>
      <vt:variant>
        <vt:i4>5</vt:i4>
      </vt:variant>
      <vt:variant>
        <vt:lpwstr/>
      </vt:variant>
      <vt:variant>
        <vt:lpwstr>_Toc346535780</vt:lpwstr>
      </vt:variant>
      <vt:variant>
        <vt:i4>1310769</vt:i4>
      </vt:variant>
      <vt:variant>
        <vt:i4>660</vt:i4>
      </vt:variant>
      <vt:variant>
        <vt:i4>0</vt:i4>
      </vt:variant>
      <vt:variant>
        <vt:i4>5</vt:i4>
      </vt:variant>
      <vt:variant>
        <vt:lpwstr/>
      </vt:variant>
      <vt:variant>
        <vt:lpwstr>_Toc346535779</vt:lpwstr>
      </vt:variant>
      <vt:variant>
        <vt:i4>1310769</vt:i4>
      </vt:variant>
      <vt:variant>
        <vt:i4>654</vt:i4>
      </vt:variant>
      <vt:variant>
        <vt:i4>0</vt:i4>
      </vt:variant>
      <vt:variant>
        <vt:i4>5</vt:i4>
      </vt:variant>
      <vt:variant>
        <vt:lpwstr/>
      </vt:variant>
      <vt:variant>
        <vt:lpwstr>_Toc346535778</vt:lpwstr>
      </vt:variant>
      <vt:variant>
        <vt:i4>1310769</vt:i4>
      </vt:variant>
      <vt:variant>
        <vt:i4>648</vt:i4>
      </vt:variant>
      <vt:variant>
        <vt:i4>0</vt:i4>
      </vt:variant>
      <vt:variant>
        <vt:i4>5</vt:i4>
      </vt:variant>
      <vt:variant>
        <vt:lpwstr/>
      </vt:variant>
      <vt:variant>
        <vt:lpwstr>_Toc346535777</vt:lpwstr>
      </vt:variant>
      <vt:variant>
        <vt:i4>1310769</vt:i4>
      </vt:variant>
      <vt:variant>
        <vt:i4>642</vt:i4>
      </vt:variant>
      <vt:variant>
        <vt:i4>0</vt:i4>
      </vt:variant>
      <vt:variant>
        <vt:i4>5</vt:i4>
      </vt:variant>
      <vt:variant>
        <vt:lpwstr/>
      </vt:variant>
      <vt:variant>
        <vt:lpwstr>_Toc346535776</vt:lpwstr>
      </vt:variant>
      <vt:variant>
        <vt:i4>1310769</vt:i4>
      </vt:variant>
      <vt:variant>
        <vt:i4>636</vt:i4>
      </vt:variant>
      <vt:variant>
        <vt:i4>0</vt:i4>
      </vt:variant>
      <vt:variant>
        <vt:i4>5</vt:i4>
      </vt:variant>
      <vt:variant>
        <vt:lpwstr/>
      </vt:variant>
      <vt:variant>
        <vt:lpwstr>_Toc346535775</vt:lpwstr>
      </vt:variant>
      <vt:variant>
        <vt:i4>1310769</vt:i4>
      </vt:variant>
      <vt:variant>
        <vt:i4>630</vt:i4>
      </vt:variant>
      <vt:variant>
        <vt:i4>0</vt:i4>
      </vt:variant>
      <vt:variant>
        <vt:i4>5</vt:i4>
      </vt:variant>
      <vt:variant>
        <vt:lpwstr/>
      </vt:variant>
      <vt:variant>
        <vt:lpwstr>_Toc346535774</vt:lpwstr>
      </vt:variant>
      <vt:variant>
        <vt:i4>1310769</vt:i4>
      </vt:variant>
      <vt:variant>
        <vt:i4>624</vt:i4>
      </vt:variant>
      <vt:variant>
        <vt:i4>0</vt:i4>
      </vt:variant>
      <vt:variant>
        <vt:i4>5</vt:i4>
      </vt:variant>
      <vt:variant>
        <vt:lpwstr/>
      </vt:variant>
      <vt:variant>
        <vt:lpwstr>_Toc346535773</vt:lpwstr>
      </vt:variant>
      <vt:variant>
        <vt:i4>1310769</vt:i4>
      </vt:variant>
      <vt:variant>
        <vt:i4>618</vt:i4>
      </vt:variant>
      <vt:variant>
        <vt:i4>0</vt:i4>
      </vt:variant>
      <vt:variant>
        <vt:i4>5</vt:i4>
      </vt:variant>
      <vt:variant>
        <vt:lpwstr/>
      </vt:variant>
      <vt:variant>
        <vt:lpwstr>_Toc346535772</vt:lpwstr>
      </vt:variant>
      <vt:variant>
        <vt:i4>1310769</vt:i4>
      </vt:variant>
      <vt:variant>
        <vt:i4>612</vt:i4>
      </vt:variant>
      <vt:variant>
        <vt:i4>0</vt:i4>
      </vt:variant>
      <vt:variant>
        <vt:i4>5</vt:i4>
      </vt:variant>
      <vt:variant>
        <vt:lpwstr/>
      </vt:variant>
      <vt:variant>
        <vt:lpwstr>_Toc346535771</vt:lpwstr>
      </vt:variant>
      <vt:variant>
        <vt:i4>1310769</vt:i4>
      </vt:variant>
      <vt:variant>
        <vt:i4>606</vt:i4>
      </vt:variant>
      <vt:variant>
        <vt:i4>0</vt:i4>
      </vt:variant>
      <vt:variant>
        <vt:i4>5</vt:i4>
      </vt:variant>
      <vt:variant>
        <vt:lpwstr/>
      </vt:variant>
      <vt:variant>
        <vt:lpwstr>_Toc346535770</vt:lpwstr>
      </vt:variant>
      <vt:variant>
        <vt:i4>1376305</vt:i4>
      </vt:variant>
      <vt:variant>
        <vt:i4>600</vt:i4>
      </vt:variant>
      <vt:variant>
        <vt:i4>0</vt:i4>
      </vt:variant>
      <vt:variant>
        <vt:i4>5</vt:i4>
      </vt:variant>
      <vt:variant>
        <vt:lpwstr/>
      </vt:variant>
      <vt:variant>
        <vt:lpwstr>_Toc346535769</vt:lpwstr>
      </vt:variant>
      <vt:variant>
        <vt:i4>1376305</vt:i4>
      </vt:variant>
      <vt:variant>
        <vt:i4>594</vt:i4>
      </vt:variant>
      <vt:variant>
        <vt:i4>0</vt:i4>
      </vt:variant>
      <vt:variant>
        <vt:i4>5</vt:i4>
      </vt:variant>
      <vt:variant>
        <vt:lpwstr/>
      </vt:variant>
      <vt:variant>
        <vt:lpwstr>_Toc346535768</vt:lpwstr>
      </vt:variant>
      <vt:variant>
        <vt:i4>1376305</vt:i4>
      </vt:variant>
      <vt:variant>
        <vt:i4>588</vt:i4>
      </vt:variant>
      <vt:variant>
        <vt:i4>0</vt:i4>
      </vt:variant>
      <vt:variant>
        <vt:i4>5</vt:i4>
      </vt:variant>
      <vt:variant>
        <vt:lpwstr/>
      </vt:variant>
      <vt:variant>
        <vt:lpwstr>_Toc346535767</vt:lpwstr>
      </vt:variant>
      <vt:variant>
        <vt:i4>1376305</vt:i4>
      </vt:variant>
      <vt:variant>
        <vt:i4>582</vt:i4>
      </vt:variant>
      <vt:variant>
        <vt:i4>0</vt:i4>
      </vt:variant>
      <vt:variant>
        <vt:i4>5</vt:i4>
      </vt:variant>
      <vt:variant>
        <vt:lpwstr/>
      </vt:variant>
      <vt:variant>
        <vt:lpwstr>_Toc346535766</vt:lpwstr>
      </vt:variant>
      <vt:variant>
        <vt:i4>1376305</vt:i4>
      </vt:variant>
      <vt:variant>
        <vt:i4>576</vt:i4>
      </vt:variant>
      <vt:variant>
        <vt:i4>0</vt:i4>
      </vt:variant>
      <vt:variant>
        <vt:i4>5</vt:i4>
      </vt:variant>
      <vt:variant>
        <vt:lpwstr/>
      </vt:variant>
      <vt:variant>
        <vt:lpwstr>_Toc346535765</vt:lpwstr>
      </vt:variant>
      <vt:variant>
        <vt:i4>1376305</vt:i4>
      </vt:variant>
      <vt:variant>
        <vt:i4>570</vt:i4>
      </vt:variant>
      <vt:variant>
        <vt:i4>0</vt:i4>
      </vt:variant>
      <vt:variant>
        <vt:i4>5</vt:i4>
      </vt:variant>
      <vt:variant>
        <vt:lpwstr/>
      </vt:variant>
      <vt:variant>
        <vt:lpwstr>_Toc346535764</vt:lpwstr>
      </vt:variant>
      <vt:variant>
        <vt:i4>1376305</vt:i4>
      </vt:variant>
      <vt:variant>
        <vt:i4>564</vt:i4>
      </vt:variant>
      <vt:variant>
        <vt:i4>0</vt:i4>
      </vt:variant>
      <vt:variant>
        <vt:i4>5</vt:i4>
      </vt:variant>
      <vt:variant>
        <vt:lpwstr/>
      </vt:variant>
      <vt:variant>
        <vt:lpwstr>_Toc346535763</vt:lpwstr>
      </vt:variant>
      <vt:variant>
        <vt:i4>1376305</vt:i4>
      </vt:variant>
      <vt:variant>
        <vt:i4>558</vt:i4>
      </vt:variant>
      <vt:variant>
        <vt:i4>0</vt:i4>
      </vt:variant>
      <vt:variant>
        <vt:i4>5</vt:i4>
      </vt:variant>
      <vt:variant>
        <vt:lpwstr/>
      </vt:variant>
      <vt:variant>
        <vt:lpwstr>_Toc346535762</vt:lpwstr>
      </vt:variant>
      <vt:variant>
        <vt:i4>1376305</vt:i4>
      </vt:variant>
      <vt:variant>
        <vt:i4>552</vt:i4>
      </vt:variant>
      <vt:variant>
        <vt:i4>0</vt:i4>
      </vt:variant>
      <vt:variant>
        <vt:i4>5</vt:i4>
      </vt:variant>
      <vt:variant>
        <vt:lpwstr/>
      </vt:variant>
      <vt:variant>
        <vt:lpwstr>_Toc346535761</vt:lpwstr>
      </vt:variant>
      <vt:variant>
        <vt:i4>1376305</vt:i4>
      </vt:variant>
      <vt:variant>
        <vt:i4>546</vt:i4>
      </vt:variant>
      <vt:variant>
        <vt:i4>0</vt:i4>
      </vt:variant>
      <vt:variant>
        <vt:i4>5</vt:i4>
      </vt:variant>
      <vt:variant>
        <vt:lpwstr/>
      </vt:variant>
      <vt:variant>
        <vt:lpwstr>_Toc346535760</vt:lpwstr>
      </vt:variant>
      <vt:variant>
        <vt:i4>1441841</vt:i4>
      </vt:variant>
      <vt:variant>
        <vt:i4>540</vt:i4>
      </vt:variant>
      <vt:variant>
        <vt:i4>0</vt:i4>
      </vt:variant>
      <vt:variant>
        <vt:i4>5</vt:i4>
      </vt:variant>
      <vt:variant>
        <vt:lpwstr/>
      </vt:variant>
      <vt:variant>
        <vt:lpwstr>_Toc346535759</vt:lpwstr>
      </vt:variant>
      <vt:variant>
        <vt:i4>1441841</vt:i4>
      </vt:variant>
      <vt:variant>
        <vt:i4>534</vt:i4>
      </vt:variant>
      <vt:variant>
        <vt:i4>0</vt:i4>
      </vt:variant>
      <vt:variant>
        <vt:i4>5</vt:i4>
      </vt:variant>
      <vt:variant>
        <vt:lpwstr/>
      </vt:variant>
      <vt:variant>
        <vt:lpwstr>_Toc346535758</vt:lpwstr>
      </vt:variant>
      <vt:variant>
        <vt:i4>1441841</vt:i4>
      </vt:variant>
      <vt:variant>
        <vt:i4>528</vt:i4>
      </vt:variant>
      <vt:variant>
        <vt:i4>0</vt:i4>
      </vt:variant>
      <vt:variant>
        <vt:i4>5</vt:i4>
      </vt:variant>
      <vt:variant>
        <vt:lpwstr/>
      </vt:variant>
      <vt:variant>
        <vt:lpwstr>_Toc346535757</vt:lpwstr>
      </vt:variant>
      <vt:variant>
        <vt:i4>1441841</vt:i4>
      </vt:variant>
      <vt:variant>
        <vt:i4>522</vt:i4>
      </vt:variant>
      <vt:variant>
        <vt:i4>0</vt:i4>
      </vt:variant>
      <vt:variant>
        <vt:i4>5</vt:i4>
      </vt:variant>
      <vt:variant>
        <vt:lpwstr/>
      </vt:variant>
      <vt:variant>
        <vt:lpwstr>_Toc346535756</vt:lpwstr>
      </vt:variant>
      <vt:variant>
        <vt:i4>1441841</vt:i4>
      </vt:variant>
      <vt:variant>
        <vt:i4>516</vt:i4>
      </vt:variant>
      <vt:variant>
        <vt:i4>0</vt:i4>
      </vt:variant>
      <vt:variant>
        <vt:i4>5</vt:i4>
      </vt:variant>
      <vt:variant>
        <vt:lpwstr/>
      </vt:variant>
      <vt:variant>
        <vt:lpwstr>_Toc346535755</vt:lpwstr>
      </vt:variant>
      <vt:variant>
        <vt:i4>1441841</vt:i4>
      </vt:variant>
      <vt:variant>
        <vt:i4>510</vt:i4>
      </vt:variant>
      <vt:variant>
        <vt:i4>0</vt:i4>
      </vt:variant>
      <vt:variant>
        <vt:i4>5</vt:i4>
      </vt:variant>
      <vt:variant>
        <vt:lpwstr/>
      </vt:variant>
      <vt:variant>
        <vt:lpwstr>_Toc346535754</vt:lpwstr>
      </vt:variant>
      <vt:variant>
        <vt:i4>1441841</vt:i4>
      </vt:variant>
      <vt:variant>
        <vt:i4>504</vt:i4>
      </vt:variant>
      <vt:variant>
        <vt:i4>0</vt:i4>
      </vt:variant>
      <vt:variant>
        <vt:i4>5</vt:i4>
      </vt:variant>
      <vt:variant>
        <vt:lpwstr/>
      </vt:variant>
      <vt:variant>
        <vt:lpwstr>_Toc346535753</vt:lpwstr>
      </vt:variant>
      <vt:variant>
        <vt:i4>1441841</vt:i4>
      </vt:variant>
      <vt:variant>
        <vt:i4>498</vt:i4>
      </vt:variant>
      <vt:variant>
        <vt:i4>0</vt:i4>
      </vt:variant>
      <vt:variant>
        <vt:i4>5</vt:i4>
      </vt:variant>
      <vt:variant>
        <vt:lpwstr/>
      </vt:variant>
      <vt:variant>
        <vt:lpwstr>_Toc346535752</vt:lpwstr>
      </vt:variant>
      <vt:variant>
        <vt:i4>1441841</vt:i4>
      </vt:variant>
      <vt:variant>
        <vt:i4>492</vt:i4>
      </vt:variant>
      <vt:variant>
        <vt:i4>0</vt:i4>
      </vt:variant>
      <vt:variant>
        <vt:i4>5</vt:i4>
      </vt:variant>
      <vt:variant>
        <vt:lpwstr/>
      </vt:variant>
      <vt:variant>
        <vt:lpwstr>_Toc346535751</vt:lpwstr>
      </vt:variant>
      <vt:variant>
        <vt:i4>1441841</vt:i4>
      </vt:variant>
      <vt:variant>
        <vt:i4>486</vt:i4>
      </vt:variant>
      <vt:variant>
        <vt:i4>0</vt:i4>
      </vt:variant>
      <vt:variant>
        <vt:i4>5</vt:i4>
      </vt:variant>
      <vt:variant>
        <vt:lpwstr/>
      </vt:variant>
      <vt:variant>
        <vt:lpwstr>_Toc346535750</vt:lpwstr>
      </vt:variant>
      <vt:variant>
        <vt:i4>1507377</vt:i4>
      </vt:variant>
      <vt:variant>
        <vt:i4>480</vt:i4>
      </vt:variant>
      <vt:variant>
        <vt:i4>0</vt:i4>
      </vt:variant>
      <vt:variant>
        <vt:i4>5</vt:i4>
      </vt:variant>
      <vt:variant>
        <vt:lpwstr/>
      </vt:variant>
      <vt:variant>
        <vt:lpwstr>_Toc346535749</vt:lpwstr>
      </vt:variant>
      <vt:variant>
        <vt:i4>1507377</vt:i4>
      </vt:variant>
      <vt:variant>
        <vt:i4>474</vt:i4>
      </vt:variant>
      <vt:variant>
        <vt:i4>0</vt:i4>
      </vt:variant>
      <vt:variant>
        <vt:i4>5</vt:i4>
      </vt:variant>
      <vt:variant>
        <vt:lpwstr/>
      </vt:variant>
      <vt:variant>
        <vt:lpwstr>_Toc346535748</vt:lpwstr>
      </vt:variant>
      <vt:variant>
        <vt:i4>1507377</vt:i4>
      </vt:variant>
      <vt:variant>
        <vt:i4>468</vt:i4>
      </vt:variant>
      <vt:variant>
        <vt:i4>0</vt:i4>
      </vt:variant>
      <vt:variant>
        <vt:i4>5</vt:i4>
      </vt:variant>
      <vt:variant>
        <vt:lpwstr/>
      </vt:variant>
      <vt:variant>
        <vt:lpwstr>_Toc346535747</vt:lpwstr>
      </vt:variant>
      <vt:variant>
        <vt:i4>1507377</vt:i4>
      </vt:variant>
      <vt:variant>
        <vt:i4>462</vt:i4>
      </vt:variant>
      <vt:variant>
        <vt:i4>0</vt:i4>
      </vt:variant>
      <vt:variant>
        <vt:i4>5</vt:i4>
      </vt:variant>
      <vt:variant>
        <vt:lpwstr/>
      </vt:variant>
      <vt:variant>
        <vt:lpwstr>_Toc346535746</vt:lpwstr>
      </vt:variant>
      <vt:variant>
        <vt:i4>1507377</vt:i4>
      </vt:variant>
      <vt:variant>
        <vt:i4>456</vt:i4>
      </vt:variant>
      <vt:variant>
        <vt:i4>0</vt:i4>
      </vt:variant>
      <vt:variant>
        <vt:i4>5</vt:i4>
      </vt:variant>
      <vt:variant>
        <vt:lpwstr/>
      </vt:variant>
      <vt:variant>
        <vt:lpwstr>_Toc346535745</vt:lpwstr>
      </vt:variant>
      <vt:variant>
        <vt:i4>1507377</vt:i4>
      </vt:variant>
      <vt:variant>
        <vt:i4>450</vt:i4>
      </vt:variant>
      <vt:variant>
        <vt:i4>0</vt:i4>
      </vt:variant>
      <vt:variant>
        <vt:i4>5</vt:i4>
      </vt:variant>
      <vt:variant>
        <vt:lpwstr/>
      </vt:variant>
      <vt:variant>
        <vt:lpwstr>_Toc346535744</vt:lpwstr>
      </vt:variant>
      <vt:variant>
        <vt:i4>1507377</vt:i4>
      </vt:variant>
      <vt:variant>
        <vt:i4>444</vt:i4>
      </vt:variant>
      <vt:variant>
        <vt:i4>0</vt:i4>
      </vt:variant>
      <vt:variant>
        <vt:i4>5</vt:i4>
      </vt:variant>
      <vt:variant>
        <vt:lpwstr/>
      </vt:variant>
      <vt:variant>
        <vt:lpwstr>_Toc346535743</vt:lpwstr>
      </vt:variant>
      <vt:variant>
        <vt:i4>1507377</vt:i4>
      </vt:variant>
      <vt:variant>
        <vt:i4>438</vt:i4>
      </vt:variant>
      <vt:variant>
        <vt:i4>0</vt:i4>
      </vt:variant>
      <vt:variant>
        <vt:i4>5</vt:i4>
      </vt:variant>
      <vt:variant>
        <vt:lpwstr/>
      </vt:variant>
      <vt:variant>
        <vt:lpwstr>_Toc346535742</vt:lpwstr>
      </vt:variant>
      <vt:variant>
        <vt:i4>1507377</vt:i4>
      </vt:variant>
      <vt:variant>
        <vt:i4>432</vt:i4>
      </vt:variant>
      <vt:variant>
        <vt:i4>0</vt:i4>
      </vt:variant>
      <vt:variant>
        <vt:i4>5</vt:i4>
      </vt:variant>
      <vt:variant>
        <vt:lpwstr/>
      </vt:variant>
      <vt:variant>
        <vt:lpwstr>_Toc346535741</vt:lpwstr>
      </vt:variant>
      <vt:variant>
        <vt:i4>1507377</vt:i4>
      </vt:variant>
      <vt:variant>
        <vt:i4>426</vt:i4>
      </vt:variant>
      <vt:variant>
        <vt:i4>0</vt:i4>
      </vt:variant>
      <vt:variant>
        <vt:i4>5</vt:i4>
      </vt:variant>
      <vt:variant>
        <vt:lpwstr/>
      </vt:variant>
      <vt:variant>
        <vt:lpwstr>_Toc346535740</vt:lpwstr>
      </vt:variant>
      <vt:variant>
        <vt:i4>1048625</vt:i4>
      </vt:variant>
      <vt:variant>
        <vt:i4>420</vt:i4>
      </vt:variant>
      <vt:variant>
        <vt:i4>0</vt:i4>
      </vt:variant>
      <vt:variant>
        <vt:i4>5</vt:i4>
      </vt:variant>
      <vt:variant>
        <vt:lpwstr/>
      </vt:variant>
      <vt:variant>
        <vt:lpwstr>_Toc346535739</vt:lpwstr>
      </vt:variant>
      <vt:variant>
        <vt:i4>1048625</vt:i4>
      </vt:variant>
      <vt:variant>
        <vt:i4>414</vt:i4>
      </vt:variant>
      <vt:variant>
        <vt:i4>0</vt:i4>
      </vt:variant>
      <vt:variant>
        <vt:i4>5</vt:i4>
      </vt:variant>
      <vt:variant>
        <vt:lpwstr/>
      </vt:variant>
      <vt:variant>
        <vt:lpwstr>_Toc346535738</vt:lpwstr>
      </vt:variant>
      <vt:variant>
        <vt:i4>1048625</vt:i4>
      </vt:variant>
      <vt:variant>
        <vt:i4>408</vt:i4>
      </vt:variant>
      <vt:variant>
        <vt:i4>0</vt:i4>
      </vt:variant>
      <vt:variant>
        <vt:i4>5</vt:i4>
      </vt:variant>
      <vt:variant>
        <vt:lpwstr/>
      </vt:variant>
      <vt:variant>
        <vt:lpwstr>_Toc346535737</vt:lpwstr>
      </vt:variant>
      <vt:variant>
        <vt:i4>1048625</vt:i4>
      </vt:variant>
      <vt:variant>
        <vt:i4>402</vt:i4>
      </vt:variant>
      <vt:variant>
        <vt:i4>0</vt:i4>
      </vt:variant>
      <vt:variant>
        <vt:i4>5</vt:i4>
      </vt:variant>
      <vt:variant>
        <vt:lpwstr/>
      </vt:variant>
      <vt:variant>
        <vt:lpwstr>_Toc346535736</vt:lpwstr>
      </vt:variant>
      <vt:variant>
        <vt:i4>1048625</vt:i4>
      </vt:variant>
      <vt:variant>
        <vt:i4>396</vt:i4>
      </vt:variant>
      <vt:variant>
        <vt:i4>0</vt:i4>
      </vt:variant>
      <vt:variant>
        <vt:i4>5</vt:i4>
      </vt:variant>
      <vt:variant>
        <vt:lpwstr/>
      </vt:variant>
      <vt:variant>
        <vt:lpwstr>_Toc346535735</vt:lpwstr>
      </vt:variant>
      <vt:variant>
        <vt:i4>1048625</vt:i4>
      </vt:variant>
      <vt:variant>
        <vt:i4>390</vt:i4>
      </vt:variant>
      <vt:variant>
        <vt:i4>0</vt:i4>
      </vt:variant>
      <vt:variant>
        <vt:i4>5</vt:i4>
      </vt:variant>
      <vt:variant>
        <vt:lpwstr/>
      </vt:variant>
      <vt:variant>
        <vt:lpwstr>_Toc346535734</vt:lpwstr>
      </vt:variant>
      <vt:variant>
        <vt:i4>1048625</vt:i4>
      </vt:variant>
      <vt:variant>
        <vt:i4>384</vt:i4>
      </vt:variant>
      <vt:variant>
        <vt:i4>0</vt:i4>
      </vt:variant>
      <vt:variant>
        <vt:i4>5</vt:i4>
      </vt:variant>
      <vt:variant>
        <vt:lpwstr/>
      </vt:variant>
      <vt:variant>
        <vt:lpwstr>_Toc346535733</vt:lpwstr>
      </vt:variant>
      <vt:variant>
        <vt:i4>1048625</vt:i4>
      </vt:variant>
      <vt:variant>
        <vt:i4>378</vt:i4>
      </vt:variant>
      <vt:variant>
        <vt:i4>0</vt:i4>
      </vt:variant>
      <vt:variant>
        <vt:i4>5</vt:i4>
      </vt:variant>
      <vt:variant>
        <vt:lpwstr/>
      </vt:variant>
      <vt:variant>
        <vt:lpwstr>_Toc346535732</vt:lpwstr>
      </vt:variant>
      <vt:variant>
        <vt:i4>1048625</vt:i4>
      </vt:variant>
      <vt:variant>
        <vt:i4>372</vt:i4>
      </vt:variant>
      <vt:variant>
        <vt:i4>0</vt:i4>
      </vt:variant>
      <vt:variant>
        <vt:i4>5</vt:i4>
      </vt:variant>
      <vt:variant>
        <vt:lpwstr/>
      </vt:variant>
      <vt:variant>
        <vt:lpwstr>_Toc346535731</vt:lpwstr>
      </vt:variant>
      <vt:variant>
        <vt:i4>1048625</vt:i4>
      </vt:variant>
      <vt:variant>
        <vt:i4>366</vt:i4>
      </vt:variant>
      <vt:variant>
        <vt:i4>0</vt:i4>
      </vt:variant>
      <vt:variant>
        <vt:i4>5</vt:i4>
      </vt:variant>
      <vt:variant>
        <vt:lpwstr/>
      </vt:variant>
      <vt:variant>
        <vt:lpwstr>_Toc346535730</vt:lpwstr>
      </vt:variant>
      <vt:variant>
        <vt:i4>1114161</vt:i4>
      </vt:variant>
      <vt:variant>
        <vt:i4>360</vt:i4>
      </vt:variant>
      <vt:variant>
        <vt:i4>0</vt:i4>
      </vt:variant>
      <vt:variant>
        <vt:i4>5</vt:i4>
      </vt:variant>
      <vt:variant>
        <vt:lpwstr/>
      </vt:variant>
      <vt:variant>
        <vt:lpwstr>_Toc346535729</vt:lpwstr>
      </vt:variant>
      <vt:variant>
        <vt:i4>1114161</vt:i4>
      </vt:variant>
      <vt:variant>
        <vt:i4>354</vt:i4>
      </vt:variant>
      <vt:variant>
        <vt:i4>0</vt:i4>
      </vt:variant>
      <vt:variant>
        <vt:i4>5</vt:i4>
      </vt:variant>
      <vt:variant>
        <vt:lpwstr/>
      </vt:variant>
      <vt:variant>
        <vt:lpwstr>_Toc346535728</vt:lpwstr>
      </vt:variant>
      <vt:variant>
        <vt:i4>1114161</vt:i4>
      </vt:variant>
      <vt:variant>
        <vt:i4>348</vt:i4>
      </vt:variant>
      <vt:variant>
        <vt:i4>0</vt:i4>
      </vt:variant>
      <vt:variant>
        <vt:i4>5</vt:i4>
      </vt:variant>
      <vt:variant>
        <vt:lpwstr/>
      </vt:variant>
      <vt:variant>
        <vt:lpwstr>_Toc346535727</vt:lpwstr>
      </vt:variant>
      <vt:variant>
        <vt:i4>1114161</vt:i4>
      </vt:variant>
      <vt:variant>
        <vt:i4>342</vt:i4>
      </vt:variant>
      <vt:variant>
        <vt:i4>0</vt:i4>
      </vt:variant>
      <vt:variant>
        <vt:i4>5</vt:i4>
      </vt:variant>
      <vt:variant>
        <vt:lpwstr/>
      </vt:variant>
      <vt:variant>
        <vt:lpwstr>_Toc346535726</vt:lpwstr>
      </vt:variant>
      <vt:variant>
        <vt:i4>1114161</vt:i4>
      </vt:variant>
      <vt:variant>
        <vt:i4>336</vt:i4>
      </vt:variant>
      <vt:variant>
        <vt:i4>0</vt:i4>
      </vt:variant>
      <vt:variant>
        <vt:i4>5</vt:i4>
      </vt:variant>
      <vt:variant>
        <vt:lpwstr/>
      </vt:variant>
      <vt:variant>
        <vt:lpwstr>_Toc346535725</vt:lpwstr>
      </vt:variant>
      <vt:variant>
        <vt:i4>1114161</vt:i4>
      </vt:variant>
      <vt:variant>
        <vt:i4>330</vt:i4>
      </vt:variant>
      <vt:variant>
        <vt:i4>0</vt:i4>
      </vt:variant>
      <vt:variant>
        <vt:i4>5</vt:i4>
      </vt:variant>
      <vt:variant>
        <vt:lpwstr/>
      </vt:variant>
      <vt:variant>
        <vt:lpwstr>_Toc346535724</vt:lpwstr>
      </vt:variant>
      <vt:variant>
        <vt:i4>1114161</vt:i4>
      </vt:variant>
      <vt:variant>
        <vt:i4>324</vt:i4>
      </vt:variant>
      <vt:variant>
        <vt:i4>0</vt:i4>
      </vt:variant>
      <vt:variant>
        <vt:i4>5</vt:i4>
      </vt:variant>
      <vt:variant>
        <vt:lpwstr/>
      </vt:variant>
      <vt:variant>
        <vt:lpwstr>_Toc346535723</vt:lpwstr>
      </vt:variant>
      <vt:variant>
        <vt:i4>1114161</vt:i4>
      </vt:variant>
      <vt:variant>
        <vt:i4>318</vt:i4>
      </vt:variant>
      <vt:variant>
        <vt:i4>0</vt:i4>
      </vt:variant>
      <vt:variant>
        <vt:i4>5</vt:i4>
      </vt:variant>
      <vt:variant>
        <vt:lpwstr/>
      </vt:variant>
      <vt:variant>
        <vt:lpwstr>_Toc346535722</vt:lpwstr>
      </vt:variant>
      <vt:variant>
        <vt:i4>1114161</vt:i4>
      </vt:variant>
      <vt:variant>
        <vt:i4>312</vt:i4>
      </vt:variant>
      <vt:variant>
        <vt:i4>0</vt:i4>
      </vt:variant>
      <vt:variant>
        <vt:i4>5</vt:i4>
      </vt:variant>
      <vt:variant>
        <vt:lpwstr/>
      </vt:variant>
      <vt:variant>
        <vt:lpwstr>_Toc346535721</vt:lpwstr>
      </vt:variant>
      <vt:variant>
        <vt:i4>1114161</vt:i4>
      </vt:variant>
      <vt:variant>
        <vt:i4>306</vt:i4>
      </vt:variant>
      <vt:variant>
        <vt:i4>0</vt:i4>
      </vt:variant>
      <vt:variant>
        <vt:i4>5</vt:i4>
      </vt:variant>
      <vt:variant>
        <vt:lpwstr/>
      </vt:variant>
      <vt:variant>
        <vt:lpwstr>_Toc346535720</vt:lpwstr>
      </vt:variant>
      <vt:variant>
        <vt:i4>1179697</vt:i4>
      </vt:variant>
      <vt:variant>
        <vt:i4>300</vt:i4>
      </vt:variant>
      <vt:variant>
        <vt:i4>0</vt:i4>
      </vt:variant>
      <vt:variant>
        <vt:i4>5</vt:i4>
      </vt:variant>
      <vt:variant>
        <vt:lpwstr/>
      </vt:variant>
      <vt:variant>
        <vt:lpwstr>_Toc346535719</vt:lpwstr>
      </vt:variant>
      <vt:variant>
        <vt:i4>1179697</vt:i4>
      </vt:variant>
      <vt:variant>
        <vt:i4>294</vt:i4>
      </vt:variant>
      <vt:variant>
        <vt:i4>0</vt:i4>
      </vt:variant>
      <vt:variant>
        <vt:i4>5</vt:i4>
      </vt:variant>
      <vt:variant>
        <vt:lpwstr/>
      </vt:variant>
      <vt:variant>
        <vt:lpwstr>_Toc346535718</vt:lpwstr>
      </vt:variant>
      <vt:variant>
        <vt:i4>1179697</vt:i4>
      </vt:variant>
      <vt:variant>
        <vt:i4>288</vt:i4>
      </vt:variant>
      <vt:variant>
        <vt:i4>0</vt:i4>
      </vt:variant>
      <vt:variant>
        <vt:i4>5</vt:i4>
      </vt:variant>
      <vt:variant>
        <vt:lpwstr/>
      </vt:variant>
      <vt:variant>
        <vt:lpwstr>_Toc346535717</vt:lpwstr>
      </vt:variant>
      <vt:variant>
        <vt:i4>1179697</vt:i4>
      </vt:variant>
      <vt:variant>
        <vt:i4>282</vt:i4>
      </vt:variant>
      <vt:variant>
        <vt:i4>0</vt:i4>
      </vt:variant>
      <vt:variant>
        <vt:i4>5</vt:i4>
      </vt:variant>
      <vt:variant>
        <vt:lpwstr/>
      </vt:variant>
      <vt:variant>
        <vt:lpwstr>_Toc346535716</vt:lpwstr>
      </vt:variant>
      <vt:variant>
        <vt:i4>1179697</vt:i4>
      </vt:variant>
      <vt:variant>
        <vt:i4>276</vt:i4>
      </vt:variant>
      <vt:variant>
        <vt:i4>0</vt:i4>
      </vt:variant>
      <vt:variant>
        <vt:i4>5</vt:i4>
      </vt:variant>
      <vt:variant>
        <vt:lpwstr/>
      </vt:variant>
      <vt:variant>
        <vt:lpwstr>_Toc346535715</vt:lpwstr>
      </vt:variant>
      <vt:variant>
        <vt:i4>1179697</vt:i4>
      </vt:variant>
      <vt:variant>
        <vt:i4>270</vt:i4>
      </vt:variant>
      <vt:variant>
        <vt:i4>0</vt:i4>
      </vt:variant>
      <vt:variant>
        <vt:i4>5</vt:i4>
      </vt:variant>
      <vt:variant>
        <vt:lpwstr/>
      </vt:variant>
      <vt:variant>
        <vt:lpwstr>_Toc346535714</vt:lpwstr>
      </vt:variant>
      <vt:variant>
        <vt:i4>1179697</vt:i4>
      </vt:variant>
      <vt:variant>
        <vt:i4>264</vt:i4>
      </vt:variant>
      <vt:variant>
        <vt:i4>0</vt:i4>
      </vt:variant>
      <vt:variant>
        <vt:i4>5</vt:i4>
      </vt:variant>
      <vt:variant>
        <vt:lpwstr/>
      </vt:variant>
      <vt:variant>
        <vt:lpwstr>_Toc346535713</vt:lpwstr>
      </vt:variant>
      <vt:variant>
        <vt:i4>1179697</vt:i4>
      </vt:variant>
      <vt:variant>
        <vt:i4>258</vt:i4>
      </vt:variant>
      <vt:variant>
        <vt:i4>0</vt:i4>
      </vt:variant>
      <vt:variant>
        <vt:i4>5</vt:i4>
      </vt:variant>
      <vt:variant>
        <vt:lpwstr/>
      </vt:variant>
      <vt:variant>
        <vt:lpwstr>_Toc346535712</vt:lpwstr>
      </vt:variant>
      <vt:variant>
        <vt:i4>1179697</vt:i4>
      </vt:variant>
      <vt:variant>
        <vt:i4>252</vt:i4>
      </vt:variant>
      <vt:variant>
        <vt:i4>0</vt:i4>
      </vt:variant>
      <vt:variant>
        <vt:i4>5</vt:i4>
      </vt:variant>
      <vt:variant>
        <vt:lpwstr/>
      </vt:variant>
      <vt:variant>
        <vt:lpwstr>_Toc346535711</vt:lpwstr>
      </vt:variant>
      <vt:variant>
        <vt:i4>1179697</vt:i4>
      </vt:variant>
      <vt:variant>
        <vt:i4>246</vt:i4>
      </vt:variant>
      <vt:variant>
        <vt:i4>0</vt:i4>
      </vt:variant>
      <vt:variant>
        <vt:i4>5</vt:i4>
      </vt:variant>
      <vt:variant>
        <vt:lpwstr/>
      </vt:variant>
      <vt:variant>
        <vt:lpwstr>_Toc346535710</vt:lpwstr>
      </vt:variant>
      <vt:variant>
        <vt:i4>1245233</vt:i4>
      </vt:variant>
      <vt:variant>
        <vt:i4>240</vt:i4>
      </vt:variant>
      <vt:variant>
        <vt:i4>0</vt:i4>
      </vt:variant>
      <vt:variant>
        <vt:i4>5</vt:i4>
      </vt:variant>
      <vt:variant>
        <vt:lpwstr/>
      </vt:variant>
      <vt:variant>
        <vt:lpwstr>_Toc346535709</vt:lpwstr>
      </vt:variant>
      <vt:variant>
        <vt:i4>1245233</vt:i4>
      </vt:variant>
      <vt:variant>
        <vt:i4>234</vt:i4>
      </vt:variant>
      <vt:variant>
        <vt:i4>0</vt:i4>
      </vt:variant>
      <vt:variant>
        <vt:i4>5</vt:i4>
      </vt:variant>
      <vt:variant>
        <vt:lpwstr/>
      </vt:variant>
      <vt:variant>
        <vt:lpwstr>_Toc346535708</vt:lpwstr>
      </vt:variant>
      <vt:variant>
        <vt:i4>1245233</vt:i4>
      </vt:variant>
      <vt:variant>
        <vt:i4>228</vt:i4>
      </vt:variant>
      <vt:variant>
        <vt:i4>0</vt:i4>
      </vt:variant>
      <vt:variant>
        <vt:i4>5</vt:i4>
      </vt:variant>
      <vt:variant>
        <vt:lpwstr/>
      </vt:variant>
      <vt:variant>
        <vt:lpwstr>_Toc346535707</vt:lpwstr>
      </vt:variant>
      <vt:variant>
        <vt:i4>1245233</vt:i4>
      </vt:variant>
      <vt:variant>
        <vt:i4>222</vt:i4>
      </vt:variant>
      <vt:variant>
        <vt:i4>0</vt:i4>
      </vt:variant>
      <vt:variant>
        <vt:i4>5</vt:i4>
      </vt:variant>
      <vt:variant>
        <vt:lpwstr/>
      </vt:variant>
      <vt:variant>
        <vt:lpwstr>_Toc346535706</vt:lpwstr>
      </vt:variant>
      <vt:variant>
        <vt:i4>1245233</vt:i4>
      </vt:variant>
      <vt:variant>
        <vt:i4>216</vt:i4>
      </vt:variant>
      <vt:variant>
        <vt:i4>0</vt:i4>
      </vt:variant>
      <vt:variant>
        <vt:i4>5</vt:i4>
      </vt:variant>
      <vt:variant>
        <vt:lpwstr/>
      </vt:variant>
      <vt:variant>
        <vt:lpwstr>_Toc346535705</vt:lpwstr>
      </vt:variant>
      <vt:variant>
        <vt:i4>1245233</vt:i4>
      </vt:variant>
      <vt:variant>
        <vt:i4>210</vt:i4>
      </vt:variant>
      <vt:variant>
        <vt:i4>0</vt:i4>
      </vt:variant>
      <vt:variant>
        <vt:i4>5</vt:i4>
      </vt:variant>
      <vt:variant>
        <vt:lpwstr/>
      </vt:variant>
      <vt:variant>
        <vt:lpwstr>_Toc346535704</vt:lpwstr>
      </vt:variant>
      <vt:variant>
        <vt:i4>1245233</vt:i4>
      </vt:variant>
      <vt:variant>
        <vt:i4>204</vt:i4>
      </vt:variant>
      <vt:variant>
        <vt:i4>0</vt:i4>
      </vt:variant>
      <vt:variant>
        <vt:i4>5</vt:i4>
      </vt:variant>
      <vt:variant>
        <vt:lpwstr/>
      </vt:variant>
      <vt:variant>
        <vt:lpwstr>_Toc346535703</vt:lpwstr>
      </vt:variant>
      <vt:variant>
        <vt:i4>1245233</vt:i4>
      </vt:variant>
      <vt:variant>
        <vt:i4>198</vt:i4>
      </vt:variant>
      <vt:variant>
        <vt:i4>0</vt:i4>
      </vt:variant>
      <vt:variant>
        <vt:i4>5</vt:i4>
      </vt:variant>
      <vt:variant>
        <vt:lpwstr/>
      </vt:variant>
      <vt:variant>
        <vt:lpwstr>_Toc346535702</vt:lpwstr>
      </vt:variant>
      <vt:variant>
        <vt:i4>1245233</vt:i4>
      </vt:variant>
      <vt:variant>
        <vt:i4>192</vt:i4>
      </vt:variant>
      <vt:variant>
        <vt:i4>0</vt:i4>
      </vt:variant>
      <vt:variant>
        <vt:i4>5</vt:i4>
      </vt:variant>
      <vt:variant>
        <vt:lpwstr/>
      </vt:variant>
      <vt:variant>
        <vt:lpwstr>_Toc346535701</vt:lpwstr>
      </vt:variant>
      <vt:variant>
        <vt:i4>1245233</vt:i4>
      </vt:variant>
      <vt:variant>
        <vt:i4>186</vt:i4>
      </vt:variant>
      <vt:variant>
        <vt:i4>0</vt:i4>
      </vt:variant>
      <vt:variant>
        <vt:i4>5</vt:i4>
      </vt:variant>
      <vt:variant>
        <vt:lpwstr/>
      </vt:variant>
      <vt:variant>
        <vt:lpwstr>_Toc346535700</vt:lpwstr>
      </vt:variant>
      <vt:variant>
        <vt:i4>1703984</vt:i4>
      </vt:variant>
      <vt:variant>
        <vt:i4>180</vt:i4>
      </vt:variant>
      <vt:variant>
        <vt:i4>0</vt:i4>
      </vt:variant>
      <vt:variant>
        <vt:i4>5</vt:i4>
      </vt:variant>
      <vt:variant>
        <vt:lpwstr/>
      </vt:variant>
      <vt:variant>
        <vt:lpwstr>_Toc346535699</vt:lpwstr>
      </vt:variant>
      <vt:variant>
        <vt:i4>1703984</vt:i4>
      </vt:variant>
      <vt:variant>
        <vt:i4>174</vt:i4>
      </vt:variant>
      <vt:variant>
        <vt:i4>0</vt:i4>
      </vt:variant>
      <vt:variant>
        <vt:i4>5</vt:i4>
      </vt:variant>
      <vt:variant>
        <vt:lpwstr/>
      </vt:variant>
      <vt:variant>
        <vt:lpwstr>_Toc346535698</vt:lpwstr>
      </vt:variant>
      <vt:variant>
        <vt:i4>1703984</vt:i4>
      </vt:variant>
      <vt:variant>
        <vt:i4>168</vt:i4>
      </vt:variant>
      <vt:variant>
        <vt:i4>0</vt:i4>
      </vt:variant>
      <vt:variant>
        <vt:i4>5</vt:i4>
      </vt:variant>
      <vt:variant>
        <vt:lpwstr/>
      </vt:variant>
      <vt:variant>
        <vt:lpwstr>_Toc346535697</vt:lpwstr>
      </vt:variant>
      <vt:variant>
        <vt:i4>1703984</vt:i4>
      </vt:variant>
      <vt:variant>
        <vt:i4>162</vt:i4>
      </vt:variant>
      <vt:variant>
        <vt:i4>0</vt:i4>
      </vt:variant>
      <vt:variant>
        <vt:i4>5</vt:i4>
      </vt:variant>
      <vt:variant>
        <vt:lpwstr/>
      </vt:variant>
      <vt:variant>
        <vt:lpwstr>_Toc346535696</vt:lpwstr>
      </vt:variant>
      <vt:variant>
        <vt:i4>1703984</vt:i4>
      </vt:variant>
      <vt:variant>
        <vt:i4>156</vt:i4>
      </vt:variant>
      <vt:variant>
        <vt:i4>0</vt:i4>
      </vt:variant>
      <vt:variant>
        <vt:i4>5</vt:i4>
      </vt:variant>
      <vt:variant>
        <vt:lpwstr/>
      </vt:variant>
      <vt:variant>
        <vt:lpwstr>_Toc346535695</vt:lpwstr>
      </vt:variant>
      <vt:variant>
        <vt:i4>1703984</vt:i4>
      </vt:variant>
      <vt:variant>
        <vt:i4>150</vt:i4>
      </vt:variant>
      <vt:variant>
        <vt:i4>0</vt:i4>
      </vt:variant>
      <vt:variant>
        <vt:i4>5</vt:i4>
      </vt:variant>
      <vt:variant>
        <vt:lpwstr/>
      </vt:variant>
      <vt:variant>
        <vt:lpwstr>_Toc346535694</vt:lpwstr>
      </vt:variant>
      <vt:variant>
        <vt:i4>1703984</vt:i4>
      </vt:variant>
      <vt:variant>
        <vt:i4>144</vt:i4>
      </vt:variant>
      <vt:variant>
        <vt:i4>0</vt:i4>
      </vt:variant>
      <vt:variant>
        <vt:i4>5</vt:i4>
      </vt:variant>
      <vt:variant>
        <vt:lpwstr/>
      </vt:variant>
      <vt:variant>
        <vt:lpwstr>_Toc346535693</vt:lpwstr>
      </vt:variant>
      <vt:variant>
        <vt:i4>1703984</vt:i4>
      </vt:variant>
      <vt:variant>
        <vt:i4>138</vt:i4>
      </vt:variant>
      <vt:variant>
        <vt:i4>0</vt:i4>
      </vt:variant>
      <vt:variant>
        <vt:i4>5</vt:i4>
      </vt:variant>
      <vt:variant>
        <vt:lpwstr/>
      </vt:variant>
      <vt:variant>
        <vt:lpwstr>_Toc346535692</vt:lpwstr>
      </vt:variant>
      <vt:variant>
        <vt:i4>1703984</vt:i4>
      </vt:variant>
      <vt:variant>
        <vt:i4>132</vt:i4>
      </vt:variant>
      <vt:variant>
        <vt:i4>0</vt:i4>
      </vt:variant>
      <vt:variant>
        <vt:i4>5</vt:i4>
      </vt:variant>
      <vt:variant>
        <vt:lpwstr/>
      </vt:variant>
      <vt:variant>
        <vt:lpwstr>_Toc346535691</vt:lpwstr>
      </vt:variant>
      <vt:variant>
        <vt:i4>1703984</vt:i4>
      </vt:variant>
      <vt:variant>
        <vt:i4>126</vt:i4>
      </vt:variant>
      <vt:variant>
        <vt:i4>0</vt:i4>
      </vt:variant>
      <vt:variant>
        <vt:i4>5</vt:i4>
      </vt:variant>
      <vt:variant>
        <vt:lpwstr/>
      </vt:variant>
      <vt:variant>
        <vt:lpwstr>_Toc346535690</vt:lpwstr>
      </vt:variant>
      <vt:variant>
        <vt:i4>1769520</vt:i4>
      </vt:variant>
      <vt:variant>
        <vt:i4>120</vt:i4>
      </vt:variant>
      <vt:variant>
        <vt:i4>0</vt:i4>
      </vt:variant>
      <vt:variant>
        <vt:i4>5</vt:i4>
      </vt:variant>
      <vt:variant>
        <vt:lpwstr/>
      </vt:variant>
      <vt:variant>
        <vt:lpwstr>_Toc346535689</vt:lpwstr>
      </vt:variant>
      <vt:variant>
        <vt:i4>1769520</vt:i4>
      </vt:variant>
      <vt:variant>
        <vt:i4>114</vt:i4>
      </vt:variant>
      <vt:variant>
        <vt:i4>0</vt:i4>
      </vt:variant>
      <vt:variant>
        <vt:i4>5</vt:i4>
      </vt:variant>
      <vt:variant>
        <vt:lpwstr/>
      </vt:variant>
      <vt:variant>
        <vt:lpwstr>_Toc346535688</vt:lpwstr>
      </vt:variant>
      <vt:variant>
        <vt:i4>1769520</vt:i4>
      </vt:variant>
      <vt:variant>
        <vt:i4>108</vt:i4>
      </vt:variant>
      <vt:variant>
        <vt:i4>0</vt:i4>
      </vt:variant>
      <vt:variant>
        <vt:i4>5</vt:i4>
      </vt:variant>
      <vt:variant>
        <vt:lpwstr/>
      </vt:variant>
      <vt:variant>
        <vt:lpwstr>_Toc346535687</vt:lpwstr>
      </vt:variant>
      <vt:variant>
        <vt:i4>1769520</vt:i4>
      </vt:variant>
      <vt:variant>
        <vt:i4>102</vt:i4>
      </vt:variant>
      <vt:variant>
        <vt:i4>0</vt:i4>
      </vt:variant>
      <vt:variant>
        <vt:i4>5</vt:i4>
      </vt:variant>
      <vt:variant>
        <vt:lpwstr/>
      </vt:variant>
      <vt:variant>
        <vt:lpwstr>_Toc346535686</vt:lpwstr>
      </vt:variant>
      <vt:variant>
        <vt:i4>1769520</vt:i4>
      </vt:variant>
      <vt:variant>
        <vt:i4>96</vt:i4>
      </vt:variant>
      <vt:variant>
        <vt:i4>0</vt:i4>
      </vt:variant>
      <vt:variant>
        <vt:i4>5</vt:i4>
      </vt:variant>
      <vt:variant>
        <vt:lpwstr/>
      </vt:variant>
      <vt:variant>
        <vt:lpwstr>_Toc346535685</vt:lpwstr>
      </vt:variant>
      <vt:variant>
        <vt:i4>1769520</vt:i4>
      </vt:variant>
      <vt:variant>
        <vt:i4>90</vt:i4>
      </vt:variant>
      <vt:variant>
        <vt:i4>0</vt:i4>
      </vt:variant>
      <vt:variant>
        <vt:i4>5</vt:i4>
      </vt:variant>
      <vt:variant>
        <vt:lpwstr/>
      </vt:variant>
      <vt:variant>
        <vt:lpwstr>_Toc346535684</vt:lpwstr>
      </vt:variant>
      <vt:variant>
        <vt:i4>1769520</vt:i4>
      </vt:variant>
      <vt:variant>
        <vt:i4>84</vt:i4>
      </vt:variant>
      <vt:variant>
        <vt:i4>0</vt:i4>
      </vt:variant>
      <vt:variant>
        <vt:i4>5</vt:i4>
      </vt:variant>
      <vt:variant>
        <vt:lpwstr/>
      </vt:variant>
      <vt:variant>
        <vt:lpwstr>_Toc346535683</vt:lpwstr>
      </vt:variant>
      <vt:variant>
        <vt:i4>1769520</vt:i4>
      </vt:variant>
      <vt:variant>
        <vt:i4>78</vt:i4>
      </vt:variant>
      <vt:variant>
        <vt:i4>0</vt:i4>
      </vt:variant>
      <vt:variant>
        <vt:i4>5</vt:i4>
      </vt:variant>
      <vt:variant>
        <vt:lpwstr/>
      </vt:variant>
      <vt:variant>
        <vt:lpwstr>_Toc346535682</vt:lpwstr>
      </vt:variant>
      <vt:variant>
        <vt:i4>1769520</vt:i4>
      </vt:variant>
      <vt:variant>
        <vt:i4>72</vt:i4>
      </vt:variant>
      <vt:variant>
        <vt:i4>0</vt:i4>
      </vt:variant>
      <vt:variant>
        <vt:i4>5</vt:i4>
      </vt:variant>
      <vt:variant>
        <vt:lpwstr/>
      </vt:variant>
      <vt:variant>
        <vt:lpwstr>_Toc346535681</vt:lpwstr>
      </vt:variant>
      <vt:variant>
        <vt:i4>1769520</vt:i4>
      </vt:variant>
      <vt:variant>
        <vt:i4>66</vt:i4>
      </vt:variant>
      <vt:variant>
        <vt:i4>0</vt:i4>
      </vt:variant>
      <vt:variant>
        <vt:i4>5</vt:i4>
      </vt:variant>
      <vt:variant>
        <vt:lpwstr/>
      </vt:variant>
      <vt:variant>
        <vt:lpwstr>_Toc346535680</vt:lpwstr>
      </vt:variant>
      <vt:variant>
        <vt:i4>1310768</vt:i4>
      </vt:variant>
      <vt:variant>
        <vt:i4>60</vt:i4>
      </vt:variant>
      <vt:variant>
        <vt:i4>0</vt:i4>
      </vt:variant>
      <vt:variant>
        <vt:i4>5</vt:i4>
      </vt:variant>
      <vt:variant>
        <vt:lpwstr/>
      </vt:variant>
      <vt:variant>
        <vt:lpwstr>_Toc346535679</vt:lpwstr>
      </vt:variant>
      <vt:variant>
        <vt:i4>1310768</vt:i4>
      </vt:variant>
      <vt:variant>
        <vt:i4>54</vt:i4>
      </vt:variant>
      <vt:variant>
        <vt:i4>0</vt:i4>
      </vt:variant>
      <vt:variant>
        <vt:i4>5</vt:i4>
      </vt:variant>
      <vt:variant>
        <vt:lpwstr/>
      </vt:variant>
      <vt:variant>
        <vt:lpwstr>_Toc346535678</vt:lpwstr>
      </vt:variant>
      <vt:variant>
        <vt:i4>1310768</vt:i4>
      </vt:variant>
      <vt:variant>
        <vt:i4>48</vt:i4>
      </vt:variant>
      <vt:variant>
        <vt:i4>0</vt:i4>
      </vt:variant>
      <vt:variant>
        <vt:i4>5</vt:i4>
      </vt:variant>
      <vt:variant>
        <vt:lpwstr/>
      </vt:variant>
      <vt:variant>
        <vt:lpwstr>_Toc346535677</vt:lpwstr>
      </vt:variant>
      <vt:variant>
        <vt:i4>1310768</vt:i4>
      </vt:variant>
      <vt:variant>
        <vt:i4>42</vt:i4>
      </vt:variant>
      <vt:variant>
        <vt:i4>0</vt:i4>
      </vt:variant>
      <vt:variant>
        <vt:i4>5</vt:i4>
      </vt:variant>
      <vt:variant>
        <vt:lpwstr/>
      </vt:variant>
      <vt:variant>
        <vt:lpwstr>_Toc346535676</vt:lpwstr>
      </vt:variant>
      <vt:variant>
        <vt:i4>1310768</vt:i4>
      </vt:variant>
      <vt:variant>
        <vt:i4>36</vt:i4>
      </vt:variant>
      <vt:variant>
        <vt:i4>0</vt:i4>
      </vt:variant>
      <vt:variant>
        <vt:i4>5</vt:i4>
      </vt:variant>
      <vt:variant>
        <vt:lpwstr/>
      </vt:variant>
      <vt:variant>
        <vt:lpwstr>_Toc346535675</vt:lpwstr>
      </vt:variant>
      <vt:variant>
        <vt:i4>1310768</vt:i4>
      </vt:variant>
      <vt:variant>
        <vt:i4>30</vt:i4>
      </vt:variant>
      <vt:variant>
        <vt:i4>0</vt:i4>
      </vt:variant>
      <vt:variant>
        <vt:i4>5</vt:i4>
      </vt:variant>
      <vt:variant>
        <vt:lpwstr/>
      </vt:variant>
      <vt:variant>
        <vt:lpwstr>_Toc346535674</vt:lpwstr>
      </vt:variant>
      <vt:variant>
        <vt:i4>1310768</vt:i4>
      </vt:variant>
      <vt:variant>
        <vt:i4>24</vt:i4>
      </vt:variant>
      <vt:variant>
        <vt:i4>0</vt:i4>
      </vt:variant>
      <vt:variant>
        <vt:i4>5</vt:i4>
      </vt:variant>
      <vt:variant>
        <vt:lpwstr/>
      </vt:variant>
      <vt:variant>
        <vt:lpwstr>_Toc346535673</vt:lpwstr>
      </vt:variant>
      <vt:variant>
        <vt:i4>1310768</vt:i4>
      </vt:variant>
      <vt:variant>
        <vt:i4>18</vt:i4>
      </vt:variant>
      <vt:variant>
        <vt:i4>0</vt:i4>
      </vt:variant>
      <vt:variant>
        <vt:i4>5</vt:i4>
      </vt:variant>
      <vt:variant>
        <vt:lpwstr/>
      </vt:variant>
      <vt:variant>
        <vt:lpwstr>_Toc346535672</vt:lpwstr>
      </vt:variant>
      <vt:variant>
        <vt:i4>1310768</vt:i4>
      </vt:variant>
      <vt:variant>
        <vt:i4>12</vt:i4>
      </vt:variant>
      <vt:variant>
        <vt:i4>0</vt:i4>
      </vt:variant>
      <vt:variant>
        <vt:i4>5</vt:i4>
      </vt:variant>
      <vt:variant>
        <vt:lpwstr/>
      </vt:variant>
      <vt:variant>
        <vt:lpwstr>_Toc346535671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Trebec-Reynolds</dc:creator>
  <cp:keywords/>
  <dc:description/>
  <cp:lastModifiedBy>Sandrin Bergheanu</cp:lastModifiedBy>
  <cp:revision>4</cp:revision>
  <cp:lastPrinted>2013-04-08T13:26:00Z</cp:lastPrinted>
  <dcterms:created xsi:type="dcterms:W3CDTF">2021-04-15T09:48:00Z</dcterms:created>
  <dcterms:modified xsi:type="dcterms:W3CDTF">2021-04-15T09:55:00Z</dcterms:modified>
</cp:coreProperties>
</file>