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E5B" w:rsidRPr="004F7E5B" w:rsidRDefault="004F7E5B" w:rsidP="004F7E5B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Table</w:t>
      </w:r>
      <w:bookmarkStart w:id="0" w:name="_GoBack"/>
      <w:bookmarkEnd w:id="0"/>
      <w:r w:rsidRPr="004F7E5B">
        <w:rPr>
          <w:rFonts w:asciiTheme="majorHAnsi" w:hAnsiTheme="majorHAnsi"/>
          <w:b/>
        </w:rPr>
        <w:t>:</w:t>
      </w:r>
      <w:r w:rsidRPr="004F7E5B">
        <w:rPr>
          <w:rFonts w:asciiTheme="majorHAnsi" w:hAnsiTheme="majorHAnsi"/>
        </w:rPr>
        <w:t xml:space="preserve"> Reasons for exclusion of patients screened for the trial who did not meet the eligibility criteria. Data presented are frequency (%).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4"/>
        <w:gridCol w:w="3076"/>
        <w:gridCol w:w="2268"/>
      </w:tblGrid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  <w:b/>
              </w:rPr>
            </w:pPr>
            <w:r w:rsidRPr="004F7E5B">
              <w:rPr>
                <w:rFonts w:asciiTheme="majorHAnsi" w:hAnsiTheme="majorHAnsi"/>
                <w:b/>
              </w:rPr>
              <w:t>Reason for exclusion</w:t>
            </w:r>
          </w:p>
        </w:tc>
        <w:tc>
          <w:tcPr>
            <w:tcW w:w="2268" w:type="dxa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  <w:b/>
              </w:rPr>
            </w:pPr>
            <w:r w:rsidRPr="004F7E5B">
              <w:rPr>
                <w:rFonts w:asciiTheme="majorHAnsi" w:hAnsiTheme="majorHAnsi"/>
                <w:b/>
              </w:rPr>
              <w:t>Frequency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Age &lt;18 years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3 (0.1%)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Non-stroke diagnosis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453 (19.5%)</w:t>
            </w:r>
          </w:p>
        </w:tc>
      </w:tr>
      <w:tr w:rsidR="004F7E5B" w:rsidRPr="004F7E5B" w:rsidTr="000A2CE9">
        <w:tc>
          <w:tcPr>
            <w:tcW w:w="2844" w:type="dxa"/>
            <w:vMerge w:val="restart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Late presentation</w:t>
            </w:r>
          </w:p>
        </w:tc>
        <w:tc>
          <w:tcPr>
            <w:tcW w:w="3076" w:type="dxa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&gt;72 hours from symptom onset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314 (19.4%)*</w:t>
            </w:r>
          </w:p>
        </w:tc>
      </w:tr>
      <w:tr w:rsidR="004F7E5B" w:rsidRPr="004F7E5B" w:rsidTr="000A2CE9">
        <w:tc>
          <w:tcPr>
            <w:tcW w:w="2844" w:type="dxa"/>
            <w:vMerge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</w:p>
        </w:tc>
        <w:tc>
          <w:tcPr>
            <w:tcW w:w="3076" w:type="dxa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&gt;7 days from symptom onset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eastAsia="Times New Roman" w:hAnsiTheme="majorHAnsi" w:cs="Times New Roman"/>
                <w:color w:val="000000"/>
              </w:rPr>
            </w:pPr>
            <w:r w:rsidRPr="004F7E5B">
              <w:rPr>
                <w:rFonts w:asciiTheme="majorHAnsi" w:eastAsia="Times New Roman" w:hAnsiTheme="majorHAnsi" w:cs="Times New Roman"/>
                <w:color w:val="000000"/>
              </w:rPr>
              <w:t>46 (6.6%)**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BP &lt;130/80mmHg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145 (6.2%)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Unable to consent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120 (5.2%)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Contraindication to investigational medical product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51 (2.2%)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Unable to take oral medication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110 (4.7%)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Clinical need for urgent antihypertensive therapy or treatment with specific antihypertensive class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43 (1.9%)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 xml:space="preserve">Pre-event </w:t>
            </w:r>
            <w:proofErr w:type="spellStart"/>
            <w:r w:rsidRPr="004F7E5B">
              <w:rPr>
                <w:rFonts w:asciiTheme="majorHAnsi" w:hAnsiTheme="majorHAnsi"/>
              </w:rPr>
              <w:t>mRS</w:t>
            </w:r>
            <w:proofErr w:type="spellEnd"/>
            <w:r w:rsidRPr="004F7E5B">
              <w:rPr>
                <w:rFonts w:asciiTheme="majorHAnsi" w:hAnsiTheme="majorHAnsi"/>
              </w:rPr>
              <w:t xml:space="preserve"> &gt;3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67 (2.9%)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Life expectancy &lt;3 months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19 (0.8%)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Atrial fibrillation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431 (18.6%)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Participating in another investigational drug trial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40 (1.7%)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Pregnant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 (0.04%)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Previous stroke/TIA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496 (21.4%)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Haemorrhagic stroke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183 (7.9%)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Usual antihypertensive therapy already administered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97 (4.2%)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NIHSS ≥10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119 (5.1%)</w:t>
            </w:r>
          </w:p>
        </w:tc>
      </w:tr>
      <w:tr w:rsidR="004F7E5B" w:rsidRPr="004F7E5B" w:rsidTr="000A2CE9">
        <w:tc>
          <w:tcPr>
            <w:tcW w:w="5920" w:type="dxa"/>
            <w:gridSpan w:val="2"/>
          </w:tcPr>
          <w:p w:rsidR="004F7E5B" w:rsidRPr="004F7E5B" w:rsidRDefault="004F7E5B" w:rsidP="000A2CE9">
            <w:pPr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Deemed inappropriate to approach for research by clinical team due to co-morbidities</w:t>
            </w:r>
          </w:p>
        </w:tc>
        <w:tc>
          <w:tcPr>
            <w:tcW w:w="2268" w:type="dxa"/>
            <w:vAlign w:val="center"/>
          </w:tcPr>
          <w:p w:rsidR="004F7E5B" w:rsidRPr="004F7E5B" w:rsidRDefault="004F7E5B" w:rsidP="000A2CE9">
            <w:pPr>
              <w:jc w:val="center"/>
              <w:rPr>
                <w:rFonts w:asciiTheme="majorHAnsi" w:hAnsiTheme="majorHAnsi"/>
              </w:rPr>
            </w:pPr>
            <w:r w:rsidRPr="004F7E5B">
              <w:rPr>
                <w:rFonts w:asciiTheme="majorHAnsi" w:hAnsiTheme="majorHAnsi"/>
              </w:rPr>
              <w:t>83 (3.6%)</w:t>
            </w:r>
          </w:p>
        </w:tc>
      </w:tr>
    </w:tbl>
    <w:p w:rsidR="004F7E5B" w:rsidRDefault="004F7E5B" w:rsidP="004F7E5B">
      <w:pPr>
        <w:rPr>
          <w:rFonts w:asciiTheme="majorHAnsi" w:hAnsiTheme="majorHAnsi"/>
        </w:rPr>
      </w:pPr>
    </w:p>
    <w:p w:rsidR="004F7E5B" w:rsidRPr="004F7E5B" w:rsidRDefault="004F7E5B" w:rsidP="004F7E5B">
      <w:pPr>
        <w:rPr>
          <w:rFonts w:asciiTheme="majorHAnsi" w:hAnsiTheme="majorHAnsi"/>
        </w:rPr>
      </w:pPr>
      <w:r w:rsidRPr="004F7E5B">
        <w:rPr>
          <w:rFonts w:asciiTheme="majorHAnsi" w:hAnsiTheme="majorHAnsi"/>
        </w:rPr>
        <w:t>*Out of 1619 patients screened before the eligibility criteria were amended</w:t>
      </w:r>
    </w:p>
    <w:p w:rsidR="004F7E5B" w:rsidRPr="004F7E5B" w:rsidRDefault="004F7E5B" w:rsidP="004F7E5B">
      <w:pPr>
        <w:rPr>
          <w:rFonts w:asciiTheme="majorHAnsi" w:hAnsiTheme="majorHAnsi"/>
        </w:rPr>
      </w:pPr>
      <w:r w:rsidRPr="004F7E5B">
        <w:rPr>
          <w:rFonts w:asciiTheme="majorHAnsi" w:hAnsiTheme="majorHAnsi"/>
        </w:rPr>
        <w:t>**Out of 702 patients screened after the eligibility criteria were amended</w:t>
      </w:r>
    </w:p>
    <w:p w:rsidR="00F7201A" w:rsidRPr="004F7E5B" w:rsidRDefault="00F7201A">
      <w:pPr>
        <w:rPr>
          <w:rFonts w:asciiTheme="majorHAnsi" w:hAnsiTheme="majorHAnsi"/>
        </w:rPr>
      </w:pPr>
    </w:p>
    <w:sectPr w:rsidR="00F7201A" w:rsidRPr="004F7E5B" w:rsidSect="00F7201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E5B"/>
    <w:rsid w:val="004F7E5B"/>
    <w:rsid w:val="00F7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A74C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5B"/>
    <w:pPr>
      <w:spacing w:after="200"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E5B"/>
    <w:rPr>
      <w:rFonts w:eastAsiaTheme="minorHAnsi"/>
      <w:sz w:val="22"/>
      <w:szCs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5B"/>
    <w:pPr>
      <w:spacing w:after="200"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E5B"/>
    <w:rPr>
      <w:rFonts w:eastAsiaTheme="minorHAnsi"/>
      <w:sz w:val="22"/>
      <w:szCs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1010</Characters>
  <Application>Microsoft Macintosh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Davison</dc:creator>
  <cp:keywords/>
  <dc:description/>
  <cp:lastModifiedBy>Will Davison</cp:lastModifiedBy>
  <cp:revision>1</cp:revision>
  <dcterms:created xsi:type="dcterms:W3CDTF">2019-11-16T21:21:00Z</dcterms:created>
  <dcterms:modified xsi:type="dcterms:W3CDTF">2019-11-16T21:23:00Z</dcterms:modified>
</cp:coreProperties>
</file>